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1EB441DD" w:rsidR="00B60939" w:rsidRPr="00350596" w:rsidRDefault="00837383" w:rsidP="004A6040">
      <w:pPr>
        <w:pStyle w:val="COMexecsummheadings"/>
      </w:pPr>
      <w:r w:rsidRPr="00350596">
        <w:t>5.03</w:t>
      </w:r>
      <w:r w:rsidR="00163F66" w:rsidRPr="00350596">
        <w:tab/>
      </w:r>
      <w:r w:rsidR="009A73B5" w:rsidRPr="00350596">
        <w:t>EFGARTIGIMOD</w:t>
      </w:r>
      <w:r w:rsidR="00614B66" w:rsidRPr="00350596">
        <w:t xml:space="preserve"> ALFA</w:t>
      </w:r>
      <w:r w:rsidR="00163F66" w:rsidRPr="00350596">
        <w:t>,</w:t>
      </w:r>
      <w:r w:rsidR="00163F66" w:rsidRPr="00350596">
        <w:br/>
      </w:r>
      <w:r w:rsidR="00613DC9" w:rsidRPr="00350596">
        <w:t>Solution concentrate of I.V. infusion 400 mg in 20 mL</w:t>
      </w:r>
      <w:r w:rsidR="00163F66" w:rsidRPr="00350596">
        <w:t>,</w:t>
      </w:r>
      <w:r w:rsidR="00163F66" w:rsidRPr="00350596">
        <w:br/>
      </w:r>
      <w:r w:rsidR="00613DC9" w:rsidRPr="00350596">
        <w:t>Vyvgart</w:t>
      </w:r>
      <w:r w:rsidR="00B60939" w:rsidRPr="00350596">
        <w:rPr>
          <w:vertAlign w:val="superscript"/>
        </w:rPr>
        <w:t>®</w:t>
      </w:r>
      <w:r w:rsidR="004A6040" w:rsidRPr="00350596">
        <w:t>,</w:t>
      </w:r>
      <w:r w:rsidR="004A6040" w:rsidRPr="00350596">
        <w:br/>
      </w:r>
      <w:r w:rsidR="00613DC9" w:rsidRPr="00350596">
        <w:t>ARGENX AUSTRALIA PTY LTD</w:t>
      </w:r>
      <w:r w:rsidR="00B60939" w:rsidRPr="00350596">
        <w:t>.</w:t>
      </w:r>
    </w:p>
    <w:p w14:paraId="11C00795" w14:textId="3DFB6D23" w:rsidR="00B50DB8" w:rsidRPr="00350596" w:rsidRDefault="00B50DB8" w:rsidP="00361E69">
      <w:pPr>
        <w:pStyle w:val="COMH1-numbered"/>
      </w:pPr>
      <w:bookmarkStart w:id="0" w:name="_Toc188365351"/>
      <w:r w:rsidRPr="00350596">
        <w:t xml:space="preserve">Purpose of </w:t>
      </w:r>
      <w:r w:rsidR="00CD7193" w:rsidRPr="00350596">
        <w:t>s</w:t>
      </w:r>
      <w:r w:rsidR="00BB3A45" w:rsidRPr="00350596">
        <w:t>ubmission</w:t>
      </w:r>
      <w:bookmarkEnd w:id="0"/>
    </w:p>
    <w:p w14:paraId="19414AA1" w14:textId="4A735303" w:rsidR="002C2775" w:rsidRPr="00350596" w:rsidRDefault="007170DA" w:rsidP="00361E69">
      <w:pPr>
        <w:pStyle w:val="COMexecsummnumbered"/>
        <w:keepNext/>
      </w:pPr>
      <w:r w:rsidRPr="00350596">
        <w:t xml:space="preserve">The </w:t>
      </w:r>
      <w:r w:rsidR="00F73E08" w:rsidRPr="00350596">
        <w:t xml:space="preserve">Category </w:t>
      </w:r>
      <w:r w:rsidR="001C2050" w:rsidRPr="00350596">
        <w:t>1</w:t>
      </w:r>
      <w:r w:rsidR="00F73E08" w:rsidRPr="00350596">
        <w:t xml:space="preserve"> </w:t>
      </w:r>
      <w:r w:rsidRPr="00350596">
        <w:t xml:space="preserve">submission requested </w:t>
      </w:r>
      <w:r w:rsidR="001C2050" w:rsidRPr="00350596">
        <w:t>a Section 100 (Highly Specialised Drug Program) Authority Required (Written) listing for the treatment of adult patients with generalised myasthenia gravis who are anti-acetylcholine receptor (AChR) antibody positive.</w:t>
      </w:r>
    </w:p>
    <w:p w14:paraId="04173813" w14:textId="16128DFD" w:rsidR="008B1397" w:rsidRPr="00350596" w:rsidRDefault="00836461" w:rsidP="004E18E9">
      <w:pPr>
        <w:pStyle w:val="COMexecsummnumbered"/>
      </w:pPr>
      <w:r w:rsidRPr="00350596">
        <w:t xml:space="preserve">The submission claimed there is an unmet clinical need for additional treatment options for the management of myasthenia gravis, given </w:t>
      </w:r>
      <w:r w:rsidR="00184162" w:rsidRPr="00350596">
        <w:t xml:space="preserve">the </w:t>
      </w:r>
      <w:r w:rsidRPr="00350596">
        <w:t>limitations of current treatments including inadequate symptom control, slow onset of action, high treatment burden, significant side effects and risk of developing comorbidities.</w:t>
      </w:r>
    </w:p>
    <w:p w14:paraId="282125D8" w14:textId="3A569B8D" w:rsidR="00836461" w:rsidRPr="00350596" w:rsidRDefault="00836461" w:rsidP="004E18E9">
      <w:pPr>
        <w:pStyle w:val="COMexecsummnumbered"/>
      </w:pPr>
      <w:r w:rsidRPr="00350596">
        <w:t xml:space="preserve">The submission </w:t>
      </w:r>
      <w:r w:rsidR="00975312" w:rsidRPr="00350596">
        <w:t>claim</w:t>
      </w:r>
      <w:r w:rsidR="003A474D" w:rsidRPr="00350596">
        <w:t>ed</w:t>
      </w:r>
      <w:r w:rsidR="00975312" w:rsidRPr="00350596">
        <w:t xml:space="preserve"> that the </w:t>
      </w:r>
      <w:r w:rsidR="000C0942" w:rsidRPr="00350596">
        <w:t xml:space="preserve">target population for efgartigimod are major users of </w:t>
      </w:r>
      <w:r w:rsidR="00402652" w:rsidRPr="00350596">
        <w:t>intravenous immunoglobulin (</w:t>
      </w:r>
      <w:r w:rsidR="000C0942" w:rsidRPr="00350596">
        <w:t>IVIg</w:t>
      </w:r>
      <w:r w:rsidR="00402652" w:rsidRPr="00350596">
        <w:t>)</w:t>
      </w:r>
      <w:r w:rsidR="000C0942" w:rsidRPr="00350596">
        <w:t xml:space="preserve"> in Australia </w:t>
      </w:r>
      <w:r w:rsidR="00222065" w:rsidRPr="00350596">
        <w:t>which</w:t>
      </w:r>
      <w:r w:rsidR="00DD0287" w:rsidRPr="00350596">
        <w:t xml:space="preserve"> is subject to global supply constraints</w:t>
      </w:r>
      <w:r w:rsidR="00186429" w:rsidRPr="00350596">
        <w:t xml:space="preserve"> and</w:t>
      </w:r>
      <w:r w:rsidR="00DD0287" w:rsidRPr="00350596">
        <w:t xml:space="preserve"> is more </w:t>
      </w:r>
      <w:r w:rsidR="00186429" w:rsidRPr="00350596">
        <w:t xml:space="preserve">burdensome than efgartigimod in terms of administration duration and frequency. </w:t>
      </w:r>
      <w:r w:rsidR="00FB28A2" w:rsidRPr="00350596">
        <w:t xml:space="preserve">These claims appeared inconsistent </w:t>
      </w:r>
      <w:r w:rsidR="005924C1" w:rsidRPr="00350596">
        <w:t xml:space="preserve">with </w:t>
      </w:r>
      <w:r w:rsidR="00FB28A2" w:rsidRPr="00350596">
        <w:t>the sponsor’s market research indicating that most patients are able to access IVIg if required</w:t>
      </w:r>
      <w:r w:rsidR="00C57271" w:rsidRPr="00350596">
        <w:t xml:space="preserve">. </w:t>
      </w:r>
      <w:r w:rsidR="003A1000" w:rsidRPr="00350596">
        <w:t xml:space="preserve">The </w:t>
      </w:r>
      <w:r w:rsidR="0038756C" w:rsidRPr="00350596">
        <w:t xml:space="preserve">evaluation considered that the </w:t>
      </w:r>
      <w:r w:rsidR="003A1000" w:rsidRPr="00350596">
        <w:t>claim of reduced administration burden may not be adequately justified as it was inconsistent with the average number of efgartigimod doses of approximately 19 per year (based on 4.72 annual treatment cycles) compared to IVIg doses of 14 per year assumed in the financial section of the submission.</w:t>
      </w:r>
    </w:p>
    <w:p w14:paraId="4E9FBCB5" w14:textId="42C3F38D" w:rsidR="00C2778B" w:rsidRPr="00350596" w:rsidRDefault="005750C5" w:rsidP="004E18E9">
      <w:pPr>
        <w:pStyle w:val="COMexecsummnumbered"/>
      </w:pPr>
      <w:r w:rsidRPr="00350596">
        <w:t xml:space="preserve">Listing was requested on the basis of a cost-effectiveness analysis versus </w:t>
      </w:r>
      <w:r w:rsidR="008B1397" w:rsidRPr="00350596">
        <w:t>chronic IVIg</w:t>
      </w:r>
      <w:r w:rsidRPr="00350596">
        <w:t>.</w:t>
      </w:r>
    </w:p>
    <w:p w14:paraId="3718DE61" w14:textId="1F3C73DA" w:rsidR="008B1757" w:rsidRPr="00350596" w:rsidRDefault="00696EF9" w:rsidP="00B50F7F">
      <w:pPr>
        <w:pStyle w:val="COMtablefigcaption"/>
      </w:pPr>
      <w:r w:rsidRPr="00350596">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1</w:t>
      </w:r>
      <w:r w:rsidR="007579CB" w:rsidRPr="00350596">
        <w:fldChar w:fldCharType="end"/>
      </w:r>
      <w:r w:rsidRPr="00350596">
        <w:t>:</w:t>
      </w:r>
      <w:r w:rsidR="00BC591F" w:rsidRPr="00350596">
        <w:t xml:space="preserve"> </w:t>
      </w:r>
      <w:r w:rsidR="008B1757" w:rsidRPr="00350596">
        <w:t xml:space="preserve">Key components of the clinical issue addressed </w:t>
      </w:r>
      <w:r w:rsidR="002812CE" w:rsidRPr="00350596">
        <w:t>in</w:t>
      </w:r>
      <w:r w:rsidR="008B1757" w:rsidRPr="00350596">
        <w:t xml:space="preserve"> the submission</w:t>
      </w:r>
      <w:r w:rsidR="007170DA" w:rsidRPr="00350596">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350596" w14:paraId="569F5103" w14:textId="77777777" w:rsidTr="002A2ADE">
        <w:trPr>
          <w:cantSplit/>
          <w:tblHeader/>
        </w:trPr>
        <w:tc>
          <w:tcPr>
            <w:tcW w:w="924" w:type="pct"/>
          </w:tcPr>
          <w:p w14:paraId="501803FB" w14:textId="77777777" w:rsidR="008B1757" w:rsidRPr="00350596" w:rsidRDefault="008B1757" w:rsidP="00514691">
            <w:pPr>
              <w:pStyle w:val="COMTableheadingrow"/>
              <w:rPr>
                <w:szCs w:val="20"/>
                <w:lang w:val="en-AU"/>
              </w:rPr>
            </w:pPr>
            <w:r w:rsidRPr="00350596">
              <w:rPr>
                <w:lang w:val="en-AU"/>
              </w:rPr>
              <w:t>Component</w:t>
            </w:r>
          </w:p>
        </w:tc>
        <w:tc>
          <w:tcPr>
            <w:tcW w:w="4076" w:type="pct"/>
          </w:tcPr>
          <w:p w14:paraId="445D9EBB" w14:textId="77777777" w:rsidR="008B1757" w:rsidRPr="00350596" w:rsidRDefault="008B1757" w:rsidP="00514691">
            <w:pPr>
              <w:pStyle w:val="COMTableheadingrow"/>
              <w:rPr>
                <w:lang w:val="en-AU"/>
              </w:rPr>
            </w:pPr>
            <w:r w:rsidRPr="00350596">
              <w:rPr>
                <w:lang w:val="en-AU"/>
              </w:rPr>
              <w:t>Description</w:t>
            </w:r>
          </w:p>
        </w:tc>
      </w:tr>
      <w:tr w:rsidR="00647BE0" w:rsidRPr="00350596" w14:paraId="2EB546E2" w14:textId="77777777" w:rsidTr="007959EA">
        <w:trPr>
          <w:cantSplit/>
        </w:trPr>
        <w:tc>
          <w:tcPr>
            <w:tcW w:w="924" w:type="pct"/>
            <w:vAlign w:val="center"/>
          </w:tcPr>
          <w:p w14:paraId="38F3BB34" w14:textId="28A17E78" w:rsidR="00647BE0" w:rsidRPr="00350596" w:rsidRDefault="00647BE0" w:rsidP="00647BE0">
            <w:pPr>
              <w:pStyle w:val="COMTabletext"/>
            </w:pPr>
            <w:r w:rsidRPr="00350596">
              <w:t>Population</w:t>
            </w:r>
          </w:p>
        </w:tc>
        <w:tc>
          <w:tcPr>
            <w:tcW w:w="4076" w:type="pct"/>
            <w:vAlign w:val="center"/>
          </w:tcPr>
          <w:p w14:paraId="79618EEE" w14:textId="2AA42FCD" w:rsidR="00647BE0" w:rsidRPr="00350596" w:rsidRDefault="00647BE0" w:rsidP="00647BE0">
            <w:pPr>
              <w:pStyle w:val="COMTabletext"/>
            </w:pPr>
            <w:r w:rsidRPr="00350596">
              <w:t>Adult patients with AChR-positive generalised myasthenia gravis who remain symptomatic despite standard therapy.</w:t>
            </w:r>
          </w:p>
        </w:tc>
      </w:tr>
      <w:tr w:rsidR="00647BE0" w:rsidRPr="00350596" w14:paraId="0CA523AF" w14:textId="77777777" w:rsidTr="007959EA">
        <w:trPr>
          <w:cantSplit/>
        </w:trPr>
        <w:tc>
          <w:tcPr>
            <w:tcW w:w="924" w:type="pct"/>
            <w:vAlign w:val="center"/>
          </w:tcPr>
          <w:p w14:paraId="7B6D20D8" w14:textId="3209F8B2" w:rsidR="00647BE0" w:rsidRPr="00350596" w:rsidRDefault="00647BE0" w:rsidP="00647BE0">
            <w:pPr>
              <w:pStyle w:val="COMTabletext"/>
            </w:pPr>
            <w:r w:rsidRPr="00350596">
              <w:t>Intervention</w:t>
            </w:r>
          </w:p>
        </w:tc>
        <w:tc>
          <w:tcPr>
            <w:tcW w:w="4076" w:type="pct"/>
            <w:vAlign w:val="center"/>
          </w:tcPr>
          <w:p w14:paraId="02B35EE7" w14:textId="77777777" w:rsidR="00647BE0" w:rsidRPr="00350596" w:rsidRDefault="00647BE0" w:rsidP="00647BE0">
            <w:pPr>
              <w:pStyle w:val="COMTabletext"/>
            </w:pPr>
            <w:r w:rsidRPr="00350596">
              <w:t>Efgartigimod intravenous infusion once a week for 4 weeks (weight-based dosing at 10 mg/kg, maximum of 1,200 mg per dose); in combination with standard therapy (including anticholinesterases, corticosteroids and other immunosuppressive agents such as mycophenolate mofetil, azathioprine, methotrexate, tacrolimus, ciclosporin).</w:t>
            </w:r>
          </w:p>
          <w:p w14:paraId="2491E905" w14:textId="364C80B0" w:rsidR="00647BE0" w:rsidRPr="00350596" w:rsidRDefault="00647BE0" w:rsidP="00647BE0">
            <w:pPr>
              <w:pStyle w:val="COMTabletext"/>
            </w:pPr>
            <w:r w:rsidRPr="00350596">
              <w:t>Subsequent treatment cycles with efgartigimod may be initiated based on clinical evaluation.</w:t>
            </w:r>
          </w:p>
        </w:tc>
      </w:tr>
      <w:tr w:rsidR="00647BE0" w:rsidRPr="00350596" w14:paraId="0F81EBE4" w14:textId="77777777" w:rsidTr="007959EA">
        <w:trPr>
          <w:cantSplit/>
        </w:trPr>
        <w:tc>
          <w:tcPr>
            <w:tcW w:w="924" w:type="pct"/>
            <w:vAlign w:val="center"/>
          </w:tcPr>
          <w:p w14:paraId="3656B343" w14:textId="637A3D9E" w:rsidR="00647BE0" w:rsidRPr="00350596" w:rsidRDefault="00647BE0" w:rsidP="00647BE0">
            <w:pPr>
              <w:pStyle w:val="COMTabletext"/>
            </w:pPr>
            <w:r w:rsidRPr="00350596">
              <w:t>Comparator</w:t>
            </w:r>
          </w:p>
        </w:tc>
        <w:tc>
          <w:tcPr>
            <w:tcW w:w="4076" w:type="pct"/>
            <w:vAlign w:val="center"/>
          </w:tcPr>
          <w:p w14:paraId="4444B958" w14:textId="77777777" w:rsidR="00647BE0" w:rsidRPr="00350596" w:rsidRDefault="00647BE0" w:rsidP="00647BE0">
            <w:pPr>
              <w:pStyle w:val="COMTabletext"/>
            </w:pPr>
            <w:r w:rsidRPr="00350596">
              <w:rPr>
                <w:u w:val="single"/>
              </w:rPr>
              <w:t>Primary</w:t>
            </w:r>
            <w:r w:rsidRPr="00350596">
              <w:t>: Chronic intravenous immunoglobulin (IVIg) and chronic plasma exchange (PLEX).</w:t>
            </w:r>
          </w:p>
          <w:p w14:paraId="3727DE24" w14:textId="1B874029" w:rsidR="00647BE0" w:rsidRPr="00350596" w:rsidRDefault="00647BE0" w:rsidP="00647BE0">
            <w:pPr>
              <w:pStyle w:val="COMTabletext"/>
            </w:pPr>
            <w:r w:rsidRPr="00350596">
              <w:rPr>
                <w:u w:val="single"/>
              </w:rPr>
              <w:t>Near market</w:t>
            </w:r>
            <w:r w:rsidRPr="00350596">
              <w:t>: Zilucoplan, ravulizumab, rozanolixizumab.</w:t>
            </w:r>
          </w:p>
        </w:tc>
      </w:tr>
      <w:tr w:rsidR="00647BE0" w:rsidRPr="00350596" w14:paraId="02F86F0D" w14:textId="77777777" w:rsidTr="007959EA">
        <w:trPr>
          <w:cantSplit/>
        </w:trPr>
        <w:tc>
          <w:tcPr>
            <w:tcW w:w="924" w:type="pct"/>
            <w:vAlign w:val="center"/>
          </w:tcPr>
          <w:p w14:paraId="06433105" w14:textId="74C8226E" w:rsidR="00647BE0" w:rsidRPr="00350596" w:rsidRDefault="00647BE0" w:rsidP="00647BE0">
            <w:pPr>
              <w:pStyle w:val="COMTabletext"/>
            </w:pPr>
            <w:r w:rsidRPr="00350596">
              <w:t>Outcomes</w:t>
            </w:r>
          </w:p>
        </w:tc>
        <w:tc>
          <w:tcPr>
            <w:tcW w:w="4076" w:type="pct"/>
            <w:vAlign w:val="center"/>
          </w:tcPr>
          <w:p w14:paraId="5ABC4037" w14:textId="2B0ACEDD" w:rsidR="00647BE0" w:rsidRPr="00350596" w:rsidRDefault="00647BE0" w:rsidP="00647BE0">
            <w:pPr>
              <w:pStyle w:val="COMTabletext"/>
            </w:pPr>
            <w:r w:rsidRPr="00350596">
              <w:t>Reduction in functional impairments, reduction in clinical exacerbations and myasthenic crisis events, corticosteroid-sparing effects, survival gain and improvements in quality of life.</w:t>
            </w:r>
            <w:r w:rsidR="00D53C72">
              <w:t xml:space="preserve"> </w:t>
            </w:r>
          </w:p>
        </w:tc>
      </w:tr>
      <w:tr w:rsidR="00647BE0" w:rsidRPr="00350596" w14:paraId="22223890" w14:textId="77777777" w:rsidTr="007959EA">
        <w:trPr>
          <w:cantSplit/>
        </w:trPr>
        <w:tc>
          <w:tcPr>
            <w:tcW w:w="924" w:type="pct"/>
            <w:vAlign w:val="center"/>
          </w:tcPr>
          <w:p w14:paraId="0FC8FCE0" w14:textId="589DB105" w:rsidR="00647BE0" w:rsidRPr="00350596" w:rsidRDefault="00647BE0" w:rsidP="00647BE0">
            <w:pPr>
              <w:pStyle w:val="COMTabletext"/>
            </w:pPr>
            <w:r w:rsidRPr="00350596">
              <w:t>Clinical claim</w:t>
            </w:r>
          </w:p>
        </w:tc>
        <w:tc>
          <w:tcPr>
            <w:tcW w:w="4076" w:type="pct"/>
            <w:vAlign w:val="center"/>
          </w:tcPr>
          <w:p w14:paraId="6B4B466A" w14:textId="61C80646" w:rsidR="00647BE0" w:rsidRPr="00350596" w:rsidRDefault="00647BE0" w:rsidP="001E14F6">
            <w:pPr>
              <w:pStyle w:val="COMTabletext"/>
              <w:spacing w:after="120"/>
            </w:pPr>
            <w:r w:rsidRPr="00350596">
              <w:t>Efgartigimod is superior in terms of efficacy and non-inferior in terms of safety compared to chronic IVIg. No clinical claim was made against chronic PLEX.</w:t>
            </w:r>
          </w:p>
          <w:p w14:paraId="2C99C4DE" w14:textId="41D94998" w:rsidR="00647BE0" w:rsidRPr="00350596" w:rsidRDefault="00647BE0" w:rsidP="00647BE0">
            <w:pPr>
              <w:pStyle w:val="COMTabletext"/>
            </w:pPr>
            <w:r w:rsidRPr="00350596">
              <w:t xml:space="preserve">Efgartigimod is potentially superior in terms of efficacy compared to its near market comparators (zilucoplan, ravulizumab, rozanolixizumab). No clinical claim was made in terms of safety. </w:t>
            </w:r>
          </w:p>
        </w:tc>
      </w:tr>
    </w:tbl>
    <w:p w14:paraId="43A8D84C" w14:textId="77777777" w:rsidR="001E14F6" w:rsidRPr="00350596" w:rsidRDefault="001E14F6" w:rsidP="001E14F6">
      <w:pPr>
        <w:pStyle w:val="COMTablefooter"/>
      </w:pPr>
      <w:r w:rsidRPr="00350596">
        <w:t>Source: Table 1.1, p19 of the submission</w:t>
      </w:r>
    </w:p>
    <w:p w14:paraId="3F7EABDC" w14:textId="27DE1A72" w:rsidR="001E14F6" w:rsidRPr="00350596" w:rsidRDefault="001E14F6" w:rsidP="001E14F6">
      <w:pPr>
        <w:pStyle w:val="COMTablefooter"/>
      </w:pPr>
      <w:r w:rsidRPr="00350596">
        <w:lastRenderedPageBreak/>
        <w:t>Abbreviations: AChR, acetylcholine receptor</w:t>
      </w:r>
      <w:r w:rsidR="00604F30" w:rsidRPr="00350596">
        <w:t>; IVIg, intravenous immunoglobulin; MG-ADL, Myasthenia Gravis Activities of Daily Living Scale; PLEX, plasma exchange</w:t>
      </w:r>
    </w:p>
    <w:p w14:paraId="6B4AB6C2" w14:textId="2144238C" w:rsidR="005C25FF" w:rsidRPr="00350596" w:rsidRDefault="005C25FF" w:rsidP="004A6040">
      <w:pPr>
        <w:pStyle w:val="COMH1-numbered"/>
      </w:pPr>
      <w:bookmarkStart w:id="1" w:name="_Toc188365352"/>
      <w:r w:rsidRPr="00350596">
        <w:t>Background</w:t>
      </w:r>
      <w:bookmarkEnd w:id="1"/>
    </w:p>
    <w:p w14:paraId="2C521D6D" w14:textId="78CF03EE" w:rsidR="005C25FF" w:rsidRPr="00350596" w:rsidRDefault="005C25FF" w:rsidP="003D5DE7">
      <w:pPr>
        <w:pStyle w:val="COMH2-non-numbered"/>
      </w:pPr>
      <w:bookmarkStart w:id="2" w:name="_Toc22897638"/>
      <w:bookmarkStart w:id="3" w:name="_Toc188365353"/>
      <w:r w:rsidRPr="00350596">
        <w:t>Registration status</w:t>
      </w:r>
      <w:bookmarkEnd w:id="2"/>
      <w:bookmarkEnd w:id="3"/>
    </w:p>
    <w:p w14:paraId="4C1DEB78" w14:textId="7D577572" w:rsidR="006C20FF" w:rsidRPr="00350596" w:rsidRDefault="004C61EF">
      <w:pPr>
        <w:pStyle w:val="COMexecsummnumbered"/>
      </w:pPr>
      <w:r w:rsidRPr="00350596">
        <w:t>Efgartigimod was</w:t>
      </w:r>
      <w:r w:rsidR="00821D2B" w:rsidRPr="00350596">
        <w:t xml:space="preserve"> </w:t>
      </w:r>
      <w:r w:rsidR="006C20FF" w:rsidRPr="00350596">
        <w:t xml:space="preserve">registered by the TGA on </w:t>
      </w:r>
      <w:r w:rsidR="00551917" w:rsidRPr="00350596">
        <w:t xml:space="preserve">24 February 2025 </w:t>
      </w:r>
      <w:r w:rsidR="003D671D" w:rsidRPr="00350596">
        <w:t>as ‘add-on to standard therapy for the treatment of adult patients with gMG who are AChR antibody positive’</w:t>
      </w:r>
      <w:r w:rsidR="00B4329C" w:rsidRPr="00350596">
        <w:t>.</w:t>
      </w:r>
    </w:p>
    <w:p w14:paraId="2AC2F41E" w14:textId="52BDFC94" w:rsidR="004C61EF" w:rsidRPr="00350596" w:rsidRDefault="00B932BB" w:rsidP="00104A28">
      <w:pPr>
        <w:pStyle w:val="COMexecsummnumbered"/>
      </w:pPr>
      <w:r w:rsidRPr="00350596">
        <w:t>T</w:t>
      </w:r>
      <w:r w:rsidR="00821D2B" w:rsidRPr="00350596">
        <w:t>wo formulations</w:t>
      </w:r>
      <w:r w:rsidRPr="00350596">
        <w:t xml:space="preserve"> of efgartigimod were registered by the TGA</w:t>
      </w:r>
      <w:r w:rsidR="00821D2B" w:rsidRPr="00350596">
        <w:t>: 400 mg/20 mL concentrated solution for intravenous infusion vial and 1,000 mg/5.6 mL solution for injection vial (subcutaneous injection)</w:t>
      </w:r>
      <w:r w:rsidR="00882D54" w:rsidRPr="00350596">
        <w:t xml:space="preserve">, however </w:t>
      </w:r>
      <w:r w:rsidR="00564FD8" w:rsidRPr="00350596">
        <w:t>the</w:t>
      </w:r>
      <w:r w:rsidR="00821D2B" w:rsidRPr="00350596">
        <w:t xml:space="preserve"> submission </w:t>
      </w:r>
      <w:r w:rsidR="00564FD8" w:rsidRPr="00350596">
        <w:t xml:space="preserve">only </w:t>
      </w:r>
      <w:r w:rsidR="00821D2B" w:rsidRPr="00350596">
        <w:t>request</w:t>
      </w:r>
      <w:r w:rsidR="00564FD8" w:rsidRPr="00350596">
        <w:t>ed</w:t>
      </w:r>
      <w:r w:rsidR="00821D2B" w:rsidRPr="00350596">
        <w:t xml:space="preserve"> PBS</w:t>
      </w:r>
      <w:r w:rsidR="00ED7689" w:rsidRPr="00350596">
        <w:t>-</w:t>
      </w:r>
      <w:r w:rsidR="00821D2B" w:rsidRPr="00350596">
        <w:t xml:space="preserve">listing of the intravenous infusion formulation. </w:t>
      </w:r>
    </w:p>
    <w:p w14:paraId="76E4EF3C" w14:textId="13040F70" w:rsidR="00B60939" w:rsidRPr="00350596" w:rsidRDefault="00B50DB8" w:rsidP="004E18E9">
      <w:pPr>
        <w:pStyle w:val="COMH1-numbered"/>
      </w:pPr>
      <w:bookmarkStart w:id="4" w:name="_Toc107902078"/>
      <w:bookmarkStart w:id="5" w:name="_Toc188365354"/>
      <w:bookmarkEnd w:id="4"/>
      <w:r w:rsidRPr="00350596">
        <w:t>Requested listing</w:t>
      </w:r>
      <w:bookmarkEnd w:id="5"/>
    </w:p>
    <w:tbl>
      <w:tblPr>
        <w:tblW w:w="50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589"/>
        <w:gridCol w:w="1589"/>
        <w:gridCol w:w="916"/>
        <w:gridCol w:w="917"/>
        <w:gridCol w:w="826"/>
        <w:gridCol w:w="1148"/>
      </w:tblGrid>
      <w:tr w:rsidR="00F25779" w:rsidRPr="00350596" w14:paraId="1D3BCA95" w14:textId="77777777" w:rsidTr="00F25779">
        <w:trPr>
          <w:cantSplit/>
          <w:trHeight w:val="342"/>
        </w:trPr>
        <w:tc>
          <w:tcPr>
            <w:tcW w:w="2128" w:type="dxa"/>
            <w:vMerge w:val="restart"/>
            <w:vAlign w:val="center"/>
          </w:tcPr>
          <w:p w14:paraId="1CB071E8" w14:textId="77777777" w:rsidR="00F25779" w:rsidRPr="00350596" w:rsidRDefault="00F25779" w:rsidP="007959EA">
            <w:pPr>
              <w:pStyle w:val="COMTableheadingrow"/>
              <w:rPr>
                <w:lang w:val="en-AU"/>
              </w:rPr>
            </w:pPr>
            <w:r w:rsidRPr="00350596">
              <w:rPr>
                <w:lang w:val="en-AU"/>
              </w:rPr>
              <w:t>MEDICINAL PRODUCT</w:t>
            </w:r>
          </w:p>
          <w:p w14:paraId="380E87FB" w14:textId="77777777" w:rsidR="00F25779" w:rsidRPr="00350596" w:rsidRDefault="00F25779" w:rsidP="007959EA">
            <w:pPr>
              <w:pStyle w:val="COMTableheadingrow"/>
              <w:rPr>
                <w:lang w:val="en-AU"/>
              </w:rPr>
            </w:pPr>
            <w:r w:rsidRPr="00350596">
              <w:rPr>
                <w:lang w:val="en-AU"/>
              </w:rPr>
              <w:t>medicinal product pack</w:t>
            </w:r>
          </w:p>
        </w:tc>
        <w:tc>
          <w:tcPr>
            <w:tcW w:w="3178" w:type="dxa"/>
            <w:gridSpan w:val="2"/>
            <w:vAlign w:val="center"/>
          </w:tcPr>
          <w:p w14:paraId="20838998" w14:textId="77777777" w:rsidR="00F25779" w:rsidRPr="00350596" w:rsidRDefault="00F25779" w:rsidP="007959EA">
            <w:pPr>
              <w:pStyle w:val="COMTableheadingrow"/>
              <w:jc w:val="center"/>
              <w:rPr>
                <w:b w:val="0"/>
                <w:bCs/>
                <w:lang w:val="en-AU"/>
              </w:rPr>
            </w:pPr>
            <w:r w:rsidRPr="00350596">
              <w:rPr>
                <w:lang w:val="en-AU"/>
              </w:rPr>
              <w:t>Dispensed price for Max. qty</w:t>
            </w:r>
          </w:p>
        </w:tc>
        <w:tc>
          <w:tcPr>
            <w:tcW w:w="916" w:type="dxa"/>
            <w:vMerge w:val="restart"/>
            <w:vAlign w:val="center"/>
          </w:tcPr>
          <w:p w14:paraId="714244C9" w14:textId="77777777" w:rsidR="00F25779" w:rsidRPr="00350596" w:rsidRDefault="00F25779" w:rsidP="007959EA">
            <w:pPr>
              <w:pStyle w:val="COMTableheadingrow"/>
              <w:jc w:val="center"/>
              <w:rPr>
                <w:szCs w:val="20"/>
                <w:lang w:val="en-AU"/>
              </w:rPr>
            </w:pPr>
            <w:r w:rsidRPr="00350596">
              <w:rPr>
                <w:szCs w:val="20"/>
                <w:lang w:val="en-AU"/>
              </w:rPr>
              <w:t>Max. qty packs</w:t>
            </w:r>
          </w:p>
        </w:tc>
        <w:tc>
          <w:tcPr>
            <w:tcW w:w="917" w:type="dxa"/>
            <w:vMerge w:val="restart"/>
            <w:vAlign w:val="center"/>
          </w:tcPr>
          <w:p w14:paraId="1655D88B" w14:textId="77777777" w:rsidR="00F25779" w:rsidRPr="00350596" w:rsidRDefault="00F25779" w:rsidP="007959EA">
            <w:pPr>
              <w:pStyle w:val="COMTableheadingrow"/>
              <w:jc w:val="center"/>
              <w:rPr>
                <w:szCs w:val="20"/>
                <w:lang w:val="en-AU"/>
              </w:rPr>
            </w:pPr>
            <w:r w:rsidRPr="00350596">
              <w:rPr>
                <w:szCs w:val="20"/>
                <w:lang w:val="en-AU"/>
              </w:rPr>
              <w:t>Max. qty units</w:t>
            </w:r>
          </w:p>
        </w:tc>
        <w:tc>
          <w:tcPr>
            <w:tcW w:w="826" w:type="dxa"/>
            <w:vMerge w:val="restart"/>
            <w:vAlign w:val="center"/>
          </w:tcPr>
          <w:p w14:paraId="76611A58" w14:textId="77777777" w:rsidR="00F25779" w:rsidRPr="00350596" w:rsidRDefault="00F25779" w:rsidP="007959EA">
            <w:pPr>
              <w:pStyle w:val="COMTableheadingrow"/>
              <w:jc w:val="center"/>
              <w:rPr>
                <w:szCs w:val="20"/>
                <w:lang w:val="en-AU"/>
              </w:rPr>
            </w:pPr>
            <w:r w:rsidRPr="00350596">
              <w:rPr>
                <w:szCs w:val="20"/>
                <w:lang w:val="en-AU"/>
              </w:rPr>
              <w:t>№.of</w:t>
            </w:r>
          </w:p>
          <w:p w14:paraId="063C979C" w14:textId="77777777" w:rsidR="00F25779" w:rsidRPr="00350596" w:rsidRDefault="00F25779" w:rsidP="007959EA">
            <w:pPr>
              <w:pStyle w:val="COMTableheadingrow"/>
              <w:jc w:val="center"/>
              <w:rPr>
                <w:szCs w:val="20"/>
                <w:lang w:val="en-AU"/>
              </w:rPr>
            </w:pPr>
            <w:r w:rsidRPr="00350596">
              <w:rPr>
                <w:szCs w:val="20"/>
                <w:lang w:val="en-AU"/>
              </w:rPr>
              <w:t>Rpts</w:t>
            </w:r>
          </w:p>
        </w:tc>
        <w:tc>
          <w:tcPr>
            <w:tcW w:w="1148" w:type="dxa"/>
            <w:vMerge w:val="restart"/>
            <w:vAlign w:val="center"/>
          </w:tcPr>
          <w:p w14:paraId="5D90F60A" w14:textId="77777777" w:rsidR="00F25779" w:rsidRPr="00350596" w:rsidRDefault="00F25779" w:rsidP="007959EA">
            <w:pPr>
              <w:pStyle w:val="COMTableheadingrow"/>
              <w:jc w:val="center"/>
              <w:rPr>
                <w:szCs w:val="20"/>
                <w:lang w:val="en-AU"/>
              </w:rPr>
            </w:pPr>
            <w:r w:rsidRPr="00350596">
              <w:rPr>
                <w:szCs w:val="20"/>
                <w:lang w:val="en-AU"/>
              </w:rPr>
              <w:t>Available brands</w:t>
            </w:r>
          </w:p>
        </w:tc>
      </w:tr>
      <w:tr w:rsidR="00F25779" w:rsidRPr="00350596" w14:paraId="6EA1FD56" w14:textId="77777777" w:rsidTr="00F25779">
        <w:trPr>
          <w:cantSplit/>
          <w:trHeight w:val="342"/>
        </w:trPr>
        <w:tc>
          <w:tcPr>
            <w:tcW w:w="2128" w:type="dxa"/>
            <w:vMerge/>
            <w:vAlign w:val="center"/>
          </w:tcPr>
          <w:p w14:paraId="19D76DA7" w14:textId="77777777" w:rsidR="00F25779" w:rsidRPr="00350596" w:rsidRDefault="00F25779" w:rsidP="007959EA">
            <w:pPr>
              <w:pStyle w:val="COMTableheadingrow"/>
              <w:rPr>
                <w:lang w:val="en-AU"/>
              </w:rPr>
            </w:pPr>
          </w:p>
        </w:tc>
        <w:tc>
          <w:tcPr>
            <w:tcW w:w="1589" w:type="dxa"/>
            <w:vAlign w:val="center"/>
          </w:tcPr>
          <w:p w14:paraId="789669FE" w14:textId="77777777" w:rsidR="00F25779" w:rsidRPr="00350596" w:rsidRDefault="00F25779" w:rsidP="007959EA">
            <w:pPr>
              <w:pStyle w:val="COMTableheadingrow"/>
              <w:jc w:val="center"/>
              <w:rPr>
                <w:lang w:val="en-AU"/>
              </w:rPr>
            </w:pPr>
            <w:r w:rsidRPr="00350596">
              <w:rPr>
                <w:lang w:val="en-AU"/>
              </w:rPr>
              <w:t>Published</w:t>
            </w:r>
          </w:p>
        </w:tc>
        <w:tc>
          <w:tcPr>
            <w:tcW w:w="1589" w:type="dxa"/>
            <w:vAlign w:val="center"/>
          </w:tcPr>
          <w:p w14:paraId="3D6D3CAB" w14:textId="77777777" w:rsidR="00F25779" w:rsidRPr="00350596" w:rsidRDefault="00F25779" w:rsidP="007959EA">
            <w:pPr>
              <w:pStyle w:val="COMTableheadingrow"/>
              <w:jc w:val="center"/>
              <w:rPr>
                <w:lang w:val="en-AU"/>
              </w:rPr>
            </w:pPr>
            <w:r w:rsidRPr="00350596">
              <w:rPr>
                <w:lang w:val="en-AU"/>
              </w:rPr>
              <w:t>Effective</w:t>
            </w:r>
          </w:p>
        </w:tc>
        <w:tc>
          <w:tcPr>
            <w:tcW w:w="916" w:type="dxa"/>
            <w:vMerge/>
            <w:vAlign w:val="center"/>
          </w:tcPr>
          <w:p w14:paraId="22BD4EA7" w14:textId="77777777" w:rsidR="00F25779" w:rsidRPr="00350596" w:rsidRDefault="00F25779" w:rsidP="007959EA">
            <w:pPr>
              <w:pStyle w:val="COMTableheadingrow"/>
              <w:jc w:val="center"/>
              <w:rPr>
                <w:szCs w:val="20"/>
                <w:lang w:val="en-AU"/>
              </w:rPr>
            </w:pPr>
          </w:p>
        </w:tc>
        <w:tc>
          <w:tcPr>
            <w:tcW w:w="917" w:type="dxa"/>
            <w:vMerge/>
            <w:vAlign w:val="center"/>
          </w:tcPr>
          <w:p w14:paraId="537F3109" w14:textId="77777777" w:rsidR="00F25779" w:rsidRPr="00350596" w:rsidRDefault="00F25779" w:rsidP="007959EA">
            <w:pPr>
              <w:pStyle w:val="COMTableheadingrow"/>
              <w:jc w:val="center"/>
              <w:rPr>
                <w:szCs w:val="20"/>
                <w:lang w:val="en-AU"/>
              </w:rPr>
            </w:pPr>
          </w:p>
        </w:tc>
        <w:tc>
          <w:tcPr>
            <w:tcW w:w="826" w:type="dxa"/>
            <w:vMerge/>
            <w:vAlign w:val="center"/>
          </w:tcPr>
          <w:p w14:paraId="51891457" w14:textId="77777777" w:rsidR="00F25779" w:rsidRPr="00350596" w:rsidRDefault="00F25779" w:rsidP="007959EA">
            <w:pPr>
              <w:pStyle w:val="COMTableheadingrow"/>
              <w:jc w:val="center"/>
              <w:rPr>
                <w:szCs w:val="20"/>
                <w:lang w:val="en-AU"/>
              </w:rPr>
            </w:pPr>
          </w:p>
        </w:tc>
        <w:tc>
          <w:tcPr>
            <w:tcW w:w="1148" w:type="dxa"/>
            <w:vMerge/>
            <w:vAlign w:val="center"/>
          </w:tcPr>
          <w:p w14:paraId="12DE20EE" w14:textId="77777777" w:rsidR="00F25779" w:rsidRPr="00350596" w:rsidRDefault="00F25779" w:rsidP="007959EA">
            <w:pPr>
              <w:pStyle w:val="COMTableheadingrow"/>
              <w:jc w:val="center"/>
              <w:rPr>
                <w:szCs w:val="20"/>
                <w:lang w:val="en-AU"/>
              </w:rPr>
            </w:pPr>
          </w:p>
        </w:tc>
      </w:tr>
      <w:tr w:rsidR="00F25779" w:rsidRPr="00350596" w14:paraId="7F5BCF55" w14:textId="77777777" w:rsidTr="00F25779">
        <w:trPr>
          <w:cantSplit/>
          <w:trHeight w:val="20"/>
        </w:trPr>
        <w:tc>
          <w:tcPr>
            <w:tcW w:w="9113" w:type="dxa"/>
            <w:gridSpan w:val="7"/>
            <w:vAlign w:val="center"/>
          </w:tcPr>
          <w:p w14:paraId="5780B2E5" w14:textId="77777777" w:rsidR="00F25779" w:rsidRPr="00350596" w:rsidRDefault="00F25779" w:rsidP="007959EA">
            <w:pPr>
              <w:pStyle w:val="COMTabletext"/>
              <w:rPr>
                <w:rFonts w:cs="Arial"/>
                <w:szCs w:val="20"/>
              </w:rPr>
            </w:pPr>
            <w:r w:rsidRPr="00350596">
              <w:t>EFGARTIGIMOD ALFA</w:t>
            </w:r>
            <w:r w:rsidRPr="00350596">
              <w:rPr>
                <w:rFonts w:cs="Arial"/>
                <w:color w:val="0066FF"/>
                <w:szCs w:val="20"/>
              </w:rPr>
              <w:t xml:space="preserve"> </w:t>
            </w:r>
          </w:p>
        </w:tc>
      </w:tr>
      <w:tr w:rsidR="00F25779" w:rsidRPr="00350596" w14:paraId="7D46489C" w14:textId="77777777" w:rsidTr="00F25779">
        <w:trPr>
          <w:cantSplit/>
          <w:trHeight w:val="20"/>
        </w:trPr>
        <w:tc>
          <w:tcPr>
            <w:tcW w:w="9113" w:type="dxa"/>
            <w:gridSpan w:val="7"/>
            <w:vAlign w:val="center"/>
          </w:tcPr>
          <w:p w14:paraId="002DEF69" w14:textId="77777777" w:rsidR="00F25779" w:rsidRPr="00350596" w:rsidRDefault="00F25779" w:rsidP="007959EA">
            <w:pPr>
              <w:pStyle w:val="COMTabletext"/>
            </w:pPr>
            <w:r w:rsidRPr="00350596">
              <w:t>Initial/Continuing/Re-initiating/Grandfathering (Section 100)</w:t>
            </w:r>
          </w:p>
        </w:tc>
      </w:tr>
      <w:tr w:rsidR="00F25779" w:rsidRPr="00350596" w14:paraId="1DA48FFD" w14:textId="77777777" w:rsidTr="00F25779">
        <w:trPr>
          <w:cantSplit/>
          <w:trHeight w:val="20"/>
        </w:trPr>
        <w:tc>
          <w:tcPr>
            <w:tcW w:w="2128" w:type="dxa"/>
            <w:vAlign w:val="center"/>
          </w:tcPr>
          <w:p w14:paraId="0C5C9518" w14:textId="77777777" w:rsidR="00F25779" w:rsidRPr="00350596" w:rsidRDefault="00F25779" w:rsidP="007959EA">
            <w:pPr>
              <w:pStyle w:val="COMTabletext"/>
            </w:pPr>
            <w:r w:rsidRPr="00350596">
              <w:t xml:space="preserve">Efgartigimod alfa 400 mg/20 mL injection, 20 mL vial </w:t>
            </w:r>
          </w:p>
        </w:tc>
        <w:tc>
          <w:tcPr>
            <w:tcW w:w="1589" w:type="dxa"/>
            <w:vAlign w:val="center"/>
          </w:tcPr>
          <w:p w14:paraId="56D0645A" w14:textId="6B2FBEFF" w:rsidR="00F25779" w:rsidRPr="00350596" w:rsidRDefault="00F25779" w:rsidP="007959EA">
            <w:pPr>
              <w:pStyle w:val="COMTabletext"/>
              <w:jc w:val="center"/>
              <w:rPr>
                <w:szCs w:val="20"/>
              </w:rPr>
            </w:pPr>
            <w:r w:rsidRPr="00350596">
              <w:rPr>
                <w:szCs w:val="20"/>
              </w:rPr>
              <w:t>$</w:t>
            </w:r>
            <w:r w:rsidR="00823FDB" w:rsidRPr="00823FDB">
              <w:rPr>
                <w:color w:val="000000"/>
                <w:szCs w:val="20"/>
                <w:shd w:val="solid" w:color="000000" w:fill="000000"/>
                <w14:textFill>
                  <w14:solidFill>
                    <w14:srgbClr w14:val="000000">
                      <w14:alpha w14:val="100000"/>
                    </w14:srgbClr>
                  </w14:solidFill>
                </w14:textFill>
              </w:rPr>
              <w:t>|</w:t>
            </w:r>
          </w:p>
          <w:p w14:paraId="13A6B819" w14:textId="77777777" w:rsidR="00F25779" w:rsidRPr="00350596" w:rsidRDefault="00F25779" w:rsidP="007959EA">
            <w:pPr>
              <w:pStyle w:val="COMTabletext"/>
              <w:jc w:val="center"/>
              <w:rPr>
                <w:szCs w:val="20"/>
              </w:rPr>
            </w:pPr>
            <w:r w:rsidRPr="00350596">
              <w:rPr>
                <w:szCs w:val="20"/>
              </w:rPr>
              <w:t>(Public hospital)</w:t>
            </w:r>
          </w:p>
          <w:p w14:paraId="7DF16408" w14:textId="110435C3" w:rsidR="00F25779" w:rsidRPr="00350596" w:rsidRDefault="00F25779" w:rsidP="007959EA">
            <w:pPr>
              <w:pStyle w:val="COMTabletext"/>
              <w:jc w:val="center"/>
              <w:rPr>
                <w:szCs w:val="20"/>
              </w:rPr>
            </w:pPr>
            <w:r w:rsidRPr="00350596">
              <w:rPr>
                <w:szCs w:val="20"/>
              </w:rPr>
              <w:t>$</w:t>
            </w:r>
            <w:r w:rsidR="00823FDB" w:rsidRPr="0079021D">
              <w:rPr>
                <w:color w:val="000000"/>
                <w:spacing w:val="49"/>
                <w:szCs w:val="20"/>
                <w:shd w:val="solid" w:color="000000" w:fill="000000"/>
                <w:fitText w:val="226" w:id="-691796736"/>
                <w14:textFill>
                  <w14:solidFill>
                    <w14:srgbClr w14:val="000000">
                      <w14:alpha w14:val="100000"/>
                    </w14:srgbClr>
                  </w14:solidFill>
                </w14:textFill>
              </w:rPr>
              <w:t>||</w:t>
            </w:r>
            <w:r w:rsidR="00823FDB" w:rsidRPr="0079021D">
              <w:rPr>
                <w:color w:val="000000"/>
                <w:spacing w:val="1"/>
                <w:szCs w:val="20"/>
                <w:shd w:val="solid" w:color="000000" w:fill="000000"/>
                <w:fitText w:val="226" w:id="-691796736"/>
                <w14:textFill>
                  <w14:solidFill>
                    <w14:srgbClr w14:val="000000">
                      <w14:alpha w14:val="100000"/>
                    </w14:srgbClr>
                  </w14:solidFill>
                </w14:textFill>
              </w:rPr>
              <w:t>|</w:t>
            </w:r>
            <w:r w:rsidRPr="00350596">
              <w:rPr>
                <w:szCs w:val="20"/>
              </w:rPr>
              <w:t xml:space="preserve"> (Private hospital)</w:t>
            </w:r>
          </w:p>
        </w:tc>
        <w:tc>
          <w:tcPr>
            <w:tcW w:w="1589" w:type="dxa"/>
            <w:vAlign w:val="center"/>
          </w:tcPr>
          <w:p w14:paraId="309775A7" w14:textId="164F885D" w:rsidR="00F25779" w:rsidRPr="00350596" w:rsidRDefault="00F25779" w:rsidP="007959EA">
            <w:pPr>
              <w:pStyle w:val="COMTabletext"/>
              <w:jc w:val="center"/>
              <w:rPr>
                <w:szCs w:val="20"/>
              </w:rPr>
            </w:pPr>
            <w:r w:rsidRPr="00350596">
              <w:rPr>
                <w:szCs w:val="20"/>
              </w:rPr>
              <w:t>$</w:t>
            </w:r>
            <w:r w:rsidR="00823FDB" w:rsidRPr="00823FDB">
              <w:rPr>
                <w:color w:val="000000"/>
                <w:szCs w:val="20"/>
                <w:shd w:val="solid" w:color="000000" w:fill="000000"/>
                <w14:textFill>
                  <w14:solidFill>
                    <w14:srgbClr w14:val="000000">
                      <w14:alpha w14:val="100000"/>
                    </w14:srgbClr>
                  </w14:solidFill>
                </w14:textFill>
              </w:rPr>
              <w:t>|</w:t>
            </w:r>
          </w:p>
          <w:p w14:paraId="3D894D21" w14:textId="77777777" w:rsidR="00F25779" w:rsidRPr="00350596" w:rsidRDefault="00F25779" w:rsidP="007959EA">
            <w:pPr>
              <w:pStyle w:val="COMTabletext"/>
              <w:jc w:val="center"/>
              <w:rPr>
                <w:szCs w:val="20"/>
              </w:rPr>
            </w:pPr>
            <w:r w:rsidRPr="00350596">
              <w:rPr>
                <w:szCs w:val="20"/>
              </w:rPr>
              <w:t>(Public hospital)</w:t>
            </w:r>
          </w:p>
          <w:p w14:paraId="5760AD13" w14:textId="4341C9E6" w:rsidR="00F25779" w:rsidRPr="00350596" w:rsidRDefault="00F25779" w:rsidP="007959EA">
            <w:pPr>
              <w:pStyle w:val="COMTabletext"/>
              <w:jc w:val="center"/>
              <w:rPr>
                <w:szCs w:val="20"/>
              </w:rPr>
            </w:pPr>
            <w:r w:rsidRPr="00350596">
              <w:rPr>
                <w:szCs w:val="20"/>
              </w:rPr>
              <w:t>$</w:t>
            </w:r>
            <w:r w:rsidR="00823FDB" w:rsidRPr="00823FDB">
              <w:rPr>
                <w:color w:val="000000"/>
                <w:szCs w:val="20"/>
                <w:shd w:val="solid" w:color="000000" w:fill="000000"/>
                <w14:textFill>
                  <w14:solidFill>
                    <w14:srgbClr w14:val="000000">
                      <w14:alpha w14:val="100000"/>
                    </w14:srgbClr>
                  </w14:solidFill>
                </w14:textFill>
              </w:rPr>
              <w:t>|</w:t>
            </w:r>
          </w:p>
          <w:p w14:paraId="32DC93AF" w14:textId="77777777" w:rsidR="00F25779" w:rsidRPr="00350596" w:rsidRDefault="00F25779" w:rsidP="007959EA">
            <w:pPr>
              <w:pStyle w:val="COMTabletext"/>
              <w:jc w:val="center"/>
              <w:rPr>
                <w:szCs w:val="20"/>
              </w:rPr>
            </w:pPr>
            <w:r w:rsidRPr="00350596">
              <w:rPr>
                <w:szCs w:val="20"/>
              </w:rPr>
              <w:t>(Private hospital)</w:t>
            </w:r>
          </w:p>
        </w:tc>
        <w:tc>
          <w:tcPr>
            <w:tcW w:w="916" w:type="dxa"/>
            <w:vAlign w:val="center"/>
          </w:tcPr>
          <w:p w14:paraId="531A7BFC" w14:textId="77777777" w:rsidR="00F25779" w:rsidRPr="00350596" w:rsidRDefault="00F25779" w:rsidP="007959EA">
            <w:pPr>
              <w:keepNext/>
              <w:keepLines/>
              <w:jc w:val="center"/>
              <w:rPr>
                <w:rFonts w:ascii="Arial Narrow" w:hAnsi="Arial Narrow"/>
                <w:sz w:val="20"/>
                <w:szCs w:val="20"/>
              </w:rPr>
            </w:pPr>
            <w:r w:rsidRPr="00350596">
              <w:rPr>
                <w:rFonts w:ascii="Arial Narrow" w:hAnsi="Arial Narrow"/>
                <w:sz w:val="20"/>
                <w:szCs w:val="20"/>
              </w:rPr>
              <w:t>1</w:t>
            </w:r>
          </w:p>
        </w:tc>
        <w:tc>
          <w:tcPr>
            <w:tcW w:w="917" w:type="dxa"/>
            <w:vAlign w:val="center"/>
          </w:tcPr>
          <w:p w14:paraId="3A136377" w14:textId="77777777" w:rsidR="00F25779" w:rsidRPr="00350596" w:rsidRDefault="00F25779" w:rsidP="007959EA">
            <w:pPr>
              <w:keepNext/>
              <w:keepLines/>
              <w:jc w:val="center"/>
              <w:rPr>
                <w:rFonts w:ascii="Arial Narrow" w:hAnsi="Arial Narrow"/>
                <w:sz w:val="20"/>
                <w:szCs w:val="20"/>
              </w:rPr>
            </w:pPr>
            <w:r w:rsidRPr="00350596">
              <w:rPr>
                <w:rFonts w:ascii="Arial Narrow" w:hAnsi="Arial Narrow"/>
                <w:sz w:val="20"/>
                <w:szCs w:val="20"/>
              </w:rPr>
              <w:t>3 vials</w:t>
            </w:r>
          </w:p>
        </w:tc>
        <w:tc>
          <w:tcPr>
            <w:tcW w:w="826" w:type="dxa"/>
            <w:vAlign w:val="center"/>
          </w:tcPr>
          <w:p w14:paraId="14DB9BCF" w14:textId="77777777" w:rsidR="00F25779" w:rsidRPr="00350596" w:rsidRDefault="00F25779" w:rsidP="007959EA">
            <w:pPr>
              <w:keepNext/>
              <w:keepLines/>
              <w:jc w:val="center"/>
              <w:rPr>
                <w:rFonts w:ascii="Arial Narrow" w:hAnsi="Arial Narrow"/>
                <w:sz w:val="20"/>
                <w:szCs w:val="20"/>
              </w:rPr>
            </w:pPr>
            <w:r w:rsidRPr="00350596">
              <w:rPr>
                <w:rFonts w:ascii="Arial Narrow" w:hAnsi="Arial Narrow"/>
                <w:sz w:val="20"/>
                <w:szCs w:val="20"/>
              </w:rPr>
              <w:t>11</w:t>
            </w:r>
          </w:p>
        </w:tc>
        <w:tc>
          <w:tcPr>
            <w:tcW w:w="1148" w:type="dxa"/>
            <w:vAlign w:val="center"/>
          </w:tcPr>
          <w:p w14:paraId="47F503EE" w14:textId="77777777" w:rsidR="00F25779" w:rsidRPr="00350596" w:rsidRDefault="00F25779" w:rsidP="007959EA">
            <w:pPr>
              <w:pStyle w:val="COMTabletext"/>
              <w:jc w:val="center"/>
              <w:rPr>
                <w:color w:val="0066FF"/>
              </w:rPr>
            </w:pPr>
            <w:r w:rsidRPr="00350596">
              <w:t>Vyvgart</w:t>
            </w:r>
          </w:p>
        </w:tc>
      </w:tr>
    </w:tbl>
    <w:p w14:paraId="7F700E55" w14:textId="77777777" w:rsidR="003A4C14" w:rsidRPr="00350596" w:rsidRDefault="003A4C14">
      <w:pPr>
        <w:rPr>
          <w:sz w:val="6"/>
          <w:szCs w:val="6"/>
        </w:rPr>
      </w:pPr>
      <w:bookmarkStart w:id="6" w:name="_Hlk104809082"/>
    </w:p>
    <w:bookmarkEnd w:id="6"/>
    <w:p w14:paraId="562809D7" w14:textId="0D35143A" w:rsidR="0025361A" w:rsidRPr="00350596" w:rsidRDefault="0025361A" w:rsidP="0025361A">
      <w:pPr>
        <w:pStyle w:val="COMtablefigcaption"/>
        <w:rPr>
          <w:sz w:val="4"/>
          <w:szCs w:val="8"/>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Requested listing"/>
      </w:tblPr>
      <w:tblGrid>
        <w:gridCol w:w="9107"/>
      </w:tblGrid>
      <w:tr w:rsidR="0025361A" w:rsidRPr="00350596" w14:paraId="19776D91" w14:textId="77777777" w:rsidTr="00A85AE5">
        <w:trPr>
          <w:cantSplit/>
          <w:trHeight w:val="20"/>
        </w:trPr>
        <w:tc>
          <w:tcPr>
            <w:tcW w:w="5000" w:type="pct"/>
          </w:tcPr>
          <w:p w14:paraId="590E6CF9" w14:textId="04236D33" w:rsidR="0025361A" w:rsidRPr="00350596" w:rsidRDefault="0025361A" w:rsidP="00374907">
            <w:pPr>
              <w:pStyle w:val="COMTabletext"/>
              <w:keepNext w:val="0"/>
              <w:widowControl w:val="0"/>
            </w:pPr>
            <w:r w:rsidRPr="00350596">
              <w:rPr>
                <w:b/>
              </w:rPr>
              <w:t xml:space="preserve">Category / Program: </w:t>
            </w:r>
            <w:r w:rsidRPr="00350596">
              <w:t xml:space="preserve">Section 100 – </w:t>
            </w:r>
            <w:bookmarkStart w:id="7" w:name="_Hlk194932601"/>
            <w:r w:rsidRPr="00350596">
              <w:t>Highly Specialised Drugs Program</w:t>
            </w:r>
            <w:bookmarkEnd w:id="7"/>
            <w:r w:rsidR="00215A95" w:rsidRPr="00350596">
              <w:t xml:space="preserve"> </w:t>
            </w:r>
          </w:p>
        </w:tc>
      </w:tr>
      <w:tr w:rsidR="0025361A" w:rsidRPr="00350596" w14:paraId="127C19F1" w14:textId="77777777" w:rsidTr="00A85AE5">
        <w:trPr>
          <w:cantSplit/>
          <w:trHeight w:val="20"/>
        </w:trPr>
        <w:tc>
          <w:tcPr>
            <w:tcW w:w="5000" w:type="pct"/>
          </w:tcPr>
          <w:p w14:paraId="15B316BD" w14:textId="77777777" w:rsidR="0025361A" w:rsidRPr="00350596" w:rsidRDefault="0025361A" w:rsidP="00374907">
            <w:pPr>
              <w:pStyle w:val="COMTabletext"/>
              <w:keepNext w:val="0"/>
              <w:widowControl w:val="0"/>
              <w:rPr>
                <w:b/>
              </w:rPr>
            </w:pPr>
            <w:r w:rsidRPr="00350596">
              <w:rPr>
                <w:b/>
              </w:rPr>
              <w:t xml:space="preserve">Prescriber type: </w:t>
            </w:r>
            <w:r w:rsidRPr="00350596">
              <w:fldChar w:fldCharType="begin">
                <w:ffData>
                  <w:name w:val=""/>
                  <w:enabled/>
                  <w:calcOnExit w:val="0"/>
                  <w:checkBox>
                    <w:sizeAuto/>
                    <w:default w:val="1"/>
                  </w:checkBox>
                </w:ffData>
              </w:fldChar>
            </w:r>
            <w:r w:rsidRPr="00350596">
              <w:instrText xml:space="preserve"> FORMCHECKBOX </w:instrText>
            </w:r>
            <w:r w:rsidRPr="00350596">
              <w:fldChar w:fldCharType="separate"/>
            </w:r>
            <w:r w:rsidRPr="00350596">
              <w:fldChar w:fldCharType="end"/>
            </w:r>
            <w:r w:rsidRPr="00350596">
              <w:t>Medical Practitioners</w:t>
            </w:r>
          </w:p>
        </w:tc>
      </w:tr>
      <w:tr w:rsidR="0025361A" w:rsidRPr="00350596" w14:paraId="0769018B" w14:textId="77777777" w:rsidTr="00A85AE5">
        <w:trPr>
          <w:cantSplit/>
          <w:trHeight w:val="20"/>
        </w:trPr>
        <w:tc>
          <w:tcPr>
            <w:tcW w:w="5000" w:type="pct"/>
          </w:tcPr>
          <w:p w14:paraId="3DFBFEC1" w14:textId="41693E5D" w:rsidR="0025361A" w:rsidRPr="00350596" w:rsidRDefault="0025361A" w:rsidP="00374907">
            <w:pPr>
              <w:pStyle w:val="COMTabletext"/>
              <w:keepNext w:val="0"/>
              <w:widowControl w:val="0"/>
            </w:pPr>
            <w:r w:rsidRPr="00350596">
              <w:rPr>
                <w:b/>
              </w:rPr>
              <w:t xml:space="preserve">Restriction type: </w:t>
            </w:r>
            <w:r w:rsidRPr="00350596">
              <w:fldChar w:fldCharType="begin">
                <w:ffData>
                  <w:name w:val=""/>
                  <w:enabled/>
                  <w:calcOnExit w:val="0"/>
                  <w:checkBox>
                    <w:sizeAuto/>
                    <w:default w:val="1"/>
                  </w:checkBox>
                </w:ffData>
              </w:fldChar>
            </w:r>
            <w:r w:rsidRPr="00350596">
              <w:instrText xml:space="preserve"> FORMCHECKBOX </w:instrText>
            </w:r>
            <w:r w:rsidRPr="00350596">
              <w:fldChar w:fldCharType="separate"/>
            </w:r>
            <w:r w:rsidRPr="00350596">
              <w:fldChar w:fldCharType="end"/>
            </w:r>
            <w:r w:rsidRPr="00350596">
              <w:t>Authority Required (in writing only via post/HPOS upload)</w:t>
            </w:r>
            <w:r w:rsidR="00D53C72">
              <w:t xml:space="preserve"> </w:t>
            </w:r>
          </w:p>
        </w:tc>
      </w:tr>
      <w:tr w:rsidR="00E03C58" w:rsidRPr="00350596" w14:paraId="3D9B38C3" w14:textId="77777777" w:rsidTr="00A85AE5">
        <w:trPr>
          <w:cantSplit/>
          <w:trHeight w:val="20"/>
        </w:trPr>
        <w:tc>
          <w:tcPr>
            <w:tcW w:w="5000" w:type="pct"/>
          </w:tcPr>
          <w:p w14:paraId="5A886518" w14:textId="00F2D2FA" w:rsidR="00E03C58" w:rsidRPr="00350596" w:rsidRDefault="00E03C58" w:rsidP="00374907">
            <w:pPr>
              <w:pStyle w:val="COMTabletext"/>
              <w:keepNext w:val="0"/>
              <w:widowControl w:val="0"/>
              <w:rPr>
                <w:b/>
              </w:rPr>
            </w:pPr>
            <w:r w:rsidRPr="00350596">
              <w:rPr>
                <w:b/>
              </w:rPr>
              <w:t xml:space="preserve">Authority type: </w:t>
            </w:r>
            <w:r w:rsidRPr="00350596">
              <w:rPr>
                <w:bCs w:val="0"/>
              </w:rPr>
              <w:t>Complex Authority Required (CAR)</w:t>
            </w:r>
          </w:p>
        </w:tc>
      </w:tr>
      <w:tr w:rsidR="0025361A" w:rsidRPr="00350596" w14:paraId="03F294A7" w14:textId="77777777" w:rsidTr="00A85AE5">
        <w:trPr>
          <w:cantSplit/>
          <w:trHeight w:val="20"/>
        </w:trPr>
        <w:tc>
          <w:tcPr>
            <w:tcW w:w="5000" w:type="pct"/>
            <w:vAlign w:val="center"/>
          </w:tcPr>
          <w:p w14:paraId="626CD349" w14:textId="77777777" w:rsidR="0025361A" w:rsidRPr="00350596" w:rsidRDefault="0025361A" w:rsidP="00374907">
            <w:pPr>
              <w:pStyle w:val="COMTabletext"/>
              <w:keepNext w:val="0"/>
              <w:widowControl w:val="0"/>
              <w:rPr>
                <w:bCs w:val="0"/>
              </w:rPr>
            </w:pPr>
            <w:r w:rsidRPr="00350596">
              <w:rPr>
                <w:b/>
              </w:rPr>
              <w:t xml:space="preserve">Episodicity: </w:t>
            </w:r>
            <w:r w:rsidRPr="00350596">
              <w:rPr>
                <w:bCs w:val="0"/>
              </w:rPr>
              <w:t>Treatment cycles of one dose per week for four weeks</w:t>
            </w:r>
          </w:p>
        </w:tc>
      </w:tr>
      <w:tr w:rsidR="0025361A" w:rsidRPr="00350596" w14:paraId="30114C9D" w14:textId="77777777" w:rsidTr="00A85AE5">
        <w:trPr>
          <w:cantSplit/>
          <w:trHeight w:val="20"/>
        </w:trPr>
        <w:tc>
          <w:tcPr>
            <w:tcW w:w="5000" w:type="pct"/>
            <w:vAlign w:val="center"/>
          </w:tcPr>
          <w:p w14:paraId="0C3D8B2F" w14:textId="77777777" w:rsidR="0025361A" w:rsidRPr="00350596" w:rsidRDefault="0025361A" w:rsidP="00374907">
            <w:pPr>
              <w:pStyle w:val="COMTabletext"/>
              <w:keepNext w:val="0"/>
              <w:widowControl w:val="0"/>
              <w:rPr>
                <w:bCs w:val="0"/>
              </w:rPr>
            </w:pPr>
            <w:r w:rsidRPr="00350596">
              <w:rPr>
                <w:b/>
              </w:rPr>
              <w:t xml:space="preserve">Severity: </w:t>
            </w:r>
            <w:r w:rsidRPr="00350596">
              <w:rPr>
                <w:bCs w:val="0"/>
              </w:rPr>
              <w:t>MGFA Classification Class II, III or IV</w:t>
            </w:r>
          </w:p>
        </w:tc>
      </w:tr>
      <w:tr w:rsidR="0025361A" w:rsidRPr="00350596" w14:paraId="104B1D9B" w14:textId="77777777" w:rsidTr="00A85AE5">
        <w:trPr>
          <w:cantSplit/>
          <w:trHeight w:val="20"/>
        </w:trPr>
        <w:tc>
          <w:tcPr>
            <w:tcW w:w="5000" w:type="pct"/>
            <w:vAlign w:val="center"/>
            <w:hideMark/>
          </w:tcPr>
          <w:p w14:paraId="22B4E1E7" w14:textId="77777777" w:rsidR="0025361A" w:rsidRPr="00350596" w:rsidRDefault="0025361A" w:rsidP="00374907">
            <w:pPr>
              <w:pStyle w:val="COMTabletext"/>
              <w:keepNext w:val="0"/>
              <w:widowControl w:val="0"/>
            </w:pPr>
            <w:r w:rsidRPr="00350596">
              <w:rPr>
                <w:b/>
              </w:rPr>
              <w:t>Indication:</w:t>
            </w:r>
            <w:r w:rsidRPr="00350596">
              <w:t xml:space="preserve"> Treatment of AChR-Ab+ gMG in adult patients with moderate-severe, symptomatic disease, despite use of conventional oral therapies</w:t>
            </w:r>
          </w:p>
        </w:tc>
      </w:tr>
      <w:tr w:rsidR="0025361A" w:rsidRPr="00350596" w14:paraId="329462FB" w14:textId="77777777" w:rsidTr="00A85AE5">
        <w:trPr>
          <w:cantSplit/>
          <w:trHeight w:val="20"/>
        </w:trPr>
        <w:tc>
          <w:tcPr>
            <w:tcW w:w="5000" w:type="pct"/>
            <w:vAlign w:val="center"/>
            <w:hideMark/>
          </w:tcPr>
          <w:p w14:paraId="2CBB901D" w14:textId="77777777" w:rsidR="0025361A" w:rsidRPr="00350596" w:rsidRDefault="0025361A" w:rsidP="00374907">
            <w:pPr>
              <w:pStyle w:val="COMTabletext"/>
              <w:keepNext w:val="0"/>
              <w:widowControl w:val="0"/>
            </w:pPr>
            <w:r w:rsidRPr="00350596">
              <w:rPr>
                <w:b/>
              </w:rPr>
              <w:t>Treatment Phase:</w:t>
            </w:r>
            <w:r w:rsidRPr="00350596">
              <w:t xml:space="preserve"> Initial treatment</w:t>
            </w:r>
          </w:p>
        </w:tc>
      </w:tr>
      <w:tr w:rsidR="0025361A" w:rsidRPr="00350596" w14:paraId="59107A0F" w14:textId="77777777" w:rsidTr="00A85AE5">
        <w:trPr>
          <w:cantSplit/>
          <w:trHeight w:val="20"/>
        </w:trPr>
        <w:tc>
          <w:tcPr>
            <w:tcW w:w="5000" w:type="pct"/>
            <w:vAlign w:val="center"/>
            <w:hideMark/>
          </w:tcPr>
          <w:p w14:paraId="01A604BD" w14:textId="77777777" w:rsidR="0025361A" w:rsidRPr="00350596" w:rsidRDefault="0025361A" w:rsidP="00374907">
            <w:pPr>
              <w:pStyle w:val="COMTabletext"/>
              <w:keepNext w:val="0"/>
              <w:widowControl w:val="0"/>
              <w:rPr>
                <w:b/>
                <w:bCs w:val="0"/>
              </w:rPr>
            </w:pPr>
            <w:r w:rsidRPr="00350596">
              <w:rPr>
                <w:b/>
                <w:bCs w:val="0"/>
              </w:rPr>
              <w:t>Clinical criteria:</w:t>
            </w:r>
          </w:p>
        </w:tc>
      </w:tr>
      <w:tr w:rsidR="0025361A" w:rsidRPr="00350596" w14:paraId="4EC6EAED" w14:textId="77777777" w:rsidTr="00A85AE5">
        <w:trPr>
          <w:cantSplit/>
          <w:trHeight w:val="20"/>
        </w:trPr>
        <w:tc>
          <w:tcPr>
            <w:tcW w:w="5000" w:type="pct"/>
          </w:tcPr>
          <w:p w14:paraId="68278284" w14:textId="77777777" w:rsidR="0025361A" w:rsidRPr="00350596" w:rsidRDefault="0025361A" w:rsidP="00374907">
            <w:pPr>
              <w:pStyle w:val="COMTabletext"/>
              <w:keepNext w:val="0"/>
              <w:widowControl w:val="0"/>
            </w:pPr>
            <w:r w:rsidRPr="00350596">
              <w:t>Patient must have a diagnosis of AChR-Ab+ MG, confirmed by a positive serologic test for anti-AChR antibodies</w:t>
            </w:r>
          </w:p>
        </w:tc>
      </w:tr>
      <w:tr w:rsidR="0025361A" w:rsidRPr="00350596" w14:paraId="77408C2C" w14:textId="77777777" w:rsidTr="00A85AE5">
        <w:trPr>
          <w:cantSplit/>
          <w:trHeight w:val="20"/>
        </w:trPr>
        <w:tc>
          <w:tcPr>
            <w:tcW w:w="5000" w:type="pct"/>
          </w:tcPr>
          <w:p w14:paraId="402F724B" w14:textId="77777777" w:rsidR="0025361A" w:rsidRPr="00350596" w:rsidRDefault="0025361A" w:rsidP="00374907">
            <w:pPr>
              <w:pStyle w:val="COMTabletext"/>
              <w:keepNext w:val="0"/>
              <w:widowControl w:val="0"/>
            </w:pPr>
            <w:r w:rsidRPr="00350596">
              <w:t>Patient must have a diagnosis of non-ocular gMG as defined by an MGFA classification II-IV</w:t>
            </w:r>
          </w:p>
        </w:tc>
      </w:tr>
      <w:tr w:rsidR="0025361A" w:rsidRPr="00350596" w14:paraId="14E65D1E" w14:textId="77777777" w:rsidTr="00A85AE5">
        <w:trPr>
          <w:cantSplit/>
          <w:trHeight w:val="20"/>
        </w:trPr>
        <w:tc>
          <w:tcPr>
            <w:tcW w:w="5000" w:type="pct"/>
            <w:vAlign w:val="center"/>
          </w:tcPr>
          <w:p w14:paraId="024E6787" w14:textId="77777777" w:rsidR="0025361A" w:rsidRPr="00350596" w:rsidRDefault="0025361A" w:rsidP="00374907">
            <w:pPr>
              <w:pStyle w:val="COMTabletext"/>
              <w:keepNext w:val="0"/>
              <w:widowControl w:val="0"/>
              <w:rPr>
                <w:b/>
                <w:bCs w:val="0"/>
              </w:rPr>
            </w:pPr>
            <w:r w:rsidRPr="00350596">
              <w:rPr>
                <w:b/>
                <w:bCs w:val="0"/>
              </w:rPr>
              <w:t>AND</w:t>
            </w:r>
          </w:p>
        </w:tc>
      </w:tr>
      <w:tr w:rsidR="0025361A" w:rsidRPr="00350596" w14:paraId="5F36F90E" w14:textId="77777777" w:rsidTr="00A85AE5">
        <w:trPr>
          <w:cantSplit/>
          <w:trHeight w:val="20"/>
        </w:trPr>
        <w:tc>
          <w:tcPr>
            <w:tcW w:w="5000" w:type="pct"/>
            <w:vAlign w:val="center"/>
            <w:hideMark/>
          </w:tcPr>
          <w:p w14:paraId="648F0EC8" w14:textId="77777777" w:rsidR="0025361A" w:rsidRPr="00350596" w:rsidRDefault="0025361A" w:rsidP="00374907">
            <w:pPr>
              <w:pStyle w:val="COMTabletext"/>
              <w:keepNext w:val="0"/>
              <w:widowControl w:val="0"/>
              <w:rPr>
                <w:b/>
                <w:bCs w:val="0"/>
              </w:rPr>
            </w:pPr>
            <w:r w:rsidRPr="00350596">
              <w:rPr>
                <w:b/>
                <w:bCs w:val="0"/>
              </w:rPr>
              <w:t>Clinical criteria:</w:t>
            </w:r>
          </w:p>
        </w:tc>
      </w:tr>
      <w:tr w:rsidR="0025361A" w:rsidRPr="00350596" w14:paraId="4621456D" w14:textId="77777777" w:rsidTr="00A85AE5">
        <w:trPr>
          <w:cantSplit/>
          <w:trHeight w:val="20"/>
        </w:trPr>
        <w:tc>
          <w:tcPr>
            <w:tcW w:w="5000" w:type="pct"/>
            <w:vAlign w:val="center"/>
            <w:hideMark/>
          </w:tcPr>
          <w:p w14:paraId="5AFD653A" w14:textId="77777777" w:rsidR="0025361A" w:rsidRPr="00350596" w:rsidRDefault="0025361A" w:rsidP="00374907">
            <w:pPr>
              <w:pStyle w:val="COMTabletext"/>
              <w:keepNext w:val="0"/>
              <w:widowControl w:val="0"/>
            </w:pPr>
            <w:r w:rsidRPr="00350596">
              <w:t>Patient must have received a stable dose for three months of at least two prior oral therapies (i.e. AChEIs, NSISTs, corticosteroids) prior to treatment initiation unless contraindicated/intolerant necessitating treatment withdrawal</w:t>
            </w:r>
          </w:p>
        </w:tc>
      </w:tr>
      <w:tr w:rsidR="0025361A" w:rsidRPr="00350596" w14:paraId="63ED23ED" w14:textId="77777777" w:rsidTr="00A85AE5">
        <w:trPr>
          <w:cantSplit/>
          <w:trHeight w:val="20"/>
        </w:trPr>
        <w:tc>
          <w:tcPr>
            <w:tcW w:w="5000" w:type="pct"/>
            <w:vAlign w:val="center"/>
          </w:tcPr>
          <w:p w14:paraId="05713AE5" w14:textId="77777777" w:rsidR="0025361A" w:rsidRPr="00350596" w:rsidRDefault="0025361A" w:rsidP="00374907">
            <w:pPr>
              <w:pStyle w:val="COMTabletext"/>
              <w:keepNext w:val="0"/>
              <w:widowControl w:val="0"/>
            </w:pPr>
            <w:r w:rsidRPr="00350596">
              <w:rPr>
                <w:b/>
                <w:bCs w:val="0"/>
              </w:rPr>
              <w:t>AND</w:t>
            </w:r>
          </w:p>
        </w:tc>
      </w:tr>
      <w:tr w:rsidR="0025361A" w:rsidRPr="00350596" w14:paraId="53FBCEC8" w14:textId="77777777" w:rsidTr="00A85AE5">
        <w:trPr>
          <w:cantSplit/>
          <w:trHeight w:val="20"/>
        </w:trPr>
        <w:tc>
          <w:tcPr>
            <w:tcW w:w="5000" w:type="pct"/>
            <w:vAlign w:val="center"/>
          </w:tcPr>
          <w:p w14:paraId="1B8838E8" w14:textId="77777777" w:rsidR="0025361A" w:rsidRPr="00350596" w:rsidRDefault="0025361A" w:rsidP="00374907">
            <w:pPr>
              <w:pStyle w:val="COMTabletext"/>
              <w:keepNext w:val="0"/>
              <w:widowControl w:val="0"/>
            </w:pPr>
            <w:r w:rsidRPr="00350596">
              <w:rPr>
                <w:b/>
                <w:bCs w:val="0"/>
              </w:rPr>
              <w:t>Clinical criteria:</w:t>
            </w:r>
          </w:p>
        </w:tc>
      </w:tr>
      <w:tr w:rsidR="0025361A" w:rsidRPr="00350596" w14:paraId="6117859D" w14:textId="77777777" w:rsidTr="00A85AE5">
        <w:trPr>
          <w:cantSplit/>
          <w:trHeight w:val="20"/>
        </w:trPr>
        <w:tc>
          <w:tcPr>
            <w:tcW w:w="5000" w:type="pct"/>
            <w:vAlign w:val="center"/>
          </w:tcPr>
          <w:p w14:paraId="7E38B8D3" w14:textId="77777777" w:rsidR="0025361A" w:rsidRPr="00350596" w:rsidRDefault="0025361A" w:rsidP="00374907">
            <w:pPr>
              <w:pStyle w:val="COMTabletext"/>
              <w:keepNext w:val="0"/>
              <w:widowControl w:val="0"/>
            </w:pPr>
            <w:r w:rsidRPr="00350596">
              <w:t>Patient must have an MG-ADL score of ≥5 (with more than 50% of the total score due to non-ocular symptoms) or MGC score of ≥10</w:t>
            </w:r>
          </w:p>
        </w:tc>
      </w:tr>
      <w:tr w:rsidR="0025361A" w:rsidRPr="00350596" w14:paraId="34950A49" w14:textId="77777777" w:rsidTr="00A85AE5">
        <w:trPr>
          <w:cantSplit/>
          <w:trHeight w:val="20"/>
        </w:trPr>
        <w:tc>
          <w:tcPr>
            <w:tcW w:w="5000" w:type="pct"/>
            <w:vAlign w:val="center"/>
            <w:hideMark/>
          </w:tcPr>
          <w:p w14:paraId="5E6DC7C0" w14:textId="77777777" w:rsidR="0025361A" w:rsidRPr="00350596" w:rsidRDefault="0025361A" w:rsidP="00374907">
            <w:pPr>
              <w:pStyle w:val="COMTabletext"/>
              <w:keepNext w:val="0"/>
              <w:widowControl w:val="0"/>
              <w:rPr>
                <w:b/>
                <w:bCs w:val="0"/>
              </w:rPr>
            </w:pPr>
            <w:r w:rsidRPr="00350596">
              <w:rPr>
                <w:b/>
                <w:bCs w:val="0"/>
              </w:rPr>
              <w:t>Treatment criteria:</w:t>
            </w:r>
          </w:p>
        </w:tc>
      </w:tr>
      <w:tr w:rsidR="0025361A" w:rsidRPr="00350596" w14:paraId="2B0A6582" w14:textId="77777777" w:rsidTr="00A85AE5">
        <w:trPr>
          <w:cantSplit/>
          <w:trHeight w:val="20"/>
        </w:trPr>
        <w:tc>
          <w:tcPr>
            <w:tcW w:w="5000" w:type="pct"/>
            <w:vAlign w:val="center"/>
          </w:tcPr>
          <w:p w14:paraId="54B85DD2" w14:textId="77777777" w:rsidR="0025361A" w:rsidRPr="00350596" w:rsidRDefault="0025361A" w:rsidP="00374907">
            <w:pPr>
              <w:pStyle w:val="COMTabletext"/>
              <w:keepNext w:val="0"/>
              <w:widowControl w:val="0"/>
            </w:pPr>
            <w:r w:rsidRPr="00350596">
              <w:lastRenderedPageBreak/>
              <w:t>Authority applications for initial treatment must be made in writing and must include:</w:t>
            </w:r>
          </w:p>
          <w:p w14:paraId="3FF4302F" w14:textId="77777777" w:rsidR="0025361A" w:rsidRPr="00350596" w:rsidRDefault="0025361A" w:rsidP="00374907">
            <w:pPr>
              <w:pStyle w:val="COMTabletext"/>
              <w:keepNext w:val="0"/>
              <w:widowControl w:val="0"/>
            </w:pPr>
            <w:r w:rsidRPr="00350596">
              <w:t>(a) Completed authority prescription form; and</w:t>
            </w:r>
          </w:p>
          <w:p w14:paraId="15E94E53" w14:textId="77777777" w:rsidR="0025361A" w:rsidRPr="00350596" w:rsidRDefault="0025361A" w:rsidP="00374907">
            <w:pPr>
              <w:pStyle w:val="COMTabletext"/>
              <w:keepNext w:val="0"/>
              <w:widowControl w:val="0"/>
            </w:pPr>
            <w:r w:rsidRPr="00350596">
              <w:t>(b) Completed PBS authority application form, which includes:</w:t>
            </w:r>
          </w:p>
          <w:p w14:paraId="326E7210" w14:textId="5F413324" w:rsidR="0025361A" w:rsidRPr="00350596" w:rsidRDefault="0025361A" w:rsidP="00374907">
            <w:pPr>
              <w:pStyle w:val="COMTabletext"/>
              <w:keepNext w:val="0"/>
              <w:widowControl w:val="0"/>
              <w:ind w:left="720"/>
            </w:pPr>
            <w:r w:rsidRPr="00350596">
              <w:t>(i) Report confirming evidence of AChR-Ab+ MG confirmed by a positive serologic test for anti-AChR antibodies and tick a box to state the person has MGFA Class II to IV disease;</w:t>
            </w:r>
          </w:p>
          <w:p w14:paraId="521A9439" w14:textId="77777777" w:rsidR="0025361A" w:rsidRPr="00350596" w:rsidRDefault="0025361A" w:rsidP="00374907">
            <w:pPr>
              <w:pStyle w:val="COMTabletext"/>
              <w:keepNext w:val="0"/>
              <w:widowControl w:val="0"/>
              <w:ind w:left="720"/>
            </w:pPr>
            <w:r w:rsidRPr="00350596">
              <w:t>(ii) Dates of prior treatment with AChEIs, NSISTs, Corticosteroids or IVIg/PLEX; and</w:t>
            </w:r>
          </w:p>
          <w:p w14:paraId="60B52253" w14:textId="77777777" w:rsidR="0025361A" w:rsidRPr="00350596" w:rsidRDefault="0025361A" w:rsidP="00374907">
            <w:pPr>
              <w:pStyle w:val="COMTabletext"/>
              <w:keepNext w:val="0"/>
              <w:widowControl w:val="0"/>
              <w:ind w:left="720"/>
            </w:pPr>
            <w:r w:rsidRPr="00350596">
              <w:t>(iii) Date of demonstration of persistent symptoms following treatment with AChEIs, NSISTs or Corticosteroids, alone or in combination.</w:t>
            </w:r>
          </w:p>
          <w:p w14:paraId="1FF2BF44" w14:textId="77777777" w:rsidR="0025361A" w:rsidRPr="00350596" w:rsidRDefault="0025361A" w:rsidP="00374907">
            <w:pPr>
              <w:pStyle w:val="COMTabletext"/>
              <w:keepNext w:val="0"/>
              <w:widowControl w:val="0"/>
            </w:pPr>
          </w:p>
          <w:p w14:paraId="3EA069DF" w14:textId="77777777" w:rsidR="0025361A" w:rsidRPr="00350596" w:rsidRDefault="0025361A" w:rsidP="00374907">
            <w:pPr>
              <w:pStyle w:val="COMTabletext"/>
              <w:keepNext w:val="0"/>
              <w:widowControl w:val="0"/>
            </w:pPr>
            <w:r w:rsidRPr="00350596">
              <w:t>If intolerance to treatment develops during the relevant period of use, which is of a severity necessitating permanent treatment withdrawal, please provide details of the degree of this toxicity at the time of application (grade and nature of toxicity).</w:t>
            </w:r>
          </w:p>
        </w:tc>
      </w:tr>
      <w:tr w:rsidR="0025361A" w:rsidRPr="00350596" w14:paraId="10D99D62" w14:textId="77777777" w:rsidTr="00A85AE5">
        <w:trPr>
          <w:cantSplit/>
          <w:trHeight w:val="20"/>
        </w:trPr>
        <w:tc>
          <w:tcPr>
            <w:tcW w:w="5000" w:type="pct"/>
            <w:vAlign w:val="center"/>
            <w:hideMark/>
          </w:tcPr>
          <w:p w14:paraId="48E4E95E" w14:textId="77777777" w:rsidR="0025361A" w:rsidRPr="00350596" w:rsidRDefault="0025361A" w:rsidP="00374907">
            <w:pPr>
              <w:pStyle w:val="COMTabletext"/>
              <w:keepNext w:val="0"/>
              <w:widowControl w:val="0"/>
            </w:pPr>
            <w:r w:rsidRPr="00350596">
              <w:rPr>
                <w:b/>
              </w:rPr>
              <w:t>Prescribing Instructions:</w:t>
            </w:r>
          </w:p>
        </w:tc>
      </w:tr>
      <w:tr w:rsidR="0025361A" w:rsidRPr="00350596" w14:paraId="6DE7F4BF" w14:textId="77777777" w:rsidTr="00A85AE5">
        <w:trPr>
          <w:cantSplit/>
          <w:trHeight w:val="20"/>
        </w:trPr>
        <w:tc>
          <w:tcPr>
            <w:tcW w:w="5000" w:type="pct"/>
            <w:vAlign w:val="center"/>
          </w:tcPr>
          <w:p w14:paraId="0777711A" w14:textId="77777777" w:rsidR="0025361A" w:rsidRPr="00350596" w:rsidRDefault="0025361A" w:rsidP="00374907">
            <w:pPr>
              <w:pStyle w:val="COMTabletext"/>
              <w:keepNext w:val="0"/>
              <w:widowControl w:val="0"/>
            </w:pPr>
            <w:r w:rsidRPr="00350596">
              <w:t>MG-ADL and/or MGC score must be provided by the physician at baseline.</w:t>
            </w:r>
          </w:p>
          <w:p w14:paraId="0C3AA447" w14:textId="77777777" w:rsidR="0025361A" w:rsidRPr="00350596" w:rsidRDefault="0025361A" w:rsidP="00374907">
            <w:pPr>
              <w:pStyle w:val="COMTabletext"/>
              <w:keepNext w:val="0"/>
              <w:widowControl w:val="0"/>
            </w:pPr>
            <w:r w:rsidRPr="00350596">
              <w:t>Efgartigimod alfa should be prescribed by or in consultation with a neurologist with expertise in managing patients with gMG.</w:t>
            </w:r>
          </w:p>
          <w:p w14:paraId="40BCE340" w14:textId="77777777" w:rsidR="0025361A" w:rsidRPr="00350596" w:rsidRDefault="0025361A" w:rsidP="00374907">
            <w:pPr>
              <w:pStyle w:val="COMTabletext"/>
              <w:keepNext w:val="0"/>
              <w:widowControl w:val="0"/>
            </w:pPr>
            <w:r w:rsidRPr="00350596">
              <w:t>Efgartigimod alfa should not be used concomitantly with rituximab or complement inhibitors.</w:t>
            </w:r>
          </w:p>
          <w:p w14:paraId="2966F594" w14:textId="77777777" w:rsidR="0025361A" w:rsidRPr="00350596" w:rsidRDefault="0025361A" w:rsidP="00374907">
            <w:pPr>
              <w:pStyle w:val="COMTabletext"/>
              <w:keepNext w:val="0"/>
              <w:widowControl w:val="0"/>
              <w:rPr>
                <w:b/>
              </w:rPr>
            </w:pPr>
            <w:r w:rsidRPr="00350596">
              <w:t>The maximum duration of initial authorisation is 3 cycles. Patient should be reviewed 6 months after treatment initiation.</w:t>
            </w:r>
          </w:p>
        </w:tc>
      </w:tr>
      <w:tr w:rsidR="0025361A" w:rsidRPr="00350596" w14:paraId="3B1F209F" w14:textId="77777777" w:rsidTr="00A85AE5">
        <w:trPr>
          <w:cantSplit/>
          <w:trHeight w:val="20"/>
        </w:trPr>
        <w:tc>
          <w:tcPr>
            <w:tcW w:w="5000" w:type="pct"/>
            <w:tcBorders>
              <w:bottom w:val="single" w:sz="4" w:space="0" w:color="auto"/>
            </w:tcBorders>
            <w:vAlign w:val="center"/>
            <w:hideMark/>
          </w:tcPr>
          <w:p w14:paraId="76A53640" w14:textId="77777777" w:rsidR="0025361A" w:rsidRPr="00350596" w:rsidRDefault="0025361A" w:rsidP="00374907">
            <w:pPr>
              <w:pStyle w:val="COMTabletext"/>
              <w:keepNext w:val="0"/>
              <w:widowControl w:val="0"/>
            </w:pPr>
            <w:r w:rsidRPr="00350596">
              <w:rPr>
                <w:b/>
              </w:rPr>
              <w:t>Administrative Advice:</w:t>
            </w:r>
          </w:p>
        </w:tc>
      </w:tr>
      <w:tr w:rsidR="0025361A" w:rsidRPr="00350596" w14:paraId="30E40B38" w14:textId="77777777" w:rsidTr="00A85AE5">
        <w:trPr>
          <w:cantSplit/>
          <w:trHeight w:val="20"/>
        </w:trPr>
        <w:tc>
          <w:tcPr>
            <w:tcW w:w="5000" w:type="pct"/>
            <w:tcBorders>
              <w:bottom w:val="double" w:sz="4" w:space="0" w:color="auto"/>
            </w:tcBorders>
            <w:vAlign w:val="center"/>
          </w:tcPr>
          <w:p w14:paraId="343358D7" w14:textId="77777777" w:rsidR="0025361A" w:rsidRPr="00350596" w:rsidRDefault="0025361A" w:rsidP="00374907">
            <w:pPr>
              <w:pStyle w:val="COMTabletext"/>
              <w:keepNext w:val="0"/>
              <w:widowControl w:val="0"/>
            </w:pPr>
            <w:r w:rsidRPr="00350596">
              <w:t>No increase in the maximum number of repeats may be authorised (initial treatment).</w:t>
            </w:r>
          </w:p>
        </w:tc>
      </w:tr>
      <w:tr w:rsidR="00374907" w:rsidRPr="00350596" w14:paraId="0D30B6FD" w14:textId="77777777" w:rsidTr="00A85AE5">
        <w:trPr>
          <w:cantSplit/>
          <w:trHeight w:val="20"/>
        </w:trPr>
        <w:tc>
          <w:tcPr>
            <w:tcW w:w="5000" w:type="pct"/>
            <w:tcBorders>
              <w:top w:val="double" w:sz="4" w:space="0" w:color="auto"/>
            </w:tcBorders>
            <w:vAlign w:val="center"/>
          </w:tcPr>
          <w:p w14:paraId="5BF2D05F" w14:textId="6C16DF39" w:rsidR="00374907" w:rsidRPr="00350596" w:rsidRDefault="00374907" w:rsidP="00374907">
            <w:pPr>
              <w:pStyle w:val="COMTabletext"/>
              <w:keepNext w:val="0"/>
              <w:widowControl w:val="0"/>
            </w:pPr>
            <w:r w:rsidRPr="00350596">
              <w:rPr>
                <w:b/>
              </w:rPr>
              <w:t>Treatment Phase:</w:t>
            </w:r>
            <w:r w:rsidRPr="00350596">
              <w:t xml:space="preserve"> Continuing treatment</w:t>
            </w:r>
          </w:p>
        </w:tc>
      </w:tr>
      <w:tr w:rsidR="00374907" w:rsidRPr="00350596" w14:paraId="1FE59C9D" w14:textId="77777777" w:rsidTr="00A85AE5">
        <w:trPr>
          <w:cantSplit/>
          <w:trHeight w:val="20"/>
        </w:trPr>
        <w:tc>
          <w:tcPr>
            <w:tcW w:w="5000" w:type="pct"/>
            <w:vAlign w:val="center"/>
          </w:tcPr>
          <w:p w14:paraId="4217A36E" w14:textId="46B5EADB" w:rsidR="00374907" w:rsidRPr="00350596" w:rsidRDefault="00374907" w:rsidP="00374907">
            <w:pPr>
              <w:pStyle w:val="COMTabletext"/>
              <w:keepNext w:val="0"/>
              <w:widowControl w:val="0"/>
              <w:rPr>
                <w:b/>
              </w:rPr>
            </w:pPr>
            <w:r w:rsidRPr="00350596">
              <w:rPr>
                <w:b/>
                <w:bCs w:val="0"/>
              </w:rPr>
              <w:t>Clinical criteria:</w:t>
            </w:r>
          </w:p>
        </w:tc>
      </w:tr>
      <w:tr w:rsidR="00374907" w:rsidRPr="00350596" w14:paraId="35143FEC" w14:textId="77777777" w:rsidTr="00A85AE5">
        <w:trPr>
          <w:cantSplit/>
          <w:trHeight w:val="20"/>
        </w:trPr>
        <w:tc>
          <w:tcPr>
            <w:tcW w:w="5000" w:type="pct"/>
          </w:tcPr>
          <w:p w14:paraId="2C863E64" w14:textId="64E5000C" w:rsidR="00374907" w:rsidRPr="00350596" w:rsidRDefault="00374907" w:rsidP="00374907">
            <w:pPr>
              <w:pStyle w:val="COMTabletext"/>
              <w:keepNext w:val="0"/>
              <w:widowControl w:val="0"/>
              <w:rPr>
                <w:b/>
                <w:bCs w:val="0"/>
              </w:rPr>
            </w:pPr>
            <w:r w:rsidRPr="00350596">
              <w:t>Patient must have previously received PBS-subsidised treatment with this drug for this condition</w:t>
            </w:r>
          </w:p>
        </w:tc>
      </w:tr>
      <w:tr w:rsidR="00374907" w:rsidRPr="00350596" w14:paraId="070BB0B2" w14:textId="77777777" w:rsidTr="00A85AE5">
        <w:trPr>
          <w:cantSplit/>
          <w:trHeight w:val="20"/>
        </w:trPr>
        <w:tc>
          <w:tcPr>
            <w:tcW w:w="5000" w:type="pct"/>
            <w:vAlign w:val="center"/>
          </w:tcPr>
          <w:p w14:paraId="67A383FF" w14:textId="66865515" w:rsidR="00374907" w:rsidRPr="00350596" w:rsidRDefault="00374907" w:rsidP="00374907">
            <w:pPr>
              <w:pStyle w:val="COMTabletext"/>
              <w:keepNext w:val="0"/>
              <w:widowControl w:val="0"/>
            </w:pPr>
            <w:r w:rsidRPr="00350596">
              <w:rPr>
                <w:b/>
                <w:bCs w:val="0"/>
              </w:rPr>
              <w:t>AND</w:t>
            </w:r>
          </w:p>
        </w:tc>
      </w:tr>
      <w:tr w:rsidR="00374907" w:rsidRPr="00350596" w14:paraId="5CC199AF" w14:textId="77777777" w:rsidTr="00A85AE5">
        <w:trPr>
          <w:cantSplit/>
          <w:trHeight w:val="20"/>
        </w:trPr>
        <w:tc>
          <w:tcPr>
            <w:tcW w:w="5000" w:type="pct"/>
            <w:vAlign w:val="center"/>
          </w:tcPr>
          <w:p w14:paraId="6B7759EC" w14:textId="0A31BE98" w:rsidR="00374907" w:rsidRPr="00350596" w:rsidRDefault="00374907" w:rsidP="00374907">
            <w:pPr>
              <w:pStyle w:val="COMTabletext"/>
              <w:keepNext w:val="0"/>
              <w:widowControl w:val="0"/>
              <w:rPr>
                <w:b/>
                <w:bCs w:val="0"/>
              </w:rPr>
            </w:pPr>
            <w:r w:rsidRPr="00350596">
              <w:rPr>
                <w:b/>
                <w:bCs w:val="0"/>
              </w:rPr>
              <w:t>Clinical criteria:</w:t>
            </w:r>
          </w:p>
        </w:tc>
      </w:tr>
      <w:tr w:rsidR="00374907" w:rsidRPr="00350596" w14:paraId="6C5311B0" w14:textId="77777777" w:rsidTr="00A85AE5">
        <w:trPr>
          <w:cantSplit/>
          <w:trHeight w:val="20"/>
        </w:trPr>
        <w:tc>
          <w:tcPr>
            <w:tcW w:w="5000" w:type="pct"/>
            <w:vAlign w:val="center"/>
          </w:tcPr>
          <w:p w14:paraId="3AA879BD" w14:textId="49DA7876" w:rsidR="00374907" w:rsidRPr="00350596" w:rsidRDefault="00374907" w:rsidP="00374907">
            <w:pPr>
              <w:pStyle w:val="COMTabletext"/>
              <w:keepNext w:val="0"/>
              <w:widowControl w:val="0"/>
              <w:rPr>
                <w:b/>
                <w:bCs w:val="0"/>
              </w:rPr>
            </w:pPr>
            <w:r w:rsidRPr="00350596">
              <w:t>During the first two treatment cycles, there is documented reduction in MG-ADL score of at least a 2-point reduction in MG-ADL (3 points in MGC).</w:t>
            </w:r>
          </w:p>
        </w:tc>
      </w:tr>
      <w:tr w:rsidR="00374907" w:rsidRPr="00350596" w14:paraId="6A620F3A" w14:textId="77777777" w:rsidTr="00A85AE5">
        <w:trPr>
          <w:cantSplit/>
          <w:trHeight w:val="20"/>
        </w:trPr>
        <w:tc>
          <w:tcPr>
            <w:tcW w:w="5000" w:type="pct"/>
            <w:tcBorders>
              <w:bottom w:val="single" w:sz="4" w:space="0" w:color="auto"/>
            </w:tcBorders>
            <w:vAlign w:val="center"/>
          </w:tcPr>
          <w:p w14:paraId="4A95A830" w14:textId="4EEF2373" w:rsidR="00374907" w:rsidRPr="00350596" w:rsidRDefault="00374907" w:rsidP="00374907">
            <w:pPr>
              <w:pStyle w:val="COMTabletext"/>
              <w:keepNext w:val="0"/>
              <w:widowControl w:val="0"/>
            </w:pPr>
            <w:r w:rsidRPr="00350596">
              <w:rPr>
                <w:b/>
              </w:rPr>
              <w:t>Prescribing Instructions:</w:t>
            </w:r>
          </w:p>
        </w:tc>
      </w:tr>
      <w:tr w:rsidR="00374907" w:rsidRPr="00350596" w14:paraId="3E9A2EBD" w14:textId="77777777" w:rsidTr="00A85AE5">
        <w:trPr>
          <w:cantSplit/>
          <w:trHeight w:val="20"/>
        </w:trPr>
        <w:tc>
          <w:tcPr>
            <w:tcW w:w="5000" w:type="pct"/>
            <w:tcBorders>
              <w:bottom w:val="double" w:sz="4" w:space="0" w:color="auto"/>
            </w:tcBorders>
            <w:vAlign w:val="center"/>
          </w:tcPr>
          <w:p w14:paraId="3BFFD4CA" w14:textId="77777777" w:rsidR="00374907" w:rsidRPr="00350596" w:rsidRDefault="00374907" w:rsidP="00374907">
            <w:pPr>
              <w:pStyle w:val="COMTabletext"/>
              <w:keepNext w:val="0"/>
              <w:widowControl w:val="0"/>
            </w:pPr>
            <w:r w:rsidRPr="00350596">
              <w:t>MG-ADL and/or MGC score must be measured during the initial treatment authorisation (at any time during the first two treatment cycles), documenting at least a 2-point reduction in MG-ADL (3 points in MGC). Reassessment of continued response should occur every 12 months thereafter.</w:t>
            </w:r>
          </w:p>
          <w:p w14:paraId="609311D6" w14:textId="77777777" w:rsidR="00374907" w:rsidRPr="00350596" w:rsidRDefault="00374907" w:rsidP="00374907">
            <w:pPr>
              <w:pStyle w:val="COMTabletext"/>
              <w:keepNext w:val="0"/>
              <w:widowControl w:val="0"/>
            </w:pPr>
            <w:r w:rsidRPr="00350596">
              <w:t>Efgartigimod alfa should be prescribed by or in consultation with a neurologist with expertise in managing patients with gMG.</w:t>
            </w:r>
          </w:p>
          <w:p w14:paraId="0E93290A" w14:textId="05203163" w:rsidR="00374907" w:rsidRPr="00350596" w:rsidRDefault="00374907" w:rsidP="00374907">
            <w:pPr>
              <w:pStyle w:val="COMTabletext"/>
              <w:keepNext w:val="0"/>
              <w:widowControl w:val="0"/>
              <w:rPr>
                <w:b/>
              </w:rPr>
            </w:pPr>
            <w:r w:rsidRPr="00350596">
              <w:t>Efgartigimod alfa should not be used concomitantly with rituximab or complement inhibitors.</w:t>
            </w:r>
          </w:p>
        </w:tc>
      </w:tr>
      <w:tr w:rsidR="00A85AE5" w:rsidRPr="00350596" w14:paraId="42103A2D" w14:textId="77777777" w:rsidTr="00A85AE5">
        <w:trPr>
          <w:cantSplit/>
          <w:trHeight w:val="20"/>
        </w:trPr>
        <w:tc>
          <w:tcPr>
            <w:tcW w:w="5000" w:type="pct"/>
            <w:tcBorders>
              <w:top w:val="double" w:sz="4" w:space="0" w:color="auto"/>
            </w:tcBorders>
            <w:vAlign w:val="center"/>
          </w:tcPr>
          <w:p w14:paraId="6A18520A" w14:textId="7B7A879D" w:rsidR="00A85AE5" w:rsidRPr="00350596" w:rsidRDefault="00A85AE5" w:rsidP="00A85AE5">
            <w:pPr>
              <w:pStyle w:val="COMTabletext"/>
              <w:keepNext w:val="0"/>
              <w:widowControl w:val="0"/>
            </w:pPr>
            <w:r w:rsidRPr="00350596">
              <w:rPr>
                <w:b/>
              </w:rPr>
              <w:t>Treatment Phase:</w:t>
            </w:r>
            <w:r w:rsidRPr="00350596">
              <w:t xml:space="preserve"> Re-initiating treatment</w:t>
            </w:r>
          </w:p>
        </w:tc>
      </w:tr>
      <w:tr w:rsidR="00A85AE5" w:rsidRPr="00350596" w14:paraId="190181BF" w14:textId="77777777" w:rsidTr="00A85AE5">
        <w:trPr>
          <w:cantSplit/>
          <w:trHeight w:val="20"/>
        </w:trPr>
        <w:tc>
          <w:tcPr>
            <w:tcW w:w="5000" w:type="pct"/>
            <w:vAlign w:val="center"/>
          </w:tcPr>
          <w:p w14:paraId="0297EA3B" w14:textId="69DB4B96" w:rsidR="00A85AE5" w:rsidRPr="00350596" w:rsidRDefault="00A85AE5" w:rsidP="00A85AE5">
            <w:pPr>
              <w:pStyle w:val="COMTabletext"/>
              <w:keepNext w:val="0"/>
              <w:widowControl w:val="0"/>
              <w:rPr>
                <w:b/>
              </w:rPr>
            </w:pPr>
            <w:r w:rsidRPr="00350596">
              <w:rPr>
                <w:b/>
                <w:bCs w:val="0"/>
              </w:rPr>
              <w:t>Clinical criteria:</w:t>
            </w:r>
          </w:p>
        </w:tc>
      </w:tr>
      <w:tr w:rsidR="00A85AE5" w:rsidRPr="00350596" w14:paraId="76BDBA5F" w14:textId="77777777" w:rsidTr="007959EA">
        <w:trPr>
          <w:cantSplit/>
          <w:trHeight w:val="20"/>
        </w:trPr>
        <w:tc>
          <w:tcPr>
            <w:tcW w:w="5000" w:type="pct"/>
          </w:tcPr>
          <w:p w14:paraId="315DCE3D" w14:textId="67A3C1E6" w:rsidR="00A85AE5" w:rsidRPr="00350596" w:rsidRDefault="00A85AE5" w:rsidP="00A85AE5">
            <w:pPr>
              <w:pStyle w:val="COMTabletext"/>
              <w:keepNext w:val="0"/>
              <w:widowControl w:val="0"/>
              <w:rPr>
                <w:b/>
                <w:bCs w:val="0"/>
              </w:rPr>
            </w:pPr>
            <w:r w:rsidRPr="00350596">
              <w:t>Patient must have demonstrated previous treatment response to PBS-subsidised EFG, defined as a patient who has shown a reduction of at least 2 points in MG-ADL score (3 points in MGC score).</w:t>
            </w:r>
          </w:p>
        </w:tc>
      </w:tr>
      <w:tr w:rsidR="00A85AE5" w:rsidRPr="00350596" w14:paraId="16BAAA81" w14:textId="77777777" w:rsidTr="007959EA">
        <w:trPr>
          <w:cantSplit/>
          <w:trHeight w:val="20"/>
        </w:trPr>
        <w:tc>
          <w:tcPr>
            <w:tcW w:w="5000" w:type="pct"/>
            <w:vAlign w:val="center"/>
          </w:tcPr>
          <w:p w14:paraId="498F3A41" w14:textId="122BD701" w:rsidR="00A85AE5" w:rsidRPr="00350596" w:rsidRDefault="00A85AE5" w:rsidP="00A85AE5">
            <w:pPr>
              <w:pStyle w:val="COMTabletext"/>
              <w:keepNext w:val="0"/>
              <w:widowControl w:val="0"/>
            </w:pPr>
            <w:r w:rsidRPr="00350596">
              <w:rPr>
                <w:b/>
                <w:bCs w:val="0"/>
              </w:rPr>
              <w:t>AND</w:t>
            </w:r>
          </w:p>
        </w:tc>
      </w:tr>
      <w:tr w:rsidR="00A85AE5" w:rsidRPr="00350596" w14:paraId="6E321990" w14:textId="77777777" w:rsidTr="007959EA">
        <w:trPr>
          <w:cantSplit/>
          <w:trHeight w:val="20"/>
        </w:trPr>
        <w:tc>
          <w:tcPr>
            <w:tcW w:w="5000" w:type="pct"/>
            <w:vAlign w:val="center"/>
          </w:tcPr>
          <w:p w14:paraId="64FD8DB4" w14:textId="130BAE17" w:rsidR="00A85AE5" w:rsidRPr="00350596" w:rsidRDefault="00A85AE5" w:rsidP="00A85AE5">
            <w:pPr>
              <w:pStyle w:val="COMTabletext"/>
              <w:keepNext w:val="0"/>
              <w:widowControl w:val="0"/>
              <w:rPr>
                <w:b/>
                <w:bCs w:val="0"/>
              </w:rPr>
            </w:pPr>
            <w:r w:rsidRPr="00350596">
              <w:rPr>
                <w:b/>
                <w:bCs w:val="0"/>
              </w:rPr>
              <w:t>Clinical criteria:</w:t>
            </w:r>
          </w:p>
        </w:tc>
      </w:tr>
      <w:tr w:rsidR="00A85AE5" w:rsidRPr="00350596" w14:paraId="02D1C78D" w14:textId="77777777" w:rsidTr="007959EA">
        <w:trPr>
          <w:cantSplit/>
          <w:trHeight w:val="20"/>
        </w:trPr>
        <w:tc>
          <w:tcPr>
            <w:tcW w:w="5000" w:type="pct"/>
            <w:vAlign w:val="center"/>
          </w:tcPr>
          <w:p w14:paraId="3A6654D8" w14:textId="44E120F9" w:rsidR="00A85AE5" w:rsidRPr="00350596" w:rsidRDefault="00A85AE5" w:rsidP="00A85AE5">
            <w:pPr>
              <w:pStyle w:val="COMTabletext"/>
              <w:keepNext w:val="0"/>
              <w:widowControl w:val="0"/>
              <w:rPr>
                <w:b/>
                <w:bCs w:val="0"/>
              </w:rPr>
            </w:pPr>
            <w:r w:rsidRPr="00350596">
              <w:t>Patient must have an MG-ADL score of ≥5 (with more than 50% of the total score due to non-ocular symptoms) or MGC score of ≥10</w:t>
            </w:r>
          </w:p>
        </w:tc>
      </w:tr>
      <w:tr w:rsidR="00A85AE5" w:rsidRPr="00350596" w14:paraId="4F637DD7" w14:textId="77777777" w:rsidTr="007959EA">
        <w:trPr>
          <w:cantSplit/>
          <w:trHeight w:val="20"/>
        </w:trPr>
        <w:tc>
          <w:tcPr>
            <w:tcW w:w="5000" w:type="pct"/>
            <w:vAlign w:val="center"/>
          </w:tcPr>
          <w:p w14:paraId="1737B690" w14:textId="36DF7E8B" w:rsidR="00A85AE5" w:rsidRPr="00350596" w:rsidRDefault="00A85AE5" w:rsidP="00A85AE5">
            <w:pPr>
              <w:pStyle w:val="COMTabletext"/>
              <w:keepNext w:val="0"/>
              <w:widowControl w:val="0"/>
            </w:pPr>
            <w:r w:rsidRPr="00350596">
              <w:rPr>
                <w:b/>
                <w:bCs w:val="0"/>
              </w:rPr>
              <w:t>AND</w:t>
            </w:r>
          </w:p>
        </w:tc>
      </w:tr>
      <w:tr w:rsidR="00A85AE5" w:rsidRPr="00350596" w14:paraId="4C5CBC0F" w14:textId="77777777" w:rsidTr="007959EA">
        <w:trPr>
          <w:cantSplit/>
          <w:trHeight w:val="20"/>
        </w:trPr>
        <w:tc>
          <w:tcPr>
            <w:tcW w:w="5000" w:type="pct"/>
            <w:vAlign w:val="center"/>
          </w:tcPr>
          <w:p w14:paraId="0AD299A3" w14:textId="1CA76DFB" w:rsidR="00A85AE5" w:rsidRPr="00350596" w:rsidRDefault="00A85AE5" w:rsidP="00A85AE5">
            <w:pPr>
              <w:pStyle w:val="COMTabletext"/>
              <w:keepNext w:val="0"/>
              <w:widowControl w:val="0"/>
              <w:rPr>
                <w:b/>
                <w:bCs w:val="0"/>
              </w:rPr>
            </w:pPr>
            <w:r w:rsidRPr="00350596">
              <w:rPr>
                <w:b/>
                <w:bCs w:val="0"/>
              </w:rPr>
              <w:t>Clinical criteria:</w:t>
            </w:r>
          </w:p>
        </w:tc>
      </w:tr>
      <w:tr w:rsidR="00A85AE5" w:rsidRPr="00350596" w14:paraId="1F265D92" w14:textId="77777777" w:rsidTr="007959EA">
        <w:trPr>
          <w:cantSplit/>
          <w:trHeight w:val="20"/>
        </w:trPr>
        <w:tc>
          <w:tcPr>
            <w:tcW w:w="5000" w:type="pct"/>
            <w:vAlign w:val="center"/>
          </w:tcPr>
          <w:p w14:paraId="6728B14A" w14:textId="1DE05CEB" w:rsidR="00A85AE5" w:rsidRPr="00350596" w:rsidRDefault="00A85AE5" w:rsidP="00A85AE5">
            <w:pPr>
              <w:pStyle w:val="COMTabletext"/>
              <w:keepNext w:val="0"/>
              <w:widowControl w:val="0"/>
              <w:rPr>
                <w:b/>
                <w:bCs w:val="0"/>
              </w:rPr>
            </w:pPr>
            <w:r w:rsidRPr="00350596">
              <w:t>Patients should not be experiencing a myasthenic crisis at the time of treatment re-initiation (MGFA Class V)</w:t>
            </w:r>
          </w:p>
        </w:tc>
      </w:tr>
      <w:tr w:rsidR="00A85AE5" w:rsidRPr="00350596" w14:paraId="5E07AD8E" w14:textId="77777777" w:rsidTr="00A85AE5">
        <w:trPr>
          <w:cantSplit/>
          <w:trHeight w:val="20"/>
        </w:trPr>
        <w:tc>
          <w:tcPr>
            <w:tcW w:w="5000" w:type="pct"/>
            <w:tcBorders>
              <w:bottom w:val="single" w:sz="4" w:space="0" w:color="auto"/>
            </w:tcBorders>
            <w:vAlign w:val="center"/>
          </w:tcPr>
          <w:p w14:paraId="57511E63" w14:textId="679A0882" w:rsidR="00A85AE5" w:rsidRPr="00350596" w:rsidRDefault="00A85AE5" w:rsidP="00A85AE5">
            <w:pPr>
              <w:pStyle w:val="COMTabletext"/>
              <w:keepNext w:val="0"/>
              <w:widowControl w:val="0"/>
            </w:pPr>
            <w:r w:rsidRPr="00350596">
              <w:rPr>
                <w:b/>
              </w:rPr>
              <w:t>Prescribing Instructions:</w:t>
            </w:r>
          </w:p>
        </w:tc>
      </w:tr>
      <w:tr w:rsidR="00A85AE5" w:rsidRPr="00350596" w14:paraId="17B62DDA" w14:textId="77777777" w:rsidTr="00A85AE5">
        <w:trPr>
          <w:cantSplit/>
          <w:trHeight w:val="20"/>
        </w:trPr>
        <w:tc>
          <w:tcPr>
            <w:tcW w:w="5000" w:type="pct"/>
            <w:tcBorders>
              <w:bottom w:val="double" w:sz="4" w:space="0" w:color="auto"/>
            </w:tcBorders>
            <w:vAlign w:val="center"/>
          </w:tcPr>
          <w:p w14:paraId="4309C60F" w14:textId="77777777" w:rsidR="00A85AE5" w:rsidRPr="00350596" w:rsidRDefault="00A85AE5" w:rsidP="00A85AE5">
            <w:pPr>
              <w:pStyle w:val="COMTabletext"/>
            </w:pPr>
            <w:r w:rsidRPr="00350596">
              <w:lastRenderedPageBreak/>
              <w:t>MG-ADL and/or MGC score must be measured and provided by the physician at baseline.</w:t>
            </w:r>
          </w:p>
          <w:p w14:paraId="68FFFA53" w14:textId="77777777" w:rsidR="00A85AE5" w:rsidRPr="00350596" w:rsidRDefault="00A85AE5" w:rsidP="00A85AE5">
            <w:pPr>
              <w:pStyle w:val="COMTabletext"/>
            </w:pPr>
            <w:r w:rsidRPr="00350596">
              <w:t>Efgartigimod alfa should be prescribed by or in consultation with a neurologist with expertise in managing patients with gMG.</w:t>
            </w:r>
          </w:p>
          <w:p w14:paraId="3F3329EE" w14:textId="77777777" w:rsidR="00A85AE5" w:rsidRPr="00350596" w:rsidRDefault="00A85AE5" w:rsidP="00A85AE5">
            <w:pPr>
              <w:pStyle w:val="COMTabletext"/>
            </w:pPr>
            <w:r w:rsidRPr="00350596">
              <w:t>Efgartigimod alfa should not be used concomitantly with rituximab or complement inhibitors.</w:t>
            </w:r>
          </w:p>
          <w:p w14:paraId="4FA568E6" w14:textId="28DC58E4" w:rsidR="00A85AE5" w:rsidRPr="00350596" w:rsidRDefault="00A85AE5" w:rsidP="00A85AE5">
            <w:pPr>
              <w:pStyle w:val="COMTabletext"/>
              <w:keepNext w:val="0"/>
              <w:widowControl w:val="0"/>
              <w:rPr>
                <w:b/>
              </w:rPr>
            </w:pPr>
            <w:r w:rsidRPr="00350596">
              <w:t>The maximum duration of initial authorisation (re-initiating treatment) is 3 cycles, then continuing treatment criteria apply.</w:t>
            </w:r>
          </w:p>
        </w:tc>
      </w:tr>
      <w:tr w:rsidR="00A85AE5" w:rsidRPr="00350596" w14:paraId="627002D2" w14:textId="77777777" w:rsidTr="00A85AE5">
        <w:trPr>
          <w:cantSplit/>
          <w:trHeight w:val="20"/>
        </w:trPr>
        <w:tc>
          <w:tcPr>
            <w:tcW w:w="5000" w:type="pct"/>
            <w:tcBorders>
              <w:top w:val="double" w:sz="4" w:space="0" w:color="auto"/>
            </w:tcBorders>
            <w:vAlign w:val="center"/>
          </w:tcPr>
          <w:p w14:paraId="5A03E4DE" w14:textId="1F0DC760" w:rsidR="00A85AE5" w:rsidRPr="00350596" w:rsidRDefault="00A85AE5" w:rsidP="00A85AE5">
            <w:pPr>
              <w:pStyle w:val="COMTabletext"/>
            </w:pPr>
            <w:r w:rsidRPr="00350596">
              <w:rPr>
                <w:b/>
              </w:rPr>
              <w:t>Treatment Phase:</w:t>
            </w:r>
            <w:r w:rsidRPr="00350596">
              <w:t xml:space="preserve"> Grandfathering</w:t>
            </w:r>
          </w:p>
        </w:tc>
      </w:tr>
      <w:tr w:rsidR="00A85AE5" w:rsidRPr="00350596" w14:paraId="7A9715DB" w14:textId="77777777" w:rsidTr="007959EA">
        <w:trPr>
          <w:cantSplit/>
          <w:trHeight w:val="20"/>
        </w:trPr>
        <w:tc>
          <w:tcPr>
            <w:tcW w:w="5000" w:type="pct"/>
            <w:vAlign w:val="center"/>
          </w:tcPr>
          <w:p w14:paraId="32B23B3B" w14:textId="112E6115" w:rsidR="00A85AE5" w:rsidRPr="00350596" w:rsidRDefault="00A85AE5" w:rsidP="00A85AE5">
            <w:pPr>
              <w:pStyle w:val="COMTabletext"/>
              <w:rPr>
                <w:b/>
              </w:rPr>
            </w:pPr>
            <w:r w:rsidRPr="00350596">
              <w:rPr>
                <w:b/>
                <w:bCs w:val="0"/>
              </w:rPr>
              <w:t>Clinical criteria:</w:t>
            </w:r>
          </w:p>
        </w:tc>
      </w:tr>
      <w:tr w:rsidR="00A85AE5" w:rsidRPr="00350596" w14:paraId="14634B73" w14:textId="77777777" w:rsidTr="007959EA">
        <w:trPr>
          <w:cantSplit/>
          <w:trHeight w:val="20"/>
        </w:trPr>
        <w:tc>
          <w:tcPr>
            <w:tcW w:w="5000" w:type="pct"/>
          </w:tcPr>
          <w:p w14:paraId="639CE0A7" w14:textId="40523A04" w:rsidR="00A85AE5" w:rsidRPr="00350596" w:rsidRDefault="00A85AE5" w:rsidP="00A85AE5">
            <w:pPr>
              <w:pStyle w:val="COMTabletext"/>
              <w:rPr>
                <w:b/>
                <w:bCs w:val="0"/>
              </w:rPr>
            </w:pPr>
            <w:r w:rsidRPr="00350596">
              <w:t>Patient must have received non-PBS treatment with this drug for this condition prior to [date of PBS listing]</w:t>
            </w:r>
          </w:p>
        </w:tc>
      </w:tr>
      <w:tr w:rsidR="00A85AE5" w:rsidRPr="00350596" w14:paraId="7D4B1AB3" w14:textId="77777777" w:rsidTr="007959EA">
        <w:trPr>
          <w:cantSplit/>
          <w:trHeight w:val="20"/>
        </w:trPr>
        <w:tc>
          <w:tcPr>
            <w:tcW w:w="5000" w:type="pct"/>
            <w:vAlign w:val="center"/>
          </w:tcPr>
          <w:p w14:paraId="6B2ECBBE" w14:textId="454C4DC5" w:rsidR="00A85AE5" w:rsidRPr="00350596" w:rsidRDefault="00A85AE5" w:rsidP="00A85AE5">
            <w:pPr>
              <w:pStyle w:val="COMTabletext"/>
            </w:pPr>
            <w:r w:rsidRPr="00350596">
              <w:rPr>
                <w:b/>
                <w:bCs w:val="0"/>
              </w:rPr>
              <w:t>AND</w:t>
            </w:r>
          </w:p>
        </w:tc>
      </w:tr>
      <w:tr w:rsidR="00A85AE5" w:rsidRPr="00350596" w14:paraId="00A3CEC3" w14:textId="77777777" w:rsidTr="007959EA">
        <w:trPr>
          <w:cantSplit/>
          <w:trHeight w:val="20"/>
        </w:trPr>
        <w:tc>
          <w:tcPr>
            <w:tcW w:w="5000" w:type="pct"/>
            <w:vAlign w:val="center"/>
          </w:tcPr>
          <w:p w14:paraId="77367E9A" w14:textId="273FC936" w:rsidR="00A85AE5" w:rsidRPr="00350596" w:rsidRDefault="00A85AE5" w:rsidP="00A85AE5">
            <w:pPr>
              <w:pStyle w:val="COMTabletext"/>
              <w:rPr>
                <w:b/>
                <w:bCs w:val="0"/>
              </w:rPr>
            </w:pPr>
            <w:r w:rsidRPr="00350596">
              <w:rPr>
                <w:b/>
                <w:bCs w:val="0"/>
              </w:rPr>
              <w:t>Clinical criteria:</w:t>
            </w:r>
          </w:p>
        </w:tc>
      </w:tr>
      <w:tr w:rsidR="00A85AE5" w:rsidRPr="00350596" w14:paraId="10245E07" w14:textId="77777777" w:rsidTr="007959EA">
        <w:trPr>
          <w:cantSplit/>
          <w:trHeight w:val="20"/>
        </w:trPr>
        <w:tc>
          <w:tcPr>
            <w:tcW w:w="5000" w:type="pct"/>
            <w:vAlign w:val="center"/>
          </w:tcPr>
          <w:p w14:paraId="6A1704E9" w14:textId="5E37DDED" w:rsidR="00A85AE5" w:rsidRPr="00350596" w:rsidRDefault="00A85AE5" w:rsidP="00A85AE5">
            <w:pPr>
              <w:pStyle w:val="COMTabletext"/>
              <w:rPr>
                <w:b/>
                <w:bCs w:val="0"/>
              </w:rPr>
            </w:pPr>
            <w:r w:rsidRPr="00350596">
              <w:t>Before initiating non-PBS treatment with this drug for this condition, patient must have received a stable dose for three months of at least two prior oral therapies (i.e. AChEIs, NSISTs, corticosteroids) prior to treatment initiation unless contraindicated/intolerant necessitating treatment withdrawal</w:t>
            </w:r>
          </w:p>
        </w:tc>
      </w:tr>
      <w:tr w:rsidR="00A85AE5" w:rsidRPr="00350596" w14:paraId="46E5CBCD" w14:textId="77777777" w:rsidTr="007959EA">
        <w:trPr>
          <w:cantSplit/>
          <w:trHeight w:val="20"/>
        </w:trPr>
        <w:tc>
          <w:tcPr>
            <w:tcW w:w="5000" w:type="pct"/>
            <w:vAlign w:val="center"/>
          </w:tcPr>
          <w:p w14:paraId="45902B9C" w14:textId="78C83FED" w:rsidR="00A85AE5" w:rsidRPr="00350596" w:rsidRDefault="00A85AE5" w:rsidP="00A85AE5">
            <w:pPr>
              <w:pStyle w:val="COMTabletext"/>
            </w:pPr>
            <w:r w:rsidRPr="00350596">
              <w:rPr>
                <w:b/>
                <w:bCs w:val="0"/>
              </w:rPr>
              <w:t>AND</w:t>
            </w:r>
          </w:p>
        </w:tc>
      </w:tr>
      <w:tr w:rsidR="00A85AE5" w:rsidRPr="00350596" w14:paraId="796A62DC" w14:textId="77777777" w:rsidTr="007959EA">
        <w:trPr>
          <w:cantSplit/>
          <w:trHeight w:val="20"/>
        </w:trPr>
        <w:tc>
          <w:tcPr>
            <w:tcW w:w="5000" w:type="pct"/>
            <w:vAlign w:val="center"/>
          </w:tcPr>
          <w:p w14:paraId="5A047E33" w14:textId="015F8730" w:rsidR="00A85AE5" w:rsidRPr="00350596" w:rsidRDefault="00A85AE5" w:rsidP="00A85AE5">
            <w:pPr>
              <w:pStyle w:val="COMTabletext"/>
              <w:rPr>
                <w:b/>
                <w:bCs w:val="0"/>
              </w:rPr>
            </w:pPr>
            <w:r w:rsidRPr="00350596">
              <w:rPr>
                <w:b/>
                <w:bCs w:val="0"/>
              </w:rPr>
              <w:t>Clinical criteria:</w:t>
            </w:r>
          </w:p>
        </w:tc>
      </w:tr>
      <w:tr w:rsidR="00A85AE5" w:rsidRPr="00350596" w14:paraId="0454CDFB" w14:textId="77777777" w:rsidTr="007959EA">
        <w:trPr>
          <w:cantSplit/>
          <w:trHeight w:val="20"/>
        </w:trPr>
        <w:tc>
          <w:tcPr>
            <w:tcW w:w="5000" w:type="pct"/>
            <w:vAlign w:val="center"/>
          </w:tcPr>
          <w:p w14:paraId="3A7A63D6" w14:textId="446EC35E" w:rsidR="00A85AE5" w:rsidRPr="00350596" w:rsidRDefault="00A85AE5" w:rsidP="00A85AE5">
            <w:pPr>
              <w:pStyle w:val="COMTabletext"/>
              <w:rPr>
                <w:b/>
                <w:bCs w:val="0"/>
              </w:rPr>
            </w:pPr>
            <w:r w:rsidRPr="00350596">
              <w:t>Before initiating non-PBS treatment with this drug for this condition, patient must have MG-ADL score of ≥5 or MGC score of ≥10 with more than 50% of the total score due to non-ocular symptoms</w:t>
            </w:r>
          </w:p>
        </w:tc>
      </w:tr>
      <w:tr w:rsidR="00A85AE5" w:rsidRPr="00350596" w14:paraId="4723E2DE" w14:textId="77777777" w:rsidTr="00A85AE5">
        <w:trPr>
          <w:cantSplit/>
          <w:trHeight w:val="20"/>
        </w:trPr>
        <w:tc>
          <w:tcPr>
            <w:tcW w:w="5000" w:type="pct"/>
            <w:tcBorders>
              <w:bottom w:val="single" w:sz="4" w:space="0" w:color="auto"/>
            </w:tcBorders>
            <w:vAlign w:val="center"/>
          </w:tcPr>
          <w:p w14:paraId="6EAEE8BF" w14:textId="46C345AD" w:rsidR="00A85AE5" w:rsidRPr="00350596" w:rsidRDefault="00A85AE5" w:rsidP="00A85AE5">
            <w:pPr>
              <w:pStyle w:val="COMTabletext"/>
            </w:pPr>
            <w:r w:rsidRPr="00350596">
              <w:rPr>
                <w:b/>
              </w:rPr>
              <w:t>Prescribing Instructions:</w:t>
            </w:r>
          </w:p>
        </w:tc>
      </w:tr>
      <w:tr w:rsidR="00A85AE5" w:rsidRPr="00350596" w14:paraId="6B9D21BA" w14:textId="77777777" w:rsidTr="00A85AE5">
        <w:trPr>
          <w:cantSplit/>
          <w:trHeight w:val="20"/>
        </w:trPr>
        <w:tc>
          <w:tcPr>
            <w:tcW w:w="5000" w:type="pct"/>
            <w:tcBorders>
              <w:bottom w:val="double" w:sz="4" w:space="0" w:color="auto"/>
            </w:tcBorders>
            <w:vAlign w:val="center"/>
          </w:tcPr>
          <w:p w14:paraId="6C7BFCC6" w14:textId="0623C8B2" w:rsidR="00A85AE5" w:rsidRPr="00350596" w:rsidRDefault="00A85AE5" w:rsidP="00A85AE5">
            <w:pPr>
              <w:pStyle w:val="COMTabletext"/>
              <w:rPr>
                <w:b/>
              </w:rPr>
            </w:pPr>
            <w:r w:rsidRPr="00350596">
              <w:t>For continuing PBS-subsidised treatment, a Grandfathered patient must qualify under the Continuing treatment criteria.</w:t>
            </w:r>
          </w:p>
        </w:tc>
      </w:tr>
      <w:tr w:rsidR="00A85AE5" w:rsidRPr="00350596" w14:paraId="77BCF952" w14:textId="77777777" w:rsidTr="00A85AE5">
        <w:trPr>
          <w:cantSplit/>
          <w:trHeight w:val="20"/>
        </w:trPr>
        <w:tc>
          <w:tcPr>
            <w:tcW w:w="5000" w:type="pct"/>
            <w:tcBorders>
              <w:top w:val="double" w:sz="4" w:space="0" w:color="auto"/>
            </w:tcBorders>
            <w:vAlign w:val="center"/>
          </w:tcPr>
          <w:p w14:paraId="04F64B8C" w14:textId="0D6F7DC9" w:rsidR="00A85AE5" w:rsidRPr="00350596" w:rsidRDefault="00A85AE5" w:rsidP="00A85AE5">
            <w:pPr>
              <w:pStyle w:val="COMTabletext"/>
            </w:pPr>
            <w:r w:rsidRPr="00350596">
              <w:rPr>
                <w:b/>
              </w:rPr>
              <w:t>Treatment Phase:</w:t>
            </w:r>
            <w:r w:rsidRPr="00350596">
              <w:t xml:space="preserve"> Stopping treatment</w:t>
            </w:r>
          </w:p>
        </w:tc>
      </w:tr>
      <w:tr w:rsidR="00A85AE5" w:rsidRPr="00350596" w14:paraId="64356F41" w14:textId="77777777" w:rsidTr="007959EA">
        <w:trPr>
          <w:cantSplit/>
          <w:trHeight w:val="20"/>
        </w:trPr>
        <w:tc>
          <w:tcPr>
            <w:tcW w:w="5000" w:type="pct"/>
            <w:vAlign w:val="center"/>
          </w:tcPr>
          <w:p w14:paraId="767AE879" w14:textId="70F9EFD8" w:rsidR="00A85AE5" w:rsidRPr="00350596" w:rsidRDefault="00A85AE5" w:rsidP="00A85AE5">
            <w:pPr>
              <w:pStyle w:val="COMTabletext"/>
              <w:rPr>
                <w:b/>
              </w:rPr>
            </w:pPr>
            <w:r w:rsidRPr="00350596">
              <w:rPr>
                <w:b/>
                <w:bCs w:val="0"/>
              </w:rPr>
              <w:t>Clinical criteria:</w:t>
            </w:r>
          </w:p>
        </w:tc>
      </w:tr>
      <w:tr w:rsidR="00A85AE5" w:rsidRPr="00350596" w14:paraId="6551BE34" w14:textId="77777777" w:rsidTr="007959EA">
        <w:trPr>
          <w:cantSplit/>
          <w:trHeight w:val="20"/>
        </w:trPr>
        <w:tc>
          <w:tcPr>
            <w:tcW w:w="5000" w:type="pct"/>
          </w:tcPr>
          <w:p w14:paraId="407F0E3B" w14:textId="0BFAC9C1" w:rsidR="00A85AE5" w:rsidRPr="00350596" w:rsidRDefault="00A85AE5" w:rsidP="00A85AE5">
            <w:pPr>
              <w:pStyle w:val="COMTabletext"/>
              <w:rPr>
                <w:b/>
                <w:bCs w:val="0"/>
              </w:rPr>
            </w:pPr>
            <w:r w:rsidRPr="00350596">
              <w:t>Patient must have previously received PBS-subsidised treatment with this drug for this condition</w:t>
            </w:r>
          </w:p>
        </w:tc>
      </w:tr>
      <w:tr w:rsidR="00A85AE5" w:rsidRPr="00350596" w14:paraId="38FF5D33" w14:textId="77777777" w:rsidTr="007959EA">
        <w:trPr>
          <w:cantSplit/>
          <w:trHeight w:val="20"/>
        </w:trPr>
        <w:tc>
          <w:tcPr>
            <w:tcW w:w="5000" w:type="pct"/>
            <w:vAlign w:val="center"/>
          </w:tcPr>
          <w:p w14:paraId="2C14E76F" w14:textId="37A73921" w:rsidR="00A85AE5" w:rsidRPr="00350596" w:rsidRDefault="00A85AE5" w:rsidP="00A85AE5">
            <w:pPr>
              <w:pStyle w:val="COMTabletext"/>
            </w:pPr>
            <w:r w:rsidRPr="00350596">
              <w:rPr>
                <w:b/>
                <w:bCs w:val="0"/>
              </w:rPr>
              <w:t>AND</w:t>
            </w:r>
          </w:p>
        </w:tc>
      </w:tr>
      <w:tr w:rsidR="00A85AE5" w:rsidRPr="00350596" w14:paraId="640989E9" w14:textId="77777777" w:rsidTr="007959EA">
        <w:trPr>
          <w:cantSplit/>
          <w:trHeight w:val="20"/>
        </w:trPr>
        <w:tc>
          <w:tcPr>
            <w:tcW w:w="5000" w:type="pct"/>
            <w:vAlign w:val="center"/>
          </w:tcPr>
          <w:p w14:paraId="44BB6474" w14:textId="5CFC8C54" w:rsidR="00A85AE5" w:rsidRPr="00350596" w:rsidRDefault="00A85AE5" w:rsidP="00A85AE5">
            <w:pPr>
              <w:pStyle w:val="COMTabletext"/>
              <w:rPr>
                <w:b/>
                <w:bCs w:val="0"/>
              </w:rPr>
            </w:pPr>
            <w:r w:rsidRPr="00350596">
              <w:rPr>
                <w:b/>
                <w:bCs w:val="0"/>
              </w:rPr>
              <w:t>Clinical criteria:</w:t>
            </w:r>
          </w:p>
        </w:tc>
      </w:tr>
      <w:tr w:rsidR="00A85AE5" w:rsidRPr="00350596" w14:paraId="110CB2BB" w14:textId="77777777" w:rsidTr="007959EA">
        <w:trPr>
          <w:cantSplit/>
          <w:trHeight w:val="20"/>
        </w:trPr>
        <w:tc>
          <w:tcPr>
            <w:tcW w:w="5000" w:type="pct"/>
            <w:vAlign w:val="center"/>
          </w:tcPr>
          <w:p w14:paraId="2794C315" w14:textId="2F3168F5" w:rsidR="00A85AE5" w:rsidRPr="00350596" w:rsidRDefault="00A85AE5" w:rsidP="00A85AE5">
            <w:pPr>
              <w:pStyle w:val="COMTabletext"/>
              <w:rPr>
                <w:b/>
                <w:bCs w:val="0"/>
              </w:rPr>
            </w:pPr>
            <w:r w:rsidRPr="00350596">
              <w:t>After initial treatment, there is no improvement in MG-ADL score of 2 points or greater (or MGC score of 3 points or greater)</w:t>
            </w:r>
          </w:p>
        </w:tc>
      </w:tr>
      <w:tr w:rsidR="00A85AE5" w:rsidRPr="00350596" w14:paraId="276863A8" w14:textId="77777777" w:rsidTr="007959EA">
        <w:trPr>
          <w:cantSplit/>
          <w:trHeight w:val="20"/>
        </w:trPr>
        <w:tc>
          <w:tcPr>
            <w:tcW w:w="5000" w:type="pct"/>
            <w:vAlign w:val="center"/>
          </w:tcPr>
          <w:p w14:paraId="72B1BB39" w14:textId="6AC3F7E0" w:rsidR="00A85AE5" w:rsidRPr="00350596" w:rsidRDefault="00A85AE5" w:rsidP="00A85AE5">
            <w:pPr>
              <w:pStyle w:val="COMTabletext"/>
            </w:pPr>
            <w:r w:rsidRPr="00350596">
              <w:rPr>
                <w:b/>
                <w:bCs w:val="0"/>
              </w:rPr>
              <w:t>OR</w:t>
            </w:r>
          </w:p>
        </w:tc>
      </w:tr>
      <w:tr w:rsidR="00A85AE5" w:rsidRPr="00350596" w14:paraId="354B58CF" w14:textId="77777777" w:rsidTr="007959EA">
        <w:trPr>
          <w:cantSplit/>
          <w:trHeight w:val="20"/>
        </w:trPr>
        <w:tc>
          <w:tcPr>
            <w:tcW w:w="5000" w:type="pct"/>
            <w:vAlign w:val="center"/>
          </w:tcPr>
          <w:p w14:paraId="2A846CB6" w14:textId="269ADD1C" w:rsidR="00A85AE5" w:rsidRPr="00350596" w:rsidRDefault="00A85AE5" w:rsidP="00A85AE5">
            <w:pPr>
              <w:pStyle w:val="COMTabletext"/>
              <w:rPr>
                <w:b/>
                <w:bCs w:val="0"/>
              </w:rPr>
            </w:pPr>
            <w:r w:rsidRPr="00350596">
              <w:rPr>
                <w:b/>
                <w:bCs w:val="0"/>
              </w:rPr>
              <w:t>Clinical criteria:</w:t>
            </w:r>
          </w:p>
        </w:tc>
      </w:tr>
      <w:tr w:rsidR="00A85AE5" w:rsidRPr="00350596" w14:paraId="4F969F38" w14:textId="77777777" w:rsidTr="007959EA">
        <w:trPr>
          <w:cantSplit/>
          <w:trHeight w:val="20"/>
        </w:trPr>
        <w:tc>
          <w:tcPr>
            <w:tcW w:w="5000" w:type="pct"/>
            <w:vAlign w:val="center"/>
          </w:tcPr>
          <w:p w14:paraId="7CE746DE" w14:textId="606708D3" w:rsidR="00A85AE5" w:rsidRPr="00350596" w:rsidRDefault="00A85AE5" w:rsidP="00A85AE5">
            <w:pPr>
              <w:pStyle w:val="COMTabletext"/>
              <w:rPr>
                <w:b/>
                <w:bCs w:val="0"/>
              </w:rPr>
            </w:pPr>
            <w:r w:rsidRPr="00350596">
              <w:t>Patient fails to achieve the specified benefit/response following treatment.</w:t>
            </w:r>
          </w:p>
        </w:tc>
      </w:tr>
    </w:tbl>
    <w:p w14:paraId="059997BC" w14:textId="634E20A7" w:rsidR="00F67A69" w:rsidRPr="00350596" w:rsidRDefault="00962073" w:rsidP="00BE22AE">
      <w:pPr>
        <w:pStyle w:val="COMexecsummnumbered"/>
      </w:pPr>
      <w:r w:rsidRPr="00350596">
        <w:t xml:space="preserve">The submission proposed a special pricing arrangement for efgartigimod which represented a rebate of </w:t>
      </w:r>
      <w:r w:rsidR="00823FDB" w:rsidRPr="002B16A5">
        <w:rPr>
          <w:color w:val="000000"/>
          <w:w w:val="15"/>
          <w:shd w:val="solid" w:color="000000" w:fill="000000"/>
          <w:fitText w:val="-20" w:id="-691796735"/>
          <w14:textFill>
            <w14:solidFill>
              <w14:srgbClr w14:val="000000">
                <w14:alpha w14:val="100000"/>
              </w14:srgbClr>
            </w14:solidFill>
          </w14:textFill>
        </w:rPr>
        <w:t>|</w:t>
      </w:r>
      <w:r w:rsidR="00D53C72" w:rsidRPr="002B16A5">
        <w:rPr>
          <w:color w:val="000000"/>
          <w:w w:val="15"/>
          <w:shd w:val="solid" w:color="000000" w:fill="000000"/>
          <w:fitText w:val="-20" w:id="-691796735"/>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735"/>
          <w14:textFill>
            <w14:solidFill>
              <w14:srgbClr w14:val="000000">
                <w14:alpha w14:val="100000"/>
              </w14:srgbClr>
            </w14:solidFill>
          </w14:textFill>
        </w:rPr>
        <w:t>|</w:t>
      </w:r>
      <w:r w:rsidRPr="00350596">
        <w:t>% of the published AEMP of $</w:t>
      </w:r>
      <w:r w:rsidR="00823FDB" w:rsidRPr="002B16A5">
        <w:rPr>
          <w:color w:val="000000"/>
          <w:w w:val="15"/>
          <w:shd w:val="solid" w:color="000000" w:fill="000000"/>
          <w:fitText w:val="-20" w:id="-691796734"/>
          <w14:textFill>
            <w14:solidFill>
              <w14:srgbClr w14:val="000000">
                <w14:alpha w14:val="100000"/>
              </w14:srgbClr>
            </w14:solidFill>
          </w14:textFill>
        </w:rPr>
        <w:t>|</w:t>
      </w:r>
      <w:r w:rsidR="00D53C72" w:rsidRPr="002B16A5">
        <w:rPr>
          <w:color w:val="000000"/>
          <w:w w:val="15"/>
          <w:shd w:val="solid" w:color="000000" w:fill="000000"/>
          <w:fitText w:val="-20" w:id="-691796734"/>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734"/>
          <w14:textFill>
            <w14:solidFill>
              <w14:srgbClr w14:val="000000">
                <w14:alpha w14:val="100000"/>
              </w14:srgbClr>
            </w14:solidFill>
          </w14:textFill>
        </w:rPr>
        <w:t>|</w:t>
      </w:r>
      <w:r w:rsidRPr="00350596">
        <w:t xml:space="preserve"> per vial.</w:t>
      </w:r>
    </w:p>
    <w:p w14:paraId="3F11F7E1" w14:textId="2AD08AB6" w:rsidR="00301E8C" w:rsidRPr="00350596" w:rsidRDefault="00301E8C" w:rsidP="00962073">
      <w:pPr>
        <w:pStyle w:val="COMexecsummnumbered"/>
      </w:pPr>
      <w:r w:rsidRPr="00350596">
        <w:t>The submission indicated that the intended place in therapy was in refractory patients (with moderate-severe, symptomatic disease, despite use of conventional oral therapies) though the evaluation noted the proposed restriction was broad and would allow use in the bridging setting. T</w:t>
      </w:r>
      <w:r w:rsidR="00FD096F" w:rsidRPr="00350596">
        <w:t xml:space="preserve">he </w:t>
      </w:r>
      <w:r w:rsidR="00E054E6" w:rsidRPr="00350596">
        <w:t>Pre-Sub-Committee Response (</w:t>
      </w:r>
      <w:r w:rsidR="00FD096F" w:rsidRPr="00350596">
        <w:t>PSCR</w:t>
      </w:r>
      <w:r w:rsidR="0043147F" w:rsidRPr="00350596">
        <w:t xml:space="preserve">) stated that the </w:t>
      </w:r>
      <w:r w:rsidRPr="00350596">
        <w:t xml:space="preserve">proposed place is </w:t>
      </w:r>
      <w:r w:rsidR="0043147F" w:rsidRPr="00350596">
        <w:t>for patients who are currently being maintained on IVIg or would otherwise be prescribed human blood products</w:t>
      </w:r>
      <w:r w:rsidR="00835102" w:rsidRPr="00350596">
        <w:t>, but with a higher threshold (functional impairment) for treatment based on the recommendation of clinicians</w:t>
      </w:r>
      <w:r w:rsidR="0043147F" w:rsidRPr="00350596">
        <w:t xml:space="preserve">. </w:t>
      </w:r>
      <w:r w:rsidR="001600EC" w:rsidRPr="00350596">
        <w:t xml:space="preserve">Refer to paragraph </w:t>
      </w:r>
      <w:r w:rsidR="000C4FC5" w:rsidRPr="00350596">
        <w:rPr>
          <w:highlight w:val="yellow"/>
        </w:rPr>
        <w:fldChar w:fldCharType="begin"/>
      </w:r>
      <w:r w:rsidR="000C4FC5" w:rsidRPr="00350596">
        <w:instrText xml:space="preserve"> REF _Ref194350211 \r \h </w:instrText>
      </w:r>
      <w:r w:rsidR="000C4FC5" w:rsidRPr="00350596">
        <w:rPr>
          <w:highlight w:val="yellow"/>
        </w:rPr>
      </w:r>
      <w:r w:rsidR="000C4FC5" w:rsidRPr="00350596">
        <w:rPr>
          <w:highlight w:val="yellow"/>
        </w:rPr>
        <w:fldChar w:fldCharType="separate"/>
      </w:r>
      <w:r w:rsidR="002B16A5">
        <w:t>8.6</w:t>
      </w:r>
      <w:r w:rsidR="000C4FC5" w:rsidRPr="00350596">
        <w:rPr>
          <w:highlight w:val="yellow"/>
        </w:rPr>
        <w:fldChar w:fldCharType="end"/>
      </w:r>
      <w:r w:rsidR="001600EC" w:rsidRPr="00350596">
        <w:t xml:space="preserve"> for the PBAC’s advice regarding the place in therapy.</w:t>
      </w:r>
    </w:p>
    <w:p w14:paraId="50995E52" w14:textId="78EB2BBE" w:rsidR="00E92505" w:rsidRPr="00350596" w:rsidRDefault="00BE22AE" w:rsidP="00962073">
      <w:pPr>
        <w:pStyle w:val="COMexecsummnumbered"/>
      </w:pPr>
      <w:r w:rsidRPr="00350596">
        <w:t xml:space="preserve">As outlined in </w:t>
      </w:r>
      <w:r w:rsidR="003B253C" w:rsidRPr="00350596">
        <w:t>Section 7</w:t>
      </w:r>
      <w:r w:rsidRPr="00350596">
        <w:t>, the ESC recalled advice from the clinicians present at the gMG stakeholder meeting (May 2024) that the new gMG therapies should be available in both the bridging and refractory settings. The ESC considered that separate PBS restrictions would be required in each of these settings.</w:t>
      </w:r>
    </w:p>
    <w:p w14:paraId="744482E6" w14:textId="7A77C881" w:rsidR="00344B9A" w:rsidRPr="00350596" w:rsidRDefault="00344B9A" w:rsidP="00962073">
      <w:pPr>
        <w:pStyle w:val="COMexecsummnumbered"/>
      </w:pPr>
      <w:r w:rsidRPr="00350596">
        <w:lastRenderedPageBreak/>
        <w:t xml:space="preserve">The proposed PBS restrictions are narrower than the </w:t>
      </w:r>
      <w:r w:rsidR="00CC0354" w:rsidRPr="00350596">
        <w:t xml:space="preserve">registered </w:t>
      </w:r>
      <w:r w:rsidRPr="00350596">
        <w:t xml:space="preserve">TGA indication due </w:t>
      </w:r>
      <w:r w:rsidR="00761356" w:rsidRPr="00350596">
        <w:t xml:space="preserve">to </w:t>
      </w:r>
      <w:r w:rsidRPr="00350596">
        <w:t>additional clinical criteria for prior therapies, functional impairments and treatment response.</w:t>
      </w:r>
    </w:p>
    <w:p w14:paraId="50DF3000" w14:textId="0DA7808D" w:rsidR="00CC35EA" w:rsidRPr="00350596" w:rsidRDefault="00B70233" w:rsidP="00F9393E">
      <w:pPr>
        <w:pStyle w:val="COMexecsummnumbered"/>
      </w:pPr>
      <w:r w:rsidRPr="00350596">
        <w:t>The submission proposed using the Myasthenia Gravis Activities of Daily Living (MG-ADL) and Myasthenia Gravis Composite (MGC) instruments to assess functional impairment criteria under the requested PBS restriction. The submission noted that the use of MG-ADL scores was consistent with eligibility criteria in the key trial, but that MGC is the predominant instrument used in Australia based on feedback from Australian physicians (METIS Healthcare Research, October 2024). Th</w:t>
      </w:r>
      <w:r w:rsidR="004C61EF" w:rsidRPr="00350596">
        <w:t>e evaluation considered th</w:t>
      </w:r>
      <w:r w:rsidRPr="00350596">
        <w:t>is proposal appeared reasonable based on results from the sponsor-commissioned survey that indicated that the use of MGC is common (60%), although fewer respondents used MG-ADL (20%), and a substantial proportion of respondents did not use any particular instrument (33%).</w:t>
      </w:r>
      <w:r w:rsidR="00BC60E4" w:rsidRPr="00350596">
        <w:t xml:space="preserve"> </w:t>
      </w:r>
    </w:p>
    <w:p w14:paraId="7E4329E0" w14:textId="67EFA2D7" w:rsidR="00B15FF3" w:rsidRPr="00350596" w:rsidRDefault="002F5ABD" w:rsidP="00F9393E">
      <w:pPr>
        <w:pStyle w:val="COMexecsummnumbered"/>
      </w:pPr>
      <w:r w:rsidRPr="00350596">
        <w:t>The submission proposed functional impairment criteria based on</w:t>
      </w:r>
      <w:r w:rsidR="00980335" w:rsidRPr="00350596">
        <w:t xml:space="preserve"> an</w:t>
      </w:r>
      <w:r w:rsidRPr="00350596">
        <w:t xml:space="preserve"> MG-ADL score of ≥5 (with &gt; 50% of the total score due to non-ocular symptoms) or MGC score of ≥10. The submission claimed that while MG-ADL and MGC share six out of eight symptom domains and are strongly correlated, it is not possible to directly translate an MG-ADL score to an MGC score. The submission stated that the proposed MGC threshold of 10 was based on feedback from Australian physicians, and that this would also capture the majority of the key trial population (94% with MGC ≥10). The MG-ADL criterion was consistent with eligibility criteria in the key trial. </w:t>
      </w:r>
      <w:r w:rsidR="00B048D9" w:rsidRPr="00350596">
        <w:t xml:space="preserve">The PSCR </w:t>
      </w:r>
      <w:r w:rsidR="00345CC1" w:rsidRPr="00350596">
        <w:t>stat</w:t>
      </w:r>
      <w:r w:rsidR="00B048D9" w:rsidRPr="00350596">
        <w:t xml:space="preserve">ed that </w:t>
      </w:r>
      <w:r w:rsidR="00442ADB" w:rsidRPr="00350596">
        <w:t>MG-ADL is the preferred restriction criteria as it was the primary endpoint in the ADAPT trial, but stated that the sponsor would support a standardised approach to assessing functional impairment across the sub</w:t>
      </w:r>
      <w:r w:rsidR="009B32C7" w:rsidRPr="00350596">
        <w:t xml:space="preserve">sidised therapies. </w:t>
      </w:r>
      <w:r w:rsidR="004C61EF" w:rsidRPr="00350596">
        <w:t>Refer to paragraph</w:t>
      </w:r>
      <w:r w:rsidR="001D2ECC" w:rsidRPr="00350596">
        <w:t>s</w:t>
      </w:r>
      <w:r w:rsidR="004C61EF" w:rsidRPr="00350596">
        <w:t xml:space="preserve"> </w:t>
      </w:r>
      <w:r w:rsidR="002649A0" w:rsidRPr="00350596">
        <w:fldChar w:fldCharType="begin"/>
      </w:r>
      <w:r w:rsidR="002649A0" w:rsidRPr="00350596">
        <w:instrText xml:space="preserve"> REF _Ref194591780 \r \h </w:instrText>
      </w:r>
      <w:r w:rsidR="000B06A7" w:rsidRPr="00350596">
        <w:instrText xml:space="preserve"> \* MERGEFORMAT </w:instrText>
      </w:r>
      <w:r w:rsidR="002649A0" w:rsidRPr="00350596">
        <w:fldChar w:fldCharType="separate"/>
      </w:r>
      <w:r w:rsidR="002B16A5">
        <w:t>8.7</w:t>
      </w:r>
      <w:r w:rsidR="002649A0" w:rsidRPr="00350596">
        <w:fldChar w:fldCharType="end"/>
      </w:r>
      <w:r w:rsidR="002649A0" w:rsidRPr="00350596">
        <w:t xml:space="preserve"> </w:t>
      </w:r>
      <w:r w:rsidR="004E2276" w:rsidRPr="00350596">
        <w:t xml:space="preserve">to </w:t>
      </w:r>
      <w:r w:rsidR="00453FB5" w:rsidRPr="00350596">
        <w:fldChar w:fldCharType="begin"/>
      </w:r>
      <w:r w:rsidR="00453FB5" w:rsidRPr="00350596">
        <w:instrText xml:space="preserve"> REF _Ref194591790 \r \h </w:instrText>
      </w:r>
      <w:r w:rsidR="00453FB5" w:rsidRPr="00350596">
        <w:fldChar w:fldCharType="separate"/>
      </w:r>
      <w:r w:rsidR="002B16A5">
        <w:t>8.8</w:t>
      </w:r>
      <w:r w:rsidR="00453FB5" w:rsidRPr="00350596">
        <w:fldChar w:fldCharType="end"/>
      </w:r>
      <w:r w:rsidR="00DA6027" w:rsidRPr="00350596">
        <w:t xml:space="preserve"> </w:t>
      </w:r>
      <w:r w:rsidR="004C61EF" w:rsidRPr="00350596">
        <w:t>for the PBAC’s advice regarding initiation criteria.</w:t>
      </w:r>
    </w:p>
    <w:p w14:paraId="02050F3E" w14:textId="108D0A9C" w:rsidR="00933B46" w:rsidRPr="00350596" w:rsidRDefault="00933B46" w:rsidP="00A66E75">
      <w:pPr>
        <w:pStyle w:val="COMexecsummnumbered"/>
      </w:pPr>
      <w:r w:rsidRPr="00350596">
        <w:t xml:space="preserve">The pre-PBAC response </w:t>
      </w:r>
      <w:r w:rsidR="004230B6" w:rsidRPr="00350596">
        <w:t xml:space="preserve">reiterated that </w:t>
      </w:r>
      <w:r w:rsidR="00D82B95" w:rsidRPr="00350596">
        <w:t xml:space="preserve">the proposed PBS restriction for efgartigimod </w:t>
      </w:r>
      <w:r w:rsidR="00732890" w:rsidRPr="00350596">
        <w:t xml:space="preserve">requires a </w:t>
      </w:r>
      <w:r w:rsidR="009977AF" w:rsidRPr="00350596">
        <w:t xml:space="preserve">higher </w:t>
      </w:r>
      <w:r w:rsidR="00732890" w:rsidRPr="00350596">
        <w:t xml:space="preserve">disease severity score </w:t>
      </w:r>
      <w:r w:rsidR="009977AF" w:rsidRPr="00350596">
        <w:t xml:space="preserve">than the IVIg criteria, and noted that </w:t>
      </w:r>
      <w:r w:rsidR="00CA5F50" w:rsidRPr="00350596">
        <w:t>not all patients on human blood products are anticipated to be eligible for treatment with efgartigimod, and some may not wish to transition to a new therapy if they are satisfied with IVIg treatment.</w:t>
      </w:r>
    </w:p>
    <w:p w14:paraId="1CA0B366" w14:textId="37A343ED" w:rsidR="00A02B72" w:rsidRPr="00350596" w:rsidRDefault="002F5ABD" w:rsidP="00104A28">
      <w:pPr>
        <w:pStyle w:val="COMexecsummnumbered"/>
      </w:pPr>
      <w:r w:rsidRPr="00350596">
        <w:t xml:space="preserve">The </w:t>
      </w:r>
      <w:r w:rsidR="00BE22AE" w:rsidRPr="00350596">
        <w:t xml:space="preserve">evaluation </w:t>
      </w:r>
      <w:r w:rsidR="00F54902" w:rsidRPr="00350596">
        <w:t xml:space="preserve">and the ESC </w:t>
      </w:r>
      <w:r w:rsidR="00BE22AE" w:rsidRPr="00350596">
        <w:t xml:space="preserve">considered that the </w:t>
      </w:r>
      <w:r w:rsidRPr="00350596">
        <w:t>proposed prior therapy criteria of stable doses for 3 months with at least two prior oral therapies (anticholinesterase, corticosteroid and/or non-steroidal immunosuppressive therapy</w:t>
      </w:r>
      <w:r w:rsidR="00DA6027" w:rsidRPr="00350596">
        <w:t xml:space="preserve"> (NS-IST)</w:t>
      </w:r>
      <w:r w:rsidRPr="00350596">
        <w:t xml:space="preserve">) was broad as it did not require the corticosteroid/immunosuppressive therapy to have been optimised, nor require combination corticosteroids plus </w:t>
      </w:r>
      <w:r w:rsidR="00DA6027" w:rsidRPr="00350596">
        <w:t xml:space="preserve">NS-IST </w:t>
      </w:r>
      <w:r w:rsidRPr="00350596">
        <w:t>to have been trialled.</w:t>
      </w:r>
      <w:r w:rsidR="009B32C7" w:rsidRPr="00350596">
        <w:t xml:space="preserve"> The PSCR argued that </w:t>
      </w:r>
      <w:r w:rsidR="008B0218" w:rsidRPr="00350596">
        <w:t xml:space="preserve">“stable” doses were proposed in the criteria because Australian clinicians advised that there is no clear definition of “optimal” doses whereas a “stable” dose is quantifiable and achievable. </w:t>
      </w:r>
      <w:r w:rsidR="004C61EF" w:rsidRPr="00350596">
        <w:t>Refer to paragraph</w:t>
      </w:r>
      <w:r w:rsidR="001A6F04" w:rsidRPr="00350596">
        <w:t>s</w:t>
      </w:r>
      <w:r w:rsidR="004C61EF" w:rsidRPr="00350596">
        <w:t xml:space="preserve"> </w:t>
      </w:r>
      <w:r w:rsidR="001A6F04" w:rsidRPr="00350596">
        <w:t xml:space="preserve">8.7 to 8.9 </w:t>
      </w:r>
      <w:r w:rsidR="004C61EF" w:rsidRPr="00350596">
        <w:t>for the PBAC’s advice regarding initiation criteria.</w:t>
      </w:r>
    </w:p>
    <w:p w14:paraId="306CE43E" w14:textId="72228EF8" w:rsidR="002F5ABD" w:rsidRPr="00350596" w:rsidRDefault="002F5ABD" w:rsidP="00F9393E">
      <w:pPr>
        <w:pStyle w:val="COMexecsummnumbered"/>
      </w:pPr>
      <w:r w:rsidRPr="00350596">
        <w:lastRenderedPageBreak/>
        <w:t>The proposed restriction did not require concomitant use of standard therapies, which was inconsistent with the TGA indication for efgartigimod</w:t>
      </w:r>
      <w:r w:rsidR="008908E2" w:rsidRPr="00350596">
        <w:t>, which is as</w:t>
      </w:r>
      <w:r w:rsidRPr="00350596">
        <w:t xml:space="preserve"> </w:t>
      </w:r>
      <w:r w:rsidR="008908E2" w:rsidRPr="00350596">
        <w:t xml:space="preserve">an </w:t>
      </w:r>
      <w:r w:rsidRPr="00350596">
        <w:t>add-on to standard therapy.</w:t>
      </w:r>
    </w:p>
    <w:p w14:paraId="157F1D6A" w14:textId="64800EF2" w:rsidR="00873B9A" w:rsidRPr="00350596" w:rsidRDefault="00873B9A" w:rsidP="00F9393E">
      <w:pPr>
        <w:pStyle w:val="COMexecsummnumbered"/>
      </w:pPr>
      <w:r w:rsidRPr="00350596">
        <w:t>The submission proposed separate initial, continuing and re-initiating restrictions with each script providing sufficient quantities and repeats for 3 treatment cycles. The submission claimed that patients achieving response in the initial treatment period could continue treatment with annual assessments for response. However, should this continuum be broken, then patients must meet re-initiation criteria to restart therapy.</w:t>
      </w:r>
    </w:p>
    <w:p w14:paraId="3328F4DA" w14:textId="6160E368" w:rsidR="00F54902" w:rsidRPr="00350596" w:rsidRDefault="007A615D" w:rsidP="00675512">
      <w:pPr>
        <w:pStyle w:val="COMexecsummnumbered"/>
      </w:pPr>
      <w:r w:rsidRPr="00350596">
        <w:t xml:space="preserve">The proposed script coverage of 3 treatment cycles for the initial restriction was inconsistent with the submission’s continuing restriction that required prior response during the first 2 treatment cycles of the initial period. </w:t>
      </w:r>
      <w:r w:rsidR="00494952" w:rsidRPr="00350596">
        <w:t>The evaluation considered i</w:t>
      </w:r>
      <w:r w:rsidRPr="00350596">
        <w:t>t may be more appropriate for the initial restriction to have sufficient script coverage for the first initial treatment cycle, with a balance of supply script for a second initial treatment cycle.</w:t>
      </w:r>
      <w:r w:rsidR="00675512" w:rsidRPr="00350596">
        <w:t xml:space="preserve"> </w:t>
      </w:r>
      <w:r w:rsidR="00494952" w:rsidRPr="00350596">
        <w:t>The evaluation also considered that a</w:t>
      </w:r>
      <w:r w:rsidR="00873B9A" w:rsidRPr="00350596">
        <w:t xml:space="preserve"> lifetime maximum of 2 </w:t>
      </w:r>
      <w:r w:rsidR="00B53BA0" w:rsidRPr="00350596">
        <w:t xml:space="preserve">initial </w:t>
      </w:r>
      <w:r w:rsidR="00873B9A" w:rsidRPr="00350596">
        <w:t>treatment cycles may also be necessary to reduce the risk of ongoing use in patients who do not achieve response.</w:t>
      </w:r>
      <w:r w:rsidR="00FE70A0" w:rsidRPr="00350596">
        <w:t xml:space="preserve"> </w:t>
      </w:r>
      <w:r w:rsidR="00121AAF" w:rsidRPr="00350596">
        <w:t>The PSCR</w:t>
      </w:r>
      <w:r w:rsidR="00423388" w:rsidRPr="00350596">
        <w:t xml:space="preserve"> </w:t>
      </w:r>
      <w:r w:rsidR="00121AAF" w:rsidRPr="00350596">
        <w:t>argued that, “The initial script must provide coverage for at least two full treatment cycles in order to adequately assess the efficacy of efgartigimod. According to the ADAPT trial, 80 per cent of patients achieve response by the end of the second cycle. A “lifetime maximum” of two initial treatment cycles would potentially disadvantage patients whose response may be impacted by other factors (</w:t>
      </w:r>
      <w:r w:rsidR="00F22698" w:rsidRPr="00350596">
        <w:t>e.g.</w:t>
      </w:r>
      <w:r w:rsidR="00121AAF" w:rsidRPr="00350596">
        <w:t xml:space="preserve"> concurrent acute illness, reversible damage to the neuromuscular junction).”</w:t>
      </w:r>
      <w:r w:rsidR="00423388" w:rsidRPr="00350596">
        <w:t xml:space="preserve"> </w:t>
      </w:r>
      <w:r w:rsidR="00494952" w:rsidRPr="00350596">
        <w:t xml:space="preserve">The pre-PBAC response further argued that patients with severe disease should have the option of being treated with three full cycles to provide </w:t>
      </w:r>
      <w:r w:rsidR="00732890" w:rsidRPr="00350596">
        <w:t>an</w:t>
      </w:r>
      <w:r w:rsidR="00494952" w:rsidRPr="00350596">
        <w:t xml:space="preserve"> optimum chance to respond.</w:t>
      </w:r>
    </w:p>
    <w:p w14:paraId="0BC584A5" w14:textId="12432D25" w:rsidR="006256F8" w:rsidRPr="00350596" w:rsidRDefault="004D18F0" w:rsidP="006256F8">
      <w:pPr>
        <w:pStyle w:val="COMexecsummnumbered"/>
      </w:pPr>
      <w:r w:rsidRPr="00350596">
        <w:t xml:space="preserve">The </w:t>
      </w:r>
      <w:r w:rsidR="00494952" w:rsidRPr="00350596">
        <w:t xml:space="preserve">evaluation considered that the </w:t>
      </w:r>
      <w:r w:rsidRPr="00350596">
        <w:t xml:space="preserve">proposed script coverage of 3 treatment cycles for the continuing and re-initiating restrictions was inconsistent with the intended cyclical use of efgartigimod as per the product information, with initiation of subsequent treatment cycles subject to individualised clinical evaluation. </w:t>
      </w:r>
      <w:r w:rsidR="006F54DD" w:rsidRPr="00350596">
        <w:t>The evaluation considered that i</w:t>
      </w:r>
      <w:r w:rsidRPr="00350596">
        <w:t xml:space="preserve">t may be more appropriate to provide script coverage for a single treatment cycle, as clinical assessments should be conducted prior to each treatment cycle. </w:t>
      </w:r>
      <w:r w:rsidR="006F54DD" w:rsidRPr="00350596">
        <w:t>However, the ESC considered that any requirement for patients to obtain a new script for each cycle may be impractical in terms of patients being required to access a specialist when their condition deteriorates, particularly given the longer-term extension studies suggest the treatment-free interval reduces over time</w:t>
      </w:r>
      <w:r w:rsidR="006256F8" w:rsidRPr="00350596">
        <w:t xml:space="preserve"> including gradually reducing to approximately 4 weeks by the thirteenth treatment cycle in Part B of the extension study (refer to paragraph </w:t>
      </w:r>
      <w:r w:rsidR="006256F8" w:rsidRPr="00350596">
        <w:fldChar w:fldCharType="begin"/>
      </w:r>
      <w:r w:rsidR="006256F8" w:rsidRPr="00350596">
        <w:instrText xml:space="preserve"> REF _Ref191201119 \r \h </w:instrText>
      </w:r>
      <w:r w:rsidR="008D6BCC" w:rsidRPr="00350596">
        <w:instrText xml:space="preserve"> \* MERGEFORMAT </w:instrText>
      </w:r>
      <w:r w:rsidR="006256F8" w:rsidRPr="00350596">
        <w:fldChar w:fldCharType="separate"/>
      </w:r>
      <w:r w:rsidR="002B16A5">
        <w:t>6.40</w:t>
      </w:r>
      <w:r w:rsidR="006256F8" w:rsidRPr="00350596">
        <w:fldChar w:fldCharType="end"/>
      </w:r>
      <w:r w:rsidR="006256F8" w:rsidRPr="00350596">
        <w:t>).</w:t>
      </w:r>
    </w:p>
    <w:p w14:paraId="025C5B00" w14:textId="4DEEAD43" w:rsidR="00603849" w:rsidRPr="00350596" w:rsidRDefault="00C879E3" w:rsidP="00F9393E">
      <w:pPr>
        <w:pStyle w:val="COMexecsummnumbered"/>
      </w:pPr>
      <w:r w:rsidRPr="00350596">
        <w:t>The continuing treatment criteria</w:t>
      </w:r>
      <w:r w:rsidR="006256F8" w:rsidRPr="00350596">
        <w:t xml:space="preserve"> proposed in the submission</w:t>
      </w:r>
      <w:r w:rsidR="00603849" w:rsidRPr="00350596">
        <w:t>:</w:t>
      </w:r>
    </w:p>
    <w:p w14:paraId="0E6381DE" w14:textId="5879CA5D" w:rsidR="00C879E3" w:rsidRPr="00350596" w:rsidRDefault="00C879E3" w:rsidP="00794924">
      <w:pPr>
        <w:pStyle w:val="COMexecsummnumbered"/>
        <w:numPr>
          <w:ilvl w:val="0"/>
          <w:numId w:val="10"/>
        </w:numPr>
      </w:pPr>
      <w:r w:rsidRPr="00350596">
        <w:t>define</w:t>
      </w:r>
      <w:r w:rsidR="006256F8" w:rsidRPr="00350596">
        <w:t>d</w:t>
      </w:r>
      <w:r w:rsidRPr="00350596">
        <w:t xml:space="preserve"> treatment response as ≥ 2-point reduction in MG ADL or ≥ 3-point reduction in MGC based on minimal clinically important differences for these instruments. The MG-ADL response threshold was consistent with key outcomes </w:t>
      </w:r>
      <w:r w:rsidRPr="00350596">
        <w:lastRenderedPageBreak/>
        <w:t>in the trial. However, it was unclear whether response based on the MGC ≥ 3 threshold is equivalent to the MG-ADL ≥ 2 threshold.</w:t>
      </w:r>
    </w:p>
    <w:p w14:paraId="67933587" w14:textId="2BB9B073" w:rsidR="00FE03DB" w:rsidRPr="00350596" w:rsidRDefault="00C879E3" w:rsidP="00F717D9">
      <w:pPr>
        <w:pStyle w:val="ListParagraph"/>
        <w:numPr>
          <w:ilvl w:val="0"/>
          <w:numId w:val="10"/>
        </w:numPr>
        <w:spacing w:after="120"/>
        <w:ind w:left="1077" w:hanging="357"/>
        <w:contextualSpacing w:val="0"/>
        <w:rPr>
          <w:rFonts w:asciiTheme="minorHAnsi" w:eastAsiaTheme="minorHAnsi" w:hAnsiTheme="minorHAnsi" w:cstheme="minorBidi"/>
          <w:i/>
          <w:iCs/>
          <w:szCs w:val="22"/>
          <w14:ligatures w14:val="none"/>
        </w:rPr>
      </w:pPr>
      <w:r w:rsidRPr="00350596">
        <w:t>did not include a functional impairment criterion. During the first year of the ADAPT+ extension study (Part A), re</w:t>
      </w:r>
      <w:r w:rsidR="00354EB4" w:rsidRPr="00350596">
        <w:t>-</w:t>
      </w:r>
      <w:r w:rsidRPr="00350596">
        <w:t>treatment was allowed if patients had significant symptoms based on MG-ADL ≥ 5 (with &gt; 50% of the total score due to non-ocular symptoms). In subsequent years of the extension study (Part B), re</w:t>
      </w:r>
      <w:r w:rsidR="00354EB4" w:rsidRPr="00350596">
        <w:t>-</w:t>
      </w:r>
      <w:r w:rsidRPr="00350596">
        <w:t>treatment was based on</w:t>
      </w:r>
      <w:r w:rsidR="006256F8" w:rsidRPr="00350596">
        <w:t xml:space="preserve"> patient and</w:t>
      </w:r>
      <w:r w:rsidRPr="00350596">
        <w:t xml:space="preserve"> investigator discretion only. </w:t>
      </w:r>
    </w:p>
    <w:p w14:paraId="3160F5CA" w14:textId="2BFCBEDA" w:rsidR="006256F8" w:rsidRPr="00350596" w:rsidRDefault="00101F6C" w:rsidP="00F717D9">
      <w:pPr>
        <w:pStyle w:val="ListParagraph"/>
        <w:numPr>
          <w:ilvl w:val="0"/>
          <w:numId w:val="10"/>
        </w:numPr>
        <w:spacing w:after="120"/>
        <w:ind w:left="1077" w:hanging="357"/>
        <w:contextualSpacing w:val="0"/>
      </w:pPr>
      <w:r w:rsidRPr="00350596">
        <w:t>did not require patients to demonstrate loss of treatment response. The ADAPT trial and Part A of the ADAPT+ extension study require</w:t>
      </w:r>
      <w:r w:rsidR="00980335" w:rsidRPr="00350596">
        <w:t>d</w:t>
      </w:r>
      <w:r w:rsidRPr="00350596">
        <w:t xml:space="preserve"> patients to demonstrate loss of response from the previous treatment cycle, defined as </w:t>
      </w:r>
      <w:r w:rsidR="00980335" w:rsidRPr="00350596">
        <w:t>a &lt;</w:t>
      </w:r>
      <w:r w:rsidR="00E81AF8">
        <w:t xml:space="preserve"> </w:t>
      </w:r>
      <w:r w:rsidRPr="00350596">
        <w:t>2</w:t>
      </w:r>
      <w:r w:rsidR="00980335" w:rsidRPr="00350596">
        <w:noBreakHyphen/>
      </w:r>
      <w:r w:rsidRPr="00350596">
        <w:t xml:space="preserve">point reduction in MG-ADL compared to the previous baseline. Loss of treatment response was not a requirement for re-treatment in Part B of the ADAPT+ extension study. </w:t>
      </w:r>
    </w:p>
    <w:p w14:paraId="64B454B9" w14:textId="4DEEECB8" w:rsidR="00101F6C" w:rsidRPr="00350596" w:rsidRDefault="00345CC1" w:rsidP="00104A28">
      <w:pPr>
        <w:pStyle w:val="COMexecsummnumbered"/>
      </w:pPr>
      <w:r w:rsidRPr="00350596">
        <w:t xml:space="preserve">The evaluation considered that it was unclear whether eligibility for subsequent treatment cycles should include both functional impairment and loss of response criteria based on </w:t>
      </w:r>
      <w:r w:rsidR="008B30AE" w:rsidRPr="00350596">
        <w:t xml:space="preserve">the trial’s </w:t>
      </w:r>
      <w:r w:rsidRPr="00350596">
        <w:t>strict re-treatment criteria</w:t>
      </w:r>
      <w:r w:rsidR="008B30AE" w:rsidRPr="00350596">
        <w:t xml:space="preserve">, which </w:t>
      </w:r>
      <w:r w:rsidRPr="00350596">
        <w:t xml:space="preserve">may be difficult to implement in practice. </w:t>
      </w:r>
      <w:r w:rsidR="006E5FC3" w:rsidRPr="00350596">
        <w:t>The PSCR noted that, “</w:t>
      </w:r>
      <w:r w:rsidR="00564FD8" w:rsidRPr="00350596">
        <w:t>s</w:t>
      </w:r>
      <w:r w:rsidR="006E5FC3" w:rsidRPr="00350596">
        <w:t>trict re</w:t>
      </w:r>
      <w:r w:rsidR="00354EB4" w:rsidRPr="00350596">
        <w:t>-</w:t>
      </w:r>
      <w:r w:rsidR="006E5FC3" w:rsidRPr="00350596">
        <w:t>treatment criteria considered in the ADAPT/ADAPT+ trial (i.e., requirement for patients to return to baseline) were specifically designed to evaluate repeatability of treatment effect over cycles for a regulatory purpose. In clinical practice, patients would not be expected to return to baseline prior to receiving the next treatment cycle.”</w:t>
      </w:r>
      <w:r w:rsidR="007D0C46" w:rsidRPr="00350596">
        <w:t xml:space="preserve"> </w:t>
      </w:r>
      <w:r w:rsidR="00FE03DB" w:rsidRPr="00350596">
        <w:t xml:space="preserve">The ESC </w:t>
      </w:r>
      <w:r w:rsidRPr="00350596">
        <w:t>agreed with the evaluation and the PSCR that t</w:t>
      </w:r>
      <w:r w:rsidR="00FE03DB" w:rsidRPr="00350596">
        <w:t>he strict re</w:t>
      </w:r>
      <w:r w:rsidR="00354EB4" w:rsidRPr="00350596">
        <w:t>-</w:t>
      </w:r>
      <w:r w:rsidR="00FE03DB" w:rsidRPr="00350596">
        <w:t xml:space="preserve">treatment criteria in the trial </w:t>
      </w:r>
      <w:r w:rsidR="00E50BDA" w:rsidRPr="00350596">
        <w:t xml:space="preserve">(ADAPT trial and Part A of the ADAPT+ extension study) </w:t>
      </w:r>
      <w:r w:rsidR="00FE03DB" w:rsidRPr="00350596">
        <w:t>may be difficult to implement in practice.</w:t>
      </w:r>
      <w:r w:rsidR="00494952" w:rsidRPr="00350596">
        <w:t xml:space="preserve"> </w:t>
      </w:r>
    </w:p>
    <w:p w14:paraId="2F82137F" w14:textId="2949550B" w:rsidR="00DD3EDE" w:rsidRPr="00350596" w:rsidRDefault="00DD3EDE" w:rsidP="00DD3EDE">
      <w:pPr>
        <w:pStyle w:val="COMexecsummnumbered"/>
      </w:pPr>
      <w:bookmarkStart w:id="8" w:name="_Ref191217211"/>
      <w:r w:rsidRPr="00350596">
        <w:t>In terms of re</w:t>
      </w:r>
      <w:r w:rsidR="00354EB4" w:rsidRPr="00350596">
        <w:t>-</w:t>
      </w:r>
      <w:r w:rsidRPr="00350596">
        <w:t xml:space="preserve">treatment criteria, </w:t>
      </w:r>
      <w:r w:rsidR="00BE69BE" w:rsidRPr="00350596">
        <w:t xml:space="preserve">the </w:t>
      </w:r>
      <w:r w:rsidRPr="00350596">
        <w:t>ESC noted that clinical evidence in this space is evolving</w:t>
      </w:r>
      <w:r w:rsidR="0012238D" w:rsidRPr="00350596">
        <w:t>,</w:t>
      </w:r>
      <w:r w:rsidRPr="00350596">
        <w:t xml:space="preserve"> and appropriate dosing regimens may change over time. A study not provided as part of the submission, ADAPT-NXT, assessed </w:t>
      </w:r>
      <w:r w:rsidR="00BE69BE" w:rsidRPr="00350596">
        <w:t xml:space="preserve">the efficacy </w:t>
      </w:r>
      <w:r w:rsidRPr="00350596">
        <w:t xml:space="preserve">of </w:t>
      </w:r>
      <w:r w:rsidR="00BE69BE" w:rsidRPr="00350596">
        <w:t xml:space="preserve">two different regimens of </w:t>
      </w:r>
      <w:r w:rsidRPr="00350596">
        <w:t>efgartigimod</w:t>
      </w:r>
      <w:r w:rsidR="00575D32" w:rsidRPr="00350596">
        <w:t>, neither of which used</w:t>
      </w:r>
      <w:r w:rsidRPr="00350596">
        <w:t xml:space="preserve"> re-treatment criteria: fixed-cycle (4 once-weekly infusions with a 4-week intertreatment period)</w:t>
      </w:r>
      <w:r w:rsidR="00BE69BE" w:rsidRPr="00350596">
        <w:t>;</w:t>
      </w:r>
      <w:r w:rsidRPr="00350596">
        <w:t xml:space="preserve"> versus continuous dosing (every 2 weeks). Both these regimens (fixed or continuous) would result in more frequent dosing than observed overall throughout the ADAPT trial and the ADAPT+ extension studies (which required re-treatment criteria to be met, including meeting functional impairment and loss of response criteria in the ADAPT trial and ADAPT+ Part A study), though by the thirteenth treatment cycle of Part B of the extension study</w:t>
      </w:r>
      <w:r w:rsidR="00BE69BE" w:rsidRPr="00350596">
        <w:t xml:space="preserve"> (which had less strict re-treatment criteria)</w:t>
      </w:r>
      <w:r w:rsidRPr="00350596">
        <w:t>, the median treatment free interval was four weeks i.e. similar to the fixed-cycle regimen of ADAPT-NXT.</w:t>
      </w:r>
      <w:bookmarkEnd w:id="8"/>
      <w:r w:rsidRPr="00350596">
        <w:t xml:space="preserve"> </w:t>
      </w:r>
      <w:r w:rsidR="00651D6A" w:rsidRPr="00350596">
        <w:t xml:space="preserve">Refer to paragraph </w:t>
      </w:r>
      <w:r w:rsidR="008B30AE" w:rsidRPr="00350596">
        <w:fldChar w:fldCharType="begin"/>
      </w:r>
      <w:r w:rsidR="008B30AE" w:rsidRPr="00350596">
        <w:instrText xml:space="preserve"> REF _Ref194934286 \r \h </w:instrText>
      </w:r>
      <w:r w:rsidR="008B30AE" w:rsidRPr="00350596">
        <w:fldChar w:fldCharType="separate"/>
      </w:r>
      <w:r w:rsidR="002B16A5">
        <w:t>8.11</w:t>
      </w:r>
      <w:r w:rsidR="008B30AE" w:rsidRPr="00350596">
        <w:fldChar w:fldCharType="end"/>
      </w:r>
      <w:r w:rsidR="00B60D7F" w:rsidRPr="00350596">
        <w:t xml:space="preserve"> </w:t>
      </w:r>
      <w:r w:rsidR="00651D6A" w:rsidRPr="00350596">
        <w:t xml:space="preserve">for the PBAC’s advice regarding re-treatment criteria for the </w:t>
      </w:r>
      <w:r w:rsidR="008A34A5" w:rsidRPr="00350596">
        <w:t>FcRn</w:t>
      </w:r>
      <w:r w:rsidR="00651D6A" w:rsidRPr="00350596">
        <w:t xml:space="preserve"> blockers.</w:t>
      </w:r>
    </w:p>
    <w:p w14:paraId="2C32B92B" w14:textId="0CE822B7" w:rsidR="00DD3EDE" w:rsidRPr="00350596" w:rsidRDefault="00DD3EDE" w:rsidP="00104A28">
      <w:pPr>
        <w:pStyle w:val="COMexecsummnumbered"/>
      </w:pPr>
      <w:r w:rsidRPr="00350596">
        <w:t>The ESC considered that it was unclear whether, in clinical practice, patients and clinicians would follow the more frequent dosing protocols used in ADAPT-NXT, which would increase treatment costs</w:t>
      </w:r>
      <w:r w:rsidR="00F42B20" w:rsidRPr="00350596">
        <w:t xml:space="preserve"> (refer to paragraph </w:t>
      </w:r>
      <w:r w:rsidR="00F42B20" w:rsidRPr="00350596">
        <w:fldChar w:fldCharType="begin"/>
      </w:r>
      <w:r w:rsidR="00F42B20" w:rsidRPr="00350596">
        <w:instrText xml:space="preserve"> REF _Ref191281649 \r \h  \* MERGEFORMAT </w:instrText>
      </w:r>
      <w:r w:rsidR="00F42B20" w:rsidRPr="00350596">
        <w:fldChar w:fldCharType="separate"/>
      </w:r>
      <w:r w:rsidR="002B16A5">
        <w:t>6.103</w:t>
      </w:r>
      <w:r w:rsidR="00F42B20" w:rsidRPr="00350596">
        <w:fldChar w:fldCharType="end"/>
      </w:r>
      <w:r w:rsidR="00F42B20" w:rsidRPr="00350596">
        <w:t>)</w:t>
      </w:r>
      <w:r w:rsidRPr="00350596">
        <w:t xml:space="preserve">. </w:t>
      </w:r>
    </w:p>
    <w:p w14:paraId="700E868E" w14:textId="25F85DF5" w:rsidR="001E7C78" w:rsidRPr="00350596" w:rsidRDefault="00F31C07" w:rsidP="00104A28">
      <w:pPr>
        <w:pStyle w:val="COMexecsummnumbered"/>
      </w:pPr>
      <w:r w:rsidRPr="00350596">
        <w:lastRenderedPageBreak/>
        <w:t xml:space="preserve">The </w:t>
      </w:r>
      <w:r w:rsidR="006256F8" w:rsidRPr="00350596">
        <w:t xml:space="preserve">submission </w:t>
      </w:r>
      <w:r w:rsidRPr="00350596">
        <w:t xml:space="preserve">proposed </w:t>
      </w:r>
      <w:r w:rsidR="006256F8" w:rsidRPr="00350596">
        <w:t xml:space="preserve">a </w:t>
      </w:r>
      <w:r w:rsidRPr="00350596">
        <w:t>stopping rule for patients who do not achieve response following initial treatment</w:t>
      </w:r>
      <w:r w:rsidR="006256F8" w:rsidRPr="00350596">
        <w:t xml:space="preserve">, however the evaluation noted that this </w:t>
      </w:r>
      <w:r w:rsidRPr="00350596">
        <w:t xml:space="preserve">appeared redundant given specific treatment response criteria under the continuing treatment restriction. </w:t>
      </w:r>
      <w:r w:rsidR="001E7C78" w:rsidRPr="00350596">
        <w:t>The PBAC previously agreed with stakeholder meeting outcomes that there should be robust stopping rules to prevent ongoing use of newer therapies including efgartigimod, noting that this would be harder in patients with treatment-refractory disease (para</w:t>
      </w:r>
      <w:r w:rsidR="00A85BBF" w:rsidRPr="00350596">
        <w:t>graph</w:t>
      </w:r>
      <w:r w:rsidR="001E7C78" w:rsidRPr="00350596">
        <w:t xml:space="preserve"> </w:t>
      </w:r>
      <w:r w:rsidR="00777B42" w:rsidRPr="00350596">
        <w:t>2.4</w:t>
      </w:r>
      <w:r w:rsidR="001E7C78" w:rsidRPr="00350596">
        <w:t xml:space="preserve">, </w:t>
      </w:r>
      <w:r w:rsidR="00D43DB2" w:rsidRPr="00350596">
        <w:t>ravulizumab</w:t>
      </w:r>
      <w:r w:rsidR="001E7C78" w:rsidRPr="00350596">
        <w:t xml:space="preserve"> </w:t>
      </w:r>
      <w:r w:rsidR="00980335" w:rsidRPr="00350596">
        <w:t>Public Summary Document (</w:t>
      </w:r>
      <w:r w:rsidR="001E7C78" w:rsidRPr="00350596">
        <w:t>PSD</w:t>
      </w:r>
      <w:r w:rsidR="00980335" w:rsidRPr="00350596">
        <w:t>)</w:t>
      </w:r>
      <w:r w:rsidR="001E7C78" w:rsidRPr="00350596">
        <w:t>, July</w:t>
      </w:r>
      <w:r w:rsidR="00F717D9" w:rsidRPr="00350596">
        <w:t> </w:t>
      </w:r>
      <w:r w:rsidR="001E7C78" w:rsidRPr="00350596">
        <w:t>2024 PBAC meeting). No stopping rules (i.e. requiring cessation in patients with response in order to prevent ongoing use that may be unnecessary) were proposed in the submission.</w:t>
      </w:r>
      <w:r w:rsidR="00F54902" w:rsidRPr="00350596">
        <w:t xml:space="preserve"> Refer to </w:t>
      </w:r>
      <w:r w:rsidR="000E1357" w:rsidRPr="00350596">
        <w:t>Section 7</w:t>
      </w:r>
      <w:r w:rsidR="00F54902" w:rsidRPr="00350596">
        <w:t xml:space="preserve"> for ESC Advice relevant to stopping rules.</w:t>
      </w:r>
      <w:r w:rsidR="001D6FBF" w:rsidRPr="00350596">
        <w:t xml:space="preserve"> The pre-PBAC response </w:t>
      </w:r>
      <w:r w:rsidR="00640919" w:rsidRPr="00350596">
        <w:t xml:space="preserve">argued that it is unnecessary to </w:t>
      </w:r>
      <w:r w:rsidR="000862C4" w:rsidRPr="00350596">
        <w:t>impose a stopping rule after the initial six months of treatment for newly initiated patients because efgartigimod</w:t>
      </w:r>
      <w:r w:rsidR="00124730" w:rsidRPr="00350596">
        <w:t>’s</w:t>
      </w:r>
      <w:r w:rsidR="00640919" w:rsidRPr="00350596">
        <w:t xml:space="preserve"> </w:t>
      </w:r>
      <w:r w:rsidR="00494952" w:rsidRPr="00350596">
        <w:t xml:space="preserve">cyclical </w:t>
      </w:r>
      <w:r w:rsidR="00526BF0" w:rsidRPr="00350596">
        <w:t xml:space="preserve">dosing </w:t>
      </w:r>
      <w:r w:rsidR="00494952" w:rsidRPr="00350596">
        <w:t xml:space="preserve">is intended to </w:t>
      </w:r>
      <w:r w:rsidR="00526BF0" w:rsidRPr="00350596">
        <w:t>incorporate pauses after each four-week cycle, to enable the treating clinician (and patient) to assess the need for ongoing therapy.</w:t>
      </w:r>
      <w:r w:rsidR="00494952" w:rsidRPr="00350596">
        <w:t xml:space="preserve"> Refer to paragraph</w:t>
      </w:r>
      <w:r w:rsidR="006B57E7" w:rsidRPr="00350596">
        <w:t>s</w:t>
      </w:r>
      <w:r w:rsidR="00494952" w:rsidRPr="00350596">
        <w:t xml:space="preserve"> </w:t>
      </w:r>
      <w:r w:rsidR="006B57E7" w:rsidRPr="00350596">
        <w:fldChar w:fldCharType="begin"/>
      </w:r>
      <w:r w:rsidR="006B57E7" w:rsidRPr="00350596">
        <w:instrText xml:space="preserve"> REF _Ref194350211 \r \h </w:instrText>
      </w:r>
      <w:r w:rsidR="006B57E7" w:rsidRPr="00350596">
        <w:fldChar w:fldCharType="separate"/>
      </w:r>
      <w:r w:rsidR="002B16A5">
        <w:t>8.6</w:t>
      </w:r>
      <w:r w:rsidR="006B57E7" w:rsidRPr="00350596">
        <w:fldChar w:fldCharType="end"/>
      </w:r>
      <w:r w:rsidR="006B57E7" w:rsidRPr="00350596">
        <w:t xml:space="preserve"> and </w:t>
      </w:r>
      <w:r w:rsidR="006B57E7" w:rsidRPr="00350596">
        <w:fldChar w:fldCharType="begin"/>
      </w:r>
      <w:r w:rsidR="006B57E7" w:rsidRPr="00350596">
        <w:instrText xml:space="preserve"> REF _Ref194593143 \r \h </w:instrText>
      </w:r>
      <w:r w:rsidR="006B57E7" w:rsidRPr="00350596">
        <w:fldChar w:fldCharType="separate"/>
      </w:r>
      <w:r w:rsidR="002B16A5">
        <w:t>8.9</w:t>
      </w:r>
      <w:r w:rsidR="006B57E7" w:rsidRPr="00350596">
        <w:fldChar w:fldCharType="end"/>
      </w:r>
      <w:r w:rsidR="006B57E7" w:rsidRPr="00350596">
        <w:t xml:space="preserve"> </w:t>
      </w:r>
      <w:r w:rsidR="00494952" w:rsidRPr="00350596">
        <w:t>for the PBAC’s advice regarding therapy cessation.</w:t>
      </w:r>
    </w:p>
    <w:p w14:paraId="7C35B43B" w14:textId="15D60AB1" w:rsidR="00A14094" w:rsidRPr="00350596" w:rsidRDefault="00A14094" w:rsidP="00F9393E">
      <w:pPr>
        <w:pStyle w:val="COMexecsummnumbered"/>
      </w:pPr>
      <w:r w:rsidRPr="00350596">
        <w:t>The proposed prescribing instructions state that efgartigimod should not be used concomitantly with rituximab or complement inhibitors.</w:t>
      </w:r>
      <w:r w:rsidR="00F54902" w:rsidRPr="00350596">
        <w:t xml:space="preserve"> However, the evaluation considered that </w:t>
      </w:r>
      <w:r w:rsidR="00301E8C" w:rsidRPr="00350596">
        <w:t>additional classes could be added noting th</w:t>
      </w:r>
      <w:r w:rsidR="008B30AE" w:rsidRPr="00350596">
        <w:t>e</w:t>
      </w:r>
      <w:r w:rsidR="00301E8C" w:rsidRPr="00350596">
        <w:t xml:space="preserve"> </w:t>
      </w:r>
      <w:r w:rsidRPr="00350596">
        <w:t xml:space="preserve">product information </w:t>
      </w:r>
      <w:r w:rsidR="00301E8C" w:rsidRPr="00350596">
        <w:t>outlines</w:t>
      </w:r>
      <w:r w:rsidRPr="00350596">
        <w:t xml:space="preserve"> potential interactions with compounds that bind to the</w:t>
      </w:r>
      <w:r w:rsidR="00F33DC2" w:rsidRPr="00350596">
        <w:t xml:space="preserve"> Fc Receptor (</w:t>
      </w:r>
      <w:r w:rsidR="008A34A5" w:rsidRPr="00350596">
        <w:t>FcRn</w:t>
      </w:r>
      <w:r w:rsidR="00F33DC2" w:rsidRPr="00350596">
        <w:t>)</w:t>
      </w:r>
      <w:r w:rsidRPr="00350596">
        <w:t xml:space="preserve"> which include established myasthenia gravis treatments such as IVIg and monoclonal antibodies (rituximab, eculizumab, ravulizumab).</w:t>
      </w:r>
      <w:r w:rsidR="00D10A48" w:rsidRPr="00350596">
        <w:t xml:space="preserve"> </w:t>
      </w:r>
    </w:p>
    <w:p w14:paraId="0B86F3B4" w14:textId="6DD415FE" w:rsidR="00A14094" w:rsidRPr="00350596" w:rsidRDefault="00A14094" w:rsidP="00F9393E">
      <w:pPr>
        <w:pStyle w:val="COMexecsummnumbered"/>
      </w:pPr>
      <w:r w:rsidRPr="00350596">
        <w:t>The submission proposed a grandfathering restriction to enable patients to transition from the sponsor’s early access program for efgartigimod to PBS-funded treatment when available. The proposed grandfathering restriction incorporate</w:t>
      </w:r>
      <w:r w:rsidR="008B30AE" w:rsidRPr="00350596">
        <w:t>d</w:t>
      </w:r>
      <w:r w:rsidRPr="00350596">
        <w:t xml:space="preserve"> clinical criteria from both the proposed initial and continuing restrictions. The submission stated that approximately 30 patients in the early access program would achieve response and be eligible for treatment under the grandfathering restriction.</w:t>
      </w:r>
    </w:p>
    <w:p w14:paraId="2509F2B2" w14:textId="1EB90CB0" w:rsidR="0024159C" w:rsidRPr="00350596" w:rsidRDefault="0024159C" w:rsidP="0024159C">
      <w:pPr>
        <w:pStyle w:val="COMexecsummnumbered"/>
        <w:numPr>
          <w:ilvl w:val="0"/>
          <w:numId w:val="0"/>
        </w:numPr>
        <w:ind w:left="720"/>
        <w:rPr>
          <w:i/>
          <w:iCs/>
        </w:rPr>
      </w:pPr>
      <w:r w:rsidRPr="00350596">
        <w:rPr>
          <w:i/>
          <w:iCs/>
        </w:rPr>
        <w:t xml:space="preserve">For more detail on PBAC’s view, see section </w:t>
      </w:r>
      <w:r w:rsidR="00C81A88" w:rsidRPr="00350596">
        <w:rPr>
          <w:i/>
          <w:iCs/>
        </w:rPr>
        <w:t>8</w:t>
      </w:r>
      <w:r w:rsidRPr="00350596">
        <w:rPr>
          <w:i/>
          <w:iCs/>
        </w:rPr>
        <w:t xml:space="preserve"> PBAC outcome.</w:t>
      </w:r>
    </w:p>
    <w:p w14:paraId="7075B85C" w14:textId="62A47B7B" w:rsidR="00B50DB8" w:rsidRPr="00350596" w:rsidDel="00195452" w:rsidRDefault="00203181" w:rsidP="004E18E9">
      <w:pPr>
        <w:pStyle w:val="COMH1-numbered"/>
      </w:pPr>
      <w:bookmarkStart w:id="9" w:name="_Toc188365355"/>
      <w:r w:rsidRPr="00350596" w:rsidDel="00195452">
        <w:t xml:space="preserve">Population and </w:t>
      </w:r>
      <w:r w:rsidR="008E0D3C" w:rsidRPr="00350596" w:rsidDel="00195452">
        <w:t>d</w:t>
      </w:r>
      <w:r w:rsidRPr="00350596" w:rsidDel="00195452">
        <w:t>isease</w:t>
      </w:r>
      <w:bookmarkEnd w:id="9"/>
    </w:p>
    <w:p w14:paraId="04DC45F1" w14:textId="77777777" w:rsidR="00354191" w:rsidRPr="00350596" w:rsidRDefault="00354191" w:rsidP="00354191">
      <w:pPr>
        <w:pStyle w:val="COMexecsummnumbered"/>
      </w:pPr>
      <w:r w:rsidRPr="00350596">
        <w:t xml:space="preserve">Myasthenia gravis is a chronic autoimmune disorder caused by antibodies attacking components of the neuromuscular junction leading to impaired signal transmission between nerves and muscles. Patients can be classified into subgroups based on the antibodies involved, with the majority of patients (approximately 85%) having autoantibodies against AChR (Sciancalepore 2024). </w:t>
      </w:r>
    </w:p>
    <w:p w14:paraId="0C8BA9AA" w14:textId="77777777" w:rsidR="00FC7DDF" w:rsidRPr="00350596" w:rsidRDefault="00FC7DDF" w:rsidP="00FC7DDF">
      <w:pPr>
        <w:pStyle w:val="COMexecsummnumbered"/>
      </w:pPr>
      <w:r w:rsidRPr="00350596">
        <w:t xml:space="preserve">The disease is characterised by muscle weakness which may be localised to ocular muscles (ocular myasthenia gravis) or generalised to include other muscles such as limb, bulbar and respiratory system (generalised myasthenia gravis). Typical symptoms associated with myasthenia gravis include drooping eyelids, blurred or double vision, shortness of breath, difficulty chewing and swallowing, impaired speech, fatigue, pain, muscle spasms and general muscle weakness. </w:t>
      </w:r>
    </w:p>
    <w:p w14:paraId="124DFC14" w14:textId="0B6B1129" w:rsidR="00CD2EA2" w:rsidRPr="00350596" w:rsidRDefault="00CD2EA2" w:rsidP="00CD2EA2">
      <w:pPr>
        <w:pStyle w:val="COMexecsummnumbered"/>
      </w:pPr>
      <w:r w:rsidRPr="00350596">
        <w:lastRenderedPageBreak/>
        <w:t>The intensity of muscle weakness can fluctuate from day to day and can be worsened due to fatigue, stress, current illness and other factors. Transient periods of rapid symptom worsening are referred to as disease exacerbations. Of particular concern are myasthenic crises, which are severe, life-threatening exacerbations that are due to weakness in respiratory muscles which results in respiratory failure requiring mechanical ventilation. However, the submission noted that the mortality of patients with myasthenia gravis has decreased over the years and most patients have a normal lifespan.</w:t>
      </w:r>
    </w:p>
    <w:p w14:paraId="66F2055A" w14:textId="16255CA1" w:rsidR="00D605F9" w:rsidRPr="00350596" w:rsidRDefault="00D605F9" w:rsidP="00D605F9">
      <w:pPr>
        <w:pStyle w:val="COMexecsummnumbered"/>
      </w:pPr>
      <w:r w:rsidRPr="00350596">
        <w:t xml:space="preserve">A recent systematic review and meta-analysis of myasthenia gravis epidemiology studies </w:t>
      </w:r>
      <w:r w:rsidR="00E614CD" w:rsidRPr="00350596">
        <w:t xml:space="preserve">(Sciancalepore 2024) </w:t>
      </w:r>
      <w:r w:rsidRPr="00350596">
        <w:t>noted that that the global incidence has more than doubled from 8.7 (95% CI 5.5, 11.9) cases per million person-years in the period 1967-2007 to 22.9 (95% CI 14.1, 31.7) cases per million person-years in the period 2008-2022; and prevalence has increased from 97.5 (95% CI 59.9, 141.9) cases per million person-years in the period 1952-2007 to 220.1 (95% CI 149.3, 288.1) cases per million person-years in the period 2008-2021. However, the review acknowledged that there was significant variation in frequencies of myasthenia gravis between and within countries because of methodological biases and complex heterogeneity of the disease characterised by several phenotypes and different clinical responses.</w:t>
      </w:r>
    </w:p>
    <w:p w14:paraId="2EC1D752" w14:textId="684B19FB" w:rsidR="0056662C" w:rsidRPr="00350596" w:rsidRDefault="00CD1D6E" w:rsidP="0056662C">
      <w:pPr>
        <w:pStyle w:val="COMexecsummnumbered"/>
      </w:pPr>
      <w:r w:rsidRPr="00350596">
        <w:t>The submission presented a simplified clinical algorithm</w:t>
      </w:r>
      <w:r w:rsidR="009B0E7F" w:rsidRPr="00350596">
        <w:t xml:space="preserve"> for the treatment of </w:t>
      </w:r>
      <w:r w:rsidR="008068FF" w:rsidRPr="00350596">
        <w:t xml:space="preserve">generalised </w:t>
      </w:r>
      <w:r w:rsidR="009B0E7F" w:rsidRPr="00350596">
        <w:t xml:space="preserve">myasthenia gravis. </w:t>
      </w:r>
      <w:r w:rsidR="008068FF" w:rsidRPr="00350596">
        <w:t xml:space="preserve">The algorithm did not adequately capture the sequential use and optimisation of anticholinesterases, corticosteroids and </w:t>
      </w:r>
      <w:r w:rsidR="00DA6027" w:rsidRPr="00350596">
        <w:t>NS-ISTs</w:t>
      </w:r>
      <w:r w:rsidR="008068FF" w:rsidRPr="00350596">
        <w:t xml:space="preserve"> prior to consideration of chronic IVIg/PLEX. Additionally, the algorithm did not present the use of chronic IVIg/PLEX as bridging therapies while patients adjust to slower-acting immunosuppressive agents. Overall, the </w:t>
      </w:r>
      <w:r w:rsidR="0027455B" w:rsidRPr="00350596">
        <w:t xml:space="preserve">evaluation considered that the </w:t>
      </w:r>
      <w:r w:rsidR="008068FF" w:rsidRPr="00350596">
        <w:t>algorithm lacked sufficient detail to understand the proposed place in therapy for efgartigimod.</w:t>
      </w:r>
    </w:p>
    <w:p w14:paraId="672D54A5" w14:textId="5B4B61D2" w:rsidR="0056662C" w:rsidRPr="00350596" w:rsidRDefault="0056662C" w:rsidP="0056662C">
      <w:pPr>
        <w:pStyle w:val="COMexecsummnumbered"/>
      </w:pPr>
      <w:r w:rsidRPr="00350596">
        <w:t xml:space="preserve">The </w:t>
      </w:r>
      <w:r w:rsidR="007655A4" w:rsidRPr="00350596">
        <w:t xml:space="preserve">PBAC previously considered the </w:t>
      </w:r>
      <w:r w:rsidRPr="00350596">
        <w:t>current treatment algorithm for AChR antibody-positive myasthenia gravis</w:t>
      </w:r>
      <w:r w:rsidR="00E72B5B" w:rsidRPr="00350596">
        <w:t>,</w:t>
      </w:r>
      <w:r w:rsidRPr="00350596">
        <w:t xml:space="preserve"> based on international guidelines (Sanders 2016, updated in Narayanaswami 2021)</w:t>
      </w:r>
      <w:r w:rsidR="00A162D0" w:rsidRPr="00350596">
        <w:t xml:space="preserve"> (para</w:t>
      </w:r>
      <w:r w:rsidR="005B08F5" w:rsidRPr="00350596">
        <w:t>graph</w:t>
      </w:r>
      <w:r w:rsidR="0091148E" w:rsidRPr="00350596">
        <w:t xml:space="preserve"> 4.6, ravulizumab PSD, July 2024 PBAC meeting)</w:t>
      </w:r>
      <w:r w:rsidR="00E72B5B" w:rsidRPr="00350596">
        <w:t>,</w:t>
      </w:r>
      <w:r w:rsidRPr="00350596">
        <w:t xml:space="preserve"> recommends the sequential use and optimisation of:</w:t>
      </w:r>
    </w:p>
    <w:p w14:paraId="51153095" w14:textId="77777777" w:rsidR="0056662C" w:rsidRPr="00350596" w:rsidRDefault="0056662C" w:rsidP="002C4E2F">
      <w:pPr>
        <w:pStyle w:val="COMexecsummbulletlist"/>
        <w:ind w:hanging="357"/>
      </w:pPr>
      <w:r w:rsidRPr="00350596">
        <w:t xml:space="preserve">Anti-cholinesterases (i.e. pyridostigmine). </w:t>
      </w:r>
    </w:p>
    <w:p w14:paraId="34F59A86" w14:textId="77777777" w:rsidR="0056662C" w:rsidRPr="00350596" w:rsidRDefault="0056662C" w:rsidP="002C4E2F">
      <w:pPr>
        <w:pStyle w:val="COMexecsummbulletlist"/>
        <w:ind w:hanging="357"/>
      </w:pPr>
      <w:r w:rsidRPr="00350596">
        <w:t>Immunosuppressive therapy (required in the majority of patients), with corticosteroids as the main first-line treatment option. The guidelines state that other immunosuppressive agents may also be used as monotherapies (for patients who refuse corticosteroids or who are contraindicated to corticosteroids) or in combination with corticosteroids (for patients with an inadequate response, for patients with significant steroid side-effects or who require high corticosteroid doses that cannot be tapered down).</w:t>
      </w:r>
    </w:p>
    <w:p w14:paraId="4D35CAB7" w14:textId="77777777" w:rsidR="0056662C" w:rsidRPr="00350596" w:rsidRDefault="0056662C" w:rsidP="002C4E2F">
      <w:pPr>
        <w:pStyle w:val="COMexecsummbulletlist"/>
        <w:ind w:hanging="357"/>
      </w:pPr>
      <w:r w:rsidRPr="00350596">
        <w:t>Chronic IVIg/PLEX can be used as (i) bridging therapies while patients adjust to slower-acting immunosuppressants; and/or (ii) for treatment-refractory disease (variable definitions in literature).</w:t>
      </w:r>
    </w:p>
    <w:p w14:paraId="23AEA5A0" w14:textId="77777777" w:rsidR="0056662C" w:rsidRPr="00350596" w:rsidRDefault="0056662C" w:rsidP="002C4E2F">
      <w:pPr>
        <w:pStyle w:val="COMexecsummbulletlist"/>
        <w:ind w:hanging="357"/>
      </w:pPr>
      <w:r w:rsidRPr="00350596">
        <w:lastRenderedPageBreak/>
        <w:t>Patients with refractory disease can receive chronic IVIg/PLEX, eculizumab (not registered in Australia for myasthenia gravis), cyclophosphamide or rituximab.</w:t>
      </w:r>
    </w:p>
    <w:p w14:paraId="7E14A81D" w14:textId="77777777" w:rsidR="0056662C" w:rsidRPr="00350596" w:rsidRDefault="0056662C" w:rsidP="002C4E2F">
      <w:pPr>
        <w:pStyle w:val="COMexecsummbulletlist"/>
        <w:ind w:hanging="357"/>
      </w:pPr>
      <w:r w:rsidRPr="00350596">
        <w:t>Acute management of exacerbations typically involves the use of high dose corticosteroids, IVIg or PLEX in the community or hospital setting depending on severity.</w:t>
      </w:r>
    </w:p>
    <w:p w14:paraId="79825B31" w14:textId="77777777" w:rsidR="0056662C" w:rsidRPr="00350596" w:rsidRDefault="0056662C" w:rsidP="002C4E2F">
      <w:pPr>
        <w:pStyle w:val="COMexecsummbulletlist"/>
      </w:pPr>
      <w:r w:rsidRPr="00350596">
        <w:t>Thymectomy can be considered in small subset of patients, particularly younger patients.</w:t>
      </w:r>
    </w:p>
    <w:p w14:paraId="75AE7D95" w14:textId="34A7EF48" w:rsidR="00FA744F" w:rsidRPr="00350596" w:rsidRDefault="00FA744F" w:rsidP="00FA744F">
      <w:pPr>
        <w:pStyle w:val="COMexecsummnumbered"/>
      </w:pPr>
      <w:r w:rsidRPr="00350596">
        <w:t xml:space="preserve">Efgartigimod is a human IgG1 antibody fragment that binds to the neonatal </w:t>
      </w:r>
      <w:r w:rsidR="008A34A5" w:rsidRPr="00350596">
        <w:t>FcRn</w:t>
      </w:r>
      <w:r w:rsidR="00225A56" w:rsidRPr="00350596">
        <w:t xml:space="preserve"> </w:t>
      </w:r>
      <w:r w:rsidRPr="00350596">
        <w:t xml:space="preserve">and inhibits the recycling of IgG back into circulation. The inhibition of </w:t>
      </w:r>
      <w:r w:rsidR="008A34A5" w:rsidRPr="00350596">
        <w:t>FcRn</w:t>
      </w:r>
      <w:r w:rsidR="00732890" w:rsidRPr="00350596">
        <w:t xml:space="preserve"> </w:t>
      </w:r>
      <w:r w:rsidRPr="00350596">
        <w:t xml:space="preserve">function is expected to </w:t>
      </w:r>
      <w:bookmarkStart w:id="10" w:name="_Hlk194929533"/>
      <w:r w:rsidRPr="00350596">
        <w:t xml:space="preserve">reduce the levels of circulating IgG </w:t>
      </w:r>
      <w:bookmarkEnd w:id="10"/>
      <w:r w:rsidRPr="00350596">
        <w:t>including pathogenic IgG autoantibodies. It is presumed that the therapeutic effects of efgartigimod are due to a reduction in IgG autoantibodies (which impair neuromuscular transmission), although the exact mechanism of action in generalised myasthenia gravis is currently unknown.</w:t>
      </w:r>
    </w:p>
    <w:p w14:paraId="2FA6041A" w14:textId="3A70E010" w:rsidR="00D9419B" w:rsidRPr="00350596" w:rsidRDefault="00D9419B" w:rsidP="00D9419B">
      <w:pPr>
        <w:pStyle w:val="COMexecsummnumbered"/>
      </w:pPr>
      <w:r w:rsidRPr="00350596">
        <w:t>Based on the clinical algorithm previously considered by PBAC</w:t>
      </w:r>
      <w:r w:rsidR="00C23E25">
        <w:t xml:space="preserve"> (as outlined in paragraph 4</w:t>
      </w:r>
      <w:r w:rsidR="005B0A0A">
        <w:t>.</w:t>
      </w:r>
      <w:r w:rsidR="00C23E25">
        <w:t>6)</w:t>
      </w:r>
      <w:r w:rsidRPr="00350596">
        <w:t>, the submission</w:t>
      </w:r>
      <w:r w:rsidR="00C23E25" w:rsidRPr="00C23E25">
        <w:t xml:space="preserve">’s proposed restriction would allow </w:t>
      </w:r>
      <w:r w:rsidRPr="00350596">
        <w:t>efgartigimod</w:t>
      </w:r>
      <w:r w:rsidR="00DC1094" w:rsidRPr="00350596">
        <w:t xml:space="preserve"> </w:t>
      </w:r>
      <w:r w:rsidR="00C23E25">
        <w:t xml:space="preserve">to be used </w:t>
      </w:r>
      <w:r w:rsidRPr="00350596">
        <w:t>at multiple, distinct places in therapy:</w:t>
      </w:r>
    </w:p>
    <w:p w14:paraId="0EF83324" w14:textId="77777777" w:rsidR="00D9419B" w:rsidRPr="00350596" w:rsidRDefault="00D9419B" w:rsidP="007B1E36">
      <w:pPr>
        <w:pStyle w:val="COMexecsummbulletlist"/>
        <w:ind w:left="1071" w:hanging="357"/>
      </w:pPr>
      <w:r w:rsidRPr="00350596">
        <w:t xml:space="preserve">As an alternative to optimised therapy in patients treated with an anticholinesterase and at least one immunosuppressive treatment (referred to as second-line therapy during the evaluation; optimisation of therapy could include type of immunosuppressant, dose titration as well as number of immunosuppressants). </w:t>
      </w:r>
    </w:p>
    <w:p w14:paraId="62CE94F3" w14:textId="3B6C47C1" w:rsidR="00D9419B" w:rsidRPr="00350596" w:rsidRDefault="00D9419B" w:rsidP="007B1E36">
      <w:pPr>
        <w:pStyle w:val="COMexecsummbulletlist"/>
        <w:ind w:left="1071" w:hanging="357"/>
      </w:pPr>
      <w:r w:rsidRPr="00350596">
        <w:t xml:space="preserve">As an alternative to IVIg/PLEX as bridging therapy until optimal dosing is achieved with slower-acting </w:t>
      </w:r>
      <w:r w:rsidR="00DA6027" w:rsidRPr="00350596">
        <w:t>NS-ISTs</w:t>
      </w:r>
      <w:r w:rsidRPr="00350596">
        <w:t>.</w:t>
      </w:r>
    </w:p>
    <w:p w14:paraId="2A351E8F" w14:textId="77777777" w:rsidR="00D9419B" w:rsidRPr="00350596" w:rsidRDefault="00D9419B" w:rsidP="007B1E36">
      <w:pPr>
        <w:pStyle w:val="COMexecsummbulletlist"/>
        <w:ind w:left="1071" w:hanging="357"/>
      </w:pPr>
      <w:r w:rsidRPr="00350596">
        <w:t>As an alternative to chronic IVIg/PLEX in patients with treatment refractory disease.</w:t>
      </w:r>
    </w:p>
    <w:p w14:paraId="52E221E0" w14:textId="77777777" w:rsidR="00D9419B" w:rsidRPr="00350596" w:rsidRDefault="00D9419B" w:rsidP="007B1E36">
      <w:pPr>
        <w:pStyle w:val="COMexecsummbulletlist"/>
      </w:pPr>
      <w:r w:rsidRPr="00350596">
        <w:t>As an alternative to rituximab and cyclophosphamide in patients who fail treatment with chronic IVIg/PLEX.</w:t>
      </w:r>
    </w:p>
    <w:p w14:paraId="10883F11" w14:textId="29937785" w:rsidR="00D9419B" w:rsidRPr="00350596" w:rsidRDefault="00FA744F" w:rsidP="00354191">
      <w:pPr>
        <w:pStyle w:val="COMexecsummnumbered"/>
      </w:pPr>
      <w:r w:rsidRPr="00350596">
        <w:t xml:space="preserve">The </w:t>
      </w:r>
      <w:r w:rsidR="00301E8C" w:rsidRPr="00350596">
        <w:t xml:space="preserve">evaluation considered that the </w:t>
      </w:r>
      <w:r w:rsidRPr="00350596">
        <w:t xml:space="preserve">clinical place in therapy for efgartigimod is currently unclear, particularly as the use of newer agents such as complement inhibitors (ravulizumab, zilucoplan) and </w:t>
      </w:r>
      <w:r w:rsidR="008A34A5" w:rsidRPr="00350596">
        <w:t>FcRn</w:t>
      </w:r>
      <w:r w:rsidRPr="00350596">
        <w:t xml:space="preserve"> blockers (efgartigimod, rozanolixizumab) have yet to be incorporated into most treatment guidelines.</w:t>
      </w:r>
    </w:p>
    <w:p w14:paraId="66CA319C" w14:textId="11ED1639" w:rsidR="00301E8C" w:rsidRPr="00350596" w:rsidRDefault="00301E8C" w:rsidP="00274CC0">
      <w:pPr>
        <w:pStyle w:val="COMexecsummnumbered"/>
      </w:pPr>
      <w:r w:rsidRPr="00350596">
        <w:t xml:space="preserve">As outlined in </w:t>
      </w:r>
      <w:r w:rsidR="000E1357" w:rsidRPr="00350596">
        <w:t>Section 7</w:t>
      </w:r>
      <w:r w:rsidRPr="00350596">
        <w:t xml:space="preserve">, the ESC recalled advice from the clinicians present at the gMG stakeholder meeting (May 2024) that the new gMG therapies should be available in both the bridging and refractory settings. </w:t>
      </w:r>
    </w:p>
    <w:p w14:paraId="45D39967" w14:textId="4F7A3510" w:rsidR="0024159C" w:rsidRPr="00350596" w:rsidRDefault="0024159C" w:rsidP="0024159C">
      <w:pPr>
        <w:pStyle w:val="COMexecsummnumbered"/>
        <w:numPr>
          <w:ilvl w:val="0"/>
          <w:numId w:val="0"/>
        </w:numPr>
        <w:ind w:left="720"/>
        <w:rPr>
          <w:i/>
          <w:iCs/>
        </w:rPr>
      </w:pPr>
      <w:r w:rsidRPr="00350596">
        <w:rPr>
          <w:i/>
          <w:iCs/>
        </w:rPr>
        <w:t xml:space="preserve">For more detail on PBAC’s view, see section </w:t>
      </w:r>
      <w:r w:rsidR="000E1357" w:rsidRPr="00350596">
        <w:rPr>
          <w:i/>
          <w:iCs/>
        </w:rPr>
        <w:t xml:space="preserve">8 </w:t>
      </w:r>
      <w:r w:rsidRPr="00350596">
        <w:rPr>
          <w:i/>
          <w:iCs/>
        </w:rPr>
        <w:t>PBAC outcome.</w:t>
      </w:r>
    </w:p>
    <w:p w14:paraId="51E5AE96" w14:textId="136A63B1" w:rsidR="00B50DB8" w:rsidRPr="00350596" w:rsidRDefault="00B50DB8" w:rsidP="004E18E9">
      <w:pPr>
        <w:pStyle w:val="COMH1-numbered"/>
      </w:pPr>
      <w:bookmarkStart w:id="11" w:name="_Toc188365356"/>
      <w:r w:rsidRPr="00350596">
        <w:lastRenderedPageBreak/>
        <w:t>Comparator</w:t>
      </w:r>
      <w:bookmarkEnd w:id="11"/>
    </w:p>
    <w:p w14:paraId="747A75CC" w14:textId="54F811A3" w:rsidR="00A05472" w:rsidRPr="00350596" w:rsidRDefault="00FA744F" w:rsidP="00882E3C">
      <w:pPr>
        <w:pStyle w:val="COMexecsummnumbered"/>
      </w:pPr>
      <w:r w:rsidRPr="00350596">
        <w:t>The submission nominated chronic IVIg as the main comparator, with PLEX as a supplementary comparator. IVIg was nominated as the main comparator as it is more commonly used than PLEX, with PLEX available mostly in major metropolitan hospitals across Australia. The PBAC previously considered that chronic IVIg/PLEX is a relevant comparator in the treatment refractory setting (para</w:t>
      </w:r>
      <w:r w:rsidR="005B08F5" w:rsidRPr="00350596">
        <w:t>graph</w:t>
      </w:r>
      <w:r w:rsidRPr="00350596">
        <w:t xml:space="preserve"> 7.10, ravulizumab PSD, July 2024 PBAC meeting).</w:t>
      </w:r>
    </w:p>
    <w:p w14:paraId="1E5CA968" w14:textId="4E667A98" w:rsidR="002E1071" w:rsidRPr="00350596" w:rsidRDefault="00FA744F" w:rsidP="00FA744F">
      <w:pPr>
        <w:pStyle w:val="COMexecsummnumbered"/>
      </w:pPr>
      <w:r w:rsidRPr="00350596">
        <w:t xml:space="preserve">The </w:t>
      </w:r>
      <w:r w:rsidR="00085D26" w:rsidRPr="00350596">
        <w:t xml:space="preserve">evaluation noted that the </w:t>
      </w:r>
      <w:r w:rsidRPr="00350596">
        <w:t>proposed restriction allows for earlier use in the second line setting, among patients who have only used one immunosuppressive therapy with additional treatment options using existing therapies. The PBAC previously considered that for non-refractory patients, the comparator should be optimisation of existing therapies (para</w:t>
      </w:r>
      <w:r w:rsidR="00534138" w:rsidRPr="00350596">
        <w:t>graph</w:t>
      </w:r>
      <w:r w:rsidRPr="00350596">
        <w:t xml:space="preserve"> 7.10, ravulizumab PSD, July 2024 PBAC meeting).</w:t>
      </w:r>
    </w:p>
    <w:p w14:paraId="6FE2242C" w14:textId="3E70B326" w:rsidR="006756F0" w:rsidRPr="00350596" w:rsidRDefault="001E141F" w:rsidP="00FA744F">
      <w:pPr>
        <w:pStyle w:val="COMexecsummnumbered"/>
      </w:pPr>
      <w:r w:rsidRPr="00350596">
        <w:t xml:space="preserve">As outlined in </w:t>
      </w:r>
      <w:r w:rsidR="000E1357" w:rsidRPr="00350596">
        <w:t>Section 7</w:t>
      </w:r>
      <w:r w:rsidRPr="00350596">
        <w:t xml:space="preserve">, the ESC reiterated the PBAC’s previous advice that chronic IVIg was a relevant comparator for providing a frame of reference for interpreting the cost per patient of the newer gMG therapies in the refractory setting </w:t>
      </w:r>
      <w:r w:rsidRPr="00350596">
        <w:rPr>
          <w:rFonts w:ascii="Calibri" w:eastAsia="Calibri" w:hAnsi="Calibri" w:cs="Calibri"/>
        </w:rPr>
        <w:t xml:space="preserve">(paragraph 7.10, ravulizumab PSD, July 2024 PBAC meeting). </w:t>
      </w:r>
    </w:p>
    <w:p w14:paraId="30A067BB" w14:textId="2A01A8E7" w:rsidR="00B50DB8" w:rsidRPr="00350596" w:rsidRDefault="004A6747" w:rsidP="002E1071">
      <w:pPr>
        <w:pStyle w:val="COMexecsummnumbered"/>
        <w:rPr>
          <w:color w:val="0066FF"/>
        </w:rPr>
      </w:pPr>
      <w:r w:rsidRPr="00350596">
        <w:t>The submission identified multiple near-market comparators for the treatment of generalised myasthenia gravis including zilucoplan, ravulizumab and rozanolixizumab.</w:t>
      </w:r>
      <w:r w:rsidR="00C74EBC" w:rsidRPr="00350596">
        <w:t xml:space="preserve"> </w:t>
      </w:r>
      <w:r w:rsidR="008F6613" w:rsidRPr="00350596">
        <w:t xml:space="preserve">The ESC </w:t>
      </w:r>
      <w:r w:rsidR="00A76A17" w:rsidRPr="00350596">
        <w:t>and the P</w:t>
      </w:r>
      <w:r w:rsidR="000B720D" w:rsidRPr="00350596">
        <w:t xml:space="preserve">BAC </w:t>
      </w:r>
      <w:r w:rsidR="008F6613" w:rsidRPr="00350596">
        <w:t>considered that the four gMG therapies being considered at the March 2025 meeting (efgartigimod</w:t>
      </w:r>
      <w:r w:rsidR="007508DD" w:rsidRPr="00350596">
        <w:t xml:space="preserve">, </w:t>
      </w:r>
      <w:r w:rsidR="008F6613" w:rsidRPr="00350596">
        <w:t>rozanolixizumab, ravulizumab and zilucoplan) were all near-market comparators to each other.</w:t>
      </w:r>
    </w:p>
    <w:p w14:paraId="69B5F3DD" w14:textId="731061D6" w:rsidR="008D6BCC" w:rsidRPr="00350596" w:rsidRDefault="008D6BCC" w:rsidP="008D6BCC">
      <w:pPr>
        <w:pStyle w:val="COMexecsummnumbered"/>
        <w:numPr>
          <w:ilvl w:val="0"/>
          <w:numId w:val="0"/>
        </w:numPr>
        <w:ind w:left="720"/>
        <w:rPr>
          <w:i/>
          <w:iCs/>
        </w:rPr>
      </w:pPr>
      <w:r w:rsidRPr="00350596">
        <w:rPr>
          <w:i/>
          <w:iCs/>
        </w:rPr>
        <w:t xml:space="preserve">For more detail on PBAC’s view, see section </w:t>
      </w:r>
      <w:r w:rsidR="00142E8B" w:rsidRPr="00350596">
        <w:rPr>
          <w:i/>
          <w:iCs/>
        </w:rPr>
        <w:t>8</w:t>
      </w:r>
      <w:r w:rsidRPr="00350596">
        <w:rPr>
          <w:i/>
          <w:iCs/>
        </w:rPr>
        <w:t xml:space="preserve"> PBAC outcome.</w:t>
      </w:r>
    </w:p>
    <w:p w14:paraId="7F9C27C8" w14:textId="77777777" w:rsidR="00223D5A" w:rsidRPr="00350596" w:rsidRDefault="00223D5A" w:rsidP="00223D5A">
      <w:pPr>
        <w:pStyle w:val="COMH1-numbered"/>
        <w:numPr>
          <w:ilvl w:val="0"/>
          <w:numId w:val="1"/>
        </w:numPr>
      </w:pPr>
      <w:bookmarkStart w:id="12" w:name="_Toc188365357"/>
      <w:bookmarkStart w:id="13" w:name="_Toc22897640"/>
      <w:r w:rsidRPr="00350596">
        <w:t>Consideration of the evidence</w:t>
      </w:r>
      <w:bookmarkEnd w:id="12"/>
    </w:p>
    <w:p w14:paraId="208E853D" w14:textId="77777777" w:rsidR="007C1378" w:rsidRPr="00350596" w:rsidRDefault="007C1378" w:rsidP="007C1378">
      <w:pPr>
        <w:pStyle w:val="COMH2-non-numbered"/>
      </w:pPr>
      <w:bookmarkStart w:id="14" w:name="_Hlk76375935"/>
      <w:bookmarkStart w:id="15" w:name="_Toc188365358"/>
      <w:r w:rsidRPr="00350596">
        <w:t>Sponsor hearing</w:t>
      </w:r>
    </w:p>
    <w:p w14:paraId="169A4629" w14:textId="6E1CA521" w:rsidR="007C1378" w:rsidRPr="00350596" w:rsidRDefault="007C1378" w:rsidP="007C1378">
      <w:pPr>
        <w:widowControl w:val="0"/>
        <w:numPr>
          <w:ilvl w:val="1"/>
          <w:numId w:val="1"/>
        </w:numPr>
        <w:spacing w:after="120"/>
        <w:rPr>
          <w:rFonts w:asciiTheme="minorHAnsi" w:hAnsiTheme="minorHAnsi"/>
          <w:bCs/>
          <w:snapToGrid w:val="0"/>
        </w:rPr>
      </w:pPr>
      <w:bookmarkStart w:id="16" w:name="_Hlk76382586"/>
      <w:r w:rsidRPr="00350596">
        <w:rPr>
          <w:rFonts w:asciiTheme="minorHAnsi" w:hAnsiTheme="minorHAnsi"/>
          <w:bCs/>
          <w:snapToGrid w:val="0"/>
        </w:rPr>
        <w:t xml:space="preserve">The sponsor requested a hearing for this item. The clinician </w:t>
      </w:r>
      <w:r w:rsidR="00637935" w:rsidRPr="00350596">
        <w:rPr>
          <w:rFonts w:asciiTheme="minorHAnsi" w:hAnsiTheme="minorHAnsi"/>
          <w:bCs/>
          <w:snapToGrid w:val="0"/>
        </w:rPr>
        <w:t xml:space="preserve">outlined </w:t>
      </w:r>
      <w:r w:rsidR="00DE55E3" w:rsidRPr="00350596">
        <w:rPr>
          <w:rFonts w:asciiTheme="minorHAnsi" w:hAnsiTheme="minorHAnsi"/>
          <w:bCs/>
          <w:snapToGrid w:val="0"/>
        </w:rPr>
        <w:t>the mechanism of action of efgartigimod</w:t>
      </w:r>
      <w:r w:rsidR="00637935" w:rsidRPr="00350596">
        <w:rPr>
          <w:rFonts w:asciiTheme="minorHAnsi" w:hAnsiTheme="minorHAnsi"/>
          <w:bCs/>
          <w:snapToGrid w:val="0"/>
        </w:rPr>
        <w:t xml:space="preserve">, </w:t>
      </w:r>
      <w:r w:rsidR="00732890" w:rsidRPr="00350596">
        <w:rPr>
          <w:rFonts w:asciiTheme="minorHAnsi" w:hAnsiTheme="minorHAnsi"/>
          <w:bCs/>
          <w:snapToGrid w:val="0"/>
        </w:rPr>
        <w:t xml:space="preserve">the limitations of currently available treatments, and </w:t>
      </w:r>
      <w:r w:rsidR="00637935" w:rsidRPr="00350596">
        <w:rPr>
          <w:rFonts w:asciiTheme="minorHAnsi" w:hAnsiTheme="minorHAnsi"/>
          <w:bCs/>
          <w:snapToGrid w:val="0"/>
        </w:rPr>
        <w:t>the clinical trial results including the rapid onset of action of efgartigimod</w:t>
      </w:r>
      <w:r w:rsidR="00877144" w:rsidRPr="00350596">
        <w:rPr>
          <w:rFonts w:asciiTheme="minorHAnsi" w:hAnsiTheme="minorHAnsi"/>
          <w:bCs/>
          <w:snapToGrid w:val="0"/>
        </w:rPr>
        <w:t>.</w:t>
      </w:r>
    </w:p>
    <w:bookmarkEnd w:id="16"/>
    <w:p w14:paraId="6CBBCEAC" w14:textId="77777777" w:rsidR="007C1378" w:rsidRPr="00350596" w:rsidRDefault="007C1378" w:rsidP="007C1378">
      <w:pPr>
        <w:pStyle w:val="COMH2-non-numbered"/>
      </w:pPr>
      <w:r w:rsidRPr="00350596">
        <w:t>Consumer comments</w:t>
      </w:r>
    </w:p>
    <w:p w14:paraId="7BF48827" w14:textId="3542FD20" w:rsidR="007C1378" w:rsidRPr="00350596" w:rsidRDefault="007C1378" w:rsidP="007C1378">
      <w:pPr>
        <w:widowControl w:val="0"/>
        <w:numPr>
          <w:ilvl w:val="1"/>
          <w:numId w:val="1"/>
        </w:numPr>
        <w:spacing w:after="120"/>
        <w:rPr>
          <w:rFonts w:asciiTheme="minorHAnsi" w:hAnsiTheme="minorHAnsi"/>
          <w:bCs/>
          <w:snapToGrid w:val="0"/>
        </w:rPr>
      </w:pPr>
      <w:bookmarkStart w:id="17" w:name="_Hlk76382618"/>
      <w:r w:rsidRPr="00350596">
        <w:rPr>
          <w:rFonts w:asciiTheme="minorHAnsi" w:hAnsiTheme="minorHAnsi"/>
          <w:bCs/>
          <w:snapToGrid w:val="0"/>
        </w:rPr>
        <w:t>The PBAC noted and welcomed the input from individuals (</w:t>
      </w:r>
      <w:r w:rsidR="004A0F85" w:rsidRPr="00350596">
        <w:rPr>
          <w:rFonts w:asciiTheme="minorHAnsi" w:hAnsiTheme="minorHAnsi"/>
          <w:bCs/>
          <w:snapToGrid w:val="0"/>
        </w:rPr>
        <w:t>28</w:t>
      </w:r>
      <w:r w:rsidRPr="00350596">
        <w:rPr>
          <w:rFonts w:asciiTheme="minorHAnsi" w:hAnsiTheme="minorHAnsi"/>
          <w:bCs/>
          <w:snapToGrid w:val="0"/>
        </w:rPr>
        <w:t>), health care professionals (</w:t>
      </w:r>
      <w:r w:rsidR="004A0F85" w:rsidRPr="00350596">
        <w:rPr>
          <w:rFonts w:asciiTheme="minorHAnsi" w:hAnsiTheme="minorHAnsi"/>
          <w:bCs/>
          <w:snapToGrid w:val="0"/>
        </w:rPr>
        <w:t>1</w:t>
      </w:r>
      <w:r w:rsidR="006C6E15" w:rsidRPr="00350596">
        <w:t xml:space="preserve"> </w:t>
      </w:r>
      <w:r w:rsidR="006C6E15" w:rsidRPr="00350596">
        <w:rPr>
          <w:rFonts w:asciiTheme="minorHAnsi" w:hAnsiTheme="minorHAnsi"/>
          <w:bCs/>
          <w:snapToGrid w:val="0"/>
        </w:rPr>
        <w:t>individual health care professional plus a group of 11 neurologists</w:t>
      </w:r>
      <w:r w:rsidRPr="00350596">
        <w:rPr>
          <w:rFonts w:asciiTheme="minorHAnsi" w:hAnsiTheme="minorHAnsi"/>
          <w:bCs/>
          <w:snapToGrid w:val="0"/>
        </w:rPr>
        <w:t xml:space="preserve">) and </w:t>
      </w:r>
      <w:r w:rsidR="006C6E15" w:rsidRPr="00350596">
        <w:rPr>
          <w:rFonts w:asciiTheme="minorHAnsi" w:hAnsiTheme="minorHAnsi"/>
          <w:bCs/>
          <w:snapToGrid w:val="0"/>
        </w:rPr>
        <w:t xml:space="preserve">an </w:t>
      </w:r>
      <w:r w:rsidRPr="00350596">
        <w:rPr>
          <w:rFonts w:asciiTheme="minorHAnsi" w:hAnsiTheme="minorHAnsi"/>
          <w:bCs/>
          <w:snapToGrid w:val="0"/>
        </w:rPr>
        <w:t>organisation (</w:t>
      </w:r>
      <w:r w:rsidR="006C6E15" w:rsidRPr="00350596">
        <w:rPr>
          <w:rFonts w:asciiTheme="minorHAnsi" w:hAnsiTheme="minorHAnsi"/>
          <w:bCs/>
          <w:snapToGrid w:val="0"/>
        </w:rPr>
        <w:t>Myasthenia Alliance Australia (MAA)</w:t>
      </w:r>
      <w:r w:rsidRPr="00350596">
        <w:rPr>
          <w:rFonts w:asciiTheme="minorHAnsi" w:hAnsiTheme="minorHAnsi"/>
          <w:bCs/>
          <w:snapToGrid w:val="0"/>
        </w:rPr>
        <w:t xml:space="preserve">) via the Consumer Comments facility on the PBS website. The comments described </w:t>
      </w:r>
      <w:r w:rsidR="00177F09" w:rsidRPr="00350596">
        <w:rPr>
          <w:rFonts w:asciiTheme="minorHAnsi" w:hAnsiTheme="minorHAnsi"/>
          <w:bCs/>
          <w:snapToGrid w:val="0"/>
        </w:rPr>
        <w:t xml:space="preserve">the high unmet need for new therapies to treat gMG. The comments outlined the significant impact that gMG can have on quality of life such as an inability to perform daily tasks, work, study, drive or participate in social activities. The comments also described the impact on family, along with the financial burden associated with the condition. The comments also described the limitations of currently available treatment options including adverse events and lengthy administration times. The comments also described a </w:t>
      </w:r>
      <w:r w:rsidR="00177F09" w:rsidRPr="00350596">
        <w:rPr>
          <w:rFonts w:asciiTheme="minorHAnsi" w:hAnsiTheme="minorHAnsi"/>
          <w:bCs/>
          <w:snapToGrid w:val="0"/>
        </w:rPr>
        <w:lastRenderedPageBreak/>
        <w:t>hope that the new therapies will reduce gMG symptoms, reduce the need for other medications and associated side-effects, and reduce hospital visits, contributing to an overall improved quality of life.</w:t>
      </w:r>
    </w:p>
    <w:p w14:paraId="396B314C" w14:textId="477667C1" w:rsidR="00494D7A" w:rsidRPr="00350596" w:rsidRDefault="00494D7A" w:rsidP="007C1378">
      <w:pPr>
        <w:widowControl w:val="0"/>
        <w:numPr>
          <w:ilvl w:val="1"/>
          <w:numId w:val="1"/>
        </w:numPr>
        <w:spacing w:after="120"/>
        <w:rPr>
          <w:rFonts w:asciiTheme="minorHAnsi" w:hAnsiTheme="minorHAnsi"/>
          <w:bCs/>
          <w:snapToGrid w:val="0"/>
        </w:rPr>
      </w:pPr>
      <w:r w:rsidRPr="00350596">
        <w:rPr>
          <w:snapToGrid w:val="0"/>
        </w:rPr>
        <w:t>The comments noted the efficacy associated with efgartigimod and its rapid onset of action.</w:t>
      </w:r>
    </w:p>
    <w:bookmarkEnd w:id="14"/>
    <w:bookmarkEnd w:id="17"/>
    <w:p w14:paraId="0AB47072" w14:textId="77777777" w:rsidR="00231405" w:rsidRPr="00350596" w:rsidRDefault="00231405" w:rsidP="00231405">
      <w:pPr>
        <w:pStyle w:val="COMexecsummnumbered"/>
        <w:rPr>
          <w:rFonts w:eastAsia="Times New Roman" w:cs="Arial"/>
          <w:bCs/>
          <w:snapToGrid w:val="0"/>
          <w:szCs w:val="24"/>
        </w:rPr>
      </w:pPr>
      <w:r w:rsidRPr="00350596">
        <w:rPr>
          <w:rFonts w:eastAsia="Times New Roman" w:cs="Arial"/>
          <w:bCs/>
          <w:snapToGrid w:val="0"/>
          <w:szCs w:val="24"/>
        </w:rPr>
        <w:t xml:space="preserve">Advice from MAA stated its aim is for each patient to have equitable and timely access to the best available treatment that most benefits them. MAA supported access to the new therapies across the disease severities and settings including early, upfront access and also in patients with refractory disease, noting that refractory patients have a higher unmet need. MAA strongly supported access to a broad range of treatment options. The input received from MAA, and from individual consumers, indicated that the mode of administration is important to consumers, with 63% of participants in a recent survey indicating they are seeking a more manageable or flexible treatment option. MAA outlined that the new therapies represent a substantial improvement in administration time compared with IVIg, and also shorter travel distances for patients outside metropolitan areas. MAA highlighted that continuous and reliable treatments are important for patients and that a meaningful response would comprise well-controlled symptoms within a reasonably quick timeframe. The comments outlined that even a small improvement in the MG-ADL score can be meaningful for patients e.g. it may represent a capacity to perform a daily activity the patient was previously unable to perform. </w:t>
      </w:r>
    </w:p>
    <w:p w14:paraId="002236F3" w14:textId="37011083" w:rsidR="0092343B" w:rsidRPr="00350596" w:rsidRDefault="006843A9" w:rsidP="0092343B">
      <w:pPr>
        <w:pStyle w:val="COMexecsummnumbered"/>
        <w:rPr>
          <w:rFonts w:eastAsia="Times New Roman" w:cs="Arial"/>
          <w:bCs/>
          <w:snapToGrid w:val="0"/>
          <w:szCs w:val="24"/>
        </w:rPr>
      </w:pPr>
      <w:bookmarkStart w:id="18" w:name="_Ref194668680"/>
      <w:r w:rsidRPr="00350596">
        <w:rPr>
          <w:rFonts w:eastAsia="Times New Roman" w:cs="Arial"/>
          <w:bCs/>
          <w:snapToGrid w:val="0"/>
          <w:szCs w:val="24"/>
        </w:rPr>
        <w:t xml:space="preserve">Advice from a group of 11 neurologists highlighted the significant unmet need for patients with moderate to severe </w:t>
      </w:r>
      <w:r w:rsidR="00A40110" w:rsidRPr="00350596">
        <w:rPr>
          <w:rFonts w:eastAsia="Times New Roman" w:cs="Arial"/>
          <w:bCs/>
          <w:snapToGrid w:val="0"/>
          <w:szCs w:val="24"/>
        </w:rPr>
        <w:t>g</w:t>
      </w:r>
      <w:r w:rsidRPr="00350596">
        <w:rPr>
          <w:rFonts w:eastAsia="Times New Roman" w:cs="Arial"/>
          <w:bCs/>
          <w:snapToGrid w:val="0"/>
          <w:szCs w:val="24"/>
        </w:rPr>
        <w:t xml:space="preserve">MG, including the need for more modes of rapid onset treatments. The neurologists outlined that “combination therapy right from the start of treatment of a moderate to severe </w:t>
      </w:r>
      <w:r w:rsidR="00A40110" w:rsidRPr="00350596">
        <w:rPr>
          <w:rFonts w:eastAsia="Times New Roman" w:cs="Arial"/>
          <w:bCs/>
          <w:snapToGrid w:val="0"/>
          <w:szCs w:val="24"/>
        </w:rPr>
        <w:t>g</w:t>
      </w:r>
      <w:r w:rsidRPr="00350596">
        <w:rPr>
          <w:rFonts w:eastAsia="Times New Roman" w:cs="Arial"/>
          <w:bCs/>
          <w:snapToGrid w:val="0"/>
          <w:szCs w:val="24"/>
        </w:rPr>
        <w:t>MG patient is the norm including the use of quick onset pathogenic antibody treatments, currently principally IVIg. Whether in an individual patient one would use IVIG, PLEX; or an FcRn or a complement inhibitor if all were equally available would probably depend on individual benefit first, and ease, tolerance and accessibility a significant second.” The neurologists acknowledged that the trials largely included patients with long-standing gMG and significant use of prior treatments, but stated this should not be the only group able to access these new treatments. In terms of value optimisation, the neurologists proposed the following:</w:t>
      </w:r>
      <w:bookmarkEnd w:id="18"/>
    </w:p>
    <w:p w14:paraId="3BA2B130" w14:textId="77777777" w:rsidR="0092343B" w:rsidRPr="00350596" w:rsidRDefault="0092343B" w:rsidP="0092343B">
      <w:pPr>
        <w:pStyle w:val="COMexecsummnumbered"/>
        <w:numPr>
          <w:ilvl w:val="2"/>
          <w:numId w:val="22"/>
        </w:numPr>
        <w:ind w:left="1276"/>
        <w:rPr>
          <w:rFonts w:eastAsia="Times New Roman" w:cs="Arial"/>
          <w:bCs/>
          <w:snapToGrid w:val="0"/>
          <w:szCs w:val="24"/>
        </w:rPr>
      </w:pPr>
      <w:r w:rsidRPr="00350596">
        <w:rPr>
          <w:rFonts w:eastAsia="Times New Roman" w:cs="Arial"/>
          <w:bCs/>
          <w:snapToGrid w:val="0"/>
          <w:szCs w:val="24"/>
        </w:rPr>
        <w:t>These therapies be restricted to generalised MG patients with AChR antibodies;</w:t>
      </w:r>
    </w:p>
    <w:p w14:paraId="6B745F05" w14:textId="37559086" w:rsidR="0092343B" w:rsidRPr="00350596" w:rsidRDefault="00EE654D" w:rsidP="0092343B">
      <w:pPr>
        <w:pStyle w:val="COMexecsummnumbered"/>
        <w:numPr>
          <w:ilvl w:val="2"/>
          <w:numId w:val="22"/>
        </w:numPr>
        <w:ind w:left="1276"/>
        <w:rPr>
          <w:rFonts w:eastAsia="Times New Roman" w:cs="Arial"/>
          <w:bCs/>
          <w:snapToGrid w:val="0"/>
          <w:szCs w:val="24"/>
        </w:rPr>
      </w:pPr>
      <w:bookmarkStart w:id="19" w:name="_Ref194668725"/>
      <w:r w:rsidRPr="00350596">
        <w:rPr>
          <w:rFonts w:eastAsia="Times New Roman" w:cs="Arial"/>
          <w:bCs/>
          <w:snapToGrid w:val="0"/>
          <w:szCs w:val="24"/>
        </w:rPr>
        <w:t xml:space="preserve">The severity of MG at commencement should be similar to the trial populations (MG-ADL of 5-6), which is more severe than the </w:t>
      </w:r>
      <w:r w:rsidR="000023D9" w:rsidRPr="00350596">
        <w:rPr>
          <w:rFonts w:eastAsia="Times New Roman" w:cs="Arial"/>
          <w:bCs/>
          <w:snapToGrid w:val="0"/>
          <w:szCs w:val="24"/>
        </w:rPr>
        <w:t>National Blood Authority (</w:t>
      </w:r>
      <w:r w:rsidRPr="00350596">
        <w:rPr>
          <w:rFonts w:eastAsia="Times New Roman" w:cs="Arial"/>
          <w:bCs/>
          <w:snapToGrid w:val="0"/>
          <w:szCs w:val="24"/>
        </w:rPr>
        <w:t>NBA</w:t>
      </w:r>
      <w:r w:rsidR="000023D9" w:rsidRPr="00350596">
        <w:rPr>
          <w:rFonts w:eastAsia="Times New Roman" w:cs="Arial"/>
          <w:bCs/>
          <w:snapToGrid w:val="0"/>
          <w:szCs w:val="24"/>
        </w:rPr>
        <w:t>)</w:t>
      </w:r>
      <w:r w:rsidRPr="00350596">
        <w:rPr>
          <w:rFonts w:eastAsia="Times New Roman" w:cs="Arial"/>
          <w:bCs/>
          <w:snapToGrid w:val="0"/>
          <w:szCs w:val="24"/>
        </w:rPr>
        <w:t xml:space="preserve"> criteria for IVIg. There should be a clinician-reported component to assessing the need for therapy and response. The clinician letter stated “this means also using MGC. Corresponding values MG-ADL 5-6 are MGC 10-12” noting the 95% confidence intervals for MGC values in patients entering the pivotal RCTs could help improve accuracy of the correlation.</w:t>
      </w:r>
      <w:bookmarkEnd w:id="19"/>
    </w:p>
    <w:p w14:paraId="6A6E3036" w14:textId="0AE7B856" w:rsidR="0092343B" w:rsidRPr="00350596" w:rsidRDefault="0092343B" w:rsidP="0092343B">
      <w:pPr>
        <w:pStyle w:val="COMexecsummnumbered"/>
        <w:numPr>
          <w:ilvl w:val="2"/>
          <w:numId w:val="22"/>
        </w:numPr>
        <w:ind w:left="1276"/>
        <w:rPr>
          <w:rFonts w:eastAsia="Times New Roman" w:cs="Arial"/>
          <w:bCs/>
          <w:snapToGrid w:val="0"/>
          <w:szCs w:val="24"/>
        </w:rPr>
      </w:pPr>
      <w:bookmarkStart w:id="20" w:name="_Ref194668681"/>
      <w:r w:rsidRPr="00350596">
        <w:rPr>
          <w:rFonts w:eastAsia="Times New Roman" w:cs="Arial"/>
          <w:bCs/>
          <w:snapToGrid w:val="0"/>
          <w:szCs w:val="24"/>
        </w:rPr>
        <w:lastRenderedPageBreak/>
        <w:t>The therapy should be co-administered with two other therapies with remission induction intent, including corticosteroids and NS-ISTs. This does include therapeutic thymectomy which should be treated as equivalent to an NS</w:t>
      </w:r>
      <w:r w:rsidR="002439DF" w:rsidRPr="00350596">
        <w:rPr>
          <w:rFonts w:eastAsia="Times New Roman" w:cs="Arial"/>
          <w:bCs/>
          <w:snapToGrid w:val="0"/>
          <w:szCs w:val="24"/>
        </w:rPr>
        <w:t>-</w:t>
      </w:r>
      <w:r w:rsidRPr="00350596">
        <w:rPr>
          <w:rFonts w:eastAsia="Times New Roman" w:cs="Arial"/>
          <w:bCs/>
          <w:snapToGrid w:val="0"/>
          <w:szCs w:val="24"/>
        </w:rPr>
        <w:t>IST. This does not include pyridostigmine or other cholinesterase inhibitors.</w:t>
      </w:r>
      <w:bookmarkEnd w:id="20"/>
    </w:p>
    <w:p w14:paraId="203C68F4" w14:textId="5F4F34B8" w:rsidR="0092343B" w:rsidRPr="00350596" w:rsidRDefault="0092343B" w:rsidP="0092343B">
      <w:pPr>
        <w:pStyle w:val="COMexecsummnumbered"/>
        <w:numPr>
          <w:ilvl w:val="2"/>
          <w:numId w:val="22"/>
        </w:numPr>
        <w:ind w:left="1276"/>
        <w:rPr>
          <w:rFonts w:eastAsia="Times New Roman" w:cs="Arial"/>
          <w:bCs/>
          <w:snapToGrid w:val="0"/>
          <w:szCs w:val="24"/>
        </w:rPr>
      </w:pPr>
      <w:r w:rsidRPr="00350596">
        <w:rPr>
          <w:rFonts w:eastAsia="Times New Roman" w:cs="Arial"/>
          <w:bCs/>
          <w:snapToGrid w:val="0"/>
          <w:szCs w:val="24"/>
        </w:rPr>
        <w:t>Patients should either have had an adequate dose AND duration of these two other therapies, perhaps one year; OR be taking an adequate dose of these two other therapies without requiring a set duration AND have failed a loading course of IVIg or plasma exchange</w:t>
      </w:r>
      <w:r w:rsidR="00607F93" w:rsidRPr="00350596">
        <w:rPr>
          <w:rFonts w:eastAsia="Times New Roman" w:cs="Arial"/>
          <w:bCs/>
          <w:snapToGrid w:val="0"/>
          <w:szCs w:val="24"/>
        </w:rPr>
        <w:t>.</w:t>
      </w:r>
    </w:p>
    <w:p w14:paraId="48930A3E" w14:textId="64FCFC75" w:rsidR="0092343B" w:rsidRPr="00350596" w:rsidRDefault="0092343B" w:rsidP="0092343B">
      <w:pPr>
        <w:pStyle w:val="COMexecsummnumbered"/>
        <w:numPr>
          <w:ilvl w:val="2"/>
          <w:numId w:val="22"/>
        </w:numPr>
        <w:ind w:left="1276"/>
        <w:rPr>
          <w:rFonts w:eastAsia="Times New Roman" w:cs="Arial"/>
          <w:bCs/>
          <w:snapToGrid w:val="0"/>
          <w:szCs w:val="24"/>
        </w:rPr>
      </w:pPr>
      <w:bookmarkStart w:id="21" w:name="_Ref194668772"/>
      <w:r w:rsidRPr="00350596">
        <w:rPr>
          <w:rFonts w:eastAsia="Times New Roman" w:cs="Arial"/>
          <w:bCs/>
          <w:snapToGrid w:val="0"/>
          <w:szCs w:val="24"/>
        </w:rPr>
        <w:t xml:space="preserve">Response to therapy should be assessed and the therapy only continued if there is a clear response, at least minimal clinically important differences (MCID) values of MG-ADL improvement by </w:t>
      </w:r>
      <w:r w:rsidR="00724BBE" w:rsidRPr="00350596">
        <w:rPr>
          <w:rFonts w:eastAsia="Times New Roman" w:cs="Arial"/>
          <w:bCs/>
          <w:snapToGrid w:val="0"/>
          <w:szCs w:val="24"/>
        </w:rPr>
        <w:t xml:space="preserve">≥ 2 </w:t>
      </w:r>
      <w:r w:rsidRPr="00350596">
        <w:rPr>
          <w:rFonts w:eastAsia="Times New Roman" w:cs="Arial"/>
          <w:bCs/>
          <w:snapToGrid w:val="0"/>
          <w:szCs w:val="24"/>
        </w:rPr>
        <w:t xml:space="preserve">points, MGC by </w:t>
      </w:r>
      <w:r w:rsidR="00A435AA" w:rsidRPr="00350596">
        <w:rPr>
          <w:rFonts w:eastAsia="Times New Roman" w:cs="Arial"/>
          <w:bCs/>
          <w:snapToGrid w:val="0"/>
          <w:szCs w:val="24"/>
        </w:rPr>
        <w:t>≥ 3</w:t>
      </w:r>
      <w:r w:rsidRPr="00350596">
        <w:rPr>
          <w:rFonts w:eastAsia="Times New Roman" w:cs="Arial"/>
          <w:bCs/>
          <w:snapToGrid w:val="0"/>
          <w:szCs w:val="24"/>
        </w:rPr>
        <w:t xml:space="preserve"> points. The timing of the test of response to therapy should be early</w:t>
      </w:r>
      <w:r w:rsidR="00A435AA" w:rsidRPr="00350596">
        <w:rPr>
          <w:rFonts w:eastAsia="Times New Roman" w:cs="Arial"/>
          <w:bCs/>
          <w:snapToGrid w:val="0"/>
          <w:szCs w:val="24"/>
        </w:rPr>
        <w:t xml:space="preserve"> </w:t>
      </w:r>
      <w:r w:rsidRPr="00350596">
        <w:rPr>
          <w:rFonts w:eastAsia="Times New Roman" w:cs="Arial"/>
          <w:bCs/>
          <w:snapToGrid w:val="0"/>
          <w:szCs w:val="24"/>
        </w:rPr>
        <w:t>(at 2-16 weeks).</w:t>
      </w:r>
      <w:bookmarkEnd w:id="21"/>
    </w:p>
    <w:p w14:paraId="4BFCCFCE" w14:textId="5F1AF18B" w:rsidR="0092343B" w:rsidRPr="00350596" w:rsidRDefault="00BA30BC" w:rsidP="0092343B">
      <w:pPr>
        <w:pStyle w:val="COMexecsummnumbered"/>
        <w:numPr>
          <w:ilvl w:val="2"/>
          <w:numId w:val="22"/>
        </w:numPr>
        <w:ind w:left="1276"/>
        <w:rPr>
          <w:rFonts w:eastAsia="Times New Roman" w:cs="Arial"/>
          <w:bCs/>
          <w:snapToGrid w:val="0"/>
          <w:szCs w:val="24"/>
        </w:rPr>
      </w:pPr>
      <w:r w:rsidRPr="00350596">
        <w:rPr>
          <w:rFonts w:eastAsia="Times New Roman" w:cs="Arial"/>
          <w:bCs/>
          <w:snapToGrid w:val="0"/>
          <w:szCs w:val="24"/>
        </w:rPr>
        <w:t>“FcRn inhibitors are naturally stopped after 4 (efgartigimod) to 6 (rozanolixizumab) weeks of therapy. These therapies can be restarted if the severity of MG worsens to the minimum commencement threshold. Note on second or subsequent cycles the starting severity score while at or above threshold might be better, the same or worse than the first cycle – the underlying MG severity can worsen over time in some patients. Over the course of 6 months therapy these gaps in treatment can be considered intermittent trials of suspension of therapy.”</w:t>
      </w:r>
    </w:p>
    <w:p w14:paraId="3CBCDF2A" w14:textId="147792EC" w:rsidR="0092343B" w:rsidRPr="00350596" w:rsidRDefault="005B44D0" w:rsidP="0092343B">
      <w:pPr>
        <w:pStyle w:val="COMexecsummnumbered"/>
        <w:numPr>
          <w:ilvl w:val="2"/>
          <w:numId w:val="22"/>
        </w:numPr>
        <w:ind w:left="1276"/>
        <w:rPr>
          <w:rFonts w:eastAsia="Times New Roman" w:cs="Arial"/>
          <w:bCs/>
          <w:snapToGrid w:val="0"/>
          <w:szCs w:val="24"/>
        </w:rPr>
      </w:pPr>
      <w:r w:rsidRPr="00350596">
        <w:rPr>
          <w:rFonts w:eastAsia="Times New Roman" w:cs="Arial"/>
          <w:bCs/>
          <w:snapToGrid w:val="0"/>
          <w:szCs w:val="24"/>
        </w:rPr>
        <w:t>Complement inhibitors should be temporarily suspended to see if they are still needed after a suitable period of therapy, perhaps one year in the first instance and perhaps two years if a patient deteriorates on the initial suspension. “Complement inhibitors should not in our view be continued if they are not needed. There is no good reason to suppose the risks of temporarily stopping complement inhibitors are any greater than the risks of temporarily stopping IVI</w:t>
      </w:r>
      <w:r w:rsidR="00E306CC" w:rsidRPr="00350596">
        <w:rPr>
          <w:rFonts w:eastAsia="Times New Roman" w:cs="Arial"/>
          <w:bCs/>
          <w:snapToGrid w:val="0"/>
          <w:szCs w:val="24"/>
        </w:rPr>
        <w:t>g</w:t>
      </w:r>
      <w:r w:rsidRPr="00350596">
        <w:rPr>
          <w:rFonts w:eastAsia="Times New Roman" w:cs="Arial"/>
          <w:bCs/>
          <w:snapToGrid w:val="0"/>
          <w:szCs w:val="24"/>
        </w:rPr>
        <w:t>, PLEX or FcRn inhibitors all of which routinely stopped. There is little published data on stopping complement inhibitors for MG but we are aware that international colleagues have stopped complement inhibitors in MG patients without ill effects”.</w:t>
      </w:r>
    </w:p>
    <w:p w14:paraId="50DB5510" w14:textId="0319252D" w:rsidR="007C1378" w:rsidRPr="00350596" w:rsidRDefault="00085D06" w:rsidP="006877E8">
      <w:pPr>
        <w:pStyle w:val="COMexecsummnumbered"/>
        <w:numPr>
          <w:ilvl w:val="2"/>
          <w:numId w:val="22"/>
        </w:numPr>
        <w:ind w:left="1276"/>
        <w:rPr>
          <w:bCs/>
          <w:snapToGrid w:val="0"/>
        </w:rPr>
      </w:pPr>
      <w:r w:rsidRPr="00350596">
        <w:rPr>
          <w:rFonts w:eastAsia="Times New Roman" w:cs="Arial"/>
          <w:bCs/>
          <w:snapToGrid w:val="0"/>
          <w:szCs w:val="24"/>
        </w:rPr>
        <w:t>Final restriction discussions should include input from a broader range of neurologists and also the patient association.</w:t>
      </w:r>
    </w:p>
    <w:p w14:paraId="609C0765" w14:textId="63BC7B84" w:rsidR="00B60939" w:rsidRPr="00350596" w:rsidRDefault="00B60939" w:rsidP="003D5DE7">
      <w:pPr>
        <w:pStyle w:val="COMH2-non-numbered"/>
      </w:pPr>
      <w:r w:rsidRPr="00350596">
        <w:t>Clinical</w:t>
      </w:r>
      <w:r w:rsidR="00E2776E" w:rsidRPr="00350596">
        <w:t xml:space="preserve"> </w:t>
      </w:r>
      <w:r w:rsidRPr="00350596">
        <w:t>trials</w:t>
      </w:r>
      <w:bookmarkEnd w:id="13"/>
      <w:bookmarkEnd w:id="15"/>
    </w:p>
    <w:p w14:paraId="17DE34DC" w14:textId="0B14B626" w:rsidR="007F1017" w:rsidRPr="00350596" w:rsidRDefault="004F4788" w:rsidP="004F4788">
      <w:pPr>
        <w:pStyle w:val="COMexecsummnumbered"/>
      </w:pPr>
      <w:r w:rsidRPr="00350596">
        <w:t>The submission was primarily based on one head-to-head randomised trial comparing efgartigimod to placebo in patients with generalised myasthenia gravis (ADAPT). Results from the open-label extension study (ADAPT+) were also presented during the evaluation as data from this study were used to inform the economic model and financial estimates of the submission.</w:t>
      </w:r>
    </w:p>
    <w:p w14:paraId="5DD39E39" w14:textId="08CBE415" w:rsidR="005263A6" w:rsidRPr="00350596" w:rsidRDefault="007072FC" w:rsidP="00B03398">
      <w:pPr>
        <w:pStyle w:val="COMexecsummnumbered"/>
      </w:pPr>
      <w:r w:rsidRPr="00350596">
        <w:t xml:space="preserve">The submission also presented a network meta-analysis comparing efgartigimod (ADAPT) with chronic IVIg (NCT02473952, published during the evaluation and </w:t>
      </w:r>
      <w:r w:rsidRPr="00350596">
        <w:lastRenderedPageBreak/>
        <w:t>referred to as Bril 2024; Wolfe 2002), ravulizumab (CHAMPION-MG), rozanolixizumab (MycarinG) and zilucoplan (RAISE) using placebo as a common reference arm.</w:t>
      </w:r>
    </w:p>
    <w:p w14:paraId="2B06F68F" w14:textId="7B3C22F4" w:rsidR="005263A6" w:rsidRPr="00350596" w:rsidRDefault="005263A6" w:rsidP="004F4788">
      <w:pPr>
        <w:pStyle w:val="COMexecsummnumbered"/>
      </w:pPr>
      <w:r w:rsidRPr="00350596">
        <w:t>The submission did not identify any trials that would allow for an indirect comparison of efgartigimod with chronic PLEX.</w:t>
      </w:r>
    </w:p>
    <w:p w14:paraId="2B59ABAC" w14:textId="7CB0F1A8" w:rsidR="00862502" w:rsidRPr="00350596" w:rsidRDefault="00A73134" w:rsidP="002E4F02">
      <w:pPr>
        <w:pStyle w:val="COMexecsummnumbered"/>
      </w:pPr>
      <w:r w:rsidRPr="00350596">
        <w:t xml:space="preserve">Details of the </w:t>
      </w:r>
      <w:r w:rsidR="00F26179" w:rsidRPr="00350596">
        <w:t>trials included in the submission are summarised in</w:t>
      </w:r>
      <w:r w:rsidR="00844016" w:rsidRPr="00350596">
        <w:t xml:space="preserve"> </w:t>
      </w:r>
      <w:r w:rsidR="00844016" w:rsidRPr="00350596">
        <w:fldChar w:fldCharType="begin"/>
      </w:r>
      <w:r w:rsidR="00844016" w:rsidRPr="00350596">
        <w:instrText xml:space="preserve"> REF _Ref104803956 \h </w:instrText>
      </w:r>
      <w:r w:rsidR="00C529E7" w:rsidRPr="00350596">
        <w:instrText xml:space="preserve"> \* MERGEFORMAT </w:instrText>
      </w:r>
      <w:r w:rsidR="00844016" w:rsidRPr="00350596">
        <w:fldChar w:fldCharType="separate"/>
      </w:r>
      <w:r w:rsidR="002B16A5" w:rsidRPr="00350596">
        <w:t xml:space="preserve">Table </w:t>
      </w:r>
      <w:r w:rsidR="002B16A5">
        <w:t>2</w:t>
      </w:r>
      <w:r w:rsidR="00844016" w:rsidRPr="00350596">
        <w:fldChar w:fldCharType="end"/>
      </w:r>
      <w:r w:rsidR="00F26179" w:rsidRPr="00350596">
        <w:t>.</w:t>
      </w:r>
    </w:p>
    <w:p w14:paraId="7DE3A286" w14:textId="54DC5852" w:rsidR="008E0D3C" w:rsidRPr="00350596" w:rsidRDefault="00696EF9" w:rsidP="00B50F7F">
      <w:pPr>
        <w:pStyle w:val="COMtablefigcaption"/>
      </w:pPr>
      <w:bookmarkStart w:id="22" w:name="_Ref104803956"/>
      <w:r w:rsidRPr="00350596">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2</w:t>
      </w:r>
      <w:r w:rsidR="007579CB" w:rsidRPr="00350596">
        <w:fldChar w:fldCharType="end"/>
      </w:r>
      <w:bookmarkEnd w:id="22"/>
      <w:r w:rsidRPr="00350596">
        <w:t>:</w:t>
      </w:r>
      <w:r w:rsidR="00BC591F" w:rsidRPr="00350596">
        <w:t xml:space="preserve"> </w:t>
      </w:r>
      <w:r w:rsidR="008E0D3C" w:rsidRPr="00350596">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580"/>
        <w:gridCol w:w="5387"/>
        <w:gridCol w:w="2050"/>
      </w:tblGrid>
      <w:tr w:rsidR="008A088D" w:rsidRPr="00350596" w14:paraId="4CE75C98" w14:textId="77777777" w:rsidTr="007959EA">
        <w:trPr>
          <w:cantSplit/>
          <w:tblHeader/>
        </w:trPr>
        <w:tc>
          <w:tcPr>
            <w:tcW w:w="876" w:type="pct"/>
            <w:tcBorders>
              <w:bottom w:val="single" w:sz="4" w:space="0" w:color="auto"/>
            </w:tcBorders>
            <w:vAlign w:val="center"/>
          </w:tcPr>
          <w:p w14:paraId="61D4326A" w14:textId="77777777" w:rsidR="008A088D" w:rsidRPr="00350596" w:rsidRDefault="008A088D" w:rsidP="007959EA">
            <w:pPr>
              <w:pStyle w:val="COMTableheadingrow"/>
              <w:keepNext w:val="0"/>
              <w:widowControl w:val="0"/>
              <w:rPr>
                <w:lang w:val="en-AU"/>
              </w:rPr>
            </w:pPr>
            <w:r w:rsidRPr="00350596">
              <w:rPr>
                <w:lang w:val="en-AU"/>
              </w:rPr>
              <w:t>Trial ID</w:t>
            </w:r>
          </w:p>
        </w:tc>
        <w:tc>
          <w:tcPr>
            <w:tcW w:w="2987" w:type="pct"/>
            <w:tcBorders>
              <w:bottom w:val="single" w:sz="4" w:space="0" w:color="auto"/>
            </w:tcBorders>
            <w:vAlign w:val="center"/>
          </w:tcPr>
          <w:p w14:paraId="249EE467" w14:textId="77777777" w:rsidR="008A088D" w:rsidRPr="00350596" w:rsidRDefault="008A088D" w:rsidP="007959EA">
            <w:pPr>
              <w:pStyle w:val="COMTableheadingrow"/>
              <w:keepNext w:val="0"/>
              <w:widowControl w:val="0"/>
              <w:rPr>
                <w:lang w:val="en-AU"/>
              </w:rPr>
            </w:pPr>
            <w:r w:rsidRPr="00350596">
              <w:rPr>
                <w:lang w:val="en-AU"/>
              </w:rPr>
              <w:t>Protocol title/ Publication title</w:t>
            </w:r>
          </w:p>
        </w:tc>
        <w:tc>
          <w:tcPr>
            <w:tcW w:w="1137" w:type="pct"/>
            <w:tcBorders>
              <w:bottom w:val="single" w:sz="4" w:space="0" w:color="auto"/>
            </w:tcBorders>
            <w:vAlign w:val="center"/>
          </w:tcPr>
          <w:p w14:paraId="7EACF95D" w14:textId="77777777" w:rsidR="008A088D" w:rsidRPr="00350596" w:rsidRDefault="008A088D" w:rsidP="007959EA">
            <w:pPr>
              <w:pStyle w:val="COMTableheadingrow"/>
              <w:keepNext w:val="0"/>
              <w:widowControl w:val="0"/>
              <w:rPr>
                <w:lang w:val="en-AU"/>
              </w:rPr>
            </w:pPr>
            <w:r w:rsidRPr="00350596">
              <w:rPr>
                <w:lang w:val="en-AU"/>
              </w:rPr>
              <w:t>Publication citation</w:t>
            </w:r>
          </w:p>
        </w:tc>
      </w:tr>
      <w:tr w:rsidR="008A088D" w:rsidRPr="00350596" w14:paraId="18092CA3" w14:textId="77777777" w:rsidTr="007959EA">
        <w:trPr>
          <w:cantSplit/>
        </w:trPr>
        <w:tc>
          <w:tcPr>
            <w:tcW w:w="5000" w:type="pct"/>
            <w:gridSpan w:val="3"/>
            <w:vAlign w:val="center"/>
          </w:tcPr>
          <w:p w14:paraId="62D81E24" w14:textId="77777777" w:rsidR="008A088D" w:rsidRPr="00350596" w:rsidRDefault="008A088D" w:rsidP="007959EA">
            <w:pPr>
              <w:pStyle w:val="COMTableheadingrow"/>
              <w:keepNext w:val="0"/>
              <w:widowControl w:val="0"/>
              <w:rPr>
                <w:lang w:val="en-AU"/>
              </w:rPr>
            </w:pPr>
            <w:r w:rsidRPr="00350596">
              <w:rPr>
                <w:lang w:val="en-AU"/>
              </w:rPr>
              <w:t>Efgartigimod studies</w:t>
            </w:r>
          </w:p>
        </w:tc>
      </w:tr>
      <w:tr w:rsidR="008A088D" w:rsidRPr="00350596" w14:paraId="333CA6A3" w14:textId="77777777" w:rsidTr="008B6751">
        <w:trPr>
          <w:cantSplit/>
        </w:trPr>
        <w:tc>
          <w:tcPr>
            <w:tcW w:w="876" w:type="pct"/>
            <w:vMerge w:val="restart"/>
            <w:vAlign w:val="center"/>
          </w:tcPr>
          <w:p w14:paraId="33022FB9" w14:textId="77777777" w:rsidR="008A088D" w:rsidRPr="00350596" w:rsidRDefault="008A088D" w:rsidP="008A088D">
            <w:pPr>
              <w:pStyle w:val="COMTabletext"/>
              <w:keepNext w:val="0"/>
              <w:widowControl w:val="0"/>
            </w:pPr>
            <w:r w:rsidRPr="00350596">
              <w:t>ADAPT (NCT03669588)</w:t>
            </w:r>
          </w:p>
        </w:tc>
        <w:tc>
          <w:tcPr>
            <w:tcW w:w="2987" w:type="pct"/>
            <w:tcBorders>
              <w:bottom w:val="nil"/>
            </w:tcBorders>
            <w:vAlign w:val="center"/>
          </w:tcPr>
          <w:p w14:paraId="75EDA31F" w14:textId="3CA945A0" w:rsidR="008A088D" w:rsidRPr="00350596" w:rsidRDefault="008A088D" w:rsidP="007959EA">
            <w:pPr>
              <w:pStyle w:val="COMTabletext"/>
              <w:keepNext w:val="0"/>
              <w:widowControl w:val="0"/>
            </w:pPr>
            <w:r w:rsidRPr="00350596">
              <w:t xml:space="preserve">argenx BV (2020). A </w:t>
            </w:r>
            <w:r w:rsidR="008B6751" w:rsidRPr="00350596">
              <w:t xml:space="preserve">randomized, double-blind, placebo-controlled, multicenter phase 3 trial to evaluate the efficacy, safety and tolerability </w:t>
            </w:r>
            <w:r w:rsidRPr="00350596">
              <w:t xml:space="preserve">of ARGX-113 in </w:t>
            </w:r>
            <w:r w:rsidR="008B6751" w:rsidRPr="00350596">
              <w:t>patients with myasthenia gravis having generalized muscle weakness.</w:t>
            </w:r>
          </w:p>
        </w:tc>
        <w:tc>
          <w:tcPr>
            <w:tcW w:w="1137" w:type="pct"/>
            <w:tcBorders>
              <w:bottom w:val="nil"/>
            </w:tcBorders>
          </w:tcPr>
          <w:p w14:paraId="3897D113" w14:textId="77777777" w:rsidR="008A088D" w:rsidRPr="00350596" w:rsidRDefault="008A088D" w:rsidP="008B6751">
            <w:pPr>
              <w:pStyle w:val="COMTabletext"/>
              <w:keepNext w:val="0"/>
              <w:widowControl w:val="0"/>
            </w:pPr>
            <w:r w:rsidRPr="00350596">
              <w:t>Internal study report</w:t>
            </w:r>
          </w:p>
        </w:tc>
      </w:tr>
      <w:tr w:rsidR="008A088D" w:rsidRPr="00350596" w14:paraId="61A590C3" w14:textId="77777777" w:rsidTr="008B6751">
        <w:trPr>
          <w:cantSplit/>
        </w:trPr>
        <w:tc>
          <w:tcPr>
            <w:tcW w:w="876" w:type="pct"/>
            <w:vMerge/>
            <w:vAlign w:val="center"/>
          </w:tcPr>
          <w:p w14:paraId="38D181CC" w14:textId="77777777" w:rsidR="008A088D" w:rsidRPr="00350596" w:rsidRDefault="008A088D" w:rsidP="007959EA">
            <w:pPr>
              <w:pStyle w:val="COMTabletext"/>
              <w:keepNext w:val="0"/>
              <w:widowControl w:val="0"/>
            </w:pPr>
          </w:p>
        </w:tc>
        <w:tc>
          <w:tcPr>
            <w:tcW w:w="2987" w:type="pct"/>
            <w:tcBorders>
              <w:top w:val="nil"/>
              <w:bottom w:val="nil"/>
            </w:tcBorders>
            <w:vAlign w:val="center"/>
          </w:tcPr>
          <w:p w14:paraId="586D4CFE" w14:textId="44E0E1AB" w:rsidR="008A088D" w:rsidRPr="00350596" w:rsidRDefault="008A088D" w:rsidP="007959EA">
            <w:pPr>
              <w:pStyle w:val="COMTabletext"/>
              <w:keepNext w:val="0"/>
              <w:widowControl w:val="0"/>
            </w:pPr>
            <w:r w:rsidRPr="00350596">
              <w:t>Howard et al (2021). Safety, efficacy, and tolerability of efgartigimod in patients with generalised myasthenia gravis (ADAPT): a multicentre, randomised, placebo-controlled, phase 3 trial</w:t>
            </w:r>
            <w:r w:rsidR="008B6751" w:rsidRPr="00350596">
              <w:t>.</w:t>
            </w:r>
          </w:p>
        </w:tc>
        <w:tc>
          <w:tcPr>
            <w:tcW w:w="1137" w:type="pct"/>
            <w:tcBorders>
              <w:top w:val="nil"/>
              <w:bottom w:val="nil"/>
            </w:tcBorders>
          </w:tcPr>
          <w:p w14:paraId="742F9CF6" w14:textId="77777777" w:rsidR="008A088D" w:rsidRPr="00350596" w:rsidRDefault="008A088D" w:rsidP="008B6751">
            <w:pPr>
              <w:pStyle w:val="COMTabletext"/>
              <w:keepNext w:val="0"/>
              <w:widowControl w:val="0"/>
            </w:pPr>
            <w:r w:rsidRPr="00350596">
              <w:t>Lancet Neurology; 20:526-36</w:t>
            </w:r>
          </w:p>
        </w:tc>
      </w:tr>
      <w:tr w:rsidR="008A088D" w:rsidRPr="00350596" w14:paraId="1DB07086" w14:textId="77777777" w:rsidTr="008B6751">
        <w:trPr>
          <w:cantSplit/>
        </w:trPr>
        <w:tc>
          <w:tcPr>
            <w:tcW w:w="876" w:type="pct"/>
            <w:vMerge/>
            <w:vAlign w:val="center"/>
          </w:tcPr>
          <w:p w14:paraId="27AF6B5F" w14:textId="77777777" w:rsidR="008A088D" w:rsidRPr="00350596" w:rsidRDefault="008A088D" w:rsidP="003F7EDE">
            <w:pPr>
              <w:pStyle w:val="TableText"/>
              <w:rPr>
                <w:i w:val="0"/>
                <w:iCs w:val="0"/>
              </w:rPr>
            </w:pPr>
          </w:p>
        </w:tc>
        <w:tc>
          <w:tcPr>
            <w:tcW w:w="2987" w:type="pct"/>
            <w:tcBorders>
              <w:top w:val="nil"/>
              <w:bottom w:val="nil"/>
            </w:tcBorders>
            <w:vAlign w:val="center"/>
          </w:tcPr>
          <w:p w14:paraId="0FB6EFE2" w14:textId="023E2F19" w:rsidR="008A088D" w:rsidRPr="00350596" w:rsidRDefault="008A088D" w:rsidP="007959EA">
            <w:pPr>
              <w:pStyle w:val="COMTabletext"/>
              <w:keepNext w:val="0"/>
              <w:widowControl w:val="0"/>
            </w:pPr>
            <w:r w:rsidRPr="00350596">
              <w:t>Sacca et al (2023). Efgartigimod improved health</w:t>
            </w:r>
            <w:r w:rsidRPr="00350596">
              <w:rPr>
                <w:rFonts w:ascii="Cambria Math" w:hAnsi="Cambria Math" w:cs="Cambria Math"/>
              </w:rPr>
              <w:t>‑</w:t>
            </w:r>
            <w:r w:rsidRPr="00350596">
              <w:t>related quality of life in generalized myasthenia gravis: results from a randomized, double</w:t>
            </w:r>
            <w:r w:rsidRPr="00350596">
              <w:rPr>
                <w:rFonts w:ascii="Cambria Math" w:hAnsi="Cambria Math" w:cs="Cambria Math"/>
              </w:rPr>
              <w:t>‑</w:t>
            </w:r>
            <w:r w:rsidRPr="00350596">
              <w:t>blind, placebo</w:t>
            </w:r>
            <w:r w:rsidRPr="00350596">
              <w:rPr>
                <w:rFonts w:ascii="Cambria Math" w:hAnsi="Cambria Math" w:cs="Cambria Math"/>
              </w:rPr>
              <w:t>‑</w:t>
            </w:r>
            <w:r w:rsidRPr="00350596">
              <w:t>controlled, phase 3 study (ADAPT)</w:t>
            </w:r>
            <w:r w:rsidR="008B6751" w:rsidRPr="00350596">
              <w:t>.</w:t>
            </w:r>
          </w:p>
        </w:tc>
        <w:tc>
          <w:tcPr>
            <w:tcW w:w="1137" w:type="pct"/>
            <w:tcBorders>
              <w:top w:val="nil"/>
              <w:bottom w:val="nil"/>
            </w:tcBorders>
          </w:tcPr>
          <w:p w14:paraId="781D78CE" w14:textId="77777777" w:rsidR="008A088D" w:rsidRPr="00350596" w:rsidRDefault="008A088D" w:rsidP="008B6751">
            <w:pPr>
              <w:pStyle w:val="COMTabletext"/>
              <w:keepNext w:val="0"/>
              <w:widowControl w:val="0"/>
            </w:pPr>
            <w:r w:rsidRPr="00350596">
              <w:t>Journal of Neurology; 270:2096-2105</w:t>
            </w:r>
          </w:p>
        </w:tc>
      </w:tr>
      <w:tr w:rsidR="008A088D" w:rsidRPr="00350596" w14:paraId="72E152D5" w14:textId="77777777" w:rsidTr="008B6751">
        <w:trPr>
          <w:cantSplit/>
        </w:trPr>
        <w:tc>
          <w:tcPr>
            <w:tcW w:w="876" w:type="pct"/>
            <w:vMerge/>
            <w:vAlign w:val="center"/>
          </w:tcPr>
          <w:p w14:paraId="14D9778F" w14:textId="77777777" w:rsidR="008A088D" w:rsidRPr="00350596" w:rsidRDefault="008A088D" w:rsidP="003F7EDE">
            <w:pPr>
              <w:pStyle w:val="TableText"/>
              <w:rPr>
                <w:i w:val="0"/>
                <w:iCs w:val="0"/>
              </w:rPr>
            </w:pPr>
          </w:p>
        </w:tc>
        <w:tc>
          <w:tcPr>
            <w:tcW w:w="2987" w:type="pct"/>
            <w:tcBorders>
              <w:top w:val="nil"/>
              <w:bottom w:val="nil"/>
            </w:tcBorders>
            <w:vAlign w:val="center"/>
          </w:tcPr>
          <w:p w14:paraId="75CC693C" w14:textId="5FFE1A7D" w:rsidR="008A088D" w:rsidRPr="00350596" w:rsidRDefault="008A088D" w:rsidP="007959EA">
            <w:pPr>
              <w:pStyle w:val="COMTabletext"/>
              <w:keepNext w:val="0"/>
              <w:widowControl w:val="0"/>
            </w:pPr>
            <w:r w:rsidRPr="00350596">
              <w:t xml:space="preserve">Dewilde et al (2023). Association </w:t>
            </w:r>
            <w:r w:rsidR="00147ECE" w:rsidRPr="00350596">
              <w:t>b</w:t>
            </w:r>
            <w:r w:rsidRPr="00350596">
              <w:t xml:space="preserve">etween Myasthenia Gravis–Activities of Daily Living (MG-ADL) and EQ-5D-5L </w:t>
            </w:r>
            <w:r w:rsidR="00147ECE" w:rsidRPr="00350596">
              <w:t>u</w:t>
            </w:r>
            <w:r w:rsidRPr="00350596">
              <w:t xml:space="preserve">tility </w:t>
            </w:r>
            <w:r w:rsidR="00147ECE" w:rsidRPr="00350596">
              <w:t>v</w:t>
            </w:r>
            <w:r w:rsidRPr="00350596">
              <w:t xml:space="preserve">alues: </w:t>
            </w:r>
            <w:r w:rsidR="00147ECE" w:rsidRPr="00350596">
              <w:t>t</w:t>
            </w:r>
            <w:r w:rsidRPr="00350596">
              <w:t xml:space="preserve">he </w:t>
            </w:r>
            <w:r w:rsidR="00147ECE" w:rsidRPr="00350596">
              <w:t>a</w:t>
            </w:r>
            <w:r w:rsidRPr="00350596">
              <w:t xml:space="preserve">dditional </w:t>
            </w:r>
            <w:r w:rsidR="00147ECE" w:rsidRPr="00350596">
              <w:t>e</w:t>
            </w:r>
            <w:r w:rsidRPr="00350596">
              <w:t xml:space="preserve">ffect of </w:t>
            </w:r>
            <w:r w:rsidR="00147ECE" w:rsidRPr="00350596">
              <w:t>e</w:t>
            </w:r>
            <w:r w:rsidRPr="00350596">
              <w:t xml:space="preserve">fgartigimod on </w:t>
            </w:r>
            <w:r w:rsidR="00147ECE" w:rsidRPr="00350596">
              <w:t>u</w:t>
            </w:r>
            <w:r w:rsidRPr="00350596">
              <w:t>tilities</w:t>
            </w:r>
            <w:r w:rsidR="00147ECE" w:rsidRPr="00350596">
              <w:t>.</w:t>
            </w:r>
          </w:p>
        </w:tc>
        <w:tc>
          <w:tcPr>
            <w:tcW w:w="1137" w:type="pct"/>
            <w:tcBorders>
              <w:top w:val="nil"/>
              <w:bottom w:val="nil"/>
            </w:tcBorders>
          </w:tcPr>
          <w:p w14:paraId="3DEE1D28" w14:textId="77777777" w:rsidR="008A088D" w:rsidRPr="00350596" w:rsidRDefault="008A088D" w:rsidP="008B6751">
            <w:pPr>
              <w:pStyle w:val="COMTabletext"/>
              <w:keepNext w:val="0"/>
              <w:widowControl w:val="0"/>
            </w:pPr>
            <w:r w:rsidRPr="00350596">
              <w:t>Advances in Therapy; 40:1818-1829</w:t>
            </w:r>
          </w:p>
        </w:tc>
      </w:tr>
      <w:tr w:rsidR="008A088D" w:rsidRPr="00350596" w14:paraId="55FED0AC" w14:textId="77777777" w:rsidTr="4D5A194E">
        <w:trPr>
          <w:cantSplit/>
        </w:trPr>
        <w:tc>
          <w:tcPr>
            <w:tcW w:w="876" w:type="pct"/>
            <w:vMerge/>
            <w:vAlign w:val="center"/>
          </w:tcPr>
          <w:p w14:paraId="4933A446" w14:textId="77777777" w:rsidR="008A088D" w:rsidRPr="00350596" w:rsidRDefault="008A088D" w:rsidP="003F7EDE">
            <w:pPr>
              <w:pStyle w:val="TableText"/>
              <w:rPr>
                <w:i w:val="0"/>
                <w:iCs w:val="0"/>
              </w:rPr>
            </w:pPr>
          </w:p>
        </w:tc>
        <w:tc>
          <w:tcPr>
            <w:tcW w:w="2987" w:type="pct"/>
            <w:tcBorders>
              <w:top w:val="nil"/>
              <w:bottom w:val="single" w:sz="4" w:space="0" w:color="auto"/>
            </w:tcBorders>
            <w:vAlign w:val="center"/>
          </w:tcPr>
          <w:p w14:paraId="5D31E4AC" w14:textId="42F5850D" w:rsidR="008A088D" w:rsidRPr="00350596" w:rsidRDefault="008A088D" w:rsidP="007959EA">
            <w:pPr>
              <w:pStyle w:val="COMTabletext"/>
              <w:keepNext w:val="0"/>
              <w:widowControl w:val="0"/>
            </w:pPr>
            <w:r w:rsidRPr="00350596">
              <w:t>Bril et al (2023). Effect of efgartigimod on muscle group subdomains in participants with generalized myasthenia gravis: post hoc analyses of the phase 3 pivotal ADAPT study</w:t>
            </w:r>
            <w:r w:rsidR="00147ECE" w:rsidRPr="00350596">
              <w:t>.</w:t>
            </w:r>
          </w:p>
        </w:tc>
        <w:tc>
          <w:tcPr>
            <w:tcW w:w="1137" w:type="pct"/>
            <w:tcBorders>
              <w:top w:val="nil"/>
              <w:bottom w:val="single" w:sz="4" w:space="0" w:color="auto"/>
            </w:tcBorders>
          </w:tcPr>
          <w:p w14:paraId="5E1E931E" w14:textId="77777777" w:rsidR="008A088D" w:rsidRPr="00350596" w:rsidRDefault="008A088D" w:rsidP="008B6751">
            <w:pPr>
              <w:pStyle w:val="COMTabletext"/>
              <w:keepNext w:val="0"/>
              <w:widowControl w:val="0"/>
            </w:pPr>
            <w:r w:rsidRPr="00350596">
              <w:t>European Journal of Neurology; 31:e16098</w:t>
            </w:r>
          </w:p>
        </w:tc>
      </w:tr>
      <w:tr w:rsidR="008A088D" w:rsidRPr="00350596" w14:paraId="3C920464" w14:textId="77777777" w:rsidTr="008B6751">
        <w:trPr>
          <w:cantSplit/>
        </w:trPr>
        <w:tc>
          <w:tcPr>
            <w:tcW w:w="876" w:type="pct"/>
            <w:vMerge w:val="restart"/>
            <w:tcBorders>
              <w:top w:val="single" w:sz="4" w:space="0" w:color="auto"/>
            </w:tcBorders>
            <w:vAlign w:val="center"/>
          </w:tcPr>
          <w:p w14:paraId="2B982A1B" w14:textId="77777777" w:rsidR="008A088D" w:rsidRPr="00350596" w:rsidRDefault="008A088D" w:rsidP="007959EA">
            <w:pPr>
              <w:pStyle w:val="COMTabletext"/>
              <w:widowControl w:val="0"/>
            </w:pPr>
            <w:r w:rsidRPr="00350596">
              <w:t>ADAPT+ (NCT03770403)</w:t>
            </w:r>
          </w:p>
        </w:tc>
        <w:tc>
          <w:tcPr>
            <w:tcW w:w="2987" w:type="pct"/>
            <w:tcBorders>
              <w:top w:val="single" w:sz="4" w:space="0" w:color="auto"/>
              <w:bottom w:val="nil"/>
            </w:tcBorders>
            <w:vAlign w:val="center"/>
          </w:tcPr>
          <w:p w14:paraId="07941C90" w14:textId="31BC84A6" w:rsidR="008A088D" w:rsidRPr="00350596" w:rsidRDefault="008A088D" w:rsidP="007959EA">
            <w:pPr>
              <w:pStyle w:val="COMTabletext"/>
              <w:keepNext w:val="0"/>
              <w:widowControl w:val="0"/>
            </w:pPr>
            <w:r w:rsidRPr="00350596">
              <w:t xml:space="preserve">argenx BV (2023). A </w:t>
            </w:r>
            <w:r w:rsidR="00147ECE" w:rsidRPr="00350596">
              <w:t xml:space="preserve">long-term, single-arm, open-label, multicenter, phase 3 follow-on study </w:t>
            </w:r>
            <w:r w:rsidRPr="00350596">
              <w:t xml:space="preserve">of ARGX-113-1704 to </w:t>
            </w:r>
            <w:r w:rsidR="00147ECE" w:rsidRPr="00350596">
              <w:t xml:space="preserve">evaluate the safety and tolerability </w:t>
            </w:r>
            <w:r w:rsidRPr="00350596">
              <w:t xml:space="preserve">of ARGX-113 in </w:t>
            </w:r>
            <w:r w:rsidR="00147ECE" w:rsidRPr="00350596">
              <w:t>patients with myasthenia gravis having generalized muscle weakness.</w:t>
            </w:r>
          </w:p>
        </w:tc>
        <w:tc>
          <w:tcPr>
            <w:tcW w:w="1137" w:type="pct"/>
            <w:tcBorders>
              <w:top w:val="single" w:sz="4" w:space="0" w:color="auto"/>
              <w:bottom w:val="nil"/>
            </w:tcBorders>
          </w:tcPr>
          <w:p w14:paraId="5818701E" w14:textId="77777777" w:rsidR="008A088D" w:rsidRPr="00350596" w:rsidRDefault="008A088D" w:rsidP="008B6751">
            <w:pPr>
              <w:pStyle w:val="COMTabletext"/>
              <w:keepNext w:val="0"/>
              <w:widowControl w:val="0"/>
            </w:pPr>
            <w:r w:rsidRPr="00350596">
              <w:t>Internal study report</w:t>
            </w:r>
          </w:p>
        </w:tc>
      </w:tr>
      <w:tr w:rsidR="008A088D" w:rsidRPr="00350596" w14:paraId="02C0B0C0" w14:textId="77777777" w:rsidTr="008B6751">
        <w:trPr>
          <w:cantSplit/>
        </w:trPr>
        <w:tc>
          <w:tcPr>
            <w:tcW w:w="876" w:type="pct"/>
            <w:vMerge/>
            <w:vAlign w:val="center"/>
          </w:tcPr>
          <w:p w14:paraId="48BF53D5" w14:textId="77777777" w:rsidR="008A088D" w:rsidRPr="00350596" w:rsidRDefault="008A088D" w:rsidP="007959EA">
            <w:pPr>
              <w:pStyle w:val="COMTabletext"/>
              <w:keepNext w:val="0"/>
              <w:widowControl w:val="0"/>
            </w:pPr>
          </w:p>
        </w:tc>
        <w:tc>
          <w:tcPr>
            <w:tcW w:w="2987" w:type="pct"/>
            <w:tcBorders>
              <w:top w:val="nil"/>
              <w:bottom w:val="nil"/>
            </w:tcBorders>
            <w:vAlign w:val="center"/>
          </w:tcPr>
          <w:p w14:paraId="6EFFF49B" w14:textId="28399964" w:rsidR="008A088D" w:rsidRPr="00350596" w:rsidRDefault="008A088D" w:rsidP="007959EA">
            <w:pPr>
              <w:pStyle w:val="COMTabletext"/>
              <w:keepNext w:val="0"/>
              <w:widowControl w:val="0"/>
            </w:pPr>
            <w:r w:rsidRPr="00350596">
              <w:t>Howard et al (2024). Long-term safety, tolerability, and efficacy of efgartigimod (ADAPT+): interim results from a phase 3 open-label extension study in participants with generalized myasthenia gravis</w:t>
            </w:r>
            <w:r w:rsidR="00147ECE" w:rsidRPr="00350596">
              <w:t>.</w:t>
            </w:r>
          </w:p>
        </w:tc>
        <w:tc>
          <w:tcPr>
            <w:tcW w:w="1137" w:type="pct"/>
            <w:tcBorders>
              <w:top w:val="nil"/>
              <w:bottom w:val="nil"/>
            </w:tcBorders>
          </w:tcPr>
          <w:p w14:paraId="6C57E387" w14:textId="77777777" w:rsidR="008A088D" w:rsidRPr="00350596" w:rsidRDefault="008A088D" w:rsidP="008B6751">
            <w:pPr>
              <w:pStyle w:val="COMTabletext"/>
              <w:keepNext w:val="0"/>
              <w:widowControl w:val="0"/>
            </w:pPr>
            <w:r w:rsidRPr="00350596">
              <w:t>Frontiers in Neurology; 14:1284444</w:t>
            </w:r>
          </w:p>
        </w:tc>
      </w:tr>
      <w:tr w:rsidR="008A088D" w:rsidRPr="00350596" w14:paraId="38EB2241" w14:textId="77777777" w:rsidTr="4D5A194E">
        <w:trPr>
          <w:cantSplit/>
        </w:trPr>
        <w:tc>
          <w:tcPr>
            <w:tcW w:w="876" w:type="pct"/>
            <w:vMerge/>
            <w:vAlign w:val="center"/>
          </w:tcPr>
          <w:p w14:paraId="35496F39" w14:textId="77777777" w:rsidR="008A088D" w:rsidRPr="00350596" w:rsidRDefault="008A088D" w:rsidP="003F7EDE">
            <w:pPr>
              <w:pStyle w:val="TableText"/>
              <w:rPr>
                <w:i w:val="0"/>
                <w:iCs w:val="0"/>
              </w:rPr>
            </w:pPr>
          </w:p>
        </w:tc>
        <w:tc>
          <w:tcPr>
            <w:tcW w:w="2987" w:type="pct"/>
            <w:tcBorders>
              <w:top w:val="nil"/>
              <w:bottom w:val="single" w:sz="4" w:space="0" w:color="auto"/>
            </w:tcBorders>
            <w:vAlign w:val="center"/>
          </w:tcPr>
          <w:p w14:paraId="5D3C9D66" w14:textId="44BE56F0" w:rsidR="008A088D" w:rsidRPr="00350596" w:rsidRDefault="008A088D" w:rsidP="007959EA">
            <w:pPr>
              <w:pStyle w:val="COMTabletext"/>
              <w:keepNext w:val="0"/>
              <w:widowControl w:val="0"/>
            </w:pPr>
            <w:r w:rsidRPr="00350596">
              <w:t>Dewilde et al (2024). Post-hoc analyses from the ADAPT clinical study demonstrate aggregate sustained benefit of Efgartigimod in generalized myasthenia gravis</w:t>
            </w:r>
            <w:r w:rsidR="00147ECE" w:rsidRPr="00350596">
              <w:t>.</w:t>
            </w:r>
          </w:p>
        </w:tc>
        <w:tc>
          <w:tcPr>
            <w:tcW w:w="1137" w:type="pct"/>
            <w:tcBorders>
              <w:top w:val="nil"/>
              <w:bottom w:val="single" w:sz="4" w:space="0" w:color="auto"/>
            </w:tcBorders>
          </w:tcPr>
          <w:p w14:paraId="796F2BAA" w14:textId="77777777" w:rsidR="008A088D" w:rsidRPr="00350596" w:rsidRDefault="008A088D" w:rsidP="008B6751">
            <w:pPr>
              <w:pStyle w:val="COMTabletext"/>
              <w:keepNext w:val="0"/>
              <w:widowControl w:val="0"/>
            </w:pPr>
            <w:r w:rsidRPr="00350596">
              <w:t>Journal of the Neurological Sciences; 466:123264</w:t>
            </w:r>
          </w:p>
        </w:tc>
      </w:tr>
      <w:tr w:rsidR="008A088D" w:rsidRPr="00350596" w14:paraId="6F80EE55" w14:textId="77777777" w:rsidTr="00147ECE">
        <w:trPr>
          <w:cantSplit/>
        </w:trPr>
        <w:tc>
          <w:tcPr>
            <w:tcW w:w="5000" w:type="pct"/>
            <w:gridSpan w:val="3"/>
            <w:tcBorders>
              <w:bottom w:val="single" w:sz="4" w:space="0" w:color="auto"/>
            </w:tcBorders>
            <w:vAlign w:val="center"/>
          </w:tcPr>
          <w:p w14:paraId="2F8DD714" w14:textId="77777777" w:rsidR="008A088D" w:rsidRPr="00350596" w:rsidRDefault="008A088D" w:rsidP="00147ECE">
            <w:pPr>
              <w:pStyle w:val="COMTableheadingrow"/>
              <w:widowControl w:val="0"/>
              <w:rPr>
                <w:lang w:val="en-AU"/>
              </w:rPr>
            </w:pPr>
            <w:r w:rsidRPr="00350596">
              <w:rPr>
                <w:lang w:val="en-AU"/>
              </w:rPr>
              <w:t>Chronic IVIg studies</w:t>
            </w:r>
          </w:p>
        </w:tc>
      </w:tr>
      <w:tr w:rsidR="008A088D" w:rsidRPr="00350596" w14:paraId="13981839" w14:textId="77777777" w:rsidTr="00147ECE">
        <w:trPr>
          <w:cantSplit/>
        </w:trPr>
        <w:tc>
          <w:tcPr>
            <w:tcW w:w="876" w:type="pct"/>
            <w:tcBorders>
              <w:bottom w:val="single" w:sz="4" w:space="0" w:color="auto"/>
            </w:tcBorders>
            <w:vAlign w:val="center"/>
          </w:tcPr>
          <w:p w14:paraId="40442B70" w14:textId="77777777" w:rsidR="008A088D" w:rsidRPr="00350596" w:rsidRDefault="008A088D" w:rsidP="008A088D">
            <w:pPr>
              <w:pStyle w:val="COMTabletext"/>
              <w:keepNext w:val="0"/>
              <w:widowControl w:val="0"/>
            </w:pPr>
            <w:r w:rsidRPr="00350596">
              <w:t>Bril 2024 (NCT02473952)</w:t>
            </w:r>
          </w:p>
        </w:tc>
        <w:tc>
          <w:tcPr>
            <w:tcW w:w="2987" w:type="pct"/>
            <w:tcBorders>
              <w:bottom w:val="single" w:sz="4" w:space="0" w:color="auto"/>
            </w:tcBorders>
            <w:vAlign w:val="center"/>
          </w:tcPr>
          <w:p w14:paraId="12434B92" w14:textId="37686C26" w:rsidR="008A088D" w:rsidRPr="00350596" w:rsidRDefault="008A088D" w:rsidP="007959EA">
            <w:pPr>
              <w:pStyle w:val="COMTabletext"/>
              <w:keepNext w:val="0"/>
              <w:widowControl w:val="0"/>
            </w:pPr>
            <w:r w:rsidRPr="00350596">
              <w:t>Bril et al (2024). Efficacy and safety of maintenance intravenous immunoglobulin in generalized myasthenia gravis patients with acetylcholine receptor antibodies: A multicenter, double-blind, placebo-controlled trial</w:t>
            </w:r>
            <w:r w:rsidR="003B6526" w:rsidRPr="00350596">
              <w:t>.</w:t>
            </w:r>
          </w:p>
        </w:tc>
        <w:tc>
          <w:tcPr>
            <w:tcW w:w="1137" w:type="pct"/>
            <w:tcBorders>
              <w:bottom w:val="single" w:sz="4" w:space="0" w:color="auto"/>
            </w:tcBorders>
          </w:tcPr>
          <w:p w14:paraId="3AB6D863" w14:textId="77777777" w:rsidR="008A088D" w:rsidRPr="00350596" w:rsidRDefault="008A088D" w:rsidP="00147ECE">
            <w:pPr>
              <w:pStyle w:val="COMTabletext"/>
              <w:keepNext w:val="0"/>
              <w:widowControl w:val="0"/>
            </w:pPr>
            <w:r w:rsidRPr="00350596">
              <w:t>Muscle &amp; Nerve; 1-12</w:t>
            </w:r>
          </w:p>
        </w:tc>
      </w:tr>
      <w:tr w:rsidR="008A088D" w:rsidRPr="00350596" w14:paraId="25A1B321" w14:textId="77777777" w:rsidTr="00147ECE">
        <w:trPr>
          <w:cantSplit/>
        </w:trPr>
        <w:tc>
          <w:tcPr>
            <w:tcW w:w="876" w:type="pct"/>
            <w:tcBorders>
              <w:top w:val="single" w:sz="4" w:space="0" w:color="auto"/>
              <w:bottom w:val="single" w:sz="4" w:space="0" w:color="auto"/>
            </w:tcBorders>
            <w:vAlign w:val="center"/>
          </w:tcPr>
          <w:p w14:paraId="4CE5F668" w14:textId="77777777" w:rsidR="008A088D" w:rsidRPr="00350596" w:rsidRDefault="008A088D" w:rsidP="008A088D">
            <w:pPr>
              <w:pStyle w:val="COMTabletext"/>
              <w:keepNext w:val="0"/>
              <w:widowControl w:val="0"/>
            </w:pPr>
            <w:r w:rsidRPr="00350596">
              <w:t>Wolfe (2002)</w:t>
            </w:r>
          </w:p>
        </w:tc>
        <w:tc>
          <w:tcPr>
            <w:tcW w:w="2987" w:type="pct"/>
            <w:tcBorders>
              <w:top w:val="single" w:sz="4" w:space="0" w:color="auto"/>
              <w:bottom w:val="single" w:sz="4" w:space="0" w:color="auto"/>
            </w:tcBorders>
            <w:vAlign w:val="center"/>
          </w:tcPr>
          <w:p w14:paraId="2D2ADA5C" w14:textId="3C09C219" w:rsidR="008A088D" w:rsidRPr="00350596" w:rsidRDefault="008A088D" w:rsidP="007959EA">
            <w:pPr>
              <w:pStyle w:val="COMTabletext"/>
              <w:keepNext w:val="0"/>
              <w:widowControl w:val="0"/>
            </w:pPr>
            <w:r w:rsidRPr="00350596">
              <w:t>Wolfe et al (2002). Myasthenia Gravis-IVIg Study Group. Randomised, controlled trial of intravenous immunoglobulin in myasthenia gravis</w:t>
            </w:r>
            <w:r w:rsidR="003B6526" w:rsidRPr="00350596">
              <w:t>.</w:t>
            </w:r>
          </w:p>
        </w:tc>
        <w:tc>
          <w:tcPr>
            <w:tcW w:w="1137" w:type="pct"/>
            <w:tcBorders>
              <w:top w:val="single" w:sz="4" w:space="0" w:color="auto"/>
              <w:bottom w:val="single" w:sz="4" w:space="0" w:color="auto"/>
            </w:tcBorders>
          </w:tcPr>
          <w:p w14:paraId="6007C872" w14:textId="77777777" w:rsidR="008A088D" w:rsidRPr="00350596" w:rsidRDefault="008A088D" w:rsidP="00147ECE">
            <w:pPr>
              <w:pStyle w:val="COMTabletext"/>
              <w:keepNext w:val="0"/>
              <w:widowControl w:val="0"/>
            </w:pPr>
            <w:r w:rsidRPr="00350596">
              <w:t>Muscle &amp; Nerve 26:549-552</w:t>
            </w:r>
          </w:p>
        </w:tc>
      </w:tr>
      <w:tr w:rsidR="008A088D" w:rsidRPr="00350596" w14:paraId="5E6BD70D" w14:textId="77777777" w:rsidTr="007959EA">
        <w:trPr>
          <w:cantSplit/>
        </w:trPr>
        <w:tc>
          <w:tcPr>
            <w:tcW w:w="5000" w:type="pct"/>
            <w:gridSpan w:val="3"/>
            <w:tcBorders>
              <w:top w:val="single" w:sz="4" w:space="0" w:color="auto"/>
              <w:bottom w:val="single" w:sz="4" w:space="0" w:color="auto"/>
            </w:tcBorders>
            <w:vAlign w:val="center"/>
          </w:tcPr>
          <w:p w14:paraId="62CFF160" w14:textId="77777777" w:rsidR="008A088D" w:rsidRPr="00350596" w:rsidRDefault="008A088D" w:rsidP="007959EA">
            <w:pPr>
              <w:pStyle w:val="COMTableheadingrow"/>
              <w:rPr>
                <w:lang w:val="en-AU"/>
              </w:rPr>
            </w:pPr>
            <w:r w:rsidRPr="00350596">
              <w:rPr>
                <w:lang w:val="en-AU"/>
              </w:rPr>
              <w:t>Ravulizumab studies</w:t>
            </w:r>
          </w:p>
        </w:tc>
      </w:tr>
      <w:tr w:rsidR="008A088D" w:rsidRPr="00350596" w14:paraId="6AB25DC7" w14:textId="77777777" w:rsidTr="00147ECE">
        <w:trPr>
          <w:cantSplit/>
        </w:trPr>
        <w:tc>
          <w:tcPr>
            <w:tcW w:w="876" w:type="pct"/>
            <w:vMerge w:val="restart"/>
            <w:tcBorders>
              <w:top w:val="single" w:sz="4" w:space="0" w:color="auto"/>
            </w:tcBorders>
            <w:vAlign w:val="center"/>
          </w:tcPr>
          <w:p w14:paraId="6A25EC21" w14:textId="77777777" w:rsidR="008A088D" w:rsidRPr="00350596" w:rsidRDefault="008A088D" w:rsidP="007959EA">
            <w:pPr>
              <w:pStyle w:val="COMTabletext"/>
              <w:keepNext w:val="0"/>
              <w:widowControl w:val="0"/>
            </w:pPr>
            <w:r w:rsidRPr="00350596">
              <w:t>CHAMPION-MG (NCT03920293)</w:t>
            </w:r>
          </w:p>
        </w:tc>
        <w:tc>
          <w:tcPr>
            <w:tcW w:w="2987" w:type="pct"/>
            <w:tcBorders>
              <w:top w:val="single" w:sz="4" w:space="0" w:color="auto"/>
              <w:bottom w:val="nil"/>
            </w:tcBorders>
            <w:vAlign w:val="center"/>
          </w:tcPr>
          <w:p w14:paraId="4BE0A918" w14:textId="5D68202F" w:rsidR="008A088D" w:rsidRPr="00350596" w:rsidRDefault="008A088D" w:rsidP="007959EA">
            <w:pPr>
              <w:pStyle w:val="COMTabletext"/>
              <w:keepNext w:val="0"/>
              <w:widowControl w:val="0"/>
            </w:pPr>
            <w:r w:rsidRPr="00350596">
              <w:t xml:space="preserve">Vu et al (2022). Terminal </w:t>
            </w:r>
            <w:r w:rsidR="003B6526" w:rsidRPr="00350596">
              <w:t>complement inhibitor ravulizumab in generalized myasthenia gravis.</w:t>
            </w:r>
          </w:p>
        </w:tc>
        <w:tc>
          <w:tcPr>
            <w:tcW w:w="1137" w:type="pct"/>
            <w:tcBorders>
              <w:top w:val="single" w:sz="4" w:space="0" w:color="auto"/>
              <w:bottom w:val="nil"/>
            </w:tcBorders>
          </w:tcPr>
          <w:p w14:paraId="04C3E845" w14:textId="77777777" w:rsidR="008A088D" w:rsidRPr="00350596" w:rsidRDefault="008A088D" w:rsidP="00147ECE">
            <w:pPr>
              <w:pStyle w:val="COMTabletext"/>
              <w:keepNext w:val="0"/>
              <w:widowControl w:val="0"/>
            </w:pPr>
            <w:r w:rsidRPr="00350596">
              <w:t>New England Journal of Medicine Evidence 1(5)</w:t>
            </w:r>
          </w:p>
        </w:tc>
      </w:tr>
      <w:tr w:rsidR="008A088D" w:rsidRPr="00350596" w14:paraId="7C3DD086" w14:textId="77777777" w:rsidTr="00147ECE">
        <w:trPr>
          <w:cantSplit/>
        </w:trPr>
        <w:tc>
          <w:tcPr>
            <w:tcW w:w="876" w:type="pct"/>
            <w:vMerge/>
            <w:vAlign w:val="center"/>
          </w:tcPr>
          <w:p w14:paraId="57C49CC5" w14:textId="77777777" w:rsidR="008A088D" w:rsidRPr="00350596" w:rsidRDefault="008A088D" w:rsidP="007959EA">
            <w:pPr>
              <w:pStyle w:val="COMTabletext"/>
              <w:keepNext w:val="0"/>
              <w:widowControl w:val="0"/>
            </w:pPr>
          </w:p>
        </w:tc>
        <w:tc>
          <w:tcPr>
            <w:tcW w:w="2987" w:type="pct"/>
            <w:tcBorders>
              <w:top w:val="nil"/>
              <w:bottom w:val="nil"/>
            </w:tcBorders>
            <w:vAlign w:val="center"/>
          </w:tcPr>
          <w:p w14:paraId="2CBF069D" w14:textId="7EA78283" w:rsidR="008A088D" w:rsidRPr="00350596" w:rsidRDefault="008A088D" w:rsidP="007959EA">
            <w:pPr>
              <w:pStyle w:val="COMTabletext"/>
              <w:keepNext w:val="0"/>
              <w:widowControl w:val="0"/>
            </w:pPr>
            <w:r w:rsidRPr="00350596">
              <w:t>Vu et al (2023). Ravulizumab pharmacokinetics and pharmacodynamics in patients with generalized myasthenia gravis</w:t>
            </w:r>
            <w:r w:rsidR="003B6526" w:rsidRPr="00350596">
              <w:t>.</w:t>
            </w:r>
          </w:p>
        </w:tc>
        <w:tc>
          <w:tcPr>
            <w:tcW w:w="1137" w:type="pct"/>
            <w:tcBorders>
              <w:top w:val="nil"/>
              <w:bottom w:val="nil"/>
            </w:tcBorders>
          </w:tcPr>
          <w:p w14:paraId="376D6EBB" w14:textId="77777777" w:rsidR="008A088D" w:rsidRPr="00350596" w:rsidRDefault="008A088D" w:rsidP="00147ECE">
            <w:pPr>
              <w:pStyle w:val="COMTabletext"/>
              <w:keepNext w:val="0"/>
              <w:widowControl w:val="0"/>
            </w:pPr>
            <w:r w:rsidRPr="00350596">
              <w:t>Journal of Neurology 270: 3129-3137</w:t>
            </w:r>
          </w:p>
        </w:tc>
      </w:tr>
      <w:tr w:rsidR="008A088D" w:rsidRPr="00350596" w14:paraId="4B979B84" w14:textId="77777777" w:rsidTr="4D5A194E">
        <w:trPr>
          <w:cantSplit/>
        </w:trPr>
        <w:tc>
          <w:tcPr>
            <w:tcW w:w="876" w:type="pct"/>
            <w:vMerge/>
            <w:vAlign w:val="center"/>
          </w:tcPr>
          <w:p w14:paraId="6A75A7A7" w14:textId="77777777" w:rsidR="008A088D" w:rsidRPr="00350596" w:rsidRDefault="008A088D" w:rsidP="007959EA">
            <w:pPr>
              <w:pStyle w:val="COMTabletext"/>
              <w:keepNext w:val="0"/>
              <w:widowControl w:val="0"/>
            </w:pPr>
          </w:p>
        </w:tc>
        <w:tc>
          <w:tcPr>
            <w:tcW w:w="2987" w:type="pct"/>
            <w:tcBorders>
              <w:top w:val="nil"/>
              <w:bottom w:val="single" w:sz="4" w:space="0" w:color="auto"/>
            </w:tcBorders>
            <w:vAlign w:val="center"/>
          </w:tcPr>
          <w:p w14:paraId="3EAD9EFD" w14:textId="7B46DAD1" w:rsidR="008A088D" w:rsidRPr="00350596" w:rsidRDefault="008A088D" w:rsidP="007959EA">
            <w:pPr>
              <w:pStyle w:val="COMTabletext"/>
              <w:keepNext w:val="0"/>
              <w:widowControl w:val="0"/>
            </w:pPr>
            <w:r w:rsidRPr="00350596">
              <w:t>Meisel et al (2023). Long-term efficacy and safety of ravulizumab in adults with anti-acetylcholine receptor antibody-positive generalized myasthenia gravis: results from the phase 3 CHAMPION MG open-label extension</w:t>
            </w:r>
            <w:r w:rsidR="003B6526" w:rsidRPr="00350596">
              <w:t>.</w:t>
            </w:r>
          </w:p>
        </w:tc>
        <w:tc>
          <w:tcPr>
            <w:tcW w:w="1137" w:type="pct"/>
            <w:tcBorders>
              <w:top w:val="nil"/>
              <w:bottom w:val="single" w:sz="4" w:space="0" w:color="auto"/>
            </w:tcBorders>
          </w:tcPr>
          <w:p w14:paraId="25B92A47" w14:textId="77777777" w:rsidR="008A088D" w:rsidRPr="00350596" w:rsidRDefault="008A088D" w:rsidP="00147ECE">
            <w:pPr>
              <w:pStyle w:val="COMTabletext"/>
              <w:keepNext w:val="0"/>
              <w:widowControl w:val="0"/>
            </w:pPr>
            <w:r w:rsidRPr="00350596">
              <w:t>Journal of Neurology 270: 3862-3875</w:t>
            </w:r>
          </w:p>
        </w:tc>
      </w:tr>
      <w:tr w:rsidR="008A088D" w:rsidRPr="00350596" w14:paraId="3BBF3DC5" w14:textId="77777777" w:rsidTr="007959EA">
        <w:trPr>
          <w:cantSplit/>
        </w:trPr>
        <w:tc>
          <w:tcPr>
            <w:tcW w:w="5000" w:type="pct"/>
            <w:gridSpan w:val="3"/>
            <w:tcBorders>
              <w:top w:val="single" w:sz="4" w:space="0" w:color="auto"/>
              <w:bottom w:val="single" w:sz="4" w:space="0" w:color="auto"/>
            </w:tcBorders>
            <w:vAlign w:val="center"/>
          </w:tcPr>
          <w:p w14:paraId="1235F9DD" w14:textId="77777777" w:rsidR="008A088D" w:rsidRPr="00350596" w:rsidRDefault="008A088D" w:rsidP="007959EA">
            <w:pPr>
              <w:pStyle w:val="COMTableheadingrow"/>
              <w:rPr>
                <w:lang w:val="en-AU"/>
              </w:rPr>
            </w:pPr>
            <w:r w:rsidRPr="00350596">
              <w:rPr>
                <w:lang w:val="en-AU"/>
              </w:rPr>
              <w:lastRenderedPageBreak/>
              <w:t>Rozanolixizumab studies</w:t>
            </w:r>
          </w:p>
        </w:tc>
      </w:tr>
      <w:tr w:rsidR="008A088D" w:rsidRPr="00350596" w14:paraId="4370949E" w14:textId="77777777" w:rsidTr="00147ECE">
        <w:trPr>
          <w:cantSplit/>
        </w:trPr>
        <w:tc>
          <w:tcPr>
            <w:tcW w:w="876" w:type="pct"/>
            <w:tcBorders>
              <w:top w:val="single" w:sz="4" w:space="0" w:color="auto"/>
              <w:bottom w:val="single" w:sz="4" w:space="0" w:color="auto"/>
            </w:tcBorders>
            <w:vAlign w:val="center"/>
          </w:tcPr>
          <w:p w14:paraId="32B18808" w14:textId="77777777" w:rsidR="008A088D" w:rsidRPr="00350596" w:rsidRDefault="008A088D" w:rsidP="007959EA">
            <w:pPr>
              <w:pStyle w:val="COMTabletext"/>
              <w:keepNext w:val="0"/>
              <w:widowControl w:val="0"/>
            </w:pPr>
            <w:r w:rsidRPr="00350596">
              <w:t>MycarinG (NCT03052751)</w:t>
            </w:r>
          </w:p>
        </w:tc>
        <w:tc>
          <w:tcPr>
            <w:tcW w:w="2987" w:type="pct"/>
            <w:tcBorders>
              <w:top w:val="single" w:sz="4" w:space="0" w:color="auto"/>
              <w:bottom w:val="single" w:sz="4" w:space="0" w:color="auto"/>
            </w:tcBorders>
            <w:vAlign w:val="center"/>
          </w:tcPr>
          <w:p w14:paraId="5FBC7019" w14:textId="68456E3F" w:rsidR="008A088D" w:rsidRPr="00350596" w:rsidRDefault="008A088D" w:rsidP="007959EA">
            <w:pPr>
              <w:pStyle w:val="COMTabletext"/>
              <w:keepNext w:val="0"/>
              <w:widowControl w:val="0"/>
            </w:pPr>
            <w:r w:rsidRPr="00350596">
              <w:t>Bril et al (2023). Safety and efficacy of rozanolixizumab in patients with generalised myasthenia gravis (MycarinG): a randomised, double-blind, placebo-controlled, adaptive phase 3 study</w:t>
            </w:r>
            <w:r w:rsidR="003B6526" w:rsidRPr="00350596">
              <w:t>.</w:t>
            </w:r>
          </w:p>
        </w:tc>
        <w:tc>
          <w:tcPr>
            <w:tcW w:w="1137" w:type="pct"/>
            <w:tcBorders>
              <w:top w:val="single" w:sz="4" w:space="0" w:color="auto"/>
              <w:bottom w:val="single" w:sz="4" w:space="0" w:color="auto"/>
            </w:tcBorders>
          </w:tcPr>
          <w:p w14:paraId="5B255D13" w14:textId="77777777" w:rsidR="008A088D" w:rsidRPr="00350596" w:rsidRDefault="008A088D" w:rsidP="00147ECE">
            <w:pPr>
              <w:pStyle w:val="COMTabletext"/>
              <w:keepNext w:val="0"/>
              <w:widowControl w:val="0"/>
            </w:pPr>
            <w:r w:rsidRPr="00350596">
              <w:t>Lancet Neurology; 22(5):383-394</w:t>
            </w:r>
          </w:p>
        </w:tc>
      </w:tr>
      <w:tr w:rsidR="008A088D" w:rsidRPr="00350596" w14:paraId="60944EC1" w14:textId="77777777" w:rsidTr="007959EA">
        <w:trPr>
          <w:cantSplit/>
        </w:trPr>
        <w:tc>
          <w:tcPr>
            <w:tcW w:w="5000" w:type="pct"/>
            <w:gridSpan w:val="3"/>
            <w:tcBorders>
              <w:top w:val="single" w:sz="4" w:space="0" w:color="auto"/>
              <w:bottom w:val="single" w:sz="4" w:space="0" w:color="auto"/>
            </w:tcBorders>
            <w:vAlign w:val="center"/>
          </w:tcPr>
          <w:p w14:paraId="51024EC2" w14:textId="77777777" w:rsidR="008A088D" w:rsidRPr="00350596" w:rsidRDefault="008A088D" w:rsidP="007959EA">
            <w:pPr>
              <w:pStyle w:val="COMTableheadingrow"/>
              <w:rPr>
                <w:lang w:val="en-AU"/>
              </w:rPr>
            </w:pPr>
            <w:r w:rsidRPr="00350596">
              <w:rPr>
                <w:lang w:val="en-AU"/>
              </w:rPr>
              <w:t>Zilucoplan studies</w:t>
            </w:r>
          </w:p>
        </w:tc>
      </w:tr>
      <w:tr w:rsidR="008A088D" w:rsidRPr="00350596" w14:paraId="76F8B114" w14:textId="77777777" w:rsidTr="00147ECE">
        <w:trPr>
          <w:cantSplit/>
        </w:trPr>
        <w:tc>
          <w:tcPr>
            <w:tcW w:w="876" w:type="pct"/>
            <w:tcBorders>
              <w:top w:val="single" w:sz="4" w:space="0" w:color="auto"/>
              <w:bottom w:val="single" w:sz="4" w:space="0" w:color="auto"/>
            </w:tcBorders>
            <w:vAlign w:val="center"/>
          </w:tcPr>
          <w:p w14:paraId="349E19A1" w14:textId="77777777" w:rsidR="008A088D" w:rsidRPr="00350596" w:rsidRDefault="008A088D" w:rsidP="007959EA">
            <w:pPr>
              <w:pStyle w:val="COMTabletext"/>
              <w:keepNext w:val="0"/>
              <w:widowControl w:val="0"/>
            </w:pPr>
            <w:r w:rsidRPr="00350596">
              <w:t>RAISE (NCT03315130)</w:t>
            </w:r>
          </w:p>
        </w:tc>
        <w:tc>
          <w:tcPr>
            <w:tcW w:w="2987" w:type="pct"/>
            <w:tcBorders>
              <w:top w:val="single" w:sz="4" w:space="0" w:color="auto"/>
              <w:bottom w:val="single" w:sz="4" w:space="0" w:color="auto"/>
            </w:tcBorders>
            <w:vAlign w:val="center"/>
          </w:tcPr>
          <w:p w14:paraId="304A1553" w14:textId="4AA35D7F" w:rsidR="008A088D" w:rsidRPr="00350596" w:rsidRDefault="008A088D" w:rsidP="007959EA">
            <w:pPr>
              <w:pStyle w:val="COMTabletext"/>
              <w:keepNext w:val="0"/>
              <w:widowControl w:val="0"/>
            </w:pPr>
            <w:r w:rsidRPr="00350596">
              <w:rPr>
                <w:szCs w:val="18"/>
              </w:rPr>
              <w:t>Howard et al (2023). Safety and efficacy of zilucoplan in patients with generalised myasthenia gravis (RAISE): a randomised, double blind, placebo controlled, phase 3 study</w:t>
            </w:r>
            <w:r w:rsidR="003B6526" w:rsidRPr="00350596">
              <w:rPr>
                <w:szCs w:val="18"/>
              </w:rPr>
              <w:t>.</w:t>
            </w:r>
          </w:p>
        </w:tc>
        <w:tc>
          <w:tcPr>
            <w:tcW w:w="1137" w:type="pct"/>
            <w:tcBorders>
              <w:top w:val="single" w:sz="4" w:space="0" w:color="auto"/>
              <w:bottom w:val="single" w:sz="4" w:space="0" w:color="auto"/>
            </w:tcBorders>
          </w:tcPr>
          <w:p w14:paraId="2520D0D8" w14:textId="77777777" w:rsidR="008A088D" w:rsidRPr="00350596" w:rsidRDefault="008A088D" w:rsidP="00147ECE">
            <w:pPr>
              <w:pStyle w:val="COMTabletext"/>
              <w:keepNext w:val="0"/>
              <w:widowControl w:val="0"/>
            </w:pPr>
            <w:r w:rsidRPr="00350596">
              <w:t>Lancet: Neurology 22: 395-406</w:t>
            </w:r>
          </w:p>
        </w:tc>
      </w:tr>
      <w:tr w:rsidR="008A088D" w:rsidRPr="00350596" w14:paraId="3DA46525" w14:textId="77777777" w:rsidTr="00147ECE">
        <w:trPr>
          <w:cantSplit/>
        </w:trPr>
        <w:tc>
          <w:tcPr>
            <w:tcW w:w="876" w:type="pct"/>
            <w:tcBorders>
              <w:top w:val="single" w:sz="4" w:space="0" w:color="auto"/>
              <w:bottom w:val="single" w:sz="4" w:space="0" w:color="auto"/>
            </w:tcBorders>
            <w:vAlign w:val="center"/>
          </w:tcPr>
          <w:p w14:paraId="3DAE3876" w14:textId="77777777" w:rsidR="008A088D" w:rsidRPr="00350596" w:rsidRDefault="008A088D" w:rsidP="007959EA">
            <w:pPr>
              <w:pStyle w:val="COMTabletext"/>
              <w:keepNext w:val="0"/>
              <w:widowControl w:val="0"/>
            </w:pPr>
            <w:r w:rsidRPr="00350596">
              <w:t>RAISE-XT (NCT04225871)</w:t>
            </w:r>
          </w:p>
        </w:tc>
        <w:tc>
          <w:tcPr>
            <w:tcW w:w="2987" w:type="pct"/>
            <w:tcBorders>
              <w:top w:val="single" w:sz="4" w:space="0" w:color="auto"/>
              <w:bottom w:val="single" w:sz="4" w:space="0" w:color="auto"/>
            </w:tcBorders>
            <w:vAlign w:val="center"/>
          </w:tcPr>
          <w:p w14:paraId="5FB8EBCB" w14:textId="77777777" w:rsidR="008A088D" w:rsidRPr="00350596" w:rsidRDefault="008A088D" w:rsidP="007959EA">
            <w:pPr>
              <w:pStyle w:val="COMTabletext"/>
              <w:keepNext w:val="0"/>
              <w:widowControl w:val="0"/>
            </w:pPr>
            <w:r w:rsidRPr="00350596">
              <w:rPr>
                <w:szCs w:val="18"/>
              </w:rPr>
              <w:t>Weiss et al (2024). Improvement of fatigue in generalised myasthenia gravis with zilucoplan.</w:t>
            </w:r>
          </w:p>
        </w:tc>
        <w:tc>
          <w:tcPr>
            <w:tcW w:w="1137" w:type="pct"/>
            <w:tcBorders>
              <w:top w:val="single" w:sz="4" w:space="0" w:color="auto"/>
              <w:bottom w:val="single" w:sz="4" w:space="0" w:color="auto"/>
            </w:tcBorders>
          </w:tcPr>
          <w:p w14:paraId="543ABE49" w14:textId="77777777" w:rsidR="008A088D" w:rsidRPr="00350596" w:rsidRDefault="008A088D" w:rsidP="00147ECE">
            <w:pPr>
              <w:pStyle w:val="Tabletext0"/>
            </w:pPr>
            <w:r w:rsidRPr="00350596">
              <w:t xml:space="preserve">Journal of Neurology </w:t>
            </w:r>
          </w:p>
          <w:p w14:paraId="6CA2D3CE" w14:textId="77777777" w:rsidR="008A088D" w:rsidRPr="00350596" w:rsidRDefault="008A088D" w:rsidP="00147ECE">
            <w:pPr>
              <w:pStyle w:val="COMTabletext"/>
              <w:keepNext w:val="0"/>
              <w:widowControl w:val="0"/>
            </w:pPr>
            <w:r w:rsidRPr="00350596">
              <w:t>doi: 10.1007/s00415-024-12209-3</w:t>
            </w:r>
          </w:p>
        </w:tc>
      </w:tr>
    </w:tbl>
    <w:p w14:paraId="44E92DD9" w14:textId="77777777" w:rsidR="00FE6580" w:rsidRPr="00350596" w:rsidRDefault="00FE6580" w:rsidP="00FE6580">
      <w:pPr>
        <w:pStyle w:val="COMTablefooter"/>
      </w:pPr>
      <w:r w:rsidRPr="00350596">
        <w:t>Source: Table A3.1, Section 2 Appendices of the submission</w:t>
      </w:r>
    </w:p>
    <w:p w14:paraId="4090A7F0" w14:textId="77777777" w:rsidR="00FE6580" w:rsidRPr="00350596" w:rsidRDefault="00FE6580" w:rsidP="00FE6580">
      <w:pPr>
        <w:pStyle w:val="COMTablefooter"/>
      </w:pPr>
      <w:r w:rsidRPr="00350596">
        <w:t>Note: Abstracts of studies with full publications are not presented</w:t>
      </w:r>
    </w:p>
    <w:p w14:paraId="1DD06D7D" w14:textId="01513389" w:rsidR="007F1017" w:rsidRPr="00350596" w:rsidRDefault="008F120A" w:rsidP="00EC5836">
      <w:pPr>
        <w:pStyle w:val="COMexecsummnumbered"/>
        <w:rPr>
          <w:color w:val="0066FF"/>
        </w:rPr>
      </w:pPr>
      <w:r w:rsidRPr="00350596">
        <w:t xml:space="preserve">The key features of the </w:t>
      </w:r>
      <w:r w:rsidR="001D20AE" w:rsidRPr="00350596">
        <w:t>ADAPT t</w:t>
      </w:r>
      <w:r w:rsidR="00FE6580" w:rsidRPr="00350596">
        <w:t>rial</w:t>
      </w:r>
      <w:r w:rsidRPr="00350596">
        <w:t xml:space="preserve"> are summarised in</w:t>
      </w:r>
      <w:r w:rsidR="00D6076E" w:rsidRPr="00350596">
        <w:t xml:space="preserve"> </w:t>
      </w:r>
      <w:r w:rsidR="00D6076E" w:rsidRPr="00350596">
        <w:fldChar w:fldCharType="begin"/>
      </w:r>
      <w:r w:rsidR="00D6076E" w:rsidRPr="00350596">
        <w:instrText xml:space="preserve"> REF _Ref104804098 \h  \* MERGEFORMAT </w:instrText>
      </w:r>
      <w:r w:rsidR="00D6076E" w:rsidRPr="00350596">
        <w:fldChar w:fldCharType="separate"/>
      </w:r>
      <w:r w:rsidR="002B16A5" w:rsidRPr="00350596">
        <w:t xml:space="preserve">Table </w:t>
      </w:r>
      <w:r w:rsidR="002B16A5">
        <w:t>3</w:t>
      </w:r>
      <w:r w:rsidR="00D6076E" w:rsidRPr="00350596">
        <w:fldChar w:fldCharType="end"/>
      </w:r>
      <w:r w:rsidRPr="00350596">
        <w:t>.</w:t>
      </w:r>
    </w:p>
    <w:p w14:paraId="355E2F15" w14:textId="164EA070" w:rsidR="007F1017" w:rsidRPr="00350596" w:rsidRDefault="00696EF9" w:rsidP="00FF3ECD">
      <w:pPr>
        <w:pStyle w:val="COMtablefigcaption"/>
      </w:pPr>
      <w:bookmarkStart w:id="23" w:name="_Ref104804098"/>
      <w:r w:rsidRPr="00350596">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3</w:t>
      </w:r>
      <w:r w:rsidR="007579CB" w:rsidRPr="00350596">
        <w:fldChar w:fldCharType="end"/>
      </w:r>
      <w:bookmarkEnd w:id="23"/>
      <w:r w:rsidR="00D6076E" w:rsidRPr="00350596">
        <w:t xml:space="preserve">: </w:t>
      </w:r>
      <w:r w:rsidR="007F1017" w:rsidRPr="00350596">
        <w:t xml:space="preserve">Key features of the </w:t>
      </w:r>
      <w:r w:rsidR="008D5225" w:rsidRPr="00350596">
        <w:t>ADAPT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ADAPT trial"/>
      </w:tblPr>
      <w:tblGrid>
        <w:gridCol w:w="724"/>
        <w:gridCol w:w="546"/>
        <w:gridCol w:w="1161"/>
        <w:gridCol w:w="839"/>
        <w:gridCol w:w="2480"/>
        <w:gridCol w:w="1848"/>
        <w:gridCol w:w="1419"/>
      </w:tblGrid>
      <w:tr w:rsidR="00B41614" w:rsidRPr="00350596" w14:paraId="53DD7CC6" w14:textId="77777777" w:rsidTr="00065E71">
        <w:trPr>
          <w:cantSplit/>
          <w:tblHeader/>
        </w:trPr>
        <w:tc>
          <w:tcPr>
            <w:tcW w:w="401" w:type="pct"/>
            <w:vAlign w:val="center"/>
          </w:tcPr>
          <w:p w14:paraId="794116BC" w14:textId="77777777" w:rsidR="007F1017" w:rsidRPr="00350596" w:rsidRDefault="007F1017" w:rsidP="009E13CD">
            <w:pPr>
              <w:pStyle w:val="COMTableheadingrow"/>
              <w:rPr>
                <w:lang w:val="en-AU"/>
              </w:rPr>
            </w:pPr>
            <w:r w:rsidRPr="00350596">
              <w:rPr>
                <w:lang w:val="en-AU"/>
              </w:rPr>
              <w:t>Trial</w:t>
            </w:r>
          </w:p>
        </w:tc>
        <w:tc>
          <w:tcPr>
            <w:tcW w:w="303" w:type="pct"/>
            <w:vAlign w:val="center"/>
          </w:tcPr>
          <w:p w14:paraId="51122FE5" w14:textId="77777777" w:rsidR="007F1017" w:rsidRPr="00350596" w:rsidRDefault="007F1017" w:rsidP="001548C7">
            <w:pPr>
              <w:pStyle w:val="COMTableheadingrow"/>
              <w:jc w:val="center"/>
              <w:rPr>
                <w:lang w:val="en-AU"/>
              </w:rPr>
            </w:pPr>
            <w:r w:rsidRPr="00350596">
              <w:rPr>
                <w:lang w:val="en-AU"/>
              </w:rPr>
              <w:t>N</w:t>
            </w:r>
          </w:p>
        </w:tc>
        <w:tc>
          <w:tcPr>
            <w:tcW w:w="644" w:type="pct"/>
            <w:vAlign w:val="center"/>
          </w:tcPr>
          <w:p w14:paraId="41C438EF" w14:textId="77777777" w:rsidR="007F1017" w:rsidRPr="00350596" w:rsidRDefault="007F1017" w:rsidP="001548C7">
            <w:pPr>
              <w:pStyle w:val="COMTableheadingrow"/>
              <w:jc w:val="center"/>
              <w:rPr>
                <w:lang w:val="en-AU"/>
              </w:rPr>
            </w:pPr>
            <w:r w:rsidRPr="00350596">
              <w:rPr>
                <w:lang w:val="en-AU"/>
              </w:rPr>
              <w:t>Design/ duration</w:t>
            </w:r>
          </w:p>
        </w:tc>
        <w:tc>
          <w:tcPr>
            <w:tcW w:w="465" w:type="pct"/>
            <w:vAlign w:val="center"/>
          </w:tcPr>
          <w:p w14:paraId="1FC91360" w14:textId="77777777" w:rsidR="007F1017" w:rsidRPr="00350596" w:rsidRDefault="007F1017" w:rsidP="001548C7">
            <w:pPr>
              <w:pStyle w:val="COMTableheadingrow"/>
              <w:jc w:val="center"/>
              <w:rPr>
                <w:lang w:val="en-AU"/>
              </w:rPr>
            </w:pPr>
            <w:r w:rsidRPr="00350596">
              <w:rPr>
                <w:lang w:val="en-AU"/>
              </w:rPr>
              <w:t>Risk of bias</w:t>
            </w:r>
          </w:p>
        </w:tc>
        <w:tc>
          <w:tcPr>
            <w:tcW w:w="1375" w:type="pct"/>
            <w:vAlign w:val="center"/>
          </w:tcPr>
          <w:p w14:paraId="7FF90896" w14:textId="77777777" w:rsidR="007F1017" w:rsidRPr="00350596" w:rsidRDefault="007F1017" w:rsidP="001548C7">
            <w:pPr>
              <w:pStyle w:val="COMTableheadingrow"/>
              <w:jc w:val="center"/>
              <w:rPr>
                <w:lang w:val="en-AU"/>
              </w:rPr>
            </w:pPr>
            <w:r w:rsidRPr="00350596">
              <w:rPr>
                <w:lang w:val="en-AU"/>
              </w:rPr>
              <w:t>Patient population</w:t>
            </w:r>
          </w:p>
        </w:tc>
        <w:tc>
          <w:tcPr>
            <w:tcW w:w="1025" w:type="pct"/>
            <w:vAlign w:val="center"/>
          </w:tcPr>
          <w:p w14:paraId="0FCB63F9" w14:textId="06C8ABE5" w:rsidR="007F1017" w:rsidRPr="00350596" w:rsidRDefault="007F1017" w:rsidP="001548C7">
            <w:pPr>
              <w:pStyle w:val="COMTableheadingrow"/>
              <w:jc w:val="center"/>
              <w:rPr>
                <w:lang w:val="en-AU"/>
              </w:rPr>
            </w:pPr>
            <w:r w:rsidRPr="00350596">
              <w:rPr>
                <w:lang w:val="en-AU"/>
              </w:rPr>
              <w:t>Outcomes</w:t>
            </w:r>
          </w:p>
        </w:tc>
        <w:tc>
          <w:tcPr>
            <w:tcW w:w="787" w:type="pct"/>
            <w:vAlign w:val="center"/>
          </w:tcPr>
          <w:p w14:paraId="08C6F624" w14:textId="77777777" w:rsidR="007F1017" w:rsidRPr="00350596" w:rsidRDefault="007F1017" w:rsidP="001548C7">
            <w:pPr>
              <w:pStyle w:val="COMTableheadingrow"/>
              <w:jc w:val="center"/>
              <w:rPr>
                <w:lang w:val="en-AU"/>
              </w:rPr>
            </w:pPr>
            <w:r w:rsidRPr="00350596">
              <w:rPr>
                <w:lang w:val="en-AU"/>
              </w:rPr>
              <w:t>Use in modelled evaluation</w:t>
            </w:r>
          </w:p>
        </w:tc>
      </w:tr>
      <w:tr w:rsidR="00B41614" w:rsidRPr="00350596" w14:paraId="4EE88DCB" w14:textId="77777777" w:rsidTr="00065E71">
        <w:trPr>
          <w:cantSplit/>
        </w:trPr>
        <w:tc>
          <w:tcPr>
            <w:tcW w:w="401" w:type="pct"/>
            <w:vAlign w:val="center"/>
          </w:tcPr>
          <w:p w14:paraId="6EE77D33" w14:textId="7704CDB1" w:rsidR="007F1017" w:rsidRPr="00350596" w:rsidRDefault="003C6AE3" w:rsidP="005C5D04">
            <w:pPr>
              <w:pStyle w:val="COMTabletext"/>
            </w:pPr>
            <w:r w:rsidRPr="00350596">
              <w:t>ADAPT</w:t>
            </w:r>
          </w:p>
        </w:tc>
        <w:tc>
          <w:tcPr>
            <w:tcW w:w="303" w:type="pct"/>
            <w:vAlign w:val="center"/>
          </w:tcPr>
          <w:p w14:paraId="41BB0E41" w14:textId="31506BAF" w:rsidR="007F1017" w:rsidRPr="00350596" w:rsidRDefault="008D5225" w:rsidP="001548C7">
            <w:pPr>
              <w:pStyle w:val="COMTabletext"/>
              <w:jc w:val="center"/>
            </w:pPr>
            <w:r w:rsidRPr="00350596">
              <w:t>167</w:t>
            </w:r>
          </w:p>
        </w:tc>
        <w:tc>
          <w:tcPr>
            <w:tcW w:w="644" w:type="pct"/>
            <w:vAlign w:val="center"/>
          </w:tcPr>
          <w:p w14:paraId="744D08AC" w14:textId="3A17CEC9" w:rsidR="007F1017" w:rsidRPr="00350596" w:rsidRDefault="008D5225" w:rsidP="001548C7">
            <w:pPr>
              <w:pStyle w:val="COMTabletext"/>
              <w:jc w:val="center"/>
            </w:pPr>
            <w:r w:rsidRPr="00350596">
              <w:t xml:space="preserve">MC, R, DB, PC, 26 weeks </w:t>
            </w:r>
            <w:r w:rsidR="005410C5" w:rsidRPr="00350596">
              <w:t>duration with an open-label extension</w:t>
            </w:r>
          </w:p>
        </w:tc>
        <w:tc>
          <w:tcPr>
            <w:tcW w:w="465" w:type="pct"/>
            <w:vAlign w:val="center"/>
          </w:tcPr>
          <w:p w14:paraId="4A529D74" w14:textId="10184C07" w:rsidR="007F1017" w:rsidRPr="00350596" w:rsidRDefault="00BE4334" w:rsidP="001548C7">
            <w:pPr>
              <w:pStyle w:val="COMTabletext"/>
              <w:jc w:val="center"/>
              <w:rPr>
                <w:vertAlign w:val="superscript"/>
              </w:rPr>
            </w:pPr>
            <w:r w:rsidRPr="00350596">
              <w:t>Unclear</w:t>
            </w:r>
          </w:p>
        </w:tc>
        <w:tc>
          <w:tcPr>
            <w:tcW w:w="1375" w:type="pct"/>
            <w:vAlign w:val="center"/>
          </w:tcPr>
          <w:p w14:paraId="5E6F456D" w14:textId="68FC72C8" w:rsidR="007F1017" w:rsidRPr="00350596" w:rsidRDefault="009E13CD" w:rsidP="001548C7">
            <w:pPr>
              <w:pStyle w:val="COMTabletext"/>
              <w:jc w:val="center"/>
            </w:pPr>
            <w:r w:rsidRPr="00350596">
              <w:t xml:space="preserve">Myasthenia gravis, with or without </w:t>
            </w:r>
            <w:r w:rsidR="00162646" w:rsidRPr="00350596">
              <w:t>AChR</w:t>
            </w:r>
            <w:r w:rsidRPr="00350596">
              <w:t xml:space="preserve"> antibodies</w:t>
            </w:r>
            <w:r w:rsidR="00E614CD" w:rsidRPr="00350596">
              <w:t>,</w:t>
            </w:r>
            <w:r w:rsidRPr="00350596">
              <w:t xml:space="preserve"> who have generalised mild-to-severe symptoms </w:t>
            </w:r>
            <w:r w:rsidR="00462108" w:rsidRPr="00350596">
              <w:t xml:space="preserve">and </w:t>
            </w:r>
            <w:r w:rsidRPr="00350596">
              <w:t>functional impairments (MG ADL ≥ 5 with &gt; 50% of the total score due to non-ocular symptoms) with stable background therapy</w:t>
            </w:r>
          </w:p>
        </w:tc>
        <w:tc>
          <w:tcPr>
            <w:tcW w:w="1025" w:type="pct"/>
            <w:vAlign w:val="center"/>
          </w:tcPr>
          <w:p w14:paraId="4AD6CDBF" w14:textId="7BB4DC45" w:rsidR="004E4FE7" w:rsidRPr="00350596" w:rsidRDefault="00162646" w:rsidP="00B64107">
            <w:pPr>
              <w:pStyle w:val="COMTabletext"/>
              <w:spacing w:after="120"/>
              <w:jc w:val="center"/>
            </w:pPr>
            <w:r w:rsidRPr="00350596">
              <w:t>Primary: Based on AChR+ subgroup</w:t>
            </w:r>
            <w:r w:rsidR="004E4FE7" w:rsidRPr="00350596">
              <w:t xml:space="preserve">, </w:t>
            </w:r>
            <w:r w:rsidR="00D91AC8" w:rsidRPr="00350596">
              <w:t xml:space="preserve">proportion with MG-ADL </w:t>
            </w:r>
            <w:r w:rsidR="004E4FE7" w:rsidRPr="00350596">
              <w:t xml:space="preserve">response in the first treatment cycle </w:t>
            </w:r>
            <w:r w:rsidR="004E4FE7" w:rsidRPr="00350596">
              <w:rPr>
                <w:vertAlign w:val="superscript"/>
              </w:rPr>
              <w:t>a</w:t>
            </w:r>
          </w:p>
          <w:p w14:paraId="6DC76214" w14:textId="1C1B9111" w:rsidR="004E4FE7" w:rsidRPr="00350596" w:rsidRDefault="004E4FE7" w:rsidP="001548C7">
            <w:pPr>
              <w:pStyle w:val="COMTabletext"/>
              <w:jc w:val="center"/>
            </w:pPr>
            <w:r w:rsidRPr="00350596">
              <w:t xml:space="preserve">Other outcomes: </w:t>
            </w:r>
            <w:r w:rsidR="00704383" w:rsidRPr="00350596">
              <w:t xml:space="preserve">Change in </w:t>
            </w:r>
            <w:r w:rsidR="006B0454" w:rsidRPr="00350596">
              <w:t>MG-ADL, MGC and QMG, QMG responders</w:t>
            </w:r>
            <w:r w:rsidR="00B14EAD" w:rsidRPr="00350596">
              <w:t>; quality of life (EQ-5D-5L, MG-QoL15r)</w:t>
            </w:r>
          </w:p>
        </w:tc>
        <w:tc>
          <w:tcPr>
            <w:tcW w:w="787" w:type="pct"/>
            <w:vAlign w:val="center"/>
          </w:tcPr>
          <w:p w14:paraId="150A804C" w14:textId="68A57696" w:rsidR="007F1017" w:rsidRPr="00350596" w:rsidRDefault="00D03F85" w:rsidP="001548C7">
            <w:pPr>
              <w:pStyle w:val="COMTabletext"/>
              <w:jc w:val="center"/>
            </w:pPr>
            <w:r w:rsidRPr="00350596">
              <w:t>Baseline characteristics, treatment response, patient-level MG-ADL scores over time</w:t>
            </w:r>
            <w:r w:rsidR="00D4665D" w:rsidRPr="00350596">
              <w:t>, treatment discontinuation</w:t>
            </w:r>
            <w:r w:rsidR="007F1B4F" w:rsidRPr="00350596">
              <w:t xml:space="preserve">, </w:t>
            </w:r>
            <w:r w:rsidR="008B2558" w:rsidRPr="00350596">
              <w:t xml:space="preserve">health state </w:t>
            </w:r>
            <w:r w:rsidR="007F1B4F" w:rsidRPr="00350596">
              <w:t>utility values, adverse events</w:t>
            </w:r>
          </w:p>
        </w:tc>
      </w:tr>
    </w:tbl>
    <w:p w14:paraId="560080D2" w14:textId="7D0A38F1" w:rsidR="00045017" w:rsidRPr="00350596" w:rsidRDefault="00045017" w:rsidP="007E51D5">
      <w:pPr>
        <w:pStyle w:val="COMTablefooter"/>
      </w:pPr>
      <w:r w:rsidRPr="00350596">
        <w:t xml:space="preserve">Source: </w:t>
      </w:r>
      <w:r w:rsidR="001959C0" w:rsidRPr="00350596">
        <w:t>Sections 2.4.1-2.4.3, pp55-74 of the submission</w:t>
      </w:r>
    </w:p>
    <w:p w14:paraId="38A4279D" w14:textId="778FF1BD" w:rsidR="009E13CD" w:rsidRPr="00350596" w:rsidRDefault="009E13CD" w:rsidP="007E51D5">
      <w:pPr>
        <w:pStyle w:val="COMTablefooter"/>
      </w:pPr>
      <w:r w:rsidRPr="00350596">
        <w:t>Abbreviations:</w:t>
      </w:r>
      <w:r w:rsidR="00065E71" w:rsidRPr="00350596">
        <w:t xml:space="preserve"> AChR+, acetylcholine receptor antibody positive; DB, double-blind; MC, multicentre; MG-ADL, Myasthenia Gravis Activities of Daily Living; MGC, </w:t>
      </w:r>
      <w:r w:rsidR="00462108" w:rsidRPr="00350596">
        <w:t>M</w:t>
      </w:r>
      <w:r w:rsidR="00065E71" w:rsidRPr="00350596">
        <w:t xml:space="preserve">yasthenia </w:t>
      </w:r>
      <w:r w:rsidR="00462108" w:rsidRPr="00350596">
        <w:t>G</w:t>
      </w:r>
      <w:r w:rsidR="00065E71" w:rsidRPr="00350596">
        <w:t xml:space="preserve">ravis </w:t>
      </w:r>
      <w:r w:rsidR="00462108" w:rsidRPr="00350596">
        <w:t>C</w:t>
      </w:r>
      <w:r w:rsidR="00065E71" w:rsidRPr="00350596">
        <w:t>omposite score; MG-QoL15r, revised Myasthenia Gravis Quality of Life; PC, placebo-controlled; QMG, Quantitative Myasthenia Gravis score; R, randomised</w:t>
      </w:r>
    </w:p>
    <w:p w14:paraId="0F1F113F" w14:textId="10804425" w:rsidR="004E4FE7" w:rsidRPr="00350596" w:rsidRDefault="004E4FE7" w:rsidP="007E51D5">
      <w:pPr>
        <w:pStyle w:val="COMTablefooter"/>
      </w:pPr>
      <w:r w:rsidRPr="00350596">
        <w:rPr>
          <w:vertAlign w:val="superscript"/>
        </w:rPr>
        <w:t>a</w:t>
      </w:r>
      <w:r w:rsidRPr="00350596">
        <w:t xml:space="preserve"> </w:t>
      </w:r>
      <w:r w:rsidR="00D91AC8" w:rsidRPr="00350596">
        <w:t>R</w:t>
      </w:r>
      <w:r w:rsidRPr="00350596">
        <w:t>esponse defined as ≥2-point reduction in MG-ADL score compared to baseline for ≥4 consecutive weeks</w:t>
      </w:r>
    </w:p>
    <w:p w14:paraId="4B83BBF3" w14:textId="05AEB964" w:rsidR="00045017" w:rsidRPr="00350596" w:rsidRDefault="009D6E24" w:rsidP="00AB156B">
      <w:pPr>
        <w:pStyle w:val="COMexecsummnumbered"/>
      </w:pPr>
      <w:r w:rsidRPr="00350596">
        <w:t xml:space="preserve">The risk of bias in the ADAPT trial was considered unclear due to an imbalance in discontinuation rates between arms </w:t>
      </w:r>
      <w:r w:rsidR="00ED2263" w:rsidRPr="00350596">
        <w:t>(</w:t>
      </w:r>
      <w:r w:rsidRPr="00350596">
        <w:t>placebo</w:t>
      </w:r>
      <w:r w:rsidR="00ED2263" w:rsidRPr="00350596">
        <w:t xml:space="preserve"> </w:t>
      </w:r>
      <w:r w:rsidRPr="00350596">
        <w:t>12%</w:t>
      </w:r>
      <w:r w:rsidR="00ED2263" w:rsidRPr="00350596">
        <w:t xml:space="preserve">, </w:t>
      </w:r>
      <w:r w:rsidRPr="00350596">
        <w:t>efgartigimod 6%)</w:t>
      </w:r>
      <w:r w:rsidR="00AB156B" w:rsidRPr="00350596">
        <w:t>, primarily due to withdrawal of consent and sponsor decision. A similar imbalance was observed in the AChR antibody positive subgroup informing key primary and secondary outcomes of the trial (placebo 14%, efgartigimod 5%). The impact of this imbalance is unclear as sensitivity analyses were performed using missing-is-failure imputation, with no other methods for handling missing data.</w:t>
      </w:r>
    </w:p>
    <w:p w14:paraId="584CC633" w14:textId="317F98C9" w:rsidR="008B4842" w:rsidRPr="00350596" w:rsidRDefault="008B4842" w:rsidP="00AB156B">
      <w:pPr>
        <w:pStyle w:val="COMexecsummnumbered"/>
      </w:pPr>
      <w:r w:rsidRPr="00350596">
        <w:t>The risk of bias in the ADAPT+ extension study was considered high given the uncontrolled, open-label study design. Additionally, a substantial proportion of patients (70%) discontinued prematurely</w:t>
      </w:r>
      <w:r w:rsidR="00095AE9" w:rsidRPr="00350596">
        <w:t xml:space="preserve"> primarily due to rollover to another extension study (43%)</w:t>
      </w:r>
      <w:r w:rsidRPr="00350596">
        <w:t xml:space="preserve"> resulting in relatively few patients receiving more than 10 treatment cycles in the study (maximum of 19 planned treatment cycles). </w:t>
      </w:r>
    </w:p>
    <w:p w14:paraId="4899E35E" w14:textId="7DF8C8F7" w:rsidR="007F1017" w:rsidRPr="00350596" w:rsidRDefault="008E1811" w:rsidP="008E1811">
      <w:pPr>
        <w:pStyle w:val="COMexecsummnumbered"/>
      </w:pPr>
      <w:r w:rsidRPr="00350596">
        <w:t xml:space="preserve">The majority of trial participants were acetylcholine receptor antibody positive (77%) while the remainder were acetylcholine receptor antibody negative (23%). There was </w:t>
      </w:r>
      <w:r w:rsidRPr="00350596">
        <w:lastRenderedPageBreak/>
        <w:t xml:space="preserve">an equal percentage (16%) of acetylcholine receptor antibody negative patients who tested positive for </w:t>
      </w:r>
      <w:r w:rsidR="00F26A31" w:rsidRPr="00350596">
        <w:t xml:space="preserve">muscle-specific kinase (MuSK) </w:t>
      </w:r>
      <w:r w:rsidRPr="00350596">
        <w:t>antibodies in each treatment arm.</w:t>
      </w:r>
    </w:p>
    <w:p w14:paraId="7A05589B" w14:textId="52F6F11D" w:rsidR="00794A06" w:rsidRPr="00350596" w:rsidRDefault="00794A06" w:rsidP="008E1811">
      <w:pPr>
        <w:pStyle w:val="COMexecsummnumbered"/>
      </w:pPr>
      <w:r w:rsidRPr="00350596">
        <w:t>There was an imbalance in the proportion of patients who had previously undergone thymectomy in the efgartigimod arm</w:t>
      </w:r>
      <w:r w:rsidR="00891CBD" w:rsidRPr="00350596">
        <w:t xml:space="preserve"> (70%) compared</w:t>
      </w:r>
      <w:r w:rsidRPr="00350596">
        <w:t xml:space="preserve"> to placebo (43%). The submission claimed the difference did not appear to have favoured efgartigimod based on a post hoc analysis of subgroups with or without prior thymectomy that showed a numerically lower proportion of patients with prior thymectomy achieving MG-ADL response compared to those without prior thymectomy. While this may be the case within the context of this trial, </w:t>
      </w:r>
      <w:r w:rsidR="000755EC" w:rsidRPr="00350596">
        <w:t xml:space="preserve">the evaluation considered </w:t>
      </w:r>
      <w:r w:rsidRPr="00350596">
        <w:t>it remain</w:t>
      </w:r>
      <w:r w:rsidR="000755EC" w:rsidRPr="00350596">
        <w:t>ed</w:t>
      </w:r>
      <w:r w:rsidRPr="00350596">
        <w:t xml:space="preserve"> uncertain whether prior thymectomy is a treatment effect modifier given the lack of statistical comparisons and treatment-effect interaction testing.</w:t>
      </w:r>
    </w:p>
    <w:p w14:paraId="48E68082" w14:textId="7E54AD73" w:rsidR="00794A06" w:rsidRPr="00350596" w:rsidRDefault="002A7F0B" w:rsidP="008E1811">
      <w:pPr>
        <w:pStyle w:val="COMexecsummnumbered"/>
      </w:pPr>
      <w:r w:rsidRPr="00350596">
        <w:t xml:space="preserve">At baseline, 52% </w:t>
      </w:r>
      <w:r w:rsidR="007A4650" w:rsidRPr="00350596">
        <w:t xml:space="preserve">of patients </w:t>
      </w:r>
      <w:r w:rsidRPr="00350596">
        <w:t xml:space="preserve">were on combination immunosuppressive therapy (corticosteroids and </w:t>
      </w:r>
      <w:r w:rsidR="00DA6027" w:rsidRPr="00350596">
        <w:t>NS-ISTs</w:t>
      </w:r>
      <w:r w:rsidRPr="00350596">
        <w:t xml:space="preserve">), 24% were on corticosteroids only and 9.0% were on </w:t>
      </w:r>
      <w:r w:rsidR="00DA6027" w:rsidRPr="00350596">
        <w:t>an NS-IST</w:t>
      </w:r>
      <w:r w:rsidRPr="00350596">
        <w:t xml:space="preserve"> only. Very few patients (1%) were on no therapy and 14% were using anticholinesterase treatments only. </w:t>
      </w:r>
      <w:r w:rsidR="002B377E" w:rsidRPr="00350596">
        <w:t>The trial eligibility criteria required patients to be using stable doses of standard therapies but did not require patients to be on optimised therapy.</w:t>
      </w:r>
    </w:p>
    <w:p w14:paraId="22FAA883" w14:textId="4F6C2534" w:rsidR="00AF5DC4" w:rsidRPr="00350596" w:rsidRDefault="00AF5DC4" w:rsidP="008E1811">
      <w:pPr>
        <w:pStyle w:val="COMexecsummnumbered"/>
      </w:pPr>
      <w:r w:rsidRPr="00350596">
        <w:t>The primary outcome and key secondary outcomes were planned for the</w:t>
      </w:r>
      <w:r w:rsidR="005D2630" w:rsidRPr="00350596">
        <w:t xml:space="preserve"> AChR antibody positive</w:t>
      </w:r>
      <w:r w:rsidRPr="00350596">
        <w:t xml:space="preserve"> subgroup. Baseline characteristics were broadly similar to the overall population, with a similar imbalance observed for the proportion of participants with prior thymectomy </w:t>
      </w:r>
      <w:r w:rsidR="00E2291C" w:rsidRPr="00350596">
        <w:t>(</w:t>
      </w:r>
      <w:r w:rsidRPr="00350596">
        <w:t>efgartigimod 69%</w:t>
      </w:r>
      <w:r w:rsidR="00E2291C" w:rsidRPr="00350596">
        <w:t>,</w:t>
      </w:r>
      <w:r w:rsidRPr="00350596">
        <w:t xml:space="preserve"> placebo 47%).</w:t>
      </w:r>
    </w:p>
    <w:p w14:paraId="13D986A8" w14:textId="46287364" w:rsidR="00A004B2" w:rsidRPr="00350596" w:rsidRDefault="002210D7" w:rsidP="00104A28">
      <w:pPr>
        <w:pStyle w:val="COMexecsummnumbered"/>
      </w:pPr>
      <w:r w:rsidRPr="00350596">
        <w:t>Treatment cycles in the ADAPT trial and ADAPT+ extension study included four, once weekly infusions of efgartigimod</w:t>
      </w:r>
      <w:r w:rsidR="00BD4E6A" w:rsidRPr="00350596">
        <w:t xml:space="preserve">, which was consistent with the product information. All patients in the ADAPT trial received an initial treatment cycle. The administration of subsequent treatment cycles was dependent on patients meeting re-treatment criteria as per </w:t>
      </w:r>
      <w:r w:rsidR="003862D3" w:rsidRPr="00350596">
        <w:t xml:space="preserve">the </w:t>
      </w:r>
      <w:r w:rsidR="00BD4E6A" w:rsidRPr="00350596">
        <w:t>trial protocol</w:t>
      </w:r>
      <w:r w:rsidR="00FE628A" w:rsidRPr="00350596">
        <w:t xml:space="preserve"> which </w:t>
      </w:r>
      <w:r w:rsidR="00BD4E6A" w:rsidRPr="00350596">
        <w:t xml:space="preserve">specified the presence of significant symptoms based on MG-ADL scores as well as loss of response from the prior treatment cycle, which were more rigorous than recommended in the product information (which notes that </w:t>
      </w:r>
      <w:r w:rsidR="00C904FC" w:rsidRPr="00350596">
        <w:t>subsequent treatment cycles should be administered according to clinical evaluation</w:t>
      </w:r>
      <w:r w:rsidR="00BD4E6A" w:rsidRPr="00350596">
        <w:t>, with no objective measures required).</w:t>
      </w:r>
    </w:p>
    <w:p w14:paraId="42C534C0" w14:textId="610D7655" w:rsidR="00446AD0" w:rsidRPr="00350596" w:rsidRDefault="00446AD0" w:rsidP="008E1811">
      <w:pPr>
        <w:pStyle w:val="COMexecsummnumbered"/>
      </w:pPr>
      <w:r w:rsidRPr="00350596">
        <w:t>The initiation of subsequent treatment cycles in the ADAPT+ extension study</w:t>
      </w:r>
      <w:r w:rsidR="00BD1E8D" w:rsidRPr="00350596">
        <w:t xml:space="preserve"> (1 year in Part A, up to 2 years in Part B) </w:t>
      </w:r>
      <w:r w:rsidRPr="00350596">
        <w:t xml:space="preserve">required ≥ 4 weeks between treatment cycles. </w:t>
      </w:r>
      <w:r w:rsidR="00BD1E8D" w:rsidRPr="00350596">
        <w:t>Re-treatment criteria in Part A of ADAPT+ were similar to the ADAPT trial but also required discontinuation from the study in patients with treatment failure for 3 consecutive treatment cycles. Re-treatment criteria in Part B of ADAPT+ appeared similar to the product information given it was subjective, based on investigator discretion only.</w:t>
      </w:r>
    </w:p>
    <w:p w14:paraId="2F893580" w14:textId="4385E7BD" w:rsidR="00472547" w:rsidRPr="00350596" w:rsidRDefault="00472547" w:rsidP="00472547">
      <w:pPr>
        <w:pStyle w:val="COMexecsummnumbered"/>
      </w:pPr>
      <w:r w:rsidRPr="00350596">
        <w:t xml:space="preserve">The </w:t>
      </w:r>
      <w:r w:rsidR="006D389C" w:rsidRPr="00350596">
        <w:t xml:space="preserve">evaluation considered the </w:t>
      </w:r>
      <w:r w:rsidRPr="00350596">
        <w:t xml:space="preserve">applicability of the efgartigimod trial evidence to the Australian PBS population is unclear given the proposed restriction includes MGC thresholds which may not be equivalent to MG-ADL eligibility criteria in the trial. Additionally, the ADAPT trial applied rigorous re-treatment criteria which may not be applicable to clinical practice. </w:t>
      </w:r>
    </w:p>
    <w:p w14:paraId="4A4FE085" w14:textId="1C5613CC" w:rsidR="00B60939" w:rsidRPr="00350596" w:rsidRDefault="00B60939" w:rsidP="003D5DE7">
      <w:pPr>
        <w:pStyle w:val="COMH2-non-numbered"/>
      </w:pPr>
      <w:bookmarkStart w:id="24" w:name="_Toc22897641"/>
      <w:bookmarkStart w:id="25" w:name="_Toc188365359"/>
      <w:r w:rsidRPr="00350596">
        <w:lastRenderedPageBreak/>
        <w:t>Comparative effectiveness</w:t>
      </w:r>
      <w:bookmarkEnd w:id="24"/>
      <w:bookmarkEnd w:id="25"/>
    </w:p>
    <w:p w14:paraId="288037B0" w14:textId="6718C460" w:rsidR="00C87C2D" w:rsidRPr="00350596" w:rsidRDefault="00A049E7" w:rsidP="00D23A63">
      <w:pPr>
        <w:pStyle w:val="COMH4"/>
      </w:pPr>
      <w:r w:rsidRPr="00350596">
        <w:t>Efgartigimod versus placebo</w:t>
      </w:r>
    </w:p>
    <w:p w14:paraId="5CA17290" w14:textId="42101A68" w:rsidR="00760C4E" w:rsidRPr="00350596" w:rsidRDefault="00BC5474" w:rsidP="00BC5474">
      <w:pPr>
        <w:pStyle w:val="COMexecsummnumbered"/>
      </w:pPr>
      <w:r w:rsidRPr="00350596">
        <w:t>Responder analyses of functional outcomes are summarised in</w:t>
      </w:r>
      <w:r w:rsidR="00165FA3" w:rsidRPr="00350596">
        <w:t xml:space="preserve"> </w:t>
      </w:r>
      <w:r w:rsidR="00165FA3" w:rsidRPr="00350596">
        <w:fldChar w:fldCharType="begin"/>
      </w:r>
      <w:r w:rsidR="00165FA3" w:rsidRPr="00350596">
        <w:instrText xml:space="preserve"> REF _Ref187601492 \h </w:instrText>
      </w:r>
      <w:r w:rsidR="00165FA3" w:rsidRPr="00350596">
        <w:fldChar w:fldCharType="separate"/>
      </w:r>
      <w:r w:rsidR="002B16A5" w:rsidRPr="00350596">
        <w:t xml:space="preserve">Table </w:t>
      </w:r>
      <w:r w:rsidR="002B16A5">
        <w:rPr>
          <w:noProof/>
        </w:rPr>
        <w:t>4</w:t>
      </w:r>
      <w:r w:rsidR="00165FA3" w:rsidRPr="00350596">
        <w:fldChar w:fldCharType="end"/>
      </w:r>
      <w:r w:rsidRPr="00350596">
        <w:t>.</w:t>
      </w:r>
    </w:p>
    <w:p w14:paraId="47F781D2" w14:textId="7C113634" w:rsidR="00D23A63" w:rsidRPr="00350596" w:rsidRDefault="00D23A63" w:rsidP="00D23A63">
      <w:pPr>
        <w:pStyle w:val="COMtablefigcaption"/>
      </w:pPr>
      <w:bookmarkStart w:id="26" w:name="_Ref187601492"/>
      <w:r w:rsidRPr="00350596">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4</w:t>
      </w:r>
      <w:r w:rsidR="007579CB" w:rsidRPr="00350596">
        <w:fldChar w:fldCharType="end"/>
      </w:r>
      <w:bookmarkEnd w:id="26"/>
      <w:r w:rsidRPr="00350596">
        <w:t xml:space="preserve">: </w:t>
      </w:r>
      <w:r w:rsidR="00BC5474" w:rsidRPr="00350596">
        <w:t xml:space="preserve">Responder analysis </w:t>
      </w:r>
      <w:r w:rsidR="00975759" w:rsidRPr="00350596">
        <w:t>after the first treatment cycle in the ADAPT trial</w:t>
      </w:r>
    </w:p>
    <w:tbl>
      <w:tblPr>
        <w:tblStyle w:val="TableGrid"/>
        <w:tblW w:w="0" w:type="auto"/>
        <w:tblLayout w:type="fixed"/>
        <w:tblCellMar>
          <w:left w:w="28" w:type="dxa"/>
          <w:right w:w="28" w:type="dxa"/>
        </w:tblCellMar>
        <w:tblLook w:val="04A0" w:firstRow="1" w:lastRow="0" w:firstColumn="1" w:lastColumn="0" w:noHBand="0" w:noVBand="1"/>
        <w:tblCaption w:val="Table 4: Responder analysis after the first treatment cycle in the ADAPT trial"/>
      </w:tblPr>
      <w:tblGrid>
        <w:gridCol w:w="1857"/>
        <w:gridCol w:w="1193"/>
        <w:gridCol w:w="1193"/>
        <w:gridCol w:w="1194"/>
        <w:gridCol w:w="1193"/>
        <w:gridCol w:w="1193"/>
        <w:gridCol w:w="1194"/>
      </w:tblGrid>
      <w:tr w:rsidR="0075631D" w:rsidRPr="00350596" w14:paraId="7BAD734F" w14:textId="77777777" w:rsidTr="007959EA">
        <w:tc>
          <w:tcPr>
            <w:tcW w:w="1857" w:type="dxa"/>
            <w:vMerge w:val="restart"/>
            <w:vAlign w:val="center"/>
          </w:tcPr>
          <w:p w14:paraId="065747F3" w14:textId="77777777" w:rsidR="0075631D" w:rsidRPr="00350596" w:rsidRDefault="0075631D" w:rsidP="007959EA">
            <w:pPr>
              <w:pStyle w:val="COMTableheadingrow"/>
              <w:rPr>
                <w:lang w:val="en-AU"/>
              </w:rPr>
            </w:pPr>
            <w:r w:rsidRPr="00350596">
              <w:rPr>
                <w:lang w:val="en-AU"/>
              </w:rPr>
              <w:t>Outcome</w:t>
            </w:r>
          </w:p>
        </w:tc>
        <w:tc>
          <w:tcPr>
            <w:tcW w:w="3580" w:type="dxa"/>
            <w:gridSpan w:val="3"/>
            <w:vAlign w:val="center"/>
          </w:tcPr>
          <w:p w14:paraId="5D6FE4B5" w14:textId="77777777" w:rsidR="0075631D" w:rsidRPr="00350596" w:rsidRDefault="0075631D" w:rsidP="007959EA">
            <w:pPr>
              <w:pStyle w:val="COMTableheadingrow"/>
              <w:jc w:val="center"/>
              <w:rPr>
                <w:lang w:val="en-AU"/>
              </w:rPr>
            </w:pPr>
            <w:r w:rsidRPr="00350596">
              <w:rPr>
                <w:lang w:val="en-AU"/>
              </w:rPr>
              <w:t>AChR+ group</w:t>
            </w:r>
          </w:p>
        </w:tc>
        <w:tc>
          <w:tcPr>
            <w:tcW w:w="3580" w:type="dxa"/>
            <w:gridSpan w:val="3"/>
            <w:vAlign w:val="center"/>
          </w:tcPr>
          <w:p w14:paraId="28A5CCC5" w14:textId="77777777" w:rsidR="0075631D" w:rsidRPr="00350596" w:rsidRDefault="0075631D" w:rsidP="007959EA">
            <w:pPr>
              <w:pStyle w:val="COMTableheadingrow"/>
              <w:jc w:val="center"/>
              <w:rPr>
                <w:lang w:val="en-AU"/>
              </w:rPr>
            </w:pPr>
            <w:r w:rsidRPr="00350596">
              <w:rPr>
                <w:lang w:val="en-AU"/>
              </w:rPr>
              <w:t>Overall population</w:t>
            </w:r>
          </w:p>
        </w:tc>
      </w:tr>
      <w:tr w:rsidR="0075631D" w:rsidRPr="00350596" w14:paraId="50252255" w14:textId="77777777" w:rsidTr="007959EA">
        <w:tc>
          <w:tcPr>
            <w:tcW w:w="1857" w:type="dxa"/>
            <w:vMerge/>
          </w:tcPr>
          <w:p w14:paraId="482DA46C" w14:textId="77777777" w:rsidR="0075631D" w:rsidRPr="00350596" w:rsidRDefault="0075631D" w:rsidP="007959EA">
            <w:pPr>
              <w:pStyle w:val="COMTableheadingrow"/>
              <w:rPr>
                <w:lang w:val="en-AU"/>
              </w:rPr>
            </w:pPr>
          </w:p>
        </w:tc>
        <w:tc>
          <w:tcPr>
            <w:tcW w:w="1193" w:type="dxa"/>
            <w:vAlign w:val="center"/>
          </w:tcPr>
          <w:p w14:paraId="1A098D7E" w14:textId="77777777" w:rsidR="0075631D" w:rsidRPr="00350596" w:rsidRDefault="0075631D" w:rsidP="007959EA">
            <w:pPr>
              <w:pStyle w:val="COMTableheadingrow"/>
              <w:jc w:val="center"/>
              <w:rPr>
                <w:lang w:val="en-AU"/>
              </w:rPr>
            </w:pPr>
            <w:r w:rsidRPr="00350596">
              <w:rPr>
                <w:lang w:val="en-AU"/>
              </w:rPr>
              <w:t>Efgartigimod N=65</w:t>
            </w:r>
          </w:p>
        </w:tc>
        <w:tc>
          <w:tcPr>
            <w:tcW w:w="1193" w:type="dxa"/>
            <w:vAlign w:val="center"/>
          </w:tcPr>
          <w:p w14:paraId="7B85CE78" w14:textId="77777777" w:rsidR="0075631D" w:rsidRPr="00350596" w:rsidRDefault="0075631D" w:rsidP="007959EA">
            <w:pPr>
              <w:pStyle w:val="COMTableheadingrow"/>
              <w:jc w:val="center"/>
              <w:rPr>
                <w:lang w:val="en-AU"/>
              </w:rPr>
            </w:pPr>
            <w:r w:rsidRPr="00350596">
              <w:rPr>
                <w:lang w:val="en-AU"/>
              </w:rPr>
              <w:t>Placebo</w:t>
            </w:r>
          </w:p>
          <w:p w14:paraId="574EDE88" w14:textId="77777777" w:rsidR="0075631D" w:rsidRPr="00350596" w:rsidRDefault="0075631D" w:rsidP="007959EA">
            <w:pPr>
              <w:pStyle w:val="COMTableheadingrow"/>
              <w:jc w:val="center"/>
              <w:rPr>
                <w:lang w:val="en-AU"/>
              </w:rPr>
            </w:pPr>
            <w:r w:rsidRPr="00350596">
              <w:rPr>
                <w:lang w:val="en-AU"/>
              </w:rPr>
              <w:t>N=64</w:t>
            </w:r>
          </w:p>
        </w:tc>
        <w:tc>
          <w:tcPr>
            <w:tcW w:w="1194" w:type="dxa"/>
            <w:vAlign w:val="center"/>
          </w:tcPr>
          <w:p w14:paraId="07BBFAE0" w14:textId="77777777" w:rsidR="0075631D" w:rsidRPr="00350596" w:rsidRDefault="0075631D" w:rsidP="007959EA">
            <w:pPr>
              <w:pStyle w:val="COMTableheadingrow"/>
              <w:jc w:val="center"/>
              <w:rPr>
                <w:lang w:val="en-AU"/>
              </w:rPr>
            </w:pPr>
            <w:r w:rsidRPr="00350596">
              <w:rPr>
                <w:lang w:val="en-AU"/>
              </w:rPr>
              <w:t>Odds ratio (95% CI)</w:t>
            </w:r>
          </w:p>
        </w:tc>
        <w:tc>
          <w:tcPr>
            <w:tcW w:w="1193" w:type="dxa"/>
            <w:vAlign w:val="center"/>
          </w:tcPr>
          <w:p w14:paraId="51941354" w14:textId="77777777" w:rsidR="0075631D" w:rsidRPr="00350596" w:rsidRDefault="0075631D" w:rsidP="007959EA">
            <w:pPr>
              <w:pStyle w:val="COMTableheadingrow"/>
              <w:jc w:val="center"/>
              <w:rPr>
                <w:lang w:val="en-AU"/>
              </w:rPr>
            </w:pPr>
            <w:r w:rsidRPr="00350596">
              <w:rPr>
                <w:lang w:val="en-AU"/>
              </w:rPr>
              <w:t>Efgartigimod N=84</w:t>
            </w:r>
          </w:p>
        </w:tc>
        <w:tc>
          <w:tcPr>
            <w:tcW w:w="1193" w:type="dxa"/>
            <w:vAlign w:val="center"/>
          </w:tcPr>
          <w:p w14:paraId="38B660F2" w14:textId="77777777" w:rsidR="0075631D" w:rsidRPr="00350596" w:rsidRDefault="0075631D" w:rsidP="007959EA">
            <w:pPr>
              <w:pStyle w:val="COMTableheadingrow"/>
              <w:jc w:val="center"/>
              <w:rPr>
                <w:lang w:val="en-AU"/>
              </w:rPr>
            </w:pPr>
            <w:r w:rsidRPr="00350596">
              <w:rPr>
                <w:lang w:val="en-AU"/>
              </w:rPr>
              <w:t xml:space="preserve">Placebo </w:t>
            </w:r>
          </w:p>
          <w:p w14:paraId="47B1FF2D" w14:textId="77777777" w:rsidR="0075631D" w:rsidRPr="00350596" w:rsidRDefault="0075631D" w:rsidP="007959EA">
            <w:pPr>
              <w:pStyle w:val="COMTableheadingrow"/>
              <w:jc w:val="center"/>
              <w:rPr>
                <w:lang w:val="en-AU"/>
              </w:rPr>
            </w:pPr>
            <w:r w:rsidRPr="00350596">
              <w:rPr>
                <w:lang w:val="en-AU"/>
              </w:rPr>
              <w:t>N=83</w:t>
            </w:r>
          </w:p>
        </w:tc>
        <w:tc>
          <w:tcPr>
            <w:tcW w:w="1194" w:type="dxa"/>
            <w:vAlign w:val="center"/>
          </w:tcPr>
          <w:p w14:paraId="12974455" w14:textId="77777777" w:rsidR="0075631D" w:rsidRPr="00350596" w:rsidRDefault="0075631D" w:rsidP="007959EA">
            <w:pPr>
              <w:pStyle w:val="COMTableheadingrow"/>
              <w:jc w:val="center"/>
              <w:rPr>
                <w:lang w:val="en-AU"/>
              </w:rPr>
            </w:pPr>
            <w:r w:rsidRPr="00350596">
              <w:rPr>
                <w:lang w:val="en-AU"/>
              </w:rPr>
              <w:t>Odds ratio (95% CI)</w:t>
            </w:r>
          </w:p>
        </w:tc>
      </w:tr>
      <w:tr w:rsidR="00620475" w:rsidRPr="00350596" w14:paraId="3EB66191" w14:textId="77777777" w:rsidTr="007959EA">
        <w:tc>
          <w:tcPr>
            <w:tcW w:w="9017" w:type="dxa"/>
            <w:gridSpan w:val="7"/>
            <w:vAlign w:val="center"/>
          </w:tcPr>
          <w:p w14:paraId="670ED2B5" w14:textId="4CE536A9" w:rsidR="00620475" w:rsidRPr="00350596" w:rsidRDefault="00620475" w:rsidP="00620475">
            <w:pPr>
              <w:pStyle w:val="COMTableheadingrow"/>
              <w:rPr>
                <w:lang w:val="en-AU"/>
              </w:rPr>
            </w:pPr>
            <w:r w:rsidRPr="00350596">
              <w:rPr>
                <w:lang w:val="en-AU"/>
              </w:rPr>
              <w:t>MG-ADL responders (2-point reduction for ≥ 4 consecutive weeks)</w:t>
            </w:r>
          </w:p>
        </w:tc>
      </w:tr>
      <w:tr w:rsidR="0075631D" w:rsidRPr="00350596" w14:paraId="7913F225" w14:textId="77777777" w:rsidTr="007959EA">
        <w:tc>
          <w:tcPr>
            <w:tcW w:w="1857" w:type="dxa"/>
            <w:vAlign w:val="center"/>
          </w:tcPr>
          <w:p w14:paraId="3BA2EC39" w14:textId="5B7E248B" w:rsidR="0075631D" w:rsidRPr="00350596" w:rsidRDefault="0075631D" w:rsidP="007959EA">
            <w:pPr>
              <w:pStyle w:val="COMTabletext"/>
            </w:pPr>
            <w:r w:rsidRPr="00350596">
              <w:t xml:space="preserve">Proportion of responders, n (%) </w:t>
            </w:r>
          </w:p>
        </w:tc>
        <w:tc>
          <w:tcPr>
            <w:tcW w:w="1193" w:type="dxa"/>
            <w:vAlign w:val="center"/>
          </w:tcPr>
          <w:p w14:paraId="744D1C46" w14:textId="77777777" w:rsidR="0075631D" w:rsidRPr="00350596" w:rsidRDefault="0075631D" w:rsidP="007959EA">
            <w:pPr>
              <w:pStyle w:val="COMTabletext"/>
              <w:jc w:val="center"/>
            </w:pPr>
            <w:r w:rsidRPr="00350596">
              <w:t>44 (67.7)</w:t>
            </w:r>
          </w:p>
        </w:tc>
        <w:tc>
          <w:tcPr>
            <w:tcW w:w="1193" w:type="dxa"/>
            <w:vAlign w:val="center"/>
          </w:tcPr>
          <w:p w14:paraId="4D4293E7" w14:textId="77777777" w:rsidR="0075631D" w:rsidRPr="00350596" w:rsidRDefault="0075631D" w:rsidP="007959EA">
            <w:pPr>
              <w:pStyle w:val="COMTabletext"/>
              <w:jc w:val="center"/>
            </w:pPr>
            <w:r w:rsidRPr="00350596">
              <w:t>19 (29.7)</w:t>
            </w:r>
          </w:p>
        </w:tc>
        <w:tc>
          <w:tcPr>
            <w:tcW w:w="1194" w:type="dxa"/>
            <w:vAlign w:val="center"/>
          </w:tcPr>
          <w:p w14:paraId="0E30E31B" w14:textId="77777777" w:rsidR="0075631D" w:rsidRPr="00350596" w:rsidRDefault="0075631D" w:rsidP="007959EA">
            <w:pPr>
              <w:pStyle w:val="COMTabletext"/>
              <w:jc w:val="center"/>
              <w:rPr>
                <w:b/>
                <w:bCs w:val="0"/>
              </w:rPr>
            </w:pPr>
            <w:r w:rsidRPr="00350596">
              <w:rPr>
                <w:b/>
                <w:bCs w:val="0"/>
              </w:rPr>
              <w:t xml:space="preserve">4.95 </w:t>
            </w:r>
          </w:p>
          <w:p w14:paraId="048542A7" w14:textId="77777777" w:rsidR="0075631D" w:rsidRPr="00350596" w:rsidRDefault="0075631D" w:rsidP="007959EA">
            <w:pPr>
              <w:pStyle w:val="COMTabletext"/>
              <w:jc w:val="center"/>
            </w:pPr>
            <w:r w:rsidRPr="00350596">
              <w:rPr>
                <w:b/>
                <w:bCs w:val="0"/>
              </w:rPr>
              <w:t>(2.21, 11.53)</w:t>
            </w:r>
          </w:p>
        </w:tc>
        <w:tc>
          <w:tcPr>
            <w:tcW w:w="1193" w:type="dxa"/>
            <w:vAlign w:val="center"/>
          </w:tcPr>
          <w:p w14:paraId="075AAADB" w14:textId="77777777" w:rsidR="0075631D" w:rsidRPr="00350596" w:rsidRDefault="0075631D" w:rsidP="007959EA">
            <w:pPr>
              <w:pStyle w:val="COMTabletext"/>
              <w:jc w:val="center"/>
            </w:pPr>
            <w:r w:rsidRPr="00350596">
              <w:t>57 (67.9)</w:t>
            </w:r>
          </w:p>
        </w:tc>
        <w:tc>
          <w:tcPr>
            <w:tcW w:w="1193" w:type="dxa"/>
            <w:vAlign w:val="center"/>
          </w:tcPr>
          <w:p w14:paraId="3C595126" w14:textId="77777777" w:rsidR="0075631D" w:rsidRPr="00350596" w:rsidRDefault="0075631D" w:rsidP="007959EA">
            <w:pPr>
              <w:pStyle w:val="COMTabletext"/>
              <w:jc w:val="center"/>
            </w:pPr>
            <w:r w:rsidRPr="00350596">
              <w:t>31 (37.3)</w:t>
            </w:r>
          </w:p>
        </w:tc>
        <w:tc>
          <w:tcPr>
            <w:tcW w:w="1194" w:type="dxa"/>
            <w:vAlign w:val="center"/>
          </w:tcPr>
          <w:p w14:paraId="498B047B" w14:textId="77777777" w:rsidR="0075631D" w:rsidRPr="00350596" w:rsidRDefault="0075631D" w:rsidP="007959EA">
            <w:pPr>
              <w:pStyle w:val="COMTabletext"/>
              <w:jc w:val="center"/>
              <w:rPr>
                <w:b/>
                <w:bCs w:val="0"/>
              </w:rPr>
            </w:pPr>
            <w:r w:rsidRPr="00350596">
              <w:rPr>
                <w:b/>
                <w:bCs w:val="0"/>
              </w:rPr>
              <w:t xml:space="preserve">3.70 </w:t>
            </w:r>
          </w:p>
          <w:p w14:paraId="7537CF2D" w14:textId="77777777" w:rsidR="0075631D" w:rsidRPr="00350596" w:rsidRDefault="0075631D" w:rsidP="007959EA">
            <w:pPr>
              <w:pStyle w:val="COMTabletext"/>
              <w:jc w:val="center"/>
            </w:pPr>
            <w:r w:rsidRPr="00350596">
              <w:rPr>
                <w:b/>
                <w:bCs w:val="0"/>
              </w:rPr>
              <w:t>(1.85, 7.58)</w:t>
            </w:r>
          </w:p>
        </w:tc>
      </w:tr>
      <w:tr w:rsidR="00620475" w:rsidRPr="00350596" w14:paraId="52453AC7" w14:textId="77777777" w:rsidTr="007959EA">
        <w:tc>
          <w:tcPr>
            <w:tcW w:w="9017" w:type="dxa"/>
            <w:gridSpan w:val="7"/>
            <w:vAlign w:val="center"/>
          </w:tcPr>
          <w:p w14:paraId="69D60330" w14:textId="44CA20B3" w:rsidR="00620475" w:rsidRPr="00350596" w:rsidRDefault="00620475" w:rsidP="00620475">
            <w:pPr>
              <w:pStyle w:val="COMTableheadingrow"/>
              <w:rPr>
                <w:lang w:val="en-AU"/>
              </w:rPr>
            </w:pPr>
            <w:r w:rsidRPr="00350596">
              <w:rPr>
                <w:lang w:val="en-AU"/>
              </w:rPr>
              <w:t xml:space="preserve">QMG responders </w:t>
            </w:r>
            <w:r w:rsidR="008E5024" w:rsidRPr="00350596">
              <w:rPr>
                <w:lang w:val="en-AU"/>
              </w:rPr>
              <w:t>(</w:t>
            </w:r>
            <w:r w:rsidRPr="00350596">
              <w:rPr>
                <w:lang w:val="en-AU"/>
              </w:rPr>
              <w:t>3-point reduction in QMG score for ≥ 4 consecutive weeks)</w:t>
            </w:r>
          </w:p>
        </w:tc>
      </w:tr>
      <w:tr w:rsidR="00620475" w:rsidRPr="00350596" w14:paraId="58070F9D" w14:textId="77777777" w:rsidTr="007959EA">
        <w:tc>
          <w:tcPr>
            <w:tcW w:w="1857" w:type="dxa"/>
            <w:vAlign w:val="center"/>
          </w:tcPr>
          <w:p w14:paraId="6007D868" w14:textId="6AB23191" w:rsidR="00620475" w:rsidRPr="00350596" w:rsidRDefault="00620475" w:rsidP="00620475">
            <w:pPr>
              <w:pStyle w:val="COMTabletext"/>
            </w:pPr>
            <w:r w:rsidRPr="00350596">
              <w:t xml:space="preserve">Proportion of QMG responders, n (%) </w:t>
            </w:r>
          </w:p>
        </w:tc>
        <w:tc>
          <w:tcPr>
            <w:tcW w:w="1193" w:type="dxa"/>
            <w:vAlign w:val="center"/>
          </w:tcPr>
          <w:p w14:paraId="28060332" w14:textId="5124724C" w:rsidR="00620475" w:rsidRPr="00350596" w:rsidRDefault="00620475" w:rsidP="00620475">
            <w:pPr>
              <w:pStyle w:val="COMTabletext"/>
              <w:jc w:val="center"/>
            </w:pPr>
            <w:r w:rsidRPr="00350596">
              <w:t>41 (63.1)</w:t>
            </w:r>
          </w:p>
        </w:tc>
        <w:tc>
          <w:tcPr>
            <w:tcW w:w="1193" w:type="dxa"/>
            <w:vAlign w:val="center"/>
          </w:tcPr>
          <w:p w14:paraId="09B560D8" w14:textId="7E41B9A7" w:rsidR="00620475" w:rsidRPr="00350596" w:rsidRDefault="00620475" w:rsidP="00620475">
            <w:pPr>
              <w:pStyle w:val="COMTabletext"/>
              <w:jc w:val="center"/>
            </w:pPr>
            <w:r w:rsidRPr="00350596">
              <w:t>9 (14.1)</w:t>
            </w:r>
          </w:p>
        </w:tc>
        <w:tc>
          <w:tcPr>
            <w:tcW w:w="1194" w:type="dxa"/>
            <w:vAlign w:val="center"/>
          </w:tcPr>
          <w:p w14:paraId="3A7C3906" w14:textId="77777777" w:rsidR="00620475" w:rsidRPr="00350596" w:rsidRDefault="00620475" w:rsidP="00620475">
            <w:pPr>
              <w:pStyle w:val="COMTabletext"/>
              <w:jc w:val="center"/>
              <w:rPr>
                <w:b/>
                <w:bCs w:val="0"/>
              </w:rPr>
            </w:pPr>
            <w:r w:rsidRPr="00350596">
              <w:rPr>
                <w:b/>
                <w:bCs w:val="0"/>
              </w:rPr>
              <w:t xml:space="preserve">10.84 </w:t>
            </w:r>
          </w:p>
          <w:p w14:paraId="0E51037B" w14:textId="4AA470AC" w:rsidR="00620475" w:rsidRPr="00350596" w:rsidRDefault="00620475" w:rsidP="00620475">
            <w:pPr>
              <w:pStyle w:val="COMTabletext"/>
              <w:jc w:val="center"/>
              <w:rPr>
                <w:b/>
                <w:bCs w:val="0"/>
              </w:rPr>
            </w:pPr>
            <w:r w:rsidRPr="00350596">
              <w:rPr>
                <w:b/>
                <w:bCs w:val="0"/>
              </w:rPr>
              <w:t>(4.18, 31.20)</w:t>
            </w:r>
          </w:p>
        </w:tc>
        <w:tc>
          <w:tcPr>
            <w:tcW w:w="1193" w:type="dxa"/>
            <w:vAlign w:val="center"/>
          </w:tcPr>
          <w:p w14:paraId="54FF4453" w14:textId="218359FE" w:rsidR="00620475" w:rsidRPr="00350596" w:rsidRDefault="00620475" w:rsidP="00620475">
            <w:pPr>
              <w:pStyle w:val="COMTabletext"/>
              <w:jc w:val="center"/>
            </w:pPr>
            <w:r w:rsidRPr="00350596">
              <w:t>51 (60.7)</w:t>
            </w:r>
          </w:p>
        </w:tc>
        <w:tc>
          <w:tcPr>
            <w:tcW w:w="1193" w:type="dxa"/>
            <w:vAlign w:val="center"/>
          </w:tcPr>
          <w:p w14:paraId="5FECF84C" w14:textId="47202124" w:rsidR="00620475" w:rsidRPr="00350596" w:rsidRDefault="00620475" w:rsidP="00620475">
            <w:pPr>
              <w:pStyle w:val="COMTabletext"/>
              <w:jc w:val="center"/>
            </w:pPr>
            <w:r w:rsidRPr="00350596">
              <w:t>16 (19.3)</w:t>
            </w:r>
          </w:p>
        </w:tc>
        <w:tc>
          <w:tcPr>
            <w:tcW w:w="1194" w:type="dxa"/>
            <w:vAlign w:val="center"/>
          </w:tcPr>
          <w:p w14:paraId="36A440F0" w14:textId="77777777" w:rsidR="00620475" w:rsidRPr="00350596" w:rsidRDefault="00620475" w:rsidP="00620475">
            <w:pPr>
              <w:pStyle w:val="COMTabletext"/>
              <w:jc w:val="center"/>
            </w:pPr>
            <w:r w:rsidRPr="00350596">
              <w:t xml:space="preserve">7.10 </w:t>
            </w:r>
          </w:p>
          <w:p w14:paraId="20FE54C7" w14:textId="565C0F61" w:rsidR="00620475" w:rsidRPr="00350596" w:rsidRDefault="00620475" w:rsidP="00620475">
            <w:pPr>
              <w:pStyle w:val="COMTabletext"/>
              <w:jc w:val="center"/>
              <w:rPr>
                <w:b/>
                <w:bCs w:val="0"/>
              </w:rPr>
            </w:pPr>
            <w:r w:rsidRPr="00350596">
              <w:t>(3.24, 16.49)</w:t>
            </w:r>
          </w:p>
        </w:tc>
      </w:tr>
    </w:tbl>
    <w:p w14:paraId="53E853E1" w14:textId="25595051" w:rsidR="00620475" w:rsidRPr="00350596" w:rsidRDefault="00620475" w:rsidP="00620475">
      <w:pPr>
        <w:pStyle w:val="COMTablefooter"/>
      </w:pPr>
      <w:r w:rsidRPr="00350596">
        <w:t>Source: Table 19-2</w:t>
      </w:r>
      <w:r w:rsidR="00CB6E02" w:rsidRPr="00350596">
        <w:t>1</w:t>
      </w:r>
      <w:r w:rsidRPr="00350596">
        <w:t>, p</w:t>
      </w:r>
      <w:r w:rsidR="00CB6E02" w:rsidRPr="00350596">
        <w:t>p</w:t>
      </w:r>
      <w:r w:rsidRPr="00350596">
        <w:t>90</w:t>
      </w:r>
      <w:r w:rsidR="00CB6E02" w:rsidRPr="00350596">
        <w:t>-</w:t>
      </w:r>
      <w:r w:rsidRPr="00350596">
        <w:t>91 and Table 14.2.2.1.2, p1402 of the ADAPT trial report</w:t>
      </w:r>
    </w:p>
    <w:p w14:paraId="12E6CC10" w14:textId="4DB91C91" w:rsidR="00620475" w:rsidRPr="00350596" w:rsidRDefault="00620475" w:rsidP="00620475">
      <w:pPr>
        <w:pStyle w:val="COMTablefooter"/>
      </w:pPr>
      <w:r w:rsidRPr="00350596">
        <w:t>Abbreviations: Abbreviations: AChR+, acetylcholine receptor antibody positive; CI, confidence interval; MG-ADL, Myasthenia Gravis Activities of Daily Living</w:t>
      </w:r>
      <w:r w:rsidR="002041E6" w:rsidRPr="00350596">
        <w:t>; QMG, Quantitative Myasthenia Gravis</w:t>
      </w:r>
    </w:p>
    <w:p w14:paraId="1FE1B36D" w14:textId="2E22A1CA" w:rsidR="00FE0048" w:rsidRPr="00350596" w:rsidRDefault="00FE0048" w:rsidP="00620475">
      <w:pPr>
        <w:pStyle w:val="COMTablefooter"/>
      </w:pPr>
      <w:r w:rsidRPr="00350596">
        <w:t>Note: MG-ADL scores range from 0 to 24 with lower scores indicating better functional outcomes. QMG scores range from 0 to 39 with lower scores indicating better functional outcomes</w:t>
      </w:r>
    </w:p>
    <w:p w14:paraId="3B2F35D0" w14:textId="77777777" w:rsidR="00620475" w:rsidRPr="00350596" w:rsidRDefault="00620475" w:rsidP="00620475">
      <w:pPr>
        <w:pStyle w:val="COMTablefooter"/>
        <w:rPr>
          <w:rFonts w:eastAsia="Calibri"/>
        </w:rPr>
      </w:pPr>
      <w:r w:rsidRPr="00350596">
        <w:rPr>
          <w:rFonts w:eastAsia="Calibri"/>
          <w:b/>
          <w:bCs/>
        </w:rPr>
        <w:t>Bold</w:t>
      </w:r>
      <w:r w:rsidRPr="00350596">
        <w:rPr>
          <w:rFonts w:eastAsia="Calibri"/>
        </w:rPr>
        <w:t xml:space="preserve"> indicates statistically significant results, adjusted for multiplicity</w:t>
      </w:r>
    </w:p>
    <w:p w14:paraId="313E139B" w14:textId="7E22ADAC" w:rsidR="00B34FE2" w:rsidRPr="00350596" w:rsidRDefault="00C426DF" w:rsidP="00C426DF">
      <w:pPr>
        <w:pStyle w:val="COMexecsummnumbered"/>
      </w:pPr>
      <w:r w:rsidRPr="00350596">
        <w:t xml:space="preserve">Treatment with efgartigimod was associated with a statistically significant increase in the proportion of AChR antibody positive patients achieving </w:t>
      </w:r>
      <w:r w:rsidR="00982C82" w:rsidRPr="00350596">
        <w:t>MG-ADL response</w:t>
      </w:r>
      <w:r w:rsidRPr="00350596">
        <w:t xml:space="preserve">. The treatment difference was also statistically significant in the overall population (combined AChR seropositive and AChR seronegative); however, the </w:t>
      </w:r>
      <w:r w:rsidR="00A372FE" w:rsidRPr="00350596">
        <w:t xml:space="preserve">incremental </w:t>
      </w:r>
      <w:r w:rsidRPr="00350596">
        <w:t xml:space="preserve">effect was </w:t>
      </w:r>
      <w:r w:rsidR="00A372FE" w:rsidRPr="00350596">
        <w:t>larger in</w:t>
      </w:r>
      <w:r w:rsidRPr="00350596">
        <w:t xml:space="preserve"> the AChR antibody positive group</w:t>
      </w:r>
      <w:r w:rsidR="009055DF" w:rsidRPr="00350596">
        <w:t xml:space="preserve"> (which had a lower placebo response)</w:t>
      </w:r>
      <w:r w:rsidRPr="00350596">
        <w:t xml:space="preserve">. Subgroup analyses showed no difference </w:t>
      </w:r>
      <w:r w:rsidR="00FE0048" w:rsidRPr="00350596">
        <w:t xml:space="preserve">in MG-ADL response rates </w:t>
      </w:r>
      <w:r w:rsidR="00AA1743" w:rsidRPr="00350596">
        <w:t xml:space="preserve">between efgartigimod and placebo </w:t>
      </w:r>
      <w:r w:rsidRPr="00350596">
        <w:t>in the AChR seronegative group.</w:t>
      </w:r>
    </w:p>
    <w:p w14:paraId="2080D410" w14:textId="5E5618B8" w:rsidR="00AA0418" w:rsidRPr="00350596" w:rsidRDefault="00AA0418" w:rsidP="00C426DF">
      <w:pPr>
        <w:pStyle w:val="COMexecsummnumbered"/>
      </w:pPr>
      <w:r w:rsidRPr="00350596">
        <w:t xml:space="preserve">Statistically significantly greater proportions of patients treated with efgartigimod achieved </w:t>
      </w:r>
      <w:r w:rsidR="00982C82" w:rsidRPr="00350596">
        <w:t>QMG response</w:t>
      </w:r>
      <w:r w:rsidRPr="00350596">
        <w:t>. Similar treatment effects were observed for the exploratory analysis conducted in the overall population.</w:t>
      </w:r>
    </w:p>
    <w:p w14:paraId="0E112C70" w14:textId="183A7E5A" w:rsidR="00A82AC2" w:rsidRPr="00350596" w:rsidRDefault="00A82AC2" w:rsidP="00C426DF">
      <w:pPr>
        <w:pStyle w:val="COMexecsummnumbered"/>
      </w:pPr>
      <w:r w:rsidRPr="00350596">
        <w:t>Responder analyses beyond the first treatment cycle in the trial (maximum of 3 treatment cycles) were exploratory</w:t>
      </w:r>
      <w:r w:rsidR="007227AA" w:rsidRPr="00350596">
        <w:t xml:space="preserve">. </w:t>
      </w:r>
      <w:r w:rsidR="0003337F" w:rsidRPr="00350596">
        <w:t xml:space="preserve">Re-treatment was permitted in patients with functional impairment (defined as MG-ADL ≥ 5 with &gt; 50% of the total score due to non-ocular symptoms) </w:t>
      </w:r>
      <w:r w:rsidR="00232CCD" w:rsidRPr="00350596">
        <w:t>and also</w:t>
      </w:r>
      <w:r w:rsidR="0003337F" w:rsidRPr="00350596">
        <w:t xml:space="preserve"> loss of response (defined as less than a 2-point reduction in MG-ADL compared to baseline). </w:t>
      </w:r>
      <w:r w:rsidR="00F13BCE" w:rsidRPr="00350596">
        <w:t xml:space="preserve">Overall, the data </w:t>
      </w:r>
      <w:r w:rsidR="001441A1" w:rsidRPr="00350596">
        <w:t>were supportive of higher MG-ADL response rates in the efgartigimod arm</w:t>
      </w:r>
      <w:r w:rsidR="00C133E5" w:rsidRPr="00350596">
        <w:t xml:space="preserve"> compared to placebo in patients who received a second cycle</w:t>
      </w:r>
      <w:r w:rsidR="003A1980" w:rsidRPr="00350596">
        <w:t>.</w:t>
      </w:r>
    </w:p>
    <w:p w14:paraId="378DA6FF" w14:textId="376B802E" w:rsidR="00CB6E02" w:rsidRPr="00350596" w:rsidRDefault="00CB6E02" w:rsidP="00104A28">
      <w:pPr>
        <w:pStyle w:val="COMexecsummnumbered"/>
      </w:pPr>
      <w:r w:rsidRPr="00350596">
        <w:t>The submission did not present any analyses of responders based on the Myasthenia Gravis Composite (MGC) instrument. This would have been informative given the submission proposed using the MGC score to assess response in the requested PBS restriction.</w:t>
      </w:r>
      <w:r w:rsidR="00230409" w:rsidRPr="00350596">
        <w:t xml:space="preserve"> The PSCR </w:t>
      </w:r>
      <w:r w:rsidR="00FE03DB" w:rsidRPr="00350596">
        <w:t xml:space="preserve">presented additional </w:t>
      </w:r>
      <w:r w:rsidR="00580BEF" w:rsidRPr="00350596">
        <w:t>information</w:t>
      </w:r>
      <w:r w:rsidR="00FE03DB" w:rsidRPr="00350596">
        <w:t xml:space="preserve"> from</w:t>
      </w:r>
      <w:r w:rsidR="002844D8" w:rsidRPr="00350596">
        <w:t xml:space="preserve"> </w:t>
      </w:r>
      <w:r w:rsidR="0085034B" w:rsidRPr="00350596">
        <w:t xml:space="preserve">a poster presentation of </w:t>
      </w:r>
      <w:r w:rsidR="001D78F1" w:rsidRPr="00350596">
        <w:t xml:space="preserve">the ADAPT </w:t>
      </w:r>
      <w:r w:rsidR="008F37F8" w:rsidRPr="00350596">
        <w:t xml:space="preserve">trial </w:t>
      </w:r>
      <w:r w:rsidR="00580BEF" w:rsidRPr="00350596">
        <w:t>showing that</w:t>
      </w:r>
      <w:r w:rsidR="00FE03DB" w:rsidRPr="00350596">
        <w:t xml:space="preserve"> </w:t>
      </w:r>
      <w:r w:rsidR="002844D8" w:rsidRPr="00350596">
        <w:t xml:space="preserve">69.2% of patients in the efgartigimod group </w:t>
      </w:r>
      <w:r w:rsidR="0085034B" w:rsidRPr="00350596">
        <w:t>achieved an</w:t>
      </w:r>
      <w:r w:rsidR="002844D8" w:rsidRPr="00350596">
        <w:t xml:space="preserve"> MGC respon</w:t>
      </w:r>
      <w:r w:rsidR="0085034B" w:rsidRPr="00350596">
        <w:t>se (defined as a ≥3-point reduction)</w:t>
      </w:r>
      <w:r w:rsidR="002844D8" w:rsidRPr="00350596">
        <w:t xml:space="preserve"> v</w:t>
      </w:r>
      <w:r w:rsidR="0085034B" w:rsidRPr="00350596">
        <w:t>ersus</w:t>
      </w:r>
      <w:r w:rsidR="002844D8" w:rsidRPr="00350596">
        <w:t xml:space="preserve"> 39.1% in the placebo group</w:t>
      </w:r>
      <w:r w:rsidR="0085034B" w:rsidRPr="00350596">
        <w:t xml:space="preserve"> (noting this was an exploratory outcome)</w:t>
      </w:r>
      <w:r w:rsidR="002844D8" w:rsidRPr="00350596">
        <w:t>.</w:t>
      </w:r>
    </w:p>
    <w:p w14:paraId="063F9469" w14:textId="729DBD80" w:rsidR="00F10648" w:rsidRPr="00350596" w:rsidRDefault="007E2D3B" w:rsidP="00CB6E02">
      <w:pPr>
        <w:pStyle w:val="COMexecsummnumbered"/>
      </w:pPr>
      <w:r w:rsidRPr="00350596">
        <w:lastRenderedPageBreak/>
        <w:t>Subgroup</w:t>
      </w:r>
      <w:r w:rsidR="00EB28DE" w:rsidRPr="00350596">
        <w:t xml:space="preserve"> analyses suggested variation in MG-ADL response rates across subgroups defined by AChR antibody status, race, region, baseline MG-ADL category and total number of treatment cycles received in the trial. However, the apparent differences should be interpreted with caution given the small patient numbers in some of the subgroup analyses.</w:t>
      </w:r>
    </w:p>
    <w:p w14:paraId="0106EB7E" w14:textId="663CF1D9" w:rsidR="007652B0" w:rsidRPr="00350596" w:rsidRDefault="007652B0" w:rsidP="00CB6E02">
      <w:pPr>
        <w:pStyle w:val="COMexecsummnumbered"/>
      </w:pPr>
      <w:r w:rsidRPr="00350596">
        <w:t xml:space="preserve">The ADAPT+ extension study assessed </w:t>
      </w:r>
      <w:r w:rsidR="00FB3D81" w:rsidRPr="00350596">
        <w:t>MG-ADL response</w:t>
      </w:r>
      <w:r w:rsidRPr="00350596">
        <w:t xml:space="preserve"> at any time point during treatment cycle</w:t>
      </w:r>
      <w:r w:rsidR="00FB3D81" w:rsidRPr="00350596">
        <w:t>s</w:t>
      </w:r>
      <w:r w:rsidRPr="00350596">
        <w:t xml:space="preserve">. </w:t>
      </w:r>
      <w:r w:rsidR="00E95CA1" w:rsidRPr="00350596">
        <w:t xml:space="preserve">More than 80% of patients in the AChR antibody positive group had a ≥ 2-point reduction in MG-ADL score from each treatment cycle baseline in the first 16 treatment cycles (more than 90% in the first 10 treatment cycles). </w:t>
      </w:r>
    </w:p>
    <w:p w14:paraId="63938641" w14:textId="77777777" w:rsidR="00F94942" w:rsidRPr="00350596" w:rsidRDefault="00771D90" w:rsidP="00F94942">
      <w:pPr>
        <w:pStyle w:val="COMexecsummnumbered"/>
      </w:pPr>
      <w:r w:rsidRPr="00350596">
        <w:t xml:space="preserve">The submission provided a post hoc analysis of pooled data from the ADAPT trial and ADAPT+ extension study, assessing long-term response to cyclical use of efgartigimod among patients who were AChR antibody positive (Dewilde 2024). The analysis included up to 64 weeks of data from the ADAPT trial baseline. </w:t>
      </w:r>
      <w:r w:rsidR="00F94942" w:rsidRPr="00350596">
        <w:t>R</w:t>
      </w:r>
      <w:r w:rsidRPr="00350596">
        <w:t xml:space="preserve">esponse over time </w:t>
      </w:r>
      <w:r w:rsidR="00F94942" w:rsidRPr="00350596">
        <w:t xml:space="preserve">was </w:t>
      </w:r>
      <w:r w:rsidRPr="00350596">
        <w:t xml:space="preserve">based on ≥ 3-point reduction in MG-ADL or ≥ 5-point reduction in QMG, at any point compared to the baseline value. </w:t>
      </w:r>
    </w:p>
    <w:p w14:paraId="0FCCBC91" w14:textId="2C2108AE" w:rsidR="00F94942" w:rsidRPr="00350596" w:rsidRDefault="00165FA3" w:rsidP="00F94942">
      <w:pPr>
        <w:pStyle w:val="COMexecsummnumbered"/>
      </w:pPr>
      <w:r w:rsidRPr="00350596">
        <w:fldChar w:fldCharType="begin"/>
      </w:r>
      <w:r w:rsidRPr="00350596">
        <w:instrText xml:space="preserve"> REF _Ref187601522 \h </w:instrText>
      </w:r>
      <w:r w:rsidR="00C529E7" w:rsidRPr="00350596">
        <w:instrText xml:space="preserve"> \* MERGEFORMAT </w:instrText>
      </w:r>
      <w:r w:rsidRPr="00350596">
        <w:fldChar w:fldCharType="separate"/>
      </w:r>
      <w:r w:rsidR="002B16A5" w:rsidRPr="00350596">
        <w:t xml:space="preserve">Table </w:t>
      </w:r>
      <w:r w:rsidR="002B16A5">
        <w:t>5</w:t>
      </w:r>
      <w:r w:rsidRPr="00350596">
        <w:fldChar w:fldCharType="end"/>
      </w:r>
      <w:r w:rsidRPr="00350596">
        <w:t xml:space="preserve"> </w:t>
      </w:r>
      <w:r w:rsidR="00F94942" w:rsidRPr="00350596">
        <w:t xml:space="preserve">presents the average percentage of time in response and the proportion of patients with response in the ADAPT/ADAPT+ studies </w:t>
      </w:r>
      <w:r w:rsidR="000E570F" w:rsidRPr="00350596">
        <w:t>(</w:t>
      </w:r>
      <w:r w:rsidR="00F94942" w:rsidRPr="00350596">
        <w:t>AChR</w:t>
      </w:r>
      <w:r w:rsidR="000E570F" w:rsidRPr="00350596">
        <w:t>+ sub</w:t>
      </w:r>
      <w:r w:rsidR="00F94942" w:rsidRPr="00350596">
        <w:t>group</w:t>
      </w:r>
      <w:r w:rsidR="000E570F" w:rsidRPr="00350596">
        <w:t>)</w:t>
      </w:r>
      <w:r w:rsidR="00F94942" w:rsidRPr="00350596">
        <w:t>.</w:t>
      </w:r>
    </w:p>
    <w:p w14:paraId="5B8A7FD9" w14:textId="1BAFC2D3" w:rsidR="00F94942" w:rsidRPr="00350596" w:rsidRDefault="00165FA3" w:rsidP="00165FA3">
      <w:pPr>
        <w:pStyle w:val="Caption"/>
        <w:rPr>
          <w:lang w:val="en-AU"/>
        </w:rPr>
      </w:pPr>
      <w:bookmarkStart w:id="27" w:name="_Ref187601522"/>
      <w:r w:rsidRPr="00350596">
        <w:rPr>
          <w:lang w:val="en-AU"/>
        </w:rPr>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5</w:t>
      </w:r>
      <w:r w:rsidRPr="00350596">
        <w:rPr>
          <w:lang w:val="en-AU"/>
        </w:rPr>
        <w:fldChar w:fldCharType="end"/>
      </w:r>
      <w:bookmarkEnd w:id="27"/>
      <w:r w:rsidRPr="00350596">
        <w:rPr>
          <w:lang w:val="en-AU"/>
        </w:rPr>
        <w:t xml:space="preserve">: </w:t>
      </w:r>
      <w:r w:rsidR="00F94942" w:rsidRPr="00350596">
        <w:rPr>
          <w:lang w:val="en-AU"/>
        </w:rPr>
        <w:t>Average percentage of time in response in the ADAPT/ADAPT+ studies in the AChR+ group</w:t>
      </w:r>
    </w:p>
    <w:tbl>
      <w:tblPr>
        <w:tblStyle w:val="TableGrid"/>
        <w:tblW w:w="0" w:type="auto"/>
        <w:tblCellMar>
          <w:left w:w="57" w:type="dxa"/>
          <w:right w:w="57" w:type="dxa"/>
        </w:tblCellMar>
        <w:tblLook w:val="04A0" w:firstRow="1" w:lastRow="0" w:firstColumn="1" w:lastColumn="0" w:noHBand="0" w:noVBand="1"/>
        <w:tblCaption w:val="Table 5: Average percentage of time in response in the ADAPT/ADAPT+ studies in the AChR+ group"/>
      </w:tblPr>
      <w:tblGrid>
        <w:gridCol w:w="1381"/>
        <w:gridCol w:w="1202"/>
        <w:gridCol w:w="1203"/>
        <w:gridCol w:w="1319"/>
        <w:gridCol w:w="1329"/>
        <w:gridCol w:w="1275"/>
        <w:gridCol w:w="19"/>
        <w:gridCol w:w="1289"/>
      </w:tblGrid>
      <w:tr w:rsidR="00F94942" w:rsidRPr="00350596" w14:paraId="49890CBC" w14:textId="77777777" w:rsidTr="00080576">
        <w:tc>
          <w:tcPr>
            <w:tcW w:w="1381" w:type="dxa"/>
            <w:vMerge w:val="restart"/>
          </w:tcPr>
          <w:p w14:paraId="6B577F0C" w14:textId="77777777" w:rsidR="00F94942" w:rsidRPr="00350596" w:rsidRDefault="00F94942" w:rsidP="007959EA">
            <w:pPr>
              <w:pStyle w:val="COMTableheadingrow"/>
              <w:rPr>
                <w:lang w:val="en-AU"/>
              </w:rPr>
            </w:pPr>
          </w:p>
        </w:tc>
        <w:tc>
          <w:tcPr>
            <w:tcW w:w="3724" w:type="dxa"/>
            <w:gridSpan w:val="3"/>
            <w:vAlign w:val="center"/>
          </w:tcPr>
          <w:p w14:paraId="16B1D9AF" w14:textId="77777777" w:rsidR="00F94942" w:rsidRPr="00350596" w:rsidRDefault="00F94942" w:rsidP="007959EA">
            <w:pPr>
              <w:pStyle w:val="COMTableheadingrow"/>
              <w:jc w:val="center"/>
              <w:rPr>
                <w:lang w:val="en-AU"/>
              </w:rPr>
            </w:pPr>
            <w:r w:rsidRPr="00350596">
              <w:rPr>
                <w:lang w:val="en-AU"/>
              </w:rPr>
              <w:t>Percentage of time in response, %</w:t>
            </w:r>
          </w:p>
        </w:tc>
        <w:tc>
          <w:tcPr>
            <w:tcW w:w="3912" w:type="dxa"/>
            <w:gridSpan w:val="4"/>
            <w:vAlign w:val="center"/>
          </w:tcPr>
          <w:p w14:paraId="3FF8DED3" w14:textId="77777777" w:rsidR="00F94942" w:rsidRPr="00350596" w:rsidRDefault="00F94942" w:rsidP="007959EA">
            <w:pPr>
              <w:pStyle w:val="COMTableheadingrow"/>
              <w:jc w:val="center"/>
              <w:rPr>
                <w:lang w:val="en-AU"/>
              </w:rPr>
            </w:pPr>
            <w:r w:rsidRPr="00350596">
              <w:rPr>
                <w:lang w:val="en-AU"/>
              </w:rPr>
              <w:t>Proportion of patients with response, %</w:t>
            </w:r>
          </w:p>
        </w:tc>
      </w:tr>
      <w:tr w:rsidR="00F94942" w:rsidRPr="00350596" w14:paraId="7E83E7D5" w14:textId="77777777" w:rsidTr="00080576">
        <w:tc>
          <w:tcPr>
            <w:tcW w:w="1381" w:type="dxa"/>
            <w:vMerge/>
          </w:tcPr>
          <w:p w14:paraId="29BA5819" w14:textId="77777777" w:rsidR="00F94942" w:rsidRPr="00350596" w:rsidRDefault="00F94942" w:rsidP="007959EA">
            <w:pPr>
              <w:pStyle w:val="COMTableheadingrow"/>
              <w:rPr>
                <w:lang w:val="en-AU"/>
              </w:rPr>
            </w:pPr>
          </w:p>
        </w:tc>
        <w:tc>
          <w:tcPr>
            <w:tcW w:w="2405" w:type="dxa"/>
            <w:gridSpan w:val="2"/>
            <w:vAlign w:val="center"/>
          </w:tcPr>
          <w:p w14:paraId="6CD27BB7" w14:textId="77777777" w:rsidR="00F94942" w:rsidRPr="00350596" w:rsidRDefault="00F94942" w:rsidP="007959EA">
            <w:pPr>
              <w:pStyle w:val="COMTableheadingrow"/>
              <w:jc w:val="center"/>
              <w:rPr>
                <w:lang w:val="en-AU"/>
              </w:rPr>
            </w:pPr>
            <w:r w:rsidRPr="00350596">
              <w:rPr>
                <w:lang w:val="en-AU"/>
              </w:rPr>
              <w:t>Efgartigimod</w:t>
            </w:r>
          </w:p>
        </w:tc>
        <w:tc>
          <w:tcPr>
            <w:tcW w:w="1319" w:type="dxa"/>
            <w:vAlign w:val="center"/>
          </w:tcPr>
          <w:p w14:paraId="61E10401" w14:textId="77777777" w:rsidR="00F94942" w:rsidRPr="00350596" w:rsidRDefault="00F94942" w:rsidP="007959EA">
            <w:pPr>
              <w:pStyle w:val="COMTableheadingrow"/>
              <w:jc w:val="center"/>
              <w:rPr>
                <w:lang w:val="en-AU"/>
              </w:rPr>
            </w:pPr>
            <w:r w:rsidRPr="00350596">
              <w:rPr>
                <w:lang w:val="en-AU"/>
              </w:rPr>
              <w:t>Placebo</w:t>
            </w:r>
          </w:p>
        </w:tc>
        <w:tc>
          <w:tcPr>
            <w:tcW w:w="2623" w:type="dxa"/>
            <w:gridSpan w:val="3"/>
            <w:vAlign w:val="center"/>
          </w:tcPr>
          <w:p w14:paraId="10638331" w14:textId="77777777" w:rsidR="00F94942" w:rsidRPr="00350596" w:rsidRDefault="00F94942" w:rsidP="007959EA">
            <w:pPr>
              <w:pStyle w:val="COMTableheadingrow"/>
              <w:jc w:val="center"/>
              <w:rPr>
                <w:lang w:val="en-AU"/>
              </w:rPr>
            </w:pPr>
            <w:r w:rsidRPr="00350596">
              <w:rPr>
                <w:lang w:val="en-AU"/>
              </w:rPr>
              <w:t>Efgartigimod</w:t>
            </w:r>
          </w:p>
        </w:tc>
        <w:tc>
          <w:tcPr>
            <w:tcW w:w="1289" w:type="dxa"/>
            <w:vAlign w:val="center"/>
          </w:tcPr>
          <w:p w14:paraId="54ACA6B2" w14:textId="77777777" w:rsidR="00F94942" w:rsidRPr="00350596" w:rsidRDefault="00F94942" w:rsidP="007959EA">
            <w:pPr>
              <w:pStyle w:val="COMTableheadingrow"/>
              <w:jc w:val="center"/>
              <w:rPr>
                <w:lang w:val="en-AU"/>
              </w:rPr>
            </w:pPr>
            <w:r w:rsidRPr="00350596">
              <w:rPr>
                <w:lang w:val="en-AU"/>
              </w:rPr>
              <w:t>Placebo</w:t>
            </w:r>
          </w:p>
        </w:tc>
      </w:tr>
      <w:tr w:rsidR="00F94942" w:rsidRPr="00350596" w14:paraId="47BBB943" w14:textId="77777777" w:rsidTr="00080576">
        <w:tc>
          <w:tcPr>
            <w:tcW w:w="1381" w:type="dxa"/>
            <w:vMerge/>
          </w:tcPr>
          <w:p w14:paraId="2561C92C" w14:textId="77777777" w:rsidR="00F94942" w:rsidRPr="00350596" w:rsidRDefault="00F94942" w:rsidP="007959EA">
            <w:pPr>
              <w:pStyle w:val="COMTableheadingrow"/>
              <w:rPr>
                <w:lang w:val="en-AU"/>
              </w:rPr>
            </w:pPr>
          </w:p>
        </w:tc>
        <w:tc>
          <w:tcPr>
            <w:tcW w:w="1202" w:type="dxa"/>
            <w:vAlign w:val="center"/>
          </w:tcPr>
          <w:p w14:paraId="336F5AF3" w14:textId="77777777" w:rsidR="00F94942" w:rsidRPr="00350596" w:rsidRDefault="00F94942" w:rsidP="007959EA">
            <w:pPr>
              <w:pStyle w:val="COMTableheadingrow"/>
              <w:jc w:val="center"/>
              <w:rPr>
                <w:lang w:val="en-AU"/>
              </w:rPr>
            </w:pPr>
            <w:r w:rsidRPr="00350596">
              <w:rPr>
                <w:lang w:val="en-AU"/>
              </w:rPr>
              <w:t>Week 0 to 20</w:t>
            </w:r>
          </w:p>
        </w:tc>
        <w:tc>
          <w:tcPr>
            <w:tcW w:w="1203" w:type="dxa"/>
            <w:vAlign w:val="center"/>
          </w:tcPr>
          <w:p w14:paraId="5200FE6F" w14:textId="77777777" w:rsidR="00F94942" w:rsidRPr="00350596" w:rsidRDefault="00F94942" w:rsidP="007959EA">
            <w:pPr>
              <w:pStyle w:val="COMTableheadingrow"/>
              <w:jc w:val="center"/>
              <w:rPr>
                <w:lang w:val="en-AU"/>
              </w:rPr>
            </w:pPr>
            <w:r w:rsidRPr="00350596">
              <w:rPr>
                <w:lang w:val="en-AU"/>
              </w:rPr>
              <w:t>Week 0 to 64</w:t>
            </w:r>
          </w:p>
        </w:tc>
        <w:tc>
          <w:tcPr>
            <w:tcW w:w="1319" w:type="dxa"/>
            <w:vAlign w:val="center"/>
          </w:tcPr>
          <w:p w14:paraId="0B2DC038" w14:textId="77777777" w:rsidR="00F94942" w:rsidRPr="00350596" w:rsidRDefault="00F94942" w:rsidP="007959EA">
            <w:pPr>
              <w:pStyle w:val="COMTableheadingrow"/>
              <w:jc w:val="center"/>
              <w:rPr>
                <w:lang w:val="en-AU"/>
              </w:rPr>
            </w:pPr>
            <w:r w:rsidRPr="00350596">
              <w:rPr>
                <w:lang w:val="en-AU"/>
              </w:rPr>
              <w:t>Week 0 to 20</w:t>
            </w:r>
          </w:p>
        </w:tc>
        <w:tc>
          <w:tcPr>
            <w:tcW w:w="1329" w:type="dxa"/>
            <w:vAlign w:val="center"/>
          </w:tcPr>
          <w:p w14:paraId="7533DA4A" w14:textId="77777777" w:rsidR="00F94942" w:rsidRPr="00350596" w:rsidRDefault="00F94942" w:rsidP="007959EA">
            <w:pPr>
              <w:pStyle w:val="COMTableheadingrow"/>
              <w:jc w:val="center"/>
              <w:rPr>
                <w:lang w:val="en-AU"/>
              </w:rPr>
            </w:pPr>
            <w:r w:rsidRPr="00350596">
              <w:rPr>
                <w:lang w:val="en-AU"/>
              </w:rPr>
              <w:t>Week 0 to 20</w:t>
            </w:r>
          </w:p>
        </w:tc>
        <w:tc>
          <w:tcPr>
            <w:tcW w:w="1275" w:type="dxa"/>
            <w:vAlign w:val="center"/>
          </w:tcPr>
          <w:p w14:paraId="614A40B1" w14:textId="77777777" w:rsidR="00F94942" w:rsidRPr="00350596" w:rsidRDefault="00F94942" w:rsidP="007959EA">
            <w:pPr>
              <w:pStyle w:val="COMTableheadingrow"/>
              <w:jc w:val="center"/>
              <w:rPr>
                <w:lang w:val="en-AU"/>
              </w:rPr>
            </w:pPr>
            <w:r w:rsidRPr="00350596">
              <w:rPr>
                <w:lang w:val="en-AU"/>
              </w:rPr>
              <w:t>Week 0 to 64</w:t>
            </w:r>
          </w:p>
        </w:tc>
        <w:tc>
          <w:tcPr>
            <w:tcW w:w="1308" w:type="dxa"/>
            <w:gridSpan w:val="2"/>
            <w:vAlign w:val="center"/>
          </w:tcPr>
          <w:p w14:paraId="78A0B138" w14:textId="77777777" w:rsidR="00F94942" w:rsidRPr="00350596" w:rsidRDefault="00F94942" w:rsidP="007959EA">
            <w:pPr>
              <w:pStyle w:val="COMTableheadingrow"/>
              <w:jc w:val="center"/>
              <w:rPr>
                <w:lang w:val="en-AU"/>
              </w:rPr>
            </w:pPr>
            <w:r w:rsidRPr="00350596">
              <w:rPr>
                <w:lang w:val="en-AU"/>
              </w:rPr>
              <w:t>Week 0 to 20</w:t>
            </w:r>
          </w:p>
        </w:tc>
      </w:tr>
      <w:tr w:rsidR="00F94942" w:rsidRPr="00350596" w14:paraId="6855C662" w14:textId="77777777" w:rsidTr="00080576">
        <w:tc>
          <w:tcPr>
            <w:tcW w:w="1381" w:type="dxa"/>
          </w:tcPr>
          <w:p w14:paraId="07BF2C5D" w14:textId="76126B7E" w:rsidR="00F94942" w:rsidRPr="00350596" w:rsidRDefault="00BA0931" w:rsidP="007959EA">
            <w:pPr>
              <w:pStyle w:val="COMTabletext"/>
            </w:pPr>
            <w:r w:rsidRPr="00350596">
              <w:t>MG-ADL ≥</w:t>
            </w:r>
            <w:r w:rsidR="00080576" w:rsidRPr="00350596">
              <w:t xml:space="preserve"> </w:t>
            </w:r>
            <w:r w:rsidR="00F94942" w:rsidRPr="00350596">
              <w:t xml:space="preserve">3-point </w:t>
            </w:r>
            <w:r w:rsidRPr="00350596">
              <w:t>reduction</w:t>
            </w:r>
          </w:p>
        </w:tc>
        <w:tc>
          <w:tcPr>
            <w:tcW w:w="1202" w:type="dxa"/>
            <w:vAlign w:val="center"/>
          </w:tcPr>
          <w:p w14:paraId="4C15AA46" w14:textId="77777777" w:rsidR="00F94942" w:rsidRPr="00350596" w:rsidRDefault="00F94942" w:rsidP="007959EA">
            <w:pPr>
              <w:pStyle w:val="COMTabletext"/>
              <w:jc w:val="center"/>
            </w:pPr>
            <w:r w:rsidRPr="00350596">
              <w:t>59%</w:t>
            </w:r>
          </w:p>
        </w:tc>
        <w:tc>
          <w:tcPr>
            <w:tcW w:w="1203" w:type="dxa"/>
            <w:vAlign w:val="center"/>
          </w:tcPr>
          <w:p w14:paraId="76322BFF" w14:textId="77777777" w:rsidR="00F94942" w:rsidRPr="00350596" w:rsidRDefault="00F94942" w:rsidP="007959EA">
            <w:pPr>
              <w:pStyle w:val="COMTabletext"/>
              <w:jc w:val="center"/>
            </w:pPr>
            <w:r w:rsidRPr="00350596">
              <w:t>57%</w:t>
            </w:r>
          </w:p>
        </w:tc>
        <w:tc>
          <w:tcPr>
            <w:tcW w:w="1319" w:type="dxa"/>
            <w:vAlign w:val="center"/>
          </w:tcPr>
          <w:p w14:paraId="7DCEDD67" w14:textId="77777777" w:rsidR="00F94942" w:rsidRPr="00350596" w:rsidRDefault="00F94942" w:rsidP="007959EA">
            <w:pPr>
              <w:pStyle w:val="COMTabletext"/>
              <w:jc w:val="center"/>
            </w:pPr>
            <w:r w:rsidRPr="00350596">
              <w:t>30%</w:t>
            </w:r>
          </w:p>
        </w:tc>
        <w:tc>
          <w:tcPr>
            <w:tcW w:w="1329" w:type="dxa"/>
            <w:vAlign w:val="center"/>
          </w:tcPr>
          <w:p w14:paraId="0410BDB8" w14:textId="77777777" w:rsidR="00F94942" w:rsidRPr="00350596" w:rsidRDefault="00F94942" w:rsidP="007959EA">
            <w:pPr>
              <w:pStyle w:val="COMTabletext"/>
              <w:jc w:val="center"/>
            </w:pPr>
            <w:r w:rsidRPr="00350596">
              <w:t>55%</w:t>
            </w:r>
          </w:p>
        </w:tc>
        <w:tc>
          <w:tcPr>
            <w:tcW w:w="1275" w:type="dxa"/>
            <w:vAlign w:val="center"/>
          </w:tcPr>
          <w:p w14:paraId="114AF4B8" w14:textId="77777777" w:rsidR="00F94942" w:rsidRPr="00350596" w:rsidRDefault="00F94942" w:rsidP="007959EA">
            <w:pPr>
              <w:pStyle w:val="COMTabletext"/>
              <w:jc w:val="center"/>
            </w:pPr>
            <w:r w:rsidRPr="00350596">
              <w:t>57%</w:t>
            </w:r>
          </w:p>
        </w:tc>
        <w:tc>
          <w:tcPr>
            <w:tcW w:w="1308" w:type="dxa"/>
            <w:gridSpan w:val="2"/>
            <w:vAlign w:val="center"/>
          </w:tcPr>
          <w:p w14:paraId="039AE527" w14:textId="77777777" w:rsidR="00F94942" w:rsidRPr="00350596" w:rsidRDefault="00F94942" w:rsidP="007959EA">
            <w:pPr>
              <w:pStyle w:val="COMTabletext"/>
              <w:jc w:val="center"/>
            </w:pPr>
            <w:r w:rsidRPr="00350596">
              <w:t>29%</w:t>
            </w:r>
          </w:p>
        </w:tc>
      </w:tr>
      <w:tr w:rsidR="00F94942" w:rsidRPr="00350596" w14:paraId="52AB51E9" w14:textId="77777777" w:rsidTr="00080576">
        <w:tc>
          <w:tcPr>
            <w:tcW w:w="1381" w:type="dxa"/>
          </w:tcPr>
          <w:p w14:paraId="3DA886CD" w14:textId="4CE1309A" w:rsidR="00F94942" w:rsidRPr="00350596" w:rsidRDefault="00F94942" w:rsidP="007959EA">
            <w:pPr>
              <w:pStyle w:val="COMTabletext"/>
            </w:pPr>
            <w:r w:rsidRPr="00350596">
              <w:t>QMG</w:t>
            </w:r>
            <w:r w:rsidR="00BA0931" w:rsidRPr="00350596">
              <w:t xml:space="preserve"> ≥</w:t>
            </w:r>
            <w:r w:rsidR="00080576" w:rsidRPr="00350596">
              <w:t xml:space="preserve"> </w:t>
            </w:r>
            <w:r w:rsidR="00BA0931" w:rsidRPr="00350596">
              <w:t>5-</w:t>
            </w:r>
            <w:r w:rsidR="00080576" w:rsidRPr="00350596">
              <w:t>point reduction</w:t>
            </w:r>
          </w:p>
        </w:tc>
        <w:tc>
          <w:tcPr>
            <w:tcW w:w="1202" w:type="dxa"/>
            <w:vAlign w:val="center"/>
          </w:tcPr>
          <w:p w14:paraId="05484137" w14:textId="77777777" w:rsidR="00F94942" w:rsidRPr="00350596" w:rsidRDefault="00F94942" w:rsidP="007959EA">
            <w:pPr>
              <w:pStyle w:val="COMTabletext"/>
              <w:jc w:val="center"/>
            </w:pPr>
            <w:r w:rsidRPr="00350596">
              <w:t>44%</w:t>
            </w:r>
          </w:p>
        </w:tc>
        <w:tc>
          <w:tcPr>
            <w:tcW w:w="1203" w:type="dxa"/>
            <w:vAlign w:val="center"/>
          </w:tcPr>
          <w:p w14:paraId="3FFA8D2F" w14:textId="77777777" w:rsidR="00F94942" w:rsidRPr="00350596" w:rsidRDefault="00F94942" w:rsidP="007959EA">
            <w:pPr>
              <w:pStyle w:val="COMTabletext"/>
              <w:jc w:val="center"/>
            </w:pPr>
            <w:r w:rsidRPr="00350596">
              <w:t>56%</w:t>
            </w:r>
          </w:p>
        </w:tc>
        <w:tc>
          <w:tcPr>
            <w:tcW w:w="1319" w:type="dxa"/>
            <w:vAlign w:val="center"/>
          </w:tcPr>
          <w:p w14:paraId="0A071261" w14:textId="77777777" w:rsidR="00F94942" w:rsidRPr="00350596" w:rsidRDefault="00F94942" w:rsidP="007959EA">
            <w:pPr>
              <w:pStyle w:val="COMTabletext"/>
              <w:jc w:val="center"/>
            </w:pPr>
            <w:r w:rsidRPr="00350596">
              <w:t>13%</w:t>
            </w:r>
          </w:p>
        </w:tc>
        <w:tc>
          <w:tcPr>
            <w:tcW w:w="1329" w:type="dxa"/>
            <w:vAlign w:val="center"/>
          </w:tcPr>
          <w:p w14:paraId="4C58BF98" w14:textId="77777777" w:rsidR="00F94942" w:rsidRPr="00350596" w:rsidRDefault="00F94942" w:rsidP="007959EA">
            <w:pPr>
              <w:pStyle w:val="COMTabletext"/>
              <w:jc w:val="center"/>
            </w:pPr>
            <w:r w:rsidRPr="00350596">
              <w:t>43%</w:t>
            </w:r>
          </w:p>
        </w:tc>
        <w:tc>
          <w:tcPr>
            <w:tcW w:w="1275" w:type="dxa"/>
            <w:vAlign w:val="center"/>
          </w:tcPr>
          <w:p w14:paraId="03BB1871" w14:textId="77777777" w:rsidR="00F94942" w:rsidRPr="00350596" w:rsidRDefault="00F94942" w:rsidP="007959EA">
            <w:pPr>
              <w:pStyle w:val="COMTabletext"/>
              <w:jc w:val="center"/>
            </w:pPr>
            <w:r w:rsidRPr="00350596">
              <w:t>47%</w:t>
            </w:r>
          </w:p>
        </w:tc>
        <w:tc>
          <w:tcPr>
            <w:tcW w:w="1308" w:type="dxa"/>
            <w:gridSpan w:val="2"/>
            <w:vAlign w:val="center"/>
          </w:tcPr>
          <w:p w14:paraId="3BA561F2" w14:textId="77777777" w:rsidR="00F94942" w:rsidRPr="00350596" w:rsidRDefault="00F94942" w:rsidP="007959EA">
            <w:pPr>
              <w:pStyle w:val="COMTabletext"/>
              <w:jc w:val="center"/>
            </w:pPr>
            <w:r w:rsidRPr="00350596">
              <w:t>13%</w:t>
            </w:r>
          </w:p>
        </w:tc>
      </w:tr>
    </w:tbl>
    <w:p w14:paraId="11723F0C" w14:textId="77777777" w:rsidR="00F94942" w:rsidRPr="00350596" w:rsidRDefault="00F94942" w:rsidP="00F94942">
      <w:pPr>
        <w:pStyle w:val="COMTablefooter"/>
      </w:pPr>
      <w:r w:rsidRPr="00350596">
        <w:t>Source: Table 3, Dewilde 2024 publication</w:t>
      </w:r>
    </w:p>
    <w:p w14:paraId="66E97C4F" w14:textId="77777777" w:rsidR="00F94942" w:rsidRPr="00350596" w:rsidRDefault="00F94942" w:rsidP="00F94942">
      <w:pPr>
        <w:pStyle w:val="COMTablefooter"/>
      </w:pPr>
      <w:r w:rsidRPr="00350596">
        <w:t>Abbreviations: AChR+, acetylcholine receptor antibody positive; MG-ADL, Myasthenia Gravis Activities of Daily Living; QMG, Quantitative Myasthenia Gravis</w:t>
      </w:r>
    </w:p>
    <w:p w14:paraId="2652D172" w14:textId="77777777" w:rsidR="00F94942" w:rsidRPr="00350596" w:rsidRDefault="00F94942" w:rsidP="00F94942">
      <w:pPr>
        <w:pStyle w:val="COMTablefooter"/>
      </w:pPr>
      <w:r w:rsidRPr="00350596">
        <w:t>Note: MG-ADL scores range from 0 to 24 with lower scores indicating better functional outcomes. QMG scores range from 0 to 39 with lower scores indicating better functional outcomes</w:t>
      </w:r>
    </w:p>
    <w:p w14:paraId="41057C80" w14:textId="23BC1419" w:rsidR="00771D90" w:rsidRPr="00350596" w:rsidRDefault="00771D90" w:rsidP="00F94942">
      <w:pPr>
        <w:pStyle w:val="COMexecsummnumbered"/>
      </w:pPr>
      <w:r w:rsidRPr="00350596">
        <w:t>T</w:t>
      </w:r>
      <w:r w:rsidR="00E501CE" w:rsidRPr="00350596">
        <w:t>reatment with efgartigimod was associated with statistically significantly greater percentage of ti</w:t>
      </w:r>
      <w:r w:rsidR="00FA5FB1" w:rsidRPr="00350596">
        <w:t xml:space="preserve">me in response compared to placebo during the ADAPT trial and extension. </w:t>
      </w:r>
    </w:p>
    <w:p w14:paraId="116ABEE0" w14:textId="3DE80009" w:rsidR="00345CC1" w:rsidRPr="00350596" w:rsidRDefault="001751D5" w:rsidP="00DD3EDE">
      <w:pPr>
        <w:pStyle w:val="COMexecsummnumbered"/>
      </w:pPr>
      <w:bookmarkStart w:id="28" w:name="_Ref191046201"/>
      <w:r w:rsidRPr="00350596">
        <w:t xml:space="preserve">Additional analyses were conducted based on </w:t>
      </w:r>
      <w:r w:rsidR="00AB1F01" w:rsidRPr="00350596">
        <w:t xml:space="preserve">the proportion of efgartigimod patients with response over the 64-week duration (5-point reduction in QMG ranging from 28% to 75% and 3-point reduction in MG-ADL ranging from 42% to 73%). The study authors stated that observed fluctuations in the proportion of patients responding to treatment over time was an artifact of trial design that resulted in cyclical use of efgartigimod with variable inter-treatment periods. The authors claimed that the strict re-treatment criteria in the ADAPT studies (as opposed to more flexible dosing) may have limited the maximal benefit of administering subsequent cycles of efgartigimod. </w:t>
      </w:r>
      <w:bookmarkStart w:id="29" w:name="_Hlk191216777"/>
      <w:r w:rsidR="00AB1F01" w:rsidRPr="00350596">
        <w:t xml:space="preserve">The authors noted that a different study, ADAPT-NXT, </w:t>
      </w:r>
      <w:r w:rsidR="003B5892" w:rsidRPr="00350596">
        <w:t>assessed</w:t>
      </w:r>
      <w:r w:rsidR="00AB1F01" w:rsidRPr="00350596">
        <w:t xml:space="preserve"> efgartigimod </w:t>
      </w:r>
      <w:r w:rsidR="003B5892" w:rsidRPr="00350596">
        <w:t xml:space="preserve">use </w:t>
      </w:r>
      <w:r w:rsidR="00DD3EDE" w:rsidRPr="00350596">
        <w:t xml:space="preserve">in either fixed or continuous dosing with </w:t>
      </w:r>
      <w:r w:rsidR="00AB1F01" w:rsidRPr="00350596">
        <w:t>no re-treatment criteria</w:t>
      </w:r>
      <w:r w:rsidR="00DD3EDE" w:rsidRPr="00350596">
        <w:t xml:space="preserve"> (refer to paragraph </w:t>
      </w:r>
      <w:r w:rsidR="00DD3EDE" w:rsidRPr="00350596">
        <w:fldChar w:fldCharType="begin"/>
      </w:r>
      <w:r w:rsidR="00DD3EDE" w:rsidRPr="00350596">
        <w:instrText xml:space="preserve"> REF _Ref191217211 \r \h </w:instrText>
      </w:r>
      <w:r w:rsidR="008D6BCC" w:rsidRPr="00350596">
        <w:instrText xml:space="preserve"> \* MERGEFORMAT </w:instrText>
      </w:r>
      <w:r w:rsidR="00DD3EDE" w:rsidRPr="00350596">
        <w:fldChar w:fldCharType="separate"/>
      </w:r>
      <w:r w:rsidR="002B16A5">
        <w:t>3.15</w:t>
      </w:r>
      <w:r w:rsidR="00DD3EDE" w:rsidRPr="00350596">
        <w:fldChar w:fldCharType="end"/>
      </w:r>
      <w:r w:rsidR="00DD3EDE" w:rsidRPr="00350596">
        <w:t>)</w:t>
      </w:r>
      <w:r w:rsidR="00AB1F01" w:rsidRPr="00350596">
        <w:t>. The status of this trial is currently unclear</w:t>
      </w:r>
      <w:r w:rsidR="00C601AC" w:rsidRPr="00350596">
        <w:t>.</w:t>
      </w:r>
      <w:bookmarkEnd w:id="28"/>
      <w:r w:rsidR="0085034B" w:rsidRPr="00350596">
        <w:t xml:space="preserve"> </w:t>
      </w:r>
    </w:p>
    <w:bookmarkEnd w:id="29"/>
    <w:p w14:paraId="13B2AE48" w14:textId="145A9608" w:rsidR="00421EA7" w:rsidRPr="00350596" w:rsidRDefault="0037514B" w:rsidP="00F94942">
      <w:pPr>
        <w:pStyle w:val="COMexecsummnumbered"/>
      </w:pPr>
      <w:r w:rsidRPr="00350596">
        <w:lastRenderedPageBreak/>
        <w:t>Mean</w:t>
      </w:r>
      <w:r w:rsidR="00421EA7" w:rsidRPr="00350596">
        <w:t xml:space="preserve"> change in </w:t>
      </w:r>
      <w:r w:rsidR="007977E9" w:rsidRPr="00350596">
        <w:t xml:space="preserve">functional outcome measures </w:t>
      </w:r>
      <w:r w:rsidR="003E69A4" w:rsidRPr="00350596">
        <w:t xml:space="preserve">from baseline to Week 4 in the first treatment cycle </w:t>
      </w:r>
      <w:r w:rsidR="00E27703" w:rsidRPr="00350596">
        <w:t xml:space="preserve">for efgartigimod and placebo </w:t>
      </w:r>
      <w:r w:rsidR="00FA7A3C" w:rsidRPr="00350596">
        <w:t xml:space="preserve">in the AChR antibody positive group </w:t>
      </w:r>
      <w:r w:rsidR="00E27703" w:rsidRPr="00350596">
        <w:t xml:space="preserve">are summarised in </w:t>
      </w:r>
      <w:r w:rsidR="00165FA3" w:rsidRPr="00350596">
        <w:fldChar w:fldCharType="begin"/>
      </w:r>
      <w:r w:rsidR="00165FA3" w:rsidRPr="00350596">
        <w:instrText xml:space="preserve"> REF _Ref187601543 \h </w:instrText>
      </w:r>
      <w:r w:rsidR="00C529E7" w:rsidRPr="00350596">
        <w:instrText xml:space="preserve"> \* MERGEFORMAT </w:instrText>
      </w:r>
      <w:r w:rsidR="00165FA3" w:rsidRPr="00350596">
        <w:fldChar w:fldCharType="separate"/>
      </w:r>
      <w:r w:rsidR="002B16A5" w:rsidRPr="00350596">
        <w:t xml:space="preserve">Table </w:t>
      </w:r>
      <w:r w:rsidR="002B16A5">
        <w:t>6</w:t>
      </w:r>
      <w:r w:rsidR="00165FA3" w:rsidRPr="00350596">
        <w:fldChar w:fldCharType="end"/>
      </w:r>
      <w:r w:rsidR="00E27703" w:rsidRPr="00350596">
        <w:t>.</w:t>
      </w:r>
    </w:p>
    <w:p w14:paraId="3B0F55D1" w14:textId="0DC0E764" w:rsidR="0037514B" w:rsidRPr="00350596" w:rsidRDefault="00165FA3" w:rsidP="00165FA3">
      <w:pPr>
        <w:pStyle w:val="Caption"/>
        <w:rPr>
          <w:lang w:val="en-AU"/>
        </w:rPr>
      </w:pPr>
      <w:bookmarkStart w:id="30" w:name="_Ref187601543"/>
      <w:bookmarkStart w:id="31" w:name="_Hlk187507829"/>
      <w:r w:rsidRPr="00350596">
        <w:rPr>
          <w:lang w:val="en-AU"/>
        </w:rPr>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6</w:t>
      </w:r>
      <w:r w:rsidRPr="00350596">
        <w:rPr>
          <w:lang w:val="en-AU"/>
        </w:rPr>
        <w:fldChar w:fldCharType="end"/>
      </w:r>
      <w:bookmarkEnd w:id="30"/>
      <w:r w:rsidRPr="00350596">
        <w:rPr>
          <w:lang w:val="en-AU"/>
        </w:rPr>
        <w:t xml:space="preserve">: </w:t>
      </w:r>
      <w:r w:rsidR="0037514B" w:rsidRPr="00350596">
        <w:rPr>
          <w:lang w:val="en-AU"/>
        </w:rPr>
        <w:t xml:space="preserve">Mean change in </w:t>
      </w:r>
      <w:r w:rsidR="003E69A4" w:rsidRPr="00350596">
        <w:rPr>
          <w:lang w:val="en-AU"/>
        </w:rPr>
        <w:t>functional outcome measures</w:t>
      </w:r>
      <w:r w:rsidR="0037514B" w:rsidRPr="00350596">
        <w:rPr>
          <w:lang w:val="en-AU"/>
        </w:rPr>
        <w:t xml:space="preserve"> from baseline to Week 4 </w:t>
      </w:r>
      <w:r w:rsidR="00FA7A3C" w:rsidRPr="00350596">
        <w:rPr>
          <w:lang w:val="en-AU"/>
        </w:rPr>
        <w:t>(AChR+ subgroup)</w:t>
      </w:r>
    </w:p>
    <w:tbl>
      <w:tblPr>
        <w:tblStyle w:val="TableGrid"/>
        <w:tblW w:w="0" w:type="auto"/>
        <w:tblLook w:val="04A0" w:firstRow="1" w:lastRow="0" w:firstColumn="1" w:lastColumn="0" w:noHBand="0" w:noVBand="1"/>
        <w:tblCaption w:val="Table 6: Mean change in functional outcome measures from baseline to Week 4 (AChR+ subgroup)"/>
      </w:tblPr>
      <w:tblGrid>
        <w:gridCol w:w="1731"/>
        <w:gridCol w:w="1554"/>
        <w:gridCol w:w="1554"/>
        <w:gridCol w:w="2141"/>
        <w:gridCol w:w="2037"/>
      </w:tblGrid>
      <w:tr w:rsidR="0037514B" w:rsidRPr="00350596" w14:paraId="49020F3D" w14:textId="77777777" w:rsidTr="007959EA">
        <w:tc>
          <w:tcPr>
            <w:tcW w:w="1731" w:type="dxa"/>
            <w:vAlign w:val="center"/>
          </w:tcPr>
          <w:bookmarkEnd w:id="31"/>
          <w:p w14:paraId="565BFEC1" w14:textId="77777777" w:rsidR="0037514B" w:rsidRPr="00350596" w:rsidRDefault="0037514B" w:rsidP="0037514B">
            <w:pPr>
              <w:pStyle w:val="COMTableheadingrow"/>
              <w:rPr>
                <w:lang w:val="en-AU"/>
              </w:rPr>
            </w:pPr>
            <w:r w:rsidRPr="00350596">
              <w:rPr>
                <w:lang w:val="en-AU"/>
              </w:rPr>
              <w:t>Treatment arm</w:t>
            </w:r>
          </w:p>
        </w:tc>
        <w:tc>
          <w:tcPr>
            <w:tcW w:w="1554" w:type="dxa"/>
            <w:vAlign w:val="center"/>
          </w:tcPr>
          <w:p w14:paraId="22490510" w14:textId="77777777" w:rsidR="0037514B" w:rsidRPr="00350596" w:rsidRDefault="0037514B" w:rsidP="0037514B">
            <w:pPr>
              <w:pStyle w:val="COMTableheadingrow"/>
              <w:jc w:val="center"/>
              <w:rPr>
                <w:lang w:val="en-AU"/>
              </w:rPr>
            </w:pPr>
            <w:r w:rsidRPr="00350596">
              <w:rPr>
                <w:lang w:val="en-AU"/>
              </w:rPr>
              <w:t xml:space="preserve">Baseline, </w:t>
            </w:r>
          </w:p>
          <w:p w14:paraId="6653ED35" w14:textId="77777777" w:rsidR="0037514B" w:rsidRPr="00350596" w:rsidRDefault="0037514B" w:rsidP="0037514B">
            <w:pPr>
              <w:pStyle w:val="COMTableheadingrow"/>
              <w:jc w:val="center"/>
              <w:rPr>
                <w:lang w:val="en-AU"/>
              </w:rPr>
            </w:pPr>
            <w:r w:rsidRPr="00350596">
              <w:rPr>
                <w:lang w:val="en-AU"/>
              </w:rPr>
              <w:t>mean (SE)</w:t>
            </w:r>
          </w:p>
        </w:tc>
        <w:tc>
          <w:tcPr>
            <w:tcW w:w="1554" w:type="dxa"/>
            <w:vAlign w:val="center"/>
          </w:tcPr>
          <w:p w14:paraId="3CC00583" w14:textId="77777777" w:rsidR="0037514B" w:rsidRPr="00350596" w:rsidRDefault="0037514B" w:rsidP="0037514B">
            <w:pPr>
              <w:pStyle w:val="COMTableheadingrow"/>
              <w:jc w:val="center"/>
              <w:rPr>
                <w:lang w:val="en-AU"/>
              </w:rPr>
            </w:pPr>
            <w:r w:rsidRPr="00350596">
              <w:rPr>
                <w:lang w:val="en-AU"/>
              </w:rPr>
              <w:t xml:space="preserve">Week 4, </w:t>
            </w:r>
          </w:p>
          <w:p w14:paraId="2DA044B6" w14:textId="77777777" w:rsidR="0037514B" w:rsidRPr="00350596" w:rsidRDefault="0037514B" w:rsidP="0037514B">
            <w:pPr>
              <w:pStyle w:val="COMTableheadingrow"/>
              <w:jc w:val="center"/>
              <w:rPr>
                <w:lang w:val="en-AU"/>
              </w:rPr>
            </w:pPr>
            <w:r w:rsidRPr="00350596">
              <w:rPr>
                <w:lang w:val="en-AU"/>
              </w:rPr>
              <w:t>mean (SE)</w:t>
            </w:r>
          </w:p>
        </w:tc>
        <w:tc>
          <w:tcPr>
            <w:tcW w:w="2141" w:type="dxa"/>
            <w:vAlign w:val="center"/>
          </w:tcPr>
          <w:p w14:paraId="7878D6F3" w14:textId="77777777" w:rsidR="0037514B" w:rsidRPr="00350596" w:rsidRDefault="0037514B" w:rsidP="0037514B">
            <w:pPr>
              <w:pStyle w:val="COMTableheadingrow"/>
              <w:jc w:val="center"/>
              <w:rPr>
                <w:lang w:val="en-AU"/>
              </w:rPr>
            </w:pPr>
            <w:r w:rsidRPr="00350596">
              <w:rPr>
                <w:lang w:val="en-AU"/>
              </w:rPr>
              <w:t xml:space="preserve">LS mean change </w:t>
            </w:r>
          </w:p>
          <w:p w14:paraId="4EDB2A81" w14:textId="77777777" w:rsidR="0037514B" w:rsidRPr="00350596" w:rsidRDefault="0037514B" w:rsidP="0037514B">
            <w:pPr>
              <w:pStyle w:val="COMTableheadingrow"/>
              <w:jc w:val="center"/>
              <w:rPr>
                <w:lang w:val="en-AU"/>
              </w:rPr>
            </w:pPr>
            <w:r w:rsidRPr="00350596">
              <w:rPr>
                <w:lang w:val="en-AU"/>
              </w:rPr>
              <w:t>(95% CI)</w:t>
            </w:r>
          </w:p>
        </w:tc>
        <w:tc>
          <w:tcPr>
            <w:tcW w:w="2037" w:type="dxa"/>
            <w:vAlign w:val="center"/>
          </w:tcPr>
          <w:p w14:paraId="48FA6503" w14:textId="77777777" w:rsidR="0037514B" w:rsidRPr="00350596" w:rsidRDefault="0037514B" w:rsidP="0037514B">
            <w:pPr>
              <w:pStyle w:val="COMTableheadingrow"/>
              <w:jc w:val="center"/>
              <w:rPr>
                <w:lang w:val="en-AU"/>
              </w:rPr>
            </w:pPr>
            <w:r w:rsidRPr="00350596">
              <w:rPr>
                <w:lang w:val="en-AU"/>
              </w:rPr>
              <w:t>Treatment difference (95% CI)</w:t>
            </w:r>
          </w:p>
        </w:tc>
      </w:tr>
      <w:tr w:rsidR="00484EDE" w:rsidRPr="00350596" w14:paraId="16DDE698" w14:textId="77777777" w:rsidTr="007959EA">
        <w:tc>
          <w:tcPr>
            <w:tcW w:w="9017" w:type="dxa"/>
            <w:gridSpan w:val="5"/>
          </w:tcPr>
          <w:p w14:paraId="212801E8" w14:textId="1816755A" w:rsidR="00484EDE" w:rsidRPr="00350596" w:rsidRDefault="006F5E77" w:rsidP="0037514B">
            <w:pPr>
              <w:pStyle w:val="COMTableheadingrow"/>
              <w:rPr>
                <w:lang w:val="en-AU"/>
              </w:rPr>
            </w:pPr>
            <w:r w:rsidRPr="00350596">
              <w:rPr>
                <w:lang w:val="en-AU"/>
              </w:rPr>
              <w:t>Myasthenia Gravis Activities of Daily Living (MG-ADL) score</w:t>
            </w:r>
          </w:p>
        </w:tc>
      </w:tr>
      <w:tr w:rsidR="0037514B" w:rsidRPr="00350596" w14:paraId="1C1DA268" w14:textId="77777777" w:rsidTr="007959EA">
        <w:tc>
          <w:tcPr>
            <w:tcW w:w="1731" w:type="dxa"/>
          </w:tcPr>
          <w:p w14:paraId="3E9F8017" w14:textId="77777777" w:rsidR="0037514B" w:rsidRPr="00350596" w:rsidRDefault="0037514B" w:rsidP="0037514B">
            <w:pPr>
              <w:pStyle w:val="COMTabletext"/>
            </w:pPr>
            <w:r w:rsidRPr="00350596">
              <w:t>Efgartigimod, N = 65</w:t>
            </w:r>
          </w:p>
        </w:tc>
        <w:tc>
          <w:tcPr>
            <w:tcW w:w="1554" w:type="dxa"/>
            <w:vAlign w:val="center"/>
          </w:tcPr>
          <w:p w14:paraId="0801B63F" w14:textId="77777777" w:rsidR="0037514B" w:rsidRPr="00350596" w:rsidRDefault="0037514B" w:rsidP="0037514B">
            <w:pPr>
              <w:pStyle w:val="COMTabletext"/>
              <w:jc w:val="center"/>
            </w:pPr>
            <w:r w:rsidRPr="00350596">
              <w:t>9.0 (0.31)</w:t>
            </w:r>
          </w:p>
        </w:tc>
        <w:tc>
          <w:tcPr>
            <w:tcW w:w="1554" w:type="dxa"/>
            <w:vAlign w:val="center"/>
          </w:tcPr>
          <w:p w14:paraId="44B931BA" w14:textId="77777777" w:rsidR="0037514B" w:rsidRPr="00350596" w:rsidRDefault="0037514B" w:rsidP="0037514B">
            <w:pPr>
              <w:pStyle w:val="COMTabletext"/>
              <w:jc w:val="center"/>
            </w:pPr>
            <w:r w:rsidRPr="00350596">
              <w:t>4.4 (0.44)</w:t>
            </w:r>
          </w:p>
        </w:tc>
        <w:tc>
          <w:tcPr>
            <w:tcW w:w="2141" w:type="dxa"/>
            <w:vAlign w:val="center"/>
          </w:tcPr>
          <w:p w14:paraId="0FB5982C" w14:textId="77777777" w:rsidR="0037514B" w:rsidRPr="00350596" w:rsidRDefault="0037514B" w:rsidP="0037514B">
            <w:pPr>
              <w:pStyle w:val="COMTabletext"/>
              <w:jc w:val="center"/>
            </w:pPr>
            <w:r w:rsidRPr="00350596">
              <w:t>-4.10 (-5.01, -3.20)</w:t>
            </w:r>
          </w:p>
        </w:tc>
        <w:tc>
          <w:tcPr>
            <w:tcW w:w="2037" w:type="dxa"/>
            <w:vMerge w:val="restart"/>
            <w:vAlign w:val="center"/>
          </w:tcPr>
          <w:p w14:paraId="449B7D2B" w14:textId="77777777" w:rsidR="0037514B" w:rsidRPr="00350596" w:rsidRDefault="0037514B" w:rsidP="0037514B">
            <w:pPr>
              <w:pStyle w:val="COMTabletext"/>
              <w:jc w:val="center"/>
            </w:pPr>
            <w:r w:rsidRPr="00350596">
              <w:t>-2.84 (-3.81, -1.86)</w:t>
            </w:r>
          </w:p>
        </w:tc>
      </w:tr>
      <w:tr w:rsidR="0037514B" w:rsidRPr="00350596" w14:paraId="66650C6F" w14:textId="77777777" w:rsidTr="007959EA">
        <w:tc>
          <w:tcPr>
            <w:tcW w:w="1731" w:type="dxa"/>
          </w:tcPr>
          <w:p w14:paraId="37EC23B5" w14:textId="77777777" w:rsidR="0037514B" w:rsidRPr="00350596" w:rsidRDefault="0037514B" w:rsidP="0037514B">
            <w:pPr>
              <w:pStyle w:val="COMTabletext"/>
            </w:pPr>
            <w:r w:rsidRPr="00350596">
              <w:t>Placebo, N = 64</w:t>
            </w:r>
          </w:p>
        </w:tc>
        <w:tc>
          <w:tcPr>
            <w:tcW w:w="1554" w:type="dxa"/>
            <w:vAlign w:val="center"/>
          </w:tcPr>
          <w:p w14:paraId="7922ABDF" w14:textId="77777777" w:rsidR="0037514B" w:rsidRPr="00350596" w:rsidRDefault="0037514B" w:rsidP="0037514B">
            <w:pPr>
              <w:pStyle w:val="COMTabletext"/>
              <w:jc w:val="center"/>
            </w:pPr>
            <w:r w:rsidRPr="00350596">
              <w:t>8.6 (0.27)</w:t>
            </w:r>
          </w:p>
        </w:tc>
        <w:tc>
          <w:tcPr>
            <w:tcW w:w="1554" w:type="dxa"/>
            <w:vAlign w:val="center"/>
          </w:tcPr>
          <w:p w14:paraId="4228710A" w14:textId="77777777" w:rsidR="0037514B" w:rsidRPr="00350596" w:rsidRDefault="0037514B" w:rsidP="0037514B">
            <w:pPr>
              <w:pStyle w:val="COMTabletext"/>
              <w:jc w:val="center"/>
            </w:pPr>
            <w:r w:rsidRPr="00350596">
              <w:t>6.7 (0.39)</w:t>
            </w:r>
          </w:p>
        </w:tc>
        <w:tc>
          <w:tcPr>
            <w:tcW w:w="2141" w:type="dxa"/>
            <w:vAlign w:val="center"/>
          </w:tcPr>
          <w:p w14:paraId="24855D2F" w14:textId="77777777" w:rsidR="0037514B" w:rsidRPr="00350596" w:rsidRDefault="0037514B" w:rsidP="0037514B">
            <w:pPr>
              <w:pStyle w:val="COMTabletext"/>
              <w:jc w:val="center"/>
            </w:pPr>
            <w:r w:rsidRPr="00350596">
              <w:t>-1.27 (-2.20, -0.34)</w:t>
            </w:r>
          </w:p>
        </w:tc>
        <w:tc>
          <w:tcPr>
            <w:tcW w:w="2037" w:type="dxa"/>
            <w:vMerge/>
            <w:vAlign w:val="center"/>
          </w:tcPr>
          <w:p w14:paraId="2B5491AB" w14:textId="77777777" w:rsidR="0037514B" w:rsidRPr="00350596" w:rsidRDefault="0037514B" w:rsidP="0037514B">
            <w:pPr>
              <w:pStyle w:val="COMTabletext"/>
              <w:jc w:val="center"/>
            </w:pPr>
          </w:p>
        </w:tc>
      </w:tr>
      <w:tr w:rsidR="006F5E77" w:rsidRPr="00350596" w14:paraId="67CAAC1F" w14:textId="77777777" w:rsidTr="006F5E77">
        <w:tc>
          <w:tcPr>
            <w:tcW w:w="9017" w:type="dxa"/>
            <w:gridSpan w:val="5"/>
            <w:tcBorders>
              <w:top w:val="double" w:sz="4" w:space="0" w:color="auto"/>
            </w:tcBorders>
          </w:tcPr>
          <w:p w14:paraId="6B319269" w14:textId="6DB76C2E" w:rsidR="006F5E77" w:rsidRPr="00350596" w:rsidRDefault="00D4204E" w:rsidP="00D4204E">
            <w:pPr>
              <w:pStyle w:val="COMTableheadingrow"/>
              <w:rPr>
                <w:lang w:val="en-AU"/>
              </w:rPr>
            </w:pPr>
            <w:r w:rsidRPr="00350596">
              <w:rPr>
                <w:lang w:val="en-AU"/>
              </w:rPr>
              <w:t>Quantitative Myasthenia Gravis (QMG) score</w:t>
            </w:r>
          </w:p>
        </w:tc>
      </w:tr>
      <w:tr w:rsidR="00D4204E" w:rsidRPr="00350596" w14:paraId="29579A13" w14:textId="77777777" w:rsidTr="007959EA">
        <w:tc>
          <w:tcPr>
            <w:tcW w:w="1731" w:type="dxa"/>
          </w:tcPr>
          <w:p w14:paraId="65F7BA75" w14:textId="77777777" w:rsidR="00D4204E" w:rsidRPr="00350596" w:rsidRDefault="00D4204E" w:rsidP="007959EA">
            <w:pPr>
              <w:pStyle w:val="COMTabletext"/>
            </w:pPr>
            <w:r w:rsidRPr="00350596">
              <w:t>Efgartigimod, N = 65</w:t>
            </w:r>
          </w:p>
        </w:tc>
        <w:tc>
          <w:tcPr>
            <w:tcW w:w="1554" w:type="dxa"/>
            <w:vAlign w:val="center"/>
          </w:tcPr>
          <w:p w14:paraId="6BB91216" w14:textId="77777777" w:rsidR="00D4204E" w:rsidRPr="00350596" w:rsidRDefault="00D4204E" w:rsidP="007959EA">
            <w:pPr>
              <w:pStyle w:val="COMTabletext"/>
              <w:jc w:val="center"/>
            </w:pPr>
            <w:r w:rsidRPr="00350596">
              <w:t>16.0 (0.64)</w:t>
            </w:r>
          </w:p>
        </w:tc>
        <w:tc>
          <w:tcPr>
            <w:tcW w:w="1554" w:type="dxa"/>
            <w:vAlign w:val="center"/>
          </w:tcPr>
          <w:p w14:paraId="35F7D24D" w14:textId="77777777" w:rsidR="00D4204E" w:rsidRPr="00350596" w:rsidRDefault="00D4204E" w:rsidP="007959EA">
            <w:pPr>
              <w:pStyle w:val="COMTabletext"/>
              <w:jc w:val="center"/>
            </w:pPr>
            <w:r w:rsidRPr="00350596">
              <w:t>9.7 (0.68)</w:t>
            </w:r>
          </w:p>
        </w:tc>
        <w:tc>
          <w:tcPr>
            <w:tcW w:w="2141" w:type="dxa"/>
            <w:vAlign w:val="center"/>
          </w:tcPr>
          <w:p w14:paraId="7F4B94A2" w14:textId="77777777" w:rsidR="00D4204E" w:rsidRPr="00350596" w:rsidRDefault="00D4204E" w:rsidP="007959EA">
            <w:pPr>
              <w:pStyle w:val="COMTabletext"/>
              <w:jc w:val="center"/>
            </w:pPr>
            <w:r w:rsidRPr="00350596">
              <w:t>-5.77 (-7.02, -4.51)</w:t>
            </w:r>
          </w:p>
        </w:tc>
        <w:tc>
          <w:tcPr>
            <w:tcW w:w="2037" w:type="dxa"/>
            <w:vMerge w:val="restart"/>
            <w:vAlign w:val="center"/>
          </w:tcPr>
          <w:p w14:paraId="119201B1" w14:textId="77777777" w:rsidR="00D4204E" w:rsidRPr="00350596" w:rsidRDefault="00D4204E" w:rsidP="007959EA">
            <w:pPr>
              <w:pStyle w:val="COMTabletext"/>
              <w:jc w:val="center"/>
            </w:pPr>
            <w:r w:rsidRPr="00350596">
              <w:t>-5.23 (-6.63, -3.82)</w:t>
            </w:r>
          </w:p>
        </w:tc>
      </w:tr>
      <w:tr w:rsidR="00D4204E" w:rsidRPr="00350596" w14:paraId="70D67879" w14:textId="77777777" w:rsidTr="007959EA">
        <w:tc>
          <w:tcPr>
            <w:tcW w:w="1731" w:type="dxa"/>
          </w:tcPr>
          <w:p w14:paraId="20BE9C47" w14:textId="77777777" w:rsidR="00D4204E" w:rsidRPr="00350596" w:rsidRDefault="00D4204E" w:rsidP="007959EA">
            <w:pPr>
              <w:pStyle w:val="COMTabletext"/>
            </w:pPr>
            <w:r w:rsidRPr="00350596">
              <w:t>Placebo, N = 64</w:t>
            </w:r>
          </w:p>
        </w:tc>
        <w:tc>
          <w:tcPr>
            <w:tcW w:w="1554" w:type="dxa"/>
            <w:vAlign w:val="center"/>
          </w:tcPr>
          <w:p w14:paraId="4B7E0D4F" w14:textId="77777777" w:rsidR="00D4204E" w:rsidRPr="00350596" w:rsidRDefault="00D4204E" w:rsidP="007959EA">
            <w:pPr>
              <w:pStyle w:val="COMTabletext"/>
              <w:jc w:val="center"/>
            </w:pPr>
            <w:r w:rsidRPr="00350596">
              <w:t>15.2 (0.56)</w:t>
            </w:r>
          </w:p>
        </w:tc>
        <w:tc>
          <w:tcPr>
            <w:tcW w:w="1554" w:type="dxa"/>
            <w:vAlign w:val="center"/>
          </w:tcPr>
          <w:p w14:paraId="3DD16E69" w14:textId="77777777" w:rsidR="00D4204E" w:rsidRPr="00350596" w:rsidRDefault="00D4204E" w:rsidP="007959EA">
            <w:pPr>
              <w:pStyle w:val="COMTabletext"/>
              <w:jc w:val="center"/>
            </w:pPr>
            <w:r w:rsidRPr="00350596">
              <w:t>14.5 (0.62)</w:t>
            </w:r>
          </w:p>
        </w:tc>
        <w:tc>
          <w:tcPr>
            <w:tcW w:w="2141" w:type="dxa"/>
            <w:vAlign w:val="center"/>
          </w:tcPr>
          <w:p w14:paraId="26857C66" w14:textId="77777777" w:rsidR="00D4204E" w:rsidRPr="00350596" w:rsidRDefault="00D4204E" w:rsidP="007959EA">
            <w:pPr>
              <w:pStyle w:val="COMTabletext"/>
              <w:jc w:val="center"/>
            </w:pPr>
            <w:r w:rsidRPr="00350596">
              <w:t>-0.54 (-1.85, 0.77)</w:t>
            </w:r>
          </w:p>
        </w:tc>
        <w:tc>
          <w:tcPr>
            <w:tcW w:w="2037" w:type="dxa"/>
            <w:vMerge/>
            <w:vAlign w:val="center"/>
          </w:tcPr>
          <w:p w14:paraId="6A022F1E" w14:textId="77777777" w:rsidR="00D4204E" w:rsidRPr="00350596" w:rsidRDefault="00D4204E" w:rsidP="007959EA">
            <w:pPr>
              <w:pStyle w:val="COMTabletext"/>
              <w:jc w:val="center"/>
            </w:pPr>
          </w:p>
        </w:tc>
      </w:tr>
      <w:tr w:rsidR="00D4204E" w:rsidRPr="00350596" w14:paraId="2CEC6CF5" w14:textId="77777777" w:rsidTr="007959EA">
        <w:tc>
          <w:tcPr>
            <w:tcW w:w="9017" w:type="dxa"/>
            <w:gridSpan w:val="5"/>
            <w:tcBorders>
              <w:top w:val="double" w:sz="4" w:space="0" w:color="auto"/>
            </w:tcBorders>
          </w:tcPr>
          <w:p w14:paraId="087FE121" w14:textId="4A58E15B" w:rsidR="00D4204E" w:rsidRPr="00350596" w:rsidRDefault="003E69A4" w:rsidP="003E69A4">
            <w:pPr>
              <w:pStyle w:val="COMTableheadingrow"/>
              <w:rPr>
                <w:lang w:val="en-AU"/>
              </w:rPr>
            </w:pPr>
            <w:r w:rsidRPr="00350596">
              <w:rPr>
                <w:lang w:val="en-AU"/>
              </w:rPr>
              <w:t>Myasthenia Gravis Composite (MGC) score</w:t>
            </w:r>
          </w:p>
        </w:tc>
      </w:tr>
      <w:tr w:rsidR="003E69A4" w:rsidRPr="00350596" w14:paraId="3E7306FA" w14:textId="77777777" w:rsidTr="007959EA">
        <w:tc>
          <w:tcPr>
            <w:tcW w:w="1731" w:type="dxa"/>
          </w:tcPr>
          <w:p w14:paraId="5D53B16F" w14:textId="77777777" w:rsidR="003E69A4" w:rsidRPr="00350596" w:rsidRDefault="003E69A4" w:rsidP="007959EA">
            <w:pPr>
              <w:pStyle w:val="COMTabletext"/>
            </w:pPr>
            <w:r w:rsidRPr="00350596">
              <w:t>Efgartigimod, N = 65</w:t>
            </w:r>
          </w:p>
        </w:tc>
        <w:tc>
          <w:tcPr>
            <w:tcW w:w="1554" w:type="dxa"/>
            <w:vAlign w:val="center"/>
          </w:tcPr>
          <w:p w14:paraId="6ECAC4F7" w14:textId="77777777" w:rsidR="003E69A4" w:rsidRPr="00350596" w:rsidRDefault="003E69A4" w:rsidP="007959EA">
            <w:pPr>
              <w:pStyle w:val="COMTabletext"/>
              <w:jc w:val="center"/>
            </w:pPr>
            <w:r w:rsidRPr="00350596">
              <w:t>18.6 (0.75)</w:t>
            </w:r>
          </w:p>
        </w:tc>
        <w:tc>
          <w:tcPr>
            <w:tcW w:w="1554" w:type="dxa"/>
            <w:vAlign w:val="center"/>
          </w:tcPr>
          <w:p w14:paraId="73F3292B" w14:textId="77777777" w:rsidR="003E69A4" w:rsidRPr="00350596" w:rsidRDefault="003E69A4" w:rsidP="007959EA">
            <w:pPr>
              <w:pStyle w:val="COMTabletext"/>
              <w:jc w:val="center"/>
            </w:pPr>
            <w:r w:rsidRPr="00350596">
              <w:t>9.2 (0.82)</w:t>
            </w:r>
          </w:p>
        </w:tc>
        <w:tc>
          <w:tcPr>
            <w:tcW w:w="2141" w:type="dxa"/>
            <w:vAlign w:val="center"/>
          </w:tcPr>
          <w:p w14:paraId="527F571F" w14:textId="77777777" w:rsidR="003E69A4" w:rsidRPr="00350596" w:rsidRDefault="003E69A4" w:rsidP="007959EA">
            <w:pPr>
              <w:pStyle w:val="COMTabletext"/>
              <w:jc w:val="center"/>
            </w:pPr>
            <w:r w:rsidRPr="00350596">
              <w:t>-8.91 (-10.84, -6.99)</w:t>
            </w:r>
          </w:p>
        </w:tc>
        <w:tc>
          <w:tcPr>
            <w:tcW w:w="2037" w:type="dxa"/>
            <w:vMerge w:val="restart"/>
            <w:vAlign w:val="center"/>
          </w:tcPr>
          <w:p w14:paraId="7A3E2DE1" w14:textId="77777777" w:rsidR="003E69A4" w:rsidRPr="00350596" w:rsidRDefault="003E69A4" w:rsidP="007959EA">
            <w:pPr>
              <w:pStyle w:val="COMTabletext"/>
              <w:jc w:val="center"/>
            </w:pPr>
            <w:r w:rsidRPr="00350596">
              <w:t>-6.04 (-8.18, -3.90)</w:t>
            </w:r>
          </w:p>
        </w:tc>
      </w:tr>
      <w:tr w:rsidR="003E69A4" w:rsidRPr="00350596" w14:paraId="3B0D310D" w14:textId="77777777" w:rsidTr="007959EA">
        <w:tc>
          <w:tcPr>
            <w:tcW w:w="1731" w:type="dxa"/>
          </w:tcPr>
          <w:p w14:paraId="5DDF7092" w14:textId="77777777" w:rsidR="003E69A4" w:rsidRPr="00350596" w:rsidRDefault="003E69A4" w:rsidP="007959EA">
            <w:pPr>
              <w:pStyle w:val="COMTabletext"/>
            </w:pPr>
            <w:r w:rsidRPr="00350596">
              <w:t>Placebo, N = 64</w:t>
            </w:r>
          </w:p>
        </w:tc>
        <w:tc>
          <w:tcPr>
            <w:tcW w:w="1554" w:type="dxa"/>
            <w:vAlign w:val="center"/>
          </w:tcPr>
          <w:p w14:paraId="5FEE8361" w14:textId="77777777" w:rsidR="003E69A4" w:rsidRPr="00350596" w:rsidRDefault="003E69A4" w:rsidP="007959EA">
            <w:pPr>
              <w:pStyle w:val="COMTabletext"/>
              <w:jc w:val="center"/>
            </w:pPr>
            <w:r w:rsidRPr="00350596">
              <w:t>18.1 (0.65)</w:t>
            </w:r>
          </w:p>
        </w:tc>
        <w:tc>
          <w:tcPr>
            <w:tcW w:w="1554" w:type="dxa"/>
            <w:vAlign w:val="center"/>
          </w:tcPr>
          <w:p w14:paraId="5C33011F" w14:textId="77777777" w:rsidR="003E69A4" w:rsidRPr="00350596" w:rsidRDefault="003E69A4" w:rsidP="007959EA">
            <w:pPr>
              <w:pStyle w:val="COMTabletext"/>
              <w:jc w:val="center"/>
            </w:pPr>
            <w:r w:rsidRPr="00350596">
              <w:t>14.8 (0.88)</w:t>
            </w:r>
          </w:p>
        </w:tc>
        <w:tc>
          <w:tcPr>
            <w:tcW w:w="2141" w:type="dxa"/>
            <w:vAlign w:val="center"/>
          </w:tcPr>
          <w:p w14:paraId="2BBED6C8" w14:textId="77777777" w:rsidR="003E69A4" w:rsidRPr="00350596" w:rsidRDefault="003E69A4" w:rsidP="007959EA">
            <w:pPr>
              <w:pStyle w:val="COMTabletext"/>
              <w:jc w:val="center"/>
            </w:pPr>
            <w:r w:rsidRPr="00350596">
              <w:t>-2.87 (-4.86, -0.88)</w:t>
            </w:r>
          </w:p>
        </w:tc>
        <w:tc>
          <w:tcPr>
            <w:tcW w:w="2037" w:type="dxa"/>
            <w:vMerge/>
            <w:vAlign w:val="center"/>
          </w:tcPr>
          <w:p w14:paraId="53428C4C" w14:textId="77777777" w:rsidR="003E69A4" w:rsidRPr="00350596" w:rsidRDefault="003E69A4" w:rsidP="007959EA">
            <w:pPr>
              <w:pStyle w:val="COMTabletext"/>
              <w:jc w:val="center"/>
            </w:pPr>
          </w:p>
        </w:tc>
      </w:tr>
    </w:tbl>
    <w:p w14:paraId="1E9B7E13" w14:textId="4F483386" w:rsidR="0037514B" w:rsidRPr="00350596" w:rsidRDefault="0037514B" w:rsidP="0037514B">
      <w:pPr>
        <w:pStyle w:val="COMTablefooter"/>
        <w:keepNext/>
      </w:pPr>
      <w:r w:rsidRPr="00350596">
        <w:t xml:space="preserve">Source: Table 2.15, p84 of the submission; Tables 14.2.1.9.1 and Table 14.2.1.9.2, pp458-490, Tables 14.2.1.13.1 and 14.2.1.13.2, pp1339-1342 of the ADAPT trial report </w:t>
      </w:r>
      <w:r w:rsidR="003E69A4" w:rsidRPr="00350596">
        <w:t>; Table 14.2.2.8.1, p1424, Table 14.2.2.8.2, p1449, Table 14.2.2.14.2, p2725, of the ADAPT trial report; Table 14.2.4.1.1, p2753, Table 14.2.4.1.2, p2764, Table 14.2.4.2.1, p2775, Table 14.2.4.2.2, p2777 of the ADAPT trial report</w:t>
      </w:r>
    </w:p>
    <w:p w14:paraId="4E406FE6" w14:textId="6E96D711" w:rsidR="0037514B" w:rsidRPr="00350596" w:rsidRDefault="0037514B" w:rsidP="0037514B">
      <w:pPr>
        <w:pStyle w:val="COMTablefooter"/>
        <w:keepNext/>
      </w:pPr>
      <w:r w:rsidRPr="00350596">
        <w:t>Abbreviations: AChR+, acetylcholine receptor antibody positive; CI, confidence interval; LS, least squares</w:t>
      </w:r>
      <w:r w:rsidR="003E69A4" w:rsidRPr="00350596">
        <w:t>; SE, standard error</w:t>
      </w:r>
    </w:p>
    <w:p w14:paraId="1911B1F5" w14:textId="77777777" w:rsidR="0037514B" w:rsidRPr="00350596" w:rsidRDefault="0037514B" w:rsidP="0037514B">
      <w:pPr>
        <w:pStyle w:val="COMTablefooter"/>
        <w:keepNext/>
      </w:pPr>
      <w:r w:rsidRPr="00350596">
        <w:t>Note: MG-ADL scores range from 0 to 24 with lower scores indicating better functional outcomes</w:t>
      </w:r>
    </w:p>
    <w:p w14:paraId="5829E1A3" w14:textId="77777777" w:rsidR="0037514B" w:rsidRPr="00350596" w:rsidRDefault="0037514B" w:rsidP="0037514B">
      <w:pPr>
        <w:pStyle w:val="COMTablefooter"/>
      </w:pPr>
      <w:r w:rsidRPr="00350596">
        <w:t>Note: QMG scores range from 0 to 39 with lower scores indicating better functional outcomes</w:t>
      </w:r>
    </w:p>
    <w:p w14:paraId="1623D5C8" w14:textId="77777777" w:rsidR="003E69A4" w:rsidRPr="00350596" w:rsidRDefault="003E69A4" w:rsidP="003E69A4">
      <w:pPr>
        <w:pStyle w:val="COMTablefooter"/>
      </w:pPr>
      <w:r w:rsidRPr="00350596">
        <w:t>Note: MGC scores range from 0 to 50 with lower scores indicating better functional outcomes</w:t>
      </w:r>
    </w:p>
    <w:p w14:paraId="768AB1EA" w14:textId="558C425F" w:rsidR="00E501CE" w:rsidRPr="00350596" w:rsidRDefault="00D00B02" w:rsidP="00F94942">
      <w:pPr>
        <w:pStyle w:val="COMexecsummnumbered"/>
        <w:rPr>
          <w:i/>
          <w:iCs/>
        </w:rPr>
      </w:pPr>
      <w:r w:rsidRPr="00350596">
        <w:t xml:space="preserve">Treatment with efgartigimod was associated with greater numerical improvements in functional outcomes compared to placebo from baseline to Week 4 after the first treatment cycle in the trial. </w:t>
      </w:r>
    </w:p>
    <w:p w14:paraId="2EFB4ADF" w14:textId="0DE4B4D9" w:rsidR="005969C2" w:rsidRPr="00350596" w:rsidRDefault="00165FA3" w:rsidP="00F94942">
      <w:pPr>
        <w:pStyle w:val="COMexecsummnumbered"/>
        <w:rPr>
          <w:i/>
          <w:iCs/>
        </w:rPr>
      </w:pPr>
      <w:r w:rsidRPr="00350596">
        <w:fldChar w:fldCharType="begin"/>
      </w:r>
      <w:r w:rsidRPr="00350596">
        <w:instrText xml:space="preserve"> REF _Ref187601577 \h </w:instrText>
      </w:r>
      <w:r w:rsidRPr="00350596">
        <w:fldChar w:fldCharType="separate"/>
      </w:r>
      <w:r w:rsidR="002B16A5" w:rsidRPr="00350596">
        <w:t xml:space="preserve">Figure </w:t>
      </w:r>
      <w:r w:rsidR="002B16A5">
        <w:rPr>
          <w:noProof/>
        </w:rPr>
        <w:t>1</w:t>
      </w:r>
      <w:r w:rsidRPr="00350596">
        <w:fldChar w:fldCharType="end"/>
      </w:r>
      <w:r w:rsidRPr="00350596">
        <w:t xml:space="preserve"> </w:t>
      </w:r>
      <w:r w:rsidR="005969C2" w:rsidRPr="00350596">
        <w:t xml:space="preserve">presents the change in functional </w:t>
      </w:r>
      <w:r w:rsidR="001C4C76" w:rsidRPr="00350596">
        <w:t>outcome measures over time during the first treatment cycle and follow-up period in the AChR antibody positive subgroup.</w:t>
      </w:r>
    </w:p>
    <w:p w14:paraId="7774FBD4" w14:textId="069281C7" w:rsidR="001C4C76" w:rsidRPr="00350596" w:rsidRDefault="00165FA3" w:rsidP="00165FA3">
      <w:pPr>
        <w:pStyle w:val="Caption"/>
        <w:rPr>
          <w:lang w:val="en-AU"/>
        </w:rPr>
      </w:pPr>
      <w:bookmarkStart w:id="32" w:name="_Ref187601577"/>
      <w:r w:rsidRPr="00350596">
        <w:rPr>
          <w:lang w:val="en-AU"/>
        </w:rPr>
        <w:lastRenderedPageBreak/>
        <w:t xml:space="preserve">Figure </w:t>
      </w:r>
      <w:r w:rsidRPr="00350596">
        <w:rPr>
          <w:lang w:val="en-AU"/>
        </w:rPr>
        <w:fldChar w:fldCharType="begin"/>
      </w:r>
      <w:r w:rsidRPr="00350596">
        <w:rPr>
          <w:lang w:val="en-AU"/>
        </w:rPr>
        <w:instrText xml:space="preserve"> SEQ Figure \* ARABIC </w:instrText>
      </w:r>
      <w:r w:rsidRPr="00350596">
        <w:rPr>
          <w:lang w:val="en-AU"/>
        </w:rPr>
        <w:fldChar w:fldCharType="separate"/>
      </w:r>
      <w:r w:rsidR="002B16A5">
        <w:rPr>
          <w:noProof/>
          <w:lang w:val="en-AU"/>
        </w:rPr>
        <w:t>1</w:t>
      </w:r>
      <w:r w:rsidRPr="00350596">
        <w:rPr>
          <w:lang w:val="en-AU"/>
        </w:rPr>
        <w:fldChar w:fldCharType="end"/>
      </w:r>
      <w:bookmarkEnd w:id="32"/>
      <w:r w:rsidRPr="00350596">
        <w:rPr>
          <w:lang w:val="en-AU"/>
        </w:rPr>
        <w:t xml:space="preserve">: </w:t>
      </w:r>
      <w:r w:rsidR="001C4C76" w:rsidRPr="00350596">
        <w:rPr>
          <w:lang w:val="en-AU"/>
        </w:rPr>
        <w:t>Mean change in functional outcome measures during the first treatment cycle in AChR+ patients</w:t>
      </w:r>
    </w:p>
    <w:tbl>
      <w:tblPr>
        <w:tblStyle w:val="MonurolTableStyle"/>
        <w:tblW w:w="0" w:type="auto"/>
        <w:tblLook w:val="04A0" w:firstRow="1" w:lastRow="0" w:firstColumn="1" w:lastColumn="0" w:noHBand="0" w:noVBand="1"/>
      </w:tblPr>
      <w:tblGrid>
        <w:gridCol w:w="4514"/>
        <w:gridCol w:w="4513"/>
      </w:tblGrid>
      <w:tr w:rsidR="00E031FA" w:rsidRPr="00350596" w14:paraId="1D98CDB6" w14:textId="77777777" w:rsidTr="007959EA">
        <w:tc>
          <w:tcPr>
            <w:tcW w:w="4509" w:type="dxa"/>
          </w:tcPr>
          <w:p w14:paraId="0F9A0086" w14:textId="77777777" w:rsidR="00E031FA" w:rsidRPr="00350596" w:rsidRDefault="00E031FA" w:rsidP="007959EA">
            <w:pPr>
              <w:keepNext/>
              <w:rPr>
                <w:b/>
                <w:bCs/>
                <w:kern w:val="2"/>
                <w:sz w:val="20"/>
                <w:lang w:val="en-AU"/>
              </w:rPr>
            </w:pPr>
            <w:r w:rsidRPr="00350596">
              <w:rPr>
                <w:b/>
                <w:bCs/>
                <w:kern w:val="2"/>
                <w:sz w:val="20"/>
                <w:lang w:val="en-AU"/>
              </w:rPr>
              <w:t>(A) MG-ADL</w:t>
            </w:r>
          </w:p>
          <w:p w14:paraId="2212CB9B" w14:textId="77777777" w:rsidR="00E031FA" w:rsidRPr="00350596" w:rsidRDefault="00E031FA" w:rsidP="007959EA">
            <w:pPr>
              <w:keepNext/>
              <w:rPr>
                <w:kern w:val="2"/>
                <w:sz w:val="20"/>
                <w:lang w:val="en-AU"/>
              </w:rPr>
            </w:pPr>
            <w:r w:rsidRPr="00350596">
              <w:rPr>
                <w:noProof/>
                <w:sz w:val="20"/>
              </w:rPr>
              <w:drawing>
                <wp:inline distT="0" distB="0" distL="0" distR="0" wp14:anchorId="09588E14" wp14:editId="2DDF414D">
                  <wp:extent cx="2831398" cy="2016370"/>
                  <wp:effectExtent l="0" t="0" r="0" b="0"/>
                  <wp:docPr id="166" name="Picture 166" descr="Figure 1a: Line chart showing mean change in MG-ADL during the first treatment cycle in AChR+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Figure 1a: Line chart showing mean change in MG-ADL during the first treatment cycle in AChR+ patient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144" cy="2038978"/>
                          </a:xfrm>
                          <a:prstGeom prst="rect">
                            <a:avLst/>
                          </a:prstGeom>
                          <a:noFill/>
                        </pic:spPr>
                      </pic:pic>
                    </a:graphicData>
                  </a:graphic>
                </wp:inline>
              </w:drawing>
            </w:r>
          </w:p>
        </w:tc>
        <w:tc>
          <w:tcPr>
            <w:tcW w:w="4508" w:type="dxa"/>
          </w:tcPr>
          <w:p w14:paraId="4619B241" w14:textId="77777777" w:rsidR="00E031FA" w:rsidRPr="00350596" w:rsidRDefault="00E031FA" w:rsidP="007959EA">
            <w:pPr>
              <w:keepNext/>
              <w:rPr>
                <w:b/>
                <w:bCs/>
                <w:kern w:val="2"/>
                <w:sz w:val="20"/>
                <w:lang w:val="en-AU"/>
              </w:rPr>
            </w:pPr>
            <w:r w:rsidRPr="00350596">
              <w:rPr>
                <w:b/>
                <w:bCs/>
                <w:kern w:val="2"/>
                <w:sz w:val="20"/>
                <w:lang w:val="en-AU"/>
              </w:rPr>
              <w:t>(B) QMG</w:t>
            </w:r>
          </w:p>
          <w:p w14:paraId="62D84340" w14:textId="77777777" w:rsidR="00E031FA" w:rsidRPr="00350596" w:rsidRDefault="00E031FA" w:rsidP="007959EA">
            <w:pPr>
              <w:keepNext/>
              <w:rPr>
                <w:kern w:val="2"/>
                <w:sz w:val="20"/>
                <w:lang w:val="en-AU"/>
              </w:rPr>
            </w:pPr>
            <w:r w:rsidRPr="00350596">
              <w:rPr>
                <w:noProof/>
                <w:sz w:val="20"/>
              </w:rPr>
              <w:drawing>
                <wp:inline distT="0" distB="0" distL="0" distR="0" wp14:anchorId="702A55B9" wp14:editId="2C69E239">
                  <wp:extent cx="2829600" cy="2005200"/>
                  <wp:effectExtent l="0" t="0" r="0" b="0"/>
                  <wp:docPr id="1506972560" name="Picture 1506972560" descr="Figure 1a: Line chart showing mean change in QMG during the first treatment cycle in AChR+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72560" name="Picture 1506972560" descr="Figure 1a: Line chart showing mean change in QMG during the first treatment cycle in AChR+ patient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9600" cy="2005200"/>
                          </a:xfrm>
                          <a:prstGeom prst="rect">
                            <a:avLst/>
                          </a:prstGeom>
                          <a:noFill/>
                        </pic:spPr>
                      </pic:pic>
                    </a:graphicData>
                  </a:graphic>
                </wp:inline>
              </w:drawing>
            </w:r>
          </w:p>
        </w:tc>
      </w:tr>
      <w:tr w:rsidR="00E031FA" w:rsidRPr="00350596" w14:paraId="0355B049" w14:textId="77777777" w:rsidTr="007959EA">
        <w:tc>
          <w:tcPr>
            <w:tcW w:w="4509" w:type="dxa"/>
          </w:tcPr>
          <w:p w14:paraId="0A188255" w14:textId="77777777" w:rsidR="00E031FA" w:rsidRPr="00350596" w:rsidRDefault="00E031FA" w:rsidP="007959EA">
            <w:pPr>
              <w:keepNext/>
              <w:rPr>
                <w:b/>
                <w:bCs/>
                <w:kern w:val="2"/>
                <w:sz w:val="20"/>
                <w:lang w:val="en-AU"/>
              </w:rPr>
            </w:pPr>
            <w:r w:rsidRPr="00350596">
              <w:rPr>
                <w:b/>
                <w:bCs/>
                <w:kern w:val="2"/>
                <w:sz w:val="20"/>
                <w:lang w:val="en-AU"/>
              </w:rPr>
              <w:t>(C) MGC</w:t>
            </w:r>
          </w:p>
          <w:p w14:paraId="694CA7BB" w14:textId="77777777" w:rsidR="00E031FA" w:rsidRPr="00350596" w:rsidRDefault="00E031FA" w:rsidP="007959EA">
            <w:pPr>
              <w:keepNext/>
              <w:rPr>
                <w:kern w:val="2"/>
                <w:sz w:val="20"/>
                <w:lang w:val="en-AU"/>
              </w:rPr>
            </w:pPr>
            <w:r w:rsidRPr="00350596">
              <w:rPr>
                <w:noProof/>
                <w:sz w:val="20"/>
              </w:rPr>
              <w:drawing>
                <wp:inline distT="0" distB="0" distL="0" distR="0" wp14:anchorId="40EE44CE" wp14:editId="3801356F">
                  <wp:extent cx="2829600" cy="1900800"/>
                  <wp:effectExtent l="0" t="0" r="0" b="4445"/>
                  <wp:docPr id="139855596" name="Picture 139855596" descr="Figure 1a: Line chart showing mean change in MGC during the first treatment cycle in AChR+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5596" name="Picture 139855596" descr="Figure 1a: Line chart showing mean change in MGC during the first treatment cycle in AChR+ patie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9600" cy="1900800"/>
                          </a:xfrm>
                          <a:prstGeom prst="rect">
                            <a:avLst/>
                          </a:prstGeom>
                          <a:noFill/>
                        </pic:spPr>
                      </pic:pic>
                    </a:graphicData>
                  </a:graphic>
                </wp:inline>
              </w:drawing>
            </w:r>
          </w:p>
        </w:tc>
        <w:tc>
          <w:tcPr>
            <w:tcW w:w="4508" w:type="dxa"/>
          </w:tcPr>
          <w:p w14:paraId="6A100326" w14:textId="7BAFADB7" w:rsidR="00E031FA" w:rsidRPr="00350596" w:rsidRDefault="00E031FA" w:rsidP="00E031FA">
            <w:pPr>
              <w:keepNext/>
              <w:rPr>
                <w:kern w:val="2"/>
                <w:sz w:val="20"/>
                <w:lang w:val="en-AU"/>
              </w:rPr>
            </w:pPr>
          </w:p>
        </w:tc>
      </w:tr>
    </w:tbl>
    <w:p w14:paraId="1FCB7196" w14:textId="3B29FA21" w:rsidR="001C4C76" w:rsidRPr="00350596" w:rsidRDefault="00E031FA" w:rsidP="00E031FA">
      <w:pPr>
        <w:pStyle w:val="COMTablefooter"/>
      </w:pPr>
      <w:r w:rsidRPr="00350596">
        <w:t>Source: Figure 2.5, p83 of the submission</w:t>
      </w:r>
    </w:p>
    <w:p w14:paraId="6E3A42D3" w14:textId="5D6E3763" w:rsidR="00DD4AF3" w:rsidRPr="00350596" w:rsidRDefault="00DD4AF3" w:rsidP="00DD4AF3">
      <w:pPr>
        <w:pStyle w:val="COMTablefooter"/>
      </w:pPr>
      <w:r w:rsidRPr="00350596">
        <w:t>Abbreviations: AChR+, acetylcholine receptor antibody positive; MG-ADL, Myasthenic Gravis Activities of Daily Living; MGC, Myasthenic Gravis Composite; QMG, Quantitative Myasthenia Gravis</w:t>
      </w:r>
    </w:p>
    <w:p w14:paraId="0C4F7F90" w14:textId="1A3274B5" w:rsidR="00E031FA" w:rsidRPr="00350596" w:rsidRDefault="00DD4AF3" w:rsidP="00E031FA">
      <w:pPr>
        <w:pStyle w:val="COMTablefooter"/>
      </w:pPr>
      <w:r w:rsidRPr="00350596">
        <w:t>Note: Error bars show standard error and * indicates p &lt;</w:t>
      </w:r>
      <w:r w:rsidR="00E81AF8">
        <w:t xml:space="preserve"> </w:t>
      </w:r>
      <w:r w:rsidRPr="00350596">
        <w:t xml:space="preserve">0.05 </w:t>
      </w:r>
    </w:p>
    <w:p w14:paraId="0FD071C8" w14:textId="4F44C701" w:rsidR="00DD4AF3" w:rsidRPr="00350596" w:rsidRDefault="00DD4AF3" w:rsidP="00E42EFB">
      <w:pPr>
        <w:pStyle w:val="COMexecsummnumbered"/>
        <w:rPr>
          <w:i/>
          <w:iCs/>
        </w:rPr>
      </w:pPr>
      <w:r w:rsidRPr="00350596">
        <w:t xml:space="preserve">Treatment with efgartigimod was associated with rapid improvements in functional outcomes, with the maximum difference observed </w:t>
      </w:r>
      <w:r w:rsidR="00595D8D" w:rsidRPr="00350596">
        <w:t xml:space="preserve">at Weeks 4 and 5 (after the last of four doses). The treatment difference was generally sustained </w:t>
      </w:r>
      <w:r w:rsidR="00AB6994" w:rsidRPr="00350596">
        <w:t xml:space="preserve">up to Week 7-8 after which there was no observable difference between treatment arms. </w:t>
      </w:r>
      <w:r w:rsidR="00E42EFB" w:rsidRPr="00350596">
        <w:t xml:space="preserve">Similar patterns were observed based on MG-ADL and QMG scores in patients who were re-treated in the extension study. MGC outcomes were not assessed in the extension study. </w:t>
      </w:r>
    </w:p>
    <w:p w14:paraId="395F385E" w14:textId="71AD56DB" w:rsidR="00DD4AF3" w:rsidRPr="00350596" w:rsidRDefault="00605287" w:rsidP="00F94942">
      <w:pPr>
        <w:pStyle w:val="COMexecsummnumbered"/>
        <w:rPr>
          <w:i/>
          <w:iCs/>
        </w:rPr>
      </w:pPr>
      <w:r w:rsidRPr="00350596">
        <w:t xml:space="preserve">The mean change in quality of life measures from baseline to Week 4 with </w:t>
      </w:r>
      <w:r w:rsidR="00AC6DBD" w:rsidRPr="00350596">
        <w:t xml:space="preserve">efgartigimod and placebo </w:t>
      </w:r>
      <w:r w:rsidR="0051762E" w:rsidRPr="00350596">
        <w:t xml:space="preserve">in the AChR antibody positive subgroup </w:t>
      </w:r>
      <w:r w:rsidR="00AC6DBD" w:rsidRPr="00350596">
        <w:t xml:space="preserve">are summarised in </w:t>
      </w:r>
      <w:r w:rsidR="00165FA3" w:rsidRPr="00350596">
        <w:fldChar w:fldCharType="begin"/>
      </w:r>
      <w:r w:rsidR="00165FA3" w:rsidRPr="00350596">
        <w:instrText xml:space="preserve"> REF _Ref187601604 \h </w:instrText>
      </w:r>
      <w:r w:rsidR="00165FA3" w:rsidRPr="00350596">
        <w:fldChar w:fldCharType="separate"/>
      </w:r>
      <w:r w:rsidR="002B16A5" w:rsidRPr="00350596">
        <w:t xml:space="preserve">Table </w:t>
      </w:r>
      <w:r w:rsidR="002B16A5">
        <w:rPr>
          <w:noProof/>
        </w:rPr>
        <w:t>7</w:t>
      </w:r>
      <w:r w:rsidR="00165FA3" w:rsidRPr="00350596">
        <w:fldChar w:fldCharType="end"/>
      </w:r>
      <w:r w:rsidR="00AC6DBD" w:rsidRPr="00350596">
        <w:t>.</w:t>
      </w:r>
    </w:p>
    <w:p w14:paraId="2D5ED4C2" w14:textId="60120463" w:rsidR="00AC6DBD" w:rsidRPr="00350596" w:rsidRDefault="00165FA3" w:rsidP="00165FA3">
      <w:pPr>
        <w:pStyle w:val="Caption"/>
        <w:rPr>
          <w:lang w:val="en-AU"/>
        </w:rPr>
      </w:pPr>
      <w:bookmarkStart w:id="33" w:name="_Ref187601604"/>
      <w:r w:rsidRPr="00350596">
        <w:rPr>
          <w:lang w:val="en-AU"/>
        </w:rPr>
        <w:lastRenderedPageBreak/>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7</w:t>
      </w:r>
      <w:r w:rsidRPr="00350596">
        <w:rPr>
          <w:lang w:val="en-AU"/>
        </w:rPr>
        <w:fldChar w:fldCharType="end"/>
      </w:r>
      <w:bookmarkEnd w:id="33"/>
      <w:r w:rsidR="00AC6DBD" w:rsidRPr="00350596">
        <w:rPr>
          <w:lang w:val="en-AU"/>
        </w:rPr>
        <w:t>: Mean change in quality of life scores from baseline to Week 4 with efgartigimod and placebo</w:t>
      </w:r>
      <w:r w:rsidR="00A47E12" w:rsidRPr="00350596">
        <w:rPr>
          <w:lang w:val="en-AU"/>
        </w:rPr>
        <w:t xml:space="preserve"> (AChR+)</w:t>
      </w:r>
    </w:p>
    <w:tbl>
      <w:tblPr>
        <w:tblStyle w:val="TableGrid"/>
        <w:tblW w:w="9024" w:type="dxa"/>
        <w:tblLook w:val="04A0" w:firstRow="1" w:lastRow="0" w:firstColumn="1" w:lastColumn="0" w:noHBand="0" w:noVBand="1"/>
        <w:tblCaption w:val="Table 7: Mean change in quality of life scores from baseline to Week 4 with efgartigimod and placebo (AChR+)"/>
      </w:tblPr>
      <w:tblGrid>
        <w:gridCol w:w="2375"/>
        <w:gridCol w:w="1540"/>
        <w:gridCol w:w="1414"/>
        <w:gridCol w:w="1665"/>
        <w:gridCol w:w="2030"/>
      </w:tblGrid>
      <w:tr w:rsidR="0051762E" w:rsidRPr="00350596" w14:paraId="5128FF4E" w14:textId="77777777" w:rsidTr="0051762E">
        <w:tc>
          <w:tcPr>
            <w:tcW w:w="2375" w:type="dxa"/>
            <w:vAlign w:val="center"/>
          </w:tcPr>
          <w:p w14:paraId="7DED00C5" w14:textId="77777777" w:rsidR="0051762E" w:rsidRPr="00350596" w:rsidRDefault="0051762E" w:rsidP="007959EA">
            <w:pPr>
              <w:pStyle w:val="COMTableheadingrow"/>
              <w:jc w:val="center"/>
              <w:rPr>
                <w:lang w:val="en-AU"/>
              </w:rPr>
            </w:pPr>
            <w:r w:rsidRPr="00350596">
              <w:rPr>
                <w:lang w:val="en-AU"/>
              </w:rPr>
              <w:t>Treatment arm</w:t>
            </w:r>
          </w:p>
        </w:tc>
        <w:tc>
          <w:tcPr>
            <w:tcW w:w="1540" w:type="dxa"/>
            <w:vAlign w:val="center"/>
          </w:tcPr>
          <w:p w14:paraId="084384E0" w14:textId="77777777" w:rsidR="0051762E" w:rsidRPr="00350596" w:rsidRDefault="0051762E" w:rsidP="007959EA">
            <w:pPr>
              <w:pStyle w:val="COMTableheadingrow"/>
              <w:jc w:val="center"/>
              <w:rPr>
                <w:lang w:val="en-AU"/>
              </w:rPr>
            </w:pPr>
            <w:r w:rsidRPr="00350596">
              <w:rPr>
                <w:lang w:val="en-AU"/>
              </w:rPr>
              <w:t>Baseline, mean (SE)</w:t>
            </w:r>
          </w:p>
        </w:tc>
        <w:tc>
          <w:tcPr>
            <w:tcW w:w="1414" w:type="dxa"/>
            <w:vAlign w:val="center"/>
          </w:tcPr>
          <w:p w14:paraId="214D29DE" w14:textId="77777777" w:rsidR="0051762E" w:rsidRPr="00350596" w:rsidRDefault="0051762E" w:rsidP="007959EA">
            <w:pPr>
              <w:pStyle w:val="COMTableheadingrow"/>
              <w:jc w:val="center"/>
              <w:rPr>
                <w:lang w:val="en-AU"/>
              </w:rPr>
            </w:pPr>
            <w:r w:rsidRPr="00350596">
              <w:rPr>
                <w:lang w:val="en-AU"/>
              </w:rPr>
              <w:t>Week 4, mean (SE)</w:t>
            </w:r>
          </w:p>
        </w:tc>
        <w:tc>
          <w:tcPr>
            <w:tcW w:w="1665" w:type="dxa"/>
            <w:vAlign w:val="center"/>
          </w:tcPr>
          <w:p w14:paraId="284BEEBC" w14:textId="77777777" w:rsidR="0051762E" w:rsidRPr="00350596" w:rsidRDefault="0051762E" w:rsidP="007959EA">
            <w:pPr>
              <w:pStyle w:val="COMTableheadingrow"/>
              <w:jc w:val="center"/>
              <w:rPr>
                <w:lang w:val="en-AU"/>
              </w:rPr>
            </w:pPr>
            <w:r w:rsidRPr="00350596">
              <w:rPr>
                <w:lang w:val="en-AU"/>
              </w:rPr>
              <w:t>LS mean change (95% CI)</w:t>
            </w:r>
          </w:p>
        </w:tc>
        <w:tc>
          <w:tcPr>
            <w:tcW w:w="2030" w:type="dxa"/>
            <w:vAlign w:val="center"/>
          </w:tcPr>
          <w:p w14:paraId="041267E9" w14:textId="77777777" w:rsidR="0051762E" w:rsidRPr="00350596" w:rsidRDefault="0051762E" w:rsidP="007959EA">
            <w:pPr>
              <w:pStyle w:val="COMTableheadingrow"/>
              <w:jc w:val="center"/>
              <w:rPr>
                <w:lang w:val="en-AU"/>
              </w:rPr>
            </w:pPr>
            <w:r w:rsidRPr="00350596">
              <w:rPr>
                <w:lang w:val="en-AU"/>
              </w:rPr>
              <w:t>Treatment difference (95% CI)</w:t>
            </w:r>
          </w:p>
        </w:tc>
      </w:tr>
      <w:tr w:rsidR="0051762E" w:rsidRPr="00350596" w14:paraId="5477BD36" w14:textId="77777777" w:rsidTr="007959EA">
        <w:tc>
          <w:tcPr>
            <w:tcW w:w="9024" w:type="dxa"/>
            <w:gridSpan w:val="5"/>
            <w:vAlign w:val="center"/>
          </w:tcPr>
          <w:p w14:paraId="2493C84B" w14:textId="0A5F8950" w:rsidR="0051762E" w:rsidRPr="00350596" w:rsidRDefault="0051762E" w:rsidP="0051762E">
            <w:pPr>
              <w:pStyle w:val="COMTableheadingrow"/>
              <w:rPr>
                <w:lang w:val="en-AU"/>
              </w:rPr>
            </w:pPr>
            <w:r w:rsidRPr="00350596">
              <w:rPr>
                <w:lang w:val="en-AU"/>
              </w:rPr>
              <w:t>Revised Myasthenia Gravis Quality of Life score (MG-QoL15r)</w:t>
            </w:r>
          </w:p>
        </w:tc>
      </w:tr>
      <w:tr w:rsidR="0051762E" w:rsidRPr="00350596" w14:paraId="75AD8E88" w14:textId="77777777" w:rsidTr="0051762E">
        <w:tc>
          <w:tcPr>
            <w:tcW w:w="2375" w:type="dxa"/>
          </w:tcPr>
          <w:p w14:paraId="1C9204AC" w14:textId="77777777" w:rsidR="0051762E" w:rsidRPr="00350596" w:rsidRDefault="0051762E" w:rsidP="007959EA">
            <w:pPr>
              <w:pStyle w:val="COMTabletext"/>
            </w:pPr>
            <w:r w:rsidRPr="00350596">
              <w:t>Efgartigimod, N = 65</w:t>
            </w:r>
          </w:p>
        </w:tc>
        <w:tc>
          <w:tcPr>
            <w:tcW w:w="1540" w:type="dxa"/>
            <w:vAlign w:val="center"/>
          </w:tcPr>
          <w:p w14:paraId="28C9EDF6" w14:textId="77777777" w:rsidR="0051762E" w:rsidRPr="00350596" w:rsidRDefault="0051762E" w:rsidP="007959EA">
            <w:pPr>
              <w:pStyle w:val="COMTabletext"/>
              <w:jc w:val="center"/>
            </w:pPr>
            <w:r w:rsidRPr="00350596">
              <w:t>15.7 (0.78)</w:t>
            </w:r>
          </w:p>
        </w:tc>
        <w:tc>
          <w:tcPr>
            <w:tcW w:w="1414" w:type="dxa"/>
            <w:vAlign w:val="center"/>
          </w:tcPr>
          <w:p w14:paraId="65BAC809" w14:textId="77777777" w:rsidR="0051762E" w:rsidRPr="00350596" w:rsidRDefault="0051762E" w:rsidP="007959EA">
            <w:pPr>
              <w:pStyle w:val="COMTabletext"/>
              <w:jc w:val="center"/>
            </w:pPr>
            <w:r w:rsidRPr="00350596">
              <w:t>8.3 (0.82)</w:t>
            </w:r>
          </w:p>
        </w:tc>
        <w:tc>
          <w:tcPr>
            <w:tcW w:w="1665" w:type="dxa"/>
            <w:vAlign w:val="center"/>
          </w:tcPr>
          <w:p w14:paraId="49990106" w14:textId="77777777" w:rsidR="0051762E" w:rsidRPr="00350596" w:rsidRDefault="0051762E" w:rsidP="007959EA">
            <w:pPr>
              <w:pStyle w:val="COMTabletext"/>
              <w:jc w:val="center"/>
            </w:pPr>
            <w:r w:rsidRPr="00350596">
              <w:t>-7.21 (-8.80, -5.63)</w:t>
            </w:r>
          </w:p>
        </w:tc>
        <w:tc>
          <w:tcPr>
            <w:tcW w:w="2030" w:type="dxa"/>
            <w:vMerge w:val="restart"/>
            <w:vAlign w:val="center"/>
          </w:tcPr>
          <w:p w14:paraId="0DC91169" w14:textId="77777777" w:rsidR="0051762E" w:rsidRPr="00350596" w:rsidRDefault="0051762E" w:rsidP="007959EA">
            <w:pPr>
              <w:pStyle w:val="COMTabletext"/>
              <w:jc w:val="center"/>
            </w:pPr>
            <w:r w:rsidRPr="00350596">
              <w:t>-5.45 (-7.22, -3.69)</w:t>
            </w:r>
          </w:p>
        </w:tc>
      </w:tr>
      <w:tr w:rsidR="0051762E" w:rsidRPr="00350596" w14:paraId="4C4C9FCB" w14:textId="77777777" w:rsidTr="0051762E">
        <w:tc>
          <w:tcPr>
            <w:tcW w:w="2375" w:type="dxa"/>
          </w:tcPr>
          <w:p w14:paraId="61B1256B" w14:textId="77777777" w:rsidR="0051762E" w:rsidRPr="00350596" w:rsidRDefault="0051762E" w:rsidP="007959EA">
            <w:pPr>
              <w:pStyle w:val="COMTabletext"/>
            </w:pPr>
            <w:r w:rsidRPr="00350596">
              <w:t>Placebo, N = 64</w:t>
            </w:r>
          </w:p>
        </w:tc>
        <w:tc>
          <w:tcPr>
            <w:tcW w:w="1540" w:type="dxa"/>
            <w:vAlign w:val="center"/>
          </w:tcPr>
          <w:p w14:paraId="63F55C53" w14:textId="77777777" w:rsidR="0051762E" w:rsidRPr="00350596" w:rsidRDefault="0051762E" w:rsidP="007959EA">
            <w:pPr>
              <w:pStyle w:val="COMTabletext"/>
              <w:jc w:val="center"/>
            </w:pPr>
            <w:r w:rsidRPr="00350596">
              <w:t>16.6 (0.68)</w:t>
            </w:r>
          </w:p>
        </w:tc>
        <w:tc>
          <w:tcPr>
            <w:tcW w:w="1414" w:type="dxa"/>
            <w:vAlign w:val="center"/>
          </w:tcPr>
          <w:p w14:paraId="56E3CFEA" w14:textId="77777777" w:rsidR="0051762E" w:rsidRPr="00350596" w:rsidRDefault="0051762E" w:rsidP="007959EA">
            <w:pPr>
              <w:pStyle w:val="COMTabletext"/>
              <w:jc w:val="center"/>
            </w:pPr>
            <w:r w:rsidRPr="00350596">
              <w:t>14.4 (0.78)</w:t>
            </w:r>
          </w:p>
        </w:tc>
        <w:tc>
          <w:tcPr>
            <w:tcW w:w="1665" w:type="dxa"/>
            <w:vAlign w:val="center"/>
          </w:tcPr>
          <w:p w14:paraId="7CAC3632" w14:textId="77777777" w:rsidR="0051762E" w:rsidRPr="00350596" w:rsidRDefault="0051762E" w:rsidP="007959EA">
            <w:pPr>
              <w:pStyle w:val="COMTabletext"/>
              <w:jc w:val="center"/>
            </w:pPr>
            <w:r w:rsidRPr="00350596">
              <w:t>-1.76 (-3.38, -0.14)</w:t>
            </w:r>
          </w:p>
        </w:tc>
        <w:tc>
          <w:tcPr>
            <w:tcW w:w="2030" w:type="dxa"/>
            <w:vMerge/>
            <w:vAlign w:val="center"/>
          </w:tcPr>
          <w:p w14:paraId="75A81578" w14:textId="77777777" w:rsidR="0051762E" w:rsidRPr="00350596" w:rsidRDefault="0051762E" w:rsidP="007959EA">
            <w:pPr>
              <w:pStyle w:val="COMTabletext"/>
              <w:jc w:val="center"/>
            </w:pPr>
          </w:p>
        </w:tc>
      </w:tr>
      <w:tr w:rsidR="0051762E" w:rsidRPr="00350596" w14:paraId="08B57BE8" w14:textId="77777777" w:rsidTr="007959EA">
        <w:tc>
          <w:tcPr>
            <w:tcW w:w="9024" w:type="dxa"/>
            <w:gridSpan w:val="5"/>
            <w:vAlign w:val="center"/>
          </w:tcPr>
          <w:p w14:paraId="24A27D81" w14:textId="17F1AE1B" w:rsidR="0051762E" w:rsidRPr="00350596" w:rsidRDefault="0051762E" w:rsidP="0051762E">
            <w:pPr>
              <w:pStyle w:val="COMTableheadingrow"/>
              <w:rPr>
                <w:lang w:val="en-AU"/>
              </w:rPr>
            </w:pPr>
            <w:r w:rsidRPr="00350596">
              <w:rPr>
                <w:lang w:val="en-AU"/>
              </w:rPr>
              <w:t>EQ-5D-5L visual analogue scale</w:t>
            </w:r>
          </w:p>
        </w:tc>
      </w:tr>
      <w:tr w:rsidR="0051762E" w:rsidRPr="00350596" w14:paraId="1035586D" w14:textId="77777777" w:rsidTr="0051762E">
        <w:tc>
          <w:tcPr>
            <w:tcW w:w="2375" w:type="dxa"/>
          </w:tcPr>
          <w:p w14:paraId="29BE8EE0" w14:textId="77777777" w:rsidR="0051762E" w:rsidRPr="00350596" w:rsidRDefault="0051762E" w:rsidP="007959EA">
            <w:pPr>
              <w:pStyle w:val="COMTabletext"/>
            </w:pPr>
            <w:r w:rsidRPr="00350596">
              <w:t>Efgartigimod, N = 65</w:t>
            </w:r>
          </w:p>
        </w:tc>
        <w:tc>
          <w:tcPr>
            <w:tcW w:w="1540" w:type="dxa"/>
            <w:vAlign w:val="center"/>
          </w:tcPr>
          <w:p w14:paraId="0E7BF0BC" w14:textId="77777777" w:rsidR="0051762E" w:rsidRPr="00350596" w:rsidRDefault="0051762E" w:rsidP="007959EA">
            <w:pPr>
              <w:pStyle w:val="COMTabletext"/>
              <w:jc w:val="center"/>
            </w:pPr>
            <w:r w:rsidRPr="00350596">
              <w:t>58.2 (2.16)</w:t>
            </w:r>
          </w:p>
        </w:tc>
        <w:tc>
          <w:tcPr>
            <w:tcW w:w="1414" w:type="dxa"/>
            <w:vAlign w:val="center"/>
          </w:tcPr>
          <w:p w14:paraId="43CF091B" w14:textId="77777777" w:rsidR="0051762E" w:rsidRPr="00350596" w:rsidRDefault="0051762E" w:rsidP="007959EA">
            <w:pPr>
              <w:pStyle w:val="COMTabletext"/>
              <w:jc w:val="center"/>
            </w:pPr>
            <w:r w:rsidRPr="00350596">
              <w:t>74.4 (2.07)</w:t>
            </w:r>
          </w:p>
        </w:tc>
        <w:tc>
          <w:tcPr>
            <w:tcW w:w="1665" w:type="dxa"/>
            <w:vAlign w:val="center"/>
          </w:tcPr>
          <w:p w14:paraId="789D1C1C" w14:textId="77777777" w:rsidR="0051762E" w:rsidRPr="00350596" w:rsidRDefault="0051762E" w:rsidP="007959EA">
            <w:pPr>
              <w:pStyle w:val="COMTabletext"/>
              <w:jc w:val="center"/>
            </w:pPr>
            <w:r w:rsidRPr="00350596">
              <w:t>NR</w:t>
            </w:r>
          </w:p>
        </w:tc>
        <w:tc>
          <w:tcPr>
            <w:tcW w:w="2030" w:type="dxa"/>
            <w:vMerge w:val="restart"/>
            <w:vAlign w:val="center"/>
          </w:tcPr>
          <w:p w14:paraId="3E4C4D11" w14:textId="77777777" w:rsidR="0051762E" w:rsidRPr="00350596" w:rsidRDefault="0051762E" w:rsidP="007959EA">
            <w:pPr>
              <w:pStyle w:val="COMTabletext"/>
              <w:jc w:val="center"/>
            </w:pPr>
            <w:r w:rsidRPr="00350596">
              <w:t>NR</w:t>
            </w:r>
          </w:p>
        </w:tc>
      </w:tr>
      <w:tr w:rsidR="0051762E" w:rsidRPr="00350596" w14:paraId="7F3FC37F" w14:textId="77777777" w:rsidTr="0051762E">
        <w:tc>
          <w:tcPr>
            <w:tcW w:w="2375" w:type="dxa"/>
          </w:tcPr>
          <w:p w14:paraId="06A9B4A4" w14:textId="77777777" w:rsidR="0051762E" w:rsidRPr="00350596" w:rsidRDefault="0051762E" w:rsidP="007959EA">
            <w:pPr>
              <w:pStyle w:val="COMTabletext"/>
            </w:pPr>
            <w:r w:rsidRPr="00350596">
              <w:t>Placebo, N = 64</w:t>
            </w:r>
          </w:p>
        </w:tc>
        <w:tc>
          <w:tcPr>
            <w:tcW w:w="1540" w:type="dxa"/>
            <w:vAlign w:val="center"/>
          </w:tcPr>
          <w:p w14:paraId="3783A4D6" w14:textId="77777777" w:rsidR="0051762E" w:rsidRPr="00350596" w:rsidRDefault="0051762E" w:rsidP="007959EA">
            <w:pPr>
              <w:pStyle w:val="COMTabletext"/>
              <w:jc w:val="center"/>
            </w:pPr>
            <w:r w:rsidRPr="00350596">
              <w:t>56.7 (2.14)</w:t>
            </w:r>
          </w:p>
        </w:tc>
        <w:tc>
          <w:tcPr>
            <w:tcW w:w="1414" w:type="dxa"/>
            <w:vAlign w:val="center"/>
          </w:tcPr>
          <w:p w14:paraId="5057747E" w14:textId="77777777" w:rsidR="0051762E" w:rsidRPr="00350596" w:rsidRDefault="0051762E" w:rsidP="007959EA">
            <w:pPr>
              <w:pStyle w:val="COMTabletext"/>
              <w:jc w:val="center"/>
            </w:pPr>
            <w:r w:rsidRPr="00350596">
              <w:t>60.6 (2.28)</w:t>
            </w:r>
          </w:p>
        </w:tc>
        <w:tc>
          <w:tcPr>
            <w:tcW w:w="1665" w:type="dxa"/>
            <w:vAlign w:val="center"/>
          </w:tcPr>
          <w:p w14:paraId="461CDBF1" w14:textId="77777777" w:rsidR="0051762E" w:rsidRPr="00350596" w:rsidRDefault="0051762E" w:rsidP="007959EA">
            <w:pPr>
              <w:pStyle w:val="COMTabletext"/>
              <w:jc w:val="center"/>
            </w:pPr>
            <w:r w:rsidRPr="00350596">
              <w:t>NR</w:t>
            </w:r>
          </w:p>
        </w:tc>
        <w:tc>
          <w:tcPr>
            <w:tcW w:w="2030" w:type="dxa"/>
            <w:vMerge/>
            <w:vAlign w:val="center"/>
          </w:tcPr>
          <w:p w14:paraId="5C2E820B" w14:textId="77777777" w:rsidR="0051762E" w:rsidRPr="00350596" w:rsidRDefault="0051762E" w:rsidP="007959EA">
            <w:pPr>
              <w:pStyle w:val="COMTabletext"/>
              <w:jc w:val="center"/>
            </w:pPr>
          </w:p>
        </w:tc>
      </w:tr>
    </w:tbl>
    <w:p w14:paraId="4FC5ED29" w14:textId="77777777" w:rsidR="00AC6DBD" w:rsidRPr="00350596" w:rsidRDefault="00AC6DBD" w:rsidP="00AC6DBD">
      <w:pPr>
        <w:pStyle w:val="COMTablefooter"/>
        <w:keepNext/>
      </w:pPr>
      <w:r w:rsidRPr="00350596">
        <w:t>Source: Table 14.2.3.1.1, p2727, Table 14.2.3.1.2, p2738, Table 14.2.3.2.1, p2749, Table 14.2.3.2.2, p2751, Table 14.2.5.2.1, p2860, Table 14.2.5.2.2, p2871 of the ADAPT trial report</w:t>
      </w:r>
    </w:p>
    <w:p w14:paraId="7728212C" w14:textId="77777777" w:rsidR="00AC6DBD" w:rsidRPr="00350596" w:rsidRDefault="00AC6DBD" w:rsidP="00AC6DBD">
      <w:pPr>
        <w:pStyle w:val="COMTablefooter"/>
        <w:keepNext/>
      </w:pPr>
      <w:r w:rsidRPr="00350596">
        <w:t>Abbreviations: AChR+, acetylcholine receptor antibody positive; CI, confidence interval; LS, least squares; NR, not reported; SE, standard error</w:t>
      </w:r>
    </w:p>
    <w:p w14:paraId="598D88AC" w14:textId="77777777" w:rsidR="00AC6DBD" w:rsidRPr="00350596" w:rsidRDefault="00AC6DBD" w:rsidP="00AC6DBD">
      <w:pPr>
        <w:pStyle w:val="COMTablefooter"/>
        <w:keepNext/>
      </w:pPr>
      <w:r w:rsidRPr="00350596">
        <w:t>Note: MG-QOL15r scores range from 0 to 30 with lower scores indicating better quality of life</w:t>
      </w:r>
    </w:p>
    <w:p w14:paraId="25C119B5" w14:textId="77777777" w:rsidR="00AC6DBD" w:rsidRPr="00350596" w:rsidRDefault="00AC6DBD" w:rsidP="00AC6DBD">
      <w:pPr>
        <w:pStyle w:val="COMTablefooter"/>
        <w:keepNext/>
      </w:pPr>
      <w:r w:rsidRPr="00350596">
        <w:t>Note: EQ-5D-5L visual analogue scores range from 0 to 100 with higher scores indicating better quality of life</w:t>
      </w:r>
    </w:p>
    <w:p w14:paraId="3C849717" w14:textId="3782A5D6" w:rsidR="00AA2BA8" w:rsidRPr="00350596" w:rsidRDefault="00AA2BA8" w:rsidP="00F94942">
      <w:pPr>
        <w:pStyle w:val="COMexecsummnumbered"/>
      </w:pPr>
      <w:r w:rsidRPr="00350596">
        <w:t>Treatment with efgartigimod was associated with a statistically significant improvement in Revised Myasthenia Gravis Quality of Life (MG-QoL15r) scores compared to placebo at Week 4 in the first treatment cycle.</w:t>
      </w:r>
      <w:r w:rsidR="007A3CFC" w:rsidRPr="00350596">
        <w:t xml:space="preserve"> Analyses of change over time in MG-QoL15r scores showed </w:t>
      </w:r>
      <w:r w:rsidR="00E50084" w:rsidRPr="00350596">
        <w:t>that treatment with efgartigimod was associated with rapid improvements, with the maximum difference between treatment arms observed at Week 5. The treatment difference was sustained up to Week 8, after which there was no observable difference between treatment arms.</w:t>
      </w:r>
    </w:p>
    <w:p w14:paraId="32B79806" w14:textId="3F98F466" w:rsidR="00AA2BA8" w:rsidRPr="00350596" w:rsidRDefault="00AA2BA8" w:rsidP="00F94942">
      <w:pPr>
        <w:pStyle w:val="COMexecsummnumbered"/>
      </w:pPr>
      <w:r w:rsidRPr="00350596">
        <w:t>The trial report did not provide any statistical analysis of EQ-5D-5L data. However, EQ-5D-5L data from the ADAPT trial were used to inform an ad hoc analysis of the association between MG-ADL scores and change in EQ-5D utility scores over time in the economic model.</w:t>
      </w:r>
    </w:p>
    <w:p w14:paraId="4EEFC133" w14:textId="5A8D5334" w:rsidR="001B523E" w:rsidRPr="00350596" w:rsidRDefault="001B523E" w:rsidP="00F94942">
      <w:pPr>
        <w:pStyle w:val="COMexecsummnumbered"/>
      </w:pPr>
      <w:r w:rsidRPr="00350596">
        <w:t xml:space="preserve">The submission did not provide any data on baseline corticosteroid use or changes in corticosteroid use over time from the ADAPT trial and extension. It is unclear whether efgartigimod is steroid-sparing as there are no comparative data on corticosteroid use </w:t>
      </w:r>
      <w:r w:rsidR="008B51CA" w:rsidRPr="00350596">
        <w:t xml:space="preserve">with or </w:t>
      </w:r>
      <w:r w:rsidRPr="00350596">
        <w:t>without efgartigimod.</w:t>
      </w:r>
    </w:p>
    <w:p w14:paraId="69E5A173" w14:textId="499B2314" w:rsidR="00460D85" w:rsidRPr="00350596" w:rsidRDefault="00460D85" w:rsidP="00F94942">
      <w:pPr>
        <w:pStyle w:val="COMexecsummnumbered"/>
      </w:pPr>
      <w:r w:rsidRPr="00350596">
        <w:t>Exacerbations or myasthenic crisis events were not captured as efficacy outcomes in the ADAPT studies. Results from a post hoc analysis of hospitalisations and exacerbations during the ADAPT trial</w:t>
      </w:r>
      <w:r w:rsidR="00655724" w:rsidRPr="00350596">
        <w:t xml:space="preserve"> were supportive of numerically lower rates of all-cause hospitalisations and exacerbations in the efgartigimod arm compared to placebo. However, the results should be interpreted with caution given the uncontrolled nature of the analysis and limited reporting in the poster publications. </w:t>
      </w:r>
    </w:p>
    <w:p w14:paraId="24CBF1CF" w14:textId="4A70836B" w:rsidR="009E5F6E" w:rsidRPr="00350596" w:rsidRDefault="009E5F6E" w:rsidP="00F94942">
      <w:pPr>
        <w:pStyle w:val="COMexecsummnumbered"/>
        <w:rPr>
          <w:i/>
          <w:iCs/>
        </w:rPr>
      </w:pPr>
      <w:bookmarkStart w:id="34" w:name="_Ref191201119"/>
      <w:r w:rsidRPr="00350596">
        <w:t>Treatment exposure</w:t>
      </w:r>
      <w:r w:rsidR="00ED4EF3" w:rsidRPr="00350596">
        <w:t xml:space="preserve"> data in the ADAPT trial and extension study were analysed based on a total cycle duration analysis (i.e. time from the first dose of the previous treatment cycle to the first dose of the subsequent treatment cycle). </w:t>
      </w:r>
      <w:r w:rsidR="00E002ED" w:rsidRPr="00350596">
        <w:t xml:space="preserve">In the ADAPT trial, the median total cycle duration was approximately 10 weeks for the first two treatment cycles, with a median treatment-free interval of approximately 7 weeks. </w:t>
      </w:r>
      <w:r w:rsidR="00F713C1" w:rsidRPr="00350596">
        <w:t xml:space="preserve">In the extension study, the median total cycle duration was approximately 10 weeks for the first treatment cycle, decreasing to 7 weeks by the thirteenth treatment cycle in Part B of the extension. This corresponded to a median treatment-free interval of 7 </w:t>
      </w:r>
      <w:r w:rsidR="00F713C1" w:rsidRPr="00350596">
        <w:lastRenderedPageBreak/>
        <w:t>weeks between the first two treatment cycles decreasing to 4 weeks by the thirteenth treatment cycle.</w:t>
      </w:r>
      <w:bookmarkEnd w:id="34"/>
    </w:p>
    <w:p w14:paraId="541F59A6" w14:textId="2BEABB21" w:rsidR="00570C7D" w:rsidRPr="00350596" w:rsidRDefault="00944055" w:rsidP="00944055">
      <w:pPr>
        <w:pStyle w:val="COMH4"/>
      </w:pPr>
      <w:r w:rsidRPr="00350596">
        <w:t>Network meta-analysis</w:t>
      </w:r>
    </w:p>
    <w:p w14:paraId="3ECB27A1" w14:textId="5CDBAB43" w:rsidR="00570C7D" w:rsidRPr="00350596" w:rsidRDefault="002403D2" w:rsidP="00F94942">
      <w:pPr>
        <w:pStyle w:val="COMexecsummnumbered"/>
      </w:pPr>
      <w:r w:rsidRPr="00350596">
        <w:t>The submission presented a Bayesian network meta-analysis (NMA) comparing efgartigimod (ADAPT) with chronic IVIg (Bril 2024, Wolfe 2002), ravulizumab (CHAMPION-MG), rozanolixizumab (MycarinG) and zilucoplan (RAISE) using placebo as a common reference arm.</w:t>
      </w:r>
    </w:p>
    <w:p w14:paraId="2B98A71F" w14:textId="6F6171C0" w:rsidR="002403D2" w:rsidRPr="00350596" w:rsidRDefault="002403D2" w:rsidP="00F94942">
      <w:pPr>
        <w:pStyle w:val="COMexecsummnumbered"/>
      </w:pPr>
      <w:r w:rsidRPr="00350596">
        <w:t xml:space="preserve">The transitivity between the IVIg, complement inhibitor and </w:t>
      </w:r>
      <w:r w:rsidR="008A34A5" w:rsidRPr="00350596">
        <w:t>FcRn</w:t>
      </w:r>
      <w:r w:rsidRPr="00350596">
        <w:t xml:space="preserve"> blocker trials was highly uncertain, with major differences in study designs and patient populations. In particular the </w:t>
      </w:r>
      <w:r w:rsidR="008A34A5" w:rsidRPr="00350596">
        <w:t>FcRn</w:t>
      </w:r>
      <w:r w:rsidRPr="00350596">
        <w:t xml:space="preserve"> blockers (efgartigimod, rozanolixizumab) are administered as cyclical therapies with on/off treatment periods with endpoints assessed at peak efficacy (4-6 weeks, at the end of a treatment cycle) which does not account for the treatment effects waning over time during the off-treatment period.</w:t>
      </w:r>
    </w:p>
    <w:p w14:paraId="76DD738B" w14:textId="21D2AB65" w:rsidR="002403D2" w:rsidRPr="00350596" w:rsidRDefault="002403D2" w:rsidP="00177997">
      <w:pPr>
        <w:pStyle w:val="COMexecsummnumbered"/>
      </w:pPr>
      <w:r w:rsidRPr="00350596">
        <w:t xml:space="preserve">The inclusion of the Wolfe 2002 study was inadequately justified </w:t>
      </w:r>
      <w:r w:rsidR="00532762" w:rsidRPr="00350596">
        <w:t xml:space="preserve">given </w:t>
      </w:r>
      <w:r w:rsidR="00226137" w:rsidRPr="00350596">
        <w:t>concerns with the robustness of the trial that was prematurely terminated, had a very small sample size</w:t>
      </w:r>
      <w:r w:rsidR="00177997" w:rsidRPr="00350596">
        <w:t xml:space="preserve"> and presented results that indicated numerically inferior efficacy for IVIg versus placebo which appeared counter-intuitive to the broader evidence base supporting the use of IVIg in practice</w:t>
      </w:r>
      <w:r w:rsidRPr="00350596">
        <w:t xml:space="preserve">. Sensitivity analyses with the exclusion of the Wolfe 2002 study were considered more relevant and were presented as primary analyses during the evaluation. </w:t>
      </w:r>
    </w:p>
    <w:p w14:paraId="72290E9A" w14:textId="75835EAF" w:rsidR="00210D2B" w:rsidRPr="00350596" w:rsidRDefault="00210D2B" w:rsidP="00F94942">
      <w:pPr>
        <w:pStyle w:val="COMexecsummnumbered"/>
      </w:pPr>
      <w:r w:rsidRPr="00350596">
        <w:t xml:space="preserve">The network diagram for MG-ADL and QMG assessments excluding the Wolfe 2002 study is presented in </w:t>
      </w:r>
      <w:r w:rsidR="00165FA3" w:rsidRPr="00350596">
        <w:fldChar w:fldCharType="begin"/>
      </w:r>
      <w:r w:rsidR="00165FA3" w:rsidRPr="00350596">
        <w:instrText xml:space="preserve"> REF _Ref187601630 \h </w:instrText>
      </w:r>
      <w:r w:rsidR="00165FA3" w:rsidRPr="00350596">
        <w:fldChar w:fldCharType="separate"/>
      </w:r>
      <w:r w:rsidR="002B16A5" w:rsidRPr="00350596">
        <w:t xml:space="preserve">Figure </w:t>
      </w:r>
      <w:r w:rsidR="002B16A5">
        <w:rPr>
          <w:noProof/>
        </w:rPr>
        <w:t>2</w:t>
      </w:r>
      <w:r w:rsidR="00165FA3" w:rsidRPr="00350596">
        <w:fldChar w:fldCharType="end"/>
      </w:r>
      <w:r w:rsidRPr="00350596">
        <w:t>.</w:t>
      </w:r>
    </w:p>
    <w:p w14:paraId="55F5C850" w14:textId="34F4A216" w:rsidR="008C2653" w:rsidRPr="00350596" w:rsidRDefault="00165FA3" w:rsidP="00165FA3">
      <w:pPr>
        <w:pStyle w:val="Caption"/>
        <w:rPr>
          <w:lang w:val="en-AU"/>
        </w:rPr>
      </w:pPr>
      <w:bookmarkStart w:id="35" w:name="_Ref187601630"/>
      <w:r w:rsidRPr="00350596">
        <w:rPr>
          <w:lang w:val="en-AU"/>
        </w:rPr>
        <w:t xml:space="preserve">Figure </w:t>
      </w:r>
      <w:r w:rsidRPr="00350596">
        <w:rPr>
          <w:lang w:val="en-AU"/>
        </w:rPr>
        <w:fldChar w:fldCharType="begin"/>
      </w:r>
      <w:r w:rsidRPr="00350596">
        <w:rPr>
          <w:lang w:val="en-AU"/>
        </w:rPr>
        <w:instrText xml:space="preserve"> SEQ Figure \* ARABIC </w:instrText>
      </w:r>
      <w:r w:rsidRPr="00350596">
        <w:rPr>
          <w:lang w:val="en-AU"/>
        </w:rPr>
        <w:fldChar w:fldCharType="separate"/>
      </w:r>
      <w:r w:rsidR="002B16A5">
        <w:rPr>
          <w:noProof/>
          <w:lang w:val="en-AU"/>
        </w:rPr>
        <w:t>2</w:t>
      </w:r>
      <w:r w:rsidRPr="00350596">
        <w:rPr>
          <w:lang w:val="en-AU"/>
        </w:rPr>
        <w:fldChar w:fldCharType="end"/>
      </w:r>
      <w:bookmarkEnd w:id="35"/>
      <w:r w:rsidR="008C2653" w:rsidRPr="00350596">
        <w:rPr>
          <w:lang w:val="en-AU"/>
        </w:rPr>
        <w:t>: Network diagram for change in MG-ADL and QMG</w:t>
      </w:r>
    </w:p>
    <w:p w14:paraId="511299A6" w14:textId="77777777" w:rsidR="008C2653" w:rsidRPr="00350596" w:rsidRDefault="008C2653" w:rsidP="008C2653">
      <w:pPr>
        <w:rPr>
          <w:color w:val="3366FF"/>
        </w:rPr>
      </w:pPr>
      <w:r w:rsidRPr="00350596">
        <w:rPr>
          <w:noProof/>
        </w:rPr>
        <w:drawing>
          <wp:inline distT="0" distB="0" distL="0" distR="0" wp14:anchorId="647F067F" wp14:editId="683840DE">
            <wp:extent cx="4229100" cy="2923822"/>
            <wp:effectExtent l="0" t="0" r="0" b="0"/>
            <wp:docPr id="455135888" name="Picture 2" descr="Figure 2: Network diagram for change in MG-ADL and Q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35888" name="Picture 2" descr="Figure 2: Network diagram for change in MG-ADL and QM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248776" cy="2937425"/>
                    </a:xfrm>
                    <a:prstGeom prst="rect">
                      <a:avLst/>
                    </a:prstGeom>
                    <a:ln>
                      <a:noFill/>
                    </a:ln>
                    <a:extLst>
                      <a:ext uri="{53640926-AAD7-44D8-BBD7-CCE9431645EC}">
                        <a14:shadowObscured xmlns:a14="http://schemas.microsoft.com/office/drawing/2010/main"/>
                      </a:ext>
                    </a:extLst>
                  </pic:spPr>
                </pic:pic>
              </a:graphicData>
            </a:graphic>
          </wp:inline>
        </w:drawing>
      </w:r>
    </w:p>
    <w:p w14:paraId="519D676B" w14:textId="77777777" w:rsidR="008C2653" w:rsidRPr="00350596" w:rsidRDefault="008C2653" w:rsidP="008C2653">
      <w:pPr>
        <w:pStyle w:val="COMTablefooter"/>
      </w:pPr>
      <w:r w:rsidRPr="00350596">
        <w:t>Source: Figures 5.7 and 5.8, Attachment CLN 2.1 of the submission</w:t>
      </w:r>
    </w:p>
    <w:p w14:paraId="1E956637" w14:textId="77777777" w:rsidR="008C2653" w:rsidRPr="00350596" w:rsidRDefault="008C2653" w:rsidP="008C2653">
      <w:pPr>
        <w:pStyle w:val="COMTablefooter"/>
      </w:pPr>
      <w:r w:rsidRPr="00350596">
        <w:t>Note: There was only 1 study (Bril 2024, labelled as NCT02473952) informing the IVIg and placebo connection (not 2 studies as indicated by the thicker line)</w:t>
      </w:r>
    </w:p>
    <w:p w14:paraId="746F4AB3" w14:textId="50711626" w:rsidR="00210D2B" w:rsidRPr="00350596" w:rsidRDefault="008C2653" w:rsidP="00F94942">
      <w:pPr>
        <w:pStyle w:val="COMexecsummnumbered"/>
      </w:pPr>
      <w:r w:rsidRPr="00350596">
        <w:lastRenderedPageBreak/>
        <w:t>The network was sparsely populated with no connections between treatment arms. Global inconsistency analyses assessing the consistency of the direct and indirect evidence could not be performed due to the lack of independent closed loops in the network.</w:t>
      </w:r>
    </w:p>
    <w:p w14:paraId="269ED6CE" w14:textId="0F04C926" w:rsidR="00EE57A7" w:rsidRPr="00350596" w:rsidRDefault="00EE57A7" w:rsidP="00F94942">
      <w:pPr>
        <w:pStyle w:val="COMexecsummnumbered"/>
      </w:pPr>
      <w:r w:rsidRPr="00350596">
        <w:t>The submission noted that the Bril 2024 trial did not report change in MG-ADL outcomes. Therefore, the MG-ADL results were imputed based on the study’s QMG results at the same timepoint. The submission’s imputation approach appeared to be based on assumptions of surrogacy between the MG-ADL and QMG instruments. The surrogacy model assumes a linear relationship in both scales which was inadequately justified in the submission, particularly given the known floor and ceiling effects for MG-ADL scores. It may be more appropriate to conduct comparisons based on other outcomes such as change in MGC which was captured in Bril 2024.</w:t>
      </w:r>
    </w:p>
    <w:p w14:paraId="4CFBFEE4" w14:textId="6435B764" w:rsidR="00352147" w:rsidRPr="00350596" w:rsidRDefault="00A53F02" w:rsidP="00F94942">
      <w:pPr>
        <w:pStyle w:val="COMexecsummnumbered"/>
      </w:pPr>
      <w:r w:rsidRPr="00350596">
        <w:t xml:space="preserve">The results of the fixed effects NMA for change in MG-ADL (excluding the Wolfe 2002 study) are presented in </w:t>
      </w:r>
      <w:r w:rsidR="00165FA3" w:rsidRPr="00350596">
        <w:fldChar w:fldCharType="begin"/>
      </w:r>
      <w:r w:rsidR="00165FA3" w:rsidRPr="00350596">
        <w:instrText xml:space="preserve"> REF _Ref187601649 \h </w:instrText>
      </w:r>
      <w:r w:rsidR="00165FA3" w:rsidRPr="00350596">
        <w:fldChar w:fldCharType="separate"/>
      </w:r>
      <w:r w:rsidR="002B16A5" w:rsidRPr="00350596">
        <w:t xml:space="preserve">Figure </w:t>
      </w:r>
      <w:r w:rsidR="002B16A5">
        <w:rPr>
          <w:noProof/>
        </w:rPr>
        <w:t>3</w:t>
      </w:r>
      <w:r w:rsidR="00165FA3" w:rsidRPr="00350596">
        <w:fldChar w:fldCharType="end"/>
      </w:r>
      <w:r w:rsidRPr="00350596">
        <w:t>.</w:t>
      </w:r>
    </w:p>
    <w:p w14:paraId="323B13D8" w14:textId="4115F628" w:rsidR="00A53F02" w:rsidRPr="00350596" w:rsidRDefault="00165FA3" w:rsidP="00165FA3">
      <w:pPr>
        <w:pStyle w:val="Caption"/>
        <w:rPr>
          <w:lang w:val="en-AU"/>
        </w:rPr>
      </w:pPr>
      <w:bookmarkStart w:id="36" w:name="_Ref187601649"/>
      <w:r w:rsidRPr="00350596">
        <w:rPr>
          <w:lang w:val="en-AU"/>
        </w:rPr>
        <w:t xml:space="preserve">Figure </w:t>
      </w:r>
      <w:r w:rsidRPr="00350596">
        <w:rPr>
          <w:lang w:val="en-AU"/>
        </w:rPr>
        <w:fldChar w:fldCharType="begin"/>
      </w:r>
      <w:r w:rsidRPr="00350596">
        <w:rPr>
          <w:lang w:val="en-AU"/>
        </w:rPr>
        <w:instrText xml:space="preserve"> SEQ Figure \* ARABIC </w:instrText>
      </w:r>
      <w:r w:rsidRPr="00350596">
        <w:rPr>
          <w:lang w:val="en-AU"/>
        </w:rPr>
        <w:fldChar w:fldCharType="separate"/>
      </w:r>
      <w:r w:rsidR="002B16A5">
        <w:rPr>
          <w:noProof/>
          <w:lang w:val="en-AU"/>
        </w:rPr>
        <w:t>3</w:t>
      </w:r>
      <w:r w:rsidRPr="00350596">
        <w:rPr>
          <w:lang w:val="en-AU"/>
        </w:rPr>
        <w:fldChar w:fldCharType="end"/>
      </w:r>
      <w:bookmarkEnd w:id="36"/>
      <w:r w:rsidR="00A53F02" w:rsidRPr="00350596">
        <w:rPr>
          <w:lang w:val="en-AU"/>
        </w:rPr>
        <w:t>: Results of fixed effects NMA for change in MG-ADL (excluding the Wolfe 2002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Figure 3: Results of fixed effects NMA for change in MG-ADL (excluding the Wolfe 2002 study)"/>
      </w:tblPr>
      <w:tblGrid>
        <w:gridCol w:w="1256"/>
        <w:gridCol w:w="1466"/>
        <w:gridCol w:w="1466"/>
        <w:gridCol w:w="1233"/>
        <w:gridCol w:w="1178"/>
        <w:gridCol w:w="1130"/>
        <w:gridCol w:w="1293"/>
      </w:tblGrid>
      <w:tr w:rsidR="00A53F02" w:rsidRPr="00350596" w14:paraId="3D760744" w14:textId="77777777" w:rsidTr="007959EA">
        <w:trPr>
          <w:trHeight w:val="459"/>
        </w:trPr>
        <w:tc>
          <w:tcPr>
            <w:tcW w:w="1256" w:type="dxa"/>
            <w:tcBorders>
              <w:right w:val="single" w:sz="4" w:space="0" w:color="auto"/>
            </w:tcBorders>
            <w:vAlign w:val="center"/>
          </w:tcPr>
          <w:p w14:paraId="1F751053" w14:textId="77777777" w:rsidR="00A53F02" w:rsidRPr="00350596" w:rsidRDefault="00A53F02" w:rsidP="007959EA">
            <w:pPr>
              <w:pStyle w:val="COMTabletext"/>
              <w:jc w:val="center"/>
              <w:rPr>
                <w:rFonts w:cs="Calibri"/>
                <w:b/>
                <w:bCs w:val="0"/>
                <w:szCs w:val="20"/>
              </w:rPr>
            </w:pPr>
            <w:r w:rsidRPr="00350596">
              <w:rPr>
                <w:rFonts w:cs="Calibri"/>
                <w:b/>
                <w:bCs w:val="0"/>
                <w:szCs w:val="20"/>
              </w:rPr>
              <w:t>Efgartigimod</w:t>
            </w:r>
          </w:p>
        </w:tc>
        <w:tc>
          <w:tcPr>
            <w:tcW w:w="1465" w:type="dxa"/>
            <w:tcBorders>
              <w:top w:val="nil"/>
              <w:left w:val="single" w:sz="4" w:space="0" w:color="auto"/>
              <w:bottom w:val="single" w:sz="4" w:space="0" w:color="auto"/>
              <w:right w:val="nil"/>
            </w:tcBorders>
            <w:vAlign w:val="center"/>
          </w:tcPr>
          <w:p w14:paraId="6900053C" w14:textId="77777777" w:rsidR="00A53F02" w:rsidRPr="00350596" w:rsidRDefault="00A53F02" w:rsidP="007959EA">
            <w:pPr>
              <w:pStyle w:val="COMTabletext"/>
              <w:jc w:val="center"/>
              <w:rPr>
                <w:rFonts w:cs="Calibri"/>
                <w:szCs w:val="20"/>
              </w:rPr>
            </w:pPr>
          </w:p>
        </w:tc>
        <w:tc>
          <w:tcPr>
            <w:tcW w:w="1465" w:type="dxa"/>
            <w:tcBorders>
              <w:top w:val="nil"/>
              <w:left w:val="nil"/>
              <w:bottom w:val="nil"/>
              <w:right w:val="nil"/>
            </w:tcBorders>
            <w:vAlign w:val="center"/>
          </w:tcPr>
          <w:p w14:paraId="40D5BAC5" w14:textId="77777777" w:rsidR="00A53F02" w:rsidRPr="00350596" w:rsidRDefault="00A53F02" w:rsidP="007959EA">
            <w:pPr>
              <w:pStyle w:val="COMTabletext"/>
              <w:jc w:val="center"/>
              <w:rPr>
                <w:rFonts w:cs="Calibri"/>
                <w:szCs w:val="20"/>
              </w:rPr>
            </w:pPr>
          </w:p>
        </w:tc>
        <w:tc>
          <w:tcPr>
            <w:tcW w:w="1232" w:type="dxa"/>
            <w:tcBorders>
              <w:top w:val="nil"/>
              <w:left w:val="nil"/>
              <w:bottom w:val="nil"/>
              <w:right w:val="nil"/>
            </w:tcBorders>
            <w:vAlign w:val="center"/>
          </w:tcPr>
          <w:p w14:paraId="626AE797" w14:textId="77777777" w:rsidR="00A53F02" w:rsidRPr="00350596" w:rsidRDefault="00A53F02" w:rsidP="007959EA">
            <w:pPr>
              <w:pStyle w:val="COMTabletext"/>
              <w:jc w:val="center"/>
              <w:rPr>
                <w:rFonts w:cs="Calibri"/>
                <w:szCs w:val="20"/>
              </w:rPr>
            </w:pPr>
          </w:p>
        </w:tc>
        <w:tc>
          <w:tcPr>
            <w:tcW w:w="1177" w:type="dxa"/>
            <w:tcBorders>
              <w:top w:val="nil"/>
              <w:left w:val="nil"/>
              <w:bottom w:val="nil"/>
              <w:right w:val="nil"/>
            </w:tcBorders>
            <w:vAlign w:val="center"/>
          </w:tcPr>
          <w:p w14:paraId="3A436565" w14:textId="77777777" w:rsidR="00A53F02" w:rsidRPr="00350596" w:rsidRDefault="00A53F02" w:rsidP="007959EA">
            <w:pPr>
              <w:pStyle w:val="COMTabletext"/>
              <w:jc w:val="center"/>
              <w:rPr>
                <w:rFonts w:cs="Calibri"/>
                <w:szCs w:val="20"/>
              </w:rPr>
            </w:pPr>
          </w:p>
        </w:tc>
        <w:tc>
          <w:tcPr>
            <w:tcW w:w="1129" w:type="dxa"/>
            <w:tcBorders>
              <w:top w:val="nil"/>
              <w:left w:val="nil"/>
              <w:bottom w:val="nil"/>
              <w:right w:val="nil"/>
            </w:tcBorders>
            <w:vAlign w:val="center"/>
          </w:tcPr>
          <w:p w14:paraId="4695AFDA" w14:textId="77777777" w:rsidR="00A53F02" w:rsidRPr="00350596" w:rsidRDefault="00A53F02" w:rsidP="007959EA">
            <w:pPr>
              <w:pStyle w:val="COMTabletext"/>
              <w:jc w:val="center"/>
              <w:rPr>
                <w:rFonts w:cs="Calibri"/>
                <w:szCs w:val="20"/>
              </w:rPr>
            </w:pPr>
          </w:p>
        </w:tc>
        <w:tc>
          <w:tcPr>
            <w:tcW w:w="1292" w:type="dxa"/>
            <w:tcBorders>
              <w:top w:val="nil"/>
              <w:left w:val="nil"/>
              <w:bottom w:val="nil"/>
              <w:right w:val="nil"/>
            </w:tcBorders>
            <w:vAlign w:val="center"/>
          </w:tcPr>
          <w:p w14:paraId="77882811" w14:textId="77777777" w:rsidR="00A53F02" w:rsidRPr="00350596" w:rsidRDefault="00A53F02" w:rsidP="007959EA">
            <w:pPr>
              <w:pStyle w:val="COMTabletext"/>
              <w:jc w:val="center"/>
              <w:rPr>
                <w:rFonts w:cs="Calibri"/>
                <w:szCs w:val="20"/>
              </w:rPr>
            </w:pPr>
          </w:p>
        </w:tc>
      </w:tr>
      <w:tr w:rsidR="00A53F02" w:rsidRPr="00350596" w14:paraId="5D1BFBB2" w14:textId="77777777" w:rsidTr="007959EA">
        <w:tc>
          <w:tcPr>
            <w:tcW w:w="1256" w:type="dxa"/>
            <w:vAlign w:val="center"/>
          </w:tcPr>
          <w:p w14:paraId="7401958A" w14:textId="77777777" w:rsidR="00A53F02" w:rsidRPr="00350596" w:rsidRDefault="00A53F02" w:rsidP="007959EA">
            <w:pPr>
              <w:pStyle w:val="COMTabletext"/>
              <w:jc w:val="center"/>
              <w:rPr>
                <w:rFonts w:cs="Calibri"/>
                <w:szCs w:val="20"/>
              </w:rPr>
            </w:pPr>
            <w:r w:rsidRPr="00350596">
              <w:rPr>
                <w:rFonts w:cs="Calibri"/>
                <w:szCs w:val="20"/>
              </w:rPr>
              <w:t xml:space="preserve">-0.25 </w:t>
            </w:r>
          </w:p>
          <w:p w14:paraId="7BD2C72A" w14:textId="77777777" w:rsidR="00A53F02" w:rsidRPr="00350596" w:rsidRDefault="00A53F02" w:rsidP="007959EA">
            <w:pPr>
              <w:pStyle w:val="COMTabletext"/>
              <w:jc w:val="center"/>
              <w:rPr>
                <w:rFonts w:cs="Calibri"/>
                <w:szCs w:val="20"/>
              </w:rPr>
            </w:pPr>
            <w:r w:rsidRPr="00350596">
              <w:rPr>
                <w:rFonts w:cs="Calibri"/>
                <w:szCs w:val="20"/>
              </w:rPr>
              <w:t>(-1.88, 1.45)</w:t>
            </w:r>
          </w:p>
        </w:tc>
        <w:tc>
          <w:tcPr>
            <w:tcW w:w="1465" w:type="dxa"/>
            <w:tcBorders>
              <w:top w:val="single" w:sz="4" w:space="0" w:color="auto"/>
              <w:right w:val="single" w:sz="4" w:space="0" w:color="auto"/>
            </w:tcBorders>
            <w:vAlign w:val="center"/>
          </w:tcPr>
          <w:p w14:paraId="602F9629" w14:textId="77777777" w:rsidR="00A53F02" w:rsidRPr="00350596" w:rsidRDefault="00A53F02" w:rsidP="007959EA">
            <w:pPr>
              <w:pStyle w:val="COMTabletext"/>
              <w:jc w:val="center"/>
              <w:rPr>
                <w:rFonts w:cs="Calibri"/>
                <w:b/>
                <w:bCs w:val="0"/>
                <w:szCs w:val="20"/>
              </w:rPr>
            </w:pPr>
            <w:r w:rsidRPr="00350596">
              <w:rPr>
                <w:rFonts w:cs="Calibri"/>
                <w:b/>
                <w:bCs w:val="0"/>
                <w:szCs w:val="20"/>
              </w:rPr>
              <w:t>Rozanolixizumab</w:t>
            </w:r>
          </w:p>
          <w:p w14:paraId="1CA07F22" w14:textId="77777777" w:rsidR="00A53F02" w:rsidRPr="00350596" w:rsidRDefault="00A53F02" w:rsidP="007959EA">
            <w:pPr>
              <w:pStyle w:val="COMTabletext"/>
              <w:jc w:val="center"/>
              <w:rPr>
                <w:rFonts w:cs="Calibri"/>
                <w:b/>
                <w:bCs w:val="0"/>
                <w:szCs w:val="20"/>
              </w:rPr>
            </w:pPr>
            <w:r w:rsidRPr="00350596">
              <w:rPr>
                <w:rFonts w:cs="Calibri"/>
                <w:b/>
                <w:bCs w:val="0"/>
                <w:szCs w:val="20"/>
              </w:rPr>
              <w:t>10 mg/kg</w:t>
            </w:r>
          </w:p>
        </w:tc>
        <w:tc>
          <w:tcPr>
            <w:tcW w:w="1465" w:type="dxa"/>
            <w:tcBorders>
              <w:top w:val="nil"/>
              <w:left w:val="single" w:sz="4" w:space="0" w:color="auto"/>
              <w:bottom w:val="single" w:sz="4" w:space="0" w:color="auto"/>
              <w:right w:val="nil"/>
            </w:tcBorders>
            <w:vAlign w:val="center"/>
          </w:tcPr>
          <w:p w14:paraId="543A05D4" w14:textId="77777777" w:rsidR="00A53F02" w:rsidRPr="00350596" w:rsidRDefault="00A53F02" w:rsidP="007959EA">
            <w:pPr>
              <w:pStyle w:val="COMTabletext"/>
              <w:jc w:val="center"/>
              <w:rPr>
                <w:rFonts w:cs="Calibri"/>
                <w:szCs w:val="20"/>
              </w:rPr>
            </w:pPr>
          </w:p>
        </w:tc>
        <w:tc>
          <w:tcPr>
            <w:tcW w:w="1232" w:type="dxa"/>
            <w:tcBorders>
              <w:top w:val="nil"/>
              <w:left w:val="nil"/>
              <w:bottom w:val="nil"/>
              <w:right w:val="nil"/>
            </w:tcBorders>
            <w:vAlign w:val="center"/>
          </w:tcPr>
          <w:p w14:paraId="50FE84FC" w14:textId="77777777" w:rsidR="00A53F02" w:rsidRPr="00350596" w:rsidRDefault="00A53F02" w:rsidP="007959EA">
            <w:pPr>
              <w:pStyle w:val="COMTabletext"/>
              <w:jc w:val="center"/>
              <w:rPr>
                <w:rFonts w:cs="Calibri"/>
                <w:szCs w:val="20"/>
              </w:rPr>
            </w:pPr>
          </w:p>
        </w:tc>
        <w:tc>
          <w:tcPr>
            <w:tcW w:w="1177" w:type="dxa"/>
            <w:tcBorders>
              <w:top w:val="nil"/>
              <w:left w:val="nil"/>
              <w:bottom w:val="nil"/>
              <w:right w:val="nil"/>
            </w:tcBorders>
            <w:vAlign w:val="center"/>
          </w:tcPr>
          <w:p w14:paraId="4F4091C3" w14:textId="77777777" w:rsidR="00A53F02" w:rsidRPr="00350596" w:rsidRDefault="00A53F02" w:rsidP="007959EA">
            <w:pPr>
              <w:pStyle w:val="COMTabletext"/>
              <w:jc w:val="center"/>
              <w:rPr>
                <w:rFonts w:cs="Calibri"/>
                <w:szCs w:val="20"/>
              </w:rPr>
            </w:pPr>
          </w:p>
        </w:tc>
        <w:tc>
          <w:tcPr>
            <w:tcW w:w="1129" w:type="dxa"/>
            <w:tcBorders>
              <w:top w:val="nil"/>
              <w:left w:val="nil"/>
              <w:bottom w:val="nil"/>
              <w:right w:val="nil"/>
            </w:tcBorders>
            <w:vAlign w:val="center"/>
          </w:tcPr>
          <w:p w14:paraId="7B24B3FD" w14:textId="77777777" w:rsidR="00A53F02" w:rsidRPr="00350596" w:rsidRDefault="00A53F02" w:rsidP="007959EA">
            <w:pPr>
              <w:pStyle w:val="COMTabletext"/>
              <w:jc w:val="center"/>
              <w:rPr>
                <w:rFonts w:cs="Calibri"/>
                <w:szCs w:val="20"/>
              </w:rPr>
            </w:pPr>
          </w:p>
        </w:tc>
        <w:tc>
          <w:tcPr>
            <w:tcW w:w="1292" w:type="dxa"/>
            <w:tcBorders>
              <w:top w:val="nil"/>
              <w:left w:val="nil"/>
              <w:bottom w:val="nil"/>
              <w:right w:val="nil"/>
            </w:tcBorders>
            <w:vAlign w:val="center"/>
          </w:tcPr>
          <w:p w14:paraId="4A19DC0F" w14:textId="77777777" w:rsidR="00A53F02" w:rsidRPr="00350596" w:rsidRDefault="00A53F02" w:rsidP="007959EA">
            <w:pPr>
              <w:pStyle w:val="COMTabletext"/>
              <w:jc w:val="center"/>
              <w:rPr>
                <w:rFonts w:cs="Calibri"/>
                <w:szCs w:val="20"/>
              </w:rPr>
            </w:pPr>
          </w:p>
        </w:tc>
      </w:tr>
      <w:tr w:rsidR="00A53F02" w:rsidRPr="00350596" w14:paraId="166A3368" w14:textId="77777777" w:rsidTr="007959EA">
        <w:tc>
          <w:tcPr>
            <w:tcW w:w="1256" w:type="dxa"/>
            <w:vAlign w:val="center"/>
          </w:tcPr>
          <w:p w14:paraId="1593CA1C" w14:textId="77777777" w:rsidR="00A53F02" w:rsidRPr="00350596" w:rsidRDefault="00A53F02" w:rsidP="007959EA">
            <w:pPr>
              <w:pStyle w:val="COMTabletext"/>
              <w:jc w:val="center"/>
              <w:rPr>
                <w:rFonts w:cs="Calibri"/>
                <w:szCs w:val="20"/>
              </w:rPr>
            </w:pPr>
            <w:r w:rsidRPr="00350596">
              <w:rPr>
                <w:rFonts w:cs="Calibri"/>
                <w:szCs w:val="20"/>
              </w:rPr>
              <w:t>-0.27</w:t>
            </w:r>
          </w:p>
          <w:p w14:paraId="61BD63F8" w14:textId="77777777" w:rsidR="00A53F02" w:rsidRPr="00350596" w:rsidRDefault="00A53F02" w:rsidP="007959EA">
            <w:pPr>
              <w:pStyle w:val="COMTabletext"/>
              <w:jc w:val="center"/>
              <w:rPr>
                <w:rFonts w:cs="Calibri"/>
                <w:szCs w:val="20"/>
              </w:rPr>
            </w:pPr>
            <w:r w:rsidRPr="00350596">
              <w:rPr>
                <w:rFonts w:cs="Calibri"/>
                <w:szCs w:val="20"/>
              </w:rPr>
              <w:t>(-1.94, 1.44)</w:t>
            </w:r>
          </w:p>
        </w:tc>
        <w:tc>
          <w:tcPr>
            <w:tcW w:w="1465" w:type="dxa"/>
            <w:vAlign w:val="center"/>
          </w:tcPr>
          <w:p w14:paraId="39B10C18" w14:textId="77777777" w:rsidR="00A53F02" w:rsidRPr="00350596" w:rsidRDefault="00A53F02" w:rsidP="007959EA">
            <w:pPr>
              <w:pStyle w:val="COMTabletext"/>
              <w:jc w:val="center"/>
              <w:rPr>
                <w:rFonts w:cs="Calibri"/>
                <w:szCs w:val="20"/>
              </w:rPr>
            </w:pPr>
            <w:r w:rsidRPr="00350596">
              <w:rPr>
                <w:rFonts w:cs="Calibri"/>
                <w:szCs w:val="20"/>
              </w:rPr>
              <w:t>-0.02</w:t>
            </w:r>
          </w:p>
          <w:p w14:paraId="5829B6E1" w14:textId="77777777" w:rsidR="00A53F02" w:rsidRPr="00350596" w:rsidRDefault="00A53F02" w:rsidP="007959EA">
            <w:pPr>
              <w:pStyle w:val="COMTabletext"/>
              <w:jc w:val="center"/>
              <w:rPr>
                <w:rFonts w:cs="Calibri"/>
                <w:szCs w:val="20"/>
              </w:rPr>
            </w:pPr>
            <w:r w:rsidRPr="00350596">
              <w:rPr>
                <w:rFonts w:cs="Calibri"/>
                <w:szCs w:val="20"/>
              </w:rPr>
              <w:t>(-1.39, 1.31)</w:t>
            </w:r>
          </w:p>
        </w:tc>
        <w:tc>
          <w:tcPr>
            <w:tcW w:w="1465" w:type="dxa"/>
            <w:tcBorders>
              <w:top w:val="single" w:sz="4" w:space="0" w:color="auto"/>
              <w:right w:val="single" w:sz="4" w:space="0" w:color="auto"/>
            </w:tcBorders>
            <w:vAlign w:val="center"/>
          </w:tcPr>
          <w:p w14:paraId="5359BE7D" w14:textId="77777777" w:rsidR="00A53F02" w:rsidRPr="00350596" w:rsidRDefault="00A53F02" w:rsidP="007959EA">
            <w:pPr>
              <w:pStyle w:val="COMTabletext"/>
              <w:jc w:val="center"/>
              <w:rPr>
                <w:rFonts w:cs="Calibri"/>
                <w:b/>
              </w:rPr>
            </w:pPr>
            <w:r w:rsidRPr="00350596">
              <w:rPr>
                <w:rFonts w:cs="Calibri"/>
                <w:b/>
              </w:rPr>
              <w:t>Rozanolixizumab 7mg/kg</w:t>
            </w:r>
          </w:p>
        </w:tc>
        <w:tc>
          <w:tcPr>
            <w:tcW w:w="1232" w:type="dxa"/>
            <w:tcBorders>
              <w:top w:val="nil"/>
              <w:left w:val="single" w:sz="4" w:space="0" w:color="auto"/>
              <w:bottom w:val="single" w:sz="4" w:space="0" w:color="auto"/>
              <w:right w:val="nil"/>
            </w:tcBorders>
            <w:vAlign w:val="center"/>
          </w:tcPr>
          <w:p w14:paraId="34ED98B4" w14:textId="77777777" w:rsidR="00A53F02" w:rsidRPr="00350596" w:rsidRDefault="00A53F02" w:rsidP="007959EA">
            <w:pPr>
              <w:pStyle w:val="COMTabletext"/>
              <w:jc w:val="center"/>
              <w:rPr>
                <w:rFonts w:cs="Calibri"/>
                <w:szCs w:val="20"/>
              </w:rPr>
            </w:pPr>
          </w:p>
        </w:tc>
        <w:tc>
          <w:tcPr>
            <w:tcW w:w="1177" w:type="dxa"/>
            <w:tcBorders>
              <w:top w:val="nil"/>
              <w:left w:val="nil"/>
              <w:bottom w:val="nil"/>
              <w:right w:val="nil"/>
            </w:tcBorders>
            <w:vAlign w:val="center"/>
          </w:tcPr>
          <w:p w14:paraId="1A07FC52" w14:textId="77777777" w:rsidR="00A53F02" w:rsidRPr="00350596" w:rsidRDefault="00A53F02" w:rsidP="007959EA">
            <w:pPr>
              <w:pStyle w:val="COMTabletext"/>
              <w:jc w:val="center"/>
              <w:rPr>
                <w:rFonts w:cs="Calibri"/>
                <w:szCs w:val="20"/>
              </w:rPr>
            </w:pPr>
          </w:p>
        </w:tc>
        <w:tc>
          <w:tcPr>
            <w:tcW w:w="1129" w:type="dxa"/>
            <w:tcBorders>
              <w:top w:val="nil"/>
              <w:left w:val="nil"/>
              <w:bottom w:val="nil"/>
              <w:right w:val="nil"/>
            </w:tcBorders>
            <w:vAlign w:val="center"/>
          </w:tcPr>
          <w:p w14:paraId="3F67A1D7" w14:textId="77777777" w:rsidR="00A53F02" w:rsidRPr="00350596" w:rsidRDefault="00A53F02" w:rsidP="007959EA">
            <w:pPr>
              <w:pStyle w:val="COMTabletext"/>
              <w:jc w:val="center"/>
              <w:rPr>
                <w:rFonts w:cs="Calibri"/>
                <w:szCs w:val="20"/>
              </w:rPr>
            </w:pPr>
          </w:p>
        </w:tc>
        <w:tc>
          <w:tcPr>
            <w:tcW w:w="1292" w:type="dxa"/>
            <w:tcBorders>
              <w:top w:val="nil"/>
              <w:left w:val="nil"/>
              <w:bottom w:val="nil"/>
              <w:right w:val="nil"/>
            </w:tcBorders>
            <w:vAlign w:val="center"/>
          </w:tcPr>
          <w:p w14:paraId="05B89CF6" w14:textId="77777777" w:rsidR="00A53F02" w:rsidRPr="00350596" w:rsidRDefault="00A53F02" w:rsidP="007959EA">
            <w:pPr>
              <w:pStyle w:val="COMTabletext"/>
              <w:jc w:val="center"/>
              <w:rPr>
                <w:rFonts w:cs="Calibri"/>
                <w:szCs w:val="20"/>
              </w:rPr>
            </w:pPr>
          </w:p>
        </w:tc>
      </w:tr>
      <w:tr w:rsidR="00A53F02" w:rsidRPr="00350596" w14:paraId="2AA5C707" w14:textId="77777777" w:rsidTr="007959EA">
        <w:tc>
          <w:tcPr>
            <w:tcW w:w="1256" w:type="dxa"/>
            <w:vAlign w:val="center"/>
          </w:tcPr>
          <w:p w14:paraId="0342CC71" w14:textId="77777777" w:rsidR="00A53F02" w:rsidRPr="00350596" w:rsidRDefault="00A53F02" w:rsidP="007959EA">
            <w:pPr>
              <w:pStyle w:val="COMTabletext"/>
              <w:jc w:val="center"/>
              <w:rPr>
                <w:rFonts w:cs="Calibri"/>
                <w:szCs w:val="20"/>
              </w:rPr>
            </w:pPr>
            <w:r w:rsidRPr="00350596">
              <w:rPr>
                <w:rFonts w:cs="Calibri"/>
                <w:szCs w:val="20"/>
              </w:rPr>
              <w:t>-0.78</w:t>
            </w:r>
          </w:p>
          <w:p w14:paraId="34A9AC3F" w14:textId="77777777" w:rsidR="00A53F02" w:rsidRPr="00350596" w:rsidRDefault="00A53F02" w:rsidP="007959EA">
            <w:pPr>
              <w:pStyle w:val="COMTabletext"/>
              <w:jc w:val="center"/>
              <w:rPr>
                <w:rFonts w:cs="Calibri"/>
                <w:szCs w:val="20"/>
              </w:rPr>
            </w:pPr>
            <w:r w:rsidRPr="00350596">
              <w:rPr>
                <w:rFonts w:cs="Calibri"/>
                <w:szCs w:val="20"/>
              </w:rPr>
              <w:t>(-2.36, 0.84)</w:t>
            </w:r>
          </w:p>
        </w:tc>
        <w:tc>
          <w:tcPr>
            <w:tcW w:w="1465" w:type="dxa"/>
            <w:vAlign w:val="center"/>
          </w:tcPr>
          <w:p w14:paraId="6C41B245" w14:textId="77777777" w:rsidR="00A53F02" w:rsidRPr="00350596" w:rsidRDefault="00A53F02" w:rsidP="007959EA">
            <w:pPr>
              <w:pStyle w:val="COMTabletext"/>
              <w:jc w:val="center"/>
              <w:rPr>
                <w:rFonts w:cs="Calibri"/>
                <w:szCs w:val="20"/>
              </w:rPr>
            </w:pPr>
            <w:r w:rsidRPr="00350596">
              <w:rPr>
                <w:rFonts w:cs="Calibri"/>
                <w:szCs w:val="20"/>
              </w:rPr>
              <w:t xml:space="preserve">-0.54 </w:t>
            </w:r>
          </w:p>
          <w:p w14:paraId="2F60F98D" w14:textId="77777777" w:rsidR="00A53F02" w:rsidRPr="00350596" w:rsidRDefault="00A53F02" w:rsidP="007959EA">
            <w:pPr>
              <w:pStyle w:val="COMTabletext"/>
              <w:jc w:val="center"/>
              <w:rPr>
                <w:rFonts w:cs="Calibri"/>
                <w:szCs w:val="20"/>
              </w:rPr>
            </w:pPr>
            <w:r w:rsidRPr="00350596">
              <w:rPr>
                <w:rFonts w:cs="Calibri"/>
                <w:szCs w:val="20"/>
              </w:rPr>
              <w:t>(-2.39, 1.30)</w:t>
            </w:r>
          </w:p>
        </w:tc>
        <w:tc>
          <w:tcPr>
            <w:tcW w:w="1465" w:type="dxa"/>
            <w:tcBorders>
              <w:right w:val="single" w:sz="4" w:space="0" w:color="auto"/>
            </w:tcBorders>
            <w:vAlign w:val="center"/>
          </w:tcPr>
          <w:p w14:paraId="3652730F" w14:textId="77777777" w:rsidR="00A53F02" w:rsidRPr="00350596" w:rsidRDefault="00A53F02" w:rsidP="007959EA">
            <w:pPr>
              <w:pStyle w:val="COMTabletext"/>
              <w:jc w:val="center"/>
              <w:rPr>
                <w:rFonts w:cs="Calibri"/>
                <w:szCs w:val="20"/>
              </w:rPr>
            </w:pPr>
            <w:r w:rsidRPr="00350596">
              <w:rPr>
                <w:rFonts w:cs="Calibri"/>
                <w:szCs w:val="20"/>
              </w:rPr>
              <w:t xml:space="preserve">-0.50 </w:t>
            </w:r>
          </w:p>
          <w:p w14:paraId="1414E250" w14:textId="77777777" w:rsidR="00A53F02" w:rsidRPr="00350596" w:rsidRDefault="00A53F02" w:rsidP="007959EA">
            <w:pPr>
              <w:pStyle w:val="COMTabletext"/>
              <w:jc w:val="center"/>
              <w:rPr>
                <w:rFonts w:cs="Calibri"/>
                <w:szCs w:val="20"/>
              </w:rPr>
            </w:pPr>
            <w:r w:rsidRPr="00350596">
              <w:rPr>
                <w:rFonts w:cs="Calibri"/>
                <w:szCs w:val="20"/>
              </w:rPr>
              <w:t>(-2.35, 1.35)</w:t>
            </w:r>
          </w:p>
        </w:tc>
        <w:tc>
          <w:tcPr>
            <w:tcW w:w="1232" w:type="dxa"/>
            <w:tcBorders>
              <w:top w:val="single" w:sz="4" w:space="0" w:color="auto"/>
              <w:left w:val="single" w:sz="4" w:space="0" w:color="auto"/>
              <w:right w:val="single" w:sz="4" w:space="0" w:color="auto"/>
            </w:tcBorders>
            <w:vAlign w:val="center"/>
          </w:tcPr>
          <w:p w14:paraId="003AE511" w14:textId="77777777" w:rsidR="00A53F02" w:rsidRPr="00350596" w:rsidRDefault="00A53F02" w:rsidP="007959EA">
            <w:pPr>
              <w:pStyle w:val="COMTabletext"/>
              <w:jc w:val="center"/>
              <w:rPr>
                <w:rFonts w:cs="Calibri"/>
                <w:b/>
                <w:bCs w:val="0"/>
                <w:szCs w:val="20"/>
              </w:rPr>
            </w:pPr>
            <w:r w:rsidRPr="00350596">
              <w:rPr>
                <w:rFonts w:cs="Calibri"/>
                <w:b/>
                <w:bCs w:val="0"/>
                <w:szCs w:val="20"/>
              </w:rPr>
              <w:t>Zilucoplan</w:t>
            </w:r>
          </w:p>
        </w:tc>
        <w:tc>
          <w:tcPr>
            <w:tcW w:w="1177" w:type="dxa"/>
            <w:tcBorders>
              <w:top w:val="nil"/>
              <w:left w:val="single" w:sz="4" w:space="0" w:color="auto"/>
              <w:bottom w:val="single" w:sz="4" w:space="0" w:color="auto"/>
              <w:right w:val="nil"/>
            </w:tcBorders>
            <w:vAlign w:val="center"/>
          </w:tcPr>
          <w:p w14:paraId="6E727405" w14:textId="77777777" w:rsidR="00A53F02" w:rsidRPr="00350596" w:rsidRDefault="00A53F02" w:rsidP="007959EA">
            <w:pPr>
              <w:pStyle w:val="COMTabletext"/>
              <w:jc w:val="center"/>
              <w:rPr>
                <w:rFonts w:cs="Calibri"/>
                <w:szCs w:val="20"/>
              </w:rPr>
            </w:pPr>
          </w:p>
        </w:tc>
        <w:tc>
          <w:tcPr>
            <w:tcW w:w="1129" w:type="dxa"/>
            <w:tcBorders>
              <w:top w:val="nil"/>
              <w:left w:val="nil"/>
              <w:bottom w:val="nil"/>
              <w:right w:val="nil"/>
            </w:tcBorders>
            <w:vAlign w:val="center"/>
          </w:tcPr>
          <w:p w14:paraId="37D9E286" w14:textId="77777777" w:rsidR="00A53F02" w:rsidRPr="00350596" w:rsidRDefault="00A53F02" w:rsidP="007959EA">
            <w:pPr>
              <w:pStyle w:val="COMTabletext"/>
              <w:jc w:val="center"/>
              <w:rPr>
                <w:rFonts w:cs="Calibri"/>
                <w:szCs w:val="20"/>
              </w:rPr>
            </w:pPr>
          </w:p>
        </w:tc>
        <w:tc>
          <w:tcPr>
            <w:tcW w:w="1292" w:type="dxa"/>
            <w:tcBorders>
              <w:top w:val="nil"/>
              <w:left w:val="nil"/>
              <w:bottom w:val="nil"/>
              <w:right w:val="nil"/>
            </w:tcBorders>
            <w:vAlign w:val="center"/>
          </w:tcPr>
          <w:p w14:paraId="3CD3F689" w14:textId="77777777" w:rsidR="00A53F02" w:rsidRPr="00350596" w:rsidRDefault="00A53F02" w:rsidP="007959EA">
            <w:pPr>
              <w:pStyle w:val="COMTabletext"/>
              <w:jc w:val="center"/>
              <w:rPr>
                <w:rFonts w:cs="Calibri"/>
                <w:szCs w:val="20"/>
              </w:rPr>
            </w:pPr>
          </w:p>
        </w:tc>
      </w:tr>
      <w:tr w:rsidR="00A53F02" w:rsidRPr="00350596" w14:paraId="2FF1D851" w14:textId="77777777" w:rsidTr="007959EA">
        <w:tc>
          <w:tcPr>
            <w:tcW w:w="1256" w:type="dxa"/>
            <w:vAlign w:val="center"/>
          </w:tcPr>
          <w:p w14:paraId="34D1288B" w14:textId="77777777" w:rsidR="00A53F02" w:rsidRPr="00350596" w:rsidRDefault="00A53F02" w:rsidP="007959EA">
            <w:pPr>
              <w:pStyle w:val="COMTabletext"/>
              <w:jc w:val="center"/>
              <w:rPr>
                <w:rFonts w:cs="Calibri"/>
                <w:szCs w:val="20"/>
              </w:rPr>
            </w:pPr>
            <w:r w:rsidRPr="00350596">
              <w:rPr>
                <w:rFonts w:cs="Calibri"/>
                <w:szCs w:val="20"/>
              </w:rPr>
              <w:t>-1.17</w:t>
            </w:r>
          </w:p>
          <w:p w14:paraId="570D1D88" w14:textId="77777777" w:rsidR="00A53F02" w:rsidRPr="00350596" w:rsidRDefault="00A53F02" w:rsidP="007959EA">
            <w:pPr>
              <w:pStyle w:val="COMTabletext"/>
              <w:jc w:val="center"/>
              <w:rPr>
                <w:rFonts w:cs="Calibri"/>
                <w:szCs w:val="20"/>
              </w:rPr>
            </w:pPr>
            <w:r w:rsidRPr="00350596">
              <w:rPr>
                <w:rFonts w:cs="Calibri"/>
                <w:szCs w:val="20"/>
              </w:rPr>
              <w:t>(-2.60, 0.25)</w:t>
            </w:r>
          </w:p>
        </w:tc>
        <w:tc>
          <w:tcPr>
            <w:tcW w:w="1465" w:type="dxa"/>
            <w:vAlign w:val="center"/>
          </w:tcPr>
          <w:p w14:paraId="2D32DDB9" w14:textId="77777777" w:rsidR="00A53F02" w:rsidRPr="00350596" w:rsidRDefault="00A53F02" w:rsidP="007959EA">
            <w:pPr>
              <w:pStyle w:val="COMTabletext"/>
              <w:jc w:val="center"/>
              <w:rPr>
                <w:rFonts w:cs="Calibri"/>
                <w:szCs w:val="20"/>
              </w:rPr>
            </w:pPr>
            <w:r w:rsidRPr="00350596">
              <w:rPr>
                <w:rFonts w:cs="Calibri"/>
                <w:szCs w:val="20"/>
              </w:rPr>
              <w:t xml:space="preserve">-0.93 </w:t>
            </w:r>
          </w:p>
          <w:p w14:paraId="1370CA97" w14:textId="77777777" w:rsidR="00A53F02" w:rsidRPr="00350596" w:rsidRDefault="00A53F02" w:rsidP="007959EA">
            <w:pPr>
              <w:pStyle w:val="COMTabletext"/>
              <w:jc w:val="center"/>
              <w:rPr>
                <w:rFonts w:cs="Calibri"/>
                <w:szCs w:val="20"/>
              </w:rPr>
            </w:pPr>
            <w:r w:rsidRPr="00350596">
              <w:rPr>
                <w:rFonts w:cs="Calibri"/>
                <w:szCs w:val="20"/>
              </w:rPr>
              <w:t>(-2.63, 0.76)</w:t>
            </w:r>
          </w:p>
        </w:tc>
        <w:tc>
          <w:tcPr>
            <w:tcW w:w="1465" w:type="dxa"/>
            <w:tcBorders>
              <w:right w:val="single" w:sz="4" w:space="0" w:color="auto"/>
            </w:tcBorders>
            <w:vAlign w:val="center"/>
          </w:tcPr>
          <w:p w14:paraId="6918C829" w14:textId="77777777" w:rsidR="00A53F02" w:rsidRPr="00350596" w:rsidRDefault="00A53F02" w:rsidP="007959EA">
            <w:pPr>
              <w:pStyle w:val="COMTabletext"/>
              <w:jc w:val="center"/>
              <w:rPr>
                <w:rFonts w:cs="Calibri"/>
                <w:szCs w:val="20"/>
              </w:rPr>
            </w:pPr>
            <w:r w:rsidRPr="00350596">
              <w:rPr>
                <w:rFonts w:cs="Calibri"/>
                <w:szCs w:val="20"/>
              </w:rPr>
              <w:t>-0.91</w:t>
            </w:r>
          </w:p>
          <w:p w14:paraId="76C3CDC5" w14:textId="77777777" w:rsidR="00A53F02" w:rsidRPr="00350596" w:rsidRDefault="00A53F02" w:rsidP="007959EA">
            <w:pPr>
              <w:pStyle w:val="COMTabletext"/>
              <w:jc w:val="center"/>
              <w:rPr>
                <w:rFonts w:cs="Calibri"/>
                <w:szCs w:val="20"/>
              </w:rPr>
            </w:pPr>
            <w:r w:rsidRPr="00350596">
              <w:rPr>
                <w:rFonts w:cs="Calibri"/>
                <w:szCs w:val="20"/>
              </w:rPr>
              <w:t>(-2.60, 0.83)</w:t>
            </w:r>
          </w:p>
        </w:tc>
        <w:tc>
          <w:tcPr>
            <w:tcW w:w="1232" w:type="dxa"/>
            <w:tcBorders>
              <w:left w:val="single" w:sz="4" w:space="0" w:color="auto"/>
              <w:bottom w:val="single" w:sz="4" w:space="0" w:color="auto"/>
              <w:right w:val="single" w:sz="4" w:space="0" w:color="auto"/>
            </w:tcBorders>
            <w:vAlign w:val="center"/>
          </w:tcPr>
          <w:p w14:paraId="50B9E897" w14:textId="77777777" w:rsidR="00A53F02" w:rsidRPr="00350596" w:rsidRDefault="00A53F02" w:rsidP="007959EA">
            <w:pPr>
              <w:pStyle w:val="COMTabletext"/>
              <w:jc w:val="center"/>
              <w:rPr>
                <w:rFonts w:cs="Calibri"/>
                <w:szCs w:val="20"/>
              </w:rPr>
            </w:pPr>
            <w:r w:rsidRPr="00350596">
              <w:rPr>
                <w:rFonts w:cs="Calibri"/>
                <w:szCs w:val="20"/>
              </w:rPr>
              <w:t>-0.39</w:t>
            </w:r>
          </w:p>
          <w:p w14:paraId="071CC399" w14:textId="77777777" w:rsidR="00A53F02" w:rsidRPr="00350596" w:rsidRDefault="00A53F02" w:rsidP="007959EA">
            <w:pPr>
              <w:pStyle w:val="COMTabletext"/>
              <w:jc w:val="center"/>
              <w:rPr>
                <w:rFonts w:cs="Calibri"/>
                <w:b/>
                <w:bCs w:val="0"/>
                <w:szCs w:val="20"/>
              </w:rPr>
            </w:pPr>
            <w:r w:rsidRPr="00350596">
              <w:rPr>
                <w:rFonts w:cs="Calibri"/>
                <w:szCs w:val="20"/>
              </w:rPr>
              <w:t>(-2.02, 1.22)</w:t>
            </w:r>
          </w:p>
        </w:tc>
        <w:tc>
          <w:tcPr>
            <w:tcW w:w="1177" w:type="dxa"/>
            <w:tcBorders>
              <w:top w:val="single" w:sz="4" w:space="0" w:color="auto"/>
              <w:left w:val="single" w:sz="4" w:space="0" w:color="auto"/>
              <w:right w:val="single" w:sz="4" w:space="0" w:color="auto"/>
            </w:tcBorders>
            <w:vAlign w:val="center"/>
          </w:tcPr>
          <w:p w14:paraId="758876C8" w14:textId="77777777" w:rsidR="00A53F02" w:rsidRPr="00350596" w:rsidRDefault="00A53F02" w:rsidP="007959EA">
            <w:pPr>
              <w:pStyle w:val="COMTabletext"/>
              <w:jc w:val="center"/>
              <w:rPr>
                <w:rFonts w:cs="Calibri"/>
                <w:b/>
                <w:bCs w:val="0"/>
                <w:szCs w:val="20"/>
              </w:rPr>
            </w:pPr>
            <w:r w:rsidRPr="00350596">
              <w:rPr>
                <w:rFonts w:cs="Calibri"/>
                <w:b/>
                <w:bCs w:val="0"/>
                <w:szCs w:val="20"/>
              </w:rPr>
              <w:t>Ravulizumab</w:t>
            </w:r>
          </w:p>
        </w:tc>
        <w:tc>
          <w:tcPr>
            <w:tcW w:w="1129" w:type="dxa"/>
            <w:tcBorders>
              <w:top w:val="nil"/>
              <w:left w:val="single" w:sz="4" w:space="0" w:color="auto"/>
              <w:bottom w:val="single" w:sz="4" w:space="0" w:color="auto"/>
              <w:right w:val="nil"/>
            </w:tcBorders>
            <w:vAlign w:val="center"/>
          </w:tcPr>
          <w:p w14:paraId="0F41CB53" w14:textId="77777777" w:rsidR="00A53F02" w:rsidRPr="00350596" w:rsidRDefault="00A53F02" w:rsidP="007959EA">
            <w:pPr>
              <w:pStyle w:val="COMTabletext"/>
              <w:jc w:val="center"/>
              <w:rPr>
                <w:rFonts w:cs="Calibri"/>
                <w:b/>
                <w:bCs w:val="0"/>
                <w:szCs w:val="20"/>
              </w:rPr>
            </w:pPr>
          </w:p>
        </w:tc>
        <w:tc>
          <w:tcPr>
            <w:tcW w:w="1292" w:type="dxa"/>
            <w:tcBorders>
              <w:top w:val="nil"/>
              <w:left w:val="nil"/>
              <w:bottom w:val="nil"/>
              <w:right w:val="nil"/>
            </w:tcBorders>
            <w:vAlign w:val="center"/>
          </w:tcPr>
          <w:p w14:paraId="6A21DB95" w14:textId="77777777" w:rsidR="00A53F02" w:rsidRPr="00350596" w:rsidRDefault="00A53F02" w:rsidP="007959EA">
            <w:pPr>
              <w:pStyle w:val="COMTabletext"/>
              <w:jc w:val="center"/>
              <w:rPr>
                <w:rFonts w:cs="Calibri"/>
                <w:b/>
                <w:bCs w:val="0"/>
                <w:szCs w:val="20"/>
              </w:rPr>
            </w:pPr>
          </w:p>
        </w:tc>
      </w:tr>
      <w:tr w:rsidR="00A53F02" w:rsidRPr="00350596" w14:paraId="6DC74D14" w14:textId="77777777" w:rsidTr="007959EA">
        <w:tc>
          <w:tcPr>
            <w:tcW w:w="1256" w:type="dxa"/>
            <w:vAlign w:val="center"/>
          </w:tcPr>
          <w:p w14:paraId="6C04788F" w14:textId="77777777" w:rsidR="00A53F02" w:rsidRPr="00350596" w:rsidRDefault="00A53F02" w:rsidP="007959EA">
            <w:pPr>
              <w:pStyle w:val="COMTabletext"/>
              <w:jc w:val="center"/>
              <w:rPr>
                <w:rFonts w:cs="Calibri"/>
                <w:b/>
                <w:bCs w:val="0"/>
                <w:szCs w:val="20"/>
              </w:rPr>
            </w:pPr>
            <w:r w:rsidRPr="00350596">
              <w:rPr>
                <w:rFonts w:cs="Calibri"/>
                <w:b/>
                <w:bCs w:val="0"/>
                <w:szCs w:val="20"/>
              </w:rPr>
              <w:t>-1.83</w:t>
            </w:r>
          </w:p>
          <w:p w14:paraId="0291FDB0" w14:textId="77777777" w:rsidR="00A53F02" w:rsidRPr="00350596" w:rsidRDefault="00A53F02" w:rsidP="007959EA">
            <w:pPr>
              <w:pStyle w:val="COMTabletext"/>
              <w:jc w:val="center"/>
              <w:rPr>
                <w:rFonts w:cs="Calibri"/>
                <w:szCs w:val="20"/>
              </w:rPr>
            </w:pPr>
            <w:r w:rsidRPr="00350596">
              <w:rPr>
                <w:rFonts w:cs="Calibri"/>
                <w:b/>
                <w:bCs w:val="0"/>
                <w:szCs w:val="20"/>
              </w:rPr>
              <w:t>(-3.50, -0.13)</w:t>
            </w:r>
          </w:p>
        </w:tc>
        <w:tc>
          <w:tcPr>
            <w:tcW w:w="1465" w:type="dxa"/>
            <w:vAlign w:val="center"/>
          </w:tcPr>
          <w:p w14:paraId="35BE069B" w14:textId="77777777" w:rsidR="00A53F02" w:rsidRPr="00350596" w:rsidRDefault="00A53F02" w:rsidP="007959EA">
            <w:pPr>
              <w:pStyle w:val="COMTabletext"/>
              <w:jc w:val="center"/>
              <w:rPr>
                <w:rFonts w:cs="Calibri"/>
                <w:szCs w:val="20"/>
              </w:rPr>
            </w:pPr>
            <w:r w:rsidRPr="00350596">
              <w:rPr>
                <w:rFonts w:cs="Calibri"/>
                <w:szCs w:val="20"/>
              </w:rPr>
              <w:t>-1.58</w:t>
            </w:r>
          </w:p>
          <w:p w14:paraId="56102E98" w14:textId="77777777" w:rsidR="00A53F02" w:rsidRPr="00350596" w:rsidRDefault="00A53F02" w:rsidP="007959EA">
            <w:pPr>
              <w:pStyle w:val="COMTabletext"/>
              <w:jc w:val="center"/>
              <w:rPr>
                <w:rFonts w:cs="Calibri"/>
                <w:szCs w:val="20"/>
              </w:rPr>
            </w:pPr>
            <w:r w:rsidRPr="00350596">
              <w:rPr>
                <w:rFonts w:cs="Calibri"/>
                <w:szCs w:val="20"/>
              </w:rPr>
              <w:t>(-3.46, 0.34)</w:t>
            </w:r>
          </w:p>
        </w:tc>
        <w:tc>
          <w:tcPr>
            <w:tcW w:w="1465" w:type="dxa"/>
            <w:vAlign w:val="center"/>
          </w:tcPr>
          <w:p w14:paraId="45D8563C" w14:textId="77777777" w:rsidR="00A53F02" w:rsidRPr="00350596" w:rsidRDefault="00A53F02" w:rsidP="007959EA">
            <w:pPr>
              <w:pStyle w:val="COMTabletext"/>
              <w:jc w:val="center"/>
              <w:rPr>
                <w:rFonts w:cs="Calibri"/>
                <w:szCs w:val="20"/>
              </w:rPr>
            </w:pPr>
            <w:r w:rsidRPr="00350596">
              <w:rPr>
                <w:rFonts w:cs="Calibri"/>
                <w:szCs w:val="20"/>
              </w:rPr>
              <w:t>-1.55</w:t>
            </w:r>
          </w:p>
          <w:p w14:paraId="17710D8C" w14:textId="77777777" w:rsidR="00A53F02" w:rsidRPr="00350596" w:rsidRDefault="00A53F02" w:rsidP="007959EA">
            <w:pPr>
              <w:pStyle w:val="COMTabletext"/>
              <w:jc w:val="center"/>
              <w:rPr>
                <w:rFonts w:cs="Calibri"/>
                <w:szCs w:val="20"/>
              </w:rPr>
            </w:pPr>
            <w:r w:rsidRPr="00350596">
              <w:rPr>
                <w:rFonts w:cs="Calibri"/>
                <w:szCs w:val="20"/>
              </w:rPr>
              <w:t>(-3.46, 0.38)</w:t>
            </w:r>
          </w:p>
        </w:tc>
        <w:tc>
          <w:tcPr>
            <w:tcW w:w="1232" w:type="dxa"/>
            <w:tcBorders>
              <w:top w:val="single" w:sz="4" w:space="0" w:color="auto"/>
            </w:tcBorders>
            <w:vAlign w:val="center"/>
          </w:tcPr>
          <w:p w14:paraId="67216DDA" w14:textId="77777777" w:rsidR="00A53F02" w:rsidRPr="00350596" w:rsidRDefault="00A53F02" w:rsidP="007959EA">
            <w:pPr>
              <w:pStyle w:val="COMTabletext"/>
              <w:jc w:val="center"/>
              <w:rPr>
                <w:rFonts w:cs="Calibri"/>
                <w:szCs w:val="20"/>
              </w:rPr>
            </w:pPr>
            <w:r w:rsidRPr="00350596">
              <w:rPr>
                <w:rFonts w:cs="Calibri"/>
                <w:szCs w:val="20"/>
              </w:rPr>
              <w:t>-1.05</w:t>
            </w:r>
          </w:p>
          <w:p w14:paraId="088034AB" w14:textId="77777777" w:rsidR="00A53F02" w:rsidRPr="00350596" w:rsidRDefault="00A53F02" w:rsidP="007959EA">
            <w:pPr>
              <w:pStyle w:val="COMTabletext"/>
              <w:jc w:val="center"/>
              <w:rPr>
                <w:rFonts w:cs="Calibri"/>
                <w:b/>
                <w:bCs w:val="0"/>
                <w:szCs w:val="20"/>
              </w:rPr>
            </w:pPr>
            <w:r w:rsidRPr="00350596">
              <w:rPr>
                <w:rFonts w:cs="Calibri"/>
                <w:szCs w:val="20"/>
              </w:rPr>
              <w:t>(-2.92, 0.83)</w:t>
            </w:r>
          </w:p>
        </w:tc>
        <w:tc>
          <w:tcPr>
            <w:tcW w:w="1177" w:type="dxa"/>
            <w:vAlign w:val="center"/>
          </w:tcPr>
          <w:p w14:paraId="397129E3" w14:textId="77777777" w:rsidR="00A53F02" w:rsidRPr="00350596" w:rsidRDefault="00A53F02" w:rsidP="007959EA">
            <w:pPr>
              <w:pStyle w:val="COMTabletext"/>
              <w:jc w:val="center"/>
              <w:rPr>
                <w:rFonts w:cs="Calibri"/>
                <w:szCs w:val="20"/>
              </w:rPr>
            </w:pPr>
            <w:r w:rsidRPr="00350596">
              <w:rPr>
                <w:rFonts w:cs="Calibri"/>
                <w:szCs w:val="20"/>
              </w:rPr>
              <w:t>-0.65</w:t>
            </w:r>
          </w:p>
          <w:p w14:paraId="4560B1EC" w14:textId="77777777" w:rsidR="00A53F02" w:rsidRPr="00350596" w:rsidRDefault="00A53F02" w:rsidP="007959EA">
            <w:pPr>
              <w:pStyle w:val="COMTabletext"/>
              <w:jc w:val="center"/>
              <w:rPr>
                <w:rFonts w:cs="Calibri"/>
                <w:b/>
                <w:bCs w:val="0"/>
                <w:szCs w:val="20"/>
              </w:rPr>
            </w:pPr>
            <w:r w:rsidRPr="00350596">
              <w:rPr>
                <w:rFonts w:cs="Calibri"/>
                <w:szCs w:val="20"/>
              </w:rPr>
              <w:t xml:space="preserve">(-2.38, 1.04) </w:t>
            </w:r>
          </w:p>
        </w:tc>
        <w:tc>
          <w:tcPr>
            <w:tcW w:w="1129" w:type="dxa"/>
            <w:tcBorders>
              <w:top w:val="single" w:sz="4" w:space="0" w:color="auto"/>
              <w:right w:val="single" w:sz="4" w:space="0" w:color="auto"/>
            </w:tcBorders>
            <w:vAlign w:val="center"/>
          </w:tcPr>
          <w:p w14:paraId="29967703" w14:textId="77777777" w:rsidR="00A53F02" w:rsidRPr="00350596" w:rsidRDefault="00A53F02" w:rsidP="007959EA">
            <w:pPr>
              <w:pStyle w:val="COMTabletext"/>
              <w:jc w:val="center"/>
              <w:rPr>
                <w:rFonts w:cs="Calibri"/>
                <w:b/>
                <w:bCs w:val="0"/>
                <w:szCs w:val="20"/>
              </w:rPr>
            </w:pPr>
            <w:r w:rsidRPr="00350596">
              <w:rPr>
                <w:rFonts w:cs="Calibri"/>
                <w:b/>
                <w:bCs w:val="0"/>
                <w:szCs w:val="20"/>
              </w:rPr>
              <w:t>IVIg</w:t>
            </w:r>
          </w:p>
        </w:tc>
        <w:tc>
          <w:tcPr>
            <w:tcW w:w="1292" w:type="dxa"/>
            <w:tcBorders>
              <w:top w:val="nil"/>
              <w:left w:val="single" w:sz="4" w:space="0" w:color="auto"/>
              <w:bottom w:val="single" w:sz="4" w:space="0" w:color="auto"/>
              <w:right w:val="nil"/>
            </w:tcBorders>
            <w:vAlign w:val="center"/>
          </w:tcPr>
          <w:p w14:paraId="0C60847C" w14:textId="77777777" w:rsidR="00A53F02" w:rsidRPr="00350596" w:rsidRDefault="00A53F02" w:rsidP="007959EA">
            <w:pPr>
              <w:pStyle w:val="COMTabletext"/>
              <w:jc w:val="center"/>
              <w:rPr>
                <w:rFonts w:cs="Calibri"/>
                <w:b/>
                <w:bCs w:val="0"/>
                <w:szCs w:val="20"/>
              </w:rPr>
            </w:pPr>
          </w:p>
        </w:tc>
      </w:tr>
      <w:tr w:rsidR="00A53F02" w:rsidRPr="00350596" w14:paraId="7CE888EF" w14:textId="77777777" w:rsidTr="007959EA">
        <w:tc>
          <w:tcPr>
            <w:tcW w:w="1256" w:type="dxa"/>
            <w:vAlign w:val="center"/>
          </w:tcPr>
          <w:p w14:paraId="11E4F5C6" w14:textId="77777777" w:rsidR="00A53F02" w:rsidRPr="00350596" w:rsidRDefault="00A53F02" w:rsidP="007959EA">
            <w:pPr>
              <w:pStyle w:val="COMTabletext"/>
              <w:jc w:val="center"/>
              <w:rPr>
                <w:rFonts w:cs="Calibri"/>
                <w:b/>
                <w:bCs w:val="0"/>
                <w:szCs w:val="20"/>
              </w:rPr>
            </w:pPr>
            <w:r w:rsidRPr="00350596">
              <w:rPr>
                <w:rFonts w:cs="Calibri"/>
                <w:b/>
                <w:bCs w:val="0"/>
                <w:szCs w:val="20"/>
              </w:rPr>
              <w:t>-2.86</w:t>
            </w:r>
          </w:p>
          <w:p w14:paraId="17B56A00" w14:textId="77777777" w:rsidR="00A53F02" w:rsidRPr="00350596" w:rsidRDefault="00A53F02" w:rsidP="007959EA">
            <w:pPr>
              <w:pStyle w:val="COMTabletext"/>
              <w:jc w:val="center"/>
              <w:rPr>
                <w:rFonts w:cs="Calibri"/>
                <w:b/>
                <w:bCs w:val="0"/>
                <w:szCs w:val="20"/>
              </w:rPr>
            </w:pPr>
            <w:r w:rsidRPr="00350596">
              <w:rPr>
                <w:rFonts w:cs="Calibri"/>
                <w:b/>
                <w:bCs w:val="0"/>
                <w:szCs w:val="20"/>
              </w:rPr>
              <w:t>(-3.84, -1.87)</w:t>
            </w:r>
          </w:p>
        </w:tc>
        <w:tc>
          <w:tcPr>
            <w:tcW w:w="1465" w:type="dxa"/>
            <w:vAlign w:val="center"/>
          </w:tcPr>
          <w:p w14:paraId="25B036E7" w14:textId="77777777" w:rsidR="00A53F02" w:rsidRPr="00350596" w:rsidRDefault="00A53F02" w:rsidP="007959EA">
            <w:pPr>
              <w:pStyle w:val="COMTabletext"/>
              <w:jc w:val="center"/>
              <w:rPr>
                <w:rFonts w:cs="Calibri"/>
                <w:b/>
                <w:bCs w:val="0"/>
                <w:szCs w:val="20"/>
              </w:rPr>
            </w:pPr>
            <w:r w:rsidRPr="00350596">
              <w:rPr>
                <w:rFonts w:cs="Calibri"/>
                <w:b/>
                <w:bCs w:val="0"/>
                <w:szCs w:val="20"/>
              </w:rPr>
              <w:t xml:space="preserve">-2.62 </w:t>
            </w:r>
          </w:p>
          <w:p w14:paraId="7436F888" w14:textId="77777777" w:rsidR="00A53F02" w:rsidRPr="00350596" w:rsidRDefault="00A53F02" w:rsidP="007959EA">
            <w:pPr>
              <w:pStyle w:val="COMTabletext"/>
              <w:jc w:val="center"/>
              <w:rPr>
                <w:rFonts w:cs="Calibri"/>
                <w:b/>
                <w:bCs w:val="0"/>
                <w:szCs w:val="20"/>
              </w:rPr>
            </w:pPr>
            <w:r w:rsidRPr="00350596">
              <w:rPr>
                <w:rFonts w:cs="Calibri"/>
                <w:b/>
                <w:bCs w:val="0"/>
                <w:szCs w:val="20"/>
              </w:rPr>
              <w:t>(-3.97, -1.29)</w:t>
            </w:r>
          </w:p>
        </w:tc>
        <w:tc>
          <w:tcPr>
            <w:tcW w:w="1465" w:type="dxa"/>
            <w:vAlign w:val="center"/>
          </w:tcPr>
          <w:p w14:paraId="7BE97795" w14:textId="77777777" w:rsidR="00A53F02" w:rsidRPr="00350596" w:rsidRDefault="00A53F02" w:rsidP="007959EA">
            <w:pPr>
              <w:pStyle w:val="COMTabletext"/>
              <w:jc w:val="center"/>
              <w:rPr>
                <w:rFonts w:cs="Calibri"/>
                <w:b/>
                <w:bCs w:val="0"/>
                <w:szCs w:val="20"/>
              </w:rPr>
            </w:pPr>
            <w:r w:rsidRPr="00350596">
              <w:rPr>
                <w:rFonts w:cs="Calibri"/>
                <w:b/>
                <w:bCs w:val="0"/>
                <w:szCs w:val="20"/>
              </w:rPr>
              <w:t xml:space="preserve">-2.60 </w:t>
            </w:r>
          </w:p>
          <w:p w14:paraId="469D8AD6" w14:textId="77777777" w:rsidR="00A53F02" w:rsidRPr="00350596" w:rsidRDefault="00A53F02" w:rsidP="007959EA">
            <w:pPr>
              <w:pStyle w:val="COMTabletext"/>
              <w:jc w:val="center"/>
              <w:rPr>
                <w:rFonts w:cs="Calibri"/>
                <w:b/>
                <w:bCs w:val="0"/>
                <w:szCs w:val="20"/>
              </w:rPr>
            </w:pPr>
            <w:r w:rsidRPr="00350596">
              <w:rPr>
                <w:rFonts w:cs="Calibri"/>
                <w:b/>
                <w:bCs w:val="0"/>
                <w:szCs w:val="20"/>
              </w:rPr>
              <w:t>(-3.95, -1.22)</w:t>
            </w:r>
          </w:p>
        </w:tc>
        <w:tc>
          <w:tcPr>
            <w:tcW w:w="1232" w:type="dxa"/>
            <w:vAlign w:val="center"/>
          </w:tcPr>
          <w:p w14:paraId="24E40963" w14:textId="77777777" w:rsidR="00A53F02" w:rsidRPr="00350596" w:rsidRDefault="00A53F02" w:rsidP="007959EA">
            <w:pPr>
              <w:pStyle w:val="COMTabletext"/>
              <w:jc w:val="center"/>
              <w:rPr>
                <w:rFonts w:cs="Calibri"/>
                <w:b/>
                <w:bCs w:val="0"/>
                <w:szCs w:val="20"/>
              </w:rPr>
            </w:pPr>
            <w:r w:rsidRPr="00350596">
              <w:rPr>
                <w:rFonts w:cs="Calibri"/>
                <w:b/>
                <w:bCs w:val="0"/>
                <w:szCs w:val="20"/>
              </w:rPr>
              <w:t xml:space="preserve">-2.08 </w:t>
            </w:r>
          </w:p>
          <w:p w14:paraId="5B48E60B" w14:textId="77777777" w:rsidR="00A53F02" w:rsidRPr="00350596" w:rsidRDefault="00A53F02" w:rsidP="007959EA">
            <w:pPr>
              <w:pStyle w:val="COMTabletext"/>
              <w:jc w:val="center"/>
              <w:rPr>
                <w:rFonts w:cs="Calibri"/>
                <w:b/>
                <w:bCs w:val="0"/>
                <w:szCs w:val="20"/>
              </w:rPr>
            </w:pPr>
            <w:r w:rsidRPr="00350596">
              <w:rPr>
                <w:rFonts w:cs="Calibri"/>
                <w:b/>
                <w:bCs w:val="0"/>
                <w:szCs w:val="20"/>
              </w:rPr>
              <w:t>(-3.36, -0.83)</w:t>
            </w:r>
          </w:p>
        </w:tc>
        <w:tc>
          <w:tcPr>
            <w:tcW w:w="1177" w:type="dxa"/>
            <w:vAlign w:val="center"/>
          </w:tcPr>
          <w:p w14:paraId="16AE0DFD" w14:textId="77777777" w:rsidR="00A53F02" w:rsidRPr="00350596" w:rsidRDefault="00A53F02" w:rsidP="007959EA">
            <w:pPr>
              <w:pStyle w:val="COMTabletext"/>
              <w:jc w:val="center"/>
              <w:rPr>
                <w:rFonts w:cs="Calibri"/>
                <w:b/>
                <w:bCs w:val="0"/>
                <w:szCs w:val="20"/>
              </w:rPr>
            </w:pPr>
            <w:r w:rsidRPr="00350596">
              <w:rPr>
                <w:rFonts w:cs="Calibri"/>
                <w:b/>
                <w:bCs w:val="0"/>
                <w:szCs w:val="20"/>
              </w:rPr>
              <w:t xml:space="preserve">-1.69 </w:t>
            </w:r>
          </w:p>
          <w:p w14:paraId="2E5B5C28" w14:textId="77777777" w:rsidR="00A53F02" w:rsidRPr="00350596" w:rsidRDefault="00A53F02" w:rsidP="007959EA">
            <w:pPr>
              <w:pStyle w:val="COMTabletext"/>
              <w:jc w:val="center"/>
              <w:rPr>
                <w:rFonts w:cs="Calibri"/>
                <w:b/>
                <w:bCs w:val="0"/>
                <w:szCs w:val="20"/>
              </w:rPr>
            </w:pPr>
            <w:r w:rsidRPr="00350596">
              <w:rPr>
                <w:rFonts w:cs="Calibri"/>
                <w:b/>
                <w:bCs w:val="0"/>
                <w:szCs w:val="20"/>
              </w:rPr>
              <w:t>(-2.74, -0.64)</w:t>
            </w:r>
          </w:p>
        </w:tc>
        <w:tc>
          <w:tcPr>
            <w:tcW w:w="1129" w:type="dxa"/>
            <w:vAlign w:val="center"/>
          </w:tcPr>
          <w:p w14:paraId="01EB3BAF" w14:textId="77777777" w:rsidR="00A53F02" w:rsidRPr="00350596" w:rsidRDefault="00A53F02" w:rsidP="007959EA">
            <w:pPr>
              <w:pStyle w:val="COMTabletext"/>
              <w:jc w:val="center"/>
              <w:rPr>
                <w:rFonts w:cs="Calibri"/>
                <w:szCs w:val="20"/>
              </w:rPr>
            </w:pPr>
            <w:r w:rsidRPr="00350596">
              <w:rPr>
                <w:rFonts w:cs="Calibri"/>
                <w:szCs w:val="20"/>
              </w:rPr>
              <w:t xml:space="preserve">-1.04 </w:t>
            </w:r>
          </w:p>
          <w:p w14:paraId="385D5130" w14:textId="77777777" w:rsidR="00A53F02" w:rsidRPr="00350596" w:rsidRDefault="00A53F02" w:rsidP="007959EA">
            <w:pPr>
              <w:pStyle w:val="COMTabletext"/>
              <w:jc w:val="center"/>
              <w:rPr>
                <w:rFonts w:cs="Calibri"/>
                <w:szCs w:val="20"/>
              </w:rPr>
            </w:pPr>
            <w:r w:rsidRPr="00350596">
              <w:rPr>
                <w:rFonts w:cs="Calibri"/>
                <w:szCs w:val="20"/>
              </w:rPr>
              <w:t>(-2.41, 0.33)</w:t>
            </w:r>
          </w:p>
        </w:tc>
        <w:tc>
          <w:tcPr>
            <w:tcW w:w="1292" w:type="dxa"/>
            <w:tcBorders>
              <w:top w:val="single" w:sz="4" w:space="0" w:color="auto"/>
            </w:tcBorders>
            <w:vAlign w:val="center"/>
          </w:tcPr>
          <w:p w14:paraId="6F006326" w14:textId="77777777" w:rsidR="00A53F02" w:rsidRPr="00350596" w:rsidRDefault="00A53F02" w:rsidP="007959EA">
            <w:pPr>
              <w:pStyle w:val="COMTabletext"/>
              <w:jc w:val="center"/>
              <w:rPr>
                <w:rFonts w:cs="Calibri"/>
                <w:b/>
                <w:bCs w:val="0"/>
                <w:szCs w:val="20"/>
              </w:rPr>
            </w:pPr>
            <w:r w:rsidRPr="00350596">
              <w:rPr>
                <w:rFonts w:cs="Calibri"/>
                <w:b/>
                <w:bCs w:val="0"/>
                <w:szCs w:val="20"/>
              </w:rPr>
              <w:t>Placebo</w:t>
            </w:r>
          </w:p>
        </w:tc>
      </w:tr>
    </w:tbl>
    <w:p w14:paraId="7FDA3AD2" w14:textId="77777777" w:rsidR="00A53F02" w:rsidRPr="00350596" w:rsidRDefault="00A53F02" w:rsidP="00A53F02">
      <w:pPr>
        <w:pStyle w:val="COMTablefooter"/>
        <w:keepNext/>
      </w:pPr>
      <w:r w:rsidRPr="00350596">
        <w:t>Source: Figure 5.1, Attachment CLN 2.1 of the submission</w:t>
      </w:r>
    </w:p>
    <w:p w14:paraId="6E37D517" w14:textId="6DC869B6" w:rsidR="00457D85" w:rsidRPr="00350596" w:rsidRDefault="00457D85" w:rsidP="00A53F02">
      <w:pPr>
        <w:pStyle w:val="COMTablefooter"/>
        <w:keepNext/>
      </w:pPr>
      <w:r w:rsidRPr="00350596">
        <w:t>Abbreviation</w:t>
      </w:r>
      <w:r w:rsidR="002856B8" w:rsidRPr="00350596">
        <w:t>s</w:t>
      </w:r>
      <w:r w:rsidRPr="00350596">
        <w:t xml:space="preserve">: </w:t>
      </w:r>
      <w:r w:rsidR="002856B8" w:rsidRPr="00350596">
        <w:t xml:space="preserve">IVIg, intravenous immunoglobulin; </w:t>
      </w:r>
      <w:r w:rsidRPr="00350596">
        <w:t>MG-ADL, Myasthenia Gravis Activities of Daily Living</w:t>
      </w:r>
    </w:p>
    <w:p w14:paraId="421410CC" w14:textId="4D2B137A" w:rsidR="00CD4E44" w:rsidRPr="00350596" w:rsidRDefault="00CD4E44" w:rsidP="00A53F02">
      <w:pPr>
        <w:pStyle w:val="COMTablefooter"/>
        <w:keepNext/>
      </w:pPr>
      <w:r w:rsidRPr="00350596">
        <w:t>Note: MG-ADL scores range from 0 to 24 with lower scores indicating better functional outcomes</w:t>
      </w:r>
    </w:p>
    <w:p w14:paraId="720F902F" w14:textId="51541C7D" w:rsidR="00A53F02" w:rsidRPr="00350596" w:rsidRDefault="00A53F02" w:rsidP="00A53F02">
      <w:pPr>
        <w:pStyle w:val="COMTablefooter"/>
        <w:keepNext/>
      </w:pPr>
      <w:r w:rsidRPr="00350596">
        <w:t>Note: Results are presented as mean difference with 95% credible intervals</w:t>
      </w:r>
      <w:r w:rsidR="008E5406" w:rsidRPr="00350596">
        <w:t xml:space="preserve">. </w:t>
      </w:r>
      <w:r w:rsidR="00F00014" w:rsidRPr="00350596">
        <w:t xml:space="preserve">Mean differences less than zero favour the </w:t>
      </w:r>
      <w:r w:rsidR="008F25CF" w:rsidRPr="00350596">
        <w:t>column-defined intervention compared to the row-defined intervention.</w:t>
      </w:r>
    </w:p>
    <w:p w14:paraId="5A1B4BB1" w14:textId="77777777" w:rsidR="00A53F02" w:rsidRPr="00350596" w:rsidRDefault="00A53F02" w:rsidP="00A53F02">
      <w:pPr>
        <w:pStyle w:val="COMTablefooter"/>
        <w:keepNext/>
        <w:rPr>
          <w:b/>
          <w:bCs/>
        </w:rPr>
      </w:pPr>
      <w:r w:rsidRPr="00350596">
        <w:rPr>
          <w:b/>
          <w:bCs/>
        </w:rPr>
        <w:t>Bolded results are statistically significant</w:t>
      </w:r>
    </w:p>
    <w:p w14:paraId="3D279D88" w14:textId="044DE121" w:rsidR="00352147" w:rsidRPr="00350596" w:rsidRDefault="00A53F02" w:rsidP="007959EA">
      <w:pPr>
        <w:pStyle w:val="COMexecsummnumbered"/>
      </w:pPr>
      <w:r w:rsidRPr="00350596">
        <w:t>All treatments except for IVIg were associated with statistically significant reductions in MG ADL score compared to placebo. The results also indicated that efgartigimod was associated with a statistically significant improvement in MG-ADL compared to IVIg. There were no statistically significant differences between efgartigimod, rozanolixizumab, zilucoplan and ravulizumab; although the results numerically favoured efgartigimod, the differences were modest and may not be clinically important.</w:t>
      </w:r>
    </w:p>
    <w:p w14:paraId="20A43AA6" w14:textId="67518CE6" w:rsidR="00891472" w:rsidRPr="00350596" w:rsidRDefault="00891472" w:rsidP="00891472">
      <w:pPr>
        <w:pStyle w:val="COMexecsummnumbered"/>
      </w:pPr>
      <w:r w:rsidRPr="00350596">
        <w:t>Any comparisons with IVIg should be interpreted with caution given the estimates were imputed in the submission and may not reflect actual estimates from the Bril 2024 trial.</w:t>
      </w:r>
    </w:p>
    <w:p w14:paraId="17F4F83D" w14:textId="0476CC91" w:rsidR="00A53F02" w:rsidRPr="00350596" w:rsidRDefault="00A53F02" w:rsidP="00A53F02">
      <w:pPr>
        <w:pStyle w:val="COMexecsummnumbered"/>
      </w:pPr>
      <w:r w:rsidRPr="00350596">
        <w:lastRenderedPageBreak/>
        <w:t xml:space="preserve">The results of the fixed effects NMA for change in QMG (excluding the Wolfe 2002 study) are presented in </w:t>
      </w:r>
      <w:r w:rsidR="00165FA3" w:rsidRPr="00350596">
        <w:fldChar w:fldCharType="begin"/>
      </w:r>
      <w:r w:rsidR="00165FA3" w:rsidRPr="00350596">
        <w:instrText xml:space="preserve"> REF _Ref187601666 \h </w:instrText>
      </w:r>
      <w:r w:rsidR="00165FA3" w:rsidRPr="00350596">
        <w:fldChar w:fldCharType="separate"/>
      </w:r>
      <w:r w:rsidR="002B16A5" w:rsidRPr="00350596">
        <w:t xml:space="preserve">Figure </w:t>
      </w:r>
      <w:r w:rsidR="002B16A5">
        <w:rPr>
          <w:noProof/>
        </w:rPr>
        <w:t>4</w:t>
      </w:r>
      <w:r w:rsidR="00165FA3" w:rsidRPr="00350596">
        <w:fldChar w:fldCharType="end"/>
      </w:r>
      <w:r w:rsidRPr="00350596">
        <w:t>.</w:t>
      </w:r>
    </w:p>
    <w:p w14:paraId="029A7B94" w14:textId="13CC12A0" w:rsidR="00891472" w:rsidRPr="00350596" w:rsidRDefault="00165FA3" w:rsidP="00165FA3">
      <w:pPr>
        <w:pStyle w:val="Caption"/>
        <w:rPr>
          <w:lang w:val="en-AU"/>
        </w:rPr>
      </w:pPr>
      <w:bookmarkStart w:id="37" w:name="_Ref187601666"/>
      <w:r w:rsidRPr="00350596">
        <w:rPr>
          <w:lang w:val="en-AU"/>
        </w:rPr>
        <w:t xml:space="preserve">Figure </w:t>
      </w:r>
      <w:r w:rsidRPr="00350596">
        <w:rPr>
          <w:lang w:val="en-AU"/>
        </w:rPr>
        <w:fldChar w:fldCharType="begin"/>
      </w:r>
      <w:r w:rsidRPr="00350596">
        <w:rPr>
          <w:lang w:val="en-AU"/>
        </w:rPr>
        <w:instrText xml:space="preserve"> SEQ Figure \* ARABIC </w:instrText>
      </w:r>
      <w:r w:rsidRPr="00350596">
        <w:rPr>
          <w:lang w:val="en-AU"/>
        </w:rPr>
        <w:fldChar w:fldCharType="separate"/>
      </w:r>
      <w:r w:rsidR="002B16A5">
        <w:rPr>
          <w:noProof/>
          <w:lang w:val="en-AU"/>
        </w:rPr>
        <w:t>4</w:t>
      </w:r>
      <w:r w:rsidRPr="00350596">
        <w:rPr>
          <w:lang w:val="en-AU"/>
        </w:rPr>
        <w:fldChar w:fldCharType="end"/>
      </w:r>
      <w:bookmarkEnd w:id="37"/>
      <w:r w:rsidR="00891472" w:rsidRPr="00350596">
        <w:rPr>
          <w:lang w:val="en-AU"/>
        </w:rPr>
        <w:t>: Results of fixed effects NMA for change in QMG (excluding the Wolfe 2002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Figure 4: Results of fixed effects NMA for change in QMG (excluding the Wolfe 2002 study)"/>
      </w:tblPr>
      <w:tblGrid>
        <w:gridCol w:w="1256"/>
        <w:gridCol w:w="1466"/>
        <w:gridCol w:w="1466"/>
        <w:gridCol w:w="1233"/>
        <w:gridCol w:w="1178"/>
        <w:gridCol w:w="1130"/>
        <w:gridCol w:w="1293"/>
      </w:tblGrid>
      <w:tr w:rsidR="00891472" w:rsidRPr="00350596" w14:paraId="3968538F" w14:textId="77777777" w:rsidTr="007959EA">
        <w:trPr>
          <w:trHeight w:val="459"/>
        </w:trPr>
        <w:tc>
          <w:tcPr>
            <w:tcW w:w="1256" w:type="dxa"/>
            <w:tcBorders>
              <w:right w:val="single" w:sz="4" w:space="0" w:color="auto"/>
            </w:tcBorders>
            <w:vAlign w:val="center"/>
          </w:tcPr>
          <w:p w14:paraId="7B839C87" w14:textId="77777777" w:rsidR="00891472" w:rsidRPr="00350596" w:rsidRDefault="00891472" w:rsidP="00BF0719">
            <w:pPr>
              <w:pStyle w:val="COMTabletext"/>
              <w:jc w:val="center"/>
              <w:rPr>
                <w:rFonts w:cs="Calibri"/>
                <w:b/>
                <w:bCs w:val="0"/>
                <w:szCs w:val="20"/>
              </w:rPr>
            </w:pPr>
            <w:r w:rsidRPr="00350596">
              <w:rPr>
                <w:rFonts w:cs="Calibri"/>
                <w:b/>
                <w:bCs w:val="0"/>
                <w:szCs w:val="20"/>
              </w:rPr>
              <w:t>Efgartigimod</w:t>
            </w:r>
          </w:p>
        </w:tc>
        <w:tc>
          <w:tcPr>
            <w:tcW w:w="1465" w:type="dxa"/>
            <w:tcBorders>
              <w:top w:val="nil"/>
              <w:left w:val="single" w:sz="4" w:space="0" w:color="auto"/>
              <w:bottom w:val="single" w:sz="4" w:space="0" w:color="auto"/>
              <w:right w:val="nil"/>
            </w:tcBorders>
            <w:vAlign w:val="center"/>
          </w:tcPr>
          <w:p w14:paraId="0318D6FE" w14:textId="77777777" w:rsidR="00891472" w:rsidRPr="00350596" w:rsidRDefault="00891472" w:rsidP="00BF0719">
            <w:pPr>
              <w:pStyle w:val="COMTabletext"/>
              <w:jc w:val="center"/>
              <w:rPr>
                <w:rFonts w:cs="Calibri"/>
                <w:szCs w:val="20"/>
              </w:rPr>
            </w:pPr>
          </w:p>
        </w:tc>
        <w:tc>
          <w:tcPr>
            <w:tcW w:w="1465" w:type="dxa"/>
            <w:tcBorders>
              <w:top w:val="nil"/>
              <w:left w:val="nil"/>
              <w:bottom w:val="nil"/>
              <w:right w:val="nil"/>
            </w:tcBorders>
            <w:vAlign w:val="center"/>
          </w:tcPr>
          <w:p w14:paraId="6AFC80B3" w14:textId="77777777" w:rsidR="00891472" w:rsidRPr="00350596" w:rsidRDefault="00891472" w:rsidP="00BF0719">
            <w:pPr>
              <w:pStyle w:val="COMTabletext"/>
              <w:jc w:val="center"/>
              <w:rPr>
                <w:rFonts w:cs="Calibri"/>
                <w:szCs w:val="20"/>
              </w:rPr>
            </w:pPr>
          </w:p>
        </w:tc>
        <w:tc>
          <w:tcPr>
            <w:tcW w:w="1232" w:type="dxa"/>
            <w:tcBorders>
              <w:top w:val="nil"/>
              <w:left w:val="nil"/>
              <w:bottom w:val="nil"/>
              <w:right w:val="nil"/>
            </w:tcBorders>
            <w:vAlign w:val="center"/>
          </w:tcPr>
          <w:p w14:paraId="73E2363B" w14:textId="77777777" w:rsidR="00891472" w:rsidRPr="00350596" w:rsidRDefault="00891472" w:rsidP="00BF0719">
            <w:pPr>
              <w:pStyle w:val="COMTabletext"/>
              <w:jc w:val="center"/>
              <w:rPr>
                <w:rFonts w:cs="Calibri"/>
                <w:szCs w:val="20"/>
              </w:rPr>
            </w:pPr>
          </w:p>
        </w:tc>
        <w:tc>
          <w:tcPr>
            <w:tcW w:w="1177" w:type="dxa"/>
            <w:tcBorders>
              <w:top w:val="nil"/>
              <w:left w:val="nil"/>
              <w:bottom w:val="nil"/>
              <w:right w:val="nil"/>
            </w:tcBorders>
            <w:vAlign w:val="center"/>
          </w:tcPr>
          <w:p w14:paraId="4847793B" w14:textId="77777777" w:rsidR="00891472" w:rsidRPr="00350596" w:rsidRDefault="00891472" w:rsidP="00BF0719">
            <w:pPr>
              <w:pStyle w:val="COMTabletext"/>
              <w:jc w:val="center"/>
              <w:rPr>
                <w:rFonts w:cs="Calibri"/>
                <w:szCs w:val="20"/>
              </w:rPr>
            </w:pPr>
          </w:p>
        </w:tc>
        <w:tc>
          <w:tcPr>
            <w:tcW w:w="1129" w:type="dxa"/>
            <w:tcBorders>
              <w:top w:val="nil"/>
              <w:left w:val="nil"/>
              <w:bottom w:val="nil"/>
              <w:right w:val="nil"/>
            </w:tcBorders>
            <w:vAlign w:val="center"/>
          </w:tcPr>
          <w:p w14:paraId="7902B9C0" w14:textId="77777777" w:rsidR="00891472" w:rsidRPr="00350596" w:rsidRDefault="00891472" w:rsidP="00BF0719">
            <w:pPr>
              <w:pStyle w:val="COMTabletext"/>
              <w:jc w:val="center"/>
              <w:rPr>
                <w:rFonts w:cs="Calibri"/>
                <w:szCs w:val="20"/>
              </w:rPr>
            </w:pPr>
          </w:p>
        </w:tc>
        <w:tc>
          <w:tcPr>
            <w:tcW w:w="1292" w:type="dxa"/>
            <w:tcBorders>
              <w:top w:val="nil"/>
              <w:left w:val="nil"/>
              <w:bottom w:val="nil"/>
              <w:right w:val="nil"/>
            </w:tcBorders>
            <w:vAlign w:val="center"/>
          </w:tcPr>
          <w:p w14:paraId="789CFB79" w14:textId="77777777" w:rsidR="00891472" w:rsidRPr="00350596" w:rsidRDefault="00891472" w:rsidP="00BF0719">
            <w:pPr>
              <w:pStyle w:val="COMTabletext"/>
              <w:jc w:val="center"/>
              <w:rPr>
                <w:rFonts w:cs="Calibri"/>
                <w:szCs w:val="20"/>
              </w:rPr>
            </w:pPr>
          </w:p>
        </w:tc>
      </w:tr>
      <w:tr w:rsidR="00891472" w:rsidRPr="00350596" w14:paraId="0D34C62D" w14:textId="77777777" w:rsidTr="007959EA">
        <w:tc>
          <w:tcPr>
            <w:tcW w:w="1256" w:type="dxa"/>
            <w:vAlign w:val="center"/>
          </w:tcPr>
          <w:p w14:paraId="725A5F80" w14:textId="77777777" w:rsidR="00891472" w:rsidRPr="00350596" w:rsidRDefault="00891472" w:rsidP="00BF0719">
            <w:pPr>
              <w:pStyle w:val="COMTabletext"/>
              <w:jc w:val="center"/>
              <w:rPr>
                <w:rFonts w:cs="Calibri"/>
                <w:szCs w:val="20"/>
              </w:rPr>
            </w:pPr>
            <w:r w:rsidRPr="00350596">
              <w:rPr>
                <w:rFonts w:cs="Calibri"/>
                <w:szCs w:val="20"/>
              </w:rPr>
              <w:t>-0.48</w:t>
            </w:r>
          </w:p>
          <w:p w14:paraId="100EA771" w14:textId="77777777" w:rsidR="00891472" w:rsidRPr="00350596" w:rsidRDefault="00891472" w:rsidP="00BF0719">
            <w:pPr>
              <w:pStyle w:val="COMTabletext"/>
              <w:jc w:val="center"/>
              <w:rPr>
                <w:rFonts w:cs="Calibri"/>
                <w:szCs w:val="20"/>
              </w:rPr>
            </w:pPr>
            <w:r w:rsidRPr="00350596">
              <w:rPr>
                <w:rFonts w:cs="Calibri"/>
                <w:szCs w:val="20"/>
              </w:rPr>
              <w:t>(-2.90, 2.02)</w:t>
            </w:r>
          </w:p>
        </w:tc>
        <w:tc>
          <w:tcPr>
            <w:tcW w:w="1465" w:type="dxa"/>
            <w:tcBorders>
              <w:top w:val="single" w:sz="4" w:space="0" w:color="auto"/>
              <w:right w:val="single" w:sz="4" w:space="0" w:color="auto"/>
            </w:tcBorders>
            <w:vAlign w:val="center"/>
          </w:tcPr>
          <w:p w14:paraId="1D3A49EF" w14:textId="77777777" w:rsidR="00891472" w:rsidRPr="00350596" w:rsidRDefault="00891472" w:rsidP="00BF0719">
            <w:pPr>
              <w:pStyle w:val="COMTabletext"/>
              <w:jc w:val="center"/>
              <w:rPr>
                <w:rFonts w:cs="Calibri"/>
                <w:b/>
              </w:rPr>
            </w:pPr>
            <w:r w:rsidRPr="00350596">
              <w:rPr>
                <w:rFonts w:cs="Calibri"/>
                <w:b/>
              </w:rPr>
              <w:t>Rozanolixizumab</w:t>
            </w:r>
          </w:p>
          <w:p w14:paraId="60330BEC" w14:textId="77777777" w:rsidR="00891472" w:rsidRPr="00350596" w:rsidRDefault="00891472" w:rsidP="00BF0719">
            <w:pPr>
              <w:pStyle w:val="COMTabletext"/>
              <w:jc w:val="center"/>
              <w:rPr>
                <w:rFonts w:cs="Calibri"/>
                <w:b/>
                <w:bCs w:val="0"/>
                <w:szCs w:val="20"/>
              </w:rPr>
            </w:pPr>
            <w:r w:rsidRPr="00350596">
              <w:rPr>
                <w:rFonts w:cs="Calibri"/>
                <w:b/>
                <w:bCs w:val="0"/>
                <w:szCs w:val="20"/>
              </w:rPr>
              <w:t>10 mg/kg</w:t>
            </w:r>
          </w:p>
        </w:tc>
        <w:tc>
          <w:tcPr>
            <w:tcW w:w="1465" w:type="dxa"/>
            <w:tcBorders>
              <w:top w:val="nil"/>
              <w:left w:val="single" w:sz="4" w:space="0" w:color="auto"/>
              <w:bottom w:val="single" w:sz="4" w:space="0" w:color="auto"/>
              <w:right w:val="nil"/>
            </w:tcBorders>
            <w:vAlign w:val="center"/>
          </w:tcPr>
          <w:p w14:paraId="215D3C1F" w14:textId="77777777" w:rsidR="00891472" w:rsidRPr="00350596" w:rsidRDefault="00891472" w:rsidP="00BF0719">
            <w:pPr>
              <w:pStyle w:val="COMTabletext"/>
              <w:jc w:val="center"/>
              <w:rPr>
                <w:rFonts w:cs="Calibri"/>
                <w:szCs w:val="20"/>
              </w:rPr>
            </w:pPr>
          </w:p>
        </w:tc>
        <w:tc>
          <w:tcPr>
            <w:tcW w:w="1232" w:type="dxa"/>
            <w:tcBorders>
              <w:top w:val="nil"/>
              <w:left w:val="nil"/>
              <w:bottom w:val="nil"/>
              <w:right w:val="nil"/>
            </w:tcBorders>
            <w:vAlign w:val="center"/>
          </w:tcPr>
          <w:p w14:paraId="10D82D82" w14:textId="77777777" w:rsidR="00891472" w:rsidRPr="00350596" w:rsidRDefault="00891472" w:rsidP="00BF0719">
            <w:pPr>
              <w:pStyle w:val="COMTabletext"/>
              <w:jc w:val="center"/>
              <w:rPr>
                <w:rFonts w:cs="Calibri"/>
                <w:szCs w:val="20"/>
              </w:rPr>
            </w:pPr>
          </w:p>
        </w:tc>
        <w:tc>
          <w:tcPr>
            <w:tcW w:w="1177" w:type="dxa"/>
            <w:tcBorders>
              <w:top w:val="nil"/>
              <w:left w:val="nil"/>
              <w:bottom w:val="nil"/>
              <w:right w:val="nil"/>
            </w:tcBorders>
            <w:vAlign w:val="center"/>
          </w:tcPr>
          <w:p w14:paraId="50568933" w14:textId="77777777" w:rsidR="00891472" w:rsidRPr="00350596" w:rsidRDefault="00891472" w:rsidP="00BF0719">
            <w:pPr>
              <w:pStyle w:val="COMTabletext"/>
              <w:jc w:val="center"/>
              <w:rPr>
                <w:rFonts w:cs="Calibri"/>
                <w:szCs w:val="20"/>
              </w:rPr>
            </w:pPr>
          </w:p>
        </w:tc>
        <w:tc>
          <w:tcPr>
            <w:tcW w:w="1129" w:type="dxa"/>
            <w:tcBorders>
              <w:top w:val="nil"/>
              <w:left w:val="nil"/>
              <w:bottom w:val="nil"/>
              <w:right w:val="nil"/>
            </w:tcBorders>
            <w:vAlign w:val="center"/>
          </w:tcPr>
          <w:p w14:paraId="22DA537A" w14:textId="77777777" w:rsidR="00891472" w:rsidRPr="00350596" w:rsidRDefault="00891472" w:rsidP="00BF0719">
            <w:pPr>
              <w:pStyle w:val="COMTabletext"/>
              <w:jc w:val="center"/>
              <w:rPr>
                <w:rFonts w:cs="Calibri"/>
                <w:szCs w:val="20"/>
              </w:rPr>
            </w:pPr>
          </w:p>
        </w:tc>
        <w:tc>
          <w:tcPr>
            <w:tcW w:w="1292" w:type="dxa"/>
            <w:tcBorders>
              <w:top w:val="nil"/>
              <w:left w:val="nil"/>
              <w:bottom w:val="nil"/>
              <w:right w:val="nil"/>
            </w:tcBorders>
            <w:vAlign w:val="center"/>
          </w:tcPr>
          <w:p w14:paraId="2CC14304" w14:textId="77777777" w:rsidR="00891472" w:rsidRPr="00350596" w:rsidRDefault="00891472" w:rsidP="00BF0719">
            <w:pPr>
              <w:pStyle w:val="COMTabletext"/>
              <w:jc w:val="center"/>
              <w:rPr>
                <w:rFonts w:cs="Calibri"/>
                <w:szCs w:val="20"/>
              </w:rPr>
            </w:pPr>
          </w:p>
        </w:tc>
      </w:tr>
      <w:tr w:rsidR="00891472" w:rsidRPr="00350596" w14:paraId="30CF5556" w14:textId="77777777" w:rsidTr="007959EA">
        <w:tc>
          <w:tcPr>
            <w:tcW w:w="1256" w:type="dxa"/>
            <w:vAlign w:val="center"/>
          </w:tcPr>
          <w:p w14:paraId="3CA35808" w14:textId="77777777" w:rsidR="00891472" w:rsidRPr="00350596" w:rsidRDefault="00891472" w:rsidP="00BF0719">
            <w:pPr>
              <w:pStyle w:val="COMTabletext"/>
              <w:jc w:val="center"/>
              <w:rPr>
                <w:rFonts w:cs="Calibri"/>
                <w:szCs w:val="20"/>
              </w:rPr>
            </w:pPr>
            <w:r w:rsidRPr="00350596">
              <w:rPr>
                <w:rFonts w:cs="Calibri"/>
                <w:szCs w:val="20"/>
              </w:rPr>
              <w:t>-1.73</w:t>
            </w:r>
          </w:p>
          <w:p w14:paraId="617500C6" w14:textId="77777777" w:rsidR="00891472" w:rsidRPr="00350596" w:rsidRDefault="00891472" w:rsidP="00BF0719">
            <w:pPr>
              <w:pStyle w:val="COMTabletext"/>
              <w:jc w:val="center"/>
              <w:rPr>
                <w:rFonts w:cs="Calibri"/>
                <w:szCs w:val="20"/>
              </w:rPr>
            </w:pPr>
            <w:r w:rsidRPr="00350596">
              <w:rPr>
                <w:rFonts w:cs="Calibri"/>
                <w:szCs w:val="20"/>
              </w:rPr>
              <w:t>(-4.20, 0.77)</w:t>
            </w:r>
          </w:p>
        </w:tc>
        <w:tc>
          <w:tcPr>
            <w:tcW w:w="1465" w:type="dxa"/>
            <w:vAlign w:val="center"/>
          </w:tcPr>
          <w:p w14:paraId="60AB8BE9" w14:textId="77777777" w:rsidR="00891472" w:rsidRPr="00350596" w:rsidRDefault="00891472" w:rsidP="00BF0719">
            <w:pPr>
              <w:pStyle w:val="COMTabletext"/>
              <w:jc w:val="center"/>
              <w:rPr>
                <w:rFonts w:cs="Calibri"/>
                <w:szCs w:val="20"/>
              </w:rPr>
            </w:pPr>
            <w:r w:rsidRPr="00350596">
              <w:rPr>
                <w:rFonts w:cs="Calibri"/>
                <w:szCs w:val="20"/>
              </w:rPr>
              <w:t>-1.26</w:t>
            </w:r>
          </w:p>
          <w:p w14:paraId="30235DA3" w14:textId="77777777" w:rsidR="00891472" w:rsidRPr="00350596" w:rsidRDefault="00891472" w:rsidP="00BF0719">
            <w:pPr>
              <w:pStyle w:val="COMTabletext"/>
              <w:jc w:val="center"/>
              <w:rPr>
                <w:rFonts w:cs="Calibri"/>
                <w:szCs w:val="20"/>
              </w:rPr>
            </w:pPr>
            <w:r w:rsidRPr="00350596">
              <w:rPr>
                <w:rFonts w:cs="Calibri"/>
                <w:szCs w:val="20"/>
              </w:rPr>
              <w:t>(-3.18, 0.61)</w:t>
            </w:r>
          </w:p>
        </w:tc>
        <w:tc>
          <w:tcPr>
            <w:tcW w:w="1465" w:type="dxa"/>
            <w:tcBorders>
              <w:top w:val="single" w:sz="4" w:space="0" w:color="auto"/>
              <w:right w:val="single" w:sz="4" w:space="0" w:color="auto"/>
            </w:tcBorders>
            <w:vAlign w:val="center"/>
          </w:tcPr>
          <w:p w14:paraId="57CBF095" w14:textId="77777777" w:rsidR="00891472" w:rsidRPr="00350596" w:rsidRDefault="00891472" w:rsidP="00BF0719">
            <w:pPr>
              <w:pStyle w:val="COMTabletext"/>
              <w:jc w:val="center"/>
              <w:rPr>
                <w:rFonts w:cs="Calibri"/>
                <w:b/>
              </w:rPr>
            </w:pPr>
            <w:r w:rsidRPr="00350596">
              <w:rPr>
                <w:rFonts w:cs="Calibri"/>
                <w:b/>
              </w:rPr>
              <w:t>Rozanolixizumab 7mg/kg</w:t>
            </w:r>
          </w:p>
        </w:tc>
        <w:tc>
          <w:tcPr>
            <w:tcW w:w="1232" w:type="dxa"/>
            <w:tcBorders>
              <w:top w:val="nil"/>
              <w:left w:val="single" w:sz="4" w:space="0" w:color="auto"/>
              <w:bottom w:val="single" w:sz="4" w:space="0" w:color="auto"/>
              <w:right w:val="nil"/>
            </w:tcBorders>
            <w:vAlign w:val="center"/>
          </w:tcPr>
          <w:p w14:paraId="45D97113" w14:textId="77777777" w:rsidR="00891472" w:rsidRPr="00350596" w:rsidRDefault="00891472" w:rsidP="00BF0719">
            <w:pPr>
              <w:pStyle w:val="COMTabletext"/>
              <w:jc w:val="center"/>
              <w:rPr>
                <w:rFonts w:cs="Calibri"/>
                <w:szCs w:val="20"/>
              </w:rPr>
            </w:pPr>
          </w:p>
        </w:tc>
        <w:tc>
          <w:tcPr>
            <w:tcW w:w="1177" w:type="dxa"/>
            <w:tcBorders>
              <w:top w:val="nil"/>
              <w:left w:val="nil"/>
              <w:bottom w:val="nil"/>
              <w:right w:val="nil"/>
            </w:tcBorders>
            <w:vAlign w:val="center"/>
          </w:tcPr>
          <w:p w14:paraId="41D3C3CA" w14:textId="77777777" w:rsidR="00891472" w:rsidRPr="00350596" w:rsidRDefault="00891472" w:rsidP="00BF0719">
            <w:pPr>
              <w:pStyle w:val="COMTabletext"/>
              <w:jc w:val="center"/>
              <w:rPr>
                <w:rFonts w:cs="Calibri"/>
                <w:szCs w:val="20"/>
              </w:rPr>
            </w:pPr>
          </w:p>
        </w:tc>
        <w:tc>
          <w:tcPr>
            <w:tcW w:w="1129" w:type="dxa"/>
            <w:tcBorders>
              <w:top w:val="nil"/>
              <w:left w:val="nil"/>
              <w:bottom w:val="nil"/>
              <w:right w:val="nil"/>
            </w:tcBorders>
            <w:vAlign w:val="center"/>
          </w:tcPr>
          <w:p w14:paraId="740AE6B5" w14:textId="77777777" w:rsidR="00891472" w:rsidRPr="00350596" w:rsidRDefault="00891472" w:rsidP="00BF0719">
            <w:pPr>
              <w:pStyle w:val="COMTabletext"/>
              <w:jc w:val="center"/>
              <w:rPr>
                <w:rFonts w:cs="Calibri"/>
                <w:szCs w:val="20"/>
              </w:rPr>
            </w:pPr>
          </w:p>
        </w:tc>
        <w:tc>
          <w:tcPr>
            <w:tcW w:w="1292" w:type="dxa"/>
            <w:tcBorders>
              <w:top w:val="nil"/>
              <w:left w:val="nil"/>
              <w:bottom w:val="nil"/>
              <w:right w:val="nil"/>
            </w:tcBorders>
            <w:vAlign w:val="center"/>
          </w:tcPr>
          <w:p w14:paraId="6141B526" w14:textId="77777777" w:rsidR="00891472" w:rsidRPr="00350596" w:rsidRDefault="00891472" w:rsidP="00BF0719">
            <w:pPr>
              <w:pStyle w:val="COMTabletext"/>
              <w:jc w:val="center"/>
              <w:rPr>
                <w:rFonts w:cs="Calibri"/>
                <w:szCs w:val="20"/>
              </w:rPr>
            </w:pPr>
          </w:p>
        </w:tc>
      </w:tr>
      <w:tr w:rsidR="00891472" w:rsidRPr="00350596" w14:paraId="1876AF01" w14:textId="77777777" w:rsidTr="007959EA">
        <w:tc>
          <w:tcPr>
            <w:tcW w:w="1256" w:type="dxa"/>
            <w:vAlign w:val="center"/>
          </w:tcPr>
          <w:p w14:paraId="1D09989D" w14:textId="77777777" w:rsidR="00891472" w:rsidRPr="00350596" w:rsidRDefault="00891472" w:rsidP="00BF0719">
            <w:pPr>
              <w:pStyle w:val="COMTabletext"/>
              <w:jc w:val="center"/>
              <w:rPr>
                <w:rFonts w:cs="Calibri"/>
                <w:b/>
                <w:bCs w:val="0"/>
                <w:szCs w:val="20"/>
              </w:rPr>
            </w:pPr>
            <w:r w:rsidRPr="00350596">
              <w:rPr>
                <w:rFonts w:cs="Calibri"/>
                <w:b/>
                <w:bCs w:val="0"/>
                <w:szCs w:val="20"/>
              </w:rPr>
              <w:t>-2.29</w:t>
            </w:r>
          </w:p>
          <w:p w14:paraId="143086BF" w14:textId="77777777" w:rsidR="00891472" w:rsidRPr="00350596" w:rsidRDefault="00891472" w:rsidP="00BF0719">
            <w:pPr>
              <w:pStyle w:val="COMTabletext"/>
              <w:jc w:val="center"/>
              <w:rPr>
                <w:rFonts w:cs="Calibri"/>
                <w:b/>
                <w:bCs w:val="0"/>
                <w:szCs w:val="20"/>
              </w:rPr>
            </w:pPr>
            <w:r w:rsidRPr="00350596">
              <w:rPr>
                <w:rFonts w:cs="Calibri"/>
                <w:b/>
                <w:bCs w:val="0"/>
                <w:szCs w:val="20"/>
              </w:rPr>
              <w:t>(-4.50, -0.04)</w:t>
            </w:r>
          </w:p>
        </w:tc>
        <w:tc>
          <w:tcPr>
            <w:tcW w:w="1465" w:type="dxa"/>
            <w:vAlign w:val="center"/>
          </w:tcPr>
          <w:p w14:paraId="24ADFA58" w14:textId="77777777" w:rsidR="00891472" w:rsidRPr="00350596" w:rsidRDefault="00891472" w:rsidP="00BF0719">
            <w:pPr>
              <w:pStyle w:val="COMTabletext"/>
              <w:jc w:val="center"/>
              <w:rPr>
                <w:rFonts w:cs="Calibri"/>
                <w:szCs w:val="20"/>
              </w:rPr>
            </w:pPr>
            <w:r w:rsidRPr="00350596">
              <w:rPr>
                <w:rFonts w:cs="Calibri"/>
                <w:szCs w:val="20"/>
              </w:rPr>
              <w:t xml:space="preserve">-1.82 </w:t>
            </w:r>
          </w:p>
          <w:p w14:paraId="4169DB35" w14:textId="77777777" w:rsidR="00891472" w:rsidRPr="00350596" w:rsidRDefault="00891472" w:rsidP="00BF0719">
            <w:pPr>
              <w:pStyle w:val="COMTabletext"/>
              <w:jc w:val="center"/>
              <w:rPr>
                <w:rFonts w:cs="Calibri"/>
                <w:szCs w:val="20"/>
              </w:rPr>
            </w:pPr>
            <w:r w:rsidRPr="00350596">
              <w:rPr>
                <w:rFonts w:cs="Calibri"/>
                <w:szCs w:val="20"/>
              </w:rPr>
              <w:t>(-4.27, 0.61)</w:t>
            </w:r>
          </w:p>
        </w:tc>
        <w:tc>
          <w:tcPr>
            <w:tcW w:w="1465" w:type="dxa"/>
            <w:tcBorders>
              <w:right w:val="single" w:sz="4" w:space="0" w:color="auto"/>
            </w:tcBorders>
            <w:vAlign w:val="center"/>
          </w:tcPr>
          <w:p w14:paraId="150B66E9" w14:textId="77777777" w:rsidR="00891472" w:rsidRPr="00350596" w:rsidRDefault="00891472" w:rsidP="00BF0719">
            <w:pPr>
              <w:pStyle w:val="COMTabletext"/>
              <w:jc w:val="center"/>
              <w:rPr>
                <w:rFonts w:cs="Calibri"/>
                <w:szCs w:val="20"/>
              </w:rPr>
            </w:pPr>
            <w:r w:rsidRPr="00350596">
              <w:rPr>
                <w:rFonts w:cs="Calibri"/>
                <w:szCs w:val="20"/>
              </w:rPr>
              <w:t xml:space="preserve">-0.54 </w:t>
            </w:r>
          </w:p>
          <w:p w14:paraId="7177A646" w14:textId="77777777" w:rsidR="00891472" w:rsidRPr="00350596" w:rsidRDefault="00891472" w:rsidP="00BF0719">
            <w:pPr>
              <w:pStyle w:val="COMTabletext"/>
              <w:jc w:val="center"/>
              <w:rPr>
                <w:rFonts w:cs="Calibri"/>
                <w:szCs w:val="20"/>
              </w:rPr>
            </w:pPr>
            <w:r w:rsidRPr="00350596">
              <w:rPr>
                <w:rFonts w:cs="Calibri"/>
                <w:szCs w:val="20"/>
              </w:rPr>
              <w:t>(-3.01, 1.89)</w:t>
            </w:r>
          </w:p>
        </w:tc>
        <w:tc>
          <w:tcPr>
            <w:tcW w:w="1232" w:type="dxa"/>
            <w:tcBorders>
              <w:top w:val="single" w:sz="4" w:space="0" w:color="auto"/>
              <w:left w:val="single" w:sz="4" w:space="0" w:color="auto"/>
              <w:right w:val="single" w:sz="4" w:space="0" w:color="auto"/>
            </w:tcBorders>
            <w:vAlign w:val="center"/>
          </w:tcPr>
          <w:p w14:paraId="1632BD06" w14:textId="77777777" w:rsidR="00891472" w:rsidRPr="00350596" w:rsidRDefault="00891472" w:rsidP="00BF0719">
            <w:pPr>
              <w:pStyle w:val="COMTabletext"/>
              <w:jc w:val="center"/>
              <w:rPr>
                <w:rFonts w:cs="Calibri"/>
                <w:b/>
              </w:rPr>
            </w:pPr>
            <w:r w:rsidRPr="00350596">
              <w:rPr>
                <w:rFonts w:cs="Calibri"/>
                <w:b/>
              </w:rPr>
              <w:t>Zilucoplan</w:t>
            </w:r>
          </w:p>
        </w:tc>
        <w:tc>
          <w:tcPr>
            <w:tcW w:w="1177" w:type="dxa"/>
            <w:tcBorders>
              <w:top w:val="nil"/>
              <w:left w:val="single" w:sz="4" w:space="0" w:color="auto"/>
              <w:bottom w:val="single" w:sz="4" w:space="0" w:color="auto"/>
              <w:right w:val="nil"/>
            </w:tcBorders>
            <w:vAlign w:val="center"/>
          </w:tcPr>
          <w:p w14:paraId="338A50BE" w14:textId="77777777" w:rsidR="00891472" w:rsidRPr="00350596" w:rsidRDefault="00891472" w:rsidP="00BF0719">
            <w:pPr>
              <w:pStyle w:val="COMTabletext"/>
              <w:jc w:val="center"/>
              <w:rPr>
                <w:rFonts w:cs="Calibri"/>
                <w:szCs w:val="20"/>
              </w:rPr>
            </w:pPr>
          </w:p>
        </w:tc>
        <w:tc>
          <w:tcPr>
            <w:tcW w:w="1129" w:type="dxa"/>
            <w:tcBorders>
              <w:top w:val="nil"/>
              <w:left w:val="nil"/>
              <w:bottom w:val="nil"/>
              <w:right w:val="nil"/>
            </w:tcBorders>
            <w:vAlign w:val="center"/>
          </w:tcPr>
          <w:p w14:paraId="5C486063" w14:textId="77777777" w:rsidR="00891472" w:rsidRPr="00350596" w:rsidRDefault="00891472" w:rsidP="00BF0719">
            <w:pPr>
              <w:pStyle w:val="COMTabletext"/>
              <w:jc w:val="center"/>
              <w:rPr>
                <w:rFonts w:cs="Calibri"/>
                <w:szCs w:val="20"/>
              </w:rPr>
            </w:pPr>
          </w:p>
        </w:tc>
        <w:tc>
          <w:tcPr>
            <w:tcW w:w="1292" w:type="dxa"/>
            <w:tcBorders>
              <w:top w:val="nil"/>
              <w:left w:val="nil"/>
              <w:bottom w:val="nil"/>
              <w:right w:val="nil"/>
            </w:tcBorders>
            <w:vAlign w:val="center"/>
          </w:tcPr>
          <w:p w14:paraId="5FA6AE39" w14:textId="77777777" w:rsidR="00891472" w:rsidRPr="00350596" w:rsidRDefault="00891472" w:rsidP="00BF0719">
            <w:pPr>
              <w:pStyle w:val="COMTabletext"/>
              <w:jc w:val="center"/>
              <w:rPr>
                <w:rFonts w:cs="Calibri"/>
                <w:szCs w:val="20"/>
              </w:rPr>
            </w:pPr>
          </w:p>
        </w:tc>
      </w:tr>
      <w:tr w:rsidR="00891472" w:rsidRPr="00350596" w14:paraId="7BB02757" w14:textId="77777777" w:rsidTr="007959EA">
        <w:tc>
          <w:tcPr>
            <w:tcW w:w="1256" w:type="dxa"/>
            <w:vAlign w:val="center"/>
          </w:tcPr>
          <w:p w14:paraId="1C247B3A" w14:textId="77777777" w:rsidR="00891472" w:rsidRPr="00350596" w:rsidRDefault="00891472" w:rsidP="00BF0719">
            <w:pPr>
              <w:pStyle w:val="COMTabletext"/>
              <w:jc w:val="center"/>
              <w:rPr>
                <w:rFonts w:cs="Calibri"/>
                <w:b/>
                <w:bCs w:val="0"/>
                <w:szCs w:val="20"/>
              </w:rPr>
            </w:pPr>
            <w:r w:rsidRPr="00350596">
              <w:rPr>
                <w:rFonts w:cs="Calibri"/>
                <w:b/>
                <w:bCs w:val="0"/>
                <w:szCs w:val="20"/>
              </w:rPr>
              <w:t>-3.33</w:t>
            </w:r>
          </w:p>
          <w:p w14:paraId="3E982CF2" w14:textId="77777777" w:rsidR="00891472" w:rsidRPr="00350596" w:rsidRDefault="00891472" w:rsidP="00BF0719">
            <w:pPr>
              <w:pStyle w:val="COMTabletext"/>
              <w:jc w:val="center"/>
              <w:rPr>
                <w:rFonts w:cs="Calibri"/>
                <w:b/>
                <w:bCs w:val="0"/>
                <w:szCs w:val="20"/>
              </w:rPr>
            </w:pPr>
            <w:r w:rsidRPr="00350596">
              <w:rPr>
                <w:rFonts w:cs="Calibri"/>
                <w:b/>
                <w:bCs w:val="0"/>
                <w:szCs w:val="20"/>
              </w:rPr>
              <w:t>(-6.58, -0.05)</w:t>
            </w:r>
          </w:p>
        </w:tc>
        <w:tc>
          <w:tcPr>
            <w:tcW w:w="1465" w:type="dxa"/>
            <w:vAlign w:val="center"/>
          </w:tcPr>
          <w:p w14:paraId="6F0127B0" w14:textId="77777777" w:rsidR="00891472" w:rsidRPr="00350596" w:rsidRDefault="00891472" w:rsidP="00BF0719">
            <w:pPr>
              <w:pStyle w:val="COMTabletext"/>
              <w:jc w:val="center"/>
              <w:rPr>
                <w:rFonts w:cs="Calibri"/>
                <w:szCs w:val="20"/>
              </w:rPr>
            </w:pPr>
            <w:r w:rsidRPr="00350596">
              <w:rPr>
                <w:rFonts w:cs="Calibri"/>
                <w:szCs w:val="20"/>
              </w:rPr>
              <w:t xml:space="preserve">-2.86 </w:t>
            </w:r>
          </w:p>
          <w:p w14:paraId="1A5C7ABC" w14:textId="77777777" w:rsidR="00891472" w:rsidRPr="00350596" w:rsidRDefault="00891472" w:rsidP="00BF0719">
            <w:pPr>
              <w:pStyle w:val="COMTabletext"/>
              <w:jc w:val="center"/>
              <w:rPr>
                <w:rFonts w:cs="Calibri"/>
                <w:szCs w:val="20"/>
              </w:rPr>
            </w:pPr>
            <w:r w:rsidRPr="00350596">
              <w:rPr>
                <w:rFonts w:cs="Calibri"/>
                <w:szCs w:val="20"/>
              </w:rPr>
              <w:t>(-6.19, 0.55)</w:t>
            </w:r>
          </w:p>
        </w:tc>
        <w:tc>
          <w:tcPr>
            <w:tcW w:w="1465" w:type="dxa"/>
            <w:tcBorders>
              <w:right w:val="single" w:sz="4" w:space="0" w:color="auto"/>
            </w:tcBorders>
            <w:vAlign w:val="center"/>
          </w:tcPr>
          <w:p w14:paraId="68DD3212" w14:textId="77777777" w:rsidR="00891472" w:rsidRPr="00350596" w:rsidRDefault="00891472" w:rsidP="00BF0719">
            <w:pPr>
              <w:pStyle w:val="COMTabletext"/>
              <w:jc w:val="center"/>
              <w:rPr>
                <w:rFonts w:cs="Calibri"/>
                <w:szCs w:val="20"/>
              </w:rPr>
            </w:pPr>
            <w:r w:rsidRPr="00350596">
              <w:rPr>
                <w:rFonts w:cs="Calibri"/>
                <w:szCs w:val="20"/>
              </w:rPr>
              <w:t>-1.61</w:t>
            </w:r>
          </w:p>
          <w:p w14:paraId="08D6CA17" w14:textId="77777777" w:rsidR="00891472" w:rsidRPr="00350596" w:rsidRDefault="00891472" w:rsidP="00BF0719">
            <w:pPr>
              <w:pStyle w:val="COMTabletext"/>
              <w:jc w:val="center"/>
              <w:rPr>
                <w:rFonts w:cs="Calibri"/>
                <w:szCs w:val="20"/>
              </w:rPr>
            </w:pPr>
            <w:r w:rsidRPr="00350596">
              <w:rPr>
                <w:rFonts w:cs="Calibri"/>
                <w:szCs w:val="20"/>
              </w:rPr>
              <w:t>(-5.03, 1.83)</w:t>
            </w:r>
          </w:p>
        </w:tc>
        <w:tc>
          <w:tcPr>
            <w:tcW w:w="1232" w:type="dxa"/>
            <w:tcBorders>
              <w:left w:val="single" w:sz="4" w:space="0" w:color="auto"/>
              <w:bottom w:val="single" w:sz="4" w:space="0" w:color="auto"/>
              <w:right w:val="single" w:sz="4" w:space="0" w:color="auto"/>
            </w:tcBorders>
            <w:vAlign w:val="center"/>
          </w:tcPr>
          <w:p w14:paraId="331376E6" w14:textId="77777777" w:rsidR="00891472" w:rsidRPr="00350596" w:rsidRDefault="00891472" w:rsidP="00BF0719">
            <w:pPr>
              <w:pStyle w:val="COMTabletext"/>
              <w:jc w:val="center"/>
              <w:rPr>
                <w:rFonts w:cs="Calibri"/>
                <w:szCs w:val="20"/>
              </w:rPr>
            </w:pPr>
            <w:r w:rsidRPr="00350596">
              <w:rPr>
                <w:rFonts w:cs="Calibri"/>
                <w:szCs w:val="20"/>
              </w:rPr>
              <w:t>-1.07</w:t>
            </w:r>
          </w:p>
          <w:p w14:paraId="0CC52548" w14:textId="77777777" w:rsidR="00891472" w:rsidRPr="00350596" w:rsidRDefault="00891472" w:rsidP="00BF0719">
            <w:pPr>
              <w:pStyle w:val="COMTabletext"/>
              <w:jc w:val="center"/>
              <w:rPr>
                <w:rFonts w:cs="Calibri"/>
                <w:b/>
                <w:bCs w:val="0"/>
                <w:szCs w:val="20"/>
              </w:rPr>
            </w:pPr>
            <w:r w:rsidRPr="00350596">
              <w:rPr>
                <w:rFonts w:cs="Calibri"/>
                <w:szCs w:val="20"/>
              </w:rPr>
              <w:t>(-4.31, 2.55)</w:t>
            </w:r>
          </w:p>
        </w:tc>
        <w:tc>
          <w:tcPr>
            <w:tcW w:w="1177" w:type="dxa"/>
            <w:tcBorders>
              <w:top w:val="single" w:sz="4" w:space="0" w:color="auto"/>
              <w:left w:val="single" w:sz="4" w:space="0" w:color="auto"/>
              <w:right w:val="single" w:sz="4" w:space="0" w:color="auto"/>
            </w:tcBorders>
            <w:vAlign w:val="center"/>
          </w:tcPr>
          <w:p w14:paraId="0233F8D4" w14:textId="77777777" w:rsidR="00891472" w:rsidRPr="00350596" w:rsidRDefault="00891472" w:rsidP="00BF0719">
            <w:pPr>
              <w:pStyle w:val="COMTabletext"/>
              <w:jc w:val="center"/>
              <w:rPr>
                <w:rFonts w:cs="Calibri"/>
                <w:b/>
                <w:bCs w:val="0"/>
                <w:szCs w:val="20"/>
              </w:rPr>
            </w:pPr>
            <w:r w:rsidRPr="00350596">
              <w:rPr>
                <w:rFonts w:cs="Calibri"/>
                <w:b/>
                <w:bCs w:val="0"/>
                <w:szCs w:val="20"/>
              </w:rPr>
              <w:t>IVIg</w:t>
            </w:r>
          </w:p>
        </w:tc>
        <w:tc>
          <w:tcPr>
            <w:tcW w:w="1129" w:type="dxa"/>
            <w:tcBorders>
              <w:top w:val="nil"/>
              <w:left w:val="single" w:sz="4" w:space="0" w:color="auto"/>
              <w:bottom w:val="single" w:sz="4" w:space="0" w:color="auto"/>
              <w:right w:val="nil"/>
            </w:tcBorders>
            <w:vAlign w:val="center"/>
          </w:tcPr>
          <w:p w14:paraId="1EDD7CF0" w14:textId="77777777" w:rsidR="00891472" w:rsidRPr="00350596" w:rsidRDefault="00891472" w:rsidP="00BF0719">
            <w:pPr>
              <w:pStyle w:val="COMTabletext"/>
              <w:jc w:val="center"/>
              <w:rPr>
                <w:rFonts w:cs="Calibri"/>
                <w:b/>
                <w:bCs w:val="0"/>
                <w:szCs w:val="20"/>
              </w:rPr>
            </w:pPr>
          </w:p>
        </w:tc>
        <w:tc>
          <w:tcPr>
            <w:tcW w:w="1292" w:type="dxa"/>
            <w:tcBorders>
              <w:top w:val="nil"/>
              <w:left w:val="nil"/>
              <w:bottom w:val="nil"/>
              <w:right w:val="nil"/>
            </w:tcBorders>
            <w:vAlign w:val="center"/>
          </w:tcPr>
          <w:p w14:paraId="320EC534" w14:textId="77777777" w:rsidR="00891472" w:rsidRPr="00350596" w:rsidRDefault="00891472" w:rsidP="00BF0719">
            <w:pPr>
              <w:pStyle w:val="COMTabletext"/>
              <w:jc w:val="center"/>
              <w:rPr>
                <w:rFonts w:cs="Calibri"/>
                <w:b/>
                <w:bCs w:val="0"/>
                <w:szCs w:val="20"/>
              </w:rPr>
            </w:pPr>
          </w:p>
        </w:tc>
      </w:tr>
      <w:tr w:rsidR="00891472" w:rsidRPr="00350596" w14:paraId="53C15155" w14:textId="77777777" w:rsidTr="007959EA">
        <w:tc>
          <w:tcPr>
            <w:tcW w:w="1256" w:type="dxa"/>
            <w:vAlign w:val="center"/>
          </w:tcPr>
          <w:p w14:paraId="2FE23170" w14:textId="77777777" w:rsidR="00891472" w:rsidRPr="00350596" w:rsidRDefault="00891472" w:rsidP="00BF0719">
            <w:pPr>
              <w:pStyle w:val="COMTabletext"/>
              <w:jc w:val="center"/>
              <w:rPr>
                <w:rFonts w:cs="Calibri"/>
                <w:b/>
                <w:bCs w:val="0"/>
                <w:szCs w:val="20"/>
              </w:rPr>
            </w:pPr>
            <w:r w:rsidRPr="00350596">
              <w:rPr>
                <w:rFonts w:cs="Calibri"/>
                <w:b/>
                <w:bCs w:val="0"/>
                <w:szCs w:val="20"/>
              </w:rPr>
              <w:t>-3.22</w:t>
            </w:r>
          </w:p>
          <w:p w14:paraId="138F60D8" w14:textId="77777777" w:rsidR="00891472" w:rsidRPr="00350596" w:rsidRDefault="00891472" w:rsidP="00BF0719">
            <w:pPr>
              <w:pStyle w:val="COMTabletext"/>
              <w:jc w:val="center"/>
              <w:rPr>
                <w:rFonts w:cs="Calibri"/>
                <w:b/>
                <w:bCs w:val="0"/>
                <w:szCs w:val="20"/>
              </w:rPr>
            </w:pPr>
            <w:r w:rsidRPr="00350596">
              <w:rPr>
                <w:rFonts w:cs="Calibri"/>
                <w:b/>
                <w:bCs w:val="0"/>
                <w:szCs w:val="20"/>
              </w:rPr>
              <w:t>(-5.24, -1.23)</w:t>
            </w:r>
          </w:p>
        </w:tc>
        <w:tc>
          <w:tcPr>
            <w:tcW w:w="1465" w:type="dxa"/>
            <w:vAlign w:val="center"/>
          </w:tcPr>
          <w:p w14:paraId="7E82F90F" w14:textId="77777777" w:rsidR="00891472" w:rsidRPr="00350596" w:rsidRDefault="00891472" w:rsidP="00BF0719">
            <w:pPr>
              <w:pStyle w:val="COMTabletext"/>
              <w:jc w:val="center"/>
              <w:rPr>
                <w:rFonts w:cs="Calibri"/>
                <w:b/>
                <w:bCs w:val="0"/>
                <w:szCs w:val="20"/>
              </w:rPr>
            </w:pPr>
            <w:r w:rsidRPr="00350596">
              <w:rPr>
                <w:rFonts w:cs="Calibri"/>
                <w:b/>
                <w:bCs w:val="0"/>
                <w:szCs w:val="20"/>
              </w:rPr>
              <w:t>-2.76</w:t>
            </w:r>
          </w:p>
          <w:p w14:paraId="0199B64E" w14:textId="77777777" w:rsidR="00891472" w:rsidRPr="00350596" w:rsidRDefault="00891472" w:rsidP="00BF0719">
            <w:pPr>
              <w:pStyle w:val="COMTabletext"/>
              <w:jc w:val="center"/>
              <w:rPr>
                <w:rFonts w:cs="Calibri"/>
                <w:szCs w:val="20"/>
              </w:rPr>
            </w:pPr>
            <w:r w:rsidRPr="00350596">
              <w:rPr>
                <w:rFonts w:cs="Calibri"/>
                <w:b/>
                <w:bCs w:val="0"/>
                <w:szCs w:val="20"/>
              </w:rPr>
              <w:t>(-5.02, -0.51)</w:t>
            </w:r>
          </w:p>
        </w:tc>
        <w:tc>
          <w:tcPr>
            <w:tcW w:w="1465" w:type="dxa"/>
            <w:vAlign w:val="center"/>
          </w:tcPr>
          <w:p w14:paraId="00F37993" w14:textId="77777777" w:rsidR="00891472" w:rsidRPr="00350596" w:rsidRDefault="00891472" w:rsidP="00BF0719">
            <w:pPr>
              <w:pStyle w:val="COMTabletext"/>
              <w:jc w:val="center"/>
              <w:rPr>
                <w:rFonts w:cs="Calibri"/>
                <w:szCs w:val="20"/>
              </w:rPr>
            </w:pPr>
            <w:r w:rsidRPr="00350596">
              <w:rPr>
                <w:rFonts w:cs="Calibri"/>
                <w:szCs w:val="20"/>
              </w:rPr>
              <w:t>-1.51</w:t>
            </w:r>
          </w:p>
          <w:p w14:paraId="178BA877" w14:textId="77777777" w:rsidR="00891472" w:rsidRPr="00350596" w:rsidRDefault="00891472" w:rsidP="00BF0719">
            <w:pPr>
              <w:pStyle w:val="COMTabletext"/>
              <w:jc w:val="center"/>
              <w:rPr>
                <w:rFonts w:cs="Calibri"/>
                <w:szCs w:val="20"/>
              </w:rPr>
            </w:pPr>
            <w:r w:rsidRPr="00350596">
              <w:rPr>
                <w:rFonts w:cs="Calibri"/>
                <w:szCs w:val="20"/>
              </w:rPr>
              <w:t>(-3.75, 0.81)</w:t>
            </w:r>
          </w:p>
        </w:tc>
        <w:tc>
          <w:tcPr>
            <w:tcW w:w="1232" w:type="dxa"/>
            <w:tcBorders>
              <w:top w:val="single" w:sz="4" w:space="0" w:color="auto"/>
            </w:tcBorders>
            <w:vAlign w:val="center"/>
          </w:tcPr>
          <w:p w14:paraId="63CA94B6" w14:textId="77777777" w:rsidR="00891472" w:rsidRPr="00350596" w:rsidRDefault="00891472" w:rsidP="00BF0719">
            <w:pPr>
              <w:pStyle w:val="COMTabletext"/>
              <w:jc w:val="center"/>
              <w:rPr>
                <w:rFonts w:cs="Calibri"/>
                <w:szCs w:val="20"/>
              </w:rPr>
            </w:pPr>
            <w:r w:rsidRPr="00350596">
              <w:rPr>
                <w:rFonts w:cs="Calibri"/>
                <w:szCs w:val="20"/>
              </w:rPr>
              <w:t>-0.94</w:t>
            </w:r>
          </w:p>
          <w:p w14:paraId="6DB7F380" w14:textId="77777777" w:rsidR="00891472" w:rsidRPr="00350596" w:rsidRDefault="00891472" w:rsidP="00BF0719">
            <w:pPr>
              <w:pStyle w:val="COMTabletext"/>
              <w:jc w:val="center"/>
              <w:rPr>
                <w:rFonts w:cs="Calibri"/>
                <w:b/>
                <w:bCs w:val="0"/>
                <w:szCs w:val="20"/>
              </w:rPr>
            </w:pPr>
            <w:r w:rsidRPr="00350596">
              <w:rPr>
                <w:rFonts w:cs="Calibri"/>
                <w:szCs w:val="20"/>
              </w:rPr>
              <w:t>(-2.96, 1.05)</w:t>
            </w:r>
          </w:p>
        </w:tc>
        <w:tc>
          <w:tcPr>
            <w:tcW w:w="1177" w:type="dxa"/>
            <w:vAlign w:val="center"/>
          </w:tcPr>
          <w:p w14:paraId="450574E1" w14:textId="77777777" w:rsidR="00891472" w:rsidRPr="00350596" w:rsidRDefault="00891472" w:rsidP="00BF0719">
            <w:pPr>
              <w:pStyle w:val="COMTabletext"/>
              <w:jc w:val="center"/>
              <w:rPr>
                <w:rFonts w:cs="Calibri"/>
                <w:szCs w:val="20"/>
              </w:rPr>
            </w:pPr>
            <w:r w:rsidRPr="00350596">
              <w:rPr>
                <w:rFonts w:cs="Calibri"/>
                <w:szCs w:val="20"/>
              </w:rPr>
              <w:t>0.11</w:t>
            </w:r>
          </w:p>
          <w:p w14:paraId="7D61AD7B" w14:textId="77777777" w:rsidR="00891472" w:rsidRPr="00350596" w:rsidRDefault="00891472" w:rsidP="00BF0719">
            <w:pPr>
              <w:pStyle w:val="COMTabletext"/>
              <w:jc w:val="center"/>
              <w:rPr>
                <w:rFonts w:cs="Calibri"/>
                <w:b/>
                <w:bCs w:val="0"/>
                <w:szCs w:val="20"/>
              </w:rPr>
            </w:pPr>
            <w:r w:rsidRPr="00350596">
              <w:rPr>
                <w:rFonts w:cs="Calibri"/>
                <w:szCs w:val="20"/>
              </w:rPr>
              <w:t xml:space="preserve">(-3.01, 3.22) </w:t>
            </w:r>
          </w:p>
        </w:tc>
        <w:tc>
          <w:tcPr>
            <w:tcW w:w="1129" w:type="dxa"/>
            <w:tcBorders>
              <w:top w:val="single" w:sz="4" w:space="0" w:color="auto"/>
              <w:right w:val="single" w:sz="4" w:space="0" w:color="auto"/>
            </w:tcBorders>
            <w:vAlign w:val="center"/>
          </w:tcPr>
          <w:p w14:paraId="27494E68" w14:textId="77777777" w:rsidR="00891472" w:rsidRPr="00350596" w:rsidRDefault="00891472" w:rsidP="00BF0719">
            <w:pPr>
              <w:pStyle w:val="COMTabletext"/>
              <w:jc w:val="center"/>
              <w:rPr>
                <w:rFonts w:cs="Calibri"/>
                <w:b/>
                <w:bCs w:val="0"/>
                <w:szCs w:val="20"/>
              </w:rPr>
            </w:pPr>
            <w:r w:rsidRPr="00350596">
              <w:rPr>
                <w:rFonts w:cs="Calibri"/>
                <w:b/>
                <w:bCs w:val="0"/>
                <w:szCs w:val="20"/>
              </w:rPr>
              <w:t xml:space="preserve">Ravulizumab </w:t>
            </w:r>
          </w:p>
        </w:tc>
        <w:tc>
          <w:tcPr>
            <w:tcW w:w="1292" w:type="dxa"/>
            <w:tcBorders>
              <w:top w:val="nil"/>
              <w:left w:val="single" w:sz="4" w:space="0" w:color="auto"/>
              <w:bottom w:val="single" w:sz="4" w:space="0" w:color="auto"/>
              <w:right w:val="nil"/>
            </w:tcBorders>
            <w:vAlign w:val="center"/>
          </w:tcPr>
          <w:p w14:paraId="4251B609" w14:textId="77777777" w:rsidR="00891472" w:rsidRPr="00350596" w:rsidRDefault="00891472" w:rsidP="00BF0719">
            <w:pPr>
              <w:pStyle w:val="COMTabletext"/>
              <w:jc w:val="center"/>
              <w:rPr>
                <w:rFonts w:cs="Calibri"/>
                <w:b/>
                <w:bCs w:val="0"/>
                <w:szCs w:val="20"/>
              </w:rPr>
            </w:pPr>
          </w:p>
        </w:tc>
      </w:tr>
      <w:tr w:rsidR="00891472" w:rsidRPr="00350596" w14:paraId="02ED140C" w14:textId="77777777" w:rsidTr="007959EA">
        <w:tc>
          <w:tcPr>
            <w:tcW w:w="1256" w:type="dxa"/>
            <w:vAlign w:val="center"/>
          </w:tcPr>
          <w:p w14:paraId="3A5A1075" w14:textId="77777777" w:rsidR="00891472" w:rsidRPr="00350596" w:rsidRDefault="00891472" w:rsidP="00BF0719">
            <w:pPr>
              <w:pStyle w:val="COMTabletext"/>
              <w:jc w:val="center"/>
              <w:rPr>
                <w:rFonts w:cs="Calibri"/>
                <w:b/>
                <w:bCs w:val="0"/>
                <w:szCs w:val="20"/>
              </w:rPr>
            </w:pPr>
            <w:r w:rsidRPr="00350596">
              <w:rPr>
                <w:rFonts w:cs="Calibri"/>
                <w:b/>
                <w:bCs w:val="0"/>
                <w:szCs w:val="20"/>
              </w:rPr>
              <w:t>-5.22</w:t>
            </w:r>
          </w:p>
          <w:p w14:paraId="2C362588" w14:textId="77777777" w:rsidR="00891472" w:rsidRPr="00350596" w:rsidRDefault="00891472" w:rsidP="00BF0719">
            <w:pPr>
              <w:pStyle w:val="COMTabletext"/>
              <w:jc w:val="center"/>
              <w:rPr>
                <w:rFonts w:cs="Calibri"/>
                <w:b/>
                <w:bCs w:val="0"/>
                <w:szCs w:val="20"/>
              </w:rPr>
            </w:pPr>
            <w:r w:rsidRPr="00350596">
              <w:rPr>
                <w:rFonts w:cs="Calibri"/>
                <w:b/>
                <w:bCs w:val="0"/>
                <w:szCs w:val="20"/>
              </w:rPr>
              <w:t>(-6.80, -3.60)</w:t>
            </w:r>
          </w:p>
        </w:tc>
        <w:tc>
          <w:tcPr>
            <w:tcW w:w="1465" w:type="dxa"/>
            <w:vAlign w:val="center"/>
          </w:tcPr>
          <w:p w14:paraId="344AA1C2" w14:textId="77777777" w:rsidR="00891472" w:rsidRPr="00350596" w:rsidRDefault="00891472" w:rsidP="00BF0719">
            <w:pPr>
              <w:pStyle w:val="COMTabletext"/>
              <w:jc w:val="center"/>
              <w:rPr>
                <w:rFonts w:cs="Calibri"/>
                <w:b/>
                <w:bCs w:val="0"/>
                <w:szCs w:val="20"/>
              </w:rPr>
            </w:pPr>
            <w:r w:rsidRPr="00350596">
              <w:rPr>
                <w:rFonts w:cs="Calibri"/>
                <w:b/>
                <w:bCs w:val="0"/>
                <w:szCs w:val="20"/>
              </w:rPr>
              <w:t xml:space="preserve">-4.74 </w:t>
            </w:r>
          </w:p>
          <w:p w14:paraId="2E2C50AA" w14:textId="77777777" w:rsidR="00891472" w:rsidRPr="00350596" w:rsidRDefault="00891472" w:rsidP="00BF0719">
            <w:pPr>
              <w:pStyle w:val="COMTabletext"/>
              <w:jc w:val="center"/>
              <w:rPr>
                <w:rFonts w:cs="Calibri"/>
                <w:b/>
                <w:bCs w:val="0"/>
                <w:szCs w:val="20"/>
              </w:rPr>
            </w:pPr>
            <w:r w:rsidRPr="00350596">
              <w:rPr>
                <w:rFonts w:cs="Calibri"/>
                <w:b/>
                <w:bCs w:val="0"/>
                <w:szCs w:val="20"/>
              </w:rPr>
              <w:t>(-6.64, -2.89)</w:t>
            </w:r>
          </w:p>
        </w:tc>
        <w:tc>
          <w:tcPr>
            <w:tcW w:w="1465" w:type="dxa"/>
            <w:vAlign w:val="center"/>
          </w:tcPr>
          <w:p w14:paraId="751F64A5" w14:textId="77777777" w:rsidR="00891472" w:rsidRPr="00350596" w:rsidRDefault="00891472" w:rsidP="00BF0719">
            <w:pPr>
              <w:pStyle w:val="COMTabletext"/>
              <w:jc w:val="center"/>
              <w:rPr>
                <w:rFonts w:cs="Calibri"/>
                <w:b/>
                <w:bCs w:val="0"/>
                <w:szCs w:val="20"/>
              </w:rPr>
            </w:pPr>
            <w:r w:rsidRPr="00350596">
              <w:rPr>
                <w:rFonts w:cs="Calibri"/>
                <w:b/>
                <w:bCs w:val="0"/>
                <w:szCs w:val="20"/>
              </w:rPr>
              <w:t xml:space="preserve">-3.49 </w:t>
            </w:r>
          </w:p>
          <w:p w14:paraId="5064F471" w14:textId="77777777" w:rsidR="00891472" w:rsidRPr="00350596" w:rsidRDefault="00891472" w:rsidP="00BF0719">
            <w:pPr>
              <w:pStyle w:val="COMTabletext"/>
              <w:jc w:val="center"/>
              <w:rPr>
                <w:rFonts w:cs="Calibri"/>
                <w:b/>
                <w:bCs w:val="0"/>
                <w:szCs w:val="20"/>
              </w:rPr>
            </w:pPr>
            <w:r w:rsidRPr="00350596">
              <w:rPr>
                <w:rFonts w:cs="Calibri"/>
                <w:b/>
                <w:bCs w:val="0"/>
                <w:szCs w:val="20"/>
              </w:rPr>
              <w:t>(-5.37, -1.58)</w:t>
            </w:r>
          </w:p>
        </w:tc>
        <w:tc>
          <w:tcPr>
            <w:tcW w:w="1232" w:type="dxa"/>
            <w:vAlign w:val="center"/>
          </w:tcPr>
          <w:p w14:paraId="4C027F79" w14:textId="77777777" w:rsidR="00891472" w:rsidRPr="00350596" w:rsidRDefault="00891472" w:rsidP="00BF0719">
            <w:pPr>
              <w:pStyle w:val="COMTabletext"/>
              <w:jc w:val="center"/>
              <w:rPr>
                <w:rFonts w:cs="Calibri"/>
                <w:b/>
                <w:bCs w:val="0"/>
                <w:szCs w:val="20"/>
              </w:rPr>
            </w:pPr>
            <w:r w:rsidRPr="00350596">
              <w:rPr>
                <w:rFonts w:cs="Calibri"/>
                <w:b/>
                <w:bCs w:val="0"/>
                <w:szCs w:val="20"/>
              </w:rPr>
              <w:t xml:space="preserve">-2.93 </w:t>
            </w:r>
          </w:p>
          <w:p w14:paraId="16E1186E" w14:textId="77777777" w:rsidR="00891472" w:rsidRPr="00350596" w:rsidRDefault="00891472" w:rsidP="00BF0719">
            <w:pPr>
              <w:pStyle w:val="COMTabletext"/>
              <w:jc w:val="center"/>
              <w:rPr>
                <w:rFonts w:cs="Calibri"/>
                <w:b/>
                <w:bCs w:val="0"/>
                <w:szCs w:val="20"/>
              </w:rPr>
            </w:pPr>
            <w:r w:rsidRPr="00350596">
              <w:rPr>
                <w:rFonts w:cs="Calibri"/>
                <w:b/>
                <w:bCs w:val="0"/>
                <w:szCs w:val="20"/>
              </w:rPr>
              <w:t>(-4.52, -1.37)</w:t>
            </w:r>
          </w:p>
        </w:tc>
        <w:tc>
          <w:tcPr>
            <w:tcW w:w="1177" w:type="dxa"/>
            <w:vAlign w:val="center"/>
          </w:tcPr>
          <w:p w14:paraId="5472F4C6" w14:textId="77777777" w:rsidR="00891472" w:rsidRPr="00350596" w:rsidRDefault="00891472" w:rsidP="00BF0719">
            <w:pPr>
              <w:pStyle w:val="COMTabletext"/>
              <w:jc w:val="center"/>
              <w:rPr>
                <w:rFonts w:cs="Calibri"/>
                <w:szCs w:val="20"/>
              </w:rPr>
            </w:pPr>
            <w:r w:rsidRPr="00350596">
              <w:rPr>
                <w:rFonts w:cs="Calibri"/>
                <w:szCs w:val="20"/>
              </w:rPr>
              <w:t xml:space="preserve">-1.88 </w:t>
            </w:r>
          </w:p>
          <w:p w14:paraId="59252E57" w14:textId="77777777" w:rsidR="00891472" w:rsidRPr="00350596" w:rsidRDefault="00891472" w:rsidP="00BF0719">
            <w:pPr>
              <w:pStyle w:val="COMTabletext"/>
              <w:jc w:val="center"/>
              <w:rPr>
                <w:rFonts w:cs="Calibri"/>
                <w:szCs w:val="20"/>
              </w:rPr>
            </w:pPr>
            <w:r w:rsidRPr="00350596">
              <w:rPr>
                <w:rFonts w:cs="Calibri"/>
                <w:szCs w:val="20"/>
              </w:rPr>
              <w:t>(-4.77, 0.95)</w:t>
            </w:r>
          </w:p>
        </w:tc>
        <w:tc>
          <w:tcPr>
            <w:tcW w:w="1129" w:type="dxa"/>
            <w:vAlign w:val="center"/>
          </w:tcPr>
          <w:p w14:paraId="026F945A" w14:textId="77777777" w:rsidR="00891472" w:rsidRPr="00350596" w:rsidRDefault="00891472" w:rsidP="00BF0719">
            <w:pPr>
              <w:pStyle w:val="COMTabletext"/>
              <w:jc w:val="center"/>
              <w:rPr>
                <w:rFonts w:cs="Calibri"/>
                <w:b/>
                <w:bCs w:val="0"/>
                <w:szCs w:val="20"/>
              </w:rPr>
            </w:pPr>
            <w:r w:rsidRPr="00350596">
              <w:rPr>
                <w:rFonts w:cs="Calibri"/>
                <w:b/>
                <w:bCs w:val="0"/>
                <w:szCs w:val="20"/>
              </w:rPr>
              <w:t xml:space="preserve">-1.99 </w:t>
            </w:r>
          </w:p>
          <w:p w14:paraId="0D9B04E2" w14:textId="77777777" w:rsidR="00891472" w:rsidRPr="00350596" w:rsidRDefault="00891472" w:rsidP="00BF0719">
            <w:pPr>
              <w:pStyle w:val="COMTabletext"/>
              <w:jc w:val="center"/>
              <w:rPr>
                <w:rFonts w:cs="Calibri"/>
                <w:b/>
                <w:bCs w:val="0"/>
                <w:szCs w:val="20"/>
              </w:rPr>
            </w:pPr>
            <w:r w:rsidRPr="00350596">
              <w:rPr>
                <w:rFonts w:cs="Calibri"/>
                <w:b/>
                <w:bCs w:val="0"/>
                <w:szCs w:val="20"/>
              </w:rPr>
              <w:t>(-3.27, -0.71)</w:t>
            </w:r>
          </w:p>
        </w:tc>
        <w:tc>
          <w:tcPr>
            <w:tcW w:w="1292" w:type="dxa"/>
            <w:tcBorders>
              <w:top w:val="single" w:sz="4" w:space="0" w:color="auto"/>
            </w:tcBorders>
            <w:vAlign w:val="center"/>
          </w:tcPr>
          <w:p w14:paraId="0F1710D2" w14:textId="77777777" w:rsidR="00891472" w:rsidRPr="00350596" w:rsidRDefault="00891472" w:rsidP="00BF0719">
            <w:pPr>
              <w:pStyle w:val="COMTabletext"/>
              <w:jc w:val="center"/>
              <w:rPr>
                <w:rFonts w:cs="Calibri"/>
                <w:b/>
                <w:bCs w:val="0"/>
                <w:szCs w:val="20"/>
              </w:rPr>
            </w:pPr>
            <w:r w:rsidRPr="00350596">
              <w:rPr>
                <w:rFonts w:cs="Calibri"/>
                <w:b/>
                <w:bCs w:val="0"/>
                <w:szCs w:val="20"/>
              </w:rPr>
              <w:t>Placebo</w:t>
            </w:r>
          </w:p>
        </w:tc>
      </w:tr>
    </w:tbl>
    <w:p w14:paraId="5C26B5F9" w14:textId="77777777" w:rsidR="00891472" w:rsidRPr="00350596" w:rsidRDefault="00891472" w:rsidP="00BF0719">
      <w:pPr>
        <w:pStyle w:val="COMTablefooter"/>
        <w:keepNext/>
      </w:pPr>
      <w:r w:rsidRPr="00350596">
        <w:t>Source: Figure 5.10, Attachment CLN 2.1 of the submission</w:t>
      </w:r>
    </w:p>
    <w:p w14:paraId="364FF232" w14:textId="3CDD555F" w:rsidR="007D2D58" w:rsidRPr="00350596" w:rsidRDefault="007D2D58" w:rsidP="00BF0719">
      <w:pPr>
        <w:pStyle w:val="COMTablefooter"/>
        <w:keepNext/>
      </w:pPr>
      <w:r w:rsidRPr="00350596">
        <w:t>Abbreviations: IVIg, intravenous immunoglobulin; QMG, Quantitative Myasthenia Gravis</w:t>
      </w:r>
    </w:p>
    <w:p w14:paraId="71976BD7" w14:textId="4A47152E" w:rsidR="00873002" w:rsidRPr="00350596" w:rsidRDefault="00873002" w:rsidP="00BF0719">
      <w:pPr>
        <w:pStyle w:val="COMTablefooter"/>
        <w:keepNext/>
      </w:pPr>
      <w:r w:rsidRPr="00350596">
        <w:t>Note: QMG scores range from 0 to 39 with lower scores indicating better functional outcomes</w:t>
      </w:r>
    </w:p>
    <w:p w14:paraId="541FF257" w14:textId="1BA99A52" w:rsidR="00891472" w:rsidRPr="00350596" w:rsidRDefault="00891472" w:rsidP="00BF0719">
      <w:pPr>
        <w:pStyle w:val="COMTablefooter"/>
        <w:keepNext/>
      </w:pPr>
      <w:r w:rsidRPr="00350596">
        <w:t>Note: Results are presented as mean difference with 95% credible intervals</w:t>
      </w:r>
      <w:r w:rsidR="007D2D58" w:rsidRPr="00350596">
        <w:t>. Mean differences less than zero favour the column-defined intervention compared to the row-defined intervention.</w:t>
      </w:r>
    </w:p>
    <w:p w14:paraId="68A0DF20" w14:textId="77777777" w:rsidR="00891472" w:rsidRPr="00350596" w:rsidRDefault="00891472" w:rsidP="00BF0719">
      <w:pPr>
        <w:pStyle w:val="COMTablefooter"/>
        <w:keepNext/>
        <w:rPr>
          <w:b/>
          <w:bCs/>
        </w:rPr>
      </w:pPr>
      <w:r w:rsidRPr="00350596">
        <w:rPr>
          <w:b/>
          <w:bCs/>
        </w:rPr>
        <w:t>Bolded results are statistically significant</w:t>
      </w:r>
    </w:p>
    <w:p w14:paraId="1FE84CA8" w14:textId="3A2EBB2C" w:rsidR="00891472" w:rsidRPr="00350596" w:rsidRDefault="00891472" w:rsidP="00891472">
      <w:pPr>
        <w:pStyle w:val="COMexecsummnumbered"/>
      </w:pPr>
      <w:r w:rsidRPr="00350596">
        <w:t xml:space="preserve">All treatments except for IVIg were associated with statistically significant reductions in QMG score compared to placebo. The result for IVIg versus placebo appeared consistent with direct evidence from the Bril 2024 study. The Bril 2024 study authors noted that it was a small study (N=62) which may not have been sufficiently powered to show a statistically significant difference. </w:t>
      </w:r>
    </w:p>
    <w:p w14:paraId="0306333D" w14:textId="413ECB1C" w:rsidR="00891472" w:rsidRPr="00350596" w:rsidRDefault="00891472" w:rsidP="00F94942">
      <w:pPr>
        <w:pStyle w:val="COMexecsummnumbered"/>
      </w:pPr>
      <w:r w:rsidRPr="00350596">
        <w:t>The results also indicated that efgartigimod was associated with a statistically significant improvement in QMG score compared to zilucoplan, IVIg and ravulizumab, although the wide credible intervals cannot exclude the potential for smaller differences that may not be clinically important.</w:t>
      </w:r>
    </w:p>
    <w:p w14:paraId="3F2EB151" w14:textId="0BF154E3" w:rsidR="00891472" w:rsidRPr="00350596" w:rsidRDefault="00891472" w:rsidP="00F94942">
      <w:pPr>
        <w:pStyle w:val="COMexecsummnumbered"/>
      </w:pPr>
      <w:r w:rsidRPr="00350596">
        <w:t>There were no statistically significant differences between efgartigimod and rozanolixizumab; although the results numerically favoured efgartigimod, the differences were modest and may not be clinically important.</w:t>
      </w:r>
    </w:p>
    <w:p w14:paraId="23594CA3" w14:textId="600366F4" w:rsidR="00891472" w:rsidRPr="00350596" w:rsidRDefault="004B5988" w:rsidP="00F94942">
      <w:pPr>
        <w:pStyle w:val="COMexecsummnumbered"/>
      </w:pPr>
      <w:r w:rsidRPr="00350596">
        <w:t xml:space="preserve">Overall, </w:t>
      </w:r>
      <w:r w:rsidR="00F055B2" w:rsidRPr="00350596">
        <w:t>the ESC</w:t>
      </w:r>
      <w:r w:rsidR="00FA1C42" w:rsidRPr="00350596">
        <w:t xml:space="preserve"> and the PBAC</w:t>
      </w:r>
      <w:r w:rsidR="00F055B2" w:rsidRPr="00350596">
        <w:t xml:space="preserve"> considered that the </w:t>
      </w:r>
      <w:r w:rsidRPr="00350596">
        <w:t>results from the network meta-analyses should be interpreted with caution given various methodological concerns. In particular, the</w:t>
      </w:r>
      <w:r w:rsidR="003B0452" w:rsidRPr="00350596">
        <w:t>re were</w:t>
      </w:r>
      <w:r w:rsidRPr="00350596">
        <w:t xml:space="preserve"> differences between treatments administered with fixed dosing intervals (IVIg, ravulizumab, zilucoplan; endpoints assessed at 12-24 weeks) compared to treatments administered as on/off treatment cycles (efgartigimod, rozanolixizumab; endpoints assessed at 4-6 weeks, representing peak efficacy at the end of a treatment cycle) </w:t>
      </w:r>
      <w:r w:rsidR="00E25F93" w:rsidRPr="00350596">
        <w:t>that</w:t>
      </w:r>
      <w:r w:rsidRPr="00350596">
        <w:t xml:space="preserve"> do not account for the treatment effects waning over time during the off-treatment period.</w:t>
      </w:r>
      <w:r w:rsidR="00CB73A9" w:rsidRPr="00350596">
        <w:t xml:space="preserve"> </w:t>
      </w:r>
      <w:r w:rsidR="00C30229" w:rsidRPr="00350596">
        <w:t xml:space="preserve">Comparisons between different classes of treatment </w:t>
      </w:r>
      <w:r w:rsidR="00745F18" w:rsidRPr="00350596">
        <w:t>were challenging due to these differences.</w:t>
      </w:r>
      <w:r w:rsidR="00C30229" w:rsidRPr="00350596">
        <w:t xml:space="preserve"> </w:t>
      </w:r>
    </w:p>
    <w:p w14:paraId="37C7CC09" w14:textId="5D72B9A8" w:rsidR="00F505FD" w:rsidRPr="00350596" w:rsidRDefault="00F505FD" w:rsidP="00F94942">
      <w:pPr>
        <w:pStyle w:val="COMexecsummnumbered"/>
      </w:pPr>
      <w:r w:rsidRPr="00350596">
        <w:lastRenderedPageBreak/>
        <w:t>In particular, for the comparison versus IVIg (based on Bril 2024), there were substantial differences between the placebo arms of the two trials, with the ADAPT trial reporting that 19.3% of patients in the placebo group achieved a QMG response (≥ 3-point reduction for ≥ 4 consecutive weeks) versus 59.4% in the placebo arm of Bril 2024 (≥ 3-point reduction at week 24).</w:t>
      </w:r>
    </w:p>
    <w:p w14:paraId="41D5BE30" w14:textId="304D7B9C" w:rsidR="00187D19" w:rsidRPr="00350596" w:rsidRDefault="00187D19" w:rsidP="00187D19">
      <w:pPr>
        <w:pStyle w:val="COMH4"/>
      </w:pPr>
      <w:r w:rsidRPr="00350596">
        <w:t>Published indirect comparisons</w:t>
      </w:r>
    </w:p>
    <w:p w14:paraId="3112ED9C" w14:textId="49B81CE0" w:rsidR="007C12CC" w:rsidRPr="00350596" w:rsidRDefault="000C5D0B" w:rsidP="00C81160">
      <w:pPr>
        <w:pStyle w:val="COMexecsummnumbered"/>
      </w:pPr>
      <w:r w:rsidRPr="00350596">
        <w:t>During the evaluation</w:t>
      </w:r>
      <w:r w:rsidR="003574F9" w:rsidRPr="00350596">
        <w:t xml:space="preserve">, </w:t>
      </w:r>
      <w:r w:rsidR="00383B19" w:rsidRPr="00350596">
        <w:t>seven</w:t>
      </w:r>
      <w:r w:rsidR="002108F2" w:rsidRPr="00350596">
        <w:t xml:space="preserve"> </w:t>
      </w:r>
      <w:r w:rsidR="00383B19" w:rsidRPr="00350596">
        <w:t xml:space="preserve">published </w:t>
      </w:r>
      <w:r w:rsidR="003574F9" w:rsidRPr="00350596">
        <w:t xml:space="preserve">network meta-analyses (Chen 2023, Gu 2024, </w:t>
      </w:r>
      <w:r w:rsidR="002108F2" w:rsidRPr="00350596">
        <w:t xml:space="preserve">Ma 2024, </w:t>
      </w:r>
      <w:r w:rsidR="003574F9" w:rsidRPr="00350596">
        <w:t xml:space="preserve">Sacca 2023, Smith 2024, Zhong 2024) and one matching adjusted indirect comparison that compared efgartigimod and ravulizumab (van Steen 2024) were </w:t>
      </w:r>
      <w:r w:rsidR="00383B19" w:rsidRPr="00350596">
        <w:t xml:space="preserve">identified. </w:t>
      </w:r>
      <w:r w:rsidR="007C12CC" w:rsidRPr="00350596">
        <w:t>Indirect analyses published as abstracts or posters only were not included due to limited reporting. This resulted in the exclusion of the Wolfe 2023 (poster) network meta-analysis, included in the submission, that assessed the impact of efgartigimod, ravulizumab, rozanolixizumab and zilucoplan (based on the ADAPT, CHAMPION-MG, MycarinG and RAISE trials) on health-related quality of life (mean changes from baseline in EQ-5D VAS and MG-QOL15r). The Ma 2024 study was also excluded as the analysis did not include key trials for rozanolixizumab (MycarinG) and zilucoplan (RAISE).</w:t>
      </w:r>
    </w:p>
    <w:p w14:paraId="62F69BC2" w14:textId="7D9191BA" w:rsidR="00CB4FEA" w:rsidRPr="00350596" w:rsidRDefault="00A05BEF" w:rsidP="00F94942">
      <w:pPr>
        <w:pStyle w:val="COMexecsummnumbered"/>
      </w:pPr>
      <w:r w:rsidRPr="00350596">
        <w:t xml:space="preserve">Results of the indirect treatment comparisons suggest that </w:t>
      </w:r>
      <w:r w:rsidR="008A34A5" w:rsidRPr="00350596">
        <w:t>FcRn</w:t>
      </w:r>
      <w:r w:rsidRPr="00350596">
        <w:t xml:space="preserve"> blockers (e.g. efgartigimod, rozanolixizumab) may provide improved outcomes for patients with generalised myasthenia gravis, compared to complement inhibitors (e.g. ravulizumab, zilucoplan). However, the published analyses acknowledge the difficulties in comparing the different therapies due to differences between treatments administered with fixed dosing intervals compared to treatments administered as on/off treatment cycles, which does not account for the treatment effects waning over time during the off-treatment period. The publications also noted other limitations, including differences between trials in patient characteristics and prior and concomitant therapies, and the lack of direct evidence resulting in reliance on indirect estimates.</w:t>
      </w:r>
    </w:p>
    <w:p w14:paraId="45E207D2" w14:textId="487559AD" w:rsidR="00F055B2" w:rsidRPr="00350596" w:rsidRDefault="00F055B2" w:rsidP="00F055B2">
      <w:pPr>
        <w:pStyle w:val="COMexecsummnumbered"/>
        <w:ind w:left="709"/>
      </w:pPr>
      <w:r w:rsidRPr="00350596">
        <w:t xml:space="preserve">The ESC </w:t>
      </w:r>
      <w:r w:rsidR="00C81CC2" w:rsidRPr="00350596">
        <w:t xml:space="preserve">and the PBAC </w:t>
      </w:r>
      <w:r w:rsidRPr="00350596">
        <w:t xml:space="preserve">considered there was no evidence to suggest superior efficacy or safety between any of the four new gMG therapies (zilucoplan, ravulizumab, efgartigimod alfa and rozanolixizumab). The ESC considered that the NMAs had substantial limitations, notably the poor transitivity between the included trials and lack of accounting for the treatment effects of </w:t>
      </w:r>
      <w:r w:rsidR="008A34A5" w:rsidRPr="00350596">
        <w:t>FcRn</w:t>
      </w:r>
      <w:r w:rsidRPr="00350596">
        <w:t xml:space="preserve"> blockers waning over time during the off-treatment period.</w:t>
      </w:r>
    </w:p>
    <w:p w14:paraId="5524914F" w14:textId="4526443C" w:rsidR="00A05BEF" w:rsidRPr="00350596" w:rsidRDefault="00A05BEF" w:rsidP="00F94942">
      <w:pPr>
        <w:pStyle w:val="COMexecsummnumbered"/>
      </w:pPr>
      <w:r w:rsidRPr="00350596">
        <w:t xml:space="preserve">None of the </w:t>
      </w:r>
      <w:r w:rsidR="00C113AC" w:rsidRPr="00350596">
        <w:t xml:space="preserve">published </w:t>
      </w:r>
      <w:r w:rsidRPr="00350596">
        <w:t>indirect treatment comparisons included IVIg or PLEX trials.</w:t>
      </w:r>
    </w:p>
    <w:p w14:paraId="1452C351" w14:textId="0D19F1B0" w:rsidR="00B60939" w:rsidRPr="00350596" w:rsidRDefault="00B60939" w:rsidP="003D5DE7">
      <w:pPr>
        <w:pStyle w:val="COMH2-non-numbered"/>
      </w:pPr>
      <w:bookmarkStart w:id="38" w:name="_Toc22897642"/>
      <w:bookmarkStart w:id="39" w:name="_Toc188365360"/>
      <w:r w:rsidRPr="00350596">
        <w:t>Comparative harms</w:t>
      </w:r>
      <w:bookmarkEnd w:id="38"/>
      <w:bookmarkEnd w:id="39"/>
    </w:p>
    <w:p w14:paraId="2DAF16D1" w14:textId="2E6B158A" w:rsidR="00B60939" w:rsidRPr="00350596" w:rsidRDefault="008B3086" w:rsidP="008B3086">
      <w:pPr>
        <w:pStyle w:val="COMexecsummnumbered"/>
      </w:pPr>
      <w:r w:rsidRPr="00350596">
        <w:t>A summary of key adverse events reported during each treatment cycle and follow-up (8 weeks each) in the ADAPT trial AChR antibody positive group and overall population are presented for the first treatment cycle (</w:t>
      </w:r>
      <w:r w:rsidR="00165FA3" w:rsidRPr="00350596">
        <w:fldChar w:fldCharType="begin"/>
      </w:r>
      <w:r w:rsidR="00165FA3" w:rsidRPr="00350596">
        <w:instrText xml:space="preserve"> REF _Ref187601692 \h </w:instrText>
      </w:r>
      <w:r w:rsidR="00165FA3" w:rsidRPr="00350596">
        <w:fldChar w:fldCharType="separate"/>
      </w:r>
      <w:r w:rsidR="002B16A5" w:rsidRPr="00350596">
        <w:t xml:space="preserve">Table </w:t>
      </w:r>
      <w:r w:rsidR="002B16A5">
        <w:rPr>
          <w:noProof/>
        </w:rPr>
        <w:t>8</w:t>
      </w:r>
      <w:r w:rsidR="00165FA3" w:rsidRPr="00350596">
        <w:fldChar w:fldCharType="end"/>
      </w:r>
      <w:r w:rsidRPr="00350596">
        <w:t>) and second treatment cycle (</w:t>
      </w:r>
      <w:r w:rsidR="00165FA3" w:rsidRPr="00350596">
        <w:fldChar w:fldCharType="begin"/>
      </w:r>
      <w:r w:rsidR="00165FA3" w:rsidRPr="00350596">
        <w:instrText xml:space="preserve"> REF _Ref187601709 \h </w:instrText>
      </w:r>
      <w:r w:rsidR="00165FA3" w:rsidRPr="00350596">
        <w:fldChar w:fldCharType="separate"/>
      </w:r>
      <w:r w:rsidR="002B16A5" w:rsidRPr="00350596">
        <w:t xml:space="preserve">Table </w:t>
      </w:r>
      <w:r w:rsidR="002B16A5">
        <w:rPr>
          <w:noProof/>
        </w:rPr>
        <w:t>9</w:t>
      </w:r>
      <w:r w:rsidR="00165FA3" w:rsidRPr="00350596">
        <w:fldChar w:fldCharType="end"/>
      </w:r>
      <w:r w:rsidRPr="00350596">
        <w:t>) below.</w:t>
      </w:r>
    </w:p>
    <w:p w14:paraId="62DE1999" w14:textId="360ECC85" w:rsidR="008B3086" w:rsidRPr="00350596" w:rsidRDefault="00165FA3" w:rsidP="00165FA3">
      <w:pPr>
        <w:pStyle w:val="Caption"/>
        <w:rPr>
          <w:lang w:val="en-AU"/>
        </w:rPr>
      </w:pPr>
      <w:bookmarkStart w:id="40" w:name="_Ref187601692"/>
      <w:r w:rsidRPr="00350596">
        <w:rPr>
          <w:lang w:val="en-AU"/>
        </w:rPr>
        <w:lastRenderedPageBreak/>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8</w:t>
      </w:r>
      <w:r w:rsidRPr="00350596">
        <w:rPr>
          <w:lang w:val="en-AU"/>
        </w:rPr>
        <w:fldChar w:fldCharType="end"/>
      </w:r>
      <w:bookmarkEnd w:id="40"/>
      <w:r w:rsidR="008B3086" w:rsidRPr="00350596">
        <w:rPr>
          <w:lang w:val="en-AU"/>
        </w:rPr>
        <w:t>: Summary of key adverse events during the first treatment cycle and follow-up (8 weeks)</w:t>
      </w:r>
    </w:p>
    <w:tbl>
      <w:tblPr>
        <w:tblStyle w:val="TableGrid"/>
        <w:tblW w:w="0" w:type="auto"/>
        <w:tblCellMar>
          <w:left w:w="57" w:type="dxa"/>
          <w:right w:w="57" w:type="dxa"/>
        </w:tblCellMar>
        <w:tblLook w:val="04A0" w:firstRow="1" w:lastRow="0" w:firstColumn="1" w:lastColumn="0" w:noHBand="0" w:noVBand="1"/>
        <w:tblCaption w:val="Table 8: Summary of key adverse events during the first treatment cycle and follow-up (8 weeks)"/>
      </w:tblPr>
      <w:tblGrid>
        <w:gridCol w:w="1802"/>
        <w:gridCol w:w="901"/>
        <w:gridCol w:w="902"/>
        <w:gridCol w:w="902"/>
        <w:gridCol w:w="902"/>
        <w:gridCol w:w="901"/>
        <w:gridCol w:w="903"/>
        <w:gridCol w:w="902"/>
        <w:gridCol w:w="902"/>
      </w:tblGrid>
      <w:tr w:rsidR="008B3086" w:rsidRPr="00350596" w14:paraId="41E8BCFE" w14:textId="77777777" w:rsidTr="007959EA">
        <w:tc>
          <w:tcPr>
            <w:tcW w:w="1802" w:type="dxa"/>
            <w:vMerge w:val="restart"/>
            <w:vAlign w:val="center"/>
          </w:tcPr>
          <w:p w14:paraId="7D88FB4A" w14:textId="77777777" w:rsidR="008B3086" w:rsidRPr="00350596" w:rsidRDefault="008B3086" w:rsidP="007959EA">
            <w:pPr>
              <w:pStyle w:val="COMTableheadingrow"/>
              <w:jc w:val="center"/>
              <w:rPr>
                <w:lang w:val="en-AU"/>
              </w:rPr>
            </w:pPr>
          </w:p>
        </w:tc>
        <w:tc>
          <w:tcPr>
            <w:tcW w:w="3607" w:type="dxa"/>
            <w:gridSpan w:val="4"/>
            <w:vAlign w:val="center"/>
          </w:tcPr>
          <w:p w14:paraId="0B1D37A1" w14:textId="77777777" w:rsidR="008B3086" w:rsidRPr="00350596" w:rsidRDefault="008B3086" w:rsidP="007959EA">
            <w:pPr>
              <w:pStyle w:val="COMTableheadingrow"/>
              <w:jc w:val="center"/>
              <w:rPr>
                <w:lang w:val="en-AU"/>
              </w:rPr>
            </w:pPr>
            <w:r w:rsidRPr="00350596">
              <w:rPr>
                <w:lang w:val="en-AU"/>
              </w:rPr>
              <w:t>AChR+ group</w:t>
            </w:r>
          </w:p>
        </w:tc>
        <w:tc>
          <w:tcPr>
            <w:tcW w:w="3608" w:type="dxa"/>
            <w:gridSpan w:val="4"/>
            <w:vAlign w:val="center"/>
          </w:tcPr>
          <w:p w14:paraId="7AEBC4C5" w14:textId="77777777" w:rsidR="008B3086" w:rsidRPr="00350596" w:rsidRDefault="008B3086" w:rsidP="007959EA">
            <w:pPr>
              <w:pStyle w:val="COMTableheadingrow"/>
              <w:jc w:val="center"/>
              <w:rPr>
                <w:lang w:val="en-AU"/>
              </w:rPr>
            </w:pPr>
            <w:r w:rsidRPr="00350596">
              <w:rPr>
                <w:lang w:val="en-AU"/>
              </w:rPr>
              <w:t>Overall population</w:t>
            </w:r>
          </w:p>
        </w:tc>
      </w:tr>
      <w:tr w:rsidR="008B3086" w:rsidRPr="00350596" w14:paraId="390371BE" w14:textId="77777777" w:rsidTr="007959EA">
        <w:tc>
          <w:tcPr>
            <w:tcW w:w="1802" w:type="dxa"/>
            <w:vMerge/>
            <w:vAlign w:val="center"/>
          </w:tcPr>
          <w:p w14:paraId="18A726D4" w14:textId="77777777" w:rsidR="008B3086" w:rsidRPr="00350596" w:rsidRDefault="008B3086" w:rsidP="007959EA">
            <w:pPr>
              <w:pStyle w:val="COMTableheadingrow"/>
              <w:jc w:val="center"/>
              <w:rPr>
                <w:lang w:val="en-AU"/>
              </w:rPr>
            </w:pPr>
          </w:p>
        </w:tc>
        <w:tc>
          <w:tcPr>
            <w:tcW w:w="1803" w:type="dxa"/>
            <w:gridSpan w:val="2"/>
            <w:vAlign w:val="center"/>
          </w:tcPr>
          <w:p w14:paraId="5F896296" w14:textId="77777777" w:rsidR="008B3086" w:rsidRPr="00350596" w:rsidRDefault="008B3086" w:rsidP="007959EA">
            <w:pPr>
              <w:pStyle w:val="COMTableheadingrow"/>
              <w:jc w:val="center"/>
              <w:rPr>
                <w:lang w:val="en-AU"/>
              </w:rPr>
            </w:pPr>
            <w:r w:rsidRPr="00350596">
              <w:rPr>
                <w:lang w:val="en-AU"/>
              </w:rPr>
              <w:t>Efgartigimod</w:t>
            </w:r>
          </w:p>
          <w:p w14:paraId="349810F3" w14:textId="77777777" w:rsidR="008B3086" w:rsidRPr="00350596" w:rsidRDefault="008B3086" w:rsidP="007959EA">
            <w:pPr>
              <w:pStyle w:val="COMTableheadingrow"/>
              <w:jc w:val="center"/>
              <w:rPr>
                <w:lang w:val="en-AU"/>
              </w:rPr>
            </w:pPr>
            <w:r w:rsidRPr="00350596">
              <w:rPr>
                <w:lang w:val="en-AU"/>
              </w:rPr>
              <w:t>N = 65</w:t>
            </w:r>
          </w:p>
        </w:tc>
        <w:tc>
          <w:tcPr>
            <w:tcW w:w="1804" w:type="dxa"/>
            <w:gridSpan w:val="2"/>
            <w:vAlign w:val="center"/>
          </w:tcPr>
          <w:p w14:paraId="48CF08CD" w14:textId="77777777" w:rsidR="008B3086" w:rsidRPr="00350596" w:rsidRDefault="008B3086" w:rsidP="007959EA">
            <w:pPr>
              <w:pStyle w:val="COMTableheadingrow"/>
              <w:jc w:val="center"/>
              <w:rPr>
                <w:lang w:val="en-AU"/>
              </w:rPr>
            </w:pPr>
            <w:r w:rsidRPr="00350596">
              <w:rPr>
                <w:lang w:val="en-AU"/>
              </w:rPr>
              <w:t>Placebo</w:t>
            </w:r>
          </w:p>
          <w:p w14:paraId="49918819" w14:textId="77777777" w:rsidR="008B3086" w:rsidRPr="00350596" w:rsidRDefault="008B3086" w:rsidP="007959EA">
            <w:pPr>
              <w:pStyle w:val="COMTableheadingrow"/>
              <w:jc w:val="center"/>
              <w:rPr>
                <w:lang w:val="en-AU"/>
              </w:rPr>
            </w:pPr>
            <w:r w:rsidRPr="00350596">
              <w:rPr>
                <w:lang w:val="en-AU"/>
              </w:rPr>
              <w:t>N = 64</w:t>
            </w:r>
          </w:p>
        </w:tc>
        <w:tc>
          <w:tcPr>
            <w:tcW w:w="1804" w:type="dxa"/>
            <w:gridSpan w:val="2"/>
            <w:vAlign w:val="center"/>
          </w:tcPr>
          <w:p w14:paraId="6F1F08F0" w14:textId="77777777" w:rsidR="008B3086" w:rsidRPr="00350596" w:rsidRDefault="008B3086" w:rsidP="007959EA">
            <w:pPr>
              <w:pStyle w:val="COMTableheadingrow"/>
              <w:jc w:val="center"/>
              <w:rPr>
                <w:lang w:val="en-AU"/>
              </w:rPr>
            </w:pPr>
            <w:r w:rsidRPr="00350596">
              <w:rPr>
                <w:lang w:val="en-AU"/>
              </w:rPr>
              <w:t>Efgartigimod</w:t>
            </w:r>
          </w:p>
          <w:p w14:paraId="14A6C192" w14:textId="77777777" w:rsidR="008B3086" w:rsidRPr="00350596" w:rsidRDefault="008B3086" w:rsidP="007959EA">
            <w:pPr>
              <w:pStyle w:val="COMTableheadingrow"/>
              <w:jc w:val="center"/>
              <w:rPr>
                <w:lang w:val="en-AU"/>
              </w:rPr>
            </w:pPr>
            <w:r w:rsidRPr="00350596">
              <w:rPr>
                <w:lang w:val="en-AU"/>
              </w:rPr>
              <w:t>N = 84</w:t>
            </w:r>
          </w:p>
        </w:tc>
        <w:tc>
          <w:tcPr>
            <w:tcW w:w="1804" w:type="dxa"/>
            <w:gridSpan w:val="2"/>
            <w:vAlign w:val="center"/>
          </w:tcPr>
          <w:p w14:paraId="5C5CC48C" w14:textId="77777777" w:rsidR="008B3086" w:rsidRPr="00350596" w:rsidRDefault="008B3086" w:rsidP="007959EA">
            <w:pPr>
              <w:pStyle w:val="COMTableheadingrow"/>
              <w:jc w:val="center"/>
              <w:rPr>
                <w:lang w:val="en-AU"/>
              </w:rPr>
            </w:pPr>
            <w:r w:rsidRPr="00350596">
              <w:rPr>
                <w:lang w:val="en-AU"/>
              </w:rPr>
              <w:t>Placebo</w:t>
            </w:r>
          </w:p>
          <w:p w14:paraId="6DED05C6" w14:textId="77777777" w:rsidR="008B3086" w:rsidRPr="00350596" w:rsidRDefault="008B3086" w:rsidP="007959EA">
            <w:pPr>
              <w:pStyle w:val="COMTableheadingrow"/>
              <w:jc w:val="center"/>
              <w:rPr>
                <w:lang w:val="en-AU"/>
              </w:rPr>
            </w:pPr>
            <w:r w:rsidRPr="00350596">
              <w:rPr>
                <w:lang w:val="en-AU"/>
              </w:rPr>
              <w:t>N = 83</w:t>
            </w:r>
          </w:p>
        </w:tc>
      </w:tr>
      <w:tr w:rsidR="008B3086" w:rsidRPr="00350596" w14:paraId="0D0077BC" w14:textId="77777777" w:rsidTr="007959EA">
        <w:tc>
          <w:tcPr>
            <w:tcW w:w="1802" w:type="dxa"/>
            <w:vMerge/>
          </w:tcPr>
          <w:p w14:paraId="542F66C1" w14:textId="77777777" w:rsidR="008B3086" w:rsidRPr="00350596" w:rsidRDefault="008B3086" w:rsidP="007959EA">
            <w:pPr>
              <w:pStyle w:val="COMTableheadingrow"/>
              <w:jc w:val="center"/>
              <w:rPr>
                <w:lang w:val="en-AU"/>
              </w:rPr>
            </w:pPr>
          </w:p>
        </w:tc>
        <w:tc>
          <w:tcPr>
            <w:tcW w:w="901" w:type="dxa"/>
            <w:vAlign w:val="center"/>
          </w:tcPr>
          <w:p w14:paraId="3985E70F" w14:textId="77777777" w:rsidR="008B3086" w:rsidRPr="00350596" w:rsidRDefault="008B3086" w:rsidP="007959EA">
            <w:pPr>
              <w:pStyle w:val="COMTableheadingrow"/>
              <w:jc w:val="center"/>
              <w:rPr>
                <w:lang w:val="en-AU"/>
              </w:rPr>
            </w:pPr>
            <w:r w:rsidRPr="00350596">
              <w:rPr>
                <w:lang w:val="en-AU"/>
              </w:rPr>
              <w:t>Events</w:t>
            </w:r>
          </w:p>
        </w:tc>
        <w:tc>
          <w:tcPr>
            <w:tcW w:w="902" w:type="dxa"/>
            <w:vAlign w:val="center"/>
          </w:tcPr>
          <w:p w14:paraId="60FE0855" w14:textId="77777777" w:rsidR="008B3086" w:rsidRPr="00350596" w:rsidRDefault="008B3086" w:rsidP="007959EA">
            <w:pPr>
              <w:pStyle w:val="COMTableheadingrow"/>
              <w:jc w:val="center"/>
              <w:rPr>
                <w:lang w:val="en-AU"/>
              </w:rPr>
            </w:pPr>
            <w:r w:rsidRPr="00350596">
              <w:rPr>
                <w:lang w:val="en-AU"/>
              </w:rPr>
              <w:t>Events/ patient-yr</w:t>
            </w:r>
          </w:p>
        </w:tc>
        <w:tc>
          <w:tcPr>
            <w:tcW w:w="902" w:type="dxa"/>
            <w:vAlign w:val="center"/>
          </w:tcPr>
          <w:p w14:paraId="0C929593" w14:textId="77777777" w:rsidR="008B3086" w:rsidRPr="00350596" w:rsidRDefault="008B3086" w:rsidP="007959EA">
            <w:pPr>
              <w:pStyle w:val="COMTableheadingrow"/>
              <w:jc w:val="center"/>
              <w:rPr>
                <w:lang w:val="en-AU"/>
              </w:rPr>
            </w:pPr>
            <w:r w:rsidRPr="00350596">
              <w:rPr>
                <w:lang w:val="en-AU"/>
              </w:rPr>
              <w:t>Events</w:t>
            </w:r>
          </w:p>
        </w:tc>
        <w:tc>
          <w:tcPr>
            <w:tcW w:w="902" w:type="dxa"/>
            <w:vAlign w:val="center"/>
          </w:tcPr>
          <w:p w14:paraId="6E80E312" w14:textId="77777777" w:rsidR="008B3086" w:rsidRPr="00350596" w:rsidRDefault="008B3086" w:rsidP="007959EA">
            <w:pPr>
              <w:pStyle w:val="COMTableheadingrow"/>
              <w:jc w:val="center"/>
              <w:rPr>
                <w:lang w:val="en-AU"/>
              </w:rPr>
            </w:pPr>
            <w:r w:rsidRPr="00350596">
              <w:rPr>
                <w:lang w:val="en-AU"/>
              </w:rPr>
              <w:t>Events/ patient-yr</w:t>
            </w:r>
          </w:p>
        </w:tc>
        <w:tc>
          <w:tcPr>
            <w:tcW w:w="901" w:type="dxa"/>
            <w:vAlign w:val="center"/>
          </w:tcPr>
          <w:p w14:paraId="61940BFE" w14:textId="77777777" w:rsidR="008B3086" w:rsidRPr="00350596" w:rsidRDefault="008B3086" w:rsidP="007959EA">
            <w:pPr>
              <w:pStyle w:val="COMTableheadingrow"/>
              <w:jc w:val="center"/>
              <w:rPr>
                <w:lang w:val="en-AU"/>
              </w:rPr>
            </w:pPr>
            <w:r w:rsidRPr="00350596">
              <w:rPr>
                <w:lang w:val="en-AU"/>
              </w:rPr>
              <w:t>Events</w:t>
            </w:r>
          </w:p>
        </w:tc>
        <w:tc>
          <w:tcPr>
            <w:tcW w:w="903" w:type="dxa"/>
            <w:vAlign w:val="center"/>
          </w:tcPr>
          <w:p w14:paraId="079D0331" w14:textId="77777777" w:rsidR="008B3086" w:rsidRPr="00350596" w:rsidRDefault="008B3086" w:rsidP="007959EA">
            <w:pPr>
              <w:pStyle w:val="COMTableheadingrow"/>
              <w:jc w:val="center"/>
              <w:rPr>
                <w:lang w:val="en-AU"/>
              </w:rPr>
            </w:pPr>
            <w:r w:rsidRPr="00350596">
              <w:rPr>
                <w:lang w:val="en-AU"/>
              </w:rPr>
              <w:t>Events/ patient-yr</w:t>
            </w:r>
          </w:p>
        </w:tc>
        <w:tc>
          <w:tcPr>
            <w:tcW w:w="902" w:type="dxa"/>
            <w:vAlign w:val="center"/>
          </w:tcPr>
          <w:p w14:paraId="2D902234" w14:textId="77777777" w:rsidR="008B3086" w:rsidRPr="00350596" w:rsidRDefault="008B3086" w:rsidP="007959EA">
            <w:pPr>
              <w:pStyle w:val="COMTableheadingrow"/>
              <w:jc w:val="center"/>
              <w:rPr>
                <w:lang w:val="en-AU"/>
              </w:rPr>
            </w:pPr>
            <w:r w:rsidRPr="00350596">
              <w:rPr>
                <w:lang w:val="en-AU"/>
              </w:rPr>
              <w:t>Events</w:t>
            </w:r>
          </w:p>
        </w:tc>
        <w:tc>
          <w:tcPr>
            <w:tcW w:w="902" w:type="dxa"/>
            <w:vAlign w:val="center"/>
          </w:tcPr>
          <w:p w14:paraId="0D7CEF99" w14:textId="77777777" w:rsidR="008B3086" w:rsidRPr="00350596" w:rsidRDefault="008B3086" w:rsidP="007959EA">
            <w:pPr>
              <w:pStyle w:val="COMTableheadingrow"/>
              <w:jc w:val="center"/>
              <w:rPr>
                <w:lang w:val="en-AU"/>
              </w:rPr>
            </w:pPr>
            <w:r w:rsidRPr="00350596">
              <w:rPr>
                <w:lang w:val="en-AU"/>
              </w:rPr>
              <w:t>Events/ patient-yr</w:t>
            </w:r>
          </w:p>
        </w:tc>
      </w:tr>
      <w:tr w:rsidR="008B3086" w:rsidRPr="00350596" w14:paraId="42B92B4A" w14:textId="77777777" w:rsidTr="007959EA">
        <w:tc>
          <w:tcPr>
            <w:tcW w:w="1802" w:type="dxa"/>
          </w:tcPr>
          <w:p w14:paraId="65FE0EC8" w14:textId="77777777" w:rsidR="008B3086" w:rsidRPr="00350596" w:rsidRDefault="008B3086" w:rsidP="007959EA">
            <w:pPr>
              <w:pStyle w:val="COMTabletext"/>
            </w:pPr>
            <w:r w:rsidRPr="00350596">
              <w:t>Any AE</w:t>
            </w:r>
          </w:p>
        </w:tc>
        <w:tc>
          <w:tcPr>
            <w:tcW w:w="901" w:type="dxa"/>
            <w:vAlign w:val="center"/>
          </w:tcPr>
          <w:p w14:paraId="5E8A044B" w14:textId="77777777" w:rsidR="008B3086" w:rsidRPr="00350596" w:rsidRDefault="008B3086" w:rsidP="007959EA">
            <w:pPr>
              <w:pStyle w:val="COMTabletext"/>
              <w:jc w:val="center"/>
            </w:pPr>
            <w:r w:rsidRPr="00350596">
              <w:t>128</w:t>
            </w:r>
          </w:p>
        </w:tc>
        <w:tc>
          <w:tcPr>
            <w:tcW w:w="902" w:type="dxa"/>
            <w:vAlign w:val="center"/>
          </w:tcPr>
          <w:p w14:paraId="6FD391D3" w14:textId="77777777" w:rsidR="008B3086" w:rsidRPr="00350596" w:rsidRDefault="008B3086" w:rsidP="007959EA">
            <w:pPr>
              <w:pStyle w:val="COMTabletext"/>
              <w:jc w:val="center"/>
            </w:pPr>
            <w:r w:rsidRPr="00350596">
              <w:t>7.89</w:t>
            </w:r>
          </w:p>
        </w:tc>
        <w:tc>
          <w:tcPr>
            <w:tcW w:w="902" w:type="dxa"/>
            <w:vAlign w:val="center"/>
          </w:tcPr>
          <w:p w14:paraId="228E5107" w14:textId="77777777" w:rsidR="008B3086" w:rsidRPr="00350596" w:rsidRDefault="008B3086" w:rsidP="007959EA">
            <w:pPr>
              <w:pStyle w:val="COMTabletext"/>
              <w:jc w:val="center"/>
            </w:pPr>
            <w:r w:rsidRPr="00350596">
              <w:t>141</w:t>
            </w:r>
          </w:p>
        </w:tc>
        <w:tc>
          <w:tcPr>
            <w:tcW w:w="902" w:type="dxa"/>
            <w:vAlign w:val="center"/>
          </w:tcPr>
          <w:p w14:paraId="48C7394F" w14:textId="77777777" w:rsidR="008B3086" w:rsidRPr="00350596" w:rsidRDefault="008B3086" w:rsidP="007959EA">
            <w:pPr>
              <w:pStyle w:val="COMTabletext"/>
              <w:jc w:val="center"/>
            </w:pPr>
            <w:r w:rsidRPr="00350596">
              <w:t>8.08</w:t>
            </w:r>
          </w:p>
        </w:tc>
        <w:tc>
          <w:tcPr>
            <w:tcW w:w="901" w:type="dxa"/>
            <w:vAlign w:val="center"/>
          </w:tcPr>
          <w:p w14:paraId="1DEE5548" w14:textId="77777777" w:rsidR="008B3086" w:rsidRPr="00350596" w:rsidRDefault="008B3086" w:rsidP="007959EA">
            <w:pPr>
              <w:pStyle w:val="COMTabletext"/>
              <w:jc w:val="center"/>
            </w:pPr>
            <w:r w:rsidRPr="00350596">
              <w:t>182</w:t>
            </w:r>
          </w:p>
        </w:tc>
        <w:tc>
          <w:tcPr>
            <w:tcW w:w="903" w:type="dxa"/>
            <w:vAlign w:val="center"/>
          </w:tcPr>
          <w:p w14:paraId="5B4A6CDE" w14:textId="77777777" w:rsidR="008B3086" w:rsidRPr="00350596" w:rsidRDefault="008B3086" w:rsidP="007959EA">
            <w:pPr>
              <w:pStyle w:val="COMTabletext"/>
              <w:jc w:val="center"/>
            </w:pPr>
            <w:r w:rsidRPr="00350596">
              <w:t>8.39</w:t>
            </w:r>
          </w:p>
        </w:tc>
        <w:tc>
          <w:tcPr>
            <w:tcW w:w="902" w:type="dxa"/>
            <w:vAlign w:val="center"/>
          </w:tcPr>
          <w:p w14:paraId="513F65F3" w14:textId="77777777" w:rsidR="008B3086" w:rsidRPr="00350596" w:rsidRDefault="008B3086" w:rsidP="007959EA">
            <w:pPr>
              <w:pStyle w:val="COMTabletext"/>
              <w:jc w:val="center"/>
            </w:pPr>
            <w:r w:rsidRPr="00350596">
              <w:t>191</w:t>
            </w:r>
          </w:p>
        </w:tc>
        <w:tc>
          <w:tcPr>
            <w:tcW w:w="902" w:type="dxa"/>
            <w:vAlign w:val="center"/>
          </w:tcPr>
          <w:p w14:paraId="08370B4D" w14:textId="77777777" w:rsidR="008B3086" w:rsidRPr="00350596" w:rsidRDefault="008B3086" w:rsidP="007959EA">
            <w:pPr>
              <w:pStyle w:val="COMTabletext"/>
              <w:jc w:val="center"/>
            </w:pPr>
            <w:r w:rsidRPr="00350596">
              <w:t>8.54</w:t>
            </w:r>
          </w:p>
        </w:tc>
      </w:tr>
      <w:tr w:rsidR="008B3086" w:rsidRPr="00350596" w14:paraId="175D6058" w14:textId="77777777" w:rsidTr="007959EA">
        <w:tc>
          <w:tcPr>
            <w:tcW w:w="1802" w:type="dxa"/>
          </w:tcPr>
          <w:p w14:paraId="54BE9710" w14:textId="77777777" w:rsidR="008B3086" w:rsidRPr="00350596" w:rsidRDefault="008B3086" w:rsidP="007959EA">
            <w:pPr>
              <w:pStyle w:val="COMTabletext"/>
            </w:pPr>
            <w:r w:rsidRPr="00350596">
              <w:t>Treatment-related AE</w:t>
            </w:r>
          </w:p>
        </w:tc>
        <w:tc>
          <w:tcPr>
            <w:tcW w:w="901" w:type="dxa"/>
            <w:vAlign w:val="center"/>
          </w:tcPr>
          <w:p w14:paraId="2EB63135" w14:textId="77777777" w:rsidR="008B3086" w:rsidRPr="00350596" w:rsidRDefault="008B3086" w:rsidP="007959EA">
            <w:pPr>
              <w:pStyle w:val="COMTabletext"/>
              <w:jc w:val="center"/>
            </w:pPr>
            <w:r w:rsidRPr="00350596">
              <w:t>38</w:t>
            </w:r>
          </w:p>
        </w:tc>
        <w:tc>
          <w:tcPr>
            <w:tcW w:w="902" w:type="dxa"/>
            <w:vAlign w:val="center"/>
          </w:tcPr>
          <w:p w14:paraId="1E8A836A" w14:textId="77777777" w:rsidR="008B3086" w:rsidRPr="00350596" w:rsidRDefault="008B3086" w:rsidP="007959EA">
            <w:pPr>
              <w:pStyle w:val="COMTabletext"/>
              <w:jc w:val="center"/>
            </w:pPr>
            <w:r w:rsidRPr="00350596">
              <w:t>2.34</w:t>
            </w:r>
          </w:p>
        </w:tc>
        <w:tc>
          <w:tcPr>
            <w:tcW w:w="902" w:type="dxa"/>
            <w:vAlign w:val="center"/>
          </w:tcPr>
          <w:p w14:paraId="42E04616" w14:textId="77777777" w:rsidR="008B3086" w:rsidRPr="00350596" w:rsidRDefault="008B3086" w:rsidP="007959EA">
            <w:pPr>
              <w:pStyle w:val="COMTabletext"/>
              <w:jc w:val="center"/>
            </w:pPr>
            <w:r w:rsidRPr="00350596">
              <w:t>29</w:t>
            </w:r>
          </w:p>
        </w:tc>
        <w:tc>
          <w:tcPr>
            <w:tcW w:w="902" w:type="dxa"/>
            <w:vAlign w:val="center"/>
          </w:tcPr>
          <w:p w14:paraId="30ED85E5" w14:textId="77777777" w:rsidR="008B3086" w:rsidRPr="00350596" w:rsidRDefault="008B3086" w:rsidP="007959EA">
            <w:pPr>
              <w:pStyle w:val="COMTabletext"/>
              <w:jc w:val="center"/>
            </w:pPr>
            <w:r w:rsidRPr="00350596">
              <w:t>1.66</w:t>
            </w:r>
          </w:p>
        </w:tc>
        <w:tc>
          <w:tcPr>
            <w:tcW w:w="901" w:type="dxa"/>
            <w:vAlign w:val="center"/>
          </w:tcPr>
          <w:p w14:paraId="23367C1C" w14:textId="77777777" w:rsidR="008B3086" w:rsidRPr="00350596" w:rsidRDefault="008B3086" w:rsidP="007959EA">
            <w:pPr>
              <w:pStyle w:val="COMTabletext"/>
              <w:jc w:val="center"/>
            </w:pPr>
            <w:r w:rsidRPr="00350596">
              <w:t>52</w:t>
            </w:r>
          </w:p>
        </w:tc>
        <w:tc>
          <w:tcPr>
            <w:tcW w:w="903" w:type="dxa"/>
            <w:vAlign w:val="center"/>
          </w:tcPr>
          <w:p w14:paraId="7C43F072" w14:textId="77777777" w:rsidR="008B3086" w:rsidRPr="00350596" w:rsidRDefault="008B3086" w:rsidP="007959EA">
            <w:pPr>
              <w:pStyle w:val="COMTabletext"/>
              <w:jc w:val="center"/>
            </w:pPr>
            <w:r w:rsidRPr="00350596">
              <w:t>2.40</w:t>
            </w:r>
          </w:p>
        </w:tc>
        <w:tc>
          <w:tcPr>
            <w:tcW w:w="902" w:type="dxa"/>
            <w:vAlign w:val="center"/>
          </w:tcPr>
          <w:p w14:paraId="556C410B" w14:textId="77777777" w:rsidR="008B3086" w:rsidRPr="00350596" w:rsidRDefault="008B3086" w:rsidP="007959EA">
            <w:pPr>
              <w:pStyle w:val="COMTabletext"/>
              <w:jc w:val="center"/>
            </w:pPr>
            <w:r w:rsidRPr="00350596">
              <w:t>41</w:t>
            </w:r>
          </w:p>
        </w:tc>
        <w:tc>
          <w:tcPr>
            <w:tcW w:w="902" w:type="dxa"/>
            <w:vAlign w:val="center"/>
          </w:tcPr>
          <w:p w14:paraId="3508381C" w14:textId="77777777" w:rsidR="008B3086" w:rsidRPr="00350596" w:rsidRDefault="008B3086" w:rsidP="007959EA">
            <w:pPr>
              <w:pStyle w:val="COMTabletext"/>
              <w:jc w:val="center"/>
            </w:pPr>
            <w:r w:rsidRPr="00350596">
              <w:t>1.83</w:t>
            </w:r>
          </w:p>
        </w:tc>
      </w:tr>
      <w:tr w:rsidR="008B3086" w:rsidRPr="00350596" w14:paraId="1DD41FC5" w14:textId="77777777" w:rsidTr="007959EA">
        <w:tc>
          <w:tcPr>
            <w:tcW w:w="1802" w:type="dxa"/>
          </w:tcPr>
          <w:p w14:paraId="7445BF19" w14:textId="77777777" w:rsidR="008B3086" w:rsidRPr="00350596" w:rsidRDefault="008B3086" w:rsidP="007959EA">
            <w:pPr>
              <w:pStyle w:val="COMTabletext"/>
            </w:pPr>
            <w:r w:rsidRPr="00350596">
              <w:t>Serious AE</w:t>
            </w:r>
          </w:p>
        </w:tc>
        <w:tc>
          <w:tcPr>
            <w:tcW w:w="901" w:type="dxa"/>
            <w:vAlign w:val="center"/>
          </w:tcPr>
          <w:p w14:paraId="32C10597" w14:textId="77777777" w:rsidR="008B3086" w:rsidRPr="00350596" w:rsidRDefault="008B3086" w:rsidP="007959EA">
            <w:pPr>
              <w:pStyle w:val="COMTabletext"/>
              <w:jc w:val="center"/>
            </w:pPr>
            <w:r w:rsidRPr="00350596">
              <w:t>1</w:t>
            </w:r>
          </w:p>
        </w:tc>
        <w:tc>
          <w:tcPr>
            <w:tcW w:w="902" w:type="dxa"/>
            <w:vAlign w:val="center"/>
          </w:tcPr>
          <w:p w14:paraId="32002DB9" w14:textId="77777777" w:rsidR="008B3086" w:rsidRPr="00350596" w:rsidRDefault="008B3086" w:rsidP="007959EA">
            <w:pPr>
              <w:pStyle w:val="COMTabletext"/>
              <w:jc w:val="center"/>
            </w:pPr>
            <w:r w:rsidRPr="00350596">
              <w:t>0.06</w:t>
            </w:r>
          </w:p>
        </w:tc>
        <w:tc>
          <w:tcPr>
            <w:tcW w:w="902" w:type="dxa"/>
            <w:vAlign w:val="center"/>
          </w:tcPr>
          <w:p w14:paraId="4BE6F111" w14:textId="77777777" w:rsidR="008B3086" w:rsidRPr="00350596" w:rsidRDefault="008B3086" w:rsidP="007959EA">
            <w:pPr>
              <w:pStyle w:val="COMTabletext"/>
              <w:jc w:val="center"/>
            </w:pPr>
            <w:r w:rsidRPr="00350596">
              <w:t>6</w:t>
            </w:r>
          </w:p>
        </w:tc>
        <w:tc>
          <w:tcPr>
            <w:tcW w:w="902" w:type="dxa"/>
            <w:vAlign w:val="center"/>
          </w:tcPr>
          <w:p w14:paraId="75BAF15D" w14:textId="77777777" w:rsidR="008B3086" w:rsidRPr="00350596" w:rsidRDefault="008B3086" w:rsidP="007959EA">
            <w:pPr>
              <w:pStyle w:val="COMTabletext"/>
              <w:jc w:val="center"/>
            </w:pPr>
            <w:r w:rsidRPr="00350596">
              <w:t>0.34</w:t>
            </w:r>
          </w:p>
        </w:tc>
        <w:tc>
          <w:tcPr>
            <w:tcW w:w="901" w:type="dxa"/>
            <w:vAlign w:val="center"/>
          </w:tcPr>
          <w:p w14:paraId="1FCA74F9" w14:textId="77777777" w:rsidR="008B3086" w:rsidRPr="00350596" w:rsidRDefault="008B3086" w:rsidP="007959EA">
            <w:pPr>
              <w:pStyle w:val="COMTabletext"/>
              <w:jc w:val="center"/>
            </w:pPr>
            <w:r w:rsidRPr="00350596">
              <w:t>2</w:t>
            </w:r>
          </w:p>
        </w:tc>
        <w:tc>
          <w:tcPr>
            <w:tcW w:w="903" w:type="dxa"/>
            <w:vAlign w:val="center"/>
          </w:tcPr>
          <w:p w14:paraId="34F6356C" w14:textId="77777777" w:rsidR="008B3086" w:rsidRPr="00350596" w:rsidRDefault="008B3086" w:rsidP="007959EA">
            <w:pPr>
              <w:pStyle w:val="COMTabletext"/>
              <w:jc w:val="center"/>
            </w:pPr>
            <w:r w:rsidRPr="00350596">
              <w:t>0.09</w:t>
            </w:r>
          </w:p>
        </w:tc>
        <w:tc>
          <w:tcPr>
            <w:tcW w:w="902" w:type="dxa"/>
            <w:vAlign w:val="center"/>
          </w:tcPr>
          <w:p w14:paraId="646C3637" w14:textId="77777777" w:rsidR="008B3086" w:rsidRPr="00350596" w:rsidRDefault="008B3086" w:rsidP="007959EA">
            <w:pPr>
              <w:pStyle w:val="COMTabletext"/>
              <w:jc w:val="center"/>
            </w:pPr>
            <w:r w:rsidRPr="00350596">
              <w:t>7</w:t>
            </w:r>
          </w:p>
        </w:tc>
        <w:tc>
          <w:tcPr>
            <w:tcW w:w="902" w:type="dxa"/>
            <w:vAlign w:val="center"/>
          </w:tcPr>
          <w:p w14:paraId="2668CED9" w14:textId="77777777" w:rsidR="008B3086" w:rsidRPr="00350596" w:rsidRDefault="008B3086" w:rsidP="007959EA">
            <w:pPr>
              <w:pStyle w:val="COMTabletext"/>
              <w:jc w:val="center"/>
            </w:pPr>
            <w:r w:rsidRPr="00350596">
              <w:t>0.31</w:t>
            </w:r>
          </w:p>
        </w:tc>
      </w:tr>
      <w:tr w:rsidR="008B3086" w:rsidRPr="00350596" w14:paraId="1DF58285" w14:textId="77777777" w:rsidTr="007959EA">
        <w:tc>
          <w:tcPr>
            <w:tcW w:w="1802" w:type="dxa"/>
          </w:tcPr>
          <w:p w14:paraId="6DD3803C" w14:textId="77777777" w:rsidR="008B3086" w:rsidRPr="00350596" w:rsidRDefault="008B3086" w:rsidP="007959EA">
            <w:pPr>
              <w:pStyle w:val="COMTabletext"/>
            </w:pPr>
            <w:r w:rsidRPr="00350596">
              <w:t>AE leading to treatment discontinuation</w:t>
            </w:r>
          </w:p>
        </w:tc>
        <w:tc>
          <w:tcPr>
            <w:tcW w:w="901" w:type="dxa"/>
            <w:vAlign w:val="center"/>
          </w:tcPr>
          <w:p w14:paraId="65EB7C6C" w14:textId="77777777" w:rsidR="008B3086" w:rsidRPr="00350596" w:rsidRDefault="008B3086" w:rsidP="007959EA">
            <w:pPr>
              <w:pStyle w:val="COMTabletext"/>
              <w:jc w:val="center"/>
            </w:pPr>
            <w:r w:rsidRPr="00350596">
              <w:t>1</w:t>
            </w:r>
          </w:p>
        </w:tc>
        <w:tc>
          <w:tcPr>
            <w:tcW w:w="902" w:type="dxa"/>
            <w:vAlign w:val="center"/>
          </w:tcPr>
          <w:p w14:paraId="16113A8A" w14:textId="77777777" w:rsidR="008B3086" w:rsidRPr="00350596" w:rsidRDefault="008B3086" w:rsidP="007959EA">
            <w:pPr>
              <w:pStyle w:val="COMTabletext"/>
              <w:jc w:val="center"/>
            </w:pPr>
            <w:r w:rsidRPr="00350596">
              <w:t>0.06</w:t>
            </w:r>
          </w:p>
        </w:tc>
        <w:tc>
          <w:tcPr>
            <w:tcW w:w="902" w:type="dxa"/>
            <w:vAlign w:val="center"/>
          </w:tcPr>
          <w:p w14:paraId="2DFF8AEA" w14:textId="77777777" w:rsidR="008B3086" w:rsidRPr="00350596" w:rsidRDefault="008B3086" w:rsidP="007959EA">
            <w:pPr>
              <w:pStyle w:val="COMTabletext"/>
              <w:jc w:val="center"/>
            </w:pPr>
            <w:r w:rsidRPr="00350596">
              <w:t>3</w:t>
            </w:r>
          </w:p>
        </w:tc>
        <w:tc>
          <w:tcPr>
            <w:tcW w:w="902" w:type="dxa"/>
            <w:vAlign w:val="center"/>
          </w:tcPr>
          <w:p w14:paraId="3F80F120" w14:textId="77777777" w:rsidR="008B3086" w:rsidRPr="00350596" w:rsidRDefault="008B3086" w:rsidP="007959EA">
            <w:pPr>
              <w:pStyle w:val="COMTabletext"/>
              <w:jc w:val="center"/>
            </w:pPr>
            <w:r w:rsidRPr="00350596">
              <w:t>0.17</w:t>
            </w:r>
          </w:p>
        </w:tc>
        <w:tc>
          <w:tcPr>
            <w:tcW w:w="901" w:type="dxa"/>
            <w:vAlign w:val="center"/>
          </w:tcPr>
          <w:p w14:paraId="50AF225B" w14:textId="77777777" w:rsidR="008B3086" w:rsidRPr="00350596" w:rsidRDefault="008B3086" w:rsidP="007959EA">
            <w:pPr>
              <w:pStyle w:val="COMTabletext"/>
              <w:jc w:val="center"/>
            </w:pPr>
            <w:r w:rsidRPr="00350596">
              <w:t>6</w:t>
            </w:r>
          </w:p>
        </w:tc>
        <w:tc>
          <w:tcPr>
            <w:tcW w:w="903" w:type="dxa"/>
            <w:vAlign w:val="center"/>
          </w:tcPr>
          <w:p w14:paraId="69C5CCB5" w14:textId="77777777" w:rsidR="008B3086" w:rsidRPr="00350596" w:rsidRDefault="008B3086" w:rsidP="007959EA">
            <w:pPr>
              <w:pStyle w:val="COMTabletext"/>
              <w:jc w:val="center"/>
            </w:pPr>
            <w:r w:rsidRPr="00350596">
              <w:t>0.28</w:t>
            </w:r>
          </w:p>
        </w:tc>
        <w:tc>
          <w:tcPr>
            <w:tcW w:w="902" w:type="dxa"/>
            <w:vAlign w:val="center"/>
          </w:tcPr>
          <w:p w14:paraId="644B18D0" w14:textId="77777777" w:rsidR="008B3086" w:rsidRPr="00350596" w:rsidRDefault="008B3086" w:rsidP="007959EA">
            <w:pPr>
              <w:pStyle w:val="COMTabletext"/>
              <w:jc w:val="center"/>
            </w:pPr>
            <w:r w:rsidRPr="00350596">
              <w:t>3</w:t>
            </w:r>
          </w:p>
        </w:tc>
        <w:tc>
          <w:tcPr>
            <w:tcW w:w="902" w:type="dxa"/>
            <w:vAlign w:val="center"/>
          </w:tcPr>
          <w:p w14:paraId="3003D455" w14:textId="77777777" w:rsidR="008B3086" w:rsidRPr="00350596" w:rsidRDefault="008B3086" w:rsidP="007959EA">
            <w:pPr>
              <w:pStyle w:val="COMTabletext"/>
              <w:jc w:val="center"/>
            </w:pPr>
            <w:r w:rsidRPr="00350596">
              <w:t>0.13</w:t>
            </w:r>
          </w:p>
        </w:tc>
      </w:tr>
      <w:tr w:rsidR="008B3086" w:rsidRPr="00350596" w14:paraId="54734C89" w14:textId="77777777" w:rsidTr="007959EA">
        <w:tc>
          <w:tcPr>
            <w:tcW w:w="1802" w:type="dxa"/>
          </w:tcPr>
          <w:p w14:paraId="6E9CE049" w14:textId="77777777" w:rsidR="008B3086" w:rsidRPr="00350596" w:rsidRDefault="008B3086" w:rsidP="007959EA">
            <w:pPr>
              <w:pStyle w:val="COMTabletext"/>
            </w:pPr>
            <w:r w:rsidRPr="00350596">
              <w:t>Deaths</w:t>
            </w:r>
          </w:p>
        </w:tc>
        <w:tc>
          <w:tcPr>
            <w:tcW w:w="901" w:type="dxa"/>
            <w:vAlign w:val="center"/>
          </w:tcPr>
          <w:p w14:paraId="135544A9" w14:textId="77777777" w:rsidR="008B3086" w:rsidRPr="00350596" w:rsidRDefault="008B3086" w:rsidP="007959EA">
            <w:pPr>
              <w:pStyle w:val="COMTabletext"/>
              <w:jc w:val="center"/>
            </w:pPr>
            <w:r w:rsidRPr="00350596">
              <w:t>0</w:t>
            </w:r>
          </w:p>
        </w:tc>
        <w:tc>
          <w:tcPr>
            <w:tcW w:w="902" w:type="dxa"/>
            <w:vAlign w:val="center"/>
          </w:tcPr>
          <w:p w14:paraId="4937CFDA" w14:textId="77777777" w:rsidR="008B3086" w:rsidRPr="00350596" w:rsidRDefault="008B3086" w:rsidP="007959EA">
            <w:pPr>
              <w:pStyle w:val="COMTabletext"/>
              <w:jc w:val="center"/>
            </w:pPr>
            <w:r w:rsidRPr="00350596">
              <w:t>0</w:t>
            </w:r>
          </w:p>
        </w:tc>
        <w:tc>
          <w:tcPr>
            <w:tcW w:w="902" w:type="dxa"/>
            <w:vAlign w:val="center"/>
          </w:tcPr>
          <w:p w14:paraId="7D2DAA78" w14:textId="77777777" w:rsidR="008B3086" w:rsidRPr="00350596" w:rsidRDefault="008B3086" w:rsidP="007959EA">
            <w:pPr>
              <w:pStyle w:val="COMTabletext"/>
              <w:jc w:val="center"/>
            </w:pPr>
            <w:r w:rsidRPr="00350596">
              <w:t>0</w:t>
            </w:r>
          </w:p>
        </w:tc>
        <w:tc>
          <w:tcPr>
            <w:tcW w:w="902" w:type="dxa"/>
            <w:vAlign w:val="center"/>
          </w:tcPr>
          <w:p w14:paraId="5BF1BA59" w14:textId="77777777" w:rsidR="008B3086" w:rsidRPr="00350596" w:rsidRDefault="008B3086" w:rsidP="007959EA">
            <w:pPr>
              <w:pStyle w:val="COMTabletext"/>
              <w:jc w:val="center"/>
            </w:pPr>
            <w:r w:rsidRPr="00350596">
              <w:t>0</w:t>
            </w:r>
          </w:p>
        </w:tc>
        <w:tc>
          <w:tcPr>
            <w:tcW w:w="901" w:type="dxa"/>
            <w:vAlign w:val="center"/>
          </w:tcPr>
          <w:p w14:paraId="6386D2CE" w14:textId="77777777" w:rsidR="008B3086" w:rsidRPr="00350596" w:rsidRDefault="008B3086" w:rsidP="007959EA">
            <w:pPr>
              <w:pStyle w:val="COMTabletext"/>
              <w:jc w:val="center"/>
            </w:pPr>
            <w:r w:rsidRPr="00350596">
              <w:t>0</w:t>
            </w:r>
          </w:p>
        </w:tc>
        <w:tc>
          <w:tcPr>
            <w:tcW w:w="903" w:type="dxa"/>
            <w:vAlign w:val="center"/>
          </w:tcPr>
          <w:p w14:paraId="465206F2" w14:textId="77777777" w:rsidR="008B3086" w:rsidRPr="00350596" w:rsidRDefault="008B3086" w:rsidP="007959EA">
            <w:pPr>
              <w:pStyle w:val="COMTabletext"/>
              <w:jc w:val="center"/>
            </w:pPr>
            <w:r w:rsidRPr="00350596">
              <w:t>0</w:t>
            </w:r>
          </w:p>
        </w:tc>
        <w:tc>
          <w:tcPr>
            <w:tcW w:w="902" w:type="dxa"/>
            <w:vAlign w:val="center"/>
          </w:tcPr>
          <w:p w14:paraId="53E15126" w14:textId="77777777" w:rsidR="008B3086" w:rsidRPr="00350596" w:rsidRDefault="008B3086" w:rsidP="007959EA">
            <w:pPr>
              <w:pStyle w:val="COMTabletext"/>
              <w:jc w:val="center"/>
            </w:pPr>
            <w:r w:rsidRPr="00350596">
              <w:t>0</w:t>
            </w:r>
          </w:p>
        </w:tc>
        <w:tc>
          <w:tcPr>
            <w:tcW w:w="902" w:type="dxa"/>
            <w:vAlign w:val="center"/>
          </w:tcPr>
          <w:p w14:paraId="05F2F37A" w14:textId="77777777" w:rsidR="008B3086" w:rsidRPr="00350596" w:rsidRDefault="008B3086" w:rsidP="007959EA">
            <w:pPr>
              <w:pStyle w:val="COMTabletext"/>
              <w:jc w:val="center"/>
            </w:pPr>
            <w:r w:rsidRPr="00350596">
              <w:t>0</w:t>
            </w:r>
          </w:p>
        </w:tc>
      </w:tr>
      <w:tr w:rsidR="008B3086" w:rsidRPr="00350596" w14:paraId="0E9A60D6" w14:textId="77777777" w:rsidTr="007959EA">
        <w:tc>
          <w:tcPr>
            <w:tcW w:w="9017" w:type="dxa"/>
            <w:gridSpan w:val="9"/>
          </w:tcPr>
          <w:p w14:paraId="664C0CF8" w14:textId="77777777" w:rsidR="008B3086" w:rsidRPr="00350596" w:rsidRDefault="008B3086" w:rsidP="007959EA">
            <w:pPr>
              <w:pStyle w:val="COMTabletext"/>
              <w:rPr>
                <w:b/>
                <w:bCs w:val="0"/>
              </w:rPr>
            </w:pPr>
            <w:r w:rsidRPr="00350596">
              <w:rPr>
                <w:b/>
                <w:bCs w:val="0"/>
              </w:rPr>
              <w:t>Adverse events of special interest</w:t>
            </w:r>
          </w:p>
        </w:tc>
      </w:tr>
      <w:tr w:rsidR="008B3086" w:rsidRPr="00350596" w14:paraId="08578CD0" w14:textId="77777777" w:rsidTr="007959EA">
        <w:tc>
          <w:tcPr>
            <w:tcW w:w="1802" w:type="dxa"/>
          </w:tcPr>
          <w:p w14:paraId="5381A3F1" w14:textId="77777777" w:rsidR="008B3086" w:rsidRPr="00350596" w:rsidRDefault="008B3086" w:rsidP="007959EA">
            <w:pPr>
              <w:pStyle w:val="COMTabletext"/>
            </w:pPr>
            <w:r w:rsidRPr="00350596">
              <w:t xml:space="preserve">Infections </w:t>
            </w:r>
          </w:p>
        </w:tc>
        <w:tc>
          <w:tcPr>
            <w:tcW w:w="901" w:type="dxa"/>
            <w:vAlign w:val="center"/>
          </w:tcPr>
          <w:p w14:paraId="2F7B4937" w14:textId="77777777" w:rsidR="008B3086" w:rsidRPr="00350596" w:rsidRDefault="008B3086" w:rsidP="007959EA">
            <w:pPr>
              <w:pStyle w:val="COMTabletext"/>
              <w:jc w:val="center"/>
            </w:pPr>
            <w:r w:rsidRPr="00350596">
              <w:t>27</w:t>
            </w:r>
          </w:p>
        </w:tc>
        <w:tc>
          <w:tcPr>
            <w:tcW w:w="902" w:type="dxa"/>
            <w:vAlign w:val="center"/>
          </w:tcPr>
          <w:p w14:paraId="27B495B4" w14:textId="77777777" w:rsidR="008B3086" w:rsidRPr="00350596" w:rsidRDefault="008B3086" w:rsidP="007959EA">
            <w:pPr>
              <w:pStyle w:val="COMTabletext"/>
              <w:jc w:val="center"/>
            </w:pPr>
            <w:r w:rsidRPr="00350596">
              <w:t>1.66</w:t>
            </w:r>
          </w:p>
        </w:tc>
        <w:tc>
          <w:tcPr>
            <w:tcW w:w="902" w:type="dxa"/>
            <w:vAlign w:val="center"/>
          </w:tcPr>
          <w:p w14:paraId="55DFE23F" w14:textId="77777777" w:rsidR="008B3086" w:rsidRPr="00350596" w:rsidRDefault="008B3086" w:rsidP="007959EA">
            <w:pPr>
              <w:pStyle w:val="COMTabletext"/>
              <w:jc w:val="center"/>
            </w:pPr>
            <w:r w:rsidRPr="00350596">
              <w:t>19</w:t>
            </w:r>
          </w:p>
        </w:tc>
        <w:tc>
          <w:tcPr>
            <w:tcW w:w="902" w:type="dxa"/>
            <w:vAlign w:val="center"/>
          </w:tcPr>
          <w:p w14:paraId="08F76C26" w14:textId="77777777" w:rsidR="008B3086" w:rsidRPr="00350596" w:rsidRDefault="008B3086" w:rsidP="007959EA">
            <w:pPr>
              <w:pStyle w:val="COMTabletext"/>
              <w:jc w:val="center"/>
            </w:pPr>
            <w:r w:rsidRPr="00350596">
              <w:t>1.09</w:t>
            </w:r>
          </w:p>
        </w:tc>
        <w:tc>
          <w:tcPr>
            <w:tcW w:w="901" w:type="dxa"/>
            <w:vAlign w:val="center"/>
          </w:tcPr>
          <w:p w14:paraId="16FC9871" w14:textId="77777777" w:rsidR="008B3086" w:rsidRPr="00350596" w:rsidRDefault="008B3086" w:rsidP="007959EA">
            <w:pPr>
              <w:pStyle w:val="COMTabletext"/>
              <w:jc w:val="center"/>
            </w:pPr>
            <w:r w:rsidRPr="00350596">
              <w:t>34</w:t>
            </w:r>
          </w:p>
        </w:tc>
        <w:tc>
          <w:tcPr>
            <w:tcW w:w="903" w:type="dxa"/>
            <w:vAlign w:val="center"/>
          </w:tcPr>
          <w:p w14:paraId="7370E816" w14:textId="77777777" w:rsidR="008B3086" w:rsidRPr="00350596" w:rsidRDefault="008B3086" w:rsidP="007959EA">
            <w:pPr>
              <w:pStyle w:val="COMTabletext"/>
              <w:jc w:val="center"/>
            </w:pPr>
            <w:r w:rsidRPr="00350596">
              <w:t>1.57</w:t>
            </w:r>
          </w:p>
        </w:tc>
        <w:tc>
          <w:tcPr>
            <w:tcW w:w="902" w:type="dxa"/>
            <w:vAlign w:val="center"/>
          </w:tcPr>
          <w:p w14:paraId="4D84874E" w14:textId="77777777" w:rsidR="008B3086" w:rsidRPr="00350596" w:rsidRDefault="008B3086" w:rsidP="007959EA">
            <w:pPr>
              <w:pStyle w:val="COMTabletext"/>
              <w:jc w:val="center"/>
            </w:pPr>
            <w:r w:rsidRPr="00350596">
              <w:t>25</w:t>
            </w:r>
          </w:p>
        </w:tc>
        <w:tc>
          <w:tcPr>
            <w:tcW w:w="902" w:type="dxa"/>
            <w:vAlign w:val="center"/>
          </w:tcPr>
          <w:p w14:paraId="7047AA27" w14:textId="77777777" w:rsidR="008B3086" w:rsidRPr="00350596" w:rsidRDefault="008B3086" w:rsidP="007959EA">
            <w:pPr>
              <w:pStyle w:val="COMTabletext"/>
              <w:jc w:val="center"/>
            </w:pPr>
            <w:r w:rsidRPr="00350596">
              <w:t>1.12</w:t>
            </w:r>
          </w:p>
        </w:tc>
      </w:tr>
    </w:tbl>
    <w:p w14:paraId="21C1B7BE" w14:textId="2102BDAD" w:rsidR="008B3086" w:rsidRPr="00350596" w:rsidRDefault="008B3086" w:rsidP="008B3086">
      <w:pPr>
        <w:pStyle w:val="COMTablefooter"/>
      </w:pPr>
      <w:r w:rsidRPr="00350596">
        <w:t>Source: Table 14.3.1.1.1, p4232 of the ADAPT trial report</w:t>
      </w:r>
    </w:p>
    <w:p w14:paraId="1FB2C5FF" w14:textId="314A2CD6" w:rsidR="008B3086" w:rsidRPr="00350596" w:rsidRDefault="008B3086" w:rsidP="008B3086">
      <w:pPr>
        <w:pStyle w:val="COMTablefooter"/>
      </w:pPr>
      <w:r w:rsidRPr="00350596">
        <w:t>Abbreviation</w:t>
      </w:r>
      <w:r w:rsidR="00930847" w:rsidRPr="00350596">
        <w:t>s</w:t>
      </w:r>
      <w:r w:rsidRPr="00350596">
        <w:t>: AChR+, acetylcholine receptor antibody positive; AE, adverse event; yr, year</w:t>
      </w:r>
    </w:p>
    <w:p w14:paraId="2862968A" w14:textId="7DCAEB13" w:rsidR="008B3086" w:rsidRPr="00350596" w:rsidRDefault="00165FA3" w:rsidP="00165FA3">
      <w:pPr>
        <w:pStyle w:val="Caption"/>
        <w:rPr>
          <w:lang w:val="en-AU"/>
        </w:rPr>
      </w:pPr>
      <w:bookmarkStart w:id="41" w:name="_Ref187601709"/>
      <w:r w:rsidRPr="00350596">
        <w:rPr>
          <w:lang w:val="en-AU"/>
        </w:rPr>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9</w:t>
      </w:r>
      <w:r w:rsidRPr="00350596">
        <w:rPr>
          <w:lang w:val="en-AU"/>
        </w:rPr>
        <w:fldChar w:fldCharType="end"/>
      </w:r>
      <w:bookmarkEnd w:id="41"/>
      <w:r w:rsidR="008B3086" w:rsidRPr="00350596">
        <w:rPr>
          <w:lang w:val="en-AU"/>
        </w:rPr>
        <w:t>: Summary of key adverse events during the second treatment cycle and follow-up (8 weeks)</w:t>
      </w:r>
    </w:p>
    <w:tbl>
      <w:tblPr>
        <w:tblStyle w:val="TableGrid"/>
        <w:tblW w:w="0" w:type="auto"/>
        <w:tblCellMar>
          <w:left w:w="57" w:type="dxa"/>
          <w:right w:w="57" w:type="dxa"/>
        </w:tblCellMar>
        <w:tblLook w:val="04A0" w:firstRow="1" w:lastRow="0" w:firstColumn="1" w:lastColumn="0" w:noHBand="0" w:noVBand="1"/>
        <w:tblCaption w:val="Table 9: Summary of key adverse events during the second treatment cycle and follow-up (8 weeks)"/>
      </w:tblPr>
      <w:tblGrid>
        <w:gridCol w:w="1802"/>
        <w:gridCol w:w="901"/>
        <w:gridCol w:w="902"/>
        <w:gridCol w:w="902"/>
        <w:gridCol w:w="902"/>
        <w:gridCol w:w="901"/>
        <w:gridCol w:w="903"/>
        <w:gridCol w:w="902"/>
        <w:gridCol w:w="902"/>
      </w:tblGrid>
      <w:tr w:rsidR="008B3086" w:rsidRPr="00350596" w14:paraId="5C57656D" w14:textId="77777777" w:rsidTr="007959EA">
        <w:tc>
          <w:tcPr>
            <w:tcW w:w="1802" w:type="dxa"/>
            <w:vMerge w:val="restart"/>
          </w:tcPr>
          <w:p w14:paraId="6935E9DF" w14:textId="77777777" w:rsidR="008B3086" w:rsidRPr="00350596" w:rsidRDefault="008B3086" w:rsidP="007959EA">
            <w:pPr>
              <w:pStyle w:val="COMTableheadingrow"/>
              <w:rPr>
                <w:lang w:val="en-AU"/>
              </w:rPr>
            </w:pPr>
          </w:p>
        </w:tc>
        <w:tc>
          <w:tcPr>
            <w:tcW w:w="3607" w:type="dxa"/>
            <w:gridSpan w:val="4"/>
            <w:vAlign w:val="center"/>
          </w:tcPr>
          <w:p w14:paraId="545A03A0" w14:textId="77777777" w:rsidR="008B3086" w:rsidRPr="00350596" w:rsidRDefault="008B3086" w:rsidP="007959EA">
            <w:pPr>
              <w:pStyle w:val="COMTableheadingrow"/>
              <w:jc w:val="center"/>
              <w:rPr>
                <w:lang w:val="en-AU"/>
              </w:rPr>
            </w:pPr>
            <w:r w:rsidRPr="00350596">
              <w:rPr>
                <w:lang w:val="en-AU"/>
              </w:rPr>
              <w:t>AChR+ group</w:t>
            </w:r>
          </w:p>
        </w:tc>
        <w:tc>
          <w:tcPr>
            <w:tcW w:w="3608" w:type="dxa"/>
            <w:gridSpan w:val="4"/>
            <w:vAlign w:val="center"/>
          </w:tcPr>
          <w:p w14:paraId="1C49F562" w14:textId="77777777" w:rsidR="008B3086" w:rsidRPr="00350596" w:rsidRDefault="008B3086" w:rsidP="007959EA">
            <w:pPr>
              <w:pStyle w:val="COMTableheadingrow"/>
              <w:jc w:val="center"/>
              <w:rPr>
                <w:lang w:val="en-AU"/>
              </w:rPr>
            </w:pPr>
            <w:r w:rsidRPr="00350596">
              <w:rPr>
                <w:lang w:val="en-AU"/>
              </w:rPr>
              <w:t>Overall population</w:t>
            </w:r>
          </w:p>
        </w:tc>
      </w:tr>
      <w:tr w:rsidR="008B3086" w:rsidRPr="00350596" w14:paraId="29F69527" w14:textId="77777777" w:rsidTr="007959EA">
        <w:tc>
          <w:tcPr>
            <w:tcW w:w="1802" w:type="dxa"/>
            <w:vMerge/>
          </w:tcPr>
          <w:p w14:paraId="1FDAE29D" w14:textId="77777777" w:rsidR="008B3086" w:rsidRPr="00350596" w:rsidRDefault="008B3086" w:rsidP="007959EA">
            <w:pPr>
              <w:pStyle w:val="COMTableheadingrow"/>
              <w:rPr>
                <w:lang w:val="en-AU"/>
              </w:rPr>
            </w:pPr>
          </w:p>
        </w:tc>
        <w:tc>
          <w:tcPr>
            <w:tcW w:w="1803" w:type="dxa"/>
            <w:gridSpan w:val="2"/>
            <w:vAlign w:val="center"/>
          </w:tcPr>
          <w:p w14:paraId="2B34569C" w14:textId="77777777" w:rsidR="008B3086" w:rsidRPr="00350596" w:rsidRDefault="008B3086" w:rsidP="007959EA">
            <w:pPr>
              <w:pStyle w:val="COMTableheadingrow"/>
              <w:jc w:val="center"/>
              <w:rPr>
                <w:lang w:val="en-AU"/>
              </w:rPr>
            </w:pPr>
            <w:r w:rsidRPr="00350596">
              <w:rPr>
                <w:lang w:val="en-AU"/>
              </w:rPr>
              <w:t>Efgartigimod</w:t>
            </w:r>
          </w:p>
          <w:p w14:paraId="11EB73A5" w14:textId="77777777" w:rsidR="008B3086" w:rsidRPr="00350596" w:rsidRDefault="008B3086" w:rsidP="007959EA">
            <w:pPr>
              <w:pStyle w:val="COMTableheadingrow"/>
              <w:jc w:val="center"/>
              <w:rPr>
                <w:lang w:val="en-AU"/>
              </w:rPr>
            </w:pPr>
            <w:r w:rsidRPr="00350596">
              <w:rPr>
                <w:lang w:val="en-AU"/>
              </w:rPr>
              <w:t>N = 51</w:t>
            </w:r>
          </w:p>
        </w:tc>
        <w:tc>
          <w:tcPr>
            <w:tcW w:w="1804" w:type="dxa"/>
            <w:gridSpan w:val="2"/>
            <w:vAlign w:val="center"/>
          </w:tcPr>
          <w:p w14:paraId="10C033AC" w14:textId="77777777" w:rsidR="008B3086" w:rsidRPr="00350596" w:rsidRDefault="008B3086" w:rsidP="007959EA">
            <w:pPr>
              <w:pStyle w:val="COMTableheadingrow"/>
              <w:jc w:val="center"/>
              <w:rPr>
                <w:lang w:val="en-AU"/>
              </w:rPr>
            </w:pPr>
            <w:r w:rsidRPr="00350596">
              <w:rPr>
                <w:lang w:val="en-AU"/>
              </w:rPr>
              <w:t>Placebo</w:t>
            </w:r>
          </w:p>
          <w:p w14:paraId="388AFFD6" w14:textId="77777777" w:rsidR="008B3086" w:rsidRPr="00350596" w:rsidRDefault="008B3086" w:rsidP="007959EA">
            <w:pPr>
              <w:pStyle w:val="COMTableheadingrow"/>
              <w:jc w:val="center"/>
              <w:rPr>
                <w:lang w:val="en-AU"/>
              </w:rPr>
            </w:pPr>
            <w:r w:rsidRPr="00350596">
              <w:rPr>
                <w:lang w:val="en-AU"/>
              </w:rPr>
              <w:t>N = 43</w:t>
            </w:r>
          </w:p>
        </w:tc>
        <w:tc>
          <w:tcPr>
            <w:tcW w:w="1804" w:type="dxa"/>
            <w:gridSpan w:val="2"/>
            <w:vAlign w:val="center"/>
          </w:tcPr>
          <w:p w14:paraId="478590FB" w14:textId="77777777" w:rsidR="008B3086" w:rsidRPr="00350596" w:rsidRDefault="008B3086" w:rsidP="007959EA">
            <w:pPr>
              <w:pStyle w:val="COMTableheadingrow"/>
              <w:jc w:val="center"/>
              <w:rPr>
                <w:lang w:val="en-AU"/>
              </w:rPr>
            </w:pPr>
            <w:r w:rsidRPr="00350596">
              <w:rPr>
                <w:lang w:val="en-AU"/>
              </w:rPr>
              <w:t>Efgartigimod</w:t>
            </w:r>
          </w:p>
          <w:p w14:paraId="6A17B7A9" w14:textId="77777777" w:rsidR="008B3086" w:rsidRPr="00350596" w:rsidRDefault="008B3086" w:rsidP="007959EA">
            <w:pPr>
              <w:pStyle w:val="COMTableheadingrow"/>
              <w:jc w:val="center"/>
              <w:rPr>
                <w:lang w:val="en-AU"/>
              </w:rPr>
            </w:pPr>
            <w:r w:rsidRPr="00350596">
              <w:rPr>
                <w:lang w:val="en-AU"/>
              </w:rPr>
              <w:t>N = 63</w:t>
            </w:r>
          </w:p>
        </w:tc>
        <w:tc>
          <w:tcPr>
            <w:tcW w:w="1804" w:type="dxa"/>
            <w:gridSpan w:val="2"/>
            <w:vAlign w:val="center"/>
          </w:tcPr>
          <w:p w14:paraId="2AEDBD5D" w14:textId="77777777" w:rsidR="008B3086" w:rsidRPr="00350596" w:rsidRDefault="008B3086" w:rsidP="007959EA">
            <w:pPr>
              <w:pStyle w:val="COMTableheadingrow"/>
              <w:jc w:val="center"/>
              <w:rPr>
                <w:lang w:val="en-AU"/>
              </w:rPr>
            </w:pPr>
            <w:r w:rsidRPr="00350596">
              <w:rPr>
                <w:lang w:val="en-AU"/>
              </w:rPr>
              <w:t>Placebo</w:t>
            </w:r>
          </w:p>
          <w:p w14:paraId="7D8672FF" w14:textId="77777777" w:rsidR="008B3086" w:rsidRPr="00350596" w:rsidRDefault="008B3086" w:rsidP="007959EA">
            <w:pPr>
              <w:pStyle w:val="COMTableheadingrow"/>
              <w:jc w:val="center"/>
              <w:rPr>
                <w:lang w:val="en-AU"/>
              </w:rPr>
            </w:pPr>
            <w:r w:rsidRPr="00350596">
              <w:rPr>
                <w:lang w:val="en-AU"/>
              </w:rPr>
              <w:t>N = 57</w:t>
            </w:r>
          </w:p>
        </w:tc>
      </w:tr>
      <w:tr w:rsidR="008B3086" w:rsidRPr="00350596" w14:paraId="73413DD0" w14:textId="77777777" w:rsidTr="007959EA">
        <w:tc>
          <w:tcPr>
            <w:tcW w:w="1802" w:type="dxa"/>
            <w:vMerge/>
          </w:tcPr>
          <w:p w14:paraId="73C4BE06" w14:textId="77777777" w:rsidR="008B3086" w:rsidRPr="00350596" w:rsidRDefault="008B3086" w:rsidP="007959EA">
            <w:pPr>
              <w:pStyle w:val="COMTableheadingrow"/>
              <w:rPr>
                <w:lang w:val="en-AU"/>
              </w:rPr>
            </w:pPr>
          </w:p>
        </w:tc>
        <w:tc>
          <w:tcPr>
            <w:tcW w:w="901" w:type="dxa"/>
            <w:vAlign w:val="center"/>
          </w:tcPr>
          <w:p w14:paraId="5DBAE99C" w14:textId="77777777" w:rsidR="008B3086" w:rsidRPr="00350596" w:rsidRDefault="008B3086" w:rsidP="007959EA">
            <w:pPr>
              <w:pStyle w:val="COMTableheadingrow"/>
              <w:jc w:val="center"/>
              <w:rPr>
                <w:lang w:val="en-AU"/>
              </w:rPr>
            </w:pPr>
            <w:r w:rsidRPr="00350596">
              <w:rPr>
                <w:lang w:val="en-AU"/>
              </w:rPr>
              <w:t>Events</w:t>
            </w:r>
          </w:p>
        </w:tc>
        <w:tc>
          <w:tcPr>
            <w:tcW w:w="902" w:type="dxa"/>
            <w:vAlign w:val="center"/>
          </w:tcPr>
          <w:p w14:paraId="66A0E235" w14:textId="77777777" w:rsidR="008B3086" w:rsidRPr="00350596" w:rsidRDefault="008B3086" w:rsidP="007959EA">
            <w:pPr>
              <w:pStyle w:val="COMTableheadingrow"/>
              <w:jc w:val="center"/>
              <w:rPr>
                <w:lang w:val="en-AU"/>
              </w:rPr>
            </w:pPr>
            <w:r w:rsidRPr="00350596">
              <w:rPr>
                <w:lang w:val="en-AU"/>
              </w:rPr>
              <w:t>Events/ patient-yr</w:t>
            </w:r>
          </w:p>
        </w:tc>
        <w:tc>
          <w:tcPr>
            <w:tcW w:w="902" w:type="dxa"/>
            <w:vAlign w:val="center"/>
          </w:tcPr>
          <w:p w14:paraId="4512F19B" w14:textId="77777777" w:rsidR="008B3086" w:rsidRPr="00350596" w:rsidRDefault="008B3086" w:rsidP="007959EA">
            <w:pPr>
              <w:pStyle w:val="COMTableheadingrow"/>
              <w:jc w:val="center"/>
              <w:rPr>
                <w:lang w:val="en-AU"/>
              </w:rPr>
            </w:pPr>
            <w:r w:rsidRPr="00350596">
              <w:rPr>
                <w:lang w:val="en-AU"/>
              </w:rPr>
              <w:t>Events</w:t>
            </w:r>
          </w:p>
        </w:tc>
        <w:tc>
          <w:tcPr>
            <w:tcW w:w="902" w:type="dxa"/>
            <w:vAlign w:val="center"/>
          </w:tcPr>
          <w:p w14:paraId="02CBA5CC" w14:textId="77777777" w:rsidR="008B3086" w:rsidRPr="00350596" w:rsidRDefault="008B3086" w:rsidP="007959EA">
            <w:pPr>
              <w:pStyle w:val="COMTableheadingrow"/>
              <w:jc w:val="center"/>
              <w:rPr>
                <w:lang w:val="en-AU"/>
              </w:rPr>
            </w:pPr>
            <w:r w:rsidRPr="00350596">
              <w:rPr>
                <w:lang w:val="en-AU"/>
              </w:rPr>
              <w:t>Events/ patient-yr</w:t>
            </w:r>
          </w:p>
        </w:tc>
        <w:tc>
          <w:tcPr>
            <w:tcW w:w="901" w:type="dxa"/>
            <w:vAlign w:val="center"/>
          </w:tcPr>
          <w:p w14:paraId="59A43875" w14:textId="77777777" w:rsidR="008B3086" w:rsidRPr="00350596" w:rsidRDefault="008B3086" w:rsidP="007959EA">
            <w:pPr>
              <w:pStyle w:val="COMTableheadingrow"/>
              <w:jc w:val="center"/>
              <w:rPr>
                <w:lang w:val="en-AU"/>
              </w:rPr>
            </w:pPr>
            <w:r w:rsidRPr="00350596">
              <w:rPr>
                <w:lang w:val="en-AU"/>
              </w:rPr>
              <w:t>Events</w:t>
            </w:r>
          </w:p>
        </w:tc>
        <w:tc>
          <w:tcPr>
            <w:tcW w:w="903" w:type="dxa"/>
            <w:vAlign w:val="center"/>
          </w:tcPr>
          <w:p w14:paraId="0C16C6F0" w14:textId="77777777" w:rsidR="008B3086" w:rsidRPr="00350596" w:rsidRDefault="008B3086" w:rsidP="007959EA">
            <w:pPr>
              <w:pStyle w:val="COMTableheadingrow"/>
              <w:jc w:val="center"/>
              <w:rPr>
                <w:lang w:val="en-AU"/>
              </w:rPr>
            </w:pPr>
            <w:r w:rsidRPr="00350596">
              <w:rPr>
                <w:lang w:val="en-AU"/>
              </w:rPr>
              <w:t>Events/ patient-yr</w:t>
            </w:r>
          </w:p>
        </w:tc>
        <w:tc>
          <w:tcPr>
            <w:tcW w:w="902" w:type="dxa"/>
            <w:vAlign w:val="center"/>
          </w:tcPr>
          <w:p w14:paraId="60DA94EA" w14:textId="77777777" w:rsidR="008B3086" w:rsidRPr="00350596" w:rsidRDefault="008B3086" w:rsidP="007959EA">
            <w:pPr>
              <w:pStyle w:val="COMTableheadingrow"/>
              <w:jc w:val="center"/>
              <w:rPr>
                <w:lang w:val="en-AU"/>
              </w:rPr>
            </w:pPr>
            <w:r w:rsidRPr="00350596">
              <w:rPr>
                <w:lang w:val="en-AU"/>
              </w:rPr>
              <w:t>Events</w:t>
            </w:r>
          </w:p>
        </w:tc>
        <w:tc>
          <w:tcPr>
            <w:tcW w:w="902" w:type="dxa"/>
            <w:vAlign w:val="center"/>
          </w:tcPr>
          <w:p w14:paraId="3C8FC9E5" w14:textId="77777777" w:rsidR="008B3086" w:rsidRPr="00350596" w:rsidRDefault="008B3086" w:rsidP="007959EA">
            <w:pPr>
              <w:pStyle w:val="COMTableheadingrow"/>
              <w:jc w:val="center"/>
              <w:rPr>
                <w:lang w:val="en-AU"/>
              </w:rPr>
            </w:pPr>
            <w:r w:rsidRPr="00350596">
              <w:rPr>
                <w:lang w:val="en-AU"/>
              </w:rPr>
              <w:t>Events/ patient-yr</w:t>
            </w:r>
          </w:p>
        </w:tc>
      </w:tr>
      <w:tr w:rsidR="008B3086" w:rsidRPr="00350596" w14:paraId="1D595AD9" w14:textId="77777777" w:rsidTr="007959EA">
        <w:tc>
          <w:tcPr>
            <w:tcW w:w="1802" w:type="dxa"/>
          </w:tcPr>
          <w:p w14:paraId="28ED5CC9" w14:textId="77777777" w:rsidR="008B3086" w:rsidRPr="00350596" w:rsidRDefault="008B3086" w:rsidP="007959EA">
            <w:pPr>
              <w:pStyle w:val="COMTabletext"/>
            </w:pPr>
            <w:r w:rsidRPr="00350596">
              <w:t>Any AE</w:t>
            </w:r>
          </w:p>
        </w:tc>
        <w:tc>
          <w:tcPr>
            <w:tcW w:w="901" w:type="dxa"/>
            <w:vAlign w:val="center"/>
          </w:tcPr>
          <w:p w14:paraId="350D4730" w14:textId="77777777" w:rsidR="008B3086" w:rsidRPr="00350596" w:rsidRDefault="008B3086" w:rsidP="007959EA">
            <w:pPr>
              <w:pStyle w:val="COMTabletext"/>
              <w:jc w:val="center"/>
            </w:pPr>
            <w:r w:rsidRPr="00350596">
              <w:t>49</w:t>
            </w:r>
          </w:p>
        </w:tc>
        <w:tc>
          <w:tcPr>
            <w:tcW w:w="902" w:type="dxa"/>
            <w:vAlign w:val="center"/>
          </w:tcPr>
          <w:p w14:paraId="5970D0CE" w14:textId="77777777" w:rsidR="008B3086" w:rsidRPr="00350596" w:rsidRDefault="008B3086" w:rsidP="007959EA">
            <w:pPr>
              <w:pStyle w:val="COMTabletext"/>
              <w:jc w:val="center"/>
            </w:pPr>
            <w:r w:rsidRPr="00350596">
              <w:t>4.95</w:t>
            </w:r>
          </w:p>
        </w:tc>
        <w:tc>
          <w:tcPr>
            <w:tcW w:w="902" w:type="dxa"/>
            <w:vAlign w:val="center"/>
          </w:tcPr>
          <w:p w14:paraId="58075CE8" w14:textId="77777777" w:rsidR="008B3086" w:rsidRPr="00350596" w:rsidRDefault="008B3086" w:rsidP="007959EA">
            <w:pPr>
              <w:pStyle w:val="COMTabletext"/>
              <w:jc w:val="center"/>
            </w:pPr>
            <w:r w:rsidRPr="00350596">
              <w:t>54</w:t>
            </w:r>
          </w:p>
        </w:tc>
        <w:tc>
          <w:tcPr>
            <w:tcW w:w="902" w:type="dxa"/>
            <w:vAlign w:val="center"/>
          </w:tcPr>
          <w:p w14:paraId="2D84039A" w14:textId="77777777" w:rsidR="008B3086" w:rsidRPr="00350596" w:rsidRDefault="008B3086" w:rsidP="007959EA">
            <w:pPr>
              <w:pStyle w:val="COMTabletext"/>
              <w:jc w:val="center"/>
            </w:pPr>
            <w:r w:rsidRPr="00350596">
              <w:t>6.01</w:t>
            </w:r>
          </w:p>
        </w:tc>
        <w:tc>
          <w:tcPr>
            <w:tcW w:w="901" w:type="dxa"/>
            <w:vAlign w:val="center"/>
          </w:tcPr>
          <w:p w14:paraId="3C8B042F" w14:textId="77777777" w:rsidR="008B3086" w:rsidRPr="00350596" w:rsidRDefault="008B3086" w:rsidP="007959EA">
            <w:pPr>
              <w:pStyle w:val="COMTabletext"/>
              <w:jc w:val="center"/>
            </w:pPr>
            <w:r w:rsidRPr="00350596">
              <w:t>62</w:t>
            </w:r>
          </w:p>
        </w:tc>
        <w:tc>
          <w:tcPr>
            <w:tcW w:w="903" w:type="dxa"/>
            <w:vAlign w:val="center"/>
          </w:tcPr>
          <w:p w14:paraId="3C2C65BA" w14:textId="77777777" w:rsidR="008B3086" w:rsidRPr="00350596" w:rsidRDefault="008B3086" w:rsidP="007959EA">
            <w:pPr>
              <w:pStyle w:val="COMTabletext"/>
              <w:jc w:val="center"/>
            </w:pPr>
            <w:r w:rsidRPr="00350596">
              <w:t>5.04</w:t>
            </w:r>
          </w:p>
        </w:tc>
        <w:tc>
          <w:tcPr>
            <w:tcW w:w="902" w:type="dxa"/>
            <w:vAlign w:val="center"/>
          </w:tcPr>
          <w:p w14:paraId="0E476491" w14:textId="77777777" w:rsidR="008B3086" w:rsidRPr="00350596" w:rsidRDefault="008B3086" w:rsidP="007959EA">
            <w:pPr>
              <w:pStyle w:val="COMTabletext"/>
              <w:jc w:val="center"/>
            </w:pPr>
            <w:r w:rsidRPr="00350596">
              <w:t>76</w:t>
            </w:r>
          </w:p>
        </w:tc>
        <w:tc>
          <w:tcPr>
            <w:tcW w:w="902" w:type="dxa"/>
            <w:vAlign w:val="center"/>
          </w:tcPr>
          <w:p w14:paraId="63E9D9E7" w14:textId="77777777" w:rsidR="008B3086" w:rsidRPr="00350596" w:rsidRDefault="008B3086" w:rsidP="007959EA">
            <w:pPr>
              <w:pStyle w:val="COMTabletext"/>
              <w:jc w:val="center"/>
            </w:pPr>
            <w:r w:rsidRPr="00350596">
              <w:t>6.45</w:t>
            </w:r>
          </w:p>
        </w:tc>
      </w:tr>
      <w:tr w:rsidR="008B3086" w:rsidRPr="00350596" w14:paraId="6BB1F65B" w14:textId="77777777" w:rsidTr="007959EA">
        <w:tc>
          <w:tcPr>
            <w:tcW w:w="1802" w:type="dxa"/>
          </w:tcPr>
          <w:p w14:paraId="07FEE7D7" w14:textId="77777777" w:rsidR="008B3086" w:rsidRPr="00350596" w:rsidRDefault="008B3086" w:rsidP="007959EA">
            <w:pPr>
              <w:pStyle w:val="COMTabletext"/>
            </w:pPr>
            <w:r w:rsidRPr="00350596">
              <w:t>Treatment-related AE</w:t>
            </w:r>
          </w:p>
        </w:tc>
        <w:tc>
          <w:tcPr>
            <w:tcW w:w="901" w:type="dxa"/>
            <w:vAlign w:val="center"/>
          </w:tcPr>
          <w:p w14:paraId="5910CEA3" w14:textId="77777777" w:rsidR="008B3086" w:rsidRPr="00350596" w:rsidRDefault="008B3086" w:rsidP="007959EA">
            <w:pPr>
              <w:pStyle w:val="COMTabletext"/>
              <w:jc w:val="center"/>
            </w:pPr>
            <w:r w:rsidRPr="00350596">
              <w:t>10</w:t>
            </w:r>
          </w:p>
        </w:tc>
        <w:tc>
          <w:tcPr>
            <w:tcW w:w="902" w:type="dxa"/>
            <w:vAlign w:val="center"/>
          </w:tcPr>
          <w:p w14:paraId="74D43182" w14:textId="77777777" w:rsidR="008B3086" w:rsidRPr="00350596" w:rsidRDefault="008B3086" w:rsidP="007959EA">
            <w:pPr>
              <w:pStyle w:val="COMTabletext"/>
              <w:jc w:val="center"/>
            </w:pPr>
            <w:r w:rsidRPr="00350596">
              <w:t>1.01</w:t>
            </w:r>
          </w:p>
        </w:tc>
        <w:tc>
          <w:tcPr>
            <w:tcW w:w="902" w:type="dxa"/>
            <w:vAlign w:val="center"/>
          </w:tcPr>
          <w:p w14:paraId="0B7C3075" w14:textId="77777777" w:rsidR="008B3086" w:rsidRPr="00350596" w:rsidRDefault="008B3086" w:rsidP="007959EA">
            <w:pPr>
              <w:pStyle w:val="COMTabletext"/>
              <w:jc w:val="center"/>
            </w:pPr>
            <w:r w:rsidRPr="00350596">
              <w:t>7</w:t>
            </w:r>
          </w:p>
        </w:tc>
        <w:tc>
          <w:tcPr>
            <w:tcW w:w="902" w:type="dxa"/>
            <w:vAlign w:val="center"/>
          </w:tcPr>
          <w:p w14:paraId="365B9F18" w14:textId="77777777" w:rsidR="008B3086" w:rsidRPr="00350596" w:rsidRDefault="008B3086" w:rsidP="007959EA">
            <w:pPr>
              <w:pStyle w:val="COMTabletext"/>
              <w:jc w:val="center"/>
            </w:pPr>
            <w:r w:rsidRPr="00350596">
              <w:t>0.78</w:t>
            </w:r>
          </w:p>
        </w:tc>
        <w:tc>
          <w:tcPr>
            <w:tcW w:w="901" w:type="dxa"/>
            <w:vAlign w:val="center"/>
          </w:tcPr>
          <w:p w14:paraId="73F32419" w14:textId="77777777" w:rsidR="008B3086" w:rsidRPr="00350596" w:rsidRDefault="008B3086" w:rsidP="007959EA">
            <w:pPr>
              <w:pStyle w:val="COMTabletext"/>
              <w:jc w:val="center"/>
            </w:pPr>
            <w:r w:rsidRPr="00350596">
              <w:t>11</w:t>
            </w:r>
          </w:p>
        </w:tc>
        <w:tc>
          <w:tcPr>
            <w:tcW w:w="903" w:type="dxa"/>
            <w:vAlign w:val="center"/>
          </w:tcPr>
          <w:p w14:paraId="51BCBEC1" w14:textId="77777777" w:rsidR="008B3086" w:rsidRPr="00350596" w:rsidRDefault="008B3086" w:rsidP="007959EA">
            <w:pPr>
              <w:pStyle w:val="COMTabletext"/>
              <w:jc w:val="center"/>
            </w:pPr>
            <w:r w:rsidRPr="00350596">
              <w:t>0.89</w:t>
            </w:r>
          </w:p>
        </w:tc>
        <w:tc>
          <w:tcPr>
            <w:tcW w:w="902" w:type="dxa"/>
            <w:vAlign w:val="center"/>
          </w:tcPr>
          <w:p w14:paraId="50EECCB3" w14:textId="77777777" w:rsidR="008B3086" w:rsidRPr="00350596" w:rsidRDefault="008B3086" w:rsidP="007959EA">
            <w:pPr>
              <w:pStyle w:val="COMTabletext"/>
              <w:jc w:val="center"/>
            </w:pPr>
            <w:r w:rsidRPr="00350596">
              <w:t>11</w:t>
            </w:r>
          </w:p>
        </w:tc>
        <w:tc>
          <w:tcPr>
            <w:tcW w:w="902" w:type="dxa"/>
            <w:vAlign w:val="center"/>
          </w:tcPr>
          <w:p w14:paraId="742FE004" w14:textId="77777777" w:rsidR="008B3086" w:rsidRPr="00350596" w:rsidRDefault="008B3086" w:rsidP="007959EA">
            <w:pPr>
              <w:pStyle w:val="COMTabletext"/>
              <w:jc w:val="center"/>
            </w:pPr>
            <w:r w:rsidRPr="00350596">
              <w:t>0.93</w:t>
            </w:r>
          </w:p>
        </w:tc>
      </w:tr>
      <w:tr w:rsidR="008B3086" w:rsidRPr="00350596" w14:paraId="1428D1A8" w14:textId="77777777" w:rsidTr="007959EA">
        <w:tc>
          <w:tcPr>
            <w:tcW w:w="1802" w:type="dxa"/>
          </w:tcPr>
          <w:p w14:paraId="2544F978" w14:textId="77777777" w:rsidR="008B3086" w:rsidRPr="00350596" w:rsidRDefault="008B3086" w:rsidP="007959EA">
            <w:pPr>
              <w:pStyle w:val="COMTabletext"/>
            </w:pPr>
            <w:r w:rsidRPr="00350596">
              <w:t>Serious adverse event</w:t>
            </w:r>
          </w:p>
        </w:tc>
        <w:tc>
          <w:tcPr>
            <w:tcW w:w="901" w:type="dxa"/>
            <w:vAlign w:val="center"/>
          </w:tcPr>
          <w:p w14:paraId="62234689" w14:textId="77777777" w:rsidR="008B3086" w:rsidRPr="00350596" w:rsidRDefault="008B3086" w:rsidP="007959EA">
            <w:pPr>
              <w:pStyle w:val="COMTabletext"/>
              <w:jc w:val="center"/>
            </w:pPr>
            <w:r w:rsidRPr="00350596">
              <w:t>2</w:t>
            </w:r>
          </w:p>
        </w:tc>
        <w:tc>
          <w:tcPr>
            <w:tcW w:w="902" w:type="dxa"/>
            <w:vAlign w:val="center"/>
          </w:tcPr>
          <w:p w14:paraId="7E55DCB8" w14:textId="77777777" w:rsidR="008B3086" w:rsidRPr="00350596" w:rsidRDefault="008B3086" w:rsidP="007959EA">
            <w:pPr>
              <w:pStyle w:val="COMTabletext"/>
              <w:jc w:val="center"/>
            </w:pPr>
            <w:r w:rsidRPr="00350596">
              <w:t>0.20</w:t>
            </w:r>
          </w:p>
        </w:tc>
        <w:tc>
          <w:tcPr>
            <w:tcW w:w="902" w:type="dxa"/>
            <w:vAlign w:val="center"/>
          </w:tcPr>
          <w:p w14:paraId="3F016EB6" w14:textId="77777777" w:rsidR="008B3086" w:rsidRPr="00350596" w:rsidRDefault="008B3086" w:rsidP="007959EA">
            <w:pPr>
              <w:pStyle w:val="COMTabletext"/>
              <w:jc w:val="center"/>
            </w:pPr>
            <w:r w:rsidRPr="00350596">
              <w:t>3</w:t>
            </w:r>
          </w:p>
        </w:tc>
        <w:tc>
          <w:tcPr>
            <w:tcW w:w="902" w:type="dxa"/>
            <w:vAlign w:val="center"/>
          </w:tcPr>
          <w:p w14:paraId="35011D4D" w14:textId="77777777" w:rsidR="008B3086" w:rsidRPr="00350596" w:rsidRDefault="008B3086" w:rsidP="007959EA">
            <w:pPr>
              <w:pStyle w:val="COMTabletext"/>
              <w:jc w:val="center"/>
            </w:pPr>
            <w:r w:rsidRPr="00350596">
              <w:t>0.33</w:t>
            </w:r>
          </w:p>
        </w:tc>
        <w:tc>
          <w:tcPr>
            <w:tcW w:w="901" w:type="dxa"/>
            <w:vAlign w:val="center"/>
          </w:tcPr>
          <w:p w14:paraId="06CDDD01" w14:textId="77777777" w:rsidR="008B3086" w:rsidRPr="00350596" w:rsidRDefault="008B3086" w:rsidP="007959EA">
            <w:pPr>
              <w:pStyle w:val="COMTabletext"/>
              <w:jc w:val="center"/>
            </w:pPr>
            <w:r w:rsidRPr="00350596">
              <w:t>2</w:t>
            </w:r>
          </w:p>
        </w:tc>
        <w:tc>
          <w:tcPr>
            <w:tcW w:w="903" w:type="dxa"/>
            <w:vAlign w:val="center"/>
          </w:tcPr>
          <w:p w14:paraId="22A43486" w14:textId="77777777" w:rsidR="008B3086" w:rsidRPr="00350596" w:rsidRDefault="008B3086" w:rsidP="007959EA">
            <w:pPr>
              <w:pStyle w:val="COMTabletext"/>
              <w:jc w:val="center"/>
            </w:pPr>
            <w:r w:rsidRPr="00350596">
              <w:t>0.16</w:t>
            </w:r>
          </w:p>
        </w:tc>
        <w:tc>
          <w:tcPr>
            <w:tcW w:w="902" w:type="dxa"/>
            <w:vAlign w:val="center"/>
          </w:tcPr>
          <w:p w14:paraId="107FC542" w14:textId="77777777" w:rsidR="008B3086" w:rsidRPr="00350596" w:rsidRDefault="008B3086" w:rsidP="007959EA">
            <w:pPr>
              <w:pStyle w:val="COMTabletext"/>
              <w:jc w:val="center"/>
            </w:pPr>
            <w:r w:rsidRPr="00350596">
              <w:t>3</w:t>
            </w:r>
          </w:p>
        </w:tc>
        <w:tc>
          <w:tcPr>
            <w:tcW w:w="902" w:type="dxa"/>
            <w:vAlign w:val="center"/>
          </w:tcPr>
          <w:p w14:paraId="10BF40E2" w14:textId="77777777" w:rsidR="008B3086" w:rsidRPr="00350596" w:rsidRDefault="008B3086" w:rsidP="007959EA">
            <w:pPr>
              <w:pStyle w:val="COMTabletext"/>
              <w:jc w:val="center"/>
            </w:pPr>
            <w:r w:rsidRPr="00350596">
              <w:t>0.25</w:t>
            </w:r>
          </w:p>
        </w:tc>
      </w:tr>
      <w:tr w:rsidR="008B3086" w:rsidRPr="00350596" w14:paraId="549B0F6B" w14:textId="77777777" w:rsidTr="007959EA">
        <w:tc>
          <w:tcPr>
            <w:tcW w:w="1802" w:type="dxa"/>
          </w:tcPr>
          <w:p w14:paraId="7CFFCC4E" w14:textId="77777777" w:rsidR="008B3086" w:rsidRPr="00350596" w:rsidRDefault="008B3086" w:rsidP="007959EA">
            <w:pPr>
              <w:pStyle w:val="COMTabletext"/>
            </w:pPr>
            <w:r w:rsidRPr="00350596">
              <w:t>AE leading to treatment discontinuation</w:t>
            </w:r>
          </w:p>
        </w:tc>
        <w:tc>
          <w:tcPr>
            <w:tcW w:w="901" w:type="dxa"/>
            <w:vAlign w:val="center"/>
          </w:tcPr>
          <w:p w14:paraId="7C4DC7F7" w14:textId="77777777" w:rsidR="008B3086" w:rsidRPr="00350596" w:rsidRDefault="008B3086" w:rsidP="007959EA">
            <w:pPr>
              <w:pStyle w:val="COMTabletext"/>
              <w:jc w:val="center"/>
            </w:pPr>
            <w:r w:rsidRPr="00350596">
              <w:t>1</w:t>
            </w:r>
          </w:p>
        </w:tc>
        <w:tc>
          <w:tcPr>
            <w:tcW w:w="902" w:type="dxa"/>
            <w:vAlign w:val="center"/>
          </w:tcPr>
          <w:p w14:paraId="4EFD43D8" w14:textId="77777777" w:rsidR="008B3086" w:rsidRPr="00350596" w:rsidRDefault="008B3086" w:rsidP="007959EA">
            <w:pPr>
              <w:pStyle w:val="COMTabletext"/>
              <w:jc w:val="center"/>
            </w:pPr>
            <w:r w:rsidRPr="00350596">
              <w:t>0.10</w:t>
            </w:r>
          </w:p>
        </w:tc>
        <w:tc>
          <w:tcPr>
            <w:tcW w:w="902" w:type="dxa"/>
            <w:vAlign w:val="center"/>
          </w:tcPr>
          <w:p w14:paraId="65208BB6" w14:textId="77777777" w:rsidR="008B3086" w:rsidRPr="00350596" w:rsidRDefault="008B3086" w:rsidP="007959EA">
            <w:pPr>
              <w:pStyle w:val="COMTabletext"/>
              <w:jc w:val="center"/>
            </w:pPr>
            <w:r w:rsidRPr="00350596">
              <w:t>0</w:t>
            </w:r>
          </w:p>
        </w:tc>
        <w:tc>
          <w:tcPr>
            <w:tcW w:w="902" w:type="dxa"/>
            <w:vAlign w:val="center"/>
          </w:tcPr>
          <w:p w14:paraId="2C9CA195" w14:textId="77777777" w:rsidR="008B3086" w:rsidRPr="00350596" w:rsidRDefault="008B3086" w:rsidP="007959EA">
            <w:pPr>
              <w:pStyle w:val="COMTabletext"/>
              <w:jc w:val="center"/>
            </w:pPr>
            <w:r w:rsidRPr="00350596">
              <w:t>0</w:t>
            </w:r>
          </w:p>
        </w:tc>
        <w:tc>
          <w:tcPr>
            <w:tcW w:w="901" w:type="dxa"/>
            <w:vAlign w:val="center"/>
          </w:tcPr>
          <w:p w14:paraId="0FEF8A27" w14:textId="77777777" w:rsidR="008B3086" w:rsidRPr="00350596" w:rsidRDefault="008B3086" w:rsidP="007959EA">
            <w:pPr>
              <w:pStyle w:val="COMTabletext"/>
              <w:jc w:val="center"/>
            </w:pPr>
            <w:r w:rsidRPr="00350596">
              <w:t>1</w:t>
            </w:r>
          </w:p>
        </w:tc>
        <w:tc>
          <w:tcPr>
            <w:tcW w:w="903" w:type="dxa"/>
            <w:vAlign w:val="center"/>
          </w:tcPr>
          <w:p w14:paraId="7393B668" w14:textId="77777777" w:rsidR="008B3086" w:rsidRPr="00350596" w:rsidRDefault="008B3086" w:rsidP="007959EA">
            <w:pPr>
              <w:pStyle w:val="COMTabletext"/>
              <w:jc w:val="center"/>
            </w:pPr>
            <w:r w:rsidRPr="00350596">
              <w:t>0.08</w:t>
            </w:r>
          </w:p>
        </w:tc>
        <w:tc>
          <w:tcPr>
            <w:tcW w:w="902" w:type="dxa"/>
            <w:vAlign w:val="center"/>
          </w:tcPr>
          <w:p w14:paraId="04C9B57C" w14:textId="77777777" w:rsidR="008B3086" w:rsidRPr="00350596" w:rsidRDefault="008B3086" w:rsidP="007959EA">
            <w:pPr>
              <w:pStyle w:val="COMTabletext"/>
              <w:jc w:val="center"/>
            </w:pPr>
            <w:r w:rsidRPr="00350596">
              <w:t>0</w:t>
            </w:r>
          </w:p>
        </w:tc>
        <w:tc>
          <w:tcPr>
            <w:tcW w:w="902" w:type="dxa"/>
            <w:vAlign w:val="center"/>
          </w:tcPr>
          <w:p w14:paraId="494419B5" w14:textId="77777777" w:rsidR="008B3086" w:rsidRPr="00350596" w:rsidRDefault="008B3086" w:rsidP="007959EA">
            <w:pPr>
              <w:pStyle w:val="COMTabletext"/>
              <w:jc w:val="center"/>
            </w:pPr>
            <w:r w:rsidRPr="00350596">
              <w:t>0</w:t>
            </w:r>
          </w:p>
        </w:tc>
      </w:tr>
      <w:tr w:rsidR="008B3086" w:rsidRPr="00350596" w14:paraId="5157E80F" w14:textId="77777777" w:rsidTr="007959EA">
        <w:tc>
          <w:tcPr>
            <w:tcW w:w="1802" w:type="dxa"/>
          </w:tcPr>
          <w:p w14:paraId="5BAB4D77" w14:textId="77777777" w:rsidR="008B3086" w:rsidRPr="00350596" w:rsidRDefault="008B3086" w:rsidP="007959EA">
            <w:pPr>
              <w:pStyle w:val="COMTabletext"/>
            </w:pPr>
            <w:r w:rsidRPr="00350596">
              <w:t>Deaths</w:t>
            </w:r>
          </w:p>
        </w:tc>
        <w:tc>
          <w:tcPr>
            <w:tcW w:w="901" w:type="dxa"/>
            <w:vAlign w:val="center"/>
          </w:tcPr>
          <w:p w14:paraId="55C7C704" w14:textId="77777777" w:rsidR="008B3086" w:rsidRPr="00350596" w:rsidRDefault="008B3086" w:rsidP="007959EA">
            <w:pPr>
              <w:pStyle w:val="COMTabletext"/>
              <w:jc w:val="center"/>
            </w:pPr>
            <w:r w:rsidRPr="00350596">
              <w:t>0</w:t>
            </w:r>
          </w:p>
        </w:tc>
        <w:tc>
          <w:tcPr>
            <w:tcW w:w="902" w:type="dxa"/>
            <w:vAlign w:val="center"/>
          </w:tcPr>
          <w:p w14:paraId="6C2AB6CC" w14:textId="77777777" w:rsidR="008B3086" w:rsidRPr="00350596" w:rsidRDefault="008B3086" w:rsidP="007959EA">
            <w:pPr>
              <w:pStyle w:val="COMTabletext"/>
              <w:jc w:val="center"/>
            </w:pPr>
            <w:r w:rsidRPr="00350596">
              <w:t>0</w:t>
            </w:r>
          </w:p>
        </w:tc>
        <w:tc>
          <w:tcPr>
            <w:tcW w:w="902" w:type="dxa"/>
            <w:vAlign w:val="center"/>
          </w:tcPr>
          <w:p w14:paraId="3DB3A1DA" w14:textId="77777777" w:rsidR="008B3086" w:rsidRPr="00350596" w:rsidRDefault="008B3086" w:rsidP="007959EA">
            <w:pPr>
              <w:pStyle w:val="COMTabletext"/>
              <w:jc w:val="center"/>
            </w:pPr>
            <w:r w:rsidRPr="00350596">
              <w:t>0</w:t>
            </w:r>
          </w:p>
        </w:tc>
        <w:tc>
          <w:tcPr>
            <w:tcW w:w="902" w:type="dxa"/>
            <w:vAlign w:val="center"/>
          </w:tcPr>
          <w:p w14:paraId="2F54F7D8" w14:textId="77777777" w:rsidR="008B3086" w:rsidRPr="00350596" w:rsidRDefault="008B3086" w:rsidP="007959EA">
            <w:pPr>
              <w:pStyle w:val="COMTabletext"/>
              <w:jc w:val="center"/>
            </w:pPr>
            <w:r w:rsidRPr="00350596">
              <w:t>0</w:t>
            </w:r>
          </w:p>
        </w:tc>
        <w:tc>
          <w:tcPr>
            <w:tcW w:w="901" w:type="dxa"/>
            <w:vAlign w:val="center"/>
          </w:tcPr>
          <w:p w14:paraId="69B4F687" w14:textId="77777777" w:rsidR="008B3086" w:rsidRPr="00350596" w:rsidRDefault="008B3086" w:rsidP="007959EA">
            <w:pPr>
              <w:pStyle w:val="COMTabletext"/>
              <w:jc w:val="center"/>
            </w:pPr>
            <w:r w:rsidRPr="00350596">
              <w:t>0</w:t>
            </w:r>
          </w:p>
        </w:tc>
        <w:tc>
          <w:tcPr>
            <w:tcW w:w="903" w:type="dxa"/>
            <w:vAlign w:val="center"/>
          </w:tcPr>
          <w:p w14:paraId="5E6289CF" w14:textId="77777777" w:rsidR="008B3086" w:rsidRPr="00350596" w:rsidRDefault="008B3086" w:rsidP="007959EA">
            <w:pPr>
              <w:pStyle w:val="COMTabletext"/>
              <w:jc w:val="center"/>
            </w:pPr>
            <w:r w:rsidRPr="00350596">
              <w:t>0</w:t>
            </w:r>
          </w:p>
        </w:tc>
        <w:tc>
          <w:tcPr>
            <w:tcW w:w="902" w:type="dxa"/>
            <w:vAlign w:val="center"/>
          </w:tcPr>
          <w:p w14:paraId="054DB234" w14:textId="77777777" w:rsidR="008B3086" w:rsidRPr="00350596" w:rsidRDefault="008B3086" w:rsidP="007959EA">
            <w:pPr>
              <w:pStyle w:val="COMTabletext"/>
              <w:jc w:val="center"/>
            </w:pPr>
            <w:r w:rsidRPr="00350596">
              <w:t>0</w:t>
            </w:r>
          </w:p>
        </w:tc>
        <w:tc>
          <w:tcPr>
            <w:tcW w:w="902" w:type="dxa"/>
            <w:vAlign w:val="center"/>
          </w:tcPr>
          <w:p w14:paraId="10BA2CDE" w14:textId="77777777" w:rsidR="008B3086" w:rsidRPr="00350596" w:rsidRDefault="008B3086" w:rsidP="007959EA">
            <w:pPr>
              <w:pStyle w:val="COMTabletext"/>
              <w:jc w:val="center"/>
            </w:pPr>
            <w:r w:rsidRPr="00350596">
              <w:t>0</w:t>
            </w:r>
          </w:p>
        </w:tc>
      </w:tr>
      <w:tr w:rsidR="008B3086" w:rsidRPr="00350596" w14:paraId="0CB6419B" w14:textId="77777777" w:rsidTr="007959EA">
        <w:tc>
          <w:tcPr>
            <w:tcW w:w="9017" w:type="dxa"/>
            <w:gridSpan w:val="9"/>
          </w:tcPr>
          <w:p w14:paraId="346E761F" w14:textId="77777777" w:rsidR="008B3086" w:rsidRPr="00350596" w:rsidRDefault="008B3086" w:rsidP="007959EA">
            <w:pPr>
              <w:pStyle w:val="COMTabletext"/>
              <w:rPr>
                <w:b/>
                <w:bCs w:val="0"/>
              </w:rPr>
            </w:pPr>
            <w:r w:rsidRPr="00350596">
              <w:rPr>
                <w:b/>
                <w:bCs w:val="0"/>
              </w:rPr>
              <w:t>Adverse event of special interest</w:t>
            </w:r>
          </w:p>
        </w:tc>
      </w:tr>
      <w:tr w:rsidR="008B3086" w:rsidRPr="00350596" w14:paraId="51DEB62D" w14:textId="77777777" w:rsidTr="007959EA">
        <w:tc>
          <w:tcPr>
            <w:tcW w:w="1802" w:type="dxa"/>
          </w:tcPr>
          <w:p w14:paraId="46FF8F94" w14:textId="77777777" w:rsidR="008B3086" w:rsidRPr="00350596" w:rsidRDefault="008B3086" w:rsidP="007959EA">
            <w:pPr>
              <w:pStyle w:val="COMTabletext"/>
            </w:pPr>
            <w:r w:rsidRPr="00350596">
              <w:t>Infections</w:t>
            </w:r>
          </w:p>
        </w:tc>
        <w:tc>
          <w:tcPr>
            <w:tcW w:w="901" w:type="dxa"/>
            <w:vAlign w:val="center"/>
          </w:tcPr>
          <w:p w14:paraId="55340A6A" w14:textId="77777777" w:rsidR="008B3086" w:rsidRPr="00350596" w:rsidRDefault="008B3086" w:rsidP="007959EA">
            <w:pPr>
              <w:pStyle w:val="COMTabletext"/>
              <w:jc w:val="center"/>
            </w:pPr>
            <w:r w:rsidRPr="00350596">
              <w:t>16</w:t>
            </w:r>
          </w:p>
        </w:tc>
        <w:tc>
          <w:tcPr>
            <w:tcW w:w="902" w:type="dxa"/>
            <w:vAlign w:val="center"/>
          </w:tcPr>
          <w:p w14:paraId="488062B1" w14:textId="77777777" w:rsidR="008B3086" w:rsidRPr="00350596" w:rsidRDefault="008B3086" w:rsidP="007959EA">
            <w:pPr>
              <w:pStyle w:val="COMTabletext"/>
              <w:jc w:val="center"/>
            </w:pPr>
            <w:r w:rsidRPr="00350596">
              <w:t>1.62</w:t>
            </w:r>
          </w:p>
        </w:tc>
        <w:tc>
          <w:tcPr>
            <w:tcW w:w="902" w:type="dxa"/>
            <w:vAlign w:val="center"/>
          </w:tcPr>
          <w:p w14:paraId="00570682" w14:textId="77777777" w:rsidR="008B3086" w:rsidRPr="00350596" w:rsidRDefault="008B3086" w:rsidP="007959EA">
            <w:pPr>
              <w:pStyle w:val="COMTabletext"/>
              <w:jc w:val="center"/>
            </w:pPr>
            <w:r w:rsidRPr="00350596">
              <w:t>10</w:t>
            </w:r>
          </w:p>
        </w:tc>
        <w:tc>
          <w:tcPr>
            <w:tcW w:w="902" w:type="dxa"/>
            <w:vAlign w:val="center"/>
          </w:tcPr>
          <w:p w14:paraId="25A1536A" w14:textId="77777777" w:rsidR="008B3086" w:rsidRPr="00350596" w:rsidRDefault="008B3086" w:rsidP="007959EA">
            <w:pPr>
              <w:pStyle w:val="COMTabletext"/>
              <w:jc w:val="center"/>
            </w:pPr>
            <w:r w:rsidRPr="00350596">
              <w:t>1.11</w:t>
            </w:r>
          </w:p>
        </w:tc>
        <w:tc>
          <w:tcPr>
            <w:tcW w:w="901" w:type="dxa"/>
            <w:vAlign w:val="center"/>
          </w:tcPr>
          <w:p w14:paraId="3909C71A" w14:textId="77777777" w:rsidR="008B3086" w:rsidRPr="00350596" w:rsidRDefault="008B3086" w:rsidP="007959EA">
            <w:pPr>
              <w:pStyle w:val="COMTabletext"/>
              <w:jc w:val="center"/>
            </w:pPr>
            <w:r w:rsidRPr="00350596">
              <w:t>22</w:t>
            </w:r>
          </w:p>
        </w:tc>
        <w:tc>
          <w:tcPr>
            <w:tcW w:w="903" w:type="dxa"/>
            <w:vAlign w:val="center"/>
          </w:tcPr>
          <w:p w14:paraId="4727FE25" w14:textId="77777777" w:rsidR="008B3086" w:rsidRPr="00350596" w:rsidRDefault="008B3086" w:rsidP="007959EA">
            <w:pPr>
              <w:pStyle w:val="COMTabletext"/>
              <w:jc w:val="center"/>
            </w:pPr>
            <w:r w:rsidRPr="00350596">
              <w:t>1.79</w:t>
            </w:r>
          </w:p>
        </w:tc>
        <w:tc>
          <w:tcPr>
            <w:tcW w:w="902" w:type="dxa"/>
            <w:vAlign w:val="center"/>
          </w:tcPr>
          <w:p w14:paraId="644DB924" w14:textId="77777777" w:rsidR="008B3086" w:rsidRPr="00350596" w:rsidRDefault="008B3086" w:rsidP="007959EA">
            <w:pPr>
              <w:pStyle w:val="COMTabletext"/>
              <w:jc w:val="center"/>
            </w:pPr>
            <w:r w:rsidRPr="00350596">
              <w:t>16</w:t>
            </w:r>
          </w:p>
        </w:tc>
        <w:tc>
          <w:tcPr>
            <w:tcW w:w="902" w:type="dxa"/>
            <w:vAlign w:val="center"/>
          </w:tcPr>
          <w:p w14:paraId="14C482E8" w14:textId="77777777" w:rsidR="008B3086" w:rsidRPr="00350596" w:rsidRDefault="008B3086" w:rsidP="007959EA">
            <w:pPr>
              <w:pStyle w:val="COMTabletext"/>
              <w:jc w:val="center"/>
            </w:pPr>
            <w:r w:rsidRPr="00350596">
              <w:t>1.36</w:t>
            </w:r>
          </w:p>
        </w:tc>
      </w:tr>
    </w:tbl>
    <w:p w14:paraId="67FFC984" w14:textId="01335AC9" w:rsidR="008B3086" w:rsidRPr="00350596" w:rsidRDefault="008B3086" w:rsidP="008B3086">
      <w:pPr>
        <w:pStyle w:val="COMTablefooter"/>
      </w:pPr>
      <w:r w:rsidRPr="00350596">
        <w:t>Source: Table 14.3.1.1.2, p4237 of the ADAPT trial report</w:t>
      </w:r>
    </w:p>
    <w:p w14:paraId="5C2C244E" w14:textId="05A6DFCB" w:rsidR="008B3086" w:rsidRPr="00350596" w:rsidRDefault="008B3086" w:rsidP="008B3086">
      <w:pPr>
        <w:pStyle w:val="COMTablefooter"/>
      </w:pPr>
      <w:r w:rsidRPr="00350596">
        <w:t>Abbreviation</w:t>
      </w:r>
      <w:r w:rsidR="00930847" w:rsidRPr="00350596">
        <w:t>s</w:t>
      </w:r>
      <w:r w:rsidRPr="00350596">
        <w:t>: AChR+, acetylcholine receptor antibody positive; AE, adverse event; yr, year</w:t>
      </w:r>
    </w:p>
    <w:p w14:paraId="6ED7D4B0" w14:textId="2DCA30E2" w:rsidR="008B3086" w:rsidRPr="00350596" w:rsidRDefault="008B3086" w:rsidP="008B3086">
      <w:pPr>
        <w:pStyle w:val="COMexecsummnumbered"/>
      </w:pPr>
      <w:r w:rsidRPr="00350596">
        <w:t>The most frequently reported adverse events (≥ 10% of patients) in either treatment group of the overall population were headache, nasopharyngitis, upper respiratory tract infection, nausea and diarrhoea.</w:t>
      </w:r>
    </w:p>
    <w:p w14:paraId="701C2168" w14:textId="2BEFCC29" w:rsidR="008B3086" w:rsidRPr="00350596" w:rsidRDefault="007D0C46" w:rsidP="008B3086">
      <w:pPr>
        <w:pStyle w:val="COMexecsummnumbered"/>
      </w:pPr>
      <w:r w:rsidRPr="00350596">
        <w:t>In particular, ESC noted that t</w:t>
      </w:r>
      <w:r w:rsidR="008B3086" w:rsidRPr="00350596">
        <w:t>reatment with efgartigimod was associated with a higher rate of treatment-related adverse events compared to placebo during the first treatment cycle, with similar numbers of events between arms during the second treatment cycle. For adverse events of special interest, efgartigimod was associated with a higher rate of infections (most commonly upper respiratory infections, urinary tract infections and bronchitis) compared to placebo. One serious event of thrombocytosis was considered possibly related to efgartigimod. No deaths were reported during the trial.</w:t>
      </w:r>
    </w:p>
    <w:p w14:paraId="7F0C340C" w14:textId="647D0777" w:rsidR="008B3086" w:rsidRPr="00350596" w:rsidRDefault="008B3086" w:rsidP="008B3086">
      <w:pPr>
        <w:pStyle w:val="COMexecsummnumbered"/>
      </w:pPr>
      <w:r w:rsidRPr="00350596">
        <w:t>Overall, the frequency of adverse events was greater during the first treatment cycle compared to the second treatment cycle. The rate of adverse events in the AChR antibody positive group appeared similar to the overall population.</w:t>
      </w:r>
    </w:p>
    <w:p w14:paraId="7209854E" w14:textId="21334F0C" w:rsidR="00CB749D" w:rsidRPr="00350596" w:rsidRDefault="00CB749D" w:rsidP="008B3086">
      <w:pPr>
        <w:pStyle w:val="COMexecsummnumbered"/>
      </w:pPr>
      <w:r w:rsidRPr="00350596">
        <w:lastRenderedPageBreak/>
        <w:t>There was no apparent association between the development of antibodies and observed clinical outcomes during the trial period.</w:t>
      </w:r>
    </w:p>
    <w:p w14:paraId="719B69AA" w14:textId="563EC691" w:rsidR="008B3086" w:rsidRPr="00350596" w:rsidRDefault="00CB749D" w:rsidP="008B3086">
      <w:pPr>
        <w:pStyle w:val="COMexecsummnumbered"/>
      </w:pPr>
      <w:r w:rsidRPr="00350596">
        <w:t>Data from the ADAPT+ extension study (mean duration of follow-up 1.6 years) indicated declining adverse event rates with each treatment cycle. The most frequently reported adverse events were headache, nasopharyngitis and COVID-19. Adverse events leading to treatment discontinuation occurred in 8.3% of patients. One serious adverse event of infusion-related reaction was considered probably related to efgartigimod. Five deaths were reported during the study, and none were considered related to efgartigimod. No new immunogenicity signals were identified.</w:t>
      </w:r>
    </w:p>
    <w:p w14:paraId="361738F5" w14:textId="36DE6154" w:rsidR="001B66F2" w:rsidRPr="00350596" w:rsidRDefault="001B66F2" w:rsidP="008B3086">
      <w:pPr>
        <w:pStyle w:val="COMexecsummnumbered"/>
      </w:pPr>
      <w:r w:rsidRPr="00350596">
        <w:t xml:space="preserve">The submission provided additional data </w:t>
      </w:r>
      <w:r w:rsidR="00426537" w:rsidRPr="00350596">
        <w:t>from</w:t>
      </w:r>
      <w:r w:rsidRPr="00350596">
        <w:t xml:space="preserve"> the Periodic Benefit-Risk Evaluation Report (PBRER</w:t>
      </w:r>
      <w:r w:rsidR="00426537" w:rsidRPr="00350596">
        <w:t>;</w:t>
      </w:r>
      <w:r w:rsidRPr="00350596">
        <w:t xml:space="preserve"> 17 December 2023 to 16 June 2024</w:t>
      </w:r>
      <w:r w:rsidR="00426537" w:rsidRPr="00350596">
        <w:t>)</w:t>
      </w:r>
      <w:r w:rsidRPr="00350596">
        <w:t>.</w:t>
      </w:r>
      <w:r w:rsidR="002079C9" w:rsidRPr="00350596">
        <w:t xml:space="preserve"> The only important identified risk of efgartigimod is hypersensitivity reactions and infusion-related reactions. Important potential risks include serious infections and malignancies. Missing information includes use during pregnancy and lactation, use with live/attenuated vaccines, use with monoclonal antibodies, use in renal impairment, long-term safety of efgartigimod treatment and use in immunocompromised patients. One new potential signal of pulmonary mass was identified during the reporting period and was undergoing evaluation at the time of reporting.</w:t>
      </w:r>
    </w:p>
    <w:p w14:paraId="1420AF85" w14:textId="6CCD3EB9" w:rsidR="007C31D9" w:rsidRPr="00350596" w:rsidRDefault="002079C9" w:rsidP="007C31D9">
      <w:pPr>
        <w:pStyle w:val="COMexecsummnumbered"/>
      </w:pPr>
      <w:r w:rsidRPr="00350596">
        <w:t xml:space="preserve">During the reporting interval, the sponsor received reports of inappropriate dosing of efgartigimod, given every 2 weeks and was commonly referred to as ‘2 weeks on, 2 weeks off’ and an ‘every-other-week’ schedule. It was noted that the physicians’ intention behind this deviation from the approved dosing regimen (once weekly for 4 weeks with </w:t>
      </w:r>
      <w:r w:rsidR="00AD65AD" w:rsidRPr="00350596">
        <w:t>a minimum</w:t>
      </w:r>
      <w:r w:rsidRPr="00350596">
        <w:t xml:space="preserve"> 4-week </w:t>
      </w:r>
      <w:r w:rsidR="00AD65AD" w:rsidRPr="00350596">
        <w:t>gap</w:t>
      </w:r>
      <w:r w:rsidRPr="00350596">
        <w:t>) is to accommodate patients’ needs by providing an evenly distributed dosing and to reduce the treatment-free period between treatment cycles for patients with generalised myasthenia gravis. The PBRER stated that other dosing regimens (weekly and every 2 weeks) are being evaluated in clinical studies and the analysis of these cases has not shown any safety concerns.</w:t>
      </w:r>
    </w:p>
    <w:p w14:paraId="5442FD0F" w14:textId="11669E33" w:rsidR="00A43F70" w:rsidRPr="00350596" w:rsidRDefault="002D0C2A" w:rsidP="008B3086">
      <w:pPr>
        <w:pStyle w:val="COMexecsummnumbered"/>
      </w:pPr>
      <w:r w:rsidRPr="00350596">
        <w:t>For IVIg, t</w:t>
      </w:r>
      <w:r w:rsidR="00A43F70" w:rsidRPr="00350596">
        <w:t>he submission presented an overview of adverse events reported in the Bril 2024 trial and Wolfe 2002 study. The submission stated that limited safety data were captured in the Wolfe 2002 study which was prematurely terminated and had a very small sample size. The submission noted that few serious adverse events occurred during the Bril 2024 trial but there was a lack of detailed information available to determine whether the events were treatment-related or not.</w:t>
      </w:r>
    </w:p>
    <w:p w14:paraId="04908C7F" w14:textId="415B9B7D" w:rsidR="007F1017" w:rsidRPr="00350596" w:rsidRDefault="007F1017" w:rsidP="003D5DE7">
      <w:pPr>
        <w:pStyle w:val="COMH2-non-numbered"/>
      </w:pPr>
      <w:bookmarkStart w:id="42" w:name="_Toc22897643"/>
      <w:bookmarkStart w:id="43" w:name="_Toc188365361"/>
      <w:r w:rsidRPr="00350596">
        <w:t>Benefits/harms</w:t>
      </w:r>
      <w:bookmarkEnd w:id="42"/>
      <w:bookmarkEnd w:id="43"/>
    </w:p>
    <w:p w14:paraId="4FC8A010" w14:textId="1B4C7226" w:rsidR="00C113AC" w:rsidRPr="00350596" w:rsidRDefault="00F055B2" w:rsidP="00D54C64">
      <w:pPr>
        <w:pStyle w:val="COMexecsummnumbered"/>
      </w:pPr>
      <w:r w:rsidRPr="00350596">
        <w:t xml:space="preserve">As outlined in </w:t>
      </w:r>
      <w:r w:rsidR="00C113AC" w:rsidRPr="00350596">
        <w:t>paragraph</w:t>
      </w:r>
      <w:r w:rsidR="00DD3EDE" w:rsidRPr="00350596">
        <w:t xml:space="preserve"> </w:t>
      </w:r>
      <w:r w:rsidR="00DD3EDE" w:rsidRPr="00350596">
        <w:fldChar w:fldCharType="begin"/>
      </w:r>
      <w:r w:rsidR="00DD3EDE" w:rsidRPr="00350596">
        <w:instrText xml:space="preserve"> REF _Ref191217253 \r \h </w:instrText>
      </w:r>
      <w:r w:rsidR="003D0EFD" w:rsidRPr="00350596">
        <w:instrText xml:space="preserve"> \* MERGEFORMAT </w:instrText>
      </w:r>
      <w:r w:rsidR="00DD3EDE" w:rsidRPr="00350596">
        <w:fldChar w:fldCharType="separate"/>
      </w:r>
      <w:r w:rsidR="002B16A5">
        <w:t>6.71</w:t>
      </w:r>
      <w:r w:rsidR="00DD3EDE" w:rsidRPr="00350596">
        <w:fldChar w:fldCharType="end"/>
      </w:r>
      <w:r w:rsidR="00C113AC" w:rsidRPr="00350596">
        <w:t xml:space="preserve">, the ESC considered the evidence did not support the claim of superior efficacy versus chronic IVIg or PLEX, thus benefits and harms statements have not been presented. </w:t>
      </w:r>
    </w:p>
    <w:p w14:paraId="7A1772B6" w14:textId="5EB17215" w:rsidR="00B60939" w:rsidRPr="00350596" w:rsidRDefault="00B60939" w:rsidP="003D5DE7">
      <w:pPr>
        <w:pStyle w:val="COMH2-non-numbered"/>
        <w:rPr>
          <w:i w:val="0"/>
        </w:rPr>
      </w:pPr>
      <w:bookmarkStart w:id="44" w:name="_Toc22897644"/>
      <w:bookmarkStart w:id="45" w:name="_Toc188365362"/>
      <w:r w:rsidRPr="00350596">
        <w:rPr>
          <w:i w:val="0"/>
        </w:rPr>
        <w:lastRenderedPageBreak/>
        <w:t>Clinical claim</w:t>
      </w:r>
      <w:bookmarkEnd w:id="44"/>
      <w:bookmarkEnd w:id="45"/>
    </w:p>
    <w:p w14:paraId="7B089245" w14:textId="76E34FD7" w:rsidR="0017533A" w:rsidRPr="00350596" w:rsidRDefault="0017533A" w:rsidP="00C67395">
      <w:pPr>
        <w:pStyle w:val="COMexecsummnumbered"/>
      </w:pPr>
      <w:r w:rsidRPr="00350596">
        <w:t xml:space="preserve">The submission claimed that despite the limited evidence base available for chronic IVIg, efgartigimod administered over 3 treatment cycles is superior in terms of efficacy and non-inferior in terms of safety compared to chronic IVIg. </w:t>
      </w:r>
    </w:p>
    <w:p w14:paraId="3F37E6CB" w14:textId="6594ACA4" w:rsidR="00FA60D7" w:rsidRPr="00350596" w:rsidRDefault="00AA12DF" w:rsidP="00FA60D7">
      <w:pPr>
        <w:pStyle w:val="COMexecsummnumbered"/>
      </w:pPr>
      <w:bookmarkStart w:id="46" w:name="_Ref191217253"/>
      <w:r w:rsidRPr="00350596">
        <w:t>While the results of the submission’s network meta-analysis indicated that efgartigimod was associated with a statistically significant improvement in QMG score compared to IVIg, the ESC considered the analysis was not reliable as: it did not account for the treatment effects of efgartigimod waning over time during the off-treatment period; there were substantial other transitivity issues including differences in study designs and patient populations</w:t>
      </w:r>
      <w:r w:rsidR="00F505FD" w:rsidRPr="00350596">
        <w:t xml:space="preserve"> (including large difference between outcomes in the placebo arms of the Bril 2024 and ADAPT trials in terms of QMG response)</w:t>
      </w:r>
      <w:r w:rsidRPr="00350596">
        <w:t xml:space="preserve">; and </w:t>
      </w:r>
      <w:r w:rsidR="00A02E43" w:rsidRPr="00350596">
        <w:t xml:space="preserve">there were </w:t>
      </w:r>
      <w:r w:rsidRPr="00350596">
        <w:t>limitations with the IVIg evidence informing the analysi</w:t>
      </w:r>
      <w:r w:rsidR="00A02E43" w:rsidRPr="00350596">
        <w:t>s</w:t>
      </w:r>
      <w:r w:rsidRPr="00350596">
        <w:t xml:space="preserve">. In particular, only 54.8% of patients </w:t>
      </w:r>
      <w:r w:rsidR="00F26353" w:rsidRPr="00350596">
        <w:t xml:space="preserve">in Bril 2024 </w:t>
      </w:r>
      <w:r w:rsidRPr="00350596">
        <w:t>were on an NS-IST at baseline</w:t>
      </w:r>
      <w:r w:rsidR="00F26353" w:rsidRPr="00350596">
        <w:t>. Su</w:t>
      </w:r>
      <w:r w:rsidRPr="00350596">
        <w:t>bgroup analyses suggest</w:t>
      </w:r>
      <w:r w:rsidR="00F26353" w:rsidRPr="00350596">
        <w:t>ed</w:t>
      </w:r>
      <w:r w:rsidRPr="00350596">
        <w:t xml:space="preserve"> that IVIg may be associated with a greater incremental treatment effect in patients on an NS-IST at baseline (in the subgroup of patients on an NS-IST at baseline the average change from baseline in QMG score at Week 24 was -5.1 in the IVIg arm and -1.7 in the placebo arm; </w:t>
      </w:r>
      <w:r w:rsidR="00F26353" w:rsidRPr="00350596">
        <w:t>while in the overall study population the average change was -</w:t>
      </w:r>
      <w:r w:rsidRPr="00350596">
        <w:t xml:space="preserve">5.1 and -3.1 in the IVIg and placebo arms, respectively). </w:t>
      </w:r>
      <w:bookmarkEnd w:id="46"/>
      <w:r w:rsidR="00FA60D7" w:rsidRPr="00350596">
        <w:t xml:space="preserve">Overall, the ESC and the PBAC acknowledged the limitations of the available evidence for chronic IVIg but considered the claim that efgartigimod is superior in terms of efficacy compared to chronic IVIg was not adequately supported. </w:t>
      </w:r>
    </w:p>
    <w:p w14:paraId="535030E5" w14:textId="2417F58F" w:rsidR="00CD4D45" w:rsidRPr="00350596" w:rsidRDefault="00CD4D45" w:rsidP="00AA12DF">
      <w:pPr>
        <w:pStyle w:val="COMexecsummnumbered"/>
      </w:pPr>
      <w:r w:rsidRPr="00350596">
        <w:t xml:space="preserve">The </w:t>
      </w:r>
      <w:r w:rsidR="0075706D" w:rsidRPr="00350596">
        <w:t xml:space="preserve">pre-PBAC response </w:t>
      </w:r>
      <w:r w:rsidR="005E102B" w:rsidRPr="00350596">
        <w:t xml:space="preserve">stated that the </w:t>
      </w:r>
      <w:r w:rsidR="006E636C" w:rsidRPr="00350596">
        <w:t>“</w:t>
      </w:r>
      <w:r w:rsidR="005E102B" w:rsidRPr="00350596">
        <w:t>weak evidence base for human blood products and strong evidence for efgartigimod indicates that there is a superior clinical benefit for efgartigimod</w:t>
      </w:r>
      <w:r w:rsidR="006E636C" w:rsidRPr="00350596">
        <w:t>”</w:t>
      </w:r>
      <w:r w:rsidR="005E102B" w:rsidRPr="00350596">
        <w:t xml:space="preserve"> and </w:t>
      </w:r>
      <w:r w:rsidR="003B32B3" w:rsidRPr="00350596">
        <w:t xml:space="preserve">stated </w:t>
      </w:r>
      <w:r w:rsidR="005E102B" w:rsidRPr="00350596">
        <w:t xml:space="preserve">that </w:t>
      </w:r>
      <w:r w:rsidR="00EA69F1" w:rsidRPr="00350596">
        <w:t xml:space="preserve">the sponsor </w:t>
      </w:r>
      <w:r w:rsidR="00111EAA" w:rsidRPr="00350596">
        <w:t xml:space="preserve">does </w:t>
      </w:r>
      <w:r w:rsidR="006E636C" w:rsidRPr="00350596">
        <w:t>“</w:t>
      </w:r>
      <w:r w:rsidR="00111EAA" w:rsidRPr="00350596">
        <w:t xml:space="preserve">not and </w:t>
      </w:r>
      <w:r w:rsidR="005E102B" w:rsidRPr="00350596">
        <w:t>cannot agree with a cost-minimisation approach (vs. IVIg)</w:t>
      </w:r>
      <w:r w:rsidR="006E636C" w:rsidRPr="00350596">
        <w:t>”</w:t>
      </w:r>
      <w:r w:rsidR="00EA69F1" w:rsidRPr="00350596">
        <w:t>.</w:t>
      </w:r>
    </w:p>
    <w:p w14:paraId="432AE0F1" w14:textId="27903D2A" w:rsidR="0017533A" w:rsidRPr="00350596" w:rsidRDefault="0017533A" w:rsidP="0017533A">
      <w:pPr>
        <w:pStyle w:val="COMexecsummnumbered"/>
      </w:pPr>
      <w:r w:rsidRPr="00350596">
        <w:t>No clinical claim was made against PLEX</w:t>
      </w:r>
      <w:r w:rsidR="00C67395" w:rsidRPr="00350596">
        <w:t>.</w:t>
      </w:r>
    </w:p>
    <w:p w14:paraId="55364035" w14:textId="43C9C462" w:rsidR="002D0C2A" w:rsidRPr="00350596" w:rsidRDefault="00C67395" w:rsidP="0017533A">
      <w:pPr>
        <w:pStyle w:val="COMexecsummnumbered"/>
      </w:pPr>
      <w:r w:rsidRPr="00350596">
        <w:t>The submission described efgartigimod as potentially superior in terms of efficacy compared to its near market comparators (zilucoplan, ravulizumab, rozanolixizumab). No clinical claim was made in terms of safety.</w:t>
      </w:r>
      <w:r w:rsidR="001234F6" w:rsidRPr="00350596">
        <w:t xml:space="preserve"> </w:t>
      </w:r>
      <w:r w:rsidR="00C113AC" w:rsidRPr="00350596">
        <w:t>The ESC</w:t>
      </w:r>
      <w:r w:rsidR="00F33C8E" w:rsidRPr="00350596">
        <w:t xml:space="preserve"> and the PBAC</w:t>
      </w:r>
      <w:r w:rsidR="00C113AC" w:rsidRPr="00350596">
        <w:t xml:space="preserve"> considered that th</w:t>
      </w:r>
      <w:r w:rsidR="00FA60D7" w:rsidRPr="00350596">
        <w:t>e</w:t>
      </w:r>
      <w:r w:rsidR="00C113AC" w:rsidRPr="00350596">
        <w:t xml:space="preserve"> claim </w:t>
      </w:r>
      <w:r w:rsidR="00FA60D7" w:rsidRPr="00350596">
        <w:t xml:space="preserve">of superior efficacy </w:t>
      </w:r>
      <w:r w:rsidR="00E16AF5" w:rsidRPr="00350596">
        <w:t xml:space="preserve">versus zilucoplan, ravulizumab and rozanolixizumab </w:t>
      </w:r>
      <w:r w:rsidR="00C113AC" w:rsidRPr="00350596">
        <w:t xml:space="preserve">was not adequately supported </w:t>
      </w:r>
      <w:r w:rsidR="001234F6" w:rsidRPr="00350596">
        <w:t xml:space="preserve">due to </w:t>
      </w:r>
      <w:r w:rsidR="00C113AC" w:rsidRPr="00350596">
        <w:t xml:space="preserve">the substantial </w:t>
      </w:r>
      <w:r w:rsidR="001234F6" w:rsidRPr="00350596">
        <w:t xml:space="preserve">limitations of the indirect comparison and poor transitivity between the included trials in terms of study duration, disease characteristics and baseline therapies. </w:t>
      </w:r>
      <w:r w:rsidR="00C113AC" w:rsidRPr="00350596">
        <w:t>In particular, the ESC not</w:t>
      </w:r>
      <w:r w:rsidR="002D0C2A" w:rsidRPr="00350596">
        <w:t>ed the</w:t>
      </w:r>
      <w:r w:rsidR="00C113AC" w:rsidRPr="00350596">
        <w:t xml:space="preserve"> lack of accounting for the treatment effects of </w:t>
      </w:r>
      <w:r w:rsidR="008A34A5" w:rsidRPr="00350596">
        <w:t>FcRn</w:t>
      </w:r>
      <w:r w:rsidR="00C113AC" w:rsidRPr="00350596">
        <w:t xml:space="preserve"> blockers waning over time during the off-treatment period.</w:t>
      </w:r>
    </w:p>
    <w:p w14:paraId="75FDBD77" w14:textId="230CD600" w:rsidR="00DA6233" w:rsidRPr="00350596" w:rsidRDefault="00DA6233" w:rsidP="00DA6233">
      <w:pPr>
        <w:pStyle w:val="COMexecsummnumbered"/>
      </w:pPr>
      <w:r w:rsidRPr="00350596">
        <w:t>The</w:t>
      </w:r>
      <w:r w:rsidR="001E12E5" w:rsidRPr="00350596">
        <w:t xml:space="preserve"> evaluation considered that the</w:t>
      </w:r>
      <w:r w:rsidRPr="00350596">
        <w:t xml:space="preserve"> following issues should be considered:</w:t>
      </w:r>
    </w:p>
    <w:p w14:paraId="019D9D83" w14:textId="1B87D346" w:rsidR="00DA6233" w:rsidRPr="00350596" w:rsidRDefault="00DA6233" w:rsidP="00E44999">
      <w:pPr>
        <w:pStyle w:val="COMexecsummbulletlist"/>
        <w:spacing w:after="60"/>
        <w:ind w:left="1071" w:hanging="357"/>
      </w:pPr>
      <w:r w:rsidRPr="00350596">
        <w:t>There are no comparative data beyond two cycles of treatment in the 26-week ADAPT trial.</w:t>
      </w:r>
      <w:r w:rsidR="00FA1A01" w:rsidRPr="00350596">
        <w:t xml:space="preserve"> L</w:t>
      </w:r>
      <w:r w:rsidRPr="00350596">
        <w:t xml:space="preserve">onger-term </w:t>
      </w:r>
      <w:r w:rsidR="00FA1A01" w:rsidRPr="00350596">
        <w:t xml:space="preserve">data from the </w:t>
      </w:r>
      <w:r w:rsidRPr="00350596">
        <w:t>extension study suggest that a reduction in symptoms can be maintained while patients are on therapy, but the gap between treatment cycles reduces over time.</w:t>
      </w:r>
      <w:r w:rsidR="00741085" w:rsidRPr="00350596">
        <w:t xml:space="preserve"> </w:t>
      </w:r>
    </w:p>
    <w:p w14:paraId="2B24A6CA" w14:textId="77777777" w:rsidR="006758C1" w:rsidRPr="00350596" w:rsidRDefault="006758C1" w:rsidP="00E44999">
      <w:pPr>
        <w:pStyle w:val="COMexecsummbulletlist"/>
        <w:spacing w:after="60"/>
        <w:ind w:left="1071" w:hanging="357"/>
      </w:pPr>
      <w:r w:rsidRPr="00350596">
        <w:lastRenderedPageBreak/>
        <w:t xml:space="preserve">The applicability of the efgartigimod trial evidence to the Australian PBS population is unclear given potential differences in baseline functional impairment and measures of response based on MGC thresholds. </w:t>
      </w:r>
    </w:p>
    <w:p w14:paraId="3511F11F" w14:textId="2994E4E0" w:rsidR="00AC3464" w:rsidRPr="00350596" w:rsidRDefault="006758C1" w:rsidP="00E44999">
      <w:pPr>
        <w:pStyle w:val="COMexecsummbulletlist"/>
        <w:spacing w:after="60"/>
        <w:ind w:left="1071" w:hanging="357"/>
      </w:pPr>
      <w:r w:rsidRPr="00350596">
        <w:t>Longer term data from the extension study indicated maintenance of treatment effect in subsequent treatment cycles, however, this was associated with decreasing treatment-free intervals over time (to a minimum of 4 weeks). There are limited data regarding the circumstances</w:t>
      </w:r>
      <w:r w:rsidR="00835BEC" w:rsidRPr="00350596">
        <w:t xml:space="preserve"> of</w:t>
      </w:r>
      <w:r w:rsidRPr="00350596">
        <w:t xml:space="preserve"> use of efgartigimod in </w:t>
      </w:r>
      <w:r w:rsidR="00E44999" w:rsidRPr="00350596">
        <w:t xml:space="preserve">clinical </w:t>
      </w:r>
      <w:r w:rsidRPr="00350596">
        <w:t xml:space="preserve">practice and available data indicate a direct relationship between time on treatment and maintenance of treatment effect. </w:t>
      </w:r>
      <w:bookmarkStart w:id="47" w:name="_Toc22897645"/>
    </w:p>
    <w:p w14:paraId="5232BDEC" w14:textId="2C5938A8" w:rsidR="002D0C2A" w:rsidRPr="00350596" w:rsidRDefault="00AC3464" w:rsidP="002D0C2A">
      <w:pPr>
        <w:pStyle w:val="COMexecsummbulletlist"/>
        <w:rPr>
          <w:i/>
          <w:iCs/>
        </w:rPr>
      </w:pPr>
      <w:r w:rsidRPr="00350596">
        <w:t xml:space="preserve">There are limited long-term safety data beyond a mean follow-up of 1.6 years in the extension study, with </w:t>
      </w:r>
      <w:r w:rsidR="00183B84" w:rsidRPr="00350596">
        <w:t>70%</w:t>
      </w:r>
      <w:r w:rsidRPr="00350596">
        <w:t xml:space="preserve"> </w:t>
      </w:r>
      <w:r w:rsidR="00183B84" w:rsidRPr="00350596">
        <w:t>of patients discontinuing</w:t>
      </w:r>
      <w:r w:rsidRPr="00350596">
        <w:t xml:space="preserve"> prematurely</w:t>
      </w:r>
      <w:r w:rsidR="00183B84" w:rsidRPr="00350596">
        <w:t>,</w:t>
      </w:r>
      <w:r w:rsidRPr="00350596">
        <w:t xml:space="preserve"> mainly due to roll-over to another observational study (43%).</w:t>
      </w:r>
    </w:p>
    <w:bookmarkEnd w:id="47"/>
    <w:p w14:paraId="16151612" w14:textId="1D1A8372" w:rsidR="001110D6" w:rsidRDefault="00F505FD" w:rsidP="00380F49">
      <w:pPr>
        <w:pStyle w:val="COMexecsummnumbered"/>
      </w:pPr>
      <w:r w:rsidRPr="00350596">
        <w:t xml:space="preserve">The PBAC considered that, while the submission’s network meta-analysis indicated that efgartigimod was associated with a statistically significant improvement in QMG score compared to IVIg, this analysis was unreliable as it did not account for the treatment effects of efgartigimod waning over time during the off-treatment period. </w:t>
      </w:r>
      <w:r w:rsidR="003924FA" w:rsidRPr="00350596">
        <w:t xml:space="preserve">Overall, </w:t>
      </w:r>
      <w:r w:rsidRPr="00350596">
        <w:t>based on the totality of the evidence presented across the four subm</w:t>
      </w:r>
      <w:r w:rsidR="007A3130" w:rsidRPr="00350596">
        <w:t>i</w:t>
      </w:r>
      <w:r w:rsidRPr="00350596">
        <w:t xml:space="preserve">ssions for new gMG therapies, </w:t>
      </w:r>
      <w:r w:rsidR="003924FA" w:rsidRPr="00350596">
        <w:t xml:space="preserve">the PBAC considered that efgartigimod has non-inferior comparative effectiveness and safety versus chronic IVIg and also against ravulizumab, rozanolixizumab and zilucoplan. </w:t>
      </w:r>
      <w:bookmarkStart w:id="48" w:name="_Toc188365363"/>
    </w:p>
    <w:p w14:paraId="2E7894DA" w14:textId="4BD3C40D" w:rsidR="00380F49" w:rsidRPr="00350596" w:rsidRDefault="00380F49" w:rsidP="00380F49">
      <w:pPr>
        <w:pStyle w:val="COMH2-non-numbered"/>
      </w:pPr>
      <w:r w:rsidRPr="00350596">
        <w:t>Economic analysis</w:t>
      </w:r>
      <w:bookmarkEnd w:id="48"/>
      <w:r w:rsidRPr="00350596">
        <w:t xml:space="preserve"> </w:t>
      </w:r>
    </w:p>
    <w:p w14:paraId="14C1E8F9" w14:textId="60EC79B0" w:rsidR="00275C5A" w:rsidRPr="00350596" w:rsidRDefault="007654BC" w:rsidP="007654BC">
      <w:pPr>
        <w:pStyle w:val="COMexecsummnumbered"/>
      </w:pPr>
      <w:r w:rsidRPr="00350596">
        <w:t>The submission presented a stepped economic evaluation of efgartigimod in combination with standard therapy compared to chronic IVIg in combination with standard therapy for the treatment of AChR antibody positive generalised myasthenia gravis who remain symptomatic despite standard therapy. The economic evaluation was based on a placebo-controlled trial (ADAPT) and extension study with additional modelled data. The economic evaluation was presented as a cost-utility analysis.</w:t>
      </w:r>
    </w:p>
    <w:p w14:paraId="16C8653C" w14:textId="0C38E290" w:rsidR="008C5739" w:rsidRPr="00350596" w:rsidRDefault="007654BC" w:rsidP="007654BC">
      <w:pPr>
        <w:pStyle w:val="COMexecsummnumbered"/>
      </w:pPr>
      <w:r w:rsidRPr="00350596">
        <w:t xml:space="preserve">Key components of the economic evaluations are summarised in </w:t>
      </w:r>
      <w:r w:rsidR="00165FA3" w:rsidRPr="00350596">
        <w:fldChar w:fldCharType="begin"/>
      </w:r>
      <w:r w:rsidR="00165FA3" w:rsidRPr="00350596">
        <w:instrText xml:space="preserve"> REF _Ref187601727 \h </w:instrText>
      </w:r>
      <w:r w:rsidR="00165FA3" w:rsidRPr="00350596">
        <w:fldChar w:fldCharType="separate"/>
      </w:r>
      <w:r w:rsidR="002B16A5" w:rsidRPr="00350596">
        <w:t xml:space="preserve">Table </w:t>
      </w:r>
      <w:r w:rsidR="002B16A5">
        <w:rPr>
          <w:noProof/>
        </w:rPr>
        <w:t>10</w:t>
      </w:r>
      <w:r w:rsidR="00165FA3" w:rsidRPr="00350596">
        <w:fldChar w:fldCharType="end"/>
      </w:r>
      <w:r w:rsidR="0098262F" w:rsidRPr="00350596">
        <w:t xml:space="preserve">. </w:t>
      </w:r>
    </w:p>
    <w:p w14:paraId="15A9AFA4" w14:textId="29408B54" w:rsidR="00275C5A" w:rsidRPr="00350596" w:rsidRDefault="00E16AD8" w:rsidP="00496456">
      <w:pPr>
        <w:pStyle w:val="COMtablefigcaption"/>
        <w:widowControl w:val="0"/>
      </w:pPr>
      <w:bookmarkStart w:id="49" w:name="_Ref187601727"/>
      <w:r w:rsidRPr="00350596">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10</w:t>
      </w:r>
      <w:r w:rsidR="007579CB" w:rsidRPr="00350596">
        <w:fldChar w:fldCharType="end"/>
      </w:r>
      <w:bookmarkEnd w:id="49"/>
      <w:r w:rsidRPr="00350596">
        <w:t>:</w:t>
      </w:r>
      <w:r w:rsidR="00275C5A" w:rsidRPr="00350596">
        <w:t xml:space="preserve"> Summary of model structure</w:t>
      </w:r>
      <w:r w:rsidR="00184B0E" w:rsidRPr="00350596">
        <w:t>, key inputs</w:t>
      </w:r>
      <w:r w:rsidR="00275C5A" w:rsidRPr="00350596">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Summary of model structure, key inputs and rationale"/>
      </w:tblPr>
      <w:tblGrid>
        <w:gridCol w:w="1520"/>
        <w:gridCol w:w="7497"/>
      </w:tblGrid>
      <w:tr w:rsidR="00275C5A" w:rsidRPr="00350596" w14:paraId="48BB958D" w14:textId="77777777" w:rsidTr="00D3700C">
        <w:trPr>
          <w:tblHeader/>
        </w:trPr>
        <w:tc>
          <w:tcPr>
            <w:tcW w:w="843" w:type="pct"/>
            <w:vAlign w:val="center"/>
          </w:tcPr>
          <w:p w14:paraId="29C3D629" w14:textId="77777777" w:rsidR="00275C5A" w:rsidRPr="00350596" w:rsidRDefault="00275C5A" w:rsidP="00496456">
            <w:pPr>
              <w:pStyle w:val="COMTableheadingrow"/>
              <w:widowControl w:val="0"/>
              <w:rPr>
                <w:lang w:val="en-AU"/>
              </w:rPr>
            </w:pPr>
            <w:r w:rsidRPr="00350596">
              <w:rPr>
                <w:lang w:val="en-AU"/>
              </w:rPr>
              <w:t>Component</w:t>
            </w:r>
          </w:p>
        </w:tc>
        <w:tc>
          <w:tcPr>
            <w:tcW w:w="4157" w:type="pct"/>
            <w:vAlign w:val="center"/>
          </w:tcPr>
          <w:p w14:paraId="58FBA37B" w14:textId="77777777" w:rsidR="00275C5A" w:rsidRPr="00350596" w:rsidRDefault="00275C5A" w:rsidP="00496456">
            <w:pPr>
              <w:pStyle w:val="COMTableheadingrow"/>
              <w:widowControl w:val="0"/>
              <w:rPr>
                <w:lang w:val="en-AU"/>
              </w:rPr>
            </w:pPr>
            <w:r w:rsidRPr="00350596">
              <w:rPr>
                <w:lang w:val="en-AU"/>
              </w:rPr>
              <w:t>Summary</w:t>
            </w:r>
          </w:p>
        </w:tc>
      </w:tr>
      <w:tr w:rsidR="008B2666" w:rsidRPr="00350596" w14:paraId="0A30673C" w14:textId="77777777" w:rsidTr="00D3700C">
        <w:tc>
          <w:tcPr>
            <w:tcW w:w="843" w:type="pct"/>
            <w:vAlign w:val="center"/>
          </w:tcPr>
          <w:p w14:paraId="1D649AB1" w14:textId="7AAAA5B7" w:rsidR="008B2666" w:rsidRPr="00350596" w:rsidRDefault="008B2666" w:rsidP="00496456">
            <w:pPr>
              <w:pStyle w:val="COMTabletext"/>
              <w:widowControl w:val="0"/>
            </w:pPr>
            <w:r w:rsidRPr="00350596">
              <w:t>Type of analysis</w:t>
            </w:r>
          </w:p>
        </w:tc>
        <w:tc>
          <w:tcPr>
            <w:tcW w:w="4157" w:type="pct"/>
            <w:vAlign w:val="center"/>
          </w:tcPr>
          <w:p w14:paraId="378F294E" w14:textId="13098E20" w:rsidR="008B2666" w:rsidRPr="00350596" w:rsidRDefault="008B2666" w:rsidP="00496456">
            <w:pPr>
              <w:pStyle w:val="COMTabletext"/>
              <w:widowControl w:val="0"/>
            </w:pPr>
            <w:r w:rsidRPr="00350596">
              <w:t>Cost-utility analysis</w:t>
            </w:r>
          </w:p>
        </w:tc>
      </w:tr>
      <w:tr w:rsidR="00275C5A" w:rsidRPr="00350596" w14:paraId="003209BF" w14:textId="77777777" w:rsidTr="00D3700C">
        <w:tc>
          <w:tcPr>
            <w:tcW w:w="843" w:type="pct"/>
            <w:vAlign w:val="center"/>
          </w:tcPr>
          <w:p w14:paraId="522DAB95" w14:textId="77777777" w:rsidR="00275C5A" w:rsidRPr="00350596" w:rsidRDefault="00275C5A" w:rsidP="00496456">
            <w:pPr>
              <w:pStyle w:val="COMTabletext"/>
              <w:widowControl w:val="0"/>
            </w:pPr>
            <w:r w:rsidRPr="00350596">
              <w:t>Outcomes</w:t>
            </w:r>
          </w:p>
        </w:tc>
        <w:tc>
          <w:tcPr>
            <w:tcW w:w="4157" w:type="pct"/>
            <w:vAlign w:val="center"/>
          </w:tcPr>
          <w:p w14:paraId="3D1C428E" w14:textId="6C08AC34" w:rsidR="00275C5A" w:rsidRPr="00350596" w:rsidRDefault="00EE716B" w:rsidP="00496456">
            <w:pPr>
              <w:pStyle w:val="COMTabletext"/>
              <w:widowControl w:val="0"/>
            </w:pPr>
            <w:r w:rsidRPr="00350596">
              <w:t>Quality adjusted life years</w:t>
            </w:r>
          </w:p>
        </w:tc>
      </w:tr>
      <w:tr w:rsidR="008B2666" w:rsidRPr="00350596" w14:paraId="1EBD5C29" w14:textId="77777777" w:rsidTr="00D3700C">
        <w:tc>
          <w:tcPr>
            <w:tcW w:w="843" w:type="pct"/>
            <w:vAlign w:val="center"/>
          </w:tcPr>
          <w:p w14:paraId="597DC86C" w14:textId="77777777" w:rsidR="008B2666" w:rsidRPr="00350596" w:rsidRDefault="008B2666" w:rsidP="007959EA">
            <w:pPr>
              <w:pStyle w:val="COMTabletext"/>
              <w:keepNext w:val="0"/>
              <w:widowControl w:val="0"/>
            </w:pPr>
            <w:r w:rsidRPr="00350596">
              <w:t>Time horizon</w:t>
            </w:r>
          </w:p>
        </w:tc>
        <w:tc>
          <w:tcPr>
            <w:tcW w:w="4157" w:type="pct"/>
            <w:vAlign w:val="center"/>
          </w:tcPr>
          <w:p w14:paraId="497EC0F5" w14:textId="6CAF4C45" w:rsidR="008B2666" w:rsidRPr="00350596" w:rsidRDefault="00EE716B" w:rsidP="007959EA">
            <w:pPr>
              <w:pStyle w:val="COMTabletext"/>
              <w:keepNext w:val="0"/>
              <w:widowControl w:val="0"/>
            </w:pPr>
            <w:r w:rsidRPr="00350596">
              <w:t xml:space="preserve">Lifetime horizon (33 years) </w:t>
            </w:r>
          </w:p>
        </w:tc>
      </w:tr>
      <w:tr w:rsidR="00275C5A" w:rsidRPr="00350596" w14:paraId="29120B3F" w14:textId="77777777" w:rsidTr="00D3700C">
        <w:tc>
          <w:tcPr>
            <w:tcW w:w="843" w:type="pct"/>
            <w:vAlign w:val="center"/>
          </w:tcPr>
          <w:p w14:paraId="1AAC94CB" w14:textId="77777777" w:rsidR="00275C5A" w:rsidRPr="00350596" w:rsidRDefault="00275C5A" w:rsidP="007654BC">
            <w:pPr>
              <w:pStyle w:val="COMTabletext"/>
              <w:keepNext w:val="0"/>
              <w:widowControl w:val="0"/>
            </w:pPr>
            <w:r w:rsidRPr="00350596">
              <w:t>Methods used to generate results</w:t>
            </w:r>
          </w:p>
        </w:tc>
        <w:tc>
          <w:tcPr>
            <w:tcW w:w="4157" w:type="pct"/>
            <w:vAlign w:val="center"/>
          </w:tcPr>
          <w:p w14:paraId="69D4F042" w14:textId="41552038" w:rsidR="00275C5A" w:rsidRPr="00350596" w:rsidRDefault="00B10657" w:rsidP="007654BC">
            <w:pPr>
              <w:pStyle w:val="COMTabletext"/>
              <w:keepNext w:val="0"/>
              <w:widowControl w:val="0"/>
            </w:pPr>
            <w:r w:rsidRPr="00350596">
              <w:t>Markov cohort state transition model with tunnel states</w:t>
            </w:r>
          </w:p>
        </w:tc>
      </w:tr>
      <w:tr w:rsidR="008B2666" w:rsidRPr="00350596" w14:paraId="37E7E5B2" w14:textId="77777777" w:rsidTr="00D3700C">
        <w:tc>
          <w:tcPr>
            <w:tcW w:w="843" w:type="pct"/>
            <w:vAlign w:val="center"/>
          </w:tcPr>
          <w:p w14:paraId="4A4C1FD2" w14:textId="77777777" w:rsidR="008B2666" w:rsidRPr="00350596" w:rsidRDefault="008B2666" w:rsidP="007959EA">
            <w:pPr>
              <w:pStyle w:val="COMTabletext"/>
              <w:keepNext w:val="0"/>
              <w:widowControl w:val="0"/>
            </w:pPr>
            <w:r w:rsidRPr="00350596">
              <w:t>Treatments</w:t>
            </w:r>
          </w:p>
        </w:tc>
        <w:tc>
          <w:tcPr>
            <w:tcW w:w="4157" w:type="pct"/>
            <w:vAlign w:val="center"/>
          </w:tcPr>
          <w:p w14:paraId="656D9487" w14:textId="06CBB3C6" w:rsidR="008B2666" w:rsidRPr="00350596" w:rsidRDefault="00B10657" w:rsidP="007959EA">
            <w:pPr>
              <w:pStyle w:val="COMTabletext"/>
              <w:keepNext w:val="0"/>
              <w:widowControl w:val="0"/>
            </w:pPr>
            <w:r w:rsidRPr="00350596">
              <w:t>Efgartigimod and chronic IVIg in combination with standard therapy (consisting of anticholinesterases, corticosteroids and other non-steroidal immunosuppressive therapies). Patients who discontinue therapy (non-response or other reasons) were assumed to remain on standard therapy alone.</w:t>
            </w:r>
          </w:p>
        </w:tc>
      </w:tr>
      <w:tr w:rsidR="00275C5A" w:rsidRPr="00350596" w14:paraId="7F7ACECA" w14:textId="77777777" w:rsidTr="00D3700C">
        <w:tc>
          <w:tcPr>
            <w:tcW w:w="843" w:type="pct"/>
            <w:vAlign w:val="center"/>
          </w:tcPr>
          <w:p w14:paraId="344631D3" w14:textId="77777777" w:rsidR="00275C5A" w:rsidRPr="00350596" w:rsidRDefault="00275C5A" w:rsidP="007654BC">
            <w:pPr>
              <w:pStyle w:val="COMTabletext"/>
              <w:keepNext w:val="0"/>
              <w:widowControl w:val="0"/>
            </w:pPr>
            <w:r w:rsidRPr="00350596">
              <w:t>Health states</w:t>
            </w:r>
          </w:p>
        </w:tc>
        <w:tc>
          <w:tcPr>
            <w:tcW w:w="4157" w:type="pct"/>
            <w:vAlign w:val="center"/>
          </w:tcPr>
          <w:p w14:paraId="03F23F80" w14:textId="1CB4107C" w:rsidR="00275C5A" w:rsidRPr="00350596" w:rsidRDefault="00B10657" w:rsidP="007654BC">
            <w:pPr>
              <w:pStyle w:val="COMTabletext"/>
              <w:keepNext w:val="0"/>
              <w:widowControl w:val="0"/>
            </w:pPr>
            <w:r w:rsidRPr="00350596">
              <w:t>6 health states: MG-ADL &lt;</w:t>
            </w:r>
            <w:r w:rsidR="00E81AF8">
              <w:t xml:space="preserve"> </w:t>
            </w:r>
            <w:r w:rsidRPr="00350596">
              <w:t>5, MG-ADL 5-7, MG-ADL 8-9, MG-ADL ≥10, myasthenic crisis, death.</w:t>
            </w:r>
          </w:p>
        </w:tc>
      </w:tr>
      <w:tr w:rsidR="00275C5A" w:rsidRPr="00350596" w14:paraId="7F944EEA" w14:textId="77777777" w:rsidTr="00D3700C">
        <w:tc>
          <w:tcPr>
            <w:tcW w:w="843" w:type="pct"/>
            <w:vAlign w:val="center"/>
          </w:tcPr>
          <w:p w14:paraId="255C0B8D" w14:textId="77777777" w:rsidR="00275C5A" w:rsidRPr="00350596" w:rsidRDefault="00275C5A" w:rsidP="007654BC">
            <w:pPr>
              <w:pStyle w:val="COMTabletext"/>
              <w:keepNext w:val="0"/>
              <w:widowControl w:val="0"/>
            </w:pPr>
            <w:r w:rsidRPr="00350596">
              <w:t>Cycle length</w:t>
            </w:r>
          </w:p>
        </w:tc>
        <w:tc>
          <w:tcPr>
            <w:tcW w:w="4157" w:type="pct"/>
            <w:vAlign w:val="center"/>
          </w:tcPr>
          <w:p w14:paraId="5733F6EA" w14:textId="7296DB6F" w:rsidR="00275C5A" w:rsidRPr="00350596" w:rsidRDefault="00B10657" w:rsidP="007654BC">
            <w:pPr>
              <w:pStyle w:val="COMTabletext"/>
              <w:keepNext w:val="0"/>
              <w:widowControl w:val="0"/>
            </w:pPr>
            <w:r w:rsidRPr="00350596">
              <w:t>4 weeks with half-cycle correction</w:t>
            </w:r>
          </w:p>
        </w:tc>
      </w:tr>
      <w:tr w:rsidR="00B10657" w:rsidRPr="00350596" w14:paraId="16D91E08" w14:textId="77777777" w:rsidTr="00D3700C">
        <w:tc>
          <w:tcPr>
            <w:tcW w:w="843" w:type="pct"/>
            <w:vAlign w:val="center"/>
          </w:tcPr>
          <w:p w14:paraId="13C35080" w14:textId="740CE06E" w:rsidR="00B10657" w:rsidRPr="00350596" w:rsidRDefault="00B10657" w:rsidP="007654BC">
            <w:pPr>
              <w:pStyle w:val="COMTabletext"/>
              <w:keepNext w:val="0"/>
              <w:widowControl w:val="0"/>
            </w:pPr>
            <w:r w:rsidRPr="00350596">
              <w:t>Patient characteristics</w:t>
            </w:r>
          </w:p>
        </w:tc>
        <w:tc>
          <w:tcPr>
            <w:tcW w:w="4157" w:type="pct"/>
            <w:vAlign w:val="center"/>
          </w:tcPr>
          <w:p w14:paraId="46F3ED08" w14:textId="12725A35" w:rsidR="00B10657" w:rsidRPr="00350596" w:rsidRDefault="00B10657" w:rsidP="007654BC">
            <w:pPr>
              <w:pStyle w:val="COMTabletext"/>
              <w:keepNext w:val="0"/>
              <w:widowControl w:val="0"/>
            </w:pPr>
            <w:r w:rsidRPr="00350596">
              <w:t>Age was assumed based on published estimates. Sex, mean weight, distribution across weight categories, baseline distribution across MG-ADL score categories, the proportion of patients on corticosteroids and distribution of use across doses of corticosteroids were based on data from the combined treatment arms of the ADAPT trial.</w:t>
            </w:r>
          </w:p>
        </w:tc>
      </w:tr>
      <w:tr w:rsidR="00B10657" w:rsidRPr="00350596" w14:paraId="56CEBB45" w14:textId="77777777" w:rsidTr="00D3700C">
        <w:tc>
          <w:tcPr>
            <w:tcW w:w="843" w:type="pct"/>
            <w:vAlign w:val="center"/>
          </w:tcPr>
          <w:p w14:paraId="2B188968" w14:textId="6675B4A7" w:rsidR="00B10657" w:rsidRPr="00350596" w:rsidRDefault="00B10657" w:rsidP="007654BC">
            <w:pPr>
              <w:pStyle w:val="COMTabletext"/>
              <w:keepNext w:val="0"/>
              <w:widowControl w:val="0"/>
            </w:pPr>
            <w:r w:rsidRPr="00350596">
              <w:lastRenderedPageBreak/>
              <w:t>Circumstances of use</w:t>
            </w:r>
          </w:p>
        </w:tc>
        <w:tc>
          <w:tcPr>
            <w:tcW w:w="4157" w:type="pct"/>
            <w:vAlign w:val="center"/>
          </w:tcPr>
          <w:p w14:paraId="48A66701" w14:textId="68AD7464" w:rsidR="00B10657" w:rsidRPr="00350596" w:rsidRDefault="00B10657" w:rsidP="00B10657">
            <w:pPr>
              <w:pStyle w:val="COMTabletext"/>
              <w:keepNext w:val="0"/>
              <w:widowControl w:val="0"/>
              <w:spacing w:after="120"/>
            </w:pPr>
            <w:r w:rsidRPr="00350596">
              <w:t>The model assumed that all patients would be fully adherent to standard therapy (consisting of anticholinesterases, corticosteroids and other</w:t>
            </w:r>
            <w:r w:rsidR="006D78B4" w:rsidRPr="00350596">
              <w:t xml:space="preserve"> non-steroidal</w:t>
            </w:r>
            <w:r w:rsidRPr="00350596">
              <w:t xml:space="preserve"> immunosuppressive agents</w:t>
            </w:r>
            <w:r w:rsidR="006D78B4" w:rsidRPr="00350596">
              <w:t>)</w:t>
            </w:r>
            <w:r w:rsidR="00A06FEF" w:rsidRPr="00350596">
              <w:t>.</w:t>
            </w:r>
          </w:p>
          <w:p w14:paraId="32CA6D60" w14:textId="42E91886" w:rsidR="00B10657" w:rsidRPr="00350596" w:rsidRDefault="00B10657" w:rsidP="00B10657">
            <w:pPr>
              <w:pStyle w:val="COMTabletext"/>
              <w:keepNext w:val="0"/>
              <w:widowControl w:val="0"/>
              <w:spacing w:after="120"/>
            </w:pPr>
            <w:r w:rsidRPr="00350596">
              <w:t>The model assumed that patients treated with efgartigimod would be fully adherent in each cycle of therapy (i.e. all patients received 4 infusions at the recommended dose). The submission modelled cyclical use of efgartigimod based on the assumption that patients in the MG-ADL &lt;</w:t>
            </w:r>
            <w:r w:rsidR="00E81AF8">
              <w:t xml:space="preserve"> </w:t>
            </w:r>
            <w:r w:rsidRPr="00350596">
              <w:t>5 health state would not receive treatment, as well as a minimum 4-week gap between treatment cycles.</w:t>
            </w:r>
          </w:p>
          <w:p w14:paraId="1AD2D7D1" w14:textId="77777777" w:rsidR="00B10657" w:rsidRPr="00350596" w:rsidRDefault="00B10657" w:rsidP="00B10657">
            <w:pPr>
              <w:pStyle w:val="COMTabletext"/>
              <w:keepNext w:val="0"/>
              <w:widowControl w:val="0"/>
              <w:spacing w:after="120"/>
            </w:pPr>
            <w:r w:rsidRPr="00350596">
              <w:t xml:space="preserve">The submission assumed that patients who remained on IVIg treatment in the MG-ADL &lt; 5 health state would not receive IVIg therapy while patients in MG-ADL ≥5 health states would receive ongoing therapy. </w:t>
            </w:r>
          </w:p>
          <w:p w14:paraId="675C30F3" w14:textId="25AE1B88" w:rsidR="00B10657" w:rsidRPr="00350596" w:rsidRDefault="00B10657" w:rsidP="00B10657">
            <w:pPr>
              <w:pStyle w:val="COMTabletext"/>
              <w:keepNext w:val="0"/>
              <w:widowControl w:val="0"/>
            </w:pPr>
            <w:r w:rsidRPr="00350596">
              <w:t>Patients who discontinued efgartigimod or IVIg were assumed to receive standard therapies (anticholinesterase, corticosteroids and non-steroidal immunosuppressants) as per baseline use in the ADAPT trial.</w:t>
            </w:r>
          </w:p>
        </w:tc>
      </w:tr>
      <w:tr w:rsidR="00275C5A" w:rsidRPr="00350596" w14:paraId="6EFF7035" w14:textId="77777777" w:rsidTr="00D3700C">
        <w:tc>
          <w:tcPr>
            <w:tcW w:w="843" w:type="pct"/>
            <w:vAlign w:val="center"/>
          </w:tcPr>
          <w:p w14:paraId="77A45407" w14:textId="5198E0E3" w:rsidR="00081E63" w:rsidRPr="00350596" w:rsidRDefault="00275C5A" w:rsidP="007654BC">
            <w:pPr>
              <w:pStyle w:val="COMTabletext"/>
              <w:keepNext w:val="0"/>
              <w:widowControl w:val="0"/>
            </w:pPr>
            <w:r w:rsidRPr="00350596">
              <w:t>Transition probabilities</w:t>
            </w:r>
            <w:r w:rsidR="00AB19EF" w:rsidRPr="00350596">
              <w:t xml:space="preserve"> </w:t>
            </w:r>
          </w:p>
        </w:tc>
        <w:tc>
          <w:tcPr>
            <w:tcW w:w="4157" w:type="pct"/>
            <w:vAlign w:val="center"/>
          </w:tcPr>
          <w:p w14:paraId="016452EF" w14:textId="77777777" w:rsidR="006D78B4" w:rsidRPr="00350596" w:rsidRDefault="006D78B4" w:rsidP="006D78B4">
            <w:pPr>
              <w:pStyle w:val="COMTabletext"/>
              <w:keepNext w:val="0"/>
              <w:widowControl w:val="0"/>
              <w:spacing w:after="120"/>
            </w:pPr>
            <w:r w:rsidRPr="00350596">
              <w:t xml:space="preserve">Efgartigimod response and non-response rates were based on patient-level ADAPT trial data, applied once at the start of the model. Patients who were non-responders were assumed to discontinue treatment permanently. A constant treatment discontinuation rate was also applied to efgartigimod responders based on ADAPT trial data. </w:t>
            </w:r>
          </w:p>
          <w:p w14:paraId="00CE5C3E" w14:textId="77777777" w:rsidR="006D78B4" w:rsidRPr="00350596" w:rsidRDefault="006D78B4" w:rsidP="006D78B4">
            <w:pPr>
              <w:pStyle w:val="COMTabletext"/>
              <w:keepNext w:val="0"/>
              <w:widowControl w:val="0"/>
              <w:spacing w:after="120"/>
            </w:pPr>
            <w:r w:rsidRPr="00350596">
              <w:t>A one-off treatment discontinuation rate was applied to patients on chronic IVIg based on adverse event data from the Wolfe 2002 study. All other patients were assumed to continue treatment.</w:t>
            </w:r>
          </w:p>
          <w:p w14:paraId="07B55998" w14:textId="5FEDBC15" w:rsidR="006D78B4" w:rsidRPr="00350596" w:rsidRDefault="006D78B4" w:rsidP="006D78B4">
            <w:pPr>
              <w:pStyle w:val="COMTabletext"/>
              <w:keepNext w:val="0"/>
              <w:widowControl w:val="0"/>
              <w:spacing w:after="120"/>
            </w:pPr>
            <w:r w:rsidRPr="00350596">
              <w:t>Efgartigimod responders were attributed separate transition probabilities between the MG-ADL health states depending on the model cycle (first and subsequent), treatment status (on- or off-treatment tracked based on time from entry into tunnel states) and disease status (MG-ADL &lt;</w:t>
            </w:r>
            <w:r w:rsidR="00E81AF8">
              <w:t xml:space="preserve"> </w:t>
            </w:r>
            <w:r w:rsidRPr="00350596">
              <w:t>5 or ≥</w:t>
            </w:r>
            <w:r w:rsidR="00E81AF8">
              <w:t xml:space="preserve"> </w:t>
            </w:r>
            <w:r w:rsidRPr="00350596">
              <w:t xml:space="preserve">5). The transition probabilities were derived using patient-level ADAPT trial and ADAPT+ extension study data. </w:t>
            </w:r>
          </w:p>
          <w:p w14:paraId="533ADB7E" w14:textId="19339A58" w:rsidR="006D78B4" w:rsidRPr="00350596" w:rsidRDefault="006D78B4" w:rsidP="006D78B4">
            <w:pPr>
              <w:pStyle w:val="COMTabletext"/>
              <w:keepNext w:val="0"/>
              <w:widowControl w:val="0"/>
              <w:spacing w:after="120"/>
            </w:pPr>
            <w:r w:rsidRPr="00350596">
              <w:t>Patients on chronic IVIg were attributed separate transition probabilities between the MG-ADL health states depending on the model cycle (first and subsequent). Transition probabilities for the first model cycle were synthesised using the inverse of comparative treatment effects between efgartigimod and IVIg from the submission’s indirect comparison, applied to data from the efgartigimod arm of the ADAPT trial. In subsequent cycles, patients were assumed to remain in the same health state unless they developed myasthenic crisis or died.</w:t>
            </w:r>
          </w:p>
          <w:p w14:paraId="140355FA" w14:textId="5A5B48D9" w:rsidR="006D78B4" w:rsidRPr="00350596" w:rsidRDefault="006D78B4" w:rsidP="006D78B4">
            <w:pPr>
              <w:pStyle w:val="COMTabletext"/>
              <w:keepNext w:val="0"/>
              <w:widowControl w:val="0"/>
              <w:spacing w:after="120"/>
            </w:pPr>
            <w:r w:rsidRPr="00350596">
              <w:t>Patients who permanently discontinued efgartigimod or chronic IVIg were assumed to receive standard therapies only. Separate transition probabilities were applied for the first 5 model cycles based on the placebo arm of the ADAPT trial. In subsequent cycles, patients were assumed to remain in the same health state unless they developed myasthenic crisis or died.</w:t>
            </w:r>
          </w:p>
          <w:p w14:paraId="5F061316" w14:textId="77777777" w:rsidR="006D78B4" w:rsidRPr="00350596" w:rsidRDefault="006D78B4" w:rsidP="006D78B4">
            <w:pPr>
              <w:pStyle w:val="COMTabletext"/>
              <w:keepNext w:val="0"/>
              <w:widowControl w:val="0"/>
              <w:spacing w:after="120"/>
            </w:pPr>
            <w:r w:rsidRPr="00350596">
              <w:t xml:space="preserve">Transition probabilities to the myasthenic crisis health state were based on published estimates (Ramos-Fransi 2015). Following myasthenic crises, it was assumed that patients would revert to the baseline distribution across MG-ADL health states. </w:t>
            </w:r>
          </w:p>
          <w:p w14:paraId="071726D6" w14:textId="77777777" w:rsidR="006D78B4" w:rsidRPr="00350596" w:rsidRDefault="006D78B4" w:rsidP="006D78B4">
            <w:pPr>
              <w:pStyle w:val="COMTabletext"/>
              <w:keepNext w:val="0"/>
              <w:widowControl w:val="0"/>
              <w:spacing w:after="120"/>
            </w:pPr>
            <w:r w:rsidRPr="00350596">
              <w:t xml:space="preserve">The risk of exacerbations was based on estimates obtained from the CADTH review of eculizumab for myasthenia gravis and assumptions. </w:t>
            </w:r>
          </w:p>
          <w:p w14:paraId="1E398C2D" w14:textId="77777777" w:rsidR="006D78B4" w:rsidRPr="00350596" w:rsidRDefault="006D78B4" w:rsidP="006D78B4">
            <w:pPr>
              <w:pStyle w:val="COMTabletext"/>
              <w:keepNext w:val="0"/>
              <w:widowControl w:val="0"/>
              <w:spacing w:after="120"/>
            </w:pPr>
            <w:r w:rsidRPr="00350596">
              <w:t xml:space="preserve">The distribution of low- and high-dose corticosteroid use was based on the ADAPT trial and assumptions. </w:t>
            </w:r>
          </w:p>
          <w:p w14:paraId="20C3692D" w14:textId="77777777" w:rsidR="006D78B4" w:rsidRPr="00350596" w:rsidRDefault="006D78B4" w:rsidP="006D78B4">
            <w:pPr>
              <w:pStyle w:val="COMTabletext"/>
              <w:keepNext w:val="0"/>
              <w:widowControl w:val="0"/>
              <w:spacing w:after="120"/>
            </w:pPr>
            <w:r w:rsidRPr="00350596">
              <w:t xml:space="preserve">The incidence of adverse events for efgartigimod and chronic IVIg were based on the ADAPT trial efgartigimod and placebo arms, respectively. Adverse events were assumed to occur only during cycles of treatment. </w:t>
            </w:r>
          </w:p>
          <w:p w14:paraId="03A69A20" w14:textId="77777777" w:rsidR="006D78B4" w:rsidRPr="00350596" w:rsidRDefault="006D78B4" w:rsidP="006D78B4">
            <w:pPr>
              <w:pStyle w:val="COMTabletext"/>
              <w:keepNext w:val="0"/>
              <w:widowControl w:val="0"/>
              <w:spacing w:after="120"/>
            </w:pPr>
            <w:r w:rsidRPr="00350596">
              <w:t xml:space="preserve">Transition probabilities for general mortality were based on Australian life tables. </w:t>
            </w:r>
          </w:p>
          <w:p w14:paraId="297368A3" w14:textId="77777777" w:rsidR="006D78B4" w:rsidRPr="00350596" w:rsidRDefault="006D78B4" w:rsidP="006D78B4">
            <w:pPr>
              <w:pStyle w:val="COMTabletext"/>
              <w:keepNext w:val="0"/>
              <w:widowControl w:val="0"/>
              <w:spacing w:after="120"/>
            </w:pPr>
            <w:r w:rsidRPr="00350596">
              <w:t>Hazard ratios for increased mortality associated with low- and high-dose corticosteroid use were based on published estimates from multiple studies (Ajegnova 2013, Mebrahtu 2019, Wilson 2017, Movahedi 2016, Schols 2001).</w:t>
            </w:r>
          </w:p>
          <w:p w14:paraId="76387578" w14:textId="4B81F2BB" w:rsidR="00275C5A" w:rsidRPr="00350596" w:rsidRDefault="006D78B4" w:rsidP="006D78B4">
            <w:pPr>
              <w:pStyle w:val="COMTabletext"/>
              <w:keepNext w:val="0"/>
              <w:widowControl w:val="0"/>
            </w:pPr>
            <w:r w:rsidRPr="00350596">
              <w:lastRenderedPageBreak/>
              <w:t>The probability of myasthenic crisis-related death were based on published estimates from multiple studies (Neumann 2020, Alshekhlee 2009, Mandawat 2010, Liu 2019, Liu 2017, Spillane 2014, Soleimani 2004).</w:t>
            </w:r>
          </w:p>
        </w:tc>
      </w:tr>
      <w:tr w:rsidR="00501854" w:rsidRPr="00350596" w14:paraId="07C0A709" w14:textId="77777777" w:rsidTr="00D3700C">
        <w:tc>
          <w:tcPr>
            <w:tcW w:w="843" w:type="pct"/>
            <w:vAlign w:val="center"/>
          </w:tcPr>
          <w:p w14:paraId="33B632EB" w14:textId="451377C7" w:rsidR="00501854" w:rsidRPr="00350596" w:rsidRDefault="006D78B4" w:rsidP="007654BC">
            <w:pPr>
              <w:pStyle w:val="COMTabletext"/>
              <w:keepNext w:val="0"/>
              <w:widowControl w:val="0"/>
            </w:pPr>
            <w:r w:rsidRPr="00350596">
              <w:lastRenderedPageBreak/>
              <w:t>Utility values</w:t>
            </w:r>
          </w:p>
        </w:tc>
        <w:tc>
          <w:tcPr>
            <w:tcW w:w="4157" w:type="pct"/>
            <w:vAlign w:val="center"/>
          </w:tcPr>
          <w:p w14:paraId="6F4036E6" w14:textId="77777777" w:rsidR="00825FF4" w:rsidRPr="00350596" w:rsidRDefault="006D78B4" w:rsidP="00825FF4">
            <w:pPr>
              <w:pStyle w:val="COMTabletext"/>
              <w:keepNext w:val="0"/>
              <w:widowControl w:val="0"/>
              <w:spacing w:after="120"/>
            </w:pPr>
            <w:r w:rsidRPr="00350596">
              <w:t xml:space="preserve">MG-ADL health state utility values were estimated using a regression model derived from an </w:t>
            </w:r>
            <w:r w:rsidRPr="00350596">
              <w:rPr>
                <w:i/>
                <w:iCs/>
              </w:rPr>
              <w:t>ad hoc</w:t>
            </w:r>
            <w:r w:rsidRPr="00350596">
              <w:t xml:space="preserve"> analysis of ADAPT trial data (unpublished). </w:t>
            </w:r>
          </w:p>
          <w:p w14:paraId="0DC5B9FE" w14:textId="77777777" w:rsidR="00825FF4" w:rsidRPr="00350596" w:rsidRDefault="006D78B4" w:rsidP="00825FF4">
            <w:pPr>
              <w:pStyle w:val="COMTabletext"/>
              <w:keepNext w:val="0"/>
              <w:widowControl w:val="0"/>
              <w:spacing w:after="120"/>
            </w:pPr>
            <w:r w:rsidRPr="00350596">
              <w:t>The myasthenic crisis health state utility value was assumed based on the modelled utility value for the MG-ADL ≥10 health state.</w:t>
            </w:r>
            <w:r w:rsidR="006A4739" w:rsidRPr="00350596">
              <w:t xml:space="preserve"> </w:t>
            </w:r>
          </w:p>
          <w:p w14:paraId="61A033F7" w14:textId="77777777" w:rsidR="00496456" w:rsidRPr="00350596" w:rsidRDefault="006D78B4" w:rsidP="00496456">
            <w:pPr>
              <w:pStyle w:val="COMTabletext"/>
              <w:keepNext w:val="0"/>
              <w:widowControl w:val="0"/>
              <w:spacing w:after="120"/>
            </w:pPr>
            <w:r w:rsidRPr="00350596">
              <w:t xml:space="preserve">The exacerbation disutility value was based on published estimates from multiple studies. </w:t>
            </w:r>
          </w:p>
          <w:p w14:paraId="565CCF8D" w14:textId="7324B0D1" w:rsidR="00825FF4" w:rsidRPr="00350596" w:rsidRDefault="006D78B4" w:rsidP="00496456">
            <w:pPr>
              <w:pStyle w:val="COMTabletext"/>
              <w:keepNext w:val="0"/>
              <w:widowControl w:val="0"/>
              <w:spacing w:after="120"/>
            </w:pPr>
            <w:r w:rsidRPr="00350596">
              <w:t>Corticosteroid-related disutility values were based on published estimates from two studies (Bexelius 2013, Sullivan 2017).</w:t>
            </w:r>
            <w:r w:rsidR="006A4739" w:rsidRPr="00350596">
              <w:t xml:space="preserve"> </w:t>
            </w:r>
          </w:p>
          <w:p w14:paraId="6FCC32AA" w14:textId="757CF8AC" w:rsidR="001F4081" w:rsidRPr="00350596" w:rsidRDefault="006D78B4" w:rsidP="006A4739">
            <w:pPr>
              <w:pStyle w:val="COMTabletext"/>
              <w:keepNext w:val="0"/>
              <w:widowControl w:val="0"/>
            </w:pPr>
            <w:r w:rsidRPr="00350596">
              <w:t>Adverse event disutility values were derived from a catalogue of EQ-5D index scores for ICD-9 and CCC conditions (Sullivan 2011).</w:t>
            </w:r>
          </w:p>
        </w:tc>
      </w:tr>
      <w:tr w:rsidR="00501854" w:rsidRPr="00350596" w14:paraId="6093DA19" w14:textId="77777777" w:rsidTr="00D3700C">
        <w:tc>
          <w:tcPr>
            <w:tcW w:w="843" w:type="pct"/>
            <w:vAlign w:val="center"/>
          </w:tcPr>
          <w:p w14:paraId="63E46A80" w14:textId="4DB26918" w:rsidR="00DD0F78" w:rsidRPr="00350596" w:rsidRDefault="006D78B4" w:rsidP="007654BC">
            <w:pPr>
              <w:pStyle w:val="COMTabletext"/>
              <w:keepNext w:val="0"/>
              <w:widowControl w:val="0"/>
            </w:pPr>
            <w:r w:rsidRPr="00350596">
              <w:t>Costs</w:t>
            </w:r>
            <w:r w:rsidR="00DD0F78" w:rsidRPr="00350596">
              <w:t xml:space="preserve"> </w:t>
            </w:r>
          </w:p>
        </w:tc>
        <w:tc>
          <w:tcPr>
            <w:tcW w:w="4157" w:type="pct"/>
            <w:vAlign w:val="center"/>
          </w:tcPr>
          <w:p w14:paraId="5A49789E" w14:textId="77777777" w:rsidR="001E08FE" w:rsidRPr="00350596" w:rsidRDefault="00717D82" w:rsidP="001E08FE">
            <w:pPr>
              <w:pStyle w:val="COMTabletext"/>
              <w:keepNext w:val="0"/>
              <w:widowControl w:val="0"/>
              <w:spacing w:after="120"/>
            </w:pPr>
            <w:r w:rsidRPr="00350596">
              <w:t>Drug costs were based on proposed or current PBS items, published information from the National Blood Authority and dosing information from various published sources. Administration costs were based on hospital costs for non-admitted services.</w:t>
            </w:r>
            <w:r w:rsidR="006A4739" w:rsidRPr="00350596">
              <w:t xml:space="preserve"> </w:t>
            </w:r>
          </w:p>
          <w:p w14:paraId="0D8C6EBF" w14:textId="77777777" w:rsidR="001E08FE" w:rsidRPr="00350596" w:rsidRDefault="00717D82" w:rsidP="001E08FE">
            <w:pPr>
              <w:pStyle w:val="COMTabletext"/>
              <w:keepNext w:val="0"/>
              <w:widowControl w:val="0"/>
              <w:spacing w:after="120"/>
            </w:pPr>
            <w:r w:rsidRPr="00350596">
              <w:t>Disease monitoring costs were based on MBS items, hospital costs for non-admitted services, data from a sponsor-commissioned study and expert opinion.</w:t>
            </w:r>
            <w:r w:rsidR="006A4739" w:rsidRPr="00350596">
              <w:t xml:space="preserve"> </w:t>
            </w:r>
          </w:p>
          <w:p w14:paraId="1B1E0CA1" w14:textId="77777777" w:rsidR="001E08FE" w:rsidRPr="00350596" w:rsidRDefault="006A4739" w:rsidP="001E08FE">
            <w:pPr>
              <w:pStyle w:val="COMTabletext"/>
              <w:keepNext w:val="0"/>
              <w:widowControl w:val="0"/>
              <w:spacing w:after="120"/>
            </w:pPr>
            <w:r w:rsidRPr="00350596">
              <w:t>C</w:t>
            </w:r>
            <w:r w:rsidR="00717D82" w:rsidRPr="00350596">
              <w:t xml:space="preserve">osts associated with exacerbations and myasthenic crises were calculated assuming all patients are hospitalised. The cost </w:t>
            </w:r>
            <w:r w:rsidR="00776F7F" w:rsidRPr="00350596">
              <w:t>of</w:t>
            </w:r>
            <w:r w:rsidR="00717D82" w:rsidRPr="00350596">
              <w:t xml:space="preserve"> exacerbation</w:t>
            </w:r>
            <w:r w:rsidR="00776F7F" w:rsidRPr="00350596">
              <w:t>s</w:t>
            </w:r>
            <w:r w:rsidR="00717D82" w:rsidRPr="00350596">
              <w:t xml:space="preserve"> was based on AR-DRG B07B and length of stay based on multiple published studies; estimated using the NWAU 2024-25 calculator. The cost of myasthenic cris</w:t>
            </w:r>
            <w:r w:rsidR="00776F7F" w:rsidRPr="00350596">
              <w:t>es</w:t>
            </w:r>
            <w:r w:rsidR="00717D82" w:rsidRPr="00350596">
              <w:t xml:space="preserve"> was based on AR-DRG B42A; estimated using the NWAU 2024-25 calculator. </w:t>
            </w:r>
          </w:p>
          <w:p w14:paraId="5C40E96F" w14:textId="77777777" w:rsidR="001E08FE" w:rsidRPr="00350596" w:rsidRDefault="00717D82" w:rsidP="001E08FE">
            <w:pPr>
              <w:pStyle w:val="COMTabletext"/>
              <w:keepNext w:val="0"/>
              <w:widowControl w:val="0"/>
              <w:spacing w:after="120"/>
            </w:pPr>
            <w:r w:rsidRPr="00350596">
              <w:t>Corticosteroid-related complication costs were estimated for low- and high-dose corticosteroid use using published data (Bexelius 2013, Voorham 2018).</w:t>
            </w:r>
            <w:r w:rsidR="006A4739" w:rsidRPr="00350596">
              <w:t xml:space="preserve"> </w:t>
            </w:r>
          </w:p>
          <w:p w14:paraId="0C12618C" w14:textId="77777777" w:rsidR="001E08FE" w:rsidRPr="00350596" w:rsidRDefault="00717D82" w:rsidP="001E08FE">
            <w:pPr>
              <w:pStyle w:val="COMTabletext"/>
              <w:keepNext w:val="0"/>
              <w:widowControl w:val="0"/>
              <w:spacing w:after="120"/>
            </w:pPr>
            <w:r w:rsidRPr="00350596">
              <w:t xml:space="preserve">Adverse event costs were based on various AR-DRG items (D63A, D43A, F60A, C62A, I66A, B77A) assuming same day admissions using the NWAU 2024-25 </w:t>
            </w:r>
            <w:r w:rsidR="006A4739" w:rsidRPr="00350596">
              <w:t xml:space="preserve">calculator. </w:t>
            </w:r>
          </w:p>
          <w:p w14:paraId="4CD69EB8" w14:textId="414841D5" w:rsidR="00501854" w:rsidRPr="00350596" w:rsidRDefault="006A4739" w:rsidP="006A4739">
            <w:pPr>
              <w:pStyle w:val="COMTabletext"/>
              <w:keepNext w:val="0"/>
              <w:widowControl w:val="0"/>
            </w:pPr>
            <w:r w:rsidRPr="00350596">
              <w:t>Terminal</w:t>
            </w:r>
            <w:r w:rsidR="00717D82" w:rsidRPr="00350596">
              <w:t xml:space="preserve"> care costs were based on the published cost of health services in the last year of life (AIHW 2022).</w:t>
            </w:r>
          </w:p>
        </w:tc>
      </w:tr>
      <w:tr w:rsidR="00717D82" w:rsidRPr="00350596" w14:paraId="52FBA2ED" w14:textId="77777777" w:rsidTr="00D3700C">
        <w:tc>
          <w:tcPr>
            <w:tcW w:w="843" w:type="pct"/>
            <w:vAlign w:val="center"/>
          </w:tcPr>
          <w:p w14:paraId="1C1EC3E8" w14:textId="6D1CAFE6" w:rsidR="00717D82" w:rsidRPr="00350596" w:rsidRDefault="00717D82" w:rsidP="00717D82">
            <w:pPr>
              <w:pStyle w:val="COMTabletext"/>
              <w:keepNext w:val="0"/>
              <w:widowControl w:val="0"/>
            </w:pPr>
            <w:r w:rsidRPr="00350596">
              <w:t>Discount rate</w:t>
            </w:r>
          </w:p>
        </w:tc>
        <w:tc>
          <w:tcPr>
            <w:tcW w:w="4157" w:type="pct"/>
            <w:vAlign w:val="center"/>
          </w:tcPr>
          <w:p w14:paraId="634E6EC0" w14:textId="13D20F8E" w:rsidR="00717D82" w:rsidRPr="00350596" w:rsidRDefault="003E4EAA" w:rsidP="00717D82">
            <w:pPr>
              <w:pStyle w:val="COMTabletext"/>
              <w:keepNext w:val="0"/>
              <w:widowControl w:val="0"/>
            </w:pPr>
            <w:r>
              <w:t xml:space="preserve">5% for costs and outcomes </w:t>
            </w:r>
          </w:p>
        </w:tc>
      </w:tr>
      <w:tr w:rsidR="00717D82" w:rsidRPr="00350596" w14:paraId="3D63198D" w14:textId="77777777" w:rsidTr="00D3700C">
        <w:tc>
          <w:tcPr>
            <w:tcW w:w="843" w:type="pct"/>
            <w:vAlign w:val="center"/>
          </w:tcPr>
          <w:p w14:paraId="3A5A5CD3" w14:textId="6EFBBB1E" w:rsidR="00717D82" w:rsidRPr="00350596" w:rsidRDefault="00717D82" w:rsidP="00717D82">
            <w:pPr>
              <w:pStyle w:val="COMTabletext"/>
              <w:keepNext w:val="0"/>
              <w:widowControl w:val="0"/>
            </w:pPr>
            <w:r w:rsidRPr="00350596">
              <w:t>Software package</w:t>
            </w:r>
          </w:p>
        </w:tc>
        <w:tc>
          <w:tcPr>
            <w:tcW w:w="4157" w:type="pct"/>
            <w:vAlign w:val="center"/>
          </w:tcPr>
          <w:p w14:paraId="37A7DA01" w14:textId="4A46608A" w:rsidR="00717D82" w:rsidRPr="00350596" w:rsidRDefault="00717D82" w:rsidP="00717D82">
            <w:pPr>
              <w:pStyle w:val="COMTabletext"/>
              <w:keepNext w:val="0"/>
              <w:widowControl w:val="0"/>
            </w:pPr>
            <w:r w:rsidRPr="00350596">
              <w:t>Microsoft Excel 365</w:t>
            </w:r>
          </w:p>
        </w:tc>
      </w:tr>
    </w:tbl>
    <w:p w14:paraId="1DBA8BAC" w14:textId="385B2E49" w:rsidR="00717D82" w:rsidRPr="00350596" w:rsidRDefault="00717D82" w:rsidP="00717D82">
      <w:pPr>
        <w:pStyle w:val="COMTablefooter"/>
      </w:pPr>
      <w:r w:rsidRPr="00350596">
        <w:t>Source: Section 3, pp105-157 of the submission</w:t>
      </w:r>
    </w:p>
    <w:p w14:paraId="213DED56" w14:textId="188CF5BE" w:rsidR="003270E4" w:rsidRPr="00350596" w:rsidRDefault="00717D82" w:rsidP="00717D82">
      <w:pPr>
        <w:pStyle w:val="COMTablefooter"/>
      </w:pPr>
      <w:r w:rsidRPr="00350596">
        <w:t>Abbreviations: AR-DRG, Australian Refined Diagnosis Related Groups; CCC, Clinical Classification Categories; ICD-9, International Classification of Diseases, Ninth Revision; IVIg, intravenous immunoglobulin; MG-ADL, Myasthenia Gravis Activities of Daily Living; NWAU, National Weighted Activity Unit</w:t>
      </w:r>
    </w:p>
    <w:p w14:paraId="588C2BCD" w14:textId="4E803D66" w:rsidR="007D33CF" w:rsidRPr="00350596" w:rsidRDefault="00CA472D" w:rsidP="00197E57">
      <w:pPr>
        <w:pStyle w:val="COMexecsummnumbered"/>
      </w:pPr>
      <w:r w:rsidRPr="00350596">
        <w:t>All patients entered the model distributed across the MG-ADL 5-7, MG-ADL 8-9 and MG-ADL ≥10 health states. A one-off discontinuation due to non-response was applied to efgartigimod at the start of the model, separating the responder from the non-responder cohort. A constant discontinuation rate was also applied to patients remaining on efgartigimod treatment over the model duration. A one-off discontinuation due to adverse events was also applied to patients in the chronic IVIg arm, applied in the second model cycle with no other discontinuations occurring throughout the model.</w:t>
      </w:r>
    </w:p>
    <w:p w14:paraId="148417DC" w14:textId="77777777" w:rsidR="00CA472D" w:rsidRPr="00350596" w:rsidRDefault="00CA472D" w:rsidP="00197E57">
      <w:pPr>
        <w:pStyle w:val="COMexecsummnumbered"/>
      </w:pPr>
      <w:r w:rsidRPr="00350596">
        <w:t xml:space="preserve">Patients who remained on efgartigimod could then transition to other MG-ADL health states, develop myasthenic crisis or die during each 4-week cycle. In the first model cycle, patients on chronic IVIg could transition to other MG-ADL health states, develop </w:t>
      </w:r>
      <w:r w:rsidRPr="00350596">
        <w:lastRenderedPageBreak/>
        <w:t xml:space="preserve">myasthenic crisis or die but in subsequent cycles they were assumed to remain in the same health state unless they developed myasthenic crisis or died. </w:t>
      </w:r>
    </w:p>
    <w:p w14:paraId="2B855F18" w14:textId="3D9EEA02" w:rsidR="00CA472D" w:rsidRPr="00350596" w:rsidRDefault="00CA472D" w:rsidP="00197E57">
      <w:pPr>
        <w:pStyle w:val="COMexecsummnumbered"/>
      </w:pPr>
      <w:r w:rsidRPr="00350596">
        <w:t>Patients who discontinued treatment for any reason during the first 5 model cycles could transition to other MG-ADL health states, develop myasthenic crisis or die. In subsequent cycles, patients who discontinued treatment were assumed to remain in the same health state unless they developed myasthenic crisis or died.</w:t>
      </w:r>
    </w:p>
    <w:p w14:paraId="1450F8DA" w14:textId="3F0052B4" w:rsidR="00CA472D" w:rsidRPr="00350596" w:rsidRDefault="00CA472D" w:rsidP="00197E57">
      <w:pPr>
        <w:pStyle w:val="COMexecsummnumbered"/>
      </w:pPr>
      <w:r w:rsidRPr="00350596">
        <w:t>Patients who experienced myasthenic crisis were assumed to remain in that state for one cycle, after which they transitioned to the MG-ADL 5-7, MG-ADL 8-9 or MG-ADL ≥10 health states (based on the baseline distribution across these categories) or died.</w:t>
      </w:r>
    </w:p>
    <w:p w14:paraId="45385605" w14:textId="66A9CBA4" w:rsidR="00CA472D" w:rsidRPr="00350596" w:rsidRDefault="00B8667E" w:rsidP="00197E57">
      <w:pPr>
        <w:pStyle w:val="COMexecsummnumbered"/>
      </w:pPr>
      <w:r w:rsidRPr="00350596">
        <w:t>The model structure assumed that patients would not re-initiate efgartigimod or chronic IVIg therapy after discontinuation.</w:t>
      </w:r>
    </w:p>
    <w:p w14:paraId="01553F30" w14:textId="68C247DE" w:rsidR="00987E2C" w:rsidRPr="00350596" w:rsidRDefault="00987E2C" w:rsidP="00197E57">
      <w:pPr>
        <w:pStyle w:val="COMexecsummnumbered"/>
      </w:pPr>
      <w:r w:rsidRPr="00350596">
        <w:t>The submission did not adequately justify the assumed age of 60 years which differed to the average age of 47 years in the AChR antibody positive subgroup in the trial. Th</w:t>
      </w:r>
      <w:r w:rsidR="00AE6A0E" w:rsidRPr="00350596">
        <w:t>e evaluation and the ESC considered that th</w:t>
      </w:r>
      <w:r w:rsidRPr="00350596">
        <w:t>is approach was inappropriate given the known relationship of age with other characteristics including sex distribution and weight. In addition, utility estimates in the model were derived from the younger trial population that are unlikely to be representative of the assumed age of the modelled population.</w:t>
      </w:r>
      <w:r w:rsidR="00C84512" w:rsidRPr="00350596">
        <w:t xml:space="preserve"> The PSCR </w:t>
      </w:r>
      <w:r w:rsidR="00663C3F" w:rsidRPr="00350596">
        <w:t>argued that</w:t>
      </w:r>
      <w:r w:rsidR="00AE6A0E" w:rsidRPr="00350596">
        <w:t xml:space="preserve"> the assumed</w:t>
      </w:r>
      <w:r w:rsidR="00F242AA" w:rsidRPr="00350596">
        <w:t xml:space="preserve"> age of 60 </w:t>
      </w:r>
      <w:r w:rsidR="00AE6A0E" w:rsidRPr="00350596">
        <w:t xml:space="preserve">years </w:t>
      </w:r>
      <w:r w:rsidR="00F242AA" w:rsidRPr="00350596">
        <w:t>reflect</w:t>
      </w:r>
      <w:r w:rsidR="00AE6A0E" w:rsidRPr="00350596">
        <w:t>ed the</w:t>
      </w:r>
      <w:r w:rsidR="00F242AA" w:rsidRPr="00350596">
        <w:t xml:space="preserve"> reported average age of </w:t>
      </w:r>
      <w:r w:rsidR="00AE6A0E" w:rsidRPr="00350596">
        <w:t>p</w:t>
      </w:r>
      <w:r w:rsidR="00F242AA" w:rsidRPr="00350596">
        <w:t>atients</w:t>
      </w:r>
      <w:r w:rsidR="00AE6A0E" w:rsidRPr="00350596">
        <w:t xml:space="preserve"> with myasthenia gravis</w:t>
      </w:r>
      <w:r w:rsidR="00F242AA" w:rsidRPr="00350596">
        <w:t xml:space="preserve"> (63</w:t>
      </w:r>
      <w:r w:rsidR="00AE6A0E" w:rsidRPr="00350596">
        <w:t xml:space="preserve"> years</w:t>
      </w:r>
      <w:r w:rsidR="00F242AA" w:rsidRPr="00350596">
        <w:t xml:space="preserve">) and noted that </w:t>
      </w:r>
      <w:r w:rsidR="00AE6A0E" w:rsidRPr="00350596">
        <w:t xml:space="preserve">sensitivity analyses </w:t>
      </w:r>
      <w:r w:rsidR="00F242AA" w:rsidRPr="00350596">
        <w:t xml:space="preserve">assuming an age of 47 </w:t>
      </w:r>
      <w:r w:rsidR="00AE6A0E" w:rsidRPr="00350596">
        <w:t xml:space="preserve">years resulted in a lower ICER/QALY. </w:t>
      </w:r>
    </w:p>
    <w:p w14:paraId="65F53308" w14:textId="732E4F3F" w:rsidR="00E30B9B" w:rsidRPr="00350596" w:rsidRDefault="00E30B9B" w:rsidP="00197E57">
      <w:pPr>
        <w:pStyle w:val="COMexecsummnumbered"/>
      </w:pPr>
      <w:r w:rsidRPr="00350596">
        <w:t xml:space="preserve">The submission did not adequately address the impact of potential differences in baseline functional impairment </w:t>
      </w:r>
      <w:r w:rsidR="00003859" w:rsidRPr="00350596">
        <w:t xml:space="preserve">between the trial and PBS population </w:t>
      </w:r>
      <w:r w:rsidRPr="00350596">
        <w:t>including the assumed equivalence of an MG-ADL threshold of ≥ 5 (with at least 50% of the total score due to non-ocular symptoms) and an MGC threshold of ≥10. Prior treatment criteria in the proposed restriction and trial were broad and it was unclear whether the utilisation of these treatments in the trial would be applicable to the proposed PBS population.</w:t>
      </w:r>
    </w:p>
    <w:p w14:paraId="37B4237B" w14:textId="5316A9AA" w:rsidR="00275C5A" w:rsidRPr="00350596" w:rsidRDefault="009532ED" w:rsidP="009532ED">
      <w:pPr>
        <w:pStyle w:val="COMexecsummnumbered"/>
      </w:pPr>
      <w:r w:rsidRPr="00350596">
        <w:t xml:space="preserve">Key drivers of the economic model are summarised in </w:t>
      </w:r>
      <w:r w:rsidR="00165FA3" w:rsidRPr="00350596">
        <w:fldChar w:fldCharType="begin"/>
      </w:r>
      <w:r w:rsidR="00165FA3" w:rsidRPr="00350596">
        <w:instrText xml:space="preserve"> REF _Ref104805122 \h </w:instrText>
      </w:r>
      <w:r w:rsidR="00165FA3" w:rsidRPr="00350596">
        <w:fldChar w:fldCharType="separate"/>
      </w:r>
      <w:r w:rsidR="002B16A5" w:rsidRPr="00350596">
        <w:t xml:space="preserve">Table </w:t>
      </w:r>
      <w:r w:rsidR="002B16A5">
        <w:rPr>
          <w:noProof/>
        </w:rPr>
        <w:t>11</w:t>
      </w:r>
      <w:r w:rsidR="00165FA3" w:rsidRPr="00350596">
        <w:fldChar w:fldCharType="end"/>
      </w:r>
      <w:r w:rsidRPr="00350596">
        <w:t>.</w:t>
      </w:r>
    </w:p>
    <w:p w14:paraId="774D46B7" w14:textId="0F01CEC3" w:rsidR="00D110BD" w:rsidRPr="00350596" w:rsidRDefault="00E16AD8" w:rsidP="00FF3ECD">
      <w:pPr>
        <w:pStyle w:val="COMtablefigcaption"/>
      </w:pPr>
      <w:bookmarkStart w:id="50" w:name="_Ref104805122"/>
      <w:r w:rsidRPr="00350596">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11</w:t>
      </w:r>
      <w:r w:rsidR="007579CB" w:rsidRPr="00350596">
        <w:fldChar w:fldCharType="end"/>
      </w:r>
      <w:bookmarkEnd w:id="50"/>
      <w:r w:rsidRPr="00350596">
        <w:t>:</w:t>
      </w:r>
      <w:r w:rsidR="00D110BD" w:rsidRPr="00350596">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200"/>
        <w:gridCol w:w="6775"/>
        <w:gridCol w:w="1042"/>
      </w:tblGrid>
      <w:tr w:rsidR="00537182" w:rsidRPr="00350596" w14:paraId="4DD8026E" w14:textId="77777777" w:rsidTr="00B8486F">
        <w:trPr>
          <w:cantSplit/>
          <w:tblHeader/>
        </w:trPr>
        <w:tc>
          <w:tcPr>
            <w:tcW w:w="665" w:type="pct"/>
            <w:vAlign w:val="center"/>
          </w:tcPr>
          <w:p w14:paraId="6A9EC2DA" w14:textId="77777777" w:rsidR="00D110BD" w:rsidRPr="00350596" w:rsidRDefault="00D110BD" w:rsidP="00671632">
            <w:pPr>
              <w:pStyle w:val="COMTableheadingrow"/>
              <w:keepNext w:val="0"/>
              <w:widowControl w:val="0"/>
              <w:rPr>
                <w:lang w:val="en-AU"/>
              </w:rPr>
            </w:pPr>
            <w:r w:rsidRPr="00350596">
              <w:rPr>
                <w:lang w:val="en-AU"/>
              </w:rPr>
              <w:t>Description</w:t>
            </w:r>
          </w:p>
        </w:tc>
        <w:tc>
          <w:tcPr>
            <w:tcW w:w="3757" w:type="pct"/>
            <w:vAlign w:val="center"/>
          </w:tcPr>
          <w:p w14:paraId="67A62672" w14:textId="77777777" w:rsidR="00D110BD" w:rsidRPr="00350596" w:rsidRDefault="00D110BD" w:rsidP="00671632">
            <w:pPr>
              <w:pStyle w:val="COMTableheadingrow"/>
              <w:keepNext w:val="0"/>
              <w:widowControl w:val="0"/>
              <w:rPr>
                <w:lang w:val="en-AU"/>
              </w:rPr>
            </w:pPr>
            <w:r w:rsidRPr="00350596">
              <w:rPr>
                <w:lang w:val="en-AU"/>
              </w:rPr>
              <w:t>Method/Value</w:t>
            </w:r>
          </w:p>
        </w:tc>
        <w:tc>
          <w:tcPr>
            <w:tcW w:w="578" w:type="pct"/>
            <w:vAlign w:val="center"/>
          </w:tcPr>
          <w:p w14:paraId="6C1DC9EA" w14:textId="4D87C995" w:rsidR="00490B17" w:rsidRPr="00350596" w:rsidRDefault="00D110BD" w:rsidP="0025101E">
            <w:pPr>
              <w:pStyle w:val="COMTableheadingrow"/>
              <w:keepNext w:val="0"/>
              <w:widowControl w:val="0"/>
              <w:jc w:val="center"/>
              <w:rPr>
                <w:lang w:val="en-AU"/>
              </w:rPr>
            </w:pPr>
            <w:r w:rsidRPr="00350596">
              <w:rPr>
                <w:lang w:val="en-AU"/>
              </w:rPr>
              <w:t>Impact</w:t>
            </w:r>
          </w:p>
        </w:tc>
      </w:tr>
      <w:tr w:rsidR="005633D3" w:rsidRPr="00350596" w14:paraId="527655F2" w14:textId="77777777" w:rsidTr="00B8486F">
        <w:trPr>
          <w:cantSplit/>
        </w:trPr>
        <w:tc>
          <w:tcPr>
            <w:tcW w:w="665" w:type="pct"/>
            <w:vAlign w:val="center"/>
          </w:tcPr>
          <w:p w14:paraId="7372952D" w14:textId="77777777" w:rsidR="005633D3" w:rsidRPr="00350596" w:rsidRDefault="005633D3" w:rsidP="007959EA">
            <w:pPr>
              <w:pStyle w:val="COMTabletext"/>
              <w:keepNext w:val="0"/>
              <w:widowControl w:val="0"/>
            </w:pPr>
            <w:r w:rsidRPr="00350596">
              <w:t>Time horizon</w:t>
            </w:r>
          </w:p>
        </w:tc>
        <w:tc>
          <w:tcPr>
            <w:tcW w:w="3757" w:type="pct"/>
            <w:vAlign w:val="center"/>
          </w:tcPr>
          <w:p w14:paraId="0DD1D85C" w14:textId="5D667E0C" w:rsidR="005633D3" w:rsidRPr="00350596" w:rsidRDefault="005633D3" w:rsidP="007959EA">
            <w:pPr>
              <w:pStyle w:val="COMTabletext"/>
              <w:keepNext w:val="0"/>
              <w:widowControl w:val="0"/>
            </w:pPr>
            <w:r w:rsidRPr="00350596">
              <w:t>The submission nominated a 33-year time horizon for the economic analysis, reflecting a lifetime horizon for the modelled population with an assumed baseline age of 60 years. The submission noted that other published models in myasthenia gravis have used time horizons ranging from 2 years to lifetime. A shorter time horizon may be appropriate given the high degree of uncertainty associated with long-term treatment effects.</w:t>
            </w:r>
            <w:r w:rsidR="00A53767" w:rsidRPr="00350596">
              <w:t xml:space="preserve"> </w:t>
            </w:r>
            <w:r w:rsidR="00025893" w:rsidRPr="00350596">
              <w:t>The ESC considered that a ten</w:t>
            </w:r>
            <w:r w:rsidR="00F26353" w:rsidRPr="00350596">
              <w:t>-</w:t>
            </w:r>
            <w:r w:rsidR="00025893" w:rsidRPr="00350596">
              <w:t>year time horizon may be more appropriate given the uncertain long-term extrapolations e.g. due to the lack of long-term data around outcomes and treatment/remission durations.</w:t>
            </w:r>
          </w:p>
        </w:tc>
        <w:tc>
          <w:tcPr>
            <w:tcW w:w="578" w:type="pct"/>
            <w:vAlign w:val="center"/>
          </w:tcPr>
          <w:p w14:paraId="46660262" w14:textId="77777777" w:rsidR="005633D3" w:rsidRPr="00350596" w:rsidRDefault="005633D3" w:rsidP="007959EA">
            <w:pPr>
              <w:pStyle w:val="COMTabletext"/>
              <w:keepNext w:val="0"/>
              <w:widowControl w:val="0"/>
              <w:jc w:val="center"/>
            </w:pPr>
            <w:r w:rsidRPr="00350596">
              <w:t>High, favours efgartigimod</w:t>
            </w:r>
          </w:p>
        </w:tc>
      </w:tr>
      <w:tr w:rsidR="00537182" w:rsidRPr="00350596" w14:paraId="3DE22150" w14:textId="77777777" w:rsidTr="00B8486F">
        <w:trPr>
          <w:cantSplit/>
        </w:trPr>
        <w:tc>
          <w:tcPr>
            <w:tcW w:w="665" w:type="pct"/>
            <w:vAlign w:val="center"/>
          </w:tcPr>
          <w:p w14:paraId="72E20981" w14:textId="6C0E3483" w:rsidR="00D110BD" w:rsidRPr="00350596" w:rsidRDefault="00B25725" w:rsidP="00671632">
            <w:pPr>
              <w:pStyle w:val="COMTabletext"/>
              <w:keepNext w:val="0"/>
              <w:widowControl w:val="0"/>
            </w:pPr>
            <w:r w:rsidRPr="00350596">
              <w:lastRenderedPageBreak/>
              <w:t>Model structure</w:t>
            </w:r>
          </w:p>
        </w:tc>
        <w:tc>
          <w:tcPr>
            <w:tcW w:w="3757" w:type="pct"/>
            <w:vAlign w:val="center"/>
          </w:tcPr>
          <w:p w14:paraId="26581916" w14:textId="3376C52F" w:rsidR="00D90F13" w:rsidRPr="00350596" w:rsidRDefault="00D90F13" w:rsidP="00F35616">
            <w:pPr>
              <w:spacing w:after="120"/>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 xml:space="preserve">The model structure in the submission was most similar to the efgartigimod CADTH model. </w:t>
            </w:r>
          </w:p>
          <w:p w14:paraId="354F2BE2" w14:textId="72749DDF" w:rsidR="00D90F13" w:rsidRPr="00350596" w:rsidRDefault="00D90F13" w:rsidP="00F35616">
            <w:pPr>
              <w:spacing w:after="120"/>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While there are no established MG-ADL thresholds to define levels of disease activity, the submission claimed that expert opinion supports the use of MG-ADL &lt;5 as a state of controlled disease. The submission also claimed that the MG-ADL categories of 5-7, 8-9 and ≥10 were consistent with subgroup analysis conducted for the ADAPT trial, and that a clustering analysis was used to identify appropriate categorical groupings based on MG-ADL score and health-related quality of life (EQ-5D and MG-QoL15). These claims could not be verified as the analysis was not provided in the submission. The submission noted that there was data sparseness among the subgroup with MG-ADL ≥10, which limited the ability to provide further granularity.</w:t>
            </w:r>
          </w:p>
          <w:p w14:paraId="64938802" w14:textId="73D19886" w:rsidR="00D90F13" w:rsidRPr="00350596" w:rsidRDefault="00D90F13" w:rsidP="00D90F13">
            <w:pPr>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 xml:space="preserve">The model included tunnel states in the efgartigimod arm (tracking time from entry into MG-ADL health states) in order to implement cyclical use of efgartigimod. The use of tunnel states to implement treatment costs (dependent on both treatment and disease status) was complex and difficult to track using the submission’s model structure. </w:t>
            </w:r>
            <w:r w:rsidR="00025893" w:rsidRPr="00350596">
              <w:rPr>
                <w:rFonts w:ascii="Arial Narrow" w:eastAsiaTheme="majorEastAsia" w:hAnsi="Arial Narrow" w:cstheme="majorBidi"/>
                <w:sz w:val="20"/>
                <w:szCs w:val="20"/>
              </w:rPr>
              <w:t>The evaluation stated that a</w:t>
            </w:r>
            <w:r w:rsidRPr="00350596">
              <w:rPr>
                <w:rFonts w:ascii="Arial Narrow" w:eastAsiaTheme="majorEastAsia" w:hAnsi="Arial Narrow" w:cstheme="majorBidi"/>
                <w:sz w:val="20"/>
                <w:szCs w:val="20"/>
              </w:rPr>
              <w:t xml:space="preserve"> microsimulation may have been more informative as it would have greater ability to track these changes over time. </w:t>
            </w:r>
            <w:r w:rsidR="00025893" w:rsidRPr="00350596">
              <w:rPr>
                <w:rFonts w:ascii="Arial Narrow" w:eastAsiaTheme="majorEastAsia" w:hAnsi="Arial Narrow" w:cstheme="majorBidi"/>
                <w:sz w:val="20"/>
                <w:szCs w:val="20"/>
              </w:rPr>
              <w:t xml:space="preserve">However, the ESC considered the limited </w:t>
            </w:r>
            <w:r w:rsidR="00F26353" w:rsidRPr="00350596">
              <w:rPr>
                <w:rFonts w:ascii="Arial Narrow" w:eastAsiaTheme="majorEastAsia" w:hAnsi="Arial Narrow" w:cstheme="majorBidi"/>
                <w:sz w:val="20"/>
                <w:szCs w:val="20"/>
              </w:rPr>
              <w:t xml:space="preserve">available </w:t>
            </w:r>
            <w:r w:rsidR="00025893" w:rsidRPr="00350596">
              <w:rPr>
                <w:rFonts w:ascii="Arial Narrow" w:eastAsiaTheme="majorEastAsia" w:hAnsi="Arial Narrow" w:cstheme="majorBidi"/>
                <w:sz w:val="20"/>
                <w:szCs w:val="20"/>
              </w:rPr>
              <w:t>data would make such an approach problematic and considered that a simplified model structure with fewer health states may be more suitable (e.g. use of ‘response’ and ‘non-response’ health states).</w:t>
            </w:r>
          </w:p>
        </w:tc>
        <w:tc>
          <w:tcPr>
            <w:tcW w:w="578" w:type="pct"/>
            <w:vAlign w:val="center"/>
          </w:tcPr>
          <w:p w14:paraId="0AD58F2B" w14:textId="21A2E53D" w:rsidR="00490B17" w:rsidRPr="00350596" w:rsidRDefault="00496456" w:rsidP="0025101E">
            <w:pPr>
              <w:pStyle w:val="COMTabletext"/>
              <w:keepNext w:val="0"/>
              <w:widowControl w:val="0"/>
              <w:jc w:val="center"/>
            </w:pPr>
            <w:r w:rsidRPr="00350596">
              <w:t>Unclear</w:t>
            </w:r>
            <w:r w:rsidR="005633D3" w:rsidRPr="00350596">
              <w:t>, favours efgartigimod</w:t>
            </w:r>
          </w:p>
        </w:tc>
      </w:tr>
      <w:tr w:rsidR="00537182" w:rsidRPr="00350596" w14:paraId="3483847F" w14:textId="77777777" w:rsidTr="00B8486F">
        <w:trPr>
          <w:cantSplit/>
        </w:trPr>
        <w:tc>
          <w:tcPr>
            <w:tcW w:w="665" w:type="pct"/>
            <w:vAlign w:val="center"/>
          </w:tcPr>
          <w:p w14:paraId="2724D8D9" w14:textId="1BD07BB9" w:rsidR="00D110BD" w:rsidRPr="00350596" w:rsidRDefault="00AC0C03" w:rsidP="00671632">
            <w:pPr>
              <w:pStyle w:val="COMTabletext"/>
              <w:keepNext w:val="0"/>
              <w:widowControl w:val="0"/>
            </w:pPr>
            <w:r w:rsidRPr="00350596">
              <w:t>T</w:t>
            </w:r>
            <w:r w:rsidR="00B25725" w:rsidRPr="00350596">
              <w:t>ransition probabilities</w:t>
            </w:r>
          </w:p>
        </w:tc>
        <w:tc>
          <w:tcPr>
            <w:tcW w:w="3757" w:type="pct"/>
            <w:vAlign w:val="center"/>
          </w:tcPr>
          <w:p w14:paraId="48F85B46" w14:textId="424ED17A" w:rsidR="00AC0C03" w:rsidRPr="00350596" w:rsidRDefault="00AC0C03" w:rsidP="00B2244D">
            <w:pPr>
              <w:pStyle w:val="COMTabletext"/>
              <w:keepNext w:val="0"/>
              <w:widowControl w:val="0"/>
              <w:spacing w:after="120"/>
            </w:pPr>
            <w:r w:rsidRPr="00350596">
              <w:t>The derivation and implementation of the transition probabilities were complex and difficult to trace or validate due to poor labelling and inadequate description in the submission. The approach hindered the ability to validate the modelled transitions against trial-based outcomes and test alternative assumptions in sensitivity analyses.</w:t>
            </w:r>
          </w:p>
          <w:p w14:paraId="53775808" w14:textId="0ACC8C20" w:rsidR="005E2827" w:rsidRPr="00350596" w:rsidRDefault="00C21CA5" w:rsidP="00B2244D">
            <w:pPr>
              <w:pStyle w:val="COMTabletext"/>
              <w:widowControl w:val="0"/>
              <w:spacing w:after="120"/>
            </w:pPr>
            <w:r w:rsidRPr="00350596">
              <w:t>M</w:t>
            </w:r>
            <w:r w:rsidR="005E2827" w:rsidRPr="00350596">
              <w:t>odel outputs at 6 months (coinciding with the maximum duration of the ADAPT trial) show more than 50% of patients in the efgartigimod arm were in the MG-ADL &lt;</w:t>
            </w:r>
            <w:r w:rsidR="00F84E10">
              <w:t xml:space="preserve"> </w:t>
            </w:r>
            <w:r w:rsidR="005E2827" w:rsidRPr="00350596">
              <w:t>5 health state while the ADAPT+ extension study indicated that less than 1% of patients were in this MG-ADL category at baseline of the extension study.</w:t>
            </w:r>
          </w:p>
          <w:p w14:paraId="4B9FCE0E" w14:textId="2E1E1B3B" w:rsidR="00AC0C03" w:rsidRPr="00350596" w:rsidRDefault="005E2827" w:rsidP="00025893">
            <w:pPr>
              <w:pStyle w:val="COMTabletext"/>
              <w:widowControl w:val="0"/>
              <w:spacing w:after="120"/>
            </w:pPr>
            <w:r w:rsidRPr="00350596">
              <w:t xml:space="preserve">The sponsor claimed that it was challenging to produce trial data that would directly mimic the modelled approach given the way in which the health state transition probabilities were derived. </w:t>
            </w:r>
          </w:p>
        </w:tc>
        <w:tc>
          <w:tcPr>
            <w:tcW w:w="578" w:type="pct"/>
            <w:vAlign w:val="center"/>
          </w:tcPr>
          <w:p w14:paraId="4CB0C507" w14:textId="027CB67E" w:rsidR="00D110BD" w:rsidRPr="00350596" w:rsidRDefault="00B2244D" w:rsidP="0025101E">
            <w:pPr>
              <w:pStyle w:val="COMTabletext"/>
              <w:keepNext w:val="0"/>
              <w:widowControl w:val="0"/>
              <w:jc w:val="center"/>
            </w:pPr>
            <w:r w:rsidRPr="00350596">
              <w:t>High, favours efgartigimod</w:t>
            </w:r>
          </w:p>
        </w:tc>
      </w:tr>
      <w:tr w:rsidR="00537182" w:rsidRPr="00350596" w14:paraId="39E46D5B" w14:textId="77777777" w:rsidTr="00B8486F">
        <w:trPr>
          <w:cantSplit/>
        </w:trPr>
        <w:tc>
          <w:tcPr>
            <w:tcW w:w="665" w:type="pct"/>
            <w:vAlign w:val="center"/>
          </w:tcPr>
          <w:p w14:paraId="347EC5A4" w14:textId="66956ED3" w:rsidR="00D110BD" w:rsidRPr="00350596" w:rsidRDefault="007772EC" w:rsidP="00671632">
            <w:pPr>
              <w:pStyle w:val="COMTabletext"/>
              <w:keepNext w:val="0"/>
              <w:widowControl w:val="0"/>
            </w:pPr>
            <w:r w:rsidRPr="00350596">
              <w:lastRenderedPageBreak/>
              <w:t>Circumstances of use</w:t>
            </w:r>
            <w:r w:rsidR="009A33E9" w:rsidRPr="00350596">
              <w:t xml:space="preserve"> </w:t>
            </w:r>
            <w:r w:rsidR="009470BA" w:rsidRPr="00350596">
              <w:t>for efgartigimod</w:t>
            </w:r>
            <w:r w:rsidR="00025893" w:rsidRPr="00350596">
              <w:t xml:space="preserve"> (including discontinuation assumptions)</w:t>
            </w:r>
          </w:p>
        </w:tc>
        <w:tc>
          <w:tcPr>
            <w:tcW w:w="3757" w:type="pct"/>
            <w:vAlign w:val="center"/>
          </w:tcPr>
          <w:p w14:paraId="1CB033F9" w14:textId="111D00ED" w:rsidR="00377C9D" w:rsidRPr="00350596" w:rsidRDefault="00377C9D" w:rsidP="00DF5A2F">
            <w:pPr>
              <w:pStyle w:val="COMTabletext"/>
              <w:keepNext w:val="0"/>
              <w:widowControl w:val="0"/>
              <w:spacing w:after="120"/>
            </w:pPr>
            <w:r w:rsidRPr="00350596">
              <w:t xml:space="preserve">The submission assumed </w:t>
            </w:r>
            <w:r w:rsidR="00486BB5" w:rsidRPr="00350596">
              <w:t>a one-off discontinuation (18.5%) in</w:t>
            </w:r>
            <w:r w:rsidRPr="00350596">
              <w:t xml:space="preserve"> patients who do not achieve response to efgartigimod after 2 treatment cycles, based on </w:t>
            </w:r>
            <w:r w:rsidR="00CD1A04" w:rsidRPr="00350596">
              <w:t>MG-ADL response in the trial</w:t>
            </w:r>
            <w:r w:rsidRPr="00350596">
              <w:t xml:space="preserve">. </w:t>
            </w:r>
            <w:r w:rsidR="00D65C18" w:rsidRPr="00350596">
              <w:t>T</w:t>
            </w:r>
            <w:r w:rsidRPr="00350596">
              <w:t>rial</w:t>
            </w:r>
            <w:r w:rsidR="00D65C18" w:rsidRPr="00350596">
              <w:t>-based</w:t>
            </w:r>
            <w:r w:rsidRPr="00350596">
              <w:t xml:space="preserve"> definitions </w:t>
            </w:r>
            <w:r w:rsidR="00D65C18" w:rsidRPr="00350596">
              <w:t xml:space="preserve">of response </w:t>
            </w:r>
            <w:r w:rsidR="001F7B78" w:rsidRPr="00350596">
              <w:t>w</w:t>
            </w:r>
            <w:r w:rsidR="00D65C18" w:rsidRPr="00350596">
              <w:t>ere</w:t>
            </w:r>
            <w:r w:rsidR="001F7B78" w:rsidRPr="00350596">
              <w:t xml:space="preserve"> inconsistent with </w:t>
            </w:r>
            <w:r w:rsidR="00D65C18" w:rsidRPr="00350596">
              <w:t>continuation criteria in the proposed restriction.</w:t>
            </w:r>
          </w:p>
          <w:p w14:paraId="2C557CF0" w14:textId="1D6C2BAA" w:rsidR="00174D81" w:rsidRPr="00350596" w:rsidRDefault="00377C9D" w:rsidP="00174D81">
            <w:pPr>
              <w:pStyle w:val="COMTabletext"/>
              <w:widowControl w:val="0"/>
              <w:spacing w:after="120"/>
            </w:pPr>
            <w:r w:rsidRPr="00350596">
              <w:t xml:space="preserve">A constant discontinuation rate for efgartigimod was </w:t>
            </w:r>
            <w:r w:rsidR="0009672D" w:rsidRPr="00350596">
              <w:t>assumed</w:t>
            </w:r>
            <w:r w:rsidRPr="00350596">
              <w:t xml:space="preserve"> based on an ad hoc analysis </w:t>
            </w:r>
            <w:r w:rsidR="00A264E8" w:rsidRPr="00350596">
              <w:t>based on pooled</w:t>
            </w:r>
            <w:r w:rsidRPr="00350596">
              <w:t xml:space="preserve"> ADAPT trial and extension</w:t>
            </w:r>
            <w:r w:rsidR="00A264E8" w:rsidRPr="00350596">
              <w:t xml:space="preserve"> data</w:t>
            </w:r>
            <w:r w:rsidRPr="00350596">
              <w:t>, extrapolated over the model duration. The validity of the ad hoc analysis could not be determined due to insufficient information in the sources provided.</w:t>
            </w:r>
            <w:r w:rsidR="007E6726" w:rsidRPr="00350596">
              <w:t xml:space="preserve"> </w:t>
            </w:r>
            <w:r w:rsidR="00174D81" w:rsidRPr="00350596">
              <w:t>The ESC considered that the premature discontinuation rates in ADAPT were high (70%) and may not be applicable to clinical practice, as a substantial proportion (43%) of patients discontinued prematurely due to rollover to another extension study.</w:t>
            </w:r>
          </w:p>
          <w:p w14:paraId="65EEB48D" w14:textId="6ABF2D20" w:rsidR="007E6726" w:rsidRPr="00350596" w:rsidRDefault="007E6726" w:rsidP="00DF5A2F">
            <w:pPr>
              <w:pStyle w:val="COMTabletext"/>
              <w:keepNext w:val="0"/>
              <w:widowControl w:val="0"/>
              <w:spacing w:after="120"/>
            </w:pPr>
            <w:r w:rsidRPr="00350596">
              <w:t xml:space="preserve">The </w:t>
            </w:r>
            <w:r w:rsidR="00143875" w:rsidRPr="00350596">
              <w:t>a</w:t>
            </w:r>
            <w:r w:rsidRPr="00350596">
              <w:t>ssum</w:t>
            </w:r>
            <w:r w:rsidR="00143875" w:rsidRPr="00350596">
              <w:t>ption</w:t>
            </w:r>
            <w:r w:rsidRPr="00350596">
              <w:t xml:space="preserve"> that patients treated with efgartigimod would be fully adherent in each cycle of therapy </w:t>
            </w:r>
            <w:r w:rsidR="00AC635E" w:rsidRPr="00350596">
              <w:t>was inconsisten</w:t>
            </w:r>
            <w:r w:rsidR="001F6177" w:rsidRPr="00350596">
              <w:t>t</w:t>
            </w:r>
            <w:r w:rsidRPr="00350596">
              <w:t xml:space="preserve"> with trial data indicating imperfect compliance. </w:t>
            </w:r>
          </w:p>
          <w:p w14:paraId="6BC8FDCE" w14:textId="64286F7B" w:rsidR="00211053" w:rsidRPr="00350596" w:rsidRDefault="007E6726" w:rsidP="00DF5A2F">
            <w:pPr>
              <w:pStyle w:val="COMTabletext"/>
              <w:widowControl w:val="0"/>
              <w:spacing w:after="120"/>
            </w:pPr>
            <w:r w:rsidRPr="00350596">
              <w:t>The submission modelled cyclical use of efgartigimod based on the assumption that patients in the MG-ADL &lt;</w:t>
            </w:r>
            <w:r w:rsidR="00F84E10">
              <w:t xml:space="preserve"> </w:t>
            </w:r>
            <w:r w:rsidRPr="00350596">
              <w:t xml:space="preserve">5 health state would not receive treatment, </w:t>
            </w:r>
            <w:r w:rsidR="001F6177" w:rsidRPr="00350596">
              <w:t>with</w:t>
            </w:r>
            <w:r w:rsidRPr="00350596">
              <w:t xml:space="preserve"> a minimum 4-week gap between treatment cycles. </w:t>
            </w:r>
            <w:r w:rsidR="004B4DD5" w:rsidRPr="00350596">
              <w:t>This</w:t>
            </w:r>
            <w:r w:rsidR="00D46C2B" w:rsidRPr="00350596">
              <w:t xml:space="preserve"> appeared inconsistent</w:t>
            </w:r>
            <w:r w:rsidR="00DF2189" w:rsidRPr="00350596">
              <w:t xml:space="preserve"> </w:t>
            </w:r>
            <w:r w:rsidRPr="00350596">
              <w:t xml:space="preserve">with the proposed continuing (requires </w:t>
            </w:r>
            <w:r w:rsidR="00EF3E86" w:rsidRPr="00350596">
              <w:t xml:space="preserve">yearly </w:t>
            </w:r>
            <w:r w:rsidRPr="00350596">
              <w:t xml:space="preserve">demonstration of continued response; without functional impairment criteria) and re-initiating (requires demonstration of functional impairment </w:t>
            </w:r>
            <w:r w:rsidR="00286564" w:rsidRPr="00350596">
              <w:t xml:space="preserve">based on MG-ADL </w:t>
            </w:r>
            <w:r w:rsidRPr="00350596">
              <w:t xml:space="preserve">≥5 with &gt;50% of the score due to non-ocular </w:t>
            </w:r>
            <w:r w:rsidR="00DF5A2F" w:rsidRPr="00350596">
              <w:t>s</w:t>
            </w:r>
            <w:r w:rsidRPr="00350596">
              <w:t>ymptoms OR MGC score ≥10) restrictions.</w:t>
            </w:r>
          </w:p>
          <w:p w14:paraId="7E7105AF" w14:textId="1B45F6FF" w:rsidR="00211053" w:rsidRPr="00350596" w:rsidRDefault="00211053" w:rsidP="00D46C2B">
            <w:pPr>
              <w:pStyle w:val="COMTabletext"/>
              <w:widowControl w:val="0"/>
            </w:pPr>
            <w:r w:rsidRPr="00350596">
              <w:t xml:space="preserve">Patients who discontinued efgartigimod </w:t>
            </w:r>
            <w:r w:rsidR="00852E60" w:rsidRPr="00350596">
              <w:t xml:space="preserve">were </w:t>
            </w:r>
            <w:r w:rsidRPr="00350596">
              <w:t xml:space="preserve">assumed to receive standard therapies (anticholinesterase, corticosteroids and non-steroidal immunosuppressants) as per baseline use in the ADAPT trial. The </w:t>
            </w:r>
            <w:r w:rsidR="00174D81" w:rsidRPr="00350596">
              <w:t xml:space="preserve">evaluation and the ESC considered that the </w:t>
            </w:r>
            <w:r w:rsidRPr="00350596">
              <w:t>assumption that patients would be using standard therapies without treatment escalation or use of other therapies such as rituximab or IVIg/PLEX was clinically implausible.</w:t>
            </w:r>
          </w:p>
        </w:tc>
        <w:tc>
          <w:tcPr>
            <w:tcW w:w="578" w:type="pct"/>
            <w:vAlign w:val="center"/>
          </w:tcPr>
          <w:p w14:paraId="50F3F3FF" w14:textId="64F52817" w:rsidR="00D110BD" w:rsidRPr="00350596" w:rsidRDefault="00133D41" w:rsidP="0025101E">
            <w:pPr>
              <w:pStyle w:val="COMTabletext"/>
              <w:keepNext w:val="0"/>
              <w:widowControl w:val="0"/>
              <w:jc w:val="center"/>
            </w:pPr>
            <w:r w:rsidRPr="00350596">
              <w:t>High, favours efgartigimod</w:t>
            </w:r>
          </w:p>
        </w:tc>
      </w:tr>
      <w:tr w:rsidR="009470BA" w:rsidRPr="00350596" w14:paraId="4392FD2C" w14:textId="77777777" w:rsidTr="00B8486F">
        <w:trPr>
          <w:cantSplit/>
        </w:trPr>
        <w:tc>
          <w:tcPr>
            <w:tcW w:w="665" w:type="pct"/>
            <w:vAlign w:val="center"/>
          </w:tcPr>
          <w:p w14:paraId="1032D0FE" w14:textId="4FCA1FBF" w:rsidR="009470BA" w:rsidRPr="00350596" w:rsidRDefault="009470BA" w:rsidP="00671632">
            <w:pPr>
              <w:pStyle w:val="COMTabletext"/>
              <w:keepNext w:val="0"/>
              <w:widowControl w:val="0"/>
            </w:pPr>
            <w:r w:rsidRPr="00350596">
              <w:t>Circumstances of use for chronic IVIg</w:t>
            </w:r>
          </w:p>
        </w:tc>
        <w:tc>
          <w:tcPr>
            <w:tcW w:w="3757" w:type="pct"/>
            <w:vAlign w:val="center"/>
          </w:tcPr>
          <w:p w14:paraId="7F635E95" w14:textId="6DAE8D28" w:rsidR="00546613" w:rsidRPr="00350596" w:rsidRDefault="00F63CF1" w:rsidP="00DF5A2F">
            <w:pPr>
              <w:pStyle w:val="COMTabletext"/>
              <w:keepNext w:val="0"/>
              <w:widowControl w:val="0"/>
              <w:spacing w:after="120"/>
            </w:pPr>
            <w:r w:rsidRPr="00350596">
              <w:t>The submission assumed a one-off treatment discontinuation of 33% due to adverse events for patients on IVIg</w:t>
            </w:r>
            <w:r w:rsidR="00546613" w:rsidRPr="00350596">
              <w:t xml:space="preserve"> </w:t>
            </w:r>
            <w:r w:rsidRPr="00350596">
              <w:t xml:space="preserve">and no further discontinuations. The </w:t>
            </w:r>
            <w:r w:rsidR="00174D81" w:rsidRPr="00350596">
              <w:t xml:space="preserve">evaluation and the ESC considered that the </w:t>
            </w:r>
            <w:r w:rsidRPr="00350596">
              <w:t>use of this estimate was inappropriate given concerns with the robustness of the analysis in the source publication. The submission did not adequately justify limiting treatment discontinuations to adverse events alone, which is unlikely to</w:t>
            </w:r>
            <w:r w:rsidR="00787956" w:rsidRPr="00350596">
              <w:t xml:space="preserve"> be</w:t>
            </w:r>
            <w:r w:rsidRPr="00350596">
              <w:t xml:space="preserve"> applicable to clinical practice.</w:t>
            </w:r>
          </w:p>
          <w:p w14:paraId="5FFA18BF" w14:textId="69FCC88C" w:rsidR="008765B3" w:rsidRPr="00350596" w:rsidRDefault="00546613" w:rsidP="009E5960">
            <w:pPr>
              <w:pStyle w:val="COMTabletext"/>
              <w:spacing w:after="120"/>
            </w:pPr>
            <w:r w:rsidRPr="00350596">
              <w:t>The submission assumed that patients who remained on IVIg treatment in the MG-ADL &lt;</w:t>
            </w:r>
            <w:r w:rsidR="00F84E10">
              <w:t xml:space="preserve"> </w:t>
            </w:r>
            <w:r w:rsidRPr="00350596">
              <w:t>5 health state would not receive IVIg therapy while patients in MG-ADL ≥5 health states would receive ongoing therapy. The submission acknowledged</w:t>
            </w:r>
            <w:r w:rsidR="00987CFC" w:rsidRPr="00350596">
              <w:t xml:space="preserve"> </w:t>
            </w:r>
            <w:r w:rsidRPr="00350596">
              <w:t>that the assumed discontinuation of treatment in patients with MG-ADL &lt;</w:t>
            </w:r>
            <w:r w:rsidR="00F84E10">
              <w:t xml:space="preserve"> </w:t>
            </w:r>
            <w:r w:rsidRPr="00350596">
              <w:t>5 was inconsistent</w:t>
            </w:r>
            <w:r w:rsidR="0024436A" w:rsidRPr="00350596">
              <w:t xml:space="preserve"> with</w:t>
            </w:r>
            <w:r w:rsidRPr="00350596">
              <w:t xml:space="preserve"> </w:t>
            </w:r>
            <w:r w:rsidR="00987CFC" w:rsidRPr="00350596">
              <w:t>market research</w:t>
            </w:r>
            <w:r w:rsidRPr="00350596">
              <w:t xml:space="preserve"> that indicated that patients would remain on IVIg treatment consistently. </w:t>
            </w:r>
            <w:r w:rsidR="00880227" w:rsidRPr="00350596">
              <w:t xml:space="preserve">The assumed use of IVIg was inconsistent with the National Blood Authority continuing treatment criteria for IVIg that required a ≥3-point improvement in MGC score OR clinical benefit but with end-of-cycle deterioration after 16 weeks of therapy. The assumption that patients who continue to have significant symptoms would remain on </w:t>
            </w:r>
            <w:r w:rsidR="009A6786" w:rsidRPr="00350596">
              <w:t>treatment</w:t>
            </w:r>
            <w:r w:rsidR="00880227" w:rsidRPr="00350596">
              <w:t xml:space="preserve"> without any clinical benefit was </w:t>
            </w:r>
            <w:r w:rsidR="009A6786" w:rsidRPr="00350596">
              <w:t>im</w:t>
            </w:r>
            <w:r w:rsidR="00880227" w:rsidRPr="00350596">
              <w:t>plausible.</w:t>
            </w:r>
          </w:p>
          <w:p w14:paraId="08885361" w14:textId="64085A7B" w:rsidR="00564FD8" w:rsidRPr="00350596" w:rsidRDefault="008765B3" w:rsidP="00174D81">
            <w:pPr>
              <w:pStyle w:val="COMTabletext"/>
            </w:pPr>
            <w:r w:rsidRPr="00350596">
              <w:t xml:space="preserve">Patients who discontinued chronic IVIg were assumed to receive standard therapies (anticholinesterase, corticosteroids and non-steroidal immunosuppressants) as per baseline use in the ADAPT trial. The assumption that patients would be using standard therapies without treatment escalation or use of other therapies such as rituximab </w:t>
            </w:r>
            <w:r w:rsidR="009E5960" w:rsidRPr="00350596">
              <w:t>or PLEX</w:t>
            </w:r>
            <w:r w:rsidRPr="00350596">
              <w:t xml:space="preserve"> was clinically implausible.</w:t>
            </w:r>
          </w:p>
        </w:tc>
        <w:tc>
          <w:tcPr>
            <w:tcW w:w="578" w:type="pct"/>
            <w:vAlign w:val="center"/>
          </w:tcPr>
          <w:p w14:paraId="70F35F11" w14:textId="78829A5B" w:rsidR="009470BA" w:rsidRPr="00350596" w:rsidRDefault="00133D41" w:rsidP="0025101E">
            <w:pPr>
              <w:pStyle w:val="COMTabletext"/>
              <w:keepNext w:val="0"/>
              <w:widowControl w:val="0"/>
              <w:jc w:val="center"/>
            </w:pPr>
            <w:r w:rsidRPr="00350596">
              <w:t>High, favours efgartigimod</w:t>
            </w:r>
          </w:p>
        </w:tc>
      </w:tr>
      <w:tr w:rsidR="00660BA2" w:rsidRPr="00350596" w14:paraId="088BAF11" w14:textId="77777777" w:rsidTr="00B8486F">
        <w:trPr>
          <w:cantSplit/>
        </w:trPr>
        <w:tc>
          <w:tcPr>
            <w:tcW w:w="665" w:type="pct"/>
            <w:vAlign w:val="center"/>
          </w:tcPr>
          <w:p w14:paraId="06525CB1" w14:textId="372ABBAC" w:rsidR="00660BA2" w:rsidRPr="00350596" w:rsidRDefault="00660BA2" w:rsidP="00671632">
            <w:pPr>
              <w:pStyle w:val="COMTabletext"/>
              <w:keepNext w:val="0"/>
              <w:widowControl w:val="0"/>
            </w:pPr>
            <w:r w:rsidRPr="00350596">
              <w:lastRenderedPageBreak/>
              <w:t>Chronic IVIg treatment effects</w:t>
            </w:r>
          </w:p>
        </w:tc>
        <w:tc>
          <w:tcPr>
            <w:tcW w:w="3757" w:type="pct"/>
            <w:vAlign w:val="center"/>
          </w:tcPr>
          <w:p w14:paraId="3B432FE7" w14:textId="0DED1D81" w:rsidR="00073D8B" w:rsidRPr="00350596" w:rsidRDefault="00073D8B" w:rsidP="00DF5A2F">
            <w:pPr>
              <w:pStyle w:val="COMTabletext"/>
              <w:keepNext w:val="0"/>
              <w:widowControl w:val="0"/>
              <w:spacing w:after="120"/>
            </w:pPr>
            <w:r w:rsidRPr="00350596">
              <w:t xml:space="preserve">The submission synthesised the transition probabilities for chronic IVIg </w:t>
            </w:r>
            <w:r w:rsidR="004A791D" w:rsidRPr="00350596">
              <w:t>(</w:t>
            </w:r>
            <w:r w:rsidRPr="00350596">
              <w:t>in the first model cycle</w:t>
            </w:r>
            <w:r w:rsidR="004A791D" w:rsidRPr="00350596">
              <w:t xml:space="preserve"> only)</w:t>
            </w:r>
            <w:r w:rsidRPr="00350596">
              <w:t xml:space="preserve"> based on the inverse of the estimated treatment difference between efgartigimod and IVIg from the indirect comparison, applied to patient-level MG-ADL scores in patients in the efgartigimod arm who received the first treatment cycle in the ADAPT trial. The analysis could not be validated during the evaluation due to inadequate documentation</w:t>
            </w:r>
            <w:r w:rsidR="00F758F4" w:rsidRPr="00350596">
              <w:t>.</w:t>
            </w:r>
            <w:r w:rsidRPr="00350596">
              <w:t xml:space="preserve"> The comparative efficacy of efgartigimod versus IVIg is uncertain given methodological concerns with the indirect comparison</w:t>
            </w:r>
            <w:r w:rsidR="00F758F4" w:rsidRPr="00350596">
              <w:t>.</w:t>
            </w:r>
          </w:p>
          <w:p w14:paraId="20BAACAC" w14:textId="3B139822" w:rsidR="00660BA2" w:rsidRPr="00350596" w:rsidRDefault="004A791D" w:rsidP="00671632">
            <w:pPr>
              <w:pStyle w:val="COMTabletext"/>
              <w:keepNext w:val="0"/>
              <w:widowControl w:val="0"/>
            </w:pPr>
            <w:r w:rsidRPr="00350596">
              <w:t>In subsequent model cycles, the submission assumed that patients on chronic IVIg would remain in the same health state unless they developed myasthenic crisis or died. The assumption that patients who continue to have significant symptoms would remain on chronic IVIg indefinitely without any clinical benefit was not plausible</w:t>
            </w:r>
            <w:r w:rsidR="00133D41" w:rsidRPr="00350596">
              <w:t xml:space="preserve"> and inconsistent with the National Blood Authority treatment criteria.</w:t>
            </w:r>
          </w:p>
        </w:tc>
        <w:tc>
          <w:tcPr>
            <w:tcW w:w="578" w:type="pct"/>
            <w:vAlign w:val="center"/>
          </w:tcPr>
          <w:p w14:paraId="347F0911" w14:textId="32234E12" w:rsidR="00660BA2" w:rsidRPr="00350596" w:rsidRDefault="00F63DD3" w:rsidP="0025101E">
            <w:pPr>
              <w:pStyle w:val="COMTabletext"/>
              <w:keepNext w:val="0"/>
              <w:widowControl w:val="0"/>
              <w:jc w:val="center"/>
            </w:pPr>
            <w:r w:rsidRPr="00350596">
              <w:t>High, favours efgartigimod</w:t>
            </w:r>
          </w:p>
        </w:tc>
      </w:tr>
      <w:tr w:rsidR="00660BA2" w:rsidRPr="00350596" w14:paraId="53FD2EBD" w14:textId="77777777" w:rsidTr="00B8486F">
        <w:trPr>
          <w:cantSplit/>
        </w:trPr>
        <w:tc>
          <w:tcPr>
            <w:tcW w:w="665" w:type="pct"/>
            <w:vAlign w:val="center"/>
          </w:tcPr>
          <w:p w14:paraId="676F2B51" w14:textId="487DE3CA" w:rsidR="00660BA2" w:rsidRPr="00350596" w:rsidRDefault="00660BA2" w:rsidP="00671632">
            <w:pPr>
              <w:pStyle w:val="COMTabletext"/>
              <w:keepNext w:val="0"/>
              <w:widowControl w:val="0"/>
            </w:pPr>
            <w:r w:rsidRPr="00350596">
              <w:t>MG-ADL health state utility values</w:t>
            </w:r>
          </w:p>
        </w:tc>
        <w:tc>
          <w:tcPr>
            <w:tcW w:w="3757" w:type="pct"/>
            <w:vAlign w:val="center"/>
          </w:tcPr>
          <w:p w14:paraId="34CB9033" w14:textId="6A3F7812" w:rsidR="00671632" w:rsidRPr="00350596" w:rsidRDefault="00671632" w:rsidP="006867E7">
            <w:pPr>
              <w:pStyle w:val="COMTabletext"/>
              <w:keepNext w:val="0"/>
              <w:widowControl w:val="0"/>
              <w:spacing w:after="120"/>
            </w:pPr>
            <w:r w:rsidRPr="00350596">
              <w:t xml:space="preserve">The submission estimated MG-ADL health state utility values based on an </w:t>
            </w:r>
            <w:r w:rsidRPr="00350596">
              <w:rPr>
                <w:i/>
                <w:iCs/>
              </w:rPr>
              <w:t>ad hoc</w:t>
            </w:r>
            <w:r w:rsidRPr="00350596">
              <w:t xml:space="preserve"> analysis of ADAPT trial data, assessing the relationship between MG-ADL score categories (&lt;</w:t>
            </w:r>
            <w:r w:rsidR="00F84E10">
              <w:t xml:space="preserve"> </w:t>
            </w:r>
            <w:r w:rsidRPr="00350596">
              <w:t xml:space="preserve">5, 5-7, 8-9 and ≥10) and EQ-5D-5L utility values. The submission valued the EQ-5D-5L health states based on an Australian utility study (Norman 2023). The validity of this approach could not be determined </w:t>
            </w:r>
            <w:r w:rsidR="004853B2" w:rsidRPr="00350596">
              <w:t xml:space="preserve">due to inadequate documentation in the submission. </w:t>
            </w:r>
          </w:p>
          <w:p w14:paraId="2C8F1503" w14:textId="1FEE487F" w:rsidR="00584D3B" w:rsidRPr="00350596" w:rsidRDefault="00671632" w:rsidP="00665775">
            <w:pPr>
              <w:pStyle w:val="COMTabletext"/>
              <w:keepNext w:val="0"/>
              <w:widowControl w:val="0"/>
              <w:spacing w:after="120"/>
            </w:pPr>
            <w:r w:rsidRPr="00350596">
              <w:t>A mixed model with fixed and random effects was used with the intercept representing the utility value for MG-ADL &lt;</w:t>
            </w:r>
            <w:r w:rsidR="00F84E10">
              <w:t xml:space="preserve"> </w:t>
            </w:r>
            <w:r w:rsidRPr="00350596">
              <w:t xml:space="preserve">5 and coefficients for MG-ADL 5-7, MG-ADL 8-9, MG-ADL ≥10 and treatment allocation (placebo). </w:t>
            </w:r>
            <w:r w:rsidR="0097714D" w:rsidRPr="00350596">
              <w:t xml:space="preserve">The submission claimed the statistical significance of the placebo coefficient supports the use of treatment-specific utility values as MG-ADL scores are not fully capturing treatment benefits associated with efgartigimod. The submission </w:t>
            </w:r>
            <w:r w:rsidR="006E4D34" w:rsidRPr="00350596">
              <w:t xml:space="preserve">claimed that </w:t>
            </w:r>
            <w:r w:rsidR="0097714D" w:rsidRPr="00350596">
              <w:t xml:space="preserve">a published </w:t>
            </w:r>
            <w:r w:rsidR="0097714D" w:rsidRPr="00350596">
              <w:rPr>
                <w:i/>
                <w:iCs/>
              </w:rPr>
              <w:t>post hoc</w:t>
            </w:r>
            <w:r w:rsidR="0097714D" w:rsidRPr="00350596">
              <w:t xml:space="preserve"> analysis of MG-ADL scores and EQ-5D-5L utility values in the ADAPT trial (Dewilde 2023) w</w:t>
            </w:r>
            <w:r w:rsidR="00174D81" w:rsidRPr="00350596">
              <w:t>as</w:t>
            </w:r>
            <w:r w:rsidR="0097714D" w:rsidRPr="00350596">
              <w:t xml:space="preserve"> supportive of the included MG-ADL and treatment coefficients.</w:t>
            </w:r>
            <w:r w:rsidR="002A749E" w:rsidRPr="00350596">
              <w:t xml:space="preserve"> </w:t>
            </w:r>
            <w:r w:rsidR="00B01B75" w:rsidRPr="00350596">
              <w:t xml:space="preserve">The Dewilde 2032 study authors noted limitations with the study including substantial variation in the change estimate </w:t>
            </w:r>
            <w:r w:rsidR="002A749E" w:rsidRPr="00350596">
              <w:t xml:space="preserve">and that patients with the same total MG-ADL score may have very different clinical profiles. The </w:t>
            </w:r>
            <w:r w:rsidR="00CA2E8C" w:rsidRPr="00350596">
              <w:t xml:space="preserve">study authors also noted </w:t>
            </w:r>
            <w:r w:rsidR="002A749E" w:rsidRPr="00350596">
              <w:t>t</w:t>
            </w:r>
            <w:r w:rsidR="00CA2E8C" w:rsidRPr="00350596">
              <w:t>hat t</w:t>
            </w:r>
            <w:r w:rsidR="002A749E" w:rsidRPr="00350596">
              <w:t>he regression model assumed that any unit improvement in an MG-ADL item has the same utility impact, which may not be reasonable</w:t>
            </w:r>
            <w:r w:rsidR="00B01B75" w:rsidRPr="00350596">
              <w:t>.</w:t>
            </w:r>
          </w:p>
          <w:p w14:paraId="14B83D55" w14:textId="4AD54769" w:rsidR="00AE3A04" w:rsidRPr="00350596" w:rsidRDefault="00584D3B" w:rsidP="006867E7">
            <w:pPr>
              <w:pStyle w:val="COMTabletext"/>
              <w:widowControl w:val="0"/>
              <w:spacing w:after="120"/>
            </w:pPr>
            <w:r w:rsidRPr="00350596">
              <w:t xml:space="preserve">While it may be reasonable to assume additional </w:t>
            </w:r>
            <w:r w:rsidR="00EB3CEE" w:rsidRPr="00350596">
              <w:t xml:space="preserve">utility </w:t>
            </w:r>
            <w:r w:rsidRPr="00350596">
              <w:t xml:space="preserve">benefits not captured through the MG-ADL score, the modelled magnitude of benefit </w:t>
            </w:r>
            <w:r w:rsidR="00C16E72" w:rsidRPr="00350596">
              <w:t xml:space="preserve">associated with efgartigimod treatment </w:t>
            </w:r>
            <w:r w:rsidRPr="00350596">
              <w:t>was large (0.1291 utility gain) in addition to MG-ADL improvements and other quality of life benefits associated with reduced corticosteroid use, exacerbations and myasthenic crises.</w:t>
            </w:r>
            <w:r w:rsidR="00564FD8" w:rsidRPr="00350596">
              <w:t xml:space="preserve"> The ESC considered </w:t>
            </w:r>
            <w:r w:rsidR="00564FD8" w:rsidRPr="00350596">
              <w:rPr>
                <w:szCs w:val="20"/>
              </w:rPr>
              <w:t>the magnitude of this additional utility benefit appeared implausible.</w:t>
            </w:r>
          </w:p>
          <w:p w14:paraId="66DC03D8" w14:textId="32ABC90D" w:rsidR="00AE3A04" w:rsidRPr="00350596" w:rsidRDefault="00AE3A04" w:rsidP="006867E7">
            <w:pPr>
              <w:pStyle w:val="COMTabletext"/>
              <w:widowControl w:val="0"/>
              <w:spacing w:after="120"/>
            </w:pPr>
            <w:r w:rsidRPr="00350596">
              <w:t xml:space="preserve">The submission assumed that utility values based on the placebo arm of the trial could be used as a proxy for patients on chronic IVIg. This assumption was inadequately justified given the lack of direct comparative data against chronic IVIg and </w:t>
            </w:r>
            <w:r w:rsidR="00A96423" w:rsidRPr="00350596">
              <w:t>favoured</w:t>
            </w:r>
            <w:r w:rsidRPr="00350596">
              <w:t xml:space="preserve"> efgartigimod given the</w:t>
            </w:r>
            <w:r w:rsidR="00A96423" w:rsidRPr="00350596">
              <w:t xml:space="preserve"> use</w:t>
            </w:r>
            <w:r w:rsidRPr="00350596">
              <w:t xml:space="preserve"> of treatment-specific </w:t>
            </w:r>
            <w:r w:rsidR="00A96423" w:rsidRPr="00350596">
              <w:t>utility values</w:t>
            </w:r>
            <w:r w:rsidRPr="00350596">
              <w:t>.</w:t>
            </w:r>
          </w:p>
          <w:p w14:paraId="17999E1F" w14:textId="629D1955" w:rsidR="00AE3A04" w:rsidRPr="00350596" w:rsidRDefault="00AE3A04" w:rsidP="006867E7">
            <w:pPr>
              <w:pStyle w:val="COMTabletext"/>
              <w:widowControl w:val="0"/>
              <w:spacing w:after="120"/>
            </w:pPr>
            <w:r w:rsidRPr="00350596">
              <w:t>Patients who discontinued efgartigimod or chronic IVIg were attributed utility values for standard therapy alone. No justification was provided for the assumption that patients who failed efgartigimod or chronic IVIg who have MG-ADL &lt;</w:t>
            </w:r>
            <w:r w:rsidR="00F84E10">
              <w:t xml:space="preserve"> </w:t>
            </w:r>
            <w:r w:rsidRPr="00350596">
              <w:t>5 would have the same utility as patients on efgartigimod. This assumption favoured efgartigimod given the accumulating proportion of patients who discontinued efgartigimod but remained in the MG-ADL &lt;</w:t>
            </w:r>
            <w:r w:rsidR="00F84E10">
              <w:t xml:space="preserve"> </w:t>
            </w:r>
            <w:r w:rsidRPr="00350596">
              <w:t>5 health state over time.</w:t>
            </w:r>
          </w:p>
          <w:p w14:paraId="2EDDA6E8" w14:textId="41FA7D13" w:rsidR="00AE3A04" w:rsidRPr="00350596" w:rsidRDefault="00AE3A04" w:rsidP="0097714D">
            <w:pPr>
              <w:pStyle w:val="COMTabletext"/>
              <w:widowControl w:val="0"/>
            </w:pPr>
            <w:r w:rsidRPr="00350596">
              <w:t xml:space="preserve">The submission did not address the appropriateness of using EQ-5D-5L utility values from the trial population with a mean age of 47 years to the modelled population aged 60 years at baseline to 93 years at the end of the model. </w:t>
            </w:r>
          </w:p>
        </w:tc>
        <w:tc>
          <w:tcPr>
            <w:tcW w:w="578" w:type="pct"/>
            <w:vAlign w:val="center"/>
          </w:tcPr>
          <w:p w14:paraId="0858DC04" w14:textId="2A236A2C" w:rsidR="00660BA2" w:rsidRPr="00350596" w:rsidRDefault="005B3F06" w:rsidP="0025101E">
            <w:pPr>
              <w:pStyle w:val="COMTabletext"/>
              <w:keepNext w:val="0"/>
              <w:widowControl w:val="0"/>
              <w:jc w:val="center"/>
            </w:pPr>
            <w:r w:rsidRPr="00350596">
              <w:t>High, favours efgartigimod</w:t>
            </w:r>
          </w:p>
        </w:tc>
      </w:tr>
      <w:tr w:rsidR="00660BA2" w:rsidRPr="00350596" w14:paraId="0393EA47" w14:textId="77777777" w:rsidTr="00B8486F">
        <w:trPr>
          <w:cantSplit/>
        </w:trPr>
        <w:tc>
          <w:tcPr>
            <w:tcW w:w="665" w:type="pct"/>
            <w:vAlign w:val="center"/>
          </w:tcPr>
          <w:p w14:paraId="60B9B533" w14:textId="62DB9FE1" w:rsidR="00660BA2" w:rsidRPr="00350596" w:rsidRDefault="00C331E5" w:rsidP="00671632">
            <w:pPr>
              <w:pStyle w:val="COMTabletext"/>
              <w:keepNext w:val="0"/>
              <w:widowControl w:val="0"/>
            </w:pPr>
            <w:r w:rsidRPr="00350596">
              <w:lastRenderedPageBreak/>
              <w:t>Exacerbations</w:t>
            </w:r>
          </w:p>
        </w:tc>
        <w:tc>
          <w:tcPr>
            <w:tcW w:w="3757" w:type="pct"/>
            <w:vAlign w:val="center"/>
          </w:tcPr>
          <w:p w14:paraId="25563D8B" w14:textId="673EA092" w:rsidR="00861055" w:rsidRPr="00350596" w:rsidRDefault="005D61E8" w:rsidP="00671632">
            <w:pPr>
              <w:pStyle w:val="COMTabletext"/>
              <w:keepNext w:val="0"/>
              <w:widowControl w:val="0"/>
              <w:spacing w:after="120"/>
            </w:pPr>
            <w:r w:rsidRPr="00350596">
              <w:t>The submission estimated the underlying risk of exacerbations based on estimates obtained from the CADTH review of eculizumab for myasthenia gravis.</w:t>
            </w:r>
            <w:r w:rsidR="008A5E9F" w:rsidRPr="00350596">
              <w:t xml:space="preserve"> The use of external data was inadequately justified given the availability of potentially relevant data from the ADAPT trial. </w:t>
            </w:r>
          </w:p>
          <w:p w14:paraId="50B78888" w14:textId="3AF0392C" w:rsidR="00935194" w:rsidRPr="00350596" w:rsidRDefault="00861055" w:rsidP="00671632">
            <w:pPr>
              <w:pStyle w:val="COMTabletext"/>
              <w:keepNext w:val="0"/>
              <w:widowControl w:val="0"/>
              <w:spacing w:after="120"/>
            </w:pPr>
            <w:r w:rsidRPr="00350596">
              <w:t xml:space="preserve">The submission claimed that the economic model only incorporated exacerbations that required hospitalisation as non-hospitalised events are expected to have minimal impact on costs and quality of life. This was inconsistent with the use of exacerbation rates from the REGAIN trial that included non-hospitalised events. A published analysis of exacerbations in the REGAIN trial indicated a total of 27 exacerbation events in the placebo arm, of which 24 events required rescue therapy, and 18 events required hospitalisation. </w:t>
            </w:r>
          </w:p>
          <w:p w14:paraId="4F695D1D" w14:textId="1830CE94" w:rsidR="00935194" w:rsidRPr="00350596" w:rsidRDefault="00923BE9" w:rsidP="00156181">
            <w:pPr>
              <w:pStyle w:val="COMTabletext"/>
              <w:keepNext w:val="0"/>
              <w:widowControl w:val="0"/>
            </w:pPr>
            <w:r w:rsidRPr="00350596">
              <w:t xml:space="preserve">Modelled reductions in exacerbations led to </w:t>
            </w:r>
            <w:r w:rsidR="00E9058B" w:rsidRPr="00350596">
              <w:t xml:space="preserve">reduced costs associated with managing exacerbations (based on hospitalisation costs) </w:t>
            </w:r>
            <w:r w:rsidR="003F7EDE" w:rsidRPr="00350596">
              <w:t xml:space="preserve">and </w:t>
            </w:r>
            <w:r w:rsidR="00617BA2" w:rsidRPr="00350596">
              <w:t xml:space="preserve">reduced </w:t>
            </w:r>
            <w:r w:rsidR="003F7EDE" w:rsidRPr="00350596">
              <w:t>QALY losses due to exacerbation events (based on an event disutility that was poorly justified).</w:t>
            </w:r>
            <w:r w:rsidR="00E9058B" w:rsidRPr="00350596">
              <w:t xml:space="preserve"> </w:t>
            </w:r>
            <w:r w:rsidR="00935194" w:rsidRPr="00350596">
              <w:t>There are no data supporting reductions in exacerbations in patients treated with efgartigimod compared to chronic IVIg.</w:t>
            </w:r>
          </w:p>
        </w:tc>
        <w:tc>
          <w:tcPr>
            <w:tcW w:w="578" w:type="pct"/>
            <w:vAlign w:val="center"/>
          </w:tcPr>
          <w:p w14:paraId="1825F77B" w14:textId="2AD84236" w:rsidR="00660BA2" w:rsidRPr="00350596" w:rsidRDefault="00671632" w:rsidP="0025101E">
            <w:pPr>
              <w:pStyle w:val="COMTabletext"/>
              <w:keepNext w:val="0"/>
              <w:widowControl w:val="0"/>
              <w:jc w:val="center"/>
            </w:pPr>
            <w:r w:rsidRPr="00350596">
              <w:t>Moderate, favours efgartigimod</w:t>
            </w:r>
          </w:p>
        </w:tc>
      </w:tr>
      <w:tr w:rsidR="00C331E5" w:rsidRPr="00350596" w14:paraId="0F685F3F" w14:textId="77777777" w:rsidTr="00B8486F">
        <w:trPr>
          <w:cantSplit/>
        </w:trPr>
        <w:tc>
          <w:tcPr>
            <w:tcW w:w="665" w:type="pct"/>
            <w:vAlign w:val="center"/>
          </w:tcPr>
          <w:p w14:paraId="55B92D75" w14:textId="31578444" w:rsidR="00C331E5" w:rsidRPr="00350596" w:rsidRDefault="00430D09" w:rsidP="00671632">
            <w:pPr>
              <w:pStyle w:val="COMTabletext"/>
              <w:keepNext w:val="0"/>
              <w:widowControl w:val="0"/>
            </w:pPr>
            <w:r w:rsidRPr="00350596">
              <w:t>Corticosteroid use</w:t>
            </w:r>
          </w:p>
        </w:tc>
        <w:tc>
          <w:tcPr>
            <w:tcW w:w="3757" w:type="pct"/>
            <w:vAlign w:val="center"/>
          </w:tcPr>
          <w:p w14:paraId="3948CCCC" w14:textId="64D2694C" w:rsidR="00EF72DB" w:rsidRPr="00350596" w:rsidRDefault="00DB5030" w:rsidP="00671632">
            <w:pPr>
              <w:pStyle w:val="COMTabletext"/>
              <w:keepNext w:val="0"/>
              <w:widowControl w:val="0"/>
              <w:spacing w:after="120"/>
            </w:pPr>
            <w:r w:rsidRPr="00350596">
              <w:t>The submission claimed that efgartigimod use is associated with reductions in corticosteroid use based on an observational study of US claims data (Kassardjian poster</w:t>
            </w:r>
            <w:r w:rsidR="008D6B04" w:rsidRPr="00350596">
              <w:t>, no date</w:t>
            </w:r>
            <w:r w:rsidRPr="00350596">
              <w:t>). The results should be interpreted with caution due to limited reporting</w:t>
            </w:r>
            <w:r w:rsidR="00006D0F" w:rsidRPr="00350596">
              <w:t>.</w:t>
            </w:r>
          </w:p>
          <w:p w14:paraId="555CFC92" w14:textId="09441A6D" w:rsidR="00EF72DB" w:rsidRPr="00350596" w:rsidRDefault="00EF72DB" w:rsidP="00671632">
            <w:pPr>
              <w:pStyle w:val="COMTabletext"/>
              <w:keepNext w:val="0"/>
              <w:widowControl w:val="0"/>
              <w:spacing w:after="120"/>
            </w:pPr>
            <w:r w:rsidRPr="00350596">
              <w:t xml:space="preserve">The submission claimed that </w:t>
            </w:r>
            <w:r w:rsidR="00D307DA" w:rsidRPr="00350596">
              <w:t xml:space="preserve">prednisolone </w:t>
            </w:r>
            <w:r w:rsidRPr="00350596">
              <w:t xml:space="preserve">10 mg daily was considered </w:t>
            </w:r>
            <w:r w:rsidR="008D6B04" w:rsidRPr="00350596">
              <w:t xml:space="preserve">a </w:t>
            </w:r>
            <w:r w:rsidRPr="00350596">
              <w:t>high dose based on Australian expert opinion. The proposed high dose threshold is at the lower end of recommended doses in published guidelines for myasthenia gravis (Sanders 2016) and was also lower than the mean daily dose of 21.26 mg based on the ad hoc subgroup analysis of patients on ≥ 10 mg per day of prednisolone in the trial.</w:t>
            </w:r>
          </w:p>
          <w:p w14:paraId="75527866" w14:textId="51D888BF" w:rsidR="00F111B8" w:rsidRPr="00350596" w:rsidRDefault="00EF72DB" w:rsidP="00671632">
            <w:pPr>
              <w:pStyle w:val="COMTabletext"/>
              <w:keepNext w:val="0"/>
              <w:widowControl w:val="0"/>
              <w:spacing w:after="120"/>
            </w:pPr>
            <w:r w:rsidRPr="00350596">
              <w:t>To model the benefit of reduced corticosteroid use associated with efgartigimod, the submission assumed only low-dose corticosteroid use among patients with MG-ADL &lt;</w:t>
            </w:r>
            <w:r w:rsidR="00F84E10">
              <w:t xml:space="preserve"> </w:t>
            </w:r>
            <w:r w:rsidRPr="00350596">
              <w:t xml:space="preserve">5, and the majority of patients on corticosteroids who have MG-ADL </w:t>
            </w:r>
            <w:r w:rsidRPr="00350596">
              <w:rPr>
                <w:rFonts w:cs="Calibri"/>
              </w:rPr>
              <w:t>≥</w:t>
            </w:r>
            <w:r w:rsidRPr="00350596">
              <w:t>5 would be on high-dose corticosteroids.</w:t>
            </w:r>
            <w:r w:rsidR="00F111B8" w:rsidRPr="00350596">
              <w:t xml:space="preserve"> The modelled difference in corticosteroid use favoured efgartigimod given greater time spent with MG-ADL &lt;</w:t>
            </w:r>
            <w:r w:rsidR="00F84E10">
              <w:t xml:space="preserve"> </w:t>
            </w:r>
            <w:r w:rsidR="00F111B8" w:rsidRPr="00350596">
              <w:t xml:space="preserve">5 compared to chronic IVIg, which led to reduced costs associated with corticosteroid-related complications, improved life expectancy and reduced QALY losses </w:t>
            </w:r>
            <w:r w:rsidR="00006D0F" w:rsidRPr="00350596">
              <w:t>due to</w:t>
            </w:r>
            <w:r w:rsidR="00F111B8" w:rsidRPr="00350596">
              <w:t xml:space="preserve"> corticosteroid use.</w:t>
            </w:r>
          </w:p>
          <w:p w14:paraId="3C11CB9A" w14:textId="2CCE20E8" w:rsidR="00EF72DB" w:rsidRPr="00350596" w:rsidRDefault="00F111B8" w:rsidP="00671632">
            <w:pPr>
              <w:pStyle w:val="COMTabletext"/>
              <w:keepNext w:val="0"/>
              <w:widowControl w:val="0"/>
            </w:pPr>
            <w:r w:rsidRPr="00350596">
              <w:t xml:space="preserve">The modelled benefits were poorly justified in the submission given no data were provided to support the assumed relationship between MG-ADL scores and corticosteroid doses. Additionally, there are no data to support reductions in corticosteroid use with efgartigimod compared to chronic IVIg. </w:t>
            </w:r>
          </w:p>
        </w:tc>
        <w:tc>
          <w:tcPr>
            <w:tcW w:w="578" w:type="pct"/>
            <w:vAlign w:val="center"/>
          </w:tcPr>
          <w:p w14:paraId="11BCB494" w14:textId="0EB678E2" w:rsidR="00C331E5" w:rsidRPr="00350596" w:rsidRDefault="00CC6DA0" w:rsidP="0025101E">
            <w:pPr>
              <w:pStyle w:val="COMTabletext"/>
              <w:keepNext w:val="0"/>
              <w:widowControl w:val="0"/>
              <w:jc w:val="center"/>
            </w:pPr>
            <w:r w:rsidRPr="00350596">
              <w:t>High, favours efgartigimod</w:t>
            </w:r>
          </w:p>
        </w:tc>
      </w:tr>
      <w:tr w:rsidR="00430D09" w:rsidRPr="00350596" w14:paraId="3BAB5C5F" w14:textId="77777777" w:rsidTr="00B8486F">
        <w:trPr>
          <w:cantSplit/>
        </w:trPr>
        <w:tc>
          <w:tcPr>
            <w:tcW w:w="665" w:type="pct"/>
            <w:vAlign w:val="center"/>
          </w:tcPr>
          <w:p w14:paraId="70F85385" w14:textId="58A6764A" w:rsidR="00430D09" w:rsidRPr="00350596" w:rsidRDefault="00430D09" w:rsidP="00671632">
            <w:pPr>
              <w:pStyle w:val="COMTabletext"/>
              <w:keepNext w:val="0"/>
              <w:widowControl w:val="0"/>
            </w:pPr>
            <w:r w:rsidRPr="00350596">
              <w:t>Mortality</w:t>
            </w:r>
          </w:p>
        </w:tc>
        <w:tc>
          <w:tcPr>
            <w:tcW w:w="3757" w:type="pct"/>
            <w:vAlign w:val="center"/>
          </w:tcPr>
          <w:p w14:paraId="01A905B7" w14:textId="6F055C0D" w:rsidR="00430D09" w:rsidRPr="00350596" w:rsidRDefault="008C4C66" w:rsidP="00671632">
            <w:pPr>
              <w:pStyle w:val="COMTabletext"/>
              <w:keepNext w:val="0"/>
              <w:widowControl w:val="0"/>
            </w:pPr>
            <w:r w:rsidRPr="00350596">
              <w:t xml:space="preserve">The submission assumed </w:t>
            </w:r>
            <w:r w:rsidR="00E20572" w:rsidRPr="00350596">
              <w:t xml:space="preserve">that treatment with efgartigimod would be associated with mortality benefits due to reduced incidence of myasthenic crises and reduced use of low- and high-dose corticosteroids. </w:t>
            </w:r>
            <w:r w:rsidR="00FA1974" w:rsidRPr="00350596">
              <w:t xml:space="preserve">There are no available data supporting the assumed reductions in myasthenic crises and steroid-sparing effects of efgartigimod </w:t>
            </w:r>
            <w:r w:rsidR="000470F3" w:rsidRPr="00350596">
              <w:t xml:space="preserve">as well as mortality benefits </w:t>
            </w:r>
            <w:r w:rsidR="00FA1974" w:rsidRPr="00350596">
              <w:t>compared to chronic IVIg</w:t>
            </w:r>
            <w:r w:rsidR="000470F3" w:rsidRPr="00350596">
              <w:t>.</w:t>
            </w:r>
          </w:p>
        </w:tc>
        <w:tc>
          <w:tcPr>
            <w:tcW w:w="578" w:type="pct"/>
            <w:vAlign w:val="center"/>
          </w:tcPr>
          <w:p w14:paraId="4C4CDC47" w14:textId="4EB854AC" w:rsidR="00430D09" w:rsidRPr="00350596" w:rsidRDefault="00AE579F" w:rsidP="0025101E">
            <w:pPr>
              <w:pStyle w:val="COMTabletext"/>
              <w:keepNext w:val="0"/>
              <w:widowControl w:val="0"/>
              <w:jc w:val="center"/>
              <w:rPr>
                <w:vertAlign w:val="superscript"/>
              </w:rPr>
            </w:pPr>
            <w:r w:rsidRPr="00350596">
              <w:t xml:space="preserve">Low, favours efgartigimod </w:t>
            </w:r>
            <w:r w:rsidRPr="00350596">
              <w:rPr>
                <w:vertAlign w:val="superscript"/>
              </w:rPr>
              <w:t>a</w:t>
            </w:r>
          </w:p>
        </w:tc>
      </w:tr>
    </w:tbl>
    <w:p w14:paraId="1957530E" w14:textId="47E06223" w:rsidR="008D6B04" w:rsidRPr="00350596" w:rsidRDefault="009D792E" w:rsidP="007E51D5">
      <w:pPr>
        <w:pStyle w:val="COMTablefooter"/>
      </w:pPr>
      <w:r w:rsidRPr="00350596">
        <w:t xml:space="preserve">Source: </w:t>
      </w:r>
      <w:r w:rsidR="00A42AF2" w:rsidRPr="00350596">
        <w:t>Constructed during the evaluation</w:t>
      </w:r>
    </w:p>
    <w:p w14:paraId="48372C71" w14:textId="7AD1288A" w:rsidR="00AE579F" w:rsidRPr="00350596" w:rsidRDefault="00AE579F" w:rsidP="007E51D5">
      <w:pPr>
        <w:pStyle w:val="COMTablefooter"/>
      </w:pPr>
      <w:r w:rsidRPr="00350596">
        <w:rPr>
          <w:vertAlign w:val="superscript"/>
        </w:rPr>
        <w:t xml:space="preserve">a </w:t>
      </w:r>
      <w:r w:rsidRPr="00350596">
        <w:t xml:space="preserve">Mortality associated with the myasthenic crises health state had limited impact due to low incidence of </w:t>
      </w:r>
      <w:r w:rsidR="002D3BDF" w:rsidRPr="00350596">
        <w:t xml:space="preserve">myasthenic crisis </w:t>
      </w:r>
      <w:r w:rsidR="00A42AF2" w:rsidRPr="00350596">
        <w:t>in the economic model.</w:t>
      </w:r>
      <w:r w:rsidRPr="00350596">
        <w:t xml:space="preserve"> Mortality associated with corticosteroid use had limited impact due to interacting factors between life expectancy in the model and time spent on treatment with efgartigimod and chronic IVIg.</w:t>
      </w:r>
      <w:r w:rsidRPr="00350596">
        <w:rPr>
          <w:vertAlign w:val="superscript"/>
        </w:rPr>
        <w:t xml:space="preserve"> </w:t>
      </w:r>
    </w:p>
    <w:p w14:paraId="69602E63" w14:textId="77777777" w:rsidR="00174D81" w:rsidRPr="00350596" w:rsidRDefault="00174D81" w:rsidP="00174D81">
      <w:pPr>
        <w:pStyle w:val="COMexecsummnumbered"/>
      </w:pPr>
      <w:bookmarkStart w:id="51" w:name="_Ref191278584"/>
      <w:r w:rsidRPr="00350596">
        <w:t>The ESC considered the reliability of the economic model was limited due to the lack of long-term data available and the complex nature of the condition. Specifically, the ESC considered:</w:t>
      </w:r>
      <w:bookmarkEnd w:id="51"/>
    </w:p>
    <w:p w14:paraId="29E086ED" w14:textId="77777777" w:rsidR="00174D81" w:rsidRPr="00350596" w:rsidRDefault="00174D81" w:rsidP="003D6137">
      <w:pPr>
        <w:pStyle w:val="COMexecsummbulletlist"/>
        <w:ind w:left="1071" w:hanging="357"/>
      </w:pPr>
      <w:r w:rsidRPr="00350596">
        <w:t xml:space="preserve">It was unclear whether the modelled population that was largely based on the ADAPT trial can be generalised to the PBS population due to potential differences in baseline functional impairment, response definitions and re-treatment criteria. </w:t>
      </w:r>
    </w:p>
    <w:p w14:paraId="25A4E859" w14:textId="7B02D7B5" w:rsidR="00174D81" w:rsidRPr="00350596" w:rsidRDefault="00174D81" w:rsidP="003D6137">
      <w:pPr>
        <w:pStyle w:val="COMexecsummbulletlist"/>
        <w:ind w:left="1071" w:hanging="357"/>
      </w:pPr>
      <w:r w:rsidRPr="00350596">
        <w:lastRenderedPageBreak/>
        <w:t>The circumstances of use of efgartigimod and chronic IVIg may not be representative of clinical practice, which were both modelled assuming patients with MG-ADL &lt;</w:t>
      </w:r>
      <w:r w:rsidR="00F84E10">
        <w:t xml:space="preserve"> </w:t>
      </w:r>
      <w:r w:rsidRPr="00350596">
        <w:t xml:space="preserve">5 would not receive treatment. </w:t>
      </w:r>
    </w:p>
    <w:p w14:paraId="4272654A" w14:textId="77777777" w:rsidR="00174D81" w:rsidRPr="00350596" w:rsidRDefault="00174D81" w:rsidP="003D6137">
      <w:pPr>
        <w:pStyle w:val="COMexecsummbulletlist"/>
        <w:ind w:left="1071" w:hanging="357"/>
      </w:pPr>
      <w:r w:rsidRPr="00350596">
        <w:t xml:space="preserve">Discontinuation assumptions were highly uncertain and poorly justified, which resulted in an increasing proportion of patients in the efgartigimod arm who were off treatment but maintained improved functional capacity while the majority of patients in the chronic IVIg arm remained on treatment with no changes to functional capacity over time. </w:t>
      </w:r>
    </w:p>
    <w:p w14:paraId="39A4A23F" w14:textId="77777777" w:rsidR="00174D81" w:rsidRPr="00350596" w:rsidRDefault="00174D81" w:rsidP="003D6137">
      <w:pPr>
        <w:pStyle w:val="COMexecsummbulletlist"/>
        <w:ind w:left="1071" w:hanging="357"/>
      </w:pPr>
      <w:r w:rsidRPr="00350596">
        <w:t xml:space="preserve">The assumption that patients who discontinue efgartigimod or chronic IVIg therapy would only remain on standard therapies without any modifications or use of subsequent therapies such as rituximab was unlikely to reflect clinical practice. </w:t>
      </w:r>
    </w:p>
    <w:p w14:paraId="7BF126F8" w14:textId="77777777" w:rsidR="00174D81" w:rsidRPr="00350596" w:rsidRDefault="00174D81" w:rsidP="003D6137">
      <w:pPr>
        <w:pStyle w:val="COMexecsummbulletlist"/>
        <w:ind w:left="1071" w:hanging="357"/>
      </w:pPr>
      <w:r w:rsidRPr="00350596">
        <w:t xml:space="preserve">The relative efficacy of chronic IVIg was synthesised based on results from the submission’s network meta-analysis that was highly uncertain due to methodological concerns. Additionally, treatment effects were only modelled for the first model cycle assuming no change in subsequent cycles. </w:t>
      </w:r>
    </w:p>
    <w:p w14:paraId="6D71015C" w14:textId="03BE3FDC" w:rsidR="00174D81" w:rsidRPr="00350596" w:rsidRDefault="00174D81" w:rsidP="003D6137">
      <w:pPr>
        <w:pStyle w:val="COMexecsummbulletlist"/>
        <w:ind w:left="1071" w:hanging="357"/>
      </w:pPr>
      <w:r w:rsidRPr="00350596">
        <w:t xml:space="preserve">The MG-ADL health state utility values were highly uncertain and could not be validated due to inadequate documentation. The </w:t>
      </w:r>
      <w:r w:rsidR="004A6F88" w:rsidRPr="00350596">
        <w:t xml:space="preserve">submission applied treatment-specific utilities and the ESC considered that the </w:t>
      </w:r>
      <w:r w:rsidRPr="00350596">
        <w:t>modelled utility gain associated with allocation to efgartigimod treatment was large (0.1291 utility gain)</w:t>
      </w:r>
      <w:r w:rsidR="004A6F88" w:rsidRPr="00350596">
        <w:t xml:space="preserve"> and appeared implausible.</w:t>
      </w:r>
      <w:r w:rsidRPr="00350596">
        <w:t xml:space="preserve"> </w:t>
      </w:r>
      <w:r w:rsidR="004A6F88" w:rsidRPr="00350596">
        <w:t xml:space="preserve">Further, the ESC noted this was applied </w:t>
      </w:r>
      <w:r w:rsidRPr="00350596">
        <w:t xml:space="preserve">in addition to modelled improvements in MG-ADL score and other quality of life benefits associated with reduced corticosteroid use, exacerbations and myasthenic crises. </w:t>
      </w:r>
    </w:p>
    <w:p w14:paraId="234E1DA3" w14:textId="77777777" w:rsidR="00174D81" w:rsidRPr="00350596" w:rsidRDefault="00174D81" w:rsidP="003D6137">
      <w:pPr>
        <w:pStyle w:val="COMexecsummbulletlist"/>
        <w:ind w:left="1071" w:hanging="357"/>
      </w:pPr>
      <w:r w:rsidRPr="00350596">
        <w:t>Assumptions leading to reductions in exacerbations, myasthenic crises, corticosteroid use and mortality were inappropriate and inadequately supported by the available evidence.</w:t>
      </w:r>
    </w:p>
    <w:p w14:paraId="16F4AA00" w14:textId="65A0520A" w:rsidR="00F17B3E" w:rsidRPr="00350596" w:rsidRDefault="00F17B3E" w:rsidP="003D6137">
      <w:pPr>
        <w:pStyle w:val="COMexecsummbulletlist"/>
      </w:pPr>
      <w:r w:rsidRPr="00350596">
        <w:t>The ESC considered that the modelled time horizon of 33 years was long when considering the modelled population had an assumed baseline age of 60 years. The ESC considered that a ten</w:t>
      </w:r>
      <w:r w:rsidR="00F26353" w:rsidRPr="00350596">
        <w:t>-</w:t>
      </w:r>
      <w:r w:rsidRPr="00350596">
        <w:t>year time horizon may be more appropriate given the uncertain long-term extrapolations e.g. due to the lack of long-term data around outcomes and treatment/remission durations.</w:t>
      </w:r>
    </w:p>
    <w:p w14:paraId="2B4AF938" w14:textId="4C45C9E8" w:rsidR="008C5739" w:rsidRPr="00350596" w:rsidRDefault="00165FA3" w:rsidP="009532ED">
      <w:pPr>
        <w:pStyle w:val="COMexecsummnumbered"/>
      </w:pPr>
      <w:r w:rsidRPr="00350596">
        <w:fldChar w:fldCharType="begin"/>
      </w:r>
      <w:r w:rsidRPr="00350596">
        <w:instrText xml:space="preserve"> REF _Ref187601782 \h </w:instrText>
      </w:r>
      <w:r w:rsidR="002A2674" w:rsidRPr="00350596">
        <w:instrText xml:space="preserve"> \* MERGEFORMAT </w:instrText>
      </w:r>
      <w:r w:rsidRPr="00350596">
        <w:fldChar w:fldCharType="separate"/>
      </w:r>
      <w:r w:rsidR="002B16A5" w:rsidRPr="00350596">
        <w:t xml:space="preserve">Figure </w:t>
      </w:r>
      <w:r w:rsidR="002B16A5">
        <w:t>5</w:t>
      </w:r>
      <w:r w:rsidRPr="00350596">
        <w:fldChar w:fldCharType="end"/>
      </w:r>
      <w:r w:rsidRPr="00350596">
        <w:t xml:space="preserve"> </w:t>
      </w:r>
      <w:r w:rsidR="00691F1D" w:rsidRPr="00350596">
        <w:t>presents Markov traces of the proportion of patients in each health state over time</w:t>
      </w:r>
      <w:r w:rsidR="006236E4" w:rsidRPr="00350596">
        <w:t>.</w:t>
      </w:r>
    </w:p>
    <w:p w14:paraId="7546FCBA" w14:textId="295AF205" w:rsidR="006236E4" w:rsidRPr="00350596" w:rsidRDefault="00165FA3" w:rsidP="00165FA3">
      <w:pPr>
        <w:pStyle w:val="Caption"/>
        <w:rPr>
          <w:lang w:val="en-AU"/>
        </w:rPr>
      </w:pPr>
      <w:bookmarkStart w:id="52" w:name="_Ref187601782"/>
      <w:bookmarkStart w:id="53" w:name="_Ref187601765"/>
      <w:r w:rsidRPr="00350596">
        <w:rPr>
          <w:lang w:val="en-AU"/>
        </w:rPr>
        <w:lastRenderedPageBreak/>
        <w:t xml:space="preserve">Figure </w:t>
      </w:r>
      <w:r w:rsidRPr="00350596">
        <w:rPr>
          <w:lang w:val="en-AU"/>
        </w:rPr>
        <w:fldChar w:fldCharType="begin"/>
      </w:r>
      <w:r w:rsidRPr="00350596">
        <w:rPr>
          <w:lang w:val="en-AU"/>
        </w:rPr>
        <w:instrText xml:space="preserve"> SEQ Figure \* ARABIC </w:instrText>
      </w:r>
      <w:r w:rsidRPr="00350596">
        <w:rPr>
          <w:lang w:val="en-AU"/>
        </w:rPr>
        <w:fldChar w:fldCharType="separate"/>
      </w:r>
      <w:r w:rsidR="002B16A5">
        <w:rPr>
          <w:noProof/>
          <w:lang w:val="en-AU"/>
        </w:rPr>
        <w:t>5</w:t>
      </w:r>
      <w:r w:rsidRPr="00350596">
        <w:rPr>
          <w:lang w:val="en-AU"/>
        </w:rPr>
        <w:fldChar w:fldCharType="end"/>
      </w:r>
      <w:bookmarkEnd w:id="52"/>
      <w:r w:rsidR="006236E4" w:rsidRPr="00350596">
        <w:rPr>
          <w:lang w:val="en-AU"/>
        </w:rPr>
        <w:t xml:space="preserve">: </w:t>
      </w:r>
      <w:bookmarkStart w:id="54" w:name="_Ref187601769"/>
      <w:r w:rsidR="006236E4" w:rsidRPr="00350596">
        <w:rPr>
          <w:lang w:val="en-AU"/>
        </w:rPr>
        <w:t>Markov traces of health state occupancy over time</w:t>
      </w:r>
      <w:bookmarkEnd w:id="53"/>
      <w:bookmarkEnd w:id="54"/>
    </w:p>
    <w:p w14:paraId="3F5A567E" w14:textId="77777777" w:rsidR="006236E4" w:rsidRPr="00350596" w:rsidRDefault="006236E4" w:rsidP="006236E4">
      <w:pPr>
        <w:pStyle w:val="COMTabletext"/>
      </w:pPr>
      <w:r w:rsidRPr="00350596">
        <w:rPr>
          <w:noProof/>
        </w:rPr>
        <w:drawing>
          <wp:inline distT="0" distB="0" distL="0" distR="0" wp14:anchorId="4F2058C1" wp14:editId="18D08417">
            <wp:extent cx="5697855" cy="3711191"/>
            <wp:effectExtent l="0" t="0" r="0" b="3810"/>
            <wp:docPr id="389117433" name="Picture 1" descr="Figure 5: Line graph showing Markov traces of health state occupancy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17433" name="Picture 1" descr="Figure 5: Line graph showing Markov traces of health state occupancy over ti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4121" cy="3721786"/>
                    </a:xfrm>
                    <a:prstGeom prst="rect">
                      <a:avLst/>
                    </a:prstGeom>
                    <a:noFill/>
                  </pic:spPr>
                </pic:pic>
              </a:graphicData>
            </a:graphic>
          </wp:inline>
        </w:drawing>
      </w:r>
    </w:p>
    <w:p w14:paraId="07B50169" w14:textId="77777777" w:rsidR="006236E4" w:rsidRPr="00350596" w:rsidRDefault="006236E4" w:rsidP="006236E4">
      <w:pPr>
        <w:pStyle w:val="COMTablefooter"/>
        <w:keepNext/>
      </w:pPr>
      <w:r w:rsidRPr="00350596">
        <w:t>Source: Constructed during the evaluation using the Section 3 economic model of the submission</w:t>
      </w:r>
    </w:p>
    <w:p w14:paraId="4603C042" w14:textId="77777777" w:rsidR="006236E4" w:rsidRPr="00350596" w:rsidRDefault="006236E4" w:rsidP="006236E4">
      <w:pPr>
        <w:pStyle w:val="COMTablefooter"/>
        <w:keepNext/>
      </w:pPr>
      <w:r w:rsidRPr="00350596">
        <w:t>Abbreviations: EFG, efgartigimod; IVIg, intravenous immunoglobulin; MG-ADL, Myasthenia Gravis Activities of Daily Living</w:t>
      </w:r>
    </w:p>
    <w:p w14:paraId="18F376C6" w14:textId="371A302B" w:rsidR="006236E4" w:rsidRPr="00350596" w:rsidRDefault="006236E4" w:rsidP="006236E4">
      <w:pPr>
        <w:pStyle w:val="COMTablefooter"/>
        <w:keepNext/>
      </w:pPr>
      <w:r w:rsidRPr="00350596">
        <w:t>Note: The proportion of patients in the myasthenic crises health state is not shown due to low occupancy over time (&lt;</w:t>
      </w:r>
      <w:r w:rsidR="00F84E10">
        <w:t xml:space="preserve"> </w:t>
      </w:r>
      <w:r w:rsidRPr="00350596">
        <w:t xml:space="preserve">0.1% in each arm) </w:t>
      </w:r>
    </w:p>
    <w:p w14:paraId="12BCC70B" w14:textId="02B6AD61" w:rsidR="006236E4" w:rsidRPr="00350596" w:rsidRDefault="00E81E96" w:rsidP="004A550C">
      <w:pPr>
        <w:pStyle w:val="COMexecsummnumbered"/>
      </w:pPr>
      <w:r w:rsidRPr="00350596">
        <w:t>The Markov traces show a clear separation in the distribution of patients across the MG-ADL health states, primarily due to more patients in the efgartigimod arm spending time in the MG-ADL &lt;</w:t>
      </w:r>
      <w:r w:rsidR="00F84E10">
        <w:t xml:space="preserve"> </w:t>
      </w:r>
      <w:r w:rsidRPr="00350596">
        <w:t>5 health state compared to chronic IVIg.</w:t>
      </w:r>
    </w:p>
    <w:p w14:paraId="0AC6DFE0" w14:textId="0DEE031E" w:rsidR="00E81E96" w:rsidRPr="00350596" w:rsidRDefault="00E81E96" w:rsidP="004A550C">
      <w:pPr>
        <w:pStyle w:val="COMexecsummnumbered"/>
      </w:pPr>
      <w:r w:rsidRPr="00350596">
        <w:t xml:space="preserve">The curves indicated significant fluctuations in the proportions occupying each health state in the efgartigimod arm </w:t>
      </w:r>
      <w:r w:rsidR="00277B1E" w:rsidRPr="00350596">
        <w:t xml:space="preserve">at </w:t>
      </w:r>
      <w:r w:rsidRPr="00350596">
        <w:t>the start of the model, while the proportions of patients in each health state in the chronic IVIg arm were relatively stable over time. This is reflective of the complex implementation of different sets of transition probabilities for efgartigimod, particularly for responders that differed based on cyclical use of treatment, while chronic IVIg transitions were only possible in the first model cycle and in subsequent cycles all patients were assumed to remain in the same health state unless they developed myasthenic crisis or died.</w:t>
      </w:r>
      <w:r w:rsidR="00D53C72">
        <w:t xml:space="preserve"> </w:t>
      </w:r>
    </w:p>
    <w:p w14:paraId="0BA5E5B9" w14:textId="2D8CFAFA" w:rsidR="00E81E96" w:rsidRPr="00350596" w:rsidRDefault="00E81E96" w:rsidP="004A550C">
      <w:pPr>
        <w:pStyle w:val="COMexecsummnumbered"/>
      </w:pPr>
      <w:r w:rsidRPr="00350596">
        <w:t>The traces also demonstrate mortality benefits for efgartigimod, primarily associated with reduced corticosteroid use. At the end of the model, 16% of patients were alive in the efgartigimod arm while 11.7% remained alive in the chronic IVIg arm.</w:t>
      </w:r>
    </w:p>
    <w:p w14:paraId="5EC0845D" w14:textId="17E99819" w:rsidR="00E81E96" w:rsidRPr="00350596" w:rsidRDefault="00E81E96" w:rsidP="004A550C">
      <w:pPr>
        <w:pStyle w:val="COMexecsummnumbered"/>
      </w:pPr>
      <w:r w:rsidRPr="00350596">
        <w:t xml:space="preserve">The traces indicate that efgartigimod treatment benefits were maintained over time despite declining proportions of patients receiving therapy. This was in contrast to the disease trajectory for patients on chronic IVIg therapy who mostly remain on treatment despite ongoing functional impairments. </w:t>
      </w:r>
    </w:p>
    <w:p w14:paraId="74731D21" w14:textId="18675955" w:rsidR="005A373D" w:rsidRPr="00350596" w:rsidRDefault="004A550C" w:rsidP="004A550C">
      <w:pPr>
        <w:pStyle w:val="COMexecsummnumbered"/>
      </w:pPr>
      <w:r w:rsidRPr="00350596">
        <w:lastRenderedPageBreak/>
        <w:t xml:space="preserve">The results of the stepped economic evaluation are summarised in </w:t>
      </w:r>
      <w:r w:rsidR="00165FA3" w:rsidRPr="00350596">
        <w:fldChar w:fldCharType="begin"/>
      </w:r>
      <w:r w:rsidR="00165FA3" w:rsidRPr="00350596">
        <w:instrText xml:space="preserve"> REF _Ref187601807 \h </w:instrText>
      </w:r>
      <w:r w:rsidR="00165FA3" w:rsidRPr="00350596">
        <w:fldChar w:fldCharType="separate"/>
      </w:r>
      <w:r w:rsidR="002B16A5" w:rsidRPr="00350596">
        <w:t xml:space="preserve">Table </w:t>
      </w:r>
      <w:r w:rsidR="002B16A5">
        <w:rPr>
          <w:noProof/>
        </w:rPr>
        <w:t>12</w:t>
      </w:r>
      <w:r w:rsidR="00165FA3" w:rsidRPr="00350596">
        <w:fldChar w:fldCharType="end"/>
      </w:r>
      <w:r w:rsidRPr="00350596">
        <w:t>.</w:t>
      </w:r>
    </w:p>
    <w:p w14:paraId="48F3F9A9" w14:textId="3A27014A" w:rsidR="004A550C" w:rsidRPr="00350596" w:rsidRDefault="00165FA3" w:rsidP="00165FA3">
      <w:pPr>
        <w:pStyle w:val="Caption"/>
        <w:rPr>
          <w:lang w:val="en-AU"/>
        </w:rPr>
      </w:pPr>
      <w:bookmarkStart w:id="55" w:name="_Ref187601807"/>
      <w:r w:rsidRPr="00350596">
        <w:rPr>
          <w:lang w:val="en-AU"/>
        </w:rPr>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12</w:t>
      </w:r>
      <w:r w:rsidRPr="00350596">
        <w:rPr>
          <w:lang w:val="en-AU"/>
        </w:rPr>
        <w:fldChar w:fldCharType="end"/>
      </w:r>
      <w:bookmarkEnd w:id="55"/>
      <w:r w:rsidR="004A550C" w:rsidRPr="00350596">
        <w:rPr>
          <w:lang w:val="en-AU"/>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2757"/>
        <w:gridCol w:w="2451"/>
        <w:gridCol w:w="2298"/>
        <w:gridCol w:w="1511"/>
      </w:tblGrid>
      <w:tr w:rsidR="004A550C" w:rsidRPr="00350596" w14:paraId="32C43373" w14:textId="77777777" w:rsidTr="007959EA">
        <w:trPr>
          <w:tblHeader/>
        </w:trPr>
        <w:tc>
          <w:tcPr>
            <w:tcW w:w="1529" w:type="pct"/>
            <w:vAlign w:val="center"/>
          </w:tcPr>
          <w:p w14:paraId="52BDACF3" w14:textId="77777777" w:rsidR="004A550C" w:rsidRPr="00350596" w:rsidRDefault="004A550C" w:rsidP="007959EA">
            <w:pPr>
              <w:pStyle w:val="COMTableheadingrow"/>
              <w:rPr>
                <w:lang w:val="en-AU"/>
              </w:rPr>
            </w:pPr>
            <w:r w:rsidRPr="00350596">
              <w:rPr>
                <w:lang w:val="en-AU"/>
              </w:rPr>
              <w:t>Step and component</w:t>
            </w:r>
          </w:p>
        </w:tc>
        <w:tc>
          <w:tcPr>
            <w:tcW w:w="1359" w:type="pct"/>
            <w:vAlign w:val="center"/>
          </w:tcPr>
          <w:p w14:paraId="51A0B6F9" w14:textId="77777777" w:rsidR="004A550C" w:rsidRPr="00350596" w:rsidRDefault="004A550C" w:rsidP="007959EA">
            <w:pPr>
              <w:pStyle w:val="COMTableheadingrow"/>
              <w:jc w:val="center"/>
              <w:rPr>
                <w:lang w:val="en-AU"/>
              </w:rPr>
            </w:pPr>
            <w:r w:rsidRPr="00350596">
              <w:rPr>
                <w:lang w:val="en-AU"/>
              </w:rPr>
              <w:t>Efgartigimod</w:t>
            </w:r>
          </w:p>
        </w:tc>
        <w:tc>
          <w:tcPr>
            <w:tcW w:w="1274" w:type="pct"/>
            <w:vAlign w:val="center"/>
          </w:tcPr>
          <w:p w14:paraId="1D98605A" w14:textId="77777777" w:rsidR="004A550C" w:rsidRPr="00350596" w:rsidRDefault="004A550C" w:rsidP="007959EA">
            <w:pPr>
              <w:pStyle w:val="COMTableheadingrow"/>
              <w:jc w:val="center"/>
              <w:rPr>
                <w:lang w:val="en-AU"/>
              </w:rPr>
            </w:pPr>
            <w:r w:rsidRPr="00350596">
              <w:rPr>
                <w:lang w:val="en-AU"/>
              </w:rPr>
              <w:t>IVIg</w:t>
            </w:r>
          </w:p>
        </w:tc>
        <w:tc>
          <w:tcPr>
            <w:tcW w:w="838" w:type="pct"/>
            <w:vAlign w:val="center"/>
          </w:tcPr>
          <w:p w14:paraId="79B513C4" w14:textId="77777777" w:rsidR="004A550C" w:rsidRPr="00350596" w:rsidRDefault="004A550C" w:rsidP="007959EA">
            <w:pPr>
              <w:pStyle w:val="COMTableheadingrow"/>
              <w:jc w:val="center"/>
              <w:rPr>
                <w:lang w:val="en-AU"/>
              </w:rPr>
            </w:pPr>
            <w:r w:rsidRPr="00350596">
              <w:rPr>
                <w:lang w:val="en-AU"/>
              </w:rPr>
              <w:t>Increment</w:t>
            </w:r>
          </w:p>
        </w:tc>
      </w:tr>
      <w:tr w:rsidR="004A550C" w:rsidRPr="00350596" w14:paraId="2DF1B5EF" w14:textId="77777777" w:rsidTr="007959EA">
        <w:tc>
          <w:tcPr>
            <w:tcW w:w="5000" w:type="pct"/>
            <w:gridSpan w:val="4"/>
            <w:vAlign w:val="center"/>
          </w:tcPr>
          <w:p w14:paraId="2BF69653" w14:textId="77777777" w:rsidR="004A550C" w:rsidRPr="00350596" w:rsidRDefault="004A550C" w:rsidP="007959EA">
            <w:pPr>
              <w:pStyle w:val="COMTabletext"/>
              <w:rPr>
                <w:b/>
                <w:bCs w:val="0"/>
                <w:u w:val="single"/>
              </w:rPr>
            </w:pPr>
            <w:r w:rsidRPr="00350596">
              <w:rPr>
                <w:b/>
                <w:bCs w:val="0"/>
              </w:rPr>
              <w:t>Step 1: Modelled outcomes to Week 26 including response, treatment discontinuation, myasthenic crisis, adverse events and deaths using health state utility values, myasthenic crisis disutility values, adverse event disutility values and corticosteroid disutility values; and using drug costs (efgartigimod and IVIg) and standard therapy drug costs (anticholinesterase, corticosteroid, non-steroidal immunosuppressant)</w:t>
            </w:r>
          </w:p>
        </w:tc>
      </w:tr>
      <w:tr w:rsidR="004A550C" w:rsidRPr="00350596" w14:paraId="396FA6B4" w14:textId="77777777" w:rsidTr="00823FDB">
        <w:tc>
          <w:tcPr>
            <w:tcW w:w="1529" w:type="pct"/>
            <w:vAlign w:val="center"/>
          </w:tcPr>
          <w:p w14:paraId="2CDD6C1D" w14:textId="77777777" w:rsidR="004A550C" w:rsidRPr="00350596" w:rsidRDefault="004A550C" w:rsidP="007959EA">
            <w:pPr>
              <w:pStyle w:val="COMTabletext"/>
            </w:pPr>
            <w:r w:rsidRPr="00350596">
              <w:t>Costs</w:t>
            </w:r>
          </w:p>
        </w:tc>
        <w:tc>
          <w:tcPr>
            <w:tcW w:w="1359" w:type="pct"/>
            <w:shd w:val="solid" w:color="000000" w:fill="000000"/>
            <w:vAlign w:val="center"/>
          </w:tcPr>
          <w:p w14:paraId="458969A7" w14:textId="457C9DDF"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c>
          <w:tcPr>
            <w:tcW w:w="1274" w:type="pct"/>
            <w:vAlign w:val="center"/>
          </w:tcPr>
          <w:p w14:paraId="43A712B2" w14:textId="77777777" w:rsidR="004A550C" w:rsidRPr="00350596" w:rsidRDefault="004A550C" w:rsidP="007959EA">
            <w:pPr>
              <w:pStyle w:val="COMTabletext"/>
              <w:jc w:val="center"/>
            </w:pPr>
            <w:r w:rsidRPr="00350596">
              <w:t>$28,515</w:t>
            </w:r>
          </w:p>
        </w:tc>
        <w:tc>
          <w:tcPr>
            <w:tcW w:w="838" w:type="pct"/>
            <w:shd w:val="solid" w:color="000000" w:fill="000000"/>
            <w:vAlign w:val="center"/>
          </w:tcPr>
          <w:p w14:paraId="7B850722" w14:textId="64B9F09F"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r>
      <w:tr w:rsidR="004A550C" w:rsidRPr="00350596" w14:paraId="25BE78E8" w14:textId="77777777" w:rsidTr="007959EA">
        <w:tc>
          <w:tcPr>
            <w:tcW w:w="1529" w:type="pct"/>
            <w:vAlign w:val="center"/>
          </w:tcPr>
          <w:p w14:paraId="0B5B0AE8" w14:textId="77777777" w:rsidR="004A550C" w:rsidRPr="00350596" w:rsidRDefault="004A550C" w:rsidP="007959EA">
            <w:pPr>
              <w:pStyle w:val="COMTabletext"/>
            </w:pPr>
            <w:r w:rsidRPr="00350596">
              <w:t>QALYs</w:t>
            </w:r>
          </w:p>
        </w:tc>
        <w:tc>
          <w:tcPr>
            <w:tcW w:w="1359" w:type="pct"/>
            <w:vAlign w:val="center"/>
          </w:tcPr>
          <w:p w14:paraId="3EBE0CA5" w14:textId="77777777" w:rsidR="004A550C" w:rsidRPr="00350596" w:rsidRDefault="004A550C" w:rsidP="007959EA">
            <w:pPr>
              <w:pStyle w:val="COMTabletext"/>
              <w:jc w:val="center"/>
            </w:pPr>
            <w:r w:rsidRPr="00350596">
              <w:t>0.3019</w:t>
            </w:r>
          </w:p>
        </w:tc>
        <w:tc>
          <w:tcPr>
            <w:tcW w:w="1274" w:type="pct"/>
            <w:vAlign w:val="center"/>
          </w:tcPr>
          <w:p w14:paraId="1BF7EFC8" w14:textId="77777777" w:rsidR="004A550C" w:rsidRPr="00350596" w:rsidRDefault="004A550C" w:rsidP="007959EA">
            <w:pPr>
              <w:pStyle w:val="COMTabletext"/>
              <w:jc w:val="center"/>
            </w:pPr>
            <w:r w:rsidRPr="00350596">
              <w:t>0.2211</w:t>
            </w:r>
          </w:p>
        </w:tc>
        <w:tc>
          <w:tcPr>
            <w:tcW w:w="838" w:type="pct"/>
            <w:vAlign w:val="center"/>
          </w:tcPr>
          <w:p w14:paraId="11B69D55" w14:textId="77777777" w:rsidR="004A550C" w:rsidRPr="00350596" w:rsidRDefault="004A550C" w:rsidP="007959EA">
            <w:pPr>
              <w:pStyle w:val="COMTabletext"/>
              <w:jc w:val="center"/>
            </w:pPr>
            <w:r w:rsidRPr="00350596">
              <w:t>0.0809</w:t>
            </w:r>
          </w:p>
        </w:tc>
      </w:tr>
      <w:tr w:rsidR="004A550C" w:rsidRPr="00350596" w14:paraId="17EBD12A" w14:textId="77777777" w:rsidTr="007959EA">
        <w:tc>
          <w:tcPr>
            <w:tcW w:w="4162" w:type="pct"/>
            <w:gridSpan w:val="3"/>
            <w:vAlign w:val="center"/>
          </w:tcPr>
          <w:p w14:paraId="17312A82" w14:textId="77777777" w:rsidR="004A550C" w:rsidRPr="00350596" w:rsidRDefault="004A550C" w:rsidP="007959EA">
            <w:pPr>
              <w:pStyle w:val="COMTabletext"/>
              <w:jc w:val="right"/>
              <w:rPr>
                <w:b/>
                <w:bCs w:val="0"/>
              </w:rPr>
            </w:pPr>
            <w:r w:rsidRPr="00350596">
              <w:rPr>
                <w:b/>
                <w:bCs w:val="0"/>
              </w:rPr>
              <w:t>Incremental cost per QALY gained</w:t>
            </w:r>
          </w:p>
        </w:tc>
        <w:tc>
          <w:tcPr>
            <w:tcW w:w="838" w:type="pct"/>
            <w:vAlign w:val="center"/>
          </w:tcPr>
          <w:p w14:paraId="543888FA" w14:textId="0B8D688B" w:rsidR="004A550C" w:rsidRPr="00350596" w:rsidRDefault="00823FDB" w:rsidP="007959EA">
            <w:pPr>
              <w:pStyle w:val="COMTabletext"/>
              <w:jc w:val="center"/>
            </w:pPr>
            <w:r w:rsidRPr="00823FDB">
              <w:rPr>
                <w:color w:val="000000"/>
                <w:shd w:val="solid" w:color="000000" w:fill="000000"/>
                <w14:textFill>
                  <w14:solidFill>
                    <w14:srgbClr w14:val="000000">
                      <w14:alpha w14:val="100000"/>
                    </w14:srgbClr>
                  </w14:solidFill>
                </w14:textFill>
              </w:rPr>
              <w:t>|</w:t>
            </w:r>
            <w:r w:rsidR="00331DC9" w:rsidRPr="00350596">
              <w:rPr>
                <w:vertAlign w:val="superscript"/>
              </w:rPr>
              <w:t>1</w:t>
            </w:r>
          </w:p>
        </w:tc>
      </w:tr>
      <w:tr w:rsidR="004A550C" w:rsidRPr="00350596" w14:paraId="144590D1" w14:textId="77777777" w:rsidTr="007959EA">
        <w:tc>
          <w:tcPr>
            <w:tcW w:w="5000" w:type="pct"/>
            <w:gridSpan w:val="4"/>
            <w:vAlign w:val="center"/>
          </w:tcPr>
          <w:p w14:paraId="4CC3F2C7" w14:textId="77777777" w:rsidR="004A550C" w:rsidRPr="00350596" w:rsidRDefault="004A550C" w:rsidP="007959EA">
            <w:pPr>
              <w:pStyle w:val="COMTableheadingrow"/>
              <w:rPr>
                <w:lang w:val="en-AU"/>
              </w:rPr>
            </w:pPr>
            <w:r w:rsidRPr="00350596">
              <w:rPr>
                <w:lang w:val="en-AU"/>
              </w:rPr>
              <w:t>Step 2: Extrapolate to 2 years</w:t>
            </w:r>
          </w:p>
        </w:tc>
      </w:tr>
      <w:tr w:rsidR="004A550C" w:rsidRPr="00350596" w14:paraId="54C85C1F" w14:textId="77777777" w:rsidTr="00823FDB">
        <w:tc>
          <w:tcPr>
            <w:tcW w:w="1529" w:type="pct"/>
            <w:vAlign w:val="center"/>
          </w:tcPr>
          <w:p w14:paraId="4BD15135" w14:textId="77777777" w:rsidR="004A550C" w:rsidRPr="00350596" w:rsidRDefault="004A550C" w:rsidP="007959EA">
            <w:pPr>
              <w:pStyle w:val="COMTabletext"/>
              <w:rPr>
                <w:rFonts w:ascii="Times" w:hAnsi="Times"/>
              </w:rPr>
            </w:pPr>
            <w:r w:rsidRPr="00350596">
              <w:t>Costs</w:t>
            </w:r>
          </w:p>
        </w:tc>
        <w:tc>
          <w:tcPr>
            <w:tcW w:w="1359" w:type="pct"/>
            <w:shd w:val="solid" w:color="000000" w:fill="000000"/>
            <w:vAlign w:val="center"/>
          </w:tcPr>
          <w:p w14:paraId="38252955" w14:textId="581D46A5"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c>
          <w:tcPr>
            <w:tcW w:w="1274" w:type="pct"/>
            <w:vAlign w:val="center"/>
          </w:tcPr>
          <w:p w14:paraId="04AF7BDF" w14:textId="77777777" w:rsidR="004A550C" w:rsidRPr="00350596" w:rsidRDefault="004A550C" w:rsidP="007959EA">
            <w:pPr>
              <w:pStyle w:val="COMTabletext"/>
              <w:jc w:val="center"/>
            </w:pPr>
            <w:r w:rsidRPr="00350596">
              <w:t>$71,564</w:t>
            </w:r>
          </w:p>
        </w:tc>
        <w:tc>
          <w:tcPr>
            <w:tcW w:w="838" w:type="pct"/>
            <w:shd w:val="solid" w:color="000000" w:fill="000000"/>
            <w:vAlign w:val="center"/>
          </w:tcPr>
          <w:p w14:paraId="5B2FD341" w14:textId="449213BC"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r>
      <w:tr w:rsidR="004A550C" w:rsidRPr="00350596" w14:paraId="4DA2756C" w14:textId="77777777" w:rsidTr="007959EA">
        <w:tc>
          <w:tcPr>
            <w:tcW w:w="1529" w:type="pct"/>
            <w:vAlign w:val="center"/>
          </w:tcPr>
          <w:p w14:paraId="2583069A" w14:textId="77777777" w:rsidR="004A550C" w:rsidRPr="00350596" w:rsidRDefault="004A550C" w:rsidP="007959EA">
            <w:pPr>
              <w:pStyle w:val="COMTabletext"/>
              <w:rPr>
                <w:rFonts w:ascii="Times" w:hAnsi="Times"/>
              </w:rPr>
            </w:pPr>
            <w:r w:rsidRPr="00350596">
              <w:t>QALYs</w:t>
            </w:r>
          </w:p>
        </w:tc>
        <w:tc>
          <w:tcPr>
            <w:tcW w:w="1359" w:type="pct"/>
            <w:vAlign w:val="center"/>
          </w:tcPr>
          <w:p w14:paraId="2EA106A8" w14:textId="77777777" w:rsidR="004A550C" w:rsidRPr="00350596" w:rsidRDefault="004A550C" w:rsidP="007959EA">
            <w:pPr>
              <w:pStyle w:val="COMTabletext"/>
              <w:jc w:val="center"/>
            </w:pPr>
            <w:r w:rsidRPr="00350596">
              <w:t>1.3119</w:t>
            </w:r>
          </w:p>
        </w:tc>
        <w:tc>
          <w:tcPr>
            <w:tcW w:w="1274" w:type="pct"/>
            <w:vAlign w:val="center"/>
          </w:tcPr>
          <w:p w14:paraId="72892429" w14:textId="77777777" w:rsidR="004A550C" w:rsidRPr="00350596" w:rsidRDefault="004A550C" w:rsidP="007959EA">
            <w:pPr>
              <w:pStyle w:val="COMTabletext"/>
              <w:jc w:val="center"/>
            </w:pPr>
            <w:r w:rsidRPr="00350596">
              <w:t>0.9627</w:t>
            </w:r>
          </w:p>
        </w:tc>
        <w:tc>
          <w:tcPr>
            <w:tcW w:w="838" w:type="pct"/>
            <w:vAlign w:val="center"/>
          </w:tcPr>
          <w:p w14:paraId="123D1D87" w14:textId="77777777" w:rsidR="004A550C" w:rsidRPr="00350596" w:rsidRDefault="004A550C" w:rsidP="007959EA">
            <w:pPr>
              <w:pStyle w:val="COMTabletext"/>
              <w:jc w:val="center"/>
            </w:pPr>
            <w:r w:rsidRPr="00350596">
              <w:t>0.3492</w:t>
            </w:r>
          </w:p>
        </w:tc>
      </w:tr>
      <w:tr w:rsidR="004A550C" w:rsidRPr="00350596" w14:paraId="29FFB399" w14:textId="77777777" w:rsidTr="007959EA">
        <w:tc>
          <w:tcPr>
            <w:tcW w:w="4162" w:type="pct"/>
            <w:gridSpan w:val="3"/>
            <w:vAlign w:val="center"/>
          </w:tcPr>
          <w:p w14:paraId="6C7F7E9B" w14:textId="77777777" w:rsidR="004A550C" w:rsidRPr="00350596" w:rsidRDefault="004A550C" w:rsidP="007959EA">
            <w:pPr>
              <w:pStyle w:val="COMTabletext"/>
              <w:jc w:val="right"/>
              <w:rPr>
                <w:rFonts w:ascii="Times" w:hAnsi="Times"/>
              </w:rPr>
            </w:pPr>
            <w:r w:rsidRPr="00350596">
              <w:rPr>
                <w:b/>
                <w:bCs w:val="0"/>
              </w:rPr>
              <w:t>Incremental cost per QALY gained</w:t>
            </w:r>
          </w:p>
        </w:tc>
        <w:tc>
          <w:tcPr>
            <w:tcW w:w="838" w:type="pct"/>
            <w:vAlign w:val="center"/>
          </w:tcPr>
          <w:p w14:paraId="7229005C" w14:textId="219FDB91" w:rsidR="004A550C" w:rsidRPr="00350596" w:rsidRDefault="00823FDB" w:rsidP="007959EA">
            <w:pPr>
              <w:pStyle w:val="COMTabletext"/>
              <w:jc w:val="center"/>
              <w:rPr>
                <w:rFonts w:ascii="Times" w:hAnsi="Times"/>
              </w:rPr>
            </w:pPr>
            <w:r w:rsidRPr="00823FDB">
              <w:rPr>
                <w:color w:val="000000"/>
                <w:shd w:val="solid" w:color="000000" w:fill="000000"/>
                <w14:textFill>
                  <w14:solidFill>
                    <w14:srgbClr w14:val="000000">
                      <w14:alpha w14:val="100000"/>
                    </w14:srgbClr>
                  </w14:solidFill>
                </w14:textFill>
              </w:rPr>
              <w:t>|</w:t>
            </w:r>
            <w:r w:rsidR="00A43D03" w:rsidRPr="00350596">
              <w:rPr>
                <w:vertAlign w:val="superscript"/>
              </w:rPr>
              <w:t>1</w:t>
            </w:r>
          </w:p>
        </w:tc>
      </w:tr>
      <w:tr w:rsidR="004A550C" w:rsidRPr="00350596" w14:paraId="110A3F85" w14:textId="77777777" w:rsidTr="007959EA">
        <w:tc>
          <w:tcPr>
            <w:tcW w:w="5000" w:type="pct"/>
            <w:gridSpan w:val="4"/>
            <w:vAlign w:val="center"/>
          </w:tcPr>
          <w:p w14:paraId="5199B6E5" w14:textId="77777777" w:rsidR="004A550C" w:rsidRPr="00350596" w:rsidRDefault="004A550C" w:rsidP="007959EA">
            <w:pPr>
              <w:pStyle w:val="COMTableheadingrow"/>
              <w:rPr>
                <w:lang w:val="en-AU"/>
              </w:rPr>
            </w:pPr>
            <w:r w:rsidRPr="00350596">
              <w:rPr>
                <w:lang w:val="en-AU"/>
              </w:rPr>
              <w:t>Step 3: Include exacerbation events using exacerbation disutility values and exacerbation treatment costs; add drug administration costs, disease monitoring costs, corticosteroid-related complication costs, myasthenic crises costs, adverse events costs and terminal care costs; discounting (5%) included</w:t>
            </w:r>
          </w:p>
        </w:tc>
      </w:tr>
      <w:tr w:rsidR="004A550C" w:rsidRPr="00350596" w14:paraId="7238404A" w14:textId="77777777" w:rsidTr="00823FDB">
        <w:tc>
          <w:tcPr>
            <w:tcW w:w="1529" w:type="pct"/>
            <w:vAlign w:val="center"/>
          </w:tcPr>
          <w:p w14:paraId="51337A00" w14:textId="77777777" w:rsidR="004A550C" w:rsidRPr="00350596" w:rsidRDefault="004A550C" w:rsidP="007959EA">
            <w:pPr>
              <w:pStyle w:val="COMTabletext"/>
              <w:rPr>
                <w:rFonts w:ascii="Times" w:hAnsi="Times"/>
              </w:rPr>
            </w:pPr>
            <w:r w:rsidRPr="00350596">
              <w:t>Costs</w:t>
            </w:r>
          </w:p>
        </w:tc>
        <w:tc>
          <w:tcPr>
            <w:tcW w:w="1359" w:type="pct"/>
            <w:shd w:val="solid" w:color="000000" w:fill="000000"/>
            <w:vAlign w:val="center"/>
          </w:tcPr>
          <w:p w14:paraId="3EDC440B" w14:textId="141B8D04"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c>
          <w:tcPr>
            <w:tcW w:w="1274" w:type="pct"/>
            <w:vAlign w:val="center"/>
          </w:tcPr>
          <w:p w14:paraId="232B1F02" w14:textId="77777777" w:rsidR="004A550C" w:rsidRPr="00350596" w:rsidRDefault="004A550C" w:rsidP="007959EA">
            <w:pPr>
              <w:pStyle w:val="COMTabletext"/>
              <w:jc w:val="center"/>
            </w:pPr>
            <w:r w:rsidRPr="00350596">
              <w:t>$154,054</w:t>
            </w:r>
          </w:p>
        </w:tc>
        <w:tc>
          <w:tcPr>
            <w:tcW w:w="838" w:type="pct"/>
            <w:shd w:val="solid" w:color="000000" w:fill="000000"/>
            <w:vAlign w:val="center"/>
          </w:tcPr>
          <w:p w14:paraId="48514E5E" w14:textId="532E5767"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r>
      <w:tr w:rsidR="004A550C" w:rsidRPr="00350596" w14:paraId="34569981" w14:textId="77777777" w:rsidTr="007959EA">
        <w:tc>
          <w:tcPr>
            <w:tcW w:w="1529" w:type="pct"/>
            <w:vAlign w:val="center"/>
          </w:tcPr>
          <w:p w14:paraId="73075668" w14:textId="77777777" w:rsidR="004A550C" w:rsidRPr="00350596" w:rsidRDefault="004A550C" w:rsidP="007959EA">
            <w:pPr>
              <w:pStyle w:val="COMTabletext"/>
              <w:rPr>
                <w:rFonts w:ascii="Times" w:hAnsi="Times"/>
              </w:rPr>
            </w:pPr>
            <w:r w:rsidRPr="00350596">
              <w:t>QALYs</w:t>
            </w:r>
          </w:p>
        </w:tc>
        <w:tc>
          <w:tcPr>
            <w:tcW w:w="1359" w:type="pct"/>
            <w:vAlign w:val="center"/>
          </w:tcPr>
          <w:p w14:paraId="7B8AD9F9" w14:textId="77777777" w:rsidR="004A550C" w:rsidRPr="00350596" w:rsidRDefault="004A550C" w:rsidP="007959EA">
            <w:pPr>
              <w:pStyle w:val="COMTabletext"/>
              <w:jc w:val="center"/>
            </w:pPr>
            <w:r w:rsidRPr="00350596">
              <w:t>1.2743</w:t>
            </w:r>
          </w:p>
        </w:tc>
        <w:tc>
          <w:tcPr>
            <w:tcW w:w="1274" w:type="pct"/>
            <w:vAlign w:val="center"/>
          </w:tcPr>
          <w:p w14:paraId="18D931F3" w14:textId="77777777" w:rsidR="004A550C" w:rsidRPr="00350596" w:rsidRDefault="004A550C" w:rsidP="007959EA">
            <w:pPr>
              <w:pStyle w:val="COMTabletext"/>
              <w:jc w:val="center"/>
            </w:pPr>
            <w:r w:rsidRPr="00350596">
              <w:t>0.9272</w:t>
            </w:r>
          </w:p>
        </w:tc>
        <w:tc>
          <w:tcPr>
            <w:tcW w:w="838" w:type="pct"/>
            <w:vAlign w:val="center"/>
          </w:tcPr>
          <w:p w14:paraId="5F5E00EE" w14:textId="77777777" w:rsidR="004A550C" w:rsidRPr="00350596" w:rsidRDefault="004A550C" w:rsidP="007959EA">
            <w:pPr>
              <w:pStyle w:val="COMTabletext"/>
              <w:jc w:val="center"/>
            </w:pPr>
            <w:r w:rsidRPr="00350596">
              <w:t>0.3471</w:t>
            </w:r>
          </w:p>
        </w:tc>
      </w:tr>
      <w:tr w:rsidR="004A550C" w:rsidRPr="00350596" w14:paraId="400DA27D" w14:textId="77777777" w:rsidTr="007959EA">
        <w:tc>
          <w:tcPr>
            <w:tcW w:w="4162" w:type="pct"/>
            <w:gridSpan w:val="3"/>
            <w:vAlign w:val="center"/>
          </w:tcPr>
          <w:p w14:paraId="794BCB0B" w14:textId="77777777" w:rsidR="004A550C" w:rsidRPr="00350596" w:rsidRDefault="004A550C" w:rsidP="007959EA">
            <w:pPr>
              <w:pStyle w:val="COMTabletext"/>
              <w:jc w:val="right"/>
              <w:rPr>
                <w:rFonts w:ascii="Times" w:hAnsi="Times"/>
              </w:rPr>
            </w:pPr>
            <w:r w:rsidRPr="00350596">
              <w:rPr>
                <w:b/>
                <w:bCs w:val="0"/>
              </w:rPr>
              <w:t>Incremental cost per QALY gained</w:t>
            </w:r>
          </w:p>
        </w:tc>
        <w:tc>
          <w:tcPr>
            <w:tcW w:w="838" w:type="pct"/>
            <w:vAlign w:val="center"/>
          </w:tcPr>
          <w:p w14:paraId="6BB95563" w14:textId="0BD4A5ED" w:rsidR="004A550C" w:rsidRPr="00350596" w:rsidRDefault="00823FDB" w:rsidP="007959EA">
            <w:pPr>
              <w:pStyle w:val="COMTabletext"/>
              <w:jc w:val="center"/>
            </w:pPr>
            <w:r w:rsidRPr="00823FDB">
              <w:rPr>
                <w:color w:val="000000"/>
                <w:shd w:val="solid" w:color="000000" w:fill="000000"/>
                <w14:textFill>
                  <w14:solidFill>
                    <w14:srgbClr w14:val="000000">
                      <w14:alpha w14:val="100000"/>
                    </w14:srgbClr>
                  </w14:solidFill>
                </w14:textFill>
              </w:rPr>
              <w:t>|</w:t>
            </w:r>
            <w:r w:rsidR="00A43D03" w:rsidRPr="00350596">
              <w:rPr>
                <w:vertAlign w:val="superscript"/>
              </w:rPr>
              <w:t>1</w:t>
            </w:r>
          </w:p>
        </w:tc>
      </w:tr>
      <w:tr w:rsidR="004A550C" w:rsidRPr="00350596" w14:paraId="5D01D2AF" w14:textId="77777777" w:rsidTr="007959EA">
        <w:tc>
          <w:tcPr>
            <w:tcW w:w="5000" w:type="pct"/>
            <w:gridSpan w:val="4"/>
            <w:vAlign w:val="center"/>
          </w:tcPr>
          <w:p w14:paraId="661F620F" w14:textId="77777777" w:rsidR="004A550C" w:rsidRPr="00350596" w:rsidRDefault="004A550C" w:rsidP="007959EA">
            <w:pPr>
              <w:pStyle w:val="COMTableheadingrow"/>
              <w:rPr>
                <w:lang w:val="en-AU"/>
              </w:rPr>
            </w:pPr>
            <w:r w:rsidRPr="00350596">
              <w:rPr>
                <w:lang w:val="en-AU"/>
              </w:rPr>
              <w:t>Step 4: Extrapolate to 33 years</w:t>
            </w:r>
          </w:p>
        </w:tc>
      </w:tr>
      <w:tr w:rsidR="004A550C" w:rsidRPr="00350596" w14:paraId="5D44CA4F" w14:textId="77777777" w:rsidTr="00823FDB">
        <w:tc>
          <w:tcPr>
            <w:tcW w:w="1529" w:type="pct"/>
            <w:vAlign w:val="center"/>
          </w:tcPr>
          <w:p w14:paraId="29FC595E" w14:textId="77777777" w:rsidR="004A550C" w:rsidRPr="00350596" w:rsidRDefault="004A550C" w:rsidP="007959EA">
            <w:pPr>
              <w:pStyle w:val="COMTabletext"/>
              <w:rPr>
                <w:rFonts w:ascii="Times" w:hAnsi="Times"/>
              </w:rPr>
            </w:pPr>
            <w:r w:rsidRPr="00350596">
              <w:t>Costs</w:t>
            </w:r>
          </w:p>
        </w:tc>
        <w:tc>
          <w:tcPr>
            <w:tcW w:w="1359" w:type="pct"/>
            <w:shd w:val="solid" w:color="000000" w:fill="000000"/>
            <w:vAlign w:val="center"/>
          </w:tcPr>
          <w:p w14:paraId="50FD442A" w14:textId="5D8EDC1B"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c>
          <w:tcPr>
            <w:tcW w:w="1274" w:type="pct"/>
            <w:vAlign w:val="center"/>
          </w:tcPr>
          <w:p w14:paraId="1F2CD102" w14:textId="77777777" w:rsidR="004A550C" w:rsidRPr="00350596" w:rsidRDefault="004A550C" w:rsidP="007959EA">
            <w:pPr>
              <w:pStyle w:val="COMTabletext"/>
              <w:jc w:val="center"/>
            </w:pPr>
            <w:r w:rsidRPr="00350596">
              <w:t>$940,972</w:t>
            </w:r>
          </w:p>
        </w:tc>
        <w:tc>
          <w:tcPr>
            <w:tcW w:w="838" w:type="pct"/>
            <w:shd w:val="solid" w:color="000000" w:fill="000000"/>
            <w:vAlign w:val="center"/>
          </w:tcPr>
          <w:p w14:paraId="155AF3B9" w14:textId="4575F4E0" w:rsidR="004A550C" w:rsidRPr="00350596" w:rsidRDefault="00823FDB" w:rsidP="007959EA">
            <w:pPr>
              <w:pStyle w:val="COMTabletext"/>
              <w:jc w:val="center"/>
            </w:pPr>
            <w:r w:rsidRPr="00823FDB">
              <w:rPr>
                <w:color w:val="000000"/>
                <w14:textFill>
                  <w14:solidFill>
                    <w14:srgbClr w14:val="000000">
                      <w14:alpha w14:val="100000"/>
                    </w14:srgbClr>
                  </w14:solidFill>
                </w14:textFill>
              </w:rPr>
              <w:t>|</w:t>
            </w:r>
          </w:p>
        </w:tc>
      </w:tr>
      <w:tr w:rsidR="004A550C" w:rsidRPr="00350596" w14:paraId="227FBFC3" w14:textId="77777777" w:rsidTr="007959EA">
        <w:tc>
          <w:tcPr>
            <w:tcW w:w="1529" w:type="pct"/>
            <w:vAlign w:val="center"/>
          </w:tcPr>
          <w:p w14:paraId="33122B31" w14:textId="77777777" w:rsidR="004A550C" w:rsidRPr="00350596" w:rsidRDefault="004A550C" w:rsidP="007959EA">
            <w:pPr>
              <w:pStyle w:val="COMTabletext"/>
              <w:rPr>
                <w:rFonts w:ascii="Times" w:hAnsi="Times"/>
              </w:rPr>
            </w:pPr>
            <w:r w:rsidRPr="00350596">
              <w:t>QALYs</w:t>
            </w:r>
          </w:p>
        </w:tc>
        <w:tc>
          <w:tcPr>
            <w:tcW w:w="1359" w:type="pct"/>
            <w:vAlign w:val="center"/>
          </w:tcPr>
          <w:p w14:paraId="5B0FBF41" w14:textId="77777777" w:rsidR="004A550C" w:rsidRPr="00350596" w:rsidRDefault="004A550C" w:rsidP="007959EA">
            <w:pPr>
              <w:pStyle w:val="COMTabletext"/>
              <w:jc w:val="center"/>
            </w:pPr>
            <w:r w:rsidRPr="00350596">
              <w:t>8.8054</w:t>
            </w:r>
          </w:p>
        </w:tc>
        <w:tc>
          <w:tcPr>
            <w:tcW w:w="1274" w:type="pct"/>
            <w:vAlign w:val="center"/>
          </w:tcPr>
          <w:p w14:paraId="06291342" w14:textId="77777777" w:rsidR="004A550C" w:rsidRPr="00350596" w:rsidRDefault="004A550C" w:rsidP="007959EA">
            <w:pPr>
              <w:pStyle w:val="COMTabletext"/>
              <w:jc w:val="center"/>
            </w:pPr>
            <w:r w:rsidRPr="00350596">
              <w:t>6.4176</w:t>
            </w:r>
          </w:p>
        </w:tc>
        <w:tc>
          <w:tcPr>
            <w:tcW w:w="838" w:type="pct"/>
            <w:vAlign w:val="center"/>
          </w:tcPr>
          <w:p w14:paraId="70D47B01" w14:textId="77777777" w:rsidR="004A550C" w:rsidRPr="00350596" w:rsidRDefault="004A550C" w:rsidP="007959EA">
            <w:pPr>
              <w:pStyle w:val="COMTabletext"/>
              <w:jc w:val="center"/>
            </w:pPr>
            <w:r w:rsidRPr="00350596">
              <w:t>2.3879</w:t>
            </w:r>
          </w:p>
        </w:tc>
      </w:tr>
      <w:tr w:rsidR="004A550C" w:rsidRPr="00350596" w14:paraId="7449846D" w14:textId="77777777" w:rsidTr="007959EA">
        <w:tc>
          <w:tcPr>
            <w:tcW w:w="4162" w:type="pct"/>
            <w:gridSpan w:val="3"/>
            <w:vAlign w:val="center"/>
          </w:tcPr>
          <w:p w14:paraId="19EC72FC" w14:textId="77777777" w:rsidR="004A550C" w:rsidRPr="00350596" w:rsidRDefault="004A550C" w:rsidP="007959EA">
            <w:pPr>
              <w:pStyle w:val="COMTabletext"/>
              <w:jc w:val="right"/>
              <w:rPr>
                <w:rFonts w:ascii="Times" w:hAnsi="Times"/>
              </w:rPr>
            </w:pPr>
            <w:r w:rsidRPr="00350596">
              <w:rPr>
                <w:b/>
                <w:bCs w:val="0"/>
              </w:rPr>
              <w:t>Incremental cost per QALY gained</w:t>
            </w:r>
          </w:p>
        </w:tc>
        <w:tc>
          <w:tcPr>
            <w:tcW w:w="838" w:type="pct"/>
            <w:vAlign w:val="center"/>
          </w:tcPr>
          <w:p w14:paraId="1F03EA8A" w14:textId="0195AEC0" w:rsidR="004A550C" w:rsidRPr="00350596" w:rsidRDefault="00823FDB" w:rsidP="007959EA">
            <w:pPr>
              <w:pStyle w:val="COMTabletext"/>
              <w:jc w:val="center"/>
            </w:pPr>
            <w:r w:rsidRPr="00823FDB">
              <w:rPr>
                <w:color w:val="000000"/>
                <w:shd w:val="solid" w:color="000000" w:fill="000000"/>
                <w14:textFill>
                  <w14:solidFill>
                    <w14:srgbClr w14:val="000000">
                      <w14:alpha w14:val="100000"/>
                    </w14:srgbClr>
                  </w14:solidFill>
                </w14:textFill>
              </w:rPr>
              <w:t>|</w:t>
            </w:r>
            <w:r w:rsidR="00533F39" w:rsidRPr="00350596">
              <w:rPr>
                <w:vertAlign w:val="superscript"/>
              </w:rPr>
              <w:t>2</w:t>
            </w:r>
          </w:p>
        </w:tc>
      </w:tr>
    </w:tbl>
    <w:p w14:paraId="436A30B3" w14:textId="5659796B" w:rsidR="004A550C" w:rsidRPr="00350596" w:rsidRDefault="004A550C" w:rsidP="004A550C">
      <w:pPr>
        <w:pStyle w:val="COMTablefooter"/>
      </w:pPr>
      <w:r w:rsidRPr="00350596">
        <w:t>Source: Table 3.48, and the Section 3 economic model of the submission</w:t>
      </w:r>
    </w:p>
    <w:p w14:paraId="5BDB1A78" w14:textId="77777777" w:rsidR="004A550C" w:rsidRPr="00350596" w:rsidRDefault="004A550C" w:rsidP="004A550C">
      <w:pPr>
        <w:pStyle w:val="COMTablefooter"/>
      </w:pPr>
      <w:r w:rsidRPr="00350596">
        <w:t>Abbreviations: IVIg, intravenous immunoglobulin; QALY, quality-adjusted life year</w:t>
      </w:r>
    </w:p>
    <w:p w14:paraId="73B1939C" w14:textId="77777777" w:rsidR="00331DC9" w:rsidRPr="00350596" w:rsidRDefault="004A550C" w:rsidP="004A550C">
      <w:pPr>
        <w:pStyle w:val="COMTablefooter"/>
      </w:pPr>
      <w:r w:rsidRPr="00350596">
        <w:t>Italicised estimates were calculated during the evaluation due to multiple errors identified in the calculation of the submission’s estimates (outcomes for trial duration calculated over 2 years instead of 26 weeks, inconsistent use of discounted and undiscounted estimates between treatment arms, QALY losses due to exacerbations were inverted into QALY gains).</w:t>
      </w:r>
      <w:r w:rsidR="00331DC9" w:rsidRPr="00350596">
        <w:t xml:space="preserve"> </w:t>
      </w:r>
    </w:p>
    <w:p w14:paraId="01BD4C49" w14:textId="20AC4FB7" w:rsidR="00E048CA" w:rsidRPr="00350596" w:rsidRDefault="00331DC9" w:rsidP="004A550C">
      <w:pPr>
        <w:pStyle w:val="COMTablefooter"/>
        <w:rPr>
          <w:i/>
          <w:iCs/>
        </w:rPr>
      </w:pPr>
      <w:r w:rsidRPr="00350596">
        <w:rPr>
          <w:i/>
          <w:iCs/>
        </w:rPr>
        <w:t>The redacted values correspond to the following ranges</w:t>
      </w:r>
      <w:r w:rsidR="00330572" w:rsidRPr="00350596">
        <w:rPr>
          <w:i/>
          <w:iCs/>
        </w:rPr>
        <w:t>:</w:t>
      </w:r>
      <w:r w:rsidR="00E048CA" w:rsidRPr="00350596">
        <w:rPr>
          <w:i/>
          <w:iCs/>
        </w:rPr>
        <w:t xml:space="preserve"> </w:t>
      </w:r>
    </w:p>
    <w:p w14:paraId="19D0B5C4" w14:textId="77777777" w:rsidR="00FC6D3D" w:rsidRPr="00350596" w:rsidRDefault="00E048CA" w:rsidP="004A550C">
      <w:pPr>
        <w:pStyle w:val="COMTablefooter"/>
        <w:rPr>
          <w:i/>
          <w:iCs/>
        </w:rPr>
      </w:pPr>
      <w:r w:rsidRPr="00350596">
        <w:rPr>
          <w:i/>
          <w:iCs/>
          <w:vertAlign w:val="superscript"/>
        </w:rPr>
        <w:t>1</w:t>
      </w:r>
      <w:r w:rsidRPr="00350596">
        <w:rPr>
          <w:i/>
          <w:iCs/>
        </w:rPr>
        <w:t xml:space="preserve"> &gt; $1,055,000</w:t>
      </w:r>
      <w:r w:rsidR="00402286" w:rsidRPr="00350596">
        <w:rPr>
          <w:i/>
          <w:iCs/>
        </w:rPr>
        <w:t xml:space="preserve"> </w:t>
      </w:r>
    </w:p>
    <w:p w14:paraId="7F934675" w14:textId="43E741B6" w:rsidR="004A550C" w:rsidRPr="00350596" w:rsidRDefault="00FC6D3D" w:rsidP="004A550C">
      <w:pPr>
        <w:pStyle w:val="COMTablefooter"/>
        <w:rPr>
          <w:i/>
          <w:iCs/>
          <w:sz w:val="20"/>
        </w:rPr>
      </w:pPr>
      <w:r w:rsidRPr="00350596">
        <w:rPr>
          <w:i/>
          <w:iCs/>
          <w:vertAlign w:val="superscript"/>
        </w:rPr>
        <w:t>2</w:t>
      </w:r>
      <w:r w:rsidRPr="00350596">
        <w:rPr>
          <w:i/>
          <w:iCs/>
        </w:rPr>
        <w:t xml:space="preserve"> $255,000 to &lt; $355,000</w:t>
      </w:r>
    </w:p>
    <w:p w14:paraId="1BAC1159" w14:textId="352607DA" w:rsidR="00A86E8B" w:rsidRPr="00350596" w:rsidRDefault="00095117" w:rsidP="00BB732D">
      <w:pPr>
        <w:pStyle w:val="COMexecsummnumbered"/>
      </w:pPr>
      <w:r w:rsidRPr="00350596">
        <w:t xml:space="preserve">Based on the economic model, treatment with efgartigimod in combination with standard therapy was associated with an incremental cost per QALY gained of </w:t>
      </w:r>
      <w:r w:rsidR="00C71860" w:rsidRPr="00350596">
        <w:t>$255,000 to &lt; $355,000</w:t>
      </w:r>
      <w:r w:rsidR="00F84E10">
        <w:t xml:space="preserve"> </w:t>
      </w:r>
      <w:r w:rsidRPr="00350596">
        <w:t>compared to chronic IVIg in combination with standard therapy for the treatment of generalised myasthenia gravis.</w:t>
      </w:r>
    </w:p>
    <w:p w14:paraId="2F688B8B" w14:textId="07F1C275" w:rsidR="00095117" w:rsidRPr="00350596" w:rsidRDefault="00095117" w:rsidP="00BB732D">
      <w:pPr>
        <w:pStyle w:val="COMexecsummnumbered"/>
      </w:pPr>
      <w:r w:rsidRPr="00350596">
        <w:t>During the evaluation, it was noted that 96.6% of incremental QALYs and 78.4% of incremental costs in the model are accrued in the extrapolated period beyond 26 weeks.</w:t>
      </w:r>
    </w:p>
    <w:p w14:paraId="7DC24ECE" w14:textId="77777777" w:rsidR="00095117" w:rsidRPr="00350596" w:rsidRDefault="00095117" w:rsidP="00095117">
      <w:pPr>
        <w:pStyle w:val="COMexecsummnumbered"/>
      </w:pPr>
      <w:r w:rsidRPr="00350596">
        <w:t>For every 100 patients treated with efgartigimod versus chronic IVIg and followed up for 33 years, the economic evaluation (based on undiscounted values) estimated that there would be:</w:t>
      </w:r>
    </w:p>
    <w:p w14:paraId="22562083" w14:textId="77777777" w:rsidR="00095117" w:rsidRPr="00350596" w:rsidRDefault="00095117" w:rsidP="003C7551">
      <w:pPr>
        <w:pStyle w:val="COMexecsummbulletlist"/>
        <w:ind w:left="1071" w:hanging="357"/>
      </w:pPr>
      <w:r w:rsidRPr="00350596">
        <w:t xml:space="preserve">Increased time spent with higher functional capacity, with an average of 8.2 years with an MG-ADL score of less than 5. </w:t>
      </w:r>
    </w:p>
    <w:p w14:paraId="5D29F5D0" w14:textId="77777777" w:rsidR="00095117" w:rsidRPr="00350596" w:rsidRDefault="00095117" w:rsidP="003C7551">
      <w:pPr>
        <w:pStyle w:val="COMexecsummbulletlist"/>
        <w:ind w:left="1071" w:hanging="357"/>
      </w:pPr>
      <w:r w:rsidRPr="00350596">
        <w:t>A reduction in clinical events (752 fewer exacerbation events and 7 fewer myasthenic crises events).</w:t>
      </w:r>
    </w:p>
    <w:p w14:paraId="2DC81D8E" w14:textId="77777777" w:rsidR="00095117" w:rsidRPr="00350596" w:rsidRDefault="00095117" w:rsidP="003C7551">
      <w:pPr>
        <w:pStyle w:val="COMexecsummbulletlist"/>
        <w:ind w:left="1071" w:hanging="357"/>
      </w:pPr>
      <w:r w:rsidRPr="00350596">
        <w:lastRenderedPageBreak/>
        <w:t xml:space="preserve">An average increase in life expectancy of 1 year, primarily due to reduced mortality associated with corticosteroids. </w:t>
      </w:r>
    </w:p>
    <w:p w14:paraId="7122A720" w14:textId="6558FCF7" w:rsidR="00095117" w:rsidRPr="00350596" w:rsidRDefault="00095117" w:rsidP="003C7551">
      <w:pPr>
        <w:pStyle w:val="COMexecsummbulletlist"/>
        <w:ind w:left="1071" w:hanging="357"/>
      </w:pPr>
      <w:r w:rsidRPr="00350596">
        <w:t>Additional efgartigimod drug acquisition costs of $</w:t>
      </w:r>
      <w:r w:rsidR="00823FDB" w:rsidRPr="002B16A5">
        <w:rPr>
          <w:color w:val="000000"/>
          <w:w w:val="15"/>
          <w:shd w:val="solid" w:color="000000" w:fill="000000"/>
          <w:fitText w:val="-20" w:id="-691796732"/>
          <w14:textFill>
            <w14:solidFill>
              <w14:srgbClr w14:val="000000">
                <w14:alpha w14:val="100000"/>
              </w14:srgbClr>
            </w14:solidFill>
          </w14:textFill>
        </w:rPr>
        <w:t>|</w:t>
      </w:r>
      <w:r w:rsidR="00D53C72" w:rsidRPr="002B16A5">
        <w:rPr>
          <w:color w:val="000000"/>
          <w:w w:val="15"/>
          <w:shd w:val="solid" w:color="000000" w:fill="000000"/>
          <w:fitText w:val="-20" w:id="-691796732"/>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732"/>
          <w14:textFill>
            <w14:solidFill>
              <w14:srgbClr w14:val="000000">
                <w14:alpha w14:val="100000"/>
              </w14:srgbClr>
            </w14:solidFill>
          </w14:textFill>
        </w:rPr>
        <w:t>|</w:t>
      </w:r>
      <w:r w:rsidRPr="00350596">
        <w:t xml:space="preserve"> million and administration costs of $5.2 million.</w:t>
      </w:r>
    </w:p>
    <w:p w14:paraId="59726EF5" w14:textId="77777777" w:rsidR="00095117" w:rsidRPr="00350596" w:rsidRDefault="00095117" w:rsidP="003C7551">
      <w:pPr>
        <w:pStyle w:val="COMexecsummbulletlist"/>
        <w:ind w:left="1071" w:hanging="357"/>
      </w:pPr>
      <w:r w:rsidRPr="00350596">
        <w:t>A decrease in IVIg drug acquisition costs of $59.7 million and a decrease in administration costs of $10.2 million.</w:t>
      </w:r>
    </w:p>
    <w:p w14:paraId="1617A26B" w14:textId="07A61E4A" w:rsidR="00095117" w:rsidRPr="00350596" w:rsidRDefault="00095117" w:rsidP="003C7551">
      <w:pPr>
        <w:pStyle w:val="COMexecsummbulletlist"/>
        <w:ind w:left="1071" w:hanging="357"/>
      </w:pPr>
      <w:r w:rsidRPr="00350596">
        <w:t xml:space="preserve">A decrease in </w:t>
      </w:r>
      <w:r w:rsidR="00277B1E" w:rsidRPr="00350596">
        <w:t>ex</w:t>
      </w:r>
      <w:r w:rsidR="0011050A" w:rsidRPr="00350596">
        <w:t xml:space="preserve">acerbation </w:t>
      </w:r>
      <w:r w:rsidRPr="00350596">
        <w:t>management costs of $25.5 million.</w:t>
      </w:r>
    </w:p>
    <w:p w14:paraId="5AA52323" w14:textId="7C87C7CD" w:rsidR="00095117" w:rsidRPr="00350596" w:rsidRDefault="00095117" w:rsidP="003C7551">
      <w:pPr>
        <w:pStyle w:val="COMexecsummbulletlist"/>
      </w:pPr>
      <w:r w:rsidRPr="00350596">
        <w:t xml:space="preserve">A decrease in </w:t>
      </w:r>
      <w:r w:rsidR="0011050A" w:rsidRPr="00350596">
        <w:t xml:space="preserve">the costs of </w:t>
      </w:r>
      <w:r w:rsidRPr="00350596">
        <w:t>disease monitoring, management of myasthenic crises and corticosteroid-related complications of $4.1 million.</w:t>
      </w:r>
    </w:p>
    <w:p w14:paraId="67AB7BEB" w14:textId="66C664E9" w:rsidR="00095117" w:rsidRPr="00350596" w:rsidRDefault="002A7234" w:rsidP="002A7234">
      <w:pPr>
        <w:pStyle w:val="COMexecsummnumbered"/>
      </w:pPr>
      <w:r w:rsidRPr="00350596">
        <w:t xml:space="preserve">The results of key sensitivity analyses are summarised in </w:t>
      </w:r>
      <w:r w:rsidR="00165FA3" w:rsidRPr="00350596">
        <w:fldChar w:fldCharType="begin"/>
      </w:r>
      <w:r w:rsidR="00165FA3" w:rsidRPr="00350596">
        <w:instrText xml:space="preserve"> REF _Ref104804865 \h </w:instrText>
      </w:r>
      <w:r w:rsidR="00165FA3" w:rsidRPr="00350596">
        <w:fldChar w:fldCharType="separate"/>
      </w:r>
      <w:r w:rsidR="002B16A5" w:rsidRPr="00350596">
        <w:t xml:space="preserve">Table </w:t>
      </w:r>
      <w:r w:rsidR="002B16A5">
        <w:rPr>
          <w:noProof/>
        </w:rPr>
        <w:t>13</w:t>
      </w:r>
      <w:r w:rsidR="00165FA3" w:rsidRPr="00350596">
        <w:fldChar w:fldCharType="end"/>
      </w:r>
      <w:r w:rsidRPr="00350596">
        <w:t>.</w:t>
      </w:r>
    </w:p>
    <w:p w14:paraId="3A64F4E7" w14:textId="0ED693A2" w:rsidR="00D23D11" w:rsidRPr="00350596" w:rsidRDefault="00E16AD8" w:rsidP="007A3BC9">
      <w:pPr>
        <w:pStyle w:val="COMtablefigcaption"/>
        <w:keepLines/>
      </w:pPr>
      <w:bookmarkStart w:id="56" w:name="_Ref104804865"/>
      <w:r w:rsidRPr="00350596">
        <w:lastRenderedPageBreak/>
        <w:t xml:space="preserve">Table </w:t>
      </w:r>
      <w:r w:rsidR="007579CB" w:rsidRPr="00350596">
        <w:fldChar w:fldCharType="begin"/>
      </w:r>
      <w:r w:rsidR="007579CB" w:rsidRPr="00350596">
        <w:instrText xml:space="preserve"> SEQ Table \* ARABIC </w:instrText>
      </w:r>
      <w:r w:rsidR="007579CB" w:rsidRPr="00350596">
        <w:fldChar w:fldCharType="separate"/>
      </w:r>
      <w:r w:rsidR="002B16A5">
        <w:rPr>
          <w:noProof/>
        </w:rPr>
        <w:t>13</w:t>
      </w:r>
      <w:r w:rsidR="007579CB" w:rsidRPr="00350596">
        <w:fldChar w:fldCharType="end"/>
      </w:r>
      <w:bookmarkEnd w:id="56"/>
      <w:r w:rsidRPr="00350596">
        <w:t>:</w:t>
      </w:r>
      <w:r w:rsidR="00354F64" w:rsidRPr="00350596">
        <w:t xml:space="preserve"> </w:t>
      </w:r>
      <w:r w:rsidR="00D15314" w:rsidRPr="00350596">
        <w:t>Sensitivity analyses</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3: Sensitivity analyses"/>
      </w:tblPr>
      <w:tblGrid>
        <w:gridCol w:w="4714"/>
        <w:gridCol w:w="1058"/>
        <w:gridCol w:w="1050"/>
        <w:gridCol w:w="1167"/>
        <w:gridCol w:w="1040"/>
      </w:tblGrid>
      <w:tr w:rsidR="002A7234" w:rsidRPr="00350596" w14:paraId="4596378C" w14:textId="77777777" w:rsidTr="007959EA">
        <w:trPr>
          <w:tblHeader/>
        </w:trPr>
        <w:tc>
          <w:tcPr>
            <w:tcW w:w="4714" w:type="dxa"/>
            <w:tcMar>
              <w:top w:w="0" w:type="dxa"/>
              <w:left w:w="28" w:type="dxa"/>
              <w:bottom w:w="0" w:type="dxa"/>
              <w:right w:w="28" w:type="dxa"/>
            </w:tcMar>
            <w:vAlign w:val="center"/>
            <w:hideMark/>
          </w:tcPr>
          <w:p w14:paraId="244C61C7" w14:textId="77777777" w:rsidR="002A7234" w:rsidRPr="00350596" w:rsidRDefault="002A7234" w:rsidP="007A3BC9">
            <w:pPr>
              <w:pStyle w:val="COMTableheadingrow"/>
              <w:keepLines/>
              <w:rPr>
                <w:lang w:val="en-AU"/>
              </w:rPr>
            </w:pPr>
            <w:r w:rsidRPr="00350596">
              <w:rPr>
                <w:lang w:val="en-AU"/>
              </w:rPr>
              <w:t>Analysis</w:t>
            </w:r>
          </w:p>
        </w:tc>
        <w:tc>
          <w:tcPr>
            <w:tcW w:w="1058" w:type="dxa"/>
            <w:tcMar>
              <w:top w:w="0" w:type="dxa"/>
              <w:left w:w="28" w:type="dxa"/>
              <w:bottom w:w="0" w:type="dxa"/>
              <w:right w:w="28" w:type="dxa"/>
            </w:tcMar>
            <w:vAlign w:val="center"/>
            <w:hideMark/>
          </w:tcPr>
          <w:p w14:paraId="214FCBEA" w14:textId="7E3D4089" w:rsidR="002A7234" w:rsidRPr="00350596" w:rsidRDefault="002A7234" w:rsidP="007A3BC9">
            <w:pPr>
              <w:pStyle w:val="COMTableheadingrow"/>
              <w:keepLines/>
              <w:jc w:val="center"/>
              <w:rPr>
                <w:lang w:val="en-AU"/>
              </w:rPr>
            </w:pPr>
            <w:r w:rsidRPr="00350596">
              <w:rPr>
                <w:lang w:val="en-AU"/>
              </w:rPr>
              <w:t>Incremental cost</w:t>
            </w:r>
            <w:r w:rsidR="00B677B8" w:rsidRPr="00350596">
              <w:rPr>
                <w:lang w:val="en-AU"/>
              </w:rPr>
              <w:t xml:space="preserve"> ($)</w:t>
            </w:r>
          </w:p>
        </w:tc>
        <w:tc>
          <w:tcPr>
            <w:tcW w:w="1050" w:type="dxa"/>
            <w:tcMar>
              <w:top w:w="0" w:type="dxa"/>
              <w:left w:w="28" w:type="dxa"/>
              <w:bottom w:w="0" w:type="dxa"/>
              <w:right w:w="28" w:type="dxa"/>
            </w:tcMar>
            <w:vAlign w:val="center"/>
            <w:hideMark/>
          </w:tcPr>
          <w:p w14:paraId="0D4E8177" w14:textId="77777777" w:rsidR="002A7234" w:rsidRPr="00350596" w:rsidRDefault="002A7234" w:rsidP="007A3BC9">
            <w:pPr>
              <w:pStyle w:val="COMTableheadingrow"/>
              <w:keepLines/>
              <w:jc w:val="center"/>
              <w:rPr>
                <w:lang w:val="en-AU"/>
              </w:rPr>
            </w:pPr>
            <w:r w:rsidRPr="00350596">
              <w:rPr>
                <w:lang w:val="en-AU"/>
              </w:rPr>
              <w:t>Incremental QALY</w:t>
            </w:r>
          </w:p>
        </w:tc>
        <w:tc>
          <w:tcPr>
            <w:tcW w:w="1167" w:type="dxa"/>
            <w:tcMar>
              <w:top w:w="0" w:type="dxa"/>
              <w:left w:w="28" w:type="dxa"/>
              <w:bottom w:w="0" w:type="dxa"/>
              <w:right w:w="28" w:type="dxa"/>
            </w:tcMar>
            <w:vAlign w:val="center"/>
            <w:hideMark/>
          </w:tcPr>
          <w:p w14:paraId="17C96137" w14:textId="77777777" w:rsidR="002A7234" w:rsidRPr="00350596" w:rsidRDefault="002A7234" w:rsidP="007A3BC9">
            <w:pPr>
              <w:pStyle w:val="COMTableheadingrow"/>
              <w:keepLines/>
              <w:jc w:val="center"/>
              <w:rPr>
                <w:lang w:val="en-AU"/>
              </w:rPr>
            </w:pPr>
            <w:r w:rsidRPr="00350596">
              <w:rPr>
                <w:lang w:val="en-AU"/>
              </w:rPr>
              <w:t>ICER</w:t>
            </w:r>
          </w:p>
        </w:tc>
        <w:tc>
          <w:tcPr>
            <w:tcW w:w="1040" w:type="dxa"/>
            <w:tcMar>
              <w:left w:w="28" w:type="dxa"/>
              <w:right w:w="28" w:type="dxa"/>
            </w:tcMar>
            <w:vAlign w:val="center"/>
          </w:tcPr>
          <w:p w14:paraId="23A32A30" w14:textId="77777777" w:rsidR="002A7234" w:rsidRPr="00350596" w:rsidRDefault="002A7234" w:rsidP="007A3BC9">
            <w:pPr>
              <w:pStyle w:val="COMTableheadingrow"/>
              <w:keepLines/>
              <w:jc w:val="center"/>
              <w:rPr>
                <w:lang w:val="en-AU"/>
              </w:rPr>
            </w:pPr>
            <w:r w:rsidRPr="00350596">
              <w:rPr>
                <w:lang w:val="en-AU"/>
              </w:rPr>
              <w:t>Change from base case ICER</w:t>
            </w:r>
          </w:p>
        </w:tc>
      </w:tr>
      <w:tr w:rsidR="002A7234" w:rsidRPr="00350596" w14:paraId="62AB9763" w14:textId="77777777" w:rsidTr="007959EA">
        <w:trPr>
          <w:tblHeader/>
        </w:trPr>
        <w:tc>
          <w:tcPr>
            <w:tcW w:w="4714" w:type="dxa"/>
            <w:tcMar>
              <w:top w:w="0" w:type="dxa"/>
              <w:left w:w="28" w:type="dxa"/>
              <w:bottom w:w="0" w:type="dxa"/>
              <w:right w:w="28" w:type="dxa"/>
            </w:tcMar>
            <w:vAlign w:val="center"/>
            <w:hideMark/>
          </w:tcPr>
          <w:p w14:paraId="2EDDD3F8" w14:textId="77777777" w:rsidR="002A7234" w:rsidRPr="00350596" w:rsidRDefault="002A7234" w:rsidP="007A3BC9">
            <w:pPr>
              <w:pStyle w:val="COMTabletext"/>
              <w:keepLines/>
              <w:rPr>
                <w:b/>
                <w:bCs w:val="0"/>
              </w:rPr>
            </w:pPr>
            <w:r w:rsidRPr="00350596">
              <w:rPr>
                <w:b/>
                <w:bCs w:val="0"/>
              </w:rPr>
              <w:t>Base case</w:t>
            </w:r>
          </w:p>
        </w:tc>
        <w:tc>
          <w:tcPr>
            <w:tcW w:w="1058" w:type="dxa"/>
            <w:tcMar>
              <w:top w:w="0" w:type="dxa"/>
              <w:left w:w="28" w:type="dxa"/>
              <w:bottom w:w="0" w:type="dxa"/>
              <w:right w:w="28" w:type="dxa"/>
            </w:tcMar>
            <w:vAlign w:val="center"/>
          </w:tcPr>
          <w:p w14:paraId="0F19B055" w14:textId="68617F06" w:rsidR="002A7234" w:rsidRPr="00350596" w:rsidRDefault="00823FDB" w:rsidP="007A3BC9">
            <w:pPr>
              <w:pStyle w:val="COMTabletext"/>
              <w:keepLines/>
              <w:jc w:val="center"/>
              <w:rPr>
                <w:b/>
                <w:bCs w:val="0"/>
              </w:rPr>
            </w:pPr>
            <w:r w:rsidRPr="00823FDB">
              <w:rPr>
                <w:rFonts w:hint="eastAsia"/>
                <w:b/>
                <w:bCs w:val="0"/>
                <w:color w:val="000000"/>
                <w:w w:val="19"/>
                <w:shd w:val="solid" w:color="000000" w:fill="000000"/>
                <w:fitText w:val="88" w:id="-691796731"/>
                <w14:textFill>
                  <w14:solidFill>
                    <w14:srgbClr w14:val="000000">
                      <w14:alpha w14:val="100000"/>
                    </w14:srgbClr>
                  </w14:solidFill>
                </w14:textFill>
              </w:rPr>
              <w:t xml:space="preserve">　</w:t>
            </w:r>
            <w:r w:rsidRPr="00823FDB">
              <w:rPr>
                <w:b/>
                <w:bCs w:val="0"/>
                <w:color w:val="000000"/>
                <w:w w:val="19"/>
                <w:shd w:val="solid" w:color="000000" w:fill="000000"/>
                <w:fitText w:val="88" w:id="-691796731"/>
                <w14:textFill>
                  <w14:solidFill>
                    <w14:srgbClr w14:val="000000">
                      <w14:alpha w14:val="100000"/>
                    </w14:srgbClr>
                  </w14:solidFill>
                </w14:textFill>
              </w:rPr>
              <w:t>|</w:t>
            </w:r>
            <w:r w:rsidRPr="00823FDB">
              <w:rPr>
                <w:rFonts w:hint="eastAsia"/>
                <w:b/>
                <w:bCs w:val="0"/>
                <w:color w:val="000000"/>
                <w:spacing w:val="4"/>
                <w:w w:val="19"/>
                <w:shd w:val="solid" w:color="000000" w:fill="000000"/>
                <w:fitText w:val="88" w:id="-691796731"/>
                <w14:textFill>
                  <w14:solidFill>
                    <w14:srgbClr w14:val="000000">
                      <w14:alpha w14:val="100000"/>
                    </w14:srgbClr>
                  </w14:solidFill>
                </w14:textFill>
              </w:rPr>
              <w:t xml:space="preserve">　</w:t>
            </w:r>
            <w:r w:rsidR="008E5851">
              <w:rPr>
                <w:b/>
                <w:bCs w:val="0"/>
              </w:rPr>
              <w:t xml:space="preserve"> </w:t>
            </w:r>
          </w:p>
        </w:tc>
        <w:tc>
          <w:tcPr>
            <w:tcW w:w="1050" w:type="dxa"/>
            <w:tcMar>
              <w:top w:w="0" w:type="dxa"/>
              <w:left w:w="28" w:type="dxa"/>
              <w:bottom w:w="0" w:type="dxa"/>
              <w:right w:w="28" w:type="dxa"/>
            </w:tcMar>
            <w:vAlign w:val="center"/>
          </w:tcPr>
          <w:p w14:paraId="678E5B2F" w14:textId="77777777" w:rsidR="002A7234" w:rsidRPr="00350596" w:rsidRDefault="002A7234" w:rsidP="007A3BC9">
            <w:pPr>
              <w:pStyle w:val="COMTabletext"/>
              <w:keepLines/>
              <w:jc w:val="center"/>
              <w:rPr>
                <w:b/>
                <w:bCs w:val="0"/>
              </w:rPr>
            </w:pPr>
            <w:r w:rsidRPr="00350596">
              <w:rPr>
                <w:b/>
                <w:bCs w:val="0"/>
              </w:rPr>
              <w:t>2.3879</w:t>
            </w:r>
          </w:p>
        </w:tc>
        <w:tc>
          <w:tcPr>
            <w:tcW w:w="1167" w:type="dxa"/>
            <w:tcMar>
              <w:top w:w="0" w:type="dxa"/>
              <w:left w:w="28" w:type="dxa"/>
              <w:bottom w:w="0" w:type="dxa"/>
              <w:right w:w="28" w:type="dxa"/>
            </w:tcMar>
            <w:vAlign w:val="center"/>
          </w:tcPr>
          <w:p w14:paraId="5B4CFDA7" w14:textId="12376A04" w:rsidR="002A7234" w:rsidRPr="00350596" w:rsidRDefault="00823FDB" w:rsidP="007A3BC9">
            <w:pPr>
              <w:pStyle w:val="COMTabletext"/>
              <w:keepLines/>
              <w:jc w:val="center"/>
              <w:rPr>
                <w:b/>
                <w:bCs w:val="0"/>
              </w:rPr>
            </w:pPr>
            <w:r w:rsidRPr="00823FDB">
              <w:rPr>
                <w:rFonts w:hint="eastAsia"/>
                <w:b/>
                <w:bCs w:val="0"/>
                <w:color w:val="000000"/>
                <w:w w:val="15"/>
                <w:shd w:val="solid" w:color="000000" w:fill="000000"/>
                <w:fitText w:val="62" w:id="-691796730"/>
                <w14:textFill>
                  <w14:solidFill>
                    <w14:srgbClr w14:val="000000">
                      <w14:alpha w14:val="100000"/>
                    </w14:srgbClr>
                  </w14:solidFill>
                </w14:textFill>
              </w:rPr>
              <w:t xml:space="preserve">　</w:t>
            </w:r>
            <w:r w:rsidRPr="00823FDB">
              <w:rPr>
                <w:b/>
                <w:bCs w:val="0"/>
                <w:color w:val="000000"/>
                <w:w w:val="15"/>
                <w:shd w:val="solid" w:color="000000" w:fill="000000"/>
                <w:fitText w:val="62" w:id="-691796730"/>
                <w14:textFill>
                  <w14:solidFill>
                    <w14:srgbClr w14:val="000000">
                      <w14:alpha w14:val="100000"/>
                    </w14:srgbClr>
                  </w14:solidFill>
                </w14:textFill>
              </w:rPr>
              <w:t>|</w:t>
            </w:r>
            <w:r w:rsidRPr="00823FDB">
              <w:rPr>
                <w:rFonts w:hint="eastAsia"/>
                <w:b/>
                <w:bCs w:val="0"/>
                <w:color w:val="000000"/>
                <w:spacing w:val="-4"/>
                <w:w w:val="15"/>
                <w:shd w:val="solid" w:color="000000" w:fill="000000"/>
                <w:fitText w:val="62" w:id="-691796730"/>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33ABD8DE" w14:textId="77777777" w:rsidR="002A7234" w:rsidRPr="00350596" w:rsidRDefault="002A7234" w:rsidP="007A3BC9">
            <w:pPr>
              <w:pStyle w:val="COMTabletext"/>
              <w:keepLines/>
              <w:jc w:val="center"/>
            </w:pPr>
            <w:r w:rsidRPr="00350596">
              <w:t>-</w:t>
            </w:r>
          </w:p>
        </w:tc>
      </w:tr>
      <w:tr w:rsidR="002A7234" w:rsidRPr="00350596" w14:paraId="6037F4B4" w14:textId="77777777" w:rsidTr="007959EA">
        <w:tc>
          <w:tcPr>
            <w:tcW w:w="9029" w:type="dxa"/>
            <w:gridSpan w:val="5"/>
            <w:tcMar>
              <w:top w:w="0" w:type="dxa"/>
              <w:left w:w="28" w:type="dxa"/>
              <w:bottom w:w="0" w:type="dxa"/>
              <w:right w:w="28" w:type="dxa"/>
            </w:tcMar>
            <w:vAlign w:val="center"/>
          </w:tcPr>
          <w:p w14:paraId="6BDB8987" w14:textId="65C045F7" w:rsidR="002A7234" w:rsidRPr="00350596" w:rsidRDefault="002A7234" w:rsidP="007A3BC9">
            <w:pPr>
              <w:pStyle w:val="COMTableheadingrow"/>
              <w:keepLines/>
              <w:rPr>
                <w:vertAlign w:val="superscript"/>
                <w:lang w:val="en-AU"/>
              </w:rPr>
            </w:pPr>
            <w:r w:rsidRPr="00350596">
              <w:rPr>
                <w:lang w:val="en-AU"/>
              </w:rPr>
              <w:t>Adverse event disutilities (base case not included)</w:t>
            </w:r>
            <w:r w:rsidR="00E45AC2" w:rsidRPr="00350596">
              <w:rPr>
                <w:lang w:val="en-AU"/>
              </w:rPr>
              <w:t xml:space="preserve"> </w:t>
            </w:r>
            <w:r w:rsidR="00E45AC2" w:rsidRPr="00350596">
              <w:rPr>
                <w:vertAlign w:val="superscript"/>
                <w:lang w:val="en-AU"/>
              </w:rPr>
              <w:t>a</w:t>
            </w:r>
          </w:p>
        </w:tc>
      </w:tr>
      <w:tr w:rsidR="002A7234" w:rsidRPr="00350596" w14:paraId="2423E985" w14:textId="77777777" w:rsidTr="007959EA">
        <w:tc>
          <w:tcPr>
            <w:tcW w:w="4714" w:type="dxa"/>
            <w:tcMar>
              <w:top w:w="0" w:type="dxa"/>
              <w:left w:w="28" w:type="dxa"/>
              <w:bottom w:w="0" w:type="dxa"/>
              <w:right w:w="28" w:type="dxa"/>
            </w:tcMar>
            <w:vAlign w:val="center"/>
          </w:tcPr>
          <w:p w14:paraId="5DB3968C" w14:textId="77777777" w:rsidR="002A7234" w:rsidRPr="00350596" w:rsidRDefault="002A7234" w:rsidP="007A3BC9">
            <w:pPr>
              <w:pStyle w:val="Tabletext0"/>
              <w:keepNext/>
              <w:keepLines/>
            </w:pPr>
            <w:r w:rsidRPr="00350596">
              <w:t>Include adverse event disutilities</w:t>
            </w:r>
          </w:p>
        </w:tc>
        <w:tc>
          <w:tcPr>
            <w:tcW w:w="1058" w:type="dxa"/>
            <w:tcMar>
              <w:top w:w="0" w:type="dxa"/>
              <w:left w:w="28" w:type="dxa"/>
              <w:bottom w:w="0" w:type="dxa"/>
              <w:right w:w="28" w:type="dxa"/>
            </w:tcMar>
            <w:vAlign w:val="center"/>
          </w:tcPr>
          <w:p w14:paraId="4DA36E0C" w14:textId="483ACF20" w:rsidR="002A7234" w:rsidRPr="00350596" w:rsidRDefault="00823FDB" w:rsidP="007A3BC9">
            <w:pPr>
              <w:pStyle w:val="Tabletext0"/>
              <w:keepNext/>
              <w:keepLines/>
              <w:jc w:val="center"/>
            </w:pPr>
            <w:r w:rsidRPr="00823FDB">
              <w:rPr>
                <w:rFonts w:hint="eastAsia"/>
                <w:color w:val="000000"/>
                <w:w w:val="15"/>
                <w:shd w:val="solid" w:color="000000" w:fill="000000"/>
                <w:fitText w:val="37" w:id="-691796729"/>
                <w14:textFill>
                  <w14:solidFill>
                    <w14:srgbClr w14:val="000000">
                      <w14:alpha w14:val="100000"/>
                    </w14:srgbClr>
                  </w14:solidFill>
                </w14:textFill>
              </w:rPr>
              <w:t xml:space="preserve">　</w:t>
            </w:r>
            <w:r w:rsidRPr="00823FDB">
              <w:rPr>
                <w:color w:val="000000"/>
                <w:w w:val="15"/>
                <w:shd w:val="solid" w:color="000000" w:fill="000000"/>
                <w:fitText w:val="37" w:id="-691796729"/>
                <w14:textFill>
                  <w14:solidFill>
                    <w14:srgbClr w14:val="000000">
                      <w14:alpha w14:val="100000"/>
                    </w14:srgbClr>
                  </w14:solidFill>
                </w14:textFill>
              </w:rPr>
              <w:t>|</w:t>
            </w:r>
            <w:r w:rsidRPr="00823FDB">
              <w:rPr>
                <w:rFonts w:hint="eastAsia"/>
                <w:color w:val="000000"/>
                <w:spacing w:val="-28"/>
                <w:w w:val="15"/>
                <w:shd w:val="solid" w:color="000000" w:fill="000000"/>
                <w:fitText w:val="37" w:id="-691796729"/>
                <w14:textFill>
                  <w14:solidFill>
                    <w14:srgbClr w14:val="000000">
                      <w14:alpha w14:val="100000"/>
                    </w14:srgbClr>
                  </w14:solidFill>
                </w14:textFill>
              </w:rPr>
              <w:t xml:space="preserve">　</w:t>
            </w:r>
            <w:r w:rsidR="008E5851">
              <w:t xml:space="preserve"> </w:t>
            </w:r>
          </w:p>
        </w:tc>
        <w:tc>
          <w:tcPr>
            <w:tcW w:w="1050" w:type="dxa"/>
            <w:tcMar>
              <w:top w:w="0" w:type="dxa"/>
              <w:left w:w="28" w:type="dxa"/>
              <w:bottom w:w="0" w:type="dxa"/>
              <w:right w:w="28" w:type="dxa"/>
            </w:tcMar>
            <w:vAlign w:val="center"/>
          </w:tcPr>
          <w:p w14:paraId="11C19F80" w14:textId="77777777" w:rsidR="002A7234" w:rsidRPr="00350596" w:rsidRDefault="002A7234" w:rsidP="007A3BC9">
            <w:pPr>
              <w:pStyle w:val="Tabletext0"/>
              <w:keepNext/>
              <w:keepLines/>
              <w:jc w:val="center"/>
            </w:pPr>
            <w:r w:rsidRPr="00350596">
              <w:t>2.3872</w:t>
            </w:r>
          </w:p>
        </w:tc>
        <w:tc>
          <w:tcPr>
            <w:tcW w:w="1167" w:type="dxa"/>
            <w:tcMar>
              <w:top w:w="0" w:type="dxa"/>
              <w:left w:w="28" w:type="dxa"/>
              <w:bottom w:w="0" w:type="dxa"/>
              <w:right w:w="28" w:type="dxa"/>
            </w:tcMar>
            <w:vAlign w:val="center"/>
          </w:tcPr>
          <w:p w14:paraId="4C109C82" w14:textId="18B0D0C9" w:rsidR="002A7234" w:rsidRPr="00350596" w:rsidRDefault="00823FDB" w:rsidP="007A3BC9">
            <w:pPr>
              <w:pStyle w:val="Tabletext0"/>
              <w:keepNext/>
              <w:keepLines/>
              <w:jc w:val="center"/>
            </w:pPr>
            <w:r w:rsidRPr="002B16A5">
              <w:rPr>
                <w:rFonts w:hint="eastAsia"/>
                <w:color w:val="000000"/>
                <w:w w:val="15"/>
                <w:shd w:val="solid" w:color="000000" w:fill="000000"/>
                <w:fitText w:val="12" w:id="-691796728"/>
                <w14:textFill>
                  <w14:solidFill>
                    <w14:srgbClr w14:val="000000">
                      <w14:alpha w14:val="100000"/>
                    </w14:srgbClr>
                  </w14:solidFill>
                </w14:textFill>
              </w:rPr>
              <w:t xml:space="preserve">　</w:t>
            </w:r>
            <w:r w:rsidRPr="002B16A5">
              <w:rPr>
                <w:color w:val="000000"/>
                <w:w w:val="15"/>
                <w:shd w:val="solid" w:color="000000" w:fill="000000"/>
                <w:fitText w:val="12" w:id="-691796728"/>
                <w14:textFill>
                  <w14:solidFill>
                    <w14:srgbClr w14:val="000000">
                      <w14:alpha w14:val="100000"/>
                    </w14:srgbClr>
                  </w14:solidFill>
                </w14:textFill>
              </w:rPr>
              <w:t>|</w:t>
            </w:r>
            <w:r w:rsidRPr="002B16A5">
              <w:rPr>
                <w:rFonts w:hint="eastAsia"/>
                <w:color w:val="000000"/>
                <w:spacing w:val="-54"/>
                <w:w w:val="15"/>
                <w:shd w:val="solid" w:color="000000" w:fill="000000"/>
                <w:fitText w:val="12" w:id="-691796728"/>
                <w14:textFill>
                  <w14:solidFill>
                    <w14:srgbClr w14:val="000000">
                      <w14:alpha w14:val="100000"/>
                    </w14:srgbClr>
                  </w14:solidFill>
                </w14:textFill>
              </w:rPr>
              <w:t xml:space="preserve">　</w:t>
            </w:r>
            <w:r w:rsidR="00F61FE8" w:rsidRPr="00350596">
              <w:rPr>
                <w:b/>
                <w:bCs/>
                <w:vertAlign w:val="superscript"/>
              </w:rPr>
              <w:t>1</w:t>
            </w:r>
          </w:p>
        </w:tc>
        <w:tc>
          <w:tcPr>
            <w:tcW w:w="1040" w:type="dxa"/>
            <w:tcMar>
              <w:left w:w="28" w:type="dxa"/>
              <w:right w:w="28" w:type="dxa"/>
            </w:tcMar>
            <w:vAlign w:val="center"/>
          </w:tcPr>
          <w:p w14:paraId="34510B1B" w14:textId="1E80C683" w:rsidR="002A7234" w:rsidRPr="00350596" w:rsidRDefault="00823FDB" w:rsidP="007A3BC9">
            <w:pPr>
              <w:pStyle w:val="Tabletext0"/>
              <w:keepNext/>
              <w:keepLines/>
              <w:jc w:val="center"/>
            </w:pPr>
            <w:r w:rsidRPr="00823FDB">
              <w:rPr>
                <w:rFonts w:hint="eastAsia"/>
                <w:color w:val="000000"/>
                <w:w w:val="28"/>
                <w:shd w:val="solid" w:color="000000" w:fill="000000"/>
                <w:fitText w:val="125" w:id="-691796727"/>
                <w14:textFill>
                  <w14:solidFill>
                    <w14:srgbClr w14:val="000000">
                      <w14:alpha w14:val="100000"/>
                    </w14:srgbClr>
                  </w14:solidFill>
                </w14:textFill>
              </w:rPr>
              <w:t xml:space="preserve">　</w:t>
            </w:r>
            <w:r w:rsidRPr="00823FDB">
              <w:rPr>
                <w:color w:val="000000"/>
                <w:w w:val="28"/>
                <w:shd w:val="solid" w:color="000000" w:fill="000000"/>
                <w:fitText w:val="125" w:id="-691796727"/>
                <w14:textFill>
                  <w14:solidFill>
                    <w14:srgbClr w14:val="000000">
                      <w14:alpha w14:val="100000"/>
                    </w14:srgbClr>
                  </w14:solidFill>
                </w14:textFill>
              </w:rPr>
              <w:t>|</w:t>
            </w:r>
            <w:r w:rsidRPr="00823FDB">
              <w:rPr>
                <w:rFonts w:hint="eastAsia"/>
                <w:color w:val="000000"/>
                <w:spacing w:val="3"/>
                <w:w w:val="28"/>
                <w:shd w:val="solid" w:color="000000" w:fill="000000"/>
                <w:fitText w:val="125" w:id="-691796727"/>
                <w14:textFill>
                  <w14:solidFill>
                    <w14:srgbClr w14:val="000000">
                      <w14:alpha w14:val="100000"/>
                    </w14:srgbClr>
                  </w14:solidFill>
                </w14:textFill>
              </w:rPr>
              <w:t xml:space="preserve">　</w:t>
            </w:r>
            <w:r w:rsidR="002A7234" w:rsidRPr="00350596">
              <w:t>%</w:t>
            </w:r>
          </w:p>
        </w:tc>
      </w:tr>
      <w:tr w:rsidR="002A7234" w:rsidRPr="00350596" w14:paraId="0B8C841B" w14:textId="77777777" w:rsidTr="007959EA">
        <w:tc>
          <w:tcPr>
            <w:tcW w:w="9029" w:type="dxa"/>
            <w:gridSpan w:val="5"/>
            <w:tcMar>
              <w:top w:w="0" w:type="dxa"/>
              <w:left w:w="28" w:type="dxa"/>
              <w:bottom w:w="0" w:type="dxa"/>
              <w:right w:w="28" w:type="dxa"/>
            </w:tcMar>
            <w:vAlign w:val="center"/>
            <w:hideMark/>
          </w:tcPr>
          <w:p w14:paraId="10C25D93" w14:textId="77777777" w:rsidR="002A7234" w:rsidRPr="00350596" w:rsidRDefault="002A7234" w:rsidP="007A3BC9">
            <w:pPr>
              <w:pStyle w:val="Tabletext0"/>
              <w:keepNext/>
              <w:keepLines/>
              <w:jc w:val="both"/>
              <w:rPr>
                <w:szCs w:val="20"/>
              </w:rPr>
            </w:pPr>
            <w:r w:rsidRPr="00350596">
              <w:rPr>
                <w:b/>
                <w:bCs/>
                <w:szCs w:val="20"/>
              </w:rPr>
              <w:t>Discount rate (base case 5% for benefits and costs)</w:t>
            </w:r>
          </w:p>
        </w:tc>
      </w:tr>
      <w:tr w:rsidR="002A7234" w:rsidRPr="00350596" w14:paraId="38D5F9AF" w14:textId="77777777" w:rsidTr="007959EA">
        <w:tc>
          <w:tcPr>
            <w:tcW w:w="4714" w:type="dxa"/>
            <w:tcMar>
              <w:top w:w="0" w:type="dxa"/>
              <w:left w:w="28" w:type="dxa"/>
              <w:bottom w:w="0" w:type="dxa"/>
              <w:right w:w="28" w:type="dxa"/>
            </w:tcMar>
            <w:vAlign w:val="center"/>
          </w:tcPr>
          <w:p w14:paraId="28B4C006" w14:textId="77777777" w:rsidR="002A7234" w:rsidRPr="00350596" w:rsidRDefault="002A7234" w:rsidP="007A3BC9">
            <w:pPr>
              <w:pStyle w:val="COMTabletext"/>
              <w:keepLines/>
            </w:pPr>
            <w:r w:rsidRPr="00350596">
              <w:t>3.5% discount rate</w:t>
            </w:r>
          </w:p>
        </w:tc>
        <w:tc>
          <w:tcPr>
            <w:tcW w:w="1058" w:type="dxa"/>
            <w:tcMar>
              <w:top w:w="0" w:type="dxa"/>
              <w:left w:w="28" w:type="dxa"/>
              <w:bottom w:w="0" w:type="dxa"/>
              <w:right w:w="28" w:type="dxa"/>
            </w:tcMar>
            <w:vAlign w:val="center"/>
          </w:tcPr>
          <w:p w14:paraId="39377335" w14:textId="55D33CE5" w:rsidR="002A7234" w:rsidRPr="00350596" w:rsidRDefault="00823FDB" w:rsidP="007A3BC9">
            <w:pPr>
              <w:pStyle w:val="COMTabletext"/>
              <w:keepLines/>
              <w:jc w:val="center"/>
              <w:rPr>
                <w:highlight w:val="darkGray"/>
              </w:rPr>
            </w:pPr>
            <w:r w:rsidRPr="00823FDB">
              <w:rPr>
                <w:rFonts w:cs="Calibri" w:hint="eastAsia"/>
                <w:color w:val="000000"/>
                <w:w w:val="15"/>
                <w:szCs w:val="20"/>
                <w:shd w:val="solid" w:color="000000" w:fill="000000"/>
                <w:fitText w:val="37" w:id="-691796726"/>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726"/>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726"/>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1F4B879B" w14:textId="77777777" w:rsidR="002A7234" w:rsidRPr="00350596" w:rsidRDefault="002A7234" w:rsidP="007A3BC9">
            <w:pPr>
              <w:pStyle w:val="COMTabletext"/>
              <w:keepLines/>
              <w:jc w:val="center"/>
            </w:pPr>
            <w:r w:rsidRPr="00350596">
              <w:rPr>
                <w:rFonts w:cs="Calibri"/>
                <w:color w:val="000000"/>
                <w:szCs w:val="20"/>
              </w:rPr>
              <w:t>2.7782</w:t>
            </w:r>
          </w:p>
        </w:tc>
        <w:tc>
          <w:tcPr>
            <w:tcW w:w="1167" w:type="dxa"/>
            <w:tcMar>
              <w:top w:w="0" w:type="dxa"/>
              <w:left w:w="28" w:type="dxa"/>
              <w:bottom w:w="0" w:type="dxa"/>
              <w:right w:w="28" w:type="dxa"/>
            </w:tcMar>
            <w:vAlign w:val="center"/>
          </w:tcPr>
          <w:p w14:paraId="2F9E067F" w14:textId="5931740F" w:rsidR="002A7234" w:rsidRPr="00350596" w:rsidRDefault="00823FDB" w:rsidP="007A3BC9">
            <w:pPr>
              <w:pStyle w:val="COMTabletext"/>
              <w:keepLines/>
              <w:jc w:val="center"/>
              <w:rPr>
                <w:highlight w:val="darkGray"/>
              </w:rPr>
            </w:pPr>
            <w:r w:rsidRPr="002B16A5">
              <w:rPr>
                <w:rFonts w:cs="Calibri" w:hint="eastAsia"/>
                <w:color w:val="000000"/>
                <w:w w:val="15"/>
                <w:szCs w:val="20"/>
                <w:shd w:val="solid" w:color="000000" w:fill="000000"/>
                <w:fitText w:val="12" w:id="-691796725"/>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725"/>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725"/>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5C6C1106" w14:textId="690256D5" w:rsidR="002A7234" w:rsidRPr="00350596" w:rsidRDefault="002A7234" w:rsidP="007A3BC9">
            <w:pPr>
              <w:pStyle w:val="COMTabletext"/>
              <w:keepLines/>
              <w:jc w:val="center"/>
            </w:pPr>
            <w:r w:rsidRPr="00350596">
              <w:rPr>
                <w:rFonts w:cs="Calibri"/>
                <w:color w:val="000000"/>
                <w:szCs w:val="20"/>
              </w:rPr>
              <w:t>-</w:t>
            </w:r>
            <w:r w:rsidR="00823FDB" w:rsidRPr="00823FDB">
              <w:rPr>
                <w:rFonts w:cs="Calibri" w:hint="eastAsia"/>
                <w:color w:val="000000"/>
                <w:w w:val="33"/>
                <w:szCs w:val="20"/>
                <w:shd w:val="solid" w:color="000000" w:fill="000000"/>
                <w:fitText w:val="150" w:id="-691796724"/>
                <w14:textFill>
                  <w14:solidFill>
                    <w14:srgbClr w14:val="000000">
                      <w14:alpha w14:val="100000"/>
                    </w14:srgbClr>
                  </w14:solidFill>
                </w14:textFill>
              </w:rPr>
              <w:t xml:space="preserve">　</w:t>
            </w:r>
            <w:r w:rsidR="00823FDB" w:rsidRPr="00823FDB">
              <w:rPr>
                <w:rFonts w:cs="Calibri"/>
                <w:color w:val="000000"/>
                <w:w w:val="33"/>
                <w:szCs w:val="20"/>
                <w:shd w:val="solid" w:color="000000" w:fill="000000"/>
                <w:fitText w:val="150" w:id="-691796724"/>
                <w14:textFill>
                  <w14:solidFill>
                    <w14:srgbClr w14:val="000000">
                      <w14:alpha w14:val="100000"/>
                    </w14:srgbClr>
                  </w14:solidFill>
                </w14:textFill>
              </w:rPr>
              <w:t>|</w:t>
            </w:r>
            <w:r w:rsidR="00823FDB" w:rsidRPr="00823FDB">
              <w:rPr>
                <w:rFonts w:cs="Calibri" w:hint="eastAsia"/>
                <w:color w:val="000000"/>
                <w:w w:val="33"/>
                <w:szCs w:val="20"/>
                <w:shd w:val="solid" w:color="000000" w:fill="000000"/>
                <w:fitText w:val="150" w:id="-691796724"/>
                <w14:textFill>
                  <w14:solidFill>
                    <w14:srgbClr w14:val="000000">
                      <w14:alpha w14:val="100000"/>
                    </w14:srgbClr>
                  </w14:solidFill>
                </w14:textFill>
              </w:rPr>
              <w:t xml:space="preserve">　</w:t>
            </w:r>
            <w:r w:rsidRPr="00350596">
              <w:rPr>
                <w:rFonts w:cs="Calibri"/>
                <w:color w:val="000000"/>
                <w:szCs w:val="20"/>
              </w:rPr>
              <w:t>%</w:t>
            </w:r>
          </w:p>
        </w:tc>
      </w:tr>
      <w:tr w:rsidR="002A7234" w:rsidRPr="00350596" w14:paraId="699717D6" w14:textId="77777777" w:rsidTr="007959EA">
        <w:tc>
          <w:tcPr>
            <w:tcW w:w="4714" w:type="dxa"/>
            <w:tcMar>
              <w:top w:w="0" w:type="dxa"/>
              <w:left w:w="28" w:type="dxa"/>
              <w:bottom w:w="0" w:type="dxa"/>
              <w:right w:w="28" w:type="dxa"/>
            </w:tcMar>
            <w:vAlign w:val="center"/>
            <w:hideMark/>
          </w:tcPr>
          <w:p w14:paraId="03D874A3" w14:textId="77777777" w:rsidR="002A7234" w:rsidRPr="00350596" w:rsidRDefault="002A7234" w:rsidP="007A3BC9">
            <w:pPr>
              <w:pStyle w:val="COMTabletext"/>
              <w:keepLines/>
            </w:pPr>
            <w:r w:rsidRPr="00350596">
              <w:t>0% discount rate</w:t>
            </w:r>
          </w:p>
        </w:tc>
        <w:tc>
          <w:tcPr>
            <w:tcW w:w="1058" w:type="dxa"/>
            <w:tcMar>
              <w:top w:w="0" w:type="dxa"/>
              <w:left w:w="28" w:type="dxa"/>
              <w:bottom w:w="0" w:type="dxa"/>
              <w:right w:w="28" w:type="dxa"/>
            </w:tcMar>
            <w:vAlign w:val="center"/>
          </w:tcPr>
          <w:p w14:paraId="21FF3E53" w14:textId="166CB700" w:rsidR="002A7234" w:rsidRPr="00350596" w:rsidRDefault="00823FDB" w:rsidP="007A3BC9">
            <w:pPr>
              <w:pStyle w:val="COMTabletext"/>
              <w:keepLines/>
              <w:jc w:val="center"/>
              <w:rPr>
                <w:highlight w:val="darkGray"/>
              </w:rPr>
            </w:pPr>
            <w:r w:rsidRPr="00823FDB">
              <w:rPr>
                <w:rFonts w:cs="Calibri" w:hint="eastAsia"/>
                <w:color w:val="000000"/>
                <w:w w:val="15"/>
                <w:szCs w:val="20"/>
                <w:shd w:val="solid" w:color="000000" w:fill="000000"/>
                <w:fitText w:val="37" w:id="-691796723"/>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723"/>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723"/>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806B6F7" w14:textId="77777777" w:rsidR="002A7234" w:rsidRPr="00350596" w:rsidRDefault="002A7234" w:rsidP="007A3BC9">
            <w:pPr>
              <w:pStyle w:val="COMTabletext"/>
              <w:keepLines/>
              <w:jc w:val="center"/>
            </w:pPr>
            <w:r w:rsidRPr="00350596">
              <w:rPr>
                <w:rFonts w:cs="Calibri"/>
                <w:color w:val="000000"/>
                <w:szCs w:val="20"/>
              </w:rPr>
              <w:t>4.2454</w:t>
            </w:r>
          </w:p>
        </w:tc>
        <w:tc>
          <w:tcPr>
            <w:tcW w:w="1167" w:type="dxa"/>
            <w:tcMar>
              <w:top w:w="0" w:type="dxa"/>
              <w:left w:w="28" w:type="dxa"/>
              <w:bottom w:w="0" w:type="dxa"/>
              <w:right w:w="28" w:type="dxa"/>
            </w:tcMar>
            <w:vAlign w:val="center"/>
          </w:tcPr>
          <w:p w14:paraId="14A60025" w14:textId="7EE874B0" w:rsidR="002A7234" w:rsidRPr="00350596" w:rsidRDefault="00823FDB" w:rsidP="007A3BC9">
            <w:pPr>
              <w:pStyle w:val="COMTabletext"/>
              <w:keepLines/>
              <w:jc w:val="center"/>
              <w:rPr>
                <w:highlight w:val="darkGray"/>
              </w:rPr>
            </w:pPr>
            <w:r w:rsidRPr="002B16A5">
              <w:rPr>
                <w:rFonts w:cs="Calibri" w:hint="eastAsia"/>
                <w:color w:val="000000"/>
                <w:w w:val="15"/>
                <w:szCs w:val="20"/>
                <w:shd w:val="solid" w:color="000000" w:fill="000000"/>
                <w:fitText w:val="12" w:id="-691796722"/>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722"/>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722"/>
                <w14:textFill>
                  <w14:solidFill>
                    <w14:srgbClr w14:val="000000">
                      <w14:alpha w14:val="100000"/>
                    </w14:srgbClr>
                  </w14:solidFill>
                </w14:textFill>
              </w:rPr>
              <w:t xml:space="preserve">　</w:t>
            </w:r>
            <w:r w:rsidR="00233307" w:rsidRPr="00350596">
              <w:rPr>
                <w:rFonts w:cs="Calibri"/>
                <w:color w:val="000000"/>
                <w:szCs w:val="20"/>
                <w:vertAlign w:val="superscript"/>
              </w:rPr>
              <w:t>2</w:t>
            </w:r>
          </w:p>
        </w:tc>
        <w:tc>
          <w:tcPr>
            <w:tcW w:w="1040" w:type="dxa"/>
            <w:tcMar>
              <w:left w:w="28" w:type="dxa"/>
              <w:right w:w="28" w:type="dxa"/>
            </w:tcMar>
            <w:vAlign w:val="center"/>
          </w:tcPr>
          <w:p w14:paraId="3F6039D3" w14:textId="2B98285A" w:rsidR="002A7234" w:rsidRPr="00350596" w:rsidRDefault="002A7234" w:rsidP="007A3BC9">
            <w:pPr>
              <w:pStyle w:val="COMTabletext"/>
              <w:keepLines/>
              <w:jc w:val="center"/>
            </w:pPr>
            <w:r w:rsidRPr="00350596">
              <w:rPr>
                <w:rFonts w:cs="Calibri"/>
                <w:color w:val="000000"/>
                <w:szCs w:val="20"/>
              </w:rPr>
              <w:t>-</w:t>
            </w:r>
            <w:r w:rsidR="00823FDB" w:rsidRPr="00823FDB">
              <w:rPr>
                <w:rFonts w:cs="Calibri" w:hint="eastAsia"/>
                <w:color w:val="000000"/>
                <w:w w:val="33"/>
                <w:szCs w:val="20"/>
                <w:shd w:val="solid" w:color="000000" w:fill="000000"/>
                <w:fitText w:val="150" w:id="-691796721"/>
                <w14:textFill>
                  <w14:solidFill>
                    <w14:srgbClr w14:val="000000">
                      <w14:alpha w14:val="100000"/>
                    </w14:srgbClr>
                  </w14:solidFill>
                </w14:textFill>
              </w:rPr>
              <w:t xml:space="preserve">　</w:t>
            </w:r>
            <w:r w:rsidR="00823FDB" w:rsidRPr="00823FDB">
              <w:rPr>
                <w:rFonts w:cs="Calibri"/>
                <w:color w:val="000000"/>
                <w:w w:val="33"/>
                <w:szCs w:val="20"/>
                <w:shd w:val="solid" w:color="000000" w:fill="000000"/>
                <w:fitText w:val="150" w:id="-691796721"/>
                <w14:textFill>
                  <w14:solidFill>
                    <w14:srgbClr w14:val="000000">
                      <w14:alpha w14:val="100000"/>
                    </w14:srgbClr>
                  </w14:solidFill>
                </w14:textFill>
              </w:rPr>
              <w:t>|</w:t>
            </w:r>
            <w:r w:rsidR="00823FDB" w:rsidRPr="00823FDB">
              <w:rPr>
                <w:rFonts w:cs="Calibri" w:hint="eastAsia"/>
                <w:color w:val="000000"/>
                <w:w w:val="33"/>
                <w:szCs w:val="20"/>
                <w:shd w:val="solid" w:color="000000" w:fill="000000"/>
                <w:fitText w:val="150" w:id="-691796721"/>
                <w14:textFill>
                  <w14:solidFill>
                    <w14:srgbClr w14:val="000000">
                      <w14:alpha w14:val="100000"/>
                    </w14:srgbClr>
                  </w14:solidFill>
                </w14:textFill>
              </w:rPr>
              <w:t xml:space="preserve">　</w:t>
            </w:r>
            <w:r w:rsidRPr="00350596">
              <w:rPr>
                <w:rFonts w:cs="Calibri"/>
                <w:color w:val="000000"/>
                <w:szCs w:val="20"/>
              </w:rPr>
              <w:t>%</w:t>
            </w:r>
          </w:p>
        </w:tc>
      </w:tr>
      <w:tr w:rsidR="002A7234" w:rsidRPr="00350596" w14:paraId="43A1C067" w14:textId="77777777" w:rsidTr="007959EA">
        <w:tc>
          <w:tcPr>
            <w:tcW w:w="9029" w:type="dxa"/>
            <w:gridSpan w:val="5"/>
            <w:tcMar>
              <w:top w:w="0" w:type="dxa"/>
              <w:left w:w="28" w:type="dxa"/>
              <w:bottom w:w="0" w:type="dxa"/>
              <w:right w:w="28" w:type="dxa"/>
            </w:tcMar>
            <w:vAlign w:val="center"/>
          </w:tcPr>
          <w:p w14:paraId="647A51D2" w14:textId="77777777" w:rsidR="002A7234" w:rsidRPr="00350596" w:rsidRDefault="002A7234" w:rsidP="007A3BC9">
            <w:pPr>
              <w:pStyle w:val="COMTabletext"/>
              <w:keepLines/>
              <w:rPr>
                <w:rFonts w:cs="Calibri"/>
                <w:color w:val="000000"/>
                <w:szCs w:val="20"/>
              </w:rPr>
            </w:pPr>
            <w:r w:rsidRPr="00350596">
              <w:rPr>
                <w:b/>
                <w:bCs w:val="0"/>
              </w:rPr>
              <w:t>Time horizon (base case 33 years)</w:t>
            </w:r>
          </w:p>
        </w:tc>
      </w:tr>
      <w:tr w:rsidR="002A7234" w:rsidRPr="00350596" w14:paraId="122F8163" w14:textId="77777777" w:rsidTr="007959EA">
        <w:tc>
          <w:tcPr>
            <w:tcW w:w="4714" w:type="dxa"/>
            <w:tcMar>
              <w:top w:w="0" w:type="dxa"/>
              <w:left w:w="28" w:type="dxa"/>
              <w:bottom w:w="0" w:type="dxa"/>
              <w:right w:w="28" w:type="dxa"/>
            </w:tcMar>
            <w:vAlign w:val="center"/>
          </w:tcPr>
          <w:p w14:paraId="2906D603" w14:textId="77777777" w:rsidR="002A7234" w:rsidRPr="00350596" w:rsidRDefault="002A7234" w:rsidP="007A3BC9">
            <w:pPr>
              <w:pStyle w:val="COMTabletext"/>
              <w:keepLines/>
            </w:pPr>
            <w:r w:rsidRPr="00350596">
              <w:t>20 years</w:t>
            </w:r>
          </w:p>
        </w:tc>
        <w:tc>
          <w:tcPr>
            <w:tcW w:w="1058" w:type="dxa"/>
            <w:tcMar>
              <w:top w:w="0" w:type="dxa"/>
              <w:left w:w="28" w:type="dxa"/>
              <w:bottom w:w="0" w:type="dxa"/>
              <w:right w:w="28" w:type="dxa"/>
            </w:tcMar>
            <w:vAlign w:val="center"/>
          </w:tcPr>
          <w:p w14:paraId="064CEA1D" w14:textId="78A473CB"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720"/>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720"/>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720"/>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4FBE16C7"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2.0166</w:t>
            </w:r>
          </w:p>
        </w:tc>
        <w:tc>
          <w:tcPr>
            <w:tcW w:w="1167" w:type="dxa"/>
            <w:tcMar>
              <w:top w:w="0" w:type="dxa"/>
              <w:left w:w="28" w:type="dxa"/>
              <w:bottom w:w="0" w:type="dxa"/>
              <w:right w:w="28" w:type="dxa"/>
            </w:tcMar>
            <w:vAlign w:val="center"/>
          </w:tcPr>
          <w:p w14:paraId="4A7CABA1" w14:textId="4F7E308A"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736"/>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736"/>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736"/>
                <w14:textFill>
                  <w14:solidFill>
                    <w14:srgbClr w14:val="000000">
                      <w14:alpha w14:val="100000"/>
                    </w14:srgbClr>
                  </w14:solidFill>
                </w14:textFill>
              </w:rPr>
              <w:t xml:space="preserve">　</w:t>
            </w:r>
            <w:r w:rsidR="00736A35" w:rsidRPr="00350596">
              <w:rPr>
                <w:rFonts w:cs="Calibri"/>
                <w:color w:val="000000"/>
                <w:szCs w:val="20"/>
                <w:vertAlign w:val="superscript"/>
              </w:rPr>
              <w:t>3</w:t>
            </w:r>
          </w:p>
        </w:tc>
        <w:tc>
          <w:tcPr>
            <w:tcW w:w="1040" w:type="dxa"/>
            <w:tcMar>
              <w:left w:w="28" w:type="dxa"/>
              <w:right w:w="28" w:type="dxa"/>
            </w:tcMar>
            <w:vAlign w:val="center"/>
          </w:tcPr>
          <w:p w14:paraId="2BD12970" w14:textId="0F5EF3BC" w:rsidR="002A7234" w:rsidRPr="00350596" w:rsidRDefault="002A7234" w:rsidP="007A3BC9">
            <w:pPr>
              <w:pStyle w:val="COMTabletext"/>
              <w:keepLines/>
              <w:jc w:val="center"/>
              <w:rPr>
                <w:rFonts w:cs="Calibri"/>
                <w:color w:val="000000"/>
                <w:szCs w:val="20"/>
              </w:rPr>
            </w:pPr>
            <w:r w:rsidRPr="00350596">
              <w:rPr>
                <w:rFonts w:cs="Calibri"/>
                <w:color w:val="000000"/>
                <w:szCs w:val="20"/>
              </w:rPr>
              <w:t>+</w:t>
            </w:r>
            <w:r w:rsidR="00823FDB" w:rsidRPr="00823FDB">
              <w:rPr>
                <w:rFonts w:cs="Calibri"/>
                <w:color w:val="000000"/>
                <w:spacing w:val="89"/>
                <w:szCs w:val="20"/>
                <w:shd w:val="solid" w:color="000000" w:fill="000000"/>
                <w:fitText w:val="175" w:id="-691796735"/>
                <w14:textFill>
                  <w14:solidFill>
                    <w14:srgbClr w14:val="000000">
                      <w14:alpha w14:val="100000"/>
                    </w14:srgbClr>
                  </w14:solidFill>
                </w14:textFill>
              </w:rPr>
              <w:t>|</w:t>
            </w:r>
            <w:r w:rsidR="00823FDB" w:rsidRPr="00823FDB">
              <w:rPr>
                <w:rFonts w:cs="Calibri"/>
                <w:color w:val="000000"/>
                <w:spacing w:val="1"/>
                <w:szCs w:val="20"/>
                <w:shd w:val="solid" w:color="000000" w:fill="000000"/>
                <w:fitText w:val="175" w:id="-691796735"/>
                <w14:textFill>
                  <w14:solidFill>
                    <w14:srgbClr w14:val="000000">
                      <w14:alpha w14:val="100000"/>
                    </w14:srgbClr>
                  </w14:solidFill>
                </w14:textFill>
              </w:rPr>
              <w:t>|</w:t>
            </w:r>
            <w:r w:rsidRPr="00350596">
              <w:rPr>
                <w:rFonts w:cs="Calibri"/>
                <w:color w:val="000000"/>
                <w:szCs w:val="20"/>
              </w:rPr>
              <w:t>%</w:t>
            </w:r>
          </w:p>
        </w:tc>
      </w:tr>
      <w:tr w:rsidR="002A7234" w:rsidRPr="00350596" w14:paraId="18A3BC3C" w14:textId="77777777" w:rsidTr="007959EA">
        <w:tc>
          <w:tcPr>
            <w:tcW w:w="4714" w:type="dxa"/>
            <w:tcMar>
              <w:top w:w="0" w:type="dxa"/>
              <w:left w:w="28" w:type="dxa"/>
              <w:bottom w:w="0" w:type="dxa"/>
              <w:right w:w="28" w:type="dxa"/>
            </w:tcMar>
            <w:vAlign w:val="center"/>
          </w:tcPr>
          <w:p w14:paraId="5A2390C9" w14:textId="77777777" w:rsidR="002A7234" w:rsidRPr="00350596" w:rsidRDefault="002A7234" w:rsidP="007A3BC9">
            <w:pPr>
              <w:pStyle w:val="COMTabletext"/>
              <w:keepLines/>
            </w:pPr>
            <w:r w:rsidRPr="00350596">
              <w:t>10 years</w:t>
            </w:r>
          </w:p>
        </w:tc>
        <w:tc>
          <w:tcPr>
            <w:tcW w:w="1058" w:type="dxa"/>
            <w:tcMar>
              <w:top w:w="0" w:type="dxa"/>
              <w:left w:w="28" w:type="dxa"/>
              <w:bottom w:w="0" w:type="dxa"/>
              <w:right w:w="28" w:type="dxa"/>
            </w:tcMar>
            <w:vAlign w:val="center"/>
          </w:tcPr>
          <w:p w14:paraId="21764CE8" w14:textId="05E559DF"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734"/>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734"/>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734"/>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2712A9C"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1.3248</w:t>
            </w:r>
          </w:p>
        </w:tc>
        <w:tc>
          <w:tcPr>
            <w:tcW w:w="1167" w:type="dxa"/>
            <w:tcMar>
              <w:top w:w="0" w:type="dxa"/>
              <w:left w:w="28" w:type="dxa"/>
              <w:bottom w:w="0" w:type="dxa"/>
              <w:right w:w="28" w:type="dxa"/>
            </w:tcMar>
            <w:vAlign w:val="center"/>
          </w:tcPr>
          <w:p w14:paraId="5A7C83B4" w14:textId="2459F697"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733"/>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733"/>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733"/>
                <w14:textFill>
                  <w14:solidFill>
                    <w14:srgbClr w14:val="000000">
                      <w14:alpha w14:val="100000"/>
                    </w14:srgbClr>
                  </w14:solidFill>
                </w14:textFill>
              </w:rPr>
              <w:t xml:space="preserve">　</w:t>
            </w:r>
            <w:r w:rsidR="00626545" w:rsidRPr="00350596">
              <w:rPr>
                <w:rFonts w:cs="Calibri"/>
                <w:color w:val="000000"/>
                <w:szCs w:val="20"/>
                <w:vertAlign w:val="superscript"/>
              </w:rPr>
              <w:t>4</w:t>
            </w:r>
          </w:p>
        </w:tc>
        <w:tc>
          <w:tcPr>
            <w:tcW w:w="1040" w:type="dxa"/>
            <w:tcMar>
              <w:left w:w="28" w:type="dxa"/>
              <w:right w:w="28" w:type="dxa"/>
            </w:tcMar>
            <w:vAlign w:val="center"/>
          </w:tcPr>
          <w:p w14:paraId="75D572D8" w14:textId="09D00FE7" w:rsidR="002A7234" w:rsidRPr="00350596" w:rsidRDefault="002A7234" w:rsidP="007A3BC9">
            <w:pPr>
              <w:pStyle w:val="COMTabletext"/>
              <w:keepLines/>
              <w:jc w:val="center"/>
              <w:rPr>
                <w:rFonts w:cs="Calibri"/>
                <w:color w:val="000000"/>
                <w:szCs w:val="20"/>
              </w:rPr>
            </w:pPr>
            <w:r w:rsidRPr="00350596">
              <w:rPr>
                <w:rFonts w:cs="Calibri"/>
                <w:color w:val="000000"/>
                <w:szCs w:val="20"/>
              </w:rPr>
              <w:t>+</w:t>
            </w:r>
            <w:r w:rsidR="00823FDB" w:rsidRPr="00823FDB">
              <w:rPr>
                <w:rFonts w:cs="Calibri"/>
                <w:color w:val="000000"/>
                <w:spacing w:val="89"/>
                <w:szCs w:val="20"/>
                <w:shd w:val="solid" w:color="000000" w:fill="000000"/>
                <w:fitText w:val="175" w:id="-691796732"/>
                <w14:textFill>
                  <w14:solidFill>
                    <w14:srgbClr w14:val="000000">
                      <w14:alpha w14:val="100000"/>
                    </w14:srgbClr>
                  </w14:solidFill>
                </w14:textFill>
              </w:rPr>
              <w:t>|</w:t>
            </w:r>
            <w:r w:rsidR="00823FDB" w:rsidRPr="00823FDB">
              <w:rPr>
                <w:rFonts w:cs="Calibri"/>
                <w:color w:val="000000"/>
                <w:spacing w:val="1"/>
                <w:szCs w:val="20"/>
                <w:shd w:val="solid" w:color="000000" w:fill="000000"/>
                <w:fitText w:val="175" w:id="-691796732"/>
                <w14:textFill>
                  <w14:solidFill>
                    <w14:srgbClr w14:val="000000">
                      <w14:alpha w14:val="100000"/>
                    </w14:srgbClr>
                  </w14:solidFill>
                </w14:textFill>
              </w:rPr>
              <w:t>|</w:t>
            </w:r>
            <w:r w:rsidRPr="00350596">
              <w:rPr>
                <w:rFonts w:cs="Calibri"/>
                <w:color w:val="000000"/>
                <w:szCs w:val="20"/>
              </w:rPr>
              <w:t>%</w:t>
            </w:r>
          </w:p>
        </w:tc>
      </w:tr>
      <w:tr w:rsidR="002A7234" w:rsidRPr="00350596" w14:paraId="712B0A4E" w14:textId="77777777" w:rsidTr="007959EA">
        <w:tc>
          <w:tcPr>
            <w:tcW w:w="4714" w:type="dxa"/>
            <w:tcMar>
              <w:top w:w="0" w:type="dxa"/>
              <w:left w:w="28" w:type="dxa"/>
              <w:bottom w:w="0" w:type="dxa"/>
              <w:right w:w="28" w:type="dxa"/>
            </w:tcMar>
            <w:vAlign w:val="center"/>
          </w:tcPr>
          <w:p w14:paraId="5C7915B3" w14:textId="77777777" w:rsidR="002A7234" w:rsidRPr="00350596" w:rsidRDefault="002A7234" w:rsidP="007A3BC9">
            <w:pPr>
              <w:pStyle w:val="COMTabletext"/>
              <w:keepLines/>
            </w:pPr>
            <w:r w:rsidRPr="00350596">
              <w:t xml:space="preserve">2 years </w:t>
            </w:r>
          </w:p>
        </w:tc>
        <w:tc>
          <w:tcPr>
            <w:tcW w:w="1058" w:type="dxa"/>
            <w:tcMar>
              <w:top w:w="0" w:type="dxa"/>
              <w:left w:w="28" w:type="dxa"/>
              <w:bottom w:w="0" w:type="dxa"/>
              <w:right w:w="28" w:type="dxa"/>
            </w:tcMar>
            <w:vAlign w:val="center"/>
          </w:tcPr>
          <w:p w14:paraId="2C424DF1" w14:textId="3B62795A"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731"/>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731"/>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731"/>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06B4EF32"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0.3471</w:t>
            </w:r>
          </w:p>
        </w:tc>
        <w:tc>
          <w:tcPr>
            <w:tcW w:w="1167" w:type="dxa"/>
            <w:tcMar>
              <w:top w:w="0" w:type="dxa"/>
              <w:left w:w="28" w:type="dxa"/>
              <w:bottom w:w="0" w:type="dxa"/>
              <w:right w:w="28" w:type="dxa"/>
            </w:tcMar>
            <w:vAlign w:val="center"/>
          </w:tcPr>
          <w:p w14:paraId="66490011" w14:textId="39CB9D9A"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80"/>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80"/>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80"/>
                <w14:textFill>
                  <w14:solidFill>
                    <w14:srgbClr w14:val="000000">
                      <w14:alpha w14:val="100000"/>
                    </w14:srgbClr>
                  </w14:solidFill>
                </w14:textFill>
              </w:rPr>
              <w:t xml:space="preserve">　</w:t>
            </w:r>
            <w:r w:rsidR="00570282" w:rsidRPr="00350596">
              <w:rPr>
                <w:rFonts w:cs="Calibri"/>
                <w:color w:val="000000"/>
                <w:szCs w:val="20"/>
                <w:vertAlign w:val="superscript"/>
              </w:rPr>
              <w:t>5</w:t>
            </w:r>
          </w:p>
        </w:tc>
        <w:tc>
          <w:tcPr>
            <w:tcW w:w="1040" w:type="dxa"/>
            <w:tcMar>
              <w:left w:w="28" w:type="dxa"/>
              <w:right w:w="28" w:type="dxa"/>
            </w:tcMar>
            <w:vAlign w:val="center"/>
          </w:tcPr>
          <w:p w14:paraId="19948124" w14:textId="43026B81" w:rsidR="002A7234" w:rsidRPr="00350596" w:rsidRDefault="002A7234" w:rsidP="007A3BC9">
            <w:pPr>
              <w:pStyle w:val="COMTabletext"/>
              <w:keepLines/>
              <w:jc w:val="center"/>
              <w:rPr>
                <w:rFonts w:cs="Calibri"/>
                <w:color w:val="000000"/>
                <w:szCs w:val="20"/>
              </w:rPr>
            </w:pPr>
            <w:r w:rsidRPr="00350596">
              <w:rPr>
                <w:rFonts w:cs="Calibri"/>
                <w:color w:val="000000"/>
                <w:szCs w:val="20"/>
              </w:rPr>
              <w:t>+</w:t>
            </w:r>
            <w:r w:rsidR="00823FDB" w:rsidRPr="00823FDB">
              <w:rPr>
                <w:rFonts w:cs="Calibri"/>
                <w:color w:val="000000"/>
                <w:spacing w:val="89"/>
                <w:szCs w:val="20"/>
                <w:shd w:val="solid" w:color="000000" w:fill="000000"/>
                <w:fitText w:val="175" w:id="-691796479"/>
                <w14:textFill>
                  <w14:solidFill>
                    <w14:srgbClr w14:val="000000">
                      <w14:alpha w14:val="100000"/>
                    </w14:srgbClr>
                  </w14:solidFill>
                </w14:textFill>
              </w:rPr>
              <w:t>|</w:t>
            </w:r>
            <w:r w:rsidR="00823FDB" w:rsidRPr="00823FDB">
              <w:rPr>
                <w:rFonts w:cs="Calibri"/>
                <w:color w:val="000000"/>
                <w:spacing w:val="1"/>
                <w:szCs w:val="20"/>
                <w:shd w:val="solid" w:color="000000" w:fill="000000"/>
                <w:fitText w:val="175" w:id="-691796479"/>
                <w14:textFill>
                  <w14:solidFill>
                    <w14:srgbClr w14:val="000000">
                      <w14:alpha w14:val="100000"/>
                    </w14:srgbClr>
                  </w14:solidFill>
                </w14:textFill>
              </w:rPr>
              <w:t>|</w:t>
            </w:r>
            <w:r w:rsidRPr="00350596">
              <w:rPr>
                <w:rFonts w:cs="Calibri"/>
                <w:color w:val="000000"/>
                <w:szCs w:val="20"/>
              </w:rPr>
              <w:t>%</w:t>
            </w:r>
          </w:p>
        </w:tc>
      </w:tr>
      <w:tr w:rsidR="002A7234" w:rsidRPr="00350596" w14:paraId="34FBC328" w14:textId="77777777" w:rsidTr="007959EA">
        <w:tc>
          <w:tcPr>
            <w:tcW w:w="9029" w:type="dxa"/>
            <w:gridSpan w:val="5"/>
            <w:tcMar>
              <w:top w:w="0" w:type="dxa"/>
              <w:left w:w="28" w:type="dxa"/>
              <w:bottom w:w="0" w:type="dxa"/>
              <w:right w:w="28" w:type="dxa"/>
            </w:tcMar>
            <w:vAlign w:val="center"/>
          </w:tcPr>
          <w:p w14:paraId="1B375670" w14:textId="77777777" w:rsidR="002A7234" w:rsidRPr="00350596" w:rsidRDefault="002A7234" w:rsidP="007A3BC9">
            <w:pPr>
              <w:pStyle w:val="COMTableheadingrow"/>
              <w:keepLines/>
              <w:rPr>
                <w:rFonts w:cs="Calibri"/>
                <w:color w:val="000000"/>
                <w:szCs w:val="20"/>
                <w:lang w:val="en-AU"/>
              </w:rPr>
            </w:pPr>
            <w:r w:rsidRPr="00350596">
              <w:rPr>
                <w:lang w:val="en-AU"/>
              </w:rPr>
              <w:t>Patient characteristics (base case age 60 years at baseline)</w:t>
            </w:r>
          </w:p>
        </w:tc>
      </w:tr>
      <w:tr w:rsidR="002A7234" w:rsidRPr="00350596" w14:paraId="413948C1" w14:textId="77777777" w:rsidTr="007959EA">
        <w:tc>
          <w:tcPr>
            <w:tcW w:w="4714" w:type="dxa"/>
            <w:tcMar>
              <w:top w:w="0" w:type="dxa"/>
              <w:left w:w="28" w:type="dxa"/>
              <w:bottom w:w="0" w:type="dxa"/>
              <w:right w:w="28" w:type="dxa"/>
            </w:tcMar>
            <w:vAlign w:val="center"/>
          </w:tcPr>
          <w:p w14:paraId="397A9F69" w14:textId="77777777" w:rsidR="002A7234" w:rsidRPr="00350596" w:rsidRDefault="002A7234" w:rsidP="007A3BC9">
            <w:pPr>
              <w:pStyle w:val="COMTabletext"/>
              <w:keepLines/>
            </w:pPr>
            <w:r w:rsidRPr="00350596">
              <w:t>47 years based on AChR+ subgroup in ADAPT</w:t>
            </w:r>
          </w:p>
        </w:tc>
        <w:tc>
          <w:tcPr>
            <w:tcW w:w="1058" w:type="dxa"/>
            <w:tcMar>
              <w:top w:w="0" w:type="dxa"/>
              <w:left w:w="28" w:type="dxa"/>
              <w:bottom w:w="0" w:type="dxa"/>
              <w:right w:w="28" w:type="dxa"/>
            </w:tcMar>
            <w:vAlign w:val="center"/>
          </w:tcPr>
          <w:p w14:paraId="30425CBB" w14:textId="1BB21068" w:rsidR="002A7234" w:rsidRPr="00350596" w:rsidRDefault="00823FDB" w:rsidP="007A3BC9">
            <w:pPr>
              <w:pStyle w:val="COMTabletext"/>
              <w:keepLines/>
              <w:jc w:val="center"/>
              <w:rPr>
                <w:rFonts w:cs="Calibri"/>
                <w:color w:val="000000"/>
                <w:szCs w:val="20"/>
              </w:rPr>
            </w:pPr>
            <w:r w:rsidRPr="00823FDB">
              <w:rPr>
                <w:rFonts w:cs="Calibri" w:hint="eastAsia"/>
                <w:color w:val="000000"/>
                <w:w w:val="15"/>
                <w:szCs w:val="20"/>
                <w:shd w:val="solid" w:color="000000" w:fill="000000"/>
                <w:fitText w:val="37" w:id="-691796478"/>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8"/>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8"/>
                <w14:textFill>
                  <w14:solidFill>
                    <w14:srgbClr w14:val="000000">
                      <w14:alpha w14:val="100000"/>
                    </w14:srgbClr>
                  </w14:solidFill>
                </w14:textFill>
              </w:rPr>
              <w:t xml:space="preserve">　</w:t>
            </w:r>
            <w:r w:rsidR="008E5851">
              <w:rPr>
                <w:rFonts w:cs="Calibri"/>
                <w:color w:val="000000"/>
                <w:szCs w:val="20"/>
              </w:rPr>
              <w:t xml:space="preserve"> </w:t>
            </w:r>
          </w:p>
        </w:tc>
        <w:tc>
          <w:tcPr>
            <w:tcW w:w="1050" w:type="dxa"/>
            <w:tcMar>
              <w:top w:w="0" w:type="dxa"/>
              <w:left w:w="28" w:type="dxa"/>
              <w:bottom w:w="0" w:type="dxa"/>
              <w:right w:w="28" w:type="dxa"/>
            </w:tcMar>
            <w:vAlign w:val="center"/>
          </w:tcPr>
          <w:p w14:paraId="7CEC46C0"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2.5932</w:t>
            </w:r>
          </w:p>
        </w:tc>
        <w:tc>
          <w:tcPr>
            <w:tcW w:w="1167" w:type="dxa"/>
            <w:tcMar>
              <w:top w:w="0" w:type="dxa"/>
              <w:left w:w="28" w:type="dxa"/>
              <w:bottom w:w="0" w:type="dxa"/>
              <w:right w:w="28" w:type="dxa"/>
            </w:tcMar>
            <w:vAlign w:val="center"/>
          </w:tcPr>
          <w:p w14:paraId="0F632545" w14:textId="63CD6C99" w:rsidR="002A7234" w:rsidRPr="00350596" w:rsidRDefault="00823FDB" w:rsidP="007A3BC9">
            <w:pPr>
              <w:pStyle w:val="COMTabletext"/>
              <w:keepLines/>
              <w:jc w:val="center"/>
              <w:rPr>
                <w:rFonts w:cs="Calibri"/>
                <w:color w:val="000000"/>
                <w:szCs w:val="20"/>
              </w:rPr>
            </w:pPr>
            <w:r w:rsidRPr="002B16A5">
              <w:rPr>
                <w:rFonts w:cs="Calibri" w:hint="eastAsia"/>
                <w:color w:val="000000"/>
                <w:w w:val="15"/>
                <w:szCs w:val="20"/>
                <w:shd w:val="solid" w:color="000000" w:fill="000000"/>
                <w:fitText w:val="12" w:id="-691796477"/>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7"/>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7"/>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699982BC" w14:textId="02C0C45B" w:rsidR="002A7234" w:rsidRPr="00350596" w:rsidRDefault="002A7234" w:rsidP="007A3BC9">
            <w:pPr>
              <w:pStyle w:val="COMTabletext"/>
              <w:keepLines/>
              <w:jc w:val="center"/>
              <w:rPr>
                <w:rFonts w:cs="Calibri"/>
                <w:color w:val="000000"/>
                <w:szCs w:val="20"/>
              </w:rPr>
            </w:pPr>
            <w:r w:rsidRPr="00350596">
              <w:rPr>
                <w:rFonts w:cs="Calibri"/>
                <w:color w:val="000000"/>
                <w:szCs w:val="20"/>
              </w:rPr>
              <w:t>-</w:t>
            </w:r>
            <w:r w:rsidR="00823FDB" w:rsidRPr="00823FDB">
              <w:rPr>
                <w:rFonts w:cs="Calibri" w:hint="eastAsia"/>
                <w:color w:val="000000"/>
                <w:w w:val="33"/>
                <w:szCs w:val="20"/>
                <w:shd w:val="solid" w:color="000000" w:fill="000000"/>
                <w:fitText w:val="150" w:id="-691796476"/>
                <w14:textFill>
                  <w14:solidFill>
                    <w14:srgbClr w14:val="000000">
                      <w14:alpha w14:val="100000"/>
                    </w14:srgbClr>
                  </w14:solidFill>
                </w14:textFill>
              </w:rPr>
              <w:t xml:space="preserve">　</w:t>
            </w:r>
            <w:r w:rsidR="00823FDB" w:rsidRPr="00823FDB">
              <w:rPr>
                <w:rFonts w:cs="Calibri"/>
                <w:color w:val="000000"/>
                <w:w w:val="33"/>
                <w:szCs w:val="20"/>
                <w:shd w:val="solid" w:color="000000" w:fill="000000"/>
                <w:fitText w:val="150" w:id="-691796476"/>
                <w14:textFill>
                  <w14:solidFill>
                    <w14:srgbClr w14:val="000000">
                      <w14:alpha w14:val="100000"/>
                    </w14:srgbClr>
                  </w14:solidFill>
                </w14:textFill>
              </w:rPr>
              <w:t>|</w:t>
            </w:r>
            <w:r w:rsidR="00823FDB" w:rsidRPr="00823FDB">
              <w:rPr>
                <w:rFonts w:cs="Calibri" w:hint="eastAsia"/>
                <w:color w:val="000000"/>
                <w:w w:val="33"/>
                <w:szCs w:val="20"/>
                <w:shd w:val="solid" w:color="000000" w:fill="000000"/>
                <w:fitText w:val="150" w:id="-691796476"/>
                <w14:textFill>
                  <w14:solidFill>
                    <w14:srgbClr w14:val="000000">
                      <w14:alpha w14:val="100000"/>
                    </w14:srgbClr>
                  </w14:solidFill>
                </w14:textFill>
              </w:rPr>
              <w:t xml:space="preserve">　</w:t>
            </w:r>
            <w:r w:rsidRPr="00350596">
              <w:rPr>
                <w:rFonts w:cs="Calibri"/>
                <w:color w:val="000000"/>
                <w:szCs w:val="20"/>
              </w:rPr>
              <w:t>%</w:t>
            </w:r>
          </w:p>
        </w:tc>
      </w:tr>
      <w:tr w:rsidR="002A7234" w:rsidRPr="00350596" w14:paraId="62E050C7" w14:textId="77777777" w:rsidTr="007959EA">
        <w:tc>
          <w:tcPr>
            <w:tcW w:w="9029" w:type="dxa"/>
            <w:gridSpan w:val="5"/>
            <w:tcMar>
              <w:top w:w="0" w:type="dxa"/>
              <w:left w:w="28" w:type="dxa"/>
              <w:bottom w:w="0" w:type="dxa"/>
              <w:right w:w="28" w:type="dxa"/>
            </w:tcMar>
            <w:vAlign w:val="center"/>
          </w:tcPr>
          <w:p w14:paraId="4DA8E184" w14:textId="77777777" w:rsidR="002A7234" w:rsidRPr="00350596" w:rsidRDefault="002A7234" w:rsidP="007A3BC9">
            <w:pPr>
              <w:pStyle w:val="COMTableheadingrow"/>
              <w:keepLines/>
              <w:rPr>
                <w:lang w:val="en-AU"/>
              </w:rPr>
            </w:pPr>
            <w:r w:rsidRPr="00350596">
              <w:rPr>
                <w:lang w:val="en-AU"/>
              </w:rPr>
              <w:t>Treatment discontinuations (base case efgartigimod: one-off 18.46% at the start due to non-response and 1.41% every 4 weeks for other reasons, chronic IVIg one-off 33% due to adverse events in the second model cycle only)</w:t>
            </w:r>
          </w:p>
        </w:tc>
      </w:tr>
      <w:tr w:rsidR="002A7234" w:rsidRPr="00350596" w14:paraId="3C0FDD30" w14:textId="77777777" w:rsidTr="007959EA">
        <w:tc>
          <w:tcPr>
            <w:tcW w:w="4714" w:type="dxa"/>
            <w:tcMar>
              <w:top w:w="0" w:type="dxa"/>
              <w:left w:w="28" w:type="dxa"/>
              <w:bottom w:w="0" w:type="dxa"/>
              <w:right w:w="28" w:type="dxa"/>
            </w:tcMar>
            <w:vAlign w:val="center"/>
          </w:tcPr>
          <w:p w14:paraId="5287DB9A" w14:textId="77777777" w:rsidR="002A7234" w:rsidRPr="00350596" w:rsidRDefault="002A7234" w:rsidP="007A3BC9">
            <w:pPr>
              <w:pStyle w:val="COMTabletext"/>
              <w:keepLines/>
            </w:pPr>
            <w:r w:rsidRPr="00350596">
              <w:t>Efgartigimod non-response rate is doubled</w:t>
            </w:r>
          </w:p>
        </w:tc>
        <w:tc>
          <w:tcPr>
            <w:tcW w:w="1058" w:type="dxa"/>
            <w:tcMar>
              <w:top w:w="0" w:type="dxa"/>
              <w:left w:w="28" w:type="dxa"/>
              <w:bottom w:w="0" w:type="dxa"/>
              <w:right w:w="28" w:type="dxa"/>
            </w:tcMar>
            <w:vAlign w:val="center"/>
          </w:tcPr>
          <w:p w14:paraId="41007FB5" w14:textId="04766002"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5"/>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5"/>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5"/>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4B3017A6"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1.9649</w:t>
            </w:r>
          </w:p>
        </w:tc>
        <w:tc>
          <w:tcPr>
            <w:tcW w:w="1167" w:type="dxa"/>
            <w:tcMar>
              <w:top w:w="0" w:type="dxa"/>
              <w:left w:w="28" w:type="dxa"/>
              <w:bottom w:w="0" w:type="dxa"/>
              <w:right w:w="28" w:type="dxa"/>
            </w:tcMar>
            <w:vAlign w:val="center"/>
          </w:tcPr>
          <w:p w14:paraId="0F080D6E" w14:textId="7949E8BE"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4"/>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4"/>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4"/>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42F7EB6F" w14:textId="41D78E1A" w:rsidR="002A7234" w:rsidRPr="00350596" w:rsidRDefault="002A7234" w:rsidP="007A3BC9">
            <w:pPr>
              <w:pStyle w:val="COMTabletext"/>
              <w:keepLines/>
              <w:jc w:val="center"/>
              <w:rPr>
                <w:rFonts w:cs="Calibri"/>
                <w:color w:val="000000"/>
                <w:szCs w:val="20"/>
              </w:rPr>
            </w:pPr>
            <w:r w:rsidRPr="00350596">
              <w:t>-</w:t>
            </w:r>
            <w:r w:rsidR="00823FDB" w:rsidRPr="00823FDB">
              <w:rPr>
                <w:rFonts w:hint="eastAsia"/>
                <w:color w:val="000000"/>
                <w:w w:val="33"/>
                <w:shd w:val="solid" w:color="000000" w:fill="000000"/>
                <w:fitText w:val="150" w:id="-691796473"/>
                <w14:textFill>
                  <w14:solidFill>
                    <w14:srgbClr w14:val="000000">
                      <w14:alpha w14:val="100000"/>
                    </w14:srgbClr>
                  </w14:solidFill>
                </w14:textFill>
              </w:rPr>
              <w:t xml:space="preserve">　</w:t>
            </w:r>
            <w:r w:rsidR="00823FDB" w:rsidRPr="00823FDB">
              <w:rPr>
                <w:color w:val="000000"/>
                <w:w w:val="33"/>
                <w:shd w:val="solid" w:color="000000" w:fill="000000"/>
                <w:fitText w:val="150" w:id="-691796473"/>
                <w14:textFill>
                  <w14:solidFill>
                    <w14:srgbClr w14:val="000000">
                      <w14:alpha w14:val="100000"/>
                    </w14:srgbClr>
                  </w14:solidFill>
                </w14:textFill>
              </w:rPr>
              <w:t>|</w:t>
            </w:r>
            <w:r w:rsidR="00823FDB" w:rsidRPr="00823FDB">
              <w:rPr>
                <w:rFonts w:hint="eastAsia"/>
                <w:color w:val="000000"/>
                <w:w w:val="33"/>
                <w:shd w:val="solid" w:color="000000" w:fill="000000"/>
                <w:fitText w:val="150" w:id="-691796473"/>
                <w14:textFill>
                  <w14:solidFill>
                    <w14:srgbClr w14:val="000000">
                      <w14:alpha w14:val="100000"/>
                    </w14:srgbClr>
                  </w14:solidFill>
                </w14:textFill>
              </w:rPr>
              <w:t xml:space="preserve">　</w:t>
            </w:r>
            <w:r w:rsidRPr="00350596">
              <w:t>%</w:t>
            </w:r>
          </w:p>
        </w:tc>
      </w:tr>
      <w:tr w:rsidR="002A7234" w:rsidRPr="00350596" w14:paraId="3B73D385" w14:textId="77777777" w:rsidTr="007959EA">
        <w:tc>
          <w:tcPr>
            <w:tcW w:w="4714" w:type="dxa"/>
            <w:tcMar>
              <w:top w:w="0" w:type="dxa"/>
              <w:left w:w="28" w:type="dxa"/>
              <w:bottom w:w="0" w:type="dxa"/>
              <w:right w:w="28" w:type="dxa"/>
            </w:tcMar>
            <w:vAlign w:val="center"/>
          </w:tcPr>
          <w:p w14:paraId="47A54870" w14:textId="77777777" w:rsidR="002A7234" w:rsidRPr="00350596" w:rsidRDefault="002A7234" w:rsidP="007A3BC9">
            <w:pPr>
              <w:pStyle w:val="COMTabletext"/>
              <w:keepLines/>
            </w:pPr>
            <w:r w:rsidRPr="00350596">
              <w:t>Efgartigimod non-response rate is halved</w:t>
            </w:r>
          </w:p>
        </w:tc>
        <w:tc>
          <w:tcPr>
            <w:tcW w:w="1058" w:type="dxa"/>
            <w:tcMar>
              <w:top w:w="0" w:type="dxa"/>
              <w:left w:w="28" w:type="dxa"/>
              <w:bottom w:w="0" w:type="dxa"/>
              <w:right w:w="28" w:type="dxa"/>
            </w:tcMar>
            <w:vAlign w:val="center"/>
          </w:tcPr>
          <w:p w14:paraId="2AD8CDE6" w14:textId="7C8E4CD2"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2"/>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2"/>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2"/>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A5FC8E5"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2.5993</w:t>
            </w:r>
          </w:p>
        </w:tc>
        <w:tc>
          <w:tcPr>
            <w:tcW w:w="1167" w:type="dxa"/>
            <w:tcMar>
              <w:top w:w="0" w:type="dxa"/>
              <w:left w:w="28" w:type="dxa"/>
              <w:bottom w:w="0" w:type="dxa"/>
              <w:right w:w="28" w:type="dxa"/>
            </w:tcMar>
            <w:vAlign w:val="center"/>
          </w:tcPr>
          <w:p w14:paraId="27AAD8F4" w14:textId="18BFDC4B"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1"/>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1"/>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1"/>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6051C15C" w14:textId="5118E249" w:rsidR="002A7234" w:rsidRPr="00350596" w:rsidRDefault="002A7234" w:rsidP="007A3BC9">
            <w:pPr>
              <w:pStyle w:val="COMTabletext"/>
              <w:keepLines/>
              <w:jc w:val="center"/>
              <w:rPr>
                <w:rFonts w:cs="Calibri"/>
                <w:color w:val="000000"/>
                <w:szCs w:val="20"/>
              </w:rPr>
            </w:pPr>
            <w:r w:rsidRPr="00350596">
              <w:t>+</w:t>
            </w:r>
            <w:r w:rsidR="00823FDB" w:rsidRPr="00823FDB">
              <w:rPr>
                <w:color w:val="000000"/>
                <w:spacing w:val="89"/>
                <w:shd w:val="solid" w:color="000000" w:fill="000000"/>
                <w:fitText w:val="175" w:id="-691796470"/>
                <w14:textFill>
                  <w14:solidFill>
                    <w14:srgbClr w14:val="000000">
                      <w14:alpha w14:val="100000"/>
                    </w14:srgbClr>
                  </w14:solidFill>
                </w14:textFill>
              </w:rPr>
              <w:t>|</w:t>
            </w:r>
            <w:r w:rsidR="00823FDB" w:rsidRPr="00823FDB">
              <w:rPr>
                <w:color w:val="000000"/>
                <w:spacing w:val="1"/>
                <w:shd w:val="solid" w:color="000000" w:fill="000000"/>
                <w:fitText w:val="175" w:id="-691796470"/>
                <w14:textFill>
                  <w14:solidFill>
                    <w14:srgbClr w14:val="000000">
                      <w14:alpha w14:val="100000"/>
                    </w14:srgbClr>
                  </w14:solidFill>
                </w14:textFill>
              </w:rPr>
              <w:t>|</w:t>
            </w:r>
            <w:r w:rsidRPr="00350596">
              <w:t>%</w:t>
            </w:r>
          </w:p>
        </w:tc>
      </w:tr>
      <w:tr w:rsidR="002A7234" w:rsidRPr="00350596" w14:paraId="4B419060" w14:textId="77777777" w:rsidTr="007959EA">
        <w:tc>
          <w:tcPr>
            <w:tcW w:w="4714" w:type="dxa"/>
            <w:tcMar>
              <w:top w:w="0" w:type="dxa"/>
              <w:left w:w="28" w:type="dxa"/>
              <w:bottom w:w="0" w:type="dxa"/>
              <w:right w:w="28" w:type="dxa"/>
            </w:tcMar>
            <w:vAlign w:val="center"/>
          </w:tcPr>
          <w:p w14:paraId="65865AC6" w14:textId="77777777" w:rsidR="002A7234" w:rsidRPr="00350596" w:rsidRDefault="002A7234" w:rsidP="007A3BC9">
            <w:pPr>
              <w:pStyle w:val="COMTabletext"/>
              <w:keepLines/>
            </w:pPr>
            <w:r w:rsidRPr="00350596">
              <w:t>Efgartigimod discontinuation for other reasons is doubled</w:t>
            </w:r>
          </w:p>
        </w:tc>
        <w:tc>
          <w:tcPr>
            <w:tcW w:w="1058" w:type="dxa"/>
            <w:tcMar>
              <w:top w:w="0" w:type="dxa"/>
              <w:left w:w="28" w:type="dxa"/>
              <w:bottom w:w="0" w:type="dxa"/>
              <w:right w:w="28" w:type="dxa"/>
            </w:tcMar>
            <w:vAlign w:val="center"/>
          </w:tcPr>
          <w:p w14:paraId="6E554661" w14:textId="395906CE"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69"/>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9"/>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9"/>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879D905"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2.2800</w:t>
            </w:r>
          </w:p>
        </w:tc>
        <w:tc>
          <w:tcPr>
            <w:tcW w:w="1167" w:type="dxa"/>
            <w:tcMar>
              <w:top w:w="0" w:type="dxa"/>
              <w:left w:w="28" w:type="dxa"/>
              <w:bottom w:w="0" w:type="dxa"/>
              <w:right w:w="28" w:type="dxa"/>
            </w:tcMar>
            <w:vAlign w:val="center"/>
          </w:tcPr>
          <w:p w14:paraId="5587704E" w14:textId="65008532"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68"/>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8"/>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8"/>
                <w14:textFill>
                  <w14:solidFill>
                    <w14:srgbClr w14:val="000000">
                      <w14:alpha w14:val="100000"/>
                    </w14:srgbClr>
                  </w14:solidFill>
                </w14:textFill>
              </w:rPr>
              <w:t xml:space="preserve">　</w:t>
            </w:r>
            <w:r w:rsidR="00581EB2" w:rsidRPr="00350596">
              <w:rPr>
                <w:rFonts w:cs="Calibri"/>
                <w:color w:val="000000"/>
                <w:szCs w:val="20"/>
                <w:vertAlign w:val="superscript"/>
              </w:rPr>
              <w:t>6</w:t>
            </w:r>
          </w:p>
        </w:tc>
        <w:tc>
          <w:tcPr>
            <w:tcW w:w="1040" w:type="dxa"/>
            <w:tcMar>
              <w:left w:w="28" w:type="dxa"/>
              <w:right w:w="28" w:type="dxa"/>
            </w:tcMar>
            <w:vAlign w:val="center"/>
          </w:tcPr>
          <w:p w14:paraId="47EC31DC" w14:textId="561BCDAC" w:rsidR="002A7234" w:rsidRPr="00350596" w:rsidRDefault="002A7234" w:rsidP="007A3BC9">
            <w:pPr>
              <w:pStyle w:val="COMTabletext"/>
              <w:keepLines/>
              <w:jc w:val="center"/>
              <w:rPr>
                <w:rFonts w:cs="Calibri"/>
                <w:color w:val="000000"/>
                <w:szCs w:val="20"/>
              </w:rPr>
            </w:pPr>
            <w:r w:rsidRPr="00350596">
              <w:t>-</w:t>
            </w:r>
            <w:r w:rsidR="00823FDB" w:rsidRPr="00823FDB">
              <w:rPr>
                <w:rFonts w:hint="eastAsia"/>
                <w:color w:val="000000"/>
                <w:w w:val="33"/>
                <w:shd w:val="solid" w:color="000000" w:fill="000000"/>
                <w:fitText w:val="150" w:id="-691796467"/>
                <w14:textFill>
                  <w14:solidFill>
                    <w14:srgbClr w14:val="000000">
                      <w14:alpha w14:val="100000"/>
                    </w14:srgbClr>
                  </w14:solidFill>
                </w14:textFill>
              </w:rPr>
              <w:t xml:space="preserve">　</w:t>
            </w:r>
            <w:r w:rsidR="00823FDB" w:rsidRPr="00823FDB">
              <w:rPr>
                <w:color w:val="000000"/>
                <w:w w:val="33"/>
                <w:shd w:val="solid" w:color="000000" w:fill="000000"/>
                <w:fitText w:val="150" w:id="-691796467"/>
                <w14:textFill>
                  <w14:solidFill>
                    <w14:srgbClr w14:val="000000">
                      <w14:alpha w14:val="100000"/>
                    </w14:srgbClr>
                  </w14:solidFill>
                </w14:textFill>
              </w:rPr>
              <w:t>|</w:t>
            </w:r>
            <w:r w:rsidR="00823FDB" w:rsidRPr="00823FDB">
              <w:rPr>
                <w:rFonts w:hint="eastAsia"/>
                <w:color w:val="000000"/>
                <w:w w:val="33"/>
                <w:shd w:val="solid" w:color="000000" w:fill="000000"/>
                <w:fitText w:val="150" w:id="-691796467"/>
                <w14:textFill>
                  <w14:solidFill>
                    <w14:srgbClr w14:val="000000">
                      <w14:alpha w14:val="100000"/>
                    </w14:srgbClr>
                  </w14:solidFill>
                </w14:textFill>
              </w:rPr>
              <w:t xml:space="preserve">　</w:t>
            </w:r>
            <w:r w:rsidRPr="00350596">
              <w:t>%</w:t>
            </w:r>
          </w:p>
        </w:tc>
      </w:tr>
      <w:tr w:rsidR="002A7234" w:rsidRPr="00350596" w14:paraId="65F8DBA2" w14:textId="77777777" w:rsidTr="007959EA">
        <w:tc>
          <w:tcPr>
            <w:tcW w:w="4714" w:type="dxa"/>
            <w:tcMar>
              <w:top w:w="0" w:type="dxa"/>
              <w:left w:w="28" w:type="dxa"/>
              <w:bottom w:w="0" w:type="dxa"/>
              <w:right w:w="28" w:type="dxa"/>
            </w:tcMar>
            <w:vAlign w:val="center"/>
          </w:tcPr>
          <w:p w14:paraId="2D4C8958" w14:textId="77777777" w:rsidR="002A7234" w:rsidRPr="00350596" w:rsidRDefault="002A7234" w:rsidP="007A3BC9">
            <w:pPr>
              <w:pStyle w:val="COMTabletext"/>
              <w:keepLines/>
            </w:pPr>
            <w:r w:rsidRPr="00350596">
              <w:t>Efgartigimod discontinuation for other reasons is halved</w:t>
            </w:r>
          </w:p>
        </w:tc>
        <w:tc>
          <w:tcPr>
            <w:tcW w:w="1058" w:type="dxa"/>
            <w:tcMar>
              <w:top w:w="0" w:type="dxa"/>
              <w:left w:w="28" w:type="dxa"/>
              <w:bottom w:w="0" w:type="dxa"/>
              <w:right w:w="28" w:type="dxa"/>
            </w:tcMar>
            <w:vAlign w:val="center"/>
          </w:tcPr>
          <w:p w14:paraId="6C3DBFF8" w14:textId="44259F72" w:rsidR="002A7234" w:rsidRPr="00350596" w:rsidRDefault="00823FDB" w:rsidP="007A3BC9">
            <w:pPr>
              <w:pStyle w:val="COMTabletext"/>
              <w:keepLines/>
              <w:jc w:val="center"/>
              <w:rPr>
                <w:rFonts w:cs="Calibri"/>
                <w:color w:val="000000"/>
                <w:szCs w:val="20"/>
              </w:rPr>
            </w:pPr>
            <w:r w:rsidRPr="00823FDB">
              <w:rPr>
                <w:rFonts w:cs="Calibri" w:hint="eastAsia"/>
                <w:color w:val="000000"/>
                <w:w w:val="15"/>
                <w:szCs w:val="20"/>
                <w:shd w:val="solid" w:color="000000" w:fill="000000"/>
                <w:fitText w:val="37" w:id="-691796466"/>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6"/>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6"/>
                <w14:textFill>
                  <w14:solidFill>
                    <w14:srgbClr w14:val="000000">
                      <w14:alpha w14:val="100000"/>
                    </w14:srgbClr>
                  </w14:solidFill>
                </w14:textFill>
              </w:rPr>
              <w:t xml:space="preserve">　</w:t>
            </w:r>
            <w:r w:rsidR="008E5851">
              <w:rPr>
                <w:rFonts w:cs="Calibri"/>
                <w:color w:val="000000"/>
                <w:szCs w:val="20"/>
              </w:rPr>
              <w:t xml:space="preserve"> </w:t>
            </w:r>
          </w:p>
        </w:tc>
        <w:tc>
          <w:tcPr>
            <w:tcW w:w="1050" w:type="dxa"/>
            <w:tcMar>
              <w:top w:w="0" w:type="dxa"/>
              <w:left w:w="28" w:type="dxa"/>
              <w:bottom w:w="0" w:type="dxa"/>
              <w:right w:w="28" w:type="dxa"/>
            </w:tcMar>
            <w:vAlign w:val="center"/>
          </w:tcPr>
          <w:p w14:paraId="17FA867B"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2.4927</w:t>
            </w:r>
          </w:p>
        </w:tc>
        <w:tc>
          <w:tcPr>
            <w:tcW w:w="1167" w:type="dxa"/>
            <w:tcMar>
              <w:top w:w="0" w:type="dxa"/>
              <w:left w:w="28" w:type="dxa"/>
              <w:bottom w:w="0" w:type="dxa"/>
              <w:right w:w="28" w:type="dxa"/>
            </w:tcMar>
            <w:vAlign w:val="center"/>
          </w:tcPr>
          <w:p w14:paraId="0105DA0E" w14:textId="01A5046F"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65"/>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5"/>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5"/>
                <w14:textFill>
                  <w14:solidFill>
                    <w14:srgbClr w14:val="000000">
                      <w14:alpha w14:val="100000"/>
                    </w14:srgbClr>
                  </w14:solidFill>
                </w14:textFill>
              </w:rPr>
              <w:t xml:space="preserve">　</w:t>
            </w:r>
            <w:r w:rsidR="00BC2FFD" w:rsidRPr="00350596">
              <w:rPr>
                <w:rFonts w:cs="Calibri"/>
                <w:color w:val="000000"/>
                <w:szCs w:val="20"/>
                <w:vertAlign w:val="superscript"/>
              </w:rPr>
              <w:t>7</w:t>
            </w:r>
          </w:p>
        </w:tc>
        <w:tc>
          <w:tcPr>
            <w:tcW w:w="1040" w:type="dxa"/>
            <w:tcMar>
              <w:left w:w="28" w:type="dxa"/>
              <w:right w:w="28" w:type="dxa"/>
            </w:tcMar>
            <w:vAlign w:val="center"/>
          </w:tcPr>
          <w:p w14:paraId="588AF57F" w14:textId="759F67C9" w:rsidR="002A7234" w:rsidRPr="00350596" w:rsidRDefault="002A7234" w:rsidP="007A3BC9">
            <w:pPr>
              <w:pStyle w:val="COMTabletext"/>
              <w:keepLines/>
              <w:jc w:val="center"/>
              <w:rPr>
                <w:rFonts w:cs="Calibri"/>
                <w:color w:val="000000"/>
                <w:szCs w:val="20"/>
              </w:rPr>
            </w:pPr>
            <w:r w:rsidRPr="00350596">
              <w:t>+</w:t>
            </w:r>
            <w:r w:rsidR="00823FDB" w:rsidRPr="00823FDB">
              <w:rPr>
                <w:color w:val="000000"/>
                <w:spacing w:val="89"/>
                <w:shd w:val="solid" w:color="000000" w:fill="000000"/>
                <w:fitText w:val="175" w:id="-691796464"/>
                <w14:textFill>
                  <w14:solidFill>
                    <w14:srgbClr w14:val="000000">
                      <w14:alpha w14:val="100000"/>
                    </w14:srgbClr>
                  </w14:solidFill>
                </w14:textFill>
              </w:rPr>
              <w:t>|</w:t>
            </w:r>
            <w:r w:rsidR="00823FDB" w:rsidRPr="00823FDB">
              <w:rPr>
                <w:color w:val="000000"/>
                <w:spacing w:val="1"/>
                <w:shd w:val="solid" w:color="000000" w:fill="000000"/>
                <w:fitText w:val="175" w:id="-691796464"/>
                <w14:textFill>
                  <w14:solidFill>
                    <w14:srgbClr w14:val="000000">
                      <w14:alpha w14:val="100000"/>
                    </w14:srgbClr>
                  </w14:solidFill>
                </w14:textFill>
              </w:rPr>
              <w:t>|</w:t>
            </w:r>
            <w:r w:rsidRPr="00350596">
              <w:t>%</w:t>
            </w:r>
          </w:p>
        </w:tc>
      </w:tr>
      <w:tr w:rsidR="002A7234" w:rsidRPr="00350596" w14:paraId="249AC036" w14:textId="77777777" w:rsidTr="007959EA">
        <w:tc>
          <w:tcPr>
            <w:tcW w:w="4714" w:type="dxa"/>
            <w:tcMar>
              <w:top w:w="0" w:type="dxa"/>
              <w:left w:w="28" w:type="dxa"/>
              <w:bottom w:w="0" w:type="dxa"/>
              <w:right w:w="28" w:type="dxa"/>
            </w:tcMar>
            <w:vAlign w:val="center"/>
          </w:tcPr>
          <w:p w14:paraId="170EBAA2" w14:textId="77777777" w:rsidR="002A7234" w:rsidRPr="00350596" w:rsidRDefault="002A7234" w:rsidP="007A3BC9">
            <w:pPr>
              <w:pStyle w:val="COMTabletext"/>
              <w:keepLines/>
            </w:pPr>
            <w:r w:rsidRPr="00350596">
              <w:t>Chronic IVIg discontinuation due to adverse events is doubled</w:t>
            </w:r>
          </w:p>
        </w:tc>
        <w:tc>
          <w:tcPr>
            <w:tcW w:w="1058" w:type="dxa"/>
            <w:tcMar>
              <w:top w:w="0" w:type="dxa"/>
              <w:left w:w="28" w:type="dxa"/>
              <w:bottom w:w="0" w:type="dxa"/>
              <w:right w:w="28" w:type="dxa"/>
            </w:tcMar>
            <w:vAlign w:val="center"/>
          </w:tcPr>
          <w:p w14:paraId="2B1A9818" w14:textId="5144FBFE"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80"/>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80"/>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80"/>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36498FE2"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2.2991</w:t>
            </w:r>
          </w:p>
        </w:tc>
        <w:tc>
          <w:tcPr>
            <w:tcW w:w="1167" w:type="dxa"/>
            <w:tcMar>
              <w:top w:w="0" w:type="dxa"/>
              <w:left w:w="28" w:type="dxa"/>
              <w:bottom w:w="0" w:type="dxa"/>
              <w:right w:w="28" w:type="dxa"/>
            </w:tcMar>
            <w:vAlign w:val="center"/>
          </w:tcPr>
          <w:p w14:paraId="3F21AFA9" w14:textId="590BC5F1"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9"/>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9"/>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9"/>
                <w14:textFill>
                  <w14:solidFill>
                    <w14:srgbClr w14:val="000000">
                      <w14:alpha w14:val="100000"/>
                    </w14:srgbClr>
                  </w14:solidFill>
                </w14:textFill>
              </w:rPr>
              <w:t xml:space="preserve">　</w:t>
            </w:r>
            <w:r w:rsidR="00706047" w:rsidRPr="00350596">
              <w:rPr>
                <w:rFonts w:cs="Calibri"/>
                <w:color w:val="000000"/>
                <w:szCs w:val="20"/>
                <w:vertAlign w:val="superscript"/>
              </w:rPr>
              <w:t>3</w:t>
            </w:r>
          </w:p>
        </w:tc>
        <w:tc>
          <w:tcPr>
            <w:tcW w:w="1040" w:type="dxa"/>
            <w:tcMar>
              <w:left w:w="28" w:type="dxa"/>
              <w:right w:w="28" w:type="dxa"/>
            </w:tcMar>
            <w:vAlign w:val="center"/>
          </w:tcPr>
          <w:p w14:paraId="0A5CC914" w14:textId="69368601" w:rsidR="002A7234" w:rsidRPr="00350596" w:rsidRDefault="002A7234" w:rsidP="007A3BC9">
            <w:pPr>
              <w:pStyle w:val="COMTabletext"/>
              <w:keepLines/>
              <w:jc w:val="center"/>
              <w:rPr>
                <w:rFonts w:cs="Calibri"/>
                <w:color w:val="000000"/>
                <w:szCs w:val="20"/>
              </w:rPr>
            </w:pPr>
            <w:r w:rsidRPr="00350596">
              <w:t>+</w:t>
            </w:r>
            <w:r w:rsidR="00823FDB" w:rsidRPr="00823FDB">
              <w:rPr>
                <w:color w:val="000000"/>
                <w:spacing w:val="89"/>
                <w:shd w:val="solid" w:color="000000" w:fill="000000"/>
                <w:fitText w:val="175" w:id="-691796478"/>
                <w14:textFill>
                  <w14:solidFill>
                    <w14:srgbClr w14:val="000000">
                      <w14:alpha w14:val="100000"/>
                    </w14:srgbClr>
                  </w14:solidFill>
                </w14:textFill>
              </w:rPr>
              <w:t>|</w:t>
            </w:r>
            <w:r w:rsidR="00823FDB" w:rsidRPr="00823FDB">
              <w:rPr>
                <w:color w:val="000000"/>
                <w:spacing w:val="1"/>
                <w:shd w:val="solid" w:color="000000" w:fill="000000"/>
                <w:fitText w:val="175" w:id="-691796478"/>
                <w14:textFill>
                  <w14:solidFill>
                    <w14:srgbClr w14:val="000000">
                      <w14:alpha w14:val="100000"/>
                    </w14:srgbClr>
                  </w14:solidFill>
                </w14:textFill>
              </w:rPr>
              <w:t>|</w:t>
            </w:r>
            <w:r w:rsidRPr="00350596">
              <w:t>%</w:t>
            </w:r>
          </w:p>
        </w:tc>
      </w:tr>
      <w:tr w:rsidR="002A7234" w:rsidRPr="00350596" w14:paraId="26182B41" w14:textId="77777777" w:rsidTr="007959EA">
        <w:tc>
          <w:tcPr>
            <w:tcW w:w="4714" w:type="dxa"/>
            <w:tcMar>
              <w:top w:w="0" w:type="dxa"/>
              <w:left w:w="28" w:type="dxa"/>
              <w:bottom w:w="0" w:type="dxa"/>
              <w:right w:w="28" w:type="dxa"/>
            </w:tcMar>
            <w:vAlign w:val="center"/>
          </w:tcPr>
          <w:p w14:paraId="5FCC9714" w14:textId="77777777" w:rsidR="002A7234" w:rsidRPr="00350596" w:rsidRDefault="002A7234" w:rsidP="007A3BC9">
            <w:pPr>
              <w:pStyle w:val="COMTabletext"/>
              <w:keepLines/>
            </w:pPr>
            <w:r w:rsidRPr="00350596">
              <w:t>Chronic IVIg discontinuation due to adverse events is halved</w:t>
            </w:r>
          </w:p>
        </w:tc>
        <w:tc>
          <w:tcPr>
            <w:tcW w:w="1058" w:type="dxa"/>
            <w:tcMar>
              <w:top w:w="0" w:type="dxa"/>
              <w:left w:w="28" w:type="dxa"/>
              <w:bottom w:w="0" w:type="dxa"/>
              <w:right w:w="28" w:type="dxa"/>
            </w:tcMar>
            <w:vAlign w:val="center"/>
          </w:tcPr>
          <w:p w14:paraId="46CCD4B3" w14:textId="0103AC36"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7"/>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7"/>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7"/>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3B08A939"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2.4322</w:t>
            </w:r>
          </w:p>
        </w:tc>
        <w:tc>
          <w:tcPr>
            <w:tcW w:w="1167" w:type="dxa"/>
            <w:tcMar>
              <w:top w:w="0" w:type="dxa"/>
              <w:left w:w="28" w:type="dxa"/>
              <w:bottom w:w="0" w:type="dxa"/>
              <w:right w:w="28" w:type="dxa"/>
            </w:tcMar>
            <w:vAlign w:val="center"/>
          </w:tcPr>
          <w:p w14:paraId="5650D383" w14:textId="6D59E7A3"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6"/>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6"/>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6"/>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75CF2054" w14:textId="27CD0C60" w:rsidR="002A7234" w:rsidRPr="00350596" w:rsidRDefault="002A7234" w:rsidP="007A3BC9">
            <w:pPr>
              <w:pStyle w:val="COMTabletext"/>
              <w:keepLines/>
              <w:jc w:val="center"/>
              <w:rPr>
                <w:rFonts w:cs="Calibri"/>
                <w:color w:val="000000"/>
                <w:szCs w:val="20"/>
              </w:rPr>
            </w:pPr>
            <w:r w:rsidRPr="00350596">
              <w:t>-</w:t>
            </w:r>
            <w:r w:rsidR="00823FDB" w:rsidRPr="00823FDB">
              <w:rPr>
                <w:rFonts w:hint="eastAsia"/>
                <w:color w:val="000000"/>
                <w:w w:val="33"/>
                <w:shd w:val="solid" w:color="000000" w:fill="000000"/>
                <w:fitText w:val="150" w:id="-691796475"/>
                <w14:textFill>
                  <w14:solidFill>
                    <w14:srgbClr w14:val="000000">
                      <w14:alpha w14:val="100000"/>
                    </w14:srgbClr>
                  </w14:solidFill>
                </w14:textFill>
              </w:rPr>
              <w:t xml:space="preserve">　</w:t>
            </w:r>
            <w:r w:rsidR="00823FDB" w:rsidRPr="00823FDB">
              <w:rPr>
                <w:color w:val="000000"/>
                <w:w w:val="33"/>
                <w:shd w:val="solid" w:color="000000" w:fill="000000"/>
                <w:fitText w:val="150" w:id="-691796475"/>
                <w14:textFill>
                  <w14:solidFill>
                    <w14:srgbClr w14:val="000000">
                      <w14:alpha w14:val="100000"/>
                    </w14:srgbClr>
                  </w14:solidFill>
                </w14:textFill>
              </w:rPr>
              <w:t>|</w:t>
            </w:r>
            <w:r w:rsidR="00823FDB" w:rsidRPr="00823FDB">
              <w:rPr>
                <w:rFonts w:hint="eastAsia"/>
                <w:color w:val="000000"/>
                <w:w w:val="33"/>
                <w:shd w:val="solid" w:color="000000" w:fill="000000"/>
                <w:fitText w:val="150" w:id="-691796475"/>
                <w14:textFill>
                  <w14:solidFill>
                    <w14:srgbClr w14:val="000000">
                      <w14:alpha w14:val="100000"/>
                    </w14:srgbClr>
                  </w14:solidFill>
                </w14:textFill>
              </w:rPr>
              <w:t xml:space="preserve">　</w:t>
            </w:r>
            <w:r w:rsidRPr="00350596">
              <w:t>%</w:t>
            </w:r>
          </w:p>
        </w:tc>
      </w:tr>
      <w:tr w:rsidR="002A7234" w:rsidRPr="00350596" w14:paraId="0122CE46" w14:textId="77777777" w:rsidTr="007959EA">
        <w:tc>
          <w:tcPr>
            <w:tcW w:w="4714" w:type="dxa"/>
            <w:tcMar>
              <w:top w:w="0" w:type="dxa"/>
              <w:left w:w="28" w:type="dxa"/>
              <w:bottom w:w="0" w:type="dxa"/>
              <w:right w:w="28" w:type="dxa"/>
            </w:tcMar>
            <w:vAlign w:val="center"/>
          </w:tcPr>
          <w:p w14:paraId="609D7971" w14:textId="77777777" w:rsidR="002A7234" w:rsidRPr="00350596" w:rsidRDefault="002A7234" w:rsidP="007A3BC9">
            <w:pPr>
              <w:pStyle w:val="COMTabletext"/>
              <w:keepLines/>
            </w:pPr>
            <w:r w:rsidRPr="00350596">
              <w:t>Discontinuation for other reasons in both arms is halved</w:t>
            </w:r>
          </w:p>
        </w:tc>
        <w:tc>
          <w:tcPr>
            <w:tcW w:w="1058" w:type="dxa"/>
            <w:tcMar>
              <w:top w:w="0" w:type="dxa"/>
              <w:left w:w="28" w:type="dxa"/>
              <w:bottom w:w="0" w:type="dxa"/>
              <w:right w:w="28" w:type="dxa"/>
            </w:tcMar>
            <w:vAlign w:val="center"/>
          </w:tcPr>
          <w:p w14:paraId="1448DAD1" w14:textId="62F86BF8"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4"/>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4"/>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4"/>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49FF3394"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2.5371</w:t>
            </w:r>
          </w:p>
        </w:tc>
        <w:tc>
          <w:tcPr>
            <w:tcW w:w="1167" w:type="dxa"/>
            <w:tcMar>
              <w:top w:w="0" w:type="dxa"/>
              <w:left w:w="28" w:type="dxa"/>
              <w:bottom w:w="0" w:type="dxa"/>
              <w:right w:w="28" w:type="dxa"/>
            </w:tcMar>
            <w:vAlign w:val="center"/>
          </w:tcPr>
          <w:p w14:paraId="5E6AA2AF" w14:textId="5FEF96ED"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3"/>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3"/>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3"/>
                <w14:textFill>
                  <w14:solidFill>
                    <w14:srgbClr w14:val="000000">
                      <w14:alpha w14:val="100000"/>
                    </w14:srgbClr>
                  </w14:solidFill>
                </w14:textFill>
              </w:rPr>
              <w:t xml:space="preserve">　</w:t>
            </w:r>
            <w:r w:rsidR="00271A28" w:rsidRPr="00350596">
              <w:rPr>
                <w:rFonts w:cs="Calibri"/>
                <w:color w:val="000000"/>
                <w:szCs w:val="20"/>
                <w:vertAlign w:val="superscript"/>
              </w:rPr>
              <w:t>8</w:t>
            </w:r>
          </w:p>
        </w:tc>
        <w:tc>
          <w:tcPr>
            <w:tcW w:w="1040" w:type="dxa"/>
            <w:tcMar>
              <w:left w:w="28" w:type="dxa"/>
              <w:right w:w="28" w:type="dxa"/>
            </w:tcMar>
            <w:vAlign w:val="center"/>
          </w:tcPr>
          <w:p w14:paraId="3BEFFF52" w14:textId="694933F6" w:rsidR="002A7234" w:rsidRPr="00350596" w:rsidRDefault="002A7234" w:rsidP="007A3BC9">
            <w:pPr>
              <w:pStyle w:val="COMTabletext"/>
              <w:keepLines/>
              <w:jc w:val="center"/>
              <w:rPr>
                <w:rFonts w:cs="Calibri"/>
                <w:color w:val="000000"/>
                <w:szCs w:val="20"/>
              </w:rPr>
            </w:pPr>
            <w:r w:rsidRPr="00350596">
              <w:t>+</w:t>
            </w:r>
            <w:r w:rsidR="00823FDB" w:rsidRPr="00823FDB">
              <w:rPr>
                <w:color w:val="000000"/>
                <w:spacing w:val="89"/>
                <w:shd w:val="solid" w:color="000000" w:fill="000000"/>
                <w:fitText w:val="175" w:id="-691796472"/>
                <w14:textFill>
                  <w14:solidFill>
                    <w14:srgbClr w14:val="000000">
                      <w14:alpha w14:val="100000"/>
                    </w14:srgbClr>
                  </w14:solidFill>
                </w14:textFill>
              </w:rPr>
              <w:t>|</w:t>
            </w:r>
            <w:r w:rsidR="00823FDB" w:rsidRPr="00823FDB">
              <w:rPr>
                <w:color w:val="000000"/>
                <w:spacing w:val="1"/>
                <w:shd w:val="solid" w:color="000000" w:fill="000000"/>
                <w:fitText w:val="175" w:id="-691796472"/>
                <w14:textFill>
                  <w14:solidFill>
                    <w14:srgbClr w14:val="000000">
                      <w14:alpha w14:val="100000"/>
                    </w14:srgbClr>
                  </w14:solidFill>
                </w14:textFill>
              </w:rPr>
              <w:t>|</w:t>
            </w:r>
            <w:r w:rsidRPr="00350596">
              <w:t>%</w:t>
            </w:r>
          </w:p>
        </w:tc>
      </w:tr>
      <w:tr w:rsidR="002A7234" w:rsidRPr="00350596" w14:paraId="4BC6E4E2" w14:textId="77777777" w:rsidTr="007959EA">
        <w:tc>
          <w:tcPr>
            <w:tcW w:w="4714" w:type="dxa"/>
            <w:tcMar>
              <w:top w:w="0" w:type="dxa"/>
              <w:left w:w="28" w:type="dxa"/>
              <w:bottom w:w="0" w:type="dxa"/>
              <w:right w:w="28" w:type="dxa"/>
            </w:tcMar>
            <w:vAlign w:val="center"/>
          </w:tcPr>
          <w:p w14:paraId="2F5012F8" w14:textId="77777777" w:rsidR="002A7234" w:rsidRPr="00350596" w:rsidRDefault="002A7234" w:rsidP="007A3BC9">
            <w:pPr>
              <w:pStyle w:val="COMTabletext"/>
              <w:keepLines/>
            </w:pPr>
            <w:r w:rsidRPr="00350596">
              <w:t>Discontinuation for other reasons in both arms is doubled</w:t>
            </w:r>
          </w:p>
        </w:tc>
        <w:tc>
          <w:tcPr>
            <w:tcW w:w="1058" w:type="dxa"/>
            <w:tcMar>
              <w:top w:w="0" w:type="dxa"/>
              <w:left w:w="28" w:type="dxa"/>
              <w:bottom w:w="0" w:type="dxa"/>
              <w:right w:w="28" w:type="dxa"/>
            </w:tcMar>
            <w:vAlign w:val="center"/>
          </w:tcPr>
          <w:p w14:paraId="2DF48F22" w14:textId="32C0C7AE"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1"/>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1"/>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1"/>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1A23E4EE"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2.1912</w:t>
            </w:r>
          </w:p>
        </w:tc>
        <w:tc>
          <w:tcPr>
            <w:tcW w:w="1167" w:type="dxa"/>
            <w:tcMar>
              <w:top w:w="0" w:type="dxa"/>
              <w:left w:w="28" w:type="dxa"/>
              <w:bottom w:w="0" w:type="dxa"/>
              <w:right w:w="28" w:type="dxa"/>
            </w:tcMar>
            <w:vAlign w:val="center"/>
          </w:tcPr>
          <w:p w14:paraId="6E124AEC" w14:textId="69920E96"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0"/>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0"/>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0"/>
                <w14:textFill>
                  <w14:solidFill>
                    <w14:srgbClr w14:val="000000">
                      <w14:alpha w14:val="100000"/>
                    </w14:srgbClr>
                  </w14:solidFill>
                </w14:textFill>
              </w:rPr>
              <w:t xml:space="preserve">　</w:t>
            </w:r>
            <w:r w:rsidR="00780BBA" w:rsidRPr="00350596">
              <w:rPr>
                <w:rFonts w:cs="Calibri"/>
                <w:color w:val="000000"/>
                <w:szCs w:val="20"/>
                <w:vertAlign w:val="superscript"/>
              </w:rPr>
              <w:t>9</w:t>
            </w:r>
          </w:p>
        </w:tc>
        <w:tc>
          <w:tcPr>
            <w:tcW w:w="1040" w:type="dxa"/>
            <w:tcMar>
              <w:left w:w="28" w:type="dxa"/>
              <w:right w:w="28" w:type="dxa"/>
            </w:tcMar>
            <w:vAlign w:val="center"/>
          </w:tcPr>
          <w:p w14:paraId="4ED13ABB" w14:textId="647FA33A" w:rsidR="002A7234" w:rsidRPr="00350596" w:rsidRDefault="002A7234" w:rsidP="007A3BC9">
            <w:pPr>
              <w:pStyle w:val="COMTabletext"/>
              <w:keepLines/>
              <w:jc w:val="center"/>
              <w:rPr>
                <w:rFonts w:cs="Calibri"/>
                <w:color w:val="000000"/>
                <w:szCs w:val="20"/>
              </w:rPr>
            </w:pPr>
            <w:r w:rsidRPr="00350596">
              <w:t>-</w:t>
            </w:r>
            <w:r w:rsidR="00823FDB" w:rsidRPr="00823FDB">
              <w:rPr>
                <w:rFonts w:hint="eastAsia"/>
                <w:color w:val="000000"/>
                <w:w w:val="33"/>
                <w:shd w:val="solid" w:color="000000" w:fill="000000"/>
                <w:fitText w:val="150" w:id="-691796469"/>
                <w14:textFill>
                  <w14:solidFill>
                    <w14:srgbClr w14:val="000000">
                      <w14:alpha w14:val="100000"/>
                    </w14:srgbClr>
                  </w14:solidFill>
                </w14:textFill>
              </w:rPr>
              <w:t xml:space="preserve">　</w:t>
            </w:r>
            <w:r w:rsidR="00823FDB" w:rsidRPr="00823FDB">
              <w:rPr>
                <w:color w:val="000000"/>
                <w:w w:val="33"/>
                <w:shd w:val="solid" w:color="000000" w:fill="000000"/>
                <w:fitText w:val="150" w:id="-691796469"/>
                <w14:textFill>
                  <w14:solidFill>
                    <w14:srgbClr w14:val="000000">
                      <w14:alpha w14:val="100000"/>
                    </w14:srgbClr>
                  </w14:solidFill>
                </w14:textFill>
              </w:rPr>
              <w:t>|</w:t>
            </w:r>
            <w:r w:rsidR="00823FDB" w:rsidRPr="00823FDB">
              <w:rPr>
                <w:rFonts w:hint="eastAsia"/>
                <w:color w:val="000000"/>
                <w:w w:val="33"/>
                <w:shd w:val="solid" w:color="000000" w:fill="000000"/>
                <w:fitText w:val="150" w:id="-691796469"/>
                <w14:textFill>
                  <w14:solidFill>
                    <w14:srgbClr w14:val="000000">
                      <w14:alpha w14:val="100000"/>
                    </w14:srgbClr>
                  </w14:solidFill>
                </w14:textFill>
              </w:rPr>
              <w:t xml:space="preserve">　</w:t>
            </w:r>
            <w:r w:rsidRPr="00350596">
              <w:t>%</w:t>
            </w:r>
          </w:p>
        </w:tc>
      </w:tr>
      <w:tr w:rsidR="002A7234" w:rsidRPr="00350596" w14:paraId="689E6A03" w14:textId="77777777" w:rsidTr="007959EA">
        <w:trPr>
          <w:trHeight w:val="58"/>
        </w:trPr>
        <w:tc>
          <w:tcPr>
            <w:tcW w:w="4714" w:type="dxa"/>
            <w:tcMar>
              <w:top w:w="0" w:type="dxa"/>
              <w:left w:w="28" w:type="dxa"/>
              <w:bottom w:w="0" w:type="dxa"/>
              <w:right w:w="28" w:type="dxa"/>
            </w:tcMar>
            <w:vAlign w:val="center"/>
          </w:tcPr>
          <w:p w14:paraId="2847A0D9" w14:textId="77777777" w:rsidR="002A7234" w:rsidRPr="00350596" w:rsidRDefault="002A7234" w:rsidP="007A3BC9">
            <w:pPr>
              <w:pStyle w:val="COMTabletext"/>
              <w:keepLines/>
            </w:pPr>
            <w:r w:rsidRPr="00350596">
              <w:t>No difference in treatment discontinuations between arms (chronic IVIg assumed equivalent to efgartigimod)</w:t>
            </w:r>
          </w:p>
        </w:tc>
        <w:tc>
          <w:tcPr>
            <w:tcW w:w="1058" w:type="dxa"/>
            <w:tcMar>
              <w:top w:w="0" w:type="dxa"/>
              <w:left w:w="28" w:type="dxa"/>
              <w:bottom w:w="0" w:type="dxa"/>
              <w:right w:w="28" w:type="dxa"/>
            </w:tcMar>
            <w:vAlign w:val="center"/>
          </w:tcPr>
          <w:p w14:paraId="5EF26A24" w14:textId="74A1F973"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68"/>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8"/>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8"/>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14DEC198"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2.1877</w:t>
            </w:r>
          </w:p>
        </w:tc>
        <w:tc>
          <w:tcPr>
            <w:tcW w:w="1167" w:type="dxa"/>
            <w:tcMar>
              <w:top w:w="0" w:type="dxa"/>
              <w:left w:w="28" w:type="dxa"/>
              <w:bottom w:w="0" w:type="dxa"/>
              <w:right w:w="28" w:type="dxa"/>
            </w:tcMar>
            <w:vAlign w:val="center"/>
          </w:tcPr>
          <w:p w14:paraId="40B5A7E1" w14:textId="1C915A61"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67"/>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7"/>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7"/>
                <w14:textFill>
                  <w14:solidFill>
                    <w14:srgbClr w14:val="000000">
                      <w14:alpha w14:val="100000"/>
                    </w14:srgbClr>
                  </w14:solidFill>
                </w14:textFill>
              </w:rPr>
              <w:t xml:space="preserve">　</w:t>
            </w:r>
            <w:r w:rsidR="00706047" w:rsidRPr="00350596">
              <w:rPr>
                <w:rFonts w:cs="Calibri"/>
                <w:color w:val="000000"/>
                <w:szCs w:val="20"/>
                <w:vertAlign w:val="superscript"/>
              </w:rPr>
              <w:t>3</w:t>
            </w:r>
          </w:p>
        </w:tc>
        <w:tc>
          <w:tcPr>
            <w:tcW w:w="1040" w:type="dxa"/>
            <w:tcMar>
              <w:left w:w="28" w:type="dxa"/>
              <w:right w:w="28" w:type="dxa"/>
            </w:tcMar>
            <w:vAlign w:val="center"/>
          </w:tcPr>
          <w:p w14:paraId="13F63D68" w14:textId="6A80E410" w:rsidR="002A7234" w:rsidRPr="00350596" w:rsidRDefault="002A7234" w:rsidP="007A3BC9">
            <w:pPr>
              <w:pStyle w:val="COMTabletext"/>
              <w:keepLines/>
              <w:jc w:val="center"/>
              <w:rPr>
                <w:rFonts w:cs="Calibri"/>
                <w:color w:val="000000"/>
                <w:szCs w:val="20"/>
              </w:rPr>
            </w:pPr>
            <w:r w:rsidRPr="00350596">
              <w:t>+</w:t>
            </w:r>
            <w:r w:rsidR="00823FDB" w:rsidRPr="00823FDB">
              <w:rPr>
                <w:color w:val="000000"/>
                <w:spacing w:val="89"/>
                <w:shd w:val="solid" w:color="000000" w:fill="000000"/>
                <w:fitText w:val="175" w:id="-691796466"/>
                <w14:textFill>
                  <w14:solidFill>
                    <w14:srgbClr w14:val="000000">
                      <w14:alpha w14:val="100000"/>
                    </w14:srgbClr>
                  </w14:solidFill>
                </w14:textFill>
              </w:rPr>
              <w:t>|</w:t>
            </w:r>
            <w:r w:rsidR="00823FDB" w:rsidRPr="00823FDB">
              <w:rPr>
                <w:color w:val="000000"/>
                <w:spacing w:val="1"/>
                <w:shd w:val="solid" w:color="000000" w:fill="000000"/>
                <w:fitText w:val="175" w:id="-691796466"/>
                <w14:textFill>
                  <w14:solidFill>
                    <w14:srgbClr w14:val="000000">
                      <w14:alpha w14:val="100000"/>
                    </w14:srgbClr>
                  </w14:solidFill>
                </w14:textFill>
              </w:rPr>
              <w:t>|</w:t>
            </w:r>
            <w:r w:rsidRPr="00350596">
              <w:t>%</w:t>
            </w:r>
          </w:p>
        </w:tc>
      </w:tr>
      <w:tr w:rsidR="002A7234" w:rsidRPr="00350596" w14:paraId="1B937CB9" w14:textId="77777777" w:rsidTr="007959EA">
        <w:tc>
          <w:tcPr>
            <w:tcW w:w="9029" w:type="dxa"/>
            <w:gridSpan w:val="5"/>
            <w:tcMar>
              <w:top w:w="0" w:type="dxa"/>
              <w:left w:w="28" w:type="dxa"/>
              <w:bottom w:w="0" w:type="dxa"/>
              <w:right w:w="28" w:type="dxa"/>
            </w:tcMar>
            <w:vAlign w:val="center"/>
          </w:tcPr>
          <w:p w14:paraId="2055EDE0" w14:textId="2D896A90" w:rsidR="002A7234" w:rsidRPr="00350596" w:rsidRDefault="002A7234" w:rsidP="007A3BC9">
            <w:pPr>
              <w:pStyle w:val="COMTableheadingrow"/>
              <w:keepLines/>
              <w:rPr>
                <w:lang w:val="en-AU"/>
              </w:rPr>
            </w:pPr>
            <w:r w:rsidRPr="00350596">
              <w:rPr>
                <w:lang w:val="en-AU"/>
              </w:rPr>
              <w:t>Circumstances of use in patients who do not discontinue treatment (base case efgartigimod: 100% adherence, cyclical therapy (MG-ADL &lt;</w:t>
            </w:r>
            <w:r w:rsidR="009C59C3">
              <w:rPr>
                <w:lang w:val="en-AU"/>
              </w:rPr>
              <w:t xml:space="preserve"> </w:t>
            </w:r>
            <w:r w:rsidRPr="00350596">
              <w:rPr>
                <w:lang w:val="en-AU"/>
              </w:rPr>
              <w:t>5 off-treatment and MG-ADL ≥5 on-treatment with minimum 4-week gap between treatment cycles); chronic IVIg: 100% adherence for induction dose and imperfect adherence for maintenance doses, cyclical therapy (MG-ADL &lt;</w:t>
            </w:r>
            <w:r w:rsidR="009C59C3">
              <w:rPr>
                <w:lang w:val="en-AU"/>
              </w:rPr>
              <w:t xml:space="preserve"> </w:t>
            </w:r>
            <w:r w:rsidRPr="00350596">
              <w:rPr>
                <w:lang w:val="en-AU"/>
              </w:rPr>
              <w:t>5 off-treatment and MG-ADL ≥5 on-treatment with no minimum gap between treatment cycles); standard therapy: 100% adherence, ongoing use</w:t>
            </w:r>
          </w:p>
        </w:tc>
      </w:tr>
      <w:tr w:rsidR="002A7234" w:rsidRPr="00350596" w14:paraId="291F922C" w14:textId="77777777" w:rsidTr="007959EA">
        <w:tc>
          <w:tcPr>
            <w:tcW w:w="4714" w:type="dxa"/>
            <w:tcMar>
              <w:top w:w="0" w:type="dxa"/>
              <w:left w:w="28" w:type="dxa"/>
              <w:bottom w:w="0" w:type="dxa"/>
              <w:right w:w="28" w:type="dxa"/>
            </w:tcMar>
            <w:vAlign w:val="center"/>
          </w:tcPr>
          <w:p w14:paraId="04249097" w14:textId="77777777" w:rsidR="002A7234" w:rsidRPr="00350596" w:rsidRDefault="002A7234" w:rsidP="007A3BC9">
            <w:pPr>
              <w:pStyle w:val="COMTabletext"/>
              <w:keepLines/>
            </w:pPr>
            <w:r w:rsidRPr="00350596">
              <w:t>Efgartigimod based on 4.72 treatment cycles per year in all MG-ADL health states</w:t>
            </w:r>
          </w:p>
        </w:tc>
        <w:tc>
          <w:tcPr>
            <w:tcW w:w="1058" w:type="dxa"/>
            <w:tcMar>
              <w:top w:w="0" w:type="dxa"/>
              <w:left w:w="28" w:type="dxa"/>
              <w:bottom w:w="0" w:type="dxa"/>
              <w:right w:w="28" w:type="dxa"/>
            </w:tcMar>
            <w:vAlign w:val="center"/>
          </w:tcPr>
          <w:p w14:paraId="09CB99FF" w14:textId="5FEF7DD9"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65"/>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5"/>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5"/>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62DF7465"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31813FB4" w14:textId="72020A2E"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64"/>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4"/>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4"/>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46759D47" w14:textId="3567FFF7" w:rsidR="002A7234" w:rsidRPr="00350596" w:rsidRDefault="002A7234" w:rsidP="007A3BC9">
            <w:pPr>
              <w:pStyle w:val="COMTabletext"/>
              <w:keepLines/>
              <w:jc w:val="center"/>
              <w:rPr>
                <w:rFonts w:cs="Calibri"/>
                <w:color w:val="000000"/>
                <w:szCs w:val="20"/>
              </w:rPr>
            </w:pPr>
            <w:r w:rsidRPr="00350596">
              <w:t>+</w:t>
            </w:r>
            <w:r w:rsidR="00823FDB" w:rsidRPr="00823FDB">
              <w:rPr>
                <w:color w:val="000000"/>
                <w:spacing w:val="89"/>
                <w:shd w:val="solid" w:color="000000" w:fill="000000"/>
                <w:fitText w:val="175" w:id="-691796480"/>
                <w14:textFill>
                  <w14:solidFill>
                    <w14:srgbClr w14:val="000000">
                      <w14:alpha w14:val="100000"/>
                    </w14:srgbClr>
                  </w14:solidFill>
                </w14:textFill>
              </w:rPr>
              <w:t>|</w:t>
            </w:r>
            <w:r w:rsidR="00823FDB" w:rsidRPr="00823FDB">
              <w:rPr>
                <w:color w:val="000000"/>
                <w:spacing w:val="1"/>
                <w:shd w:val="solid" w:color="000000" w:fill="000000"/>
                <w:fitText w:val="175" w:id="-691796480"/>
                <w14:textFill>
                  <w14:solidFill>
                    <w14:srgbClr w14:val="000000">
                      <w14:alpha w14:val="100000"/>
                    </w14:srgbClr>
                  </w14:solidFill>
                </w14:textFill>
              </w:rPr>
              <w:t>|</w:t>
            </w:r>
            <w:r w:rsidRPr="00350596">
              <w:t>%</w:t>
            </w:r>
          </w:p>
        </w:tc>
      </w:tr>
      <w:tr w:rsidR="002A7234" w:rsidRPr="00350596" w14:paraId="61F065DA" w14:textId="77777777" w:rsidTr="007959EA">
        <w:tc>
          <w:tcPr>
            <w:tcW w:w="4714" w:type="dxa"/>
            <w:tcMar>
              <w:top w:w="0" w:type="dxa"/>
              <w:left w:w="28" w:type="dxa"/>
              <w:bottom w:w="0" w:type="dxa"/>
              <w:right w:w="28" w:type="dxa"/>
            </w:tcMar>
            <w:vAlign w:val="center"/>
          </w:tcPr>
          <w:p w14:paraId="3B37729C" w14:textId="77777777" w:rsidR="002A7234" w:rsidRPr="00350596" w:rsidRDefault="002A7234" w:rsidP="007A3BC9">
            <w:pPr>
              <w:pStyle w:val="COMTabletext"/>
              <w:keepLines/>
            </w:pPr>
            <w:r w:rsidRPr="00350596">
              <w:t>Chronic IVIg based on ongoing use in all MG-ADL health states</w:t>
            </w:r>
          </w:p>
        </w:tc>
        <w:tc>
          <w:tcPr>
            <w:tcW w:w="1058" w:type="dxa"/>
            <w:tcMar>
              <w:top w:w="0" w:type="dxa"/>
              <w:left w:w="28" w:type="dxa"/>
              <w:bottom w:w="0" w:type="dxa"/>
              <w:right w:w="28" w:type="dxa"/>
            </w:tcMar>
            <w:vAlign w:val="center"/>
          </w:tcPr>
          <w:p w14:paraId="59348F3B" w14:textId="383D64BF"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9"/>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9"/>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9"/>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067ABFD"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343DF5C8" w14:textId="1D736186"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8"/>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8"/>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8"/>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480AD093" w14:textId="3EC3CB46" w:rsidR="002A7234" w:rsidRPr="00350596" w:rsidRDefault="002A7234" w:rsidP="007A3BC9">
            <w:pPr>
              <w:pStyle w:val="COMTabletext"/>
              <w:keepLines/>
              <w:jc w:val="center"/>
              <w:rPr>
                <w:rFonts w:cs="Calibri"/>
                <w:color w:val="000000"/>
                <w:szCs w:val="20"/>
              </w:rPr>
            </w:pPr>
            <w:r w:rsidRPr="00350596">
              <w:t>-</w:t>
            </w:r>
            <w:r w:rsidR="00823FDB" w:rsidRPr="00823FDB">
              <w:rPr>
                <w:rFonts w:hint="eastAsia"/>
                <w:color w:val="000000"/>
                <w:w w:val="33"/>
                <w:shd w:val="solid" w:color="000000" w:fill="000000"/>
                <w:fitText w:val="150" w:id="-691796477"/>
                <w14:textFill>
                  <w14:solidFill>
                    <w14:srgbClr w14:val="000000">
                      <w14:alpha w14:val="100000"/>
                    </w14:srgbClr>
                  </w14:solidFill>
                </w14:textFill>
              </w:rPr>
              <w:t xml:space="preserve">　</w:t>
            </w:r>
            <w:r w:rsidR="00823FDB" w:rsidRPr="00823FDB">
              <w:rPr>
                <w:color w:val="000000"/>
                <w:w w:val="33"/>
                <w:shd w:val="solid" w:color="000000" w:fill="000000"/>
                <w:fitText w:val="150" w:id="-691796477"/>
                <w14:textFill>
                  <w14:solidFill>
                    <w14:srgbClr w14:val="000000">
                      <w14:alpha w14:val="100000"/>
                    </w14:srgbClr>
                  </w14:solidFill>
                </w14:textFill>
              </w:rPr>
              <w:t>|</w:t>
            </w:r>
            <w:r w:rsidR="00823FDB" w:rsidRPr="00823FDB">
              <w:rPr>
                <w:rFonts w:hint="eastAsia"/>
                <w:color w:val="000000"/>
                <w:w w:val="33"/>
                <w:shd w:val="solid" w:color="000000" w:fill="000000"/>
                <w:fitText w:val="150" w:id="-691796477"/>
                <w14:textFill>
                  <w14:solidFill>
                    <w14:srgbClr w14:val="000000">
                      <w14:alpha w14:val="100000"/>
                    </w14:srgbClr>
                  </w14:solidFill>
                </w14:textFill>
              </w:rPr>
              <w:t xml:space="preserve">　</w:t>
            </w:r>
            <w:r w:rsidRPr="00350596">
              <w:t>%</w:t>
            </w:r>
          </w:p>
        </w:tc>
      </w:tr>
      <w:tr w:rsidR="002A7234" w:rsidRPr="00350596" w14:paraId="41345FF9" w14:textId="77777777" w:rsidTr="007959EA">
        <w:tc>
          <w:tcPr>
            <w:tcW w:w="4714" w:type="dxa"/>
            <w:tcMar>
              <w:top w:w="0" w:type="dxa"/>
              <w:left w:w="28" w:type="dxa"/>
              <w:bottom w:w="0" w:type="dxa"/>
              <w:right w:w="28" w:type="dxa"/>
            </w:tcMar>
            <w:vAlign w:val="center"/>
          </w:tcPr>
          <w:p w14:paraId="5E803CDA" w14:textId="77777777" w:rsidR="002A7234" w:rsidRPr="00350596" w:rsidRDefault="002A7234" w:rsidP="007A3BC9">
            <w:pPr>
              <w:pStyle w:val="COMTabletext"/>
              <w:keepLines/>
            </w:pPr>
            <w:r w:rsidRPr="00350596">
              <w:t>Disassociate treatment costs from MG-ADL status in both arms (efgartigimod based on 4.72 treatment cycles per year, chronic IVIg based on ongoing treatment)</w:t>
            </w:r>
          </w:p>
        </w:tc>
        <w:tc>
          <w:tcPr>
            <w:tcW w:w="1058" w:type="dxa"/>
            <w:tcMar>
              <w:top w:w="0" w:type="dxa"/>
              <w:left w:w="28" w:type="dxa"/>
              <w:bottom w:w="0" w:type="dxa"/>
              <w:right w:w="28" w:type="dxa"/>
            </w:tcMar>
            <w:vAlign w:val="center"/>
          </w:tcPr>
          <w:p w14:paraId="78AB5D2B" w14:textId="58EABABE" w:rsidR="002A7234" w:rsidRPr="00350596" w:rsidRDefault="00823FDB" w:rsidP="007A3BC9">
            <w:pPr>
              <w:pStyle w:val="COMTabletext"/>
              <w:keepLines/>
              <w:jc w:val="center"/>
              <w:rPr>
                <w:rFonts w:cs="Calibri"/>
                <w:color w:val="000000"/>
                <w:szCs w:val="20"/>
                <w:highlight w:val="darkGray"/>
              </w:rPr>
            </w:pPr>
            <w:r w:rsidRPr="00823FDB">
              <w:rPr>
                <w:rFonts w:cs="Calibri" w:hint="eastAsia"/>
                <w:color w:val="000000"/>
                <w:w w:val="15"/>
                <w:szCs w:val="20"/>
                <w:shd w:val="solid" w:color="000000" w:fill="000000"/>
                <w:fitText w:val="37" w:id="-691796476"/>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6"/>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6"/>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612242FD" w14:textId="77777777" w:rsidR="002A7234" w:rsidRPr="00350596" w:rsidRDefault="002A7234" w:rsidP="007A3BC9">
            <w:pPr>
              <w:pStyle w:val="COMTabletext"/>
              <w:keepLines/>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7A70D439" w14:textId="7A59DE72" w:rsidR="002A7234" w:rsidRPr="00350596" w:rsidRDefault="00823FDB" w:rsidP="007A3BC9">
            <w:pPr>
              <w:pStyle w:val="COMTabletext"/>
              <w:keepLines/>
              <w:jc w:val="center"/>
              <w:rPr>
                <w:rFonts w:cs="Calibri"/>
                <w:color w:val="000000"/>
                <w:szCs w:val="20"/>
                <w:highlight w:val="darkGray"/>
              </w:rPr>
            </w:pPr>
            <w:r w:rsidRPr="002B16A5">
              <w:rPr>
                <w:rFonts w:cs="Calibri" w:hint="eastAsia"/>
                <w:color w:val="000000"/>
                <w:w w:val="15"/>
                <w:szCs w:val="20"/>
                <w:shd w:val="solid" w:color="000000" w:fill="000000"/>
                <w:fitText w:val="12" w:id="-691796475"/>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5"/>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5"/>
                <w14:textFill>
                  <w14:solidFill>
                    <w14:srgbClr w14:val="000000">
                      <w14:alpha w14:val="100000"/>
                    </w14:srgbClr>
                  </w14:solidFill>
                </w14:textFill>
              </w:rPr>
              <w:t xml:space="preserve">　</w:t>
            </w:r>
            <w:r w:rsidR="00F61FE8" w:rsidRPr="00350596">
              <w:rPr>
                <w:b/>
                <w:bCs w:val="0"/>
                <w:vertAlign w:val="superscript"/>
              </w:rPr>
              <w:t>1</w:t>
            </w:r>
          </w:p>
        </w:tc>
        <w:tc>
          <w:tcPr>
            <w:tcW w:w="1040" w:type="dxa"/>
            <w:tcMar>
              <w:left w:w="28" w:type="dxa"/>
              <w:right w:w="28" w:type="dxa"/>
            </w:tcMar>
            <w:vAlign w:val="center"/>
          </w:tcPr>
          <w:p w14:paraId="558A99A0" w14:textId="41F7D8B0" w:rsidR="002A7234" w:rsidRPr="00350596" w:rsidRDefault="002A7234" w:rsidP="007A3BC9">
            <w:pPr>
              <w:pStyle w:val="COMTabletext"/>
              <w:keepLines/>
              <w:jc w:val="center"/>
              <w:rPr>
                <w:rFonts w:cs="Calibri"/>
                <w:color w:val="000000"/>
                <w:szCs w:val="20"/>
              </w:rPr>
            </w:pPr>
            <w:r w:rsidRPr="00350596">
              <w:t>-</w:t>
            </w:r>
            <w:r w:rsidR="00823FDB" w:rsidRPr="00823FDB">
              <w:rPr>
                <w:rFonts w:hint="eastAsia"/>
                <w:color w:val="000000"/>
                <w:w w:val="33"/>
                <w:shd w:val="solid" w:color="000000" w:fill="000000"/>
                <w:fitText w:val="150" w:id="-691796474"/>
                <w14:textFill>
                  <w14:solidFill>
                    <w14:srgbClr w14:val="000000">
                      <w14:alpha w14:val="100000"/>
                    </w14:srgbClr>
                  </w14:solidFill>
                </w14:textFill>
              </w:rPr>
              <w:t xml:space="preserve">　</w:t>
            </w:r>
            <w:r w:rsidR="00823FDB" w:rsidRPr="00823FDB">
              <w:rPr>
                <w:color w:val="000000"/>
                <w:w w:val="33"/>
                <w:shd w:val="solid" w:color="000000" w:fill="000000"/>
                <w:fitText w:val="150" w:id="-691796474"/>
                <w14:textFill>
                  <w14:solidFill>
                    <w14:srgbClr w14:val="000000">
                      <w14:alpha w14:val="100000"/>
                    </w14:srgbClr>
                  </w14:solidFill>
                </w14:textFill>
              </w:rPr>
              <w:t>|</w:t>
            </w:r>
            <w:r w:rsidR="00823FDB" w:rsidRPr="00823FDB">
              <w:rPr>
                <w:rFonts w:hint="eastAsia"/>
                <w:color w:val="000000"/>
                <w:w w:val="33"/>
                <w:shd w:val="solid" w:color="000000" w:fill="000000"/>
                <w:fitText w:val="150" w:id="-691796474"/>
                <w14:textFill>
                  <w14:solidFill>
                    <w14:srgbClr w14:val="000000">
                      <w14:alpha w14:val="100000"/>
                    </w14:srgbClr>
                  </w14:solidFill>
                </w14:textFill>
              </w:rPr>
              <w:t xml:space="preserve">　</w:t>
            </w:r>
            <w:r w:rsidRPr="00350596">
              <w:t>%</w:t>
            </w:r>
          </w:p>
        </w:tc>
      </w:tr>
      <w:tr w:rsidR="002A7234" w:rsidRPr="00350596" w14:paraId="2BC0AEEE" w14:textId="77777777" w:rsidTr="007959EA">
        <w:tc>
          <w:tcPr>
            <w:tcW w:w="9029" w:type="dxa"/>
            <w:gridSpan w:val="5"/>
            <w:tcMar>
              <w:top w:w="0" w:type="dxa"/>
              <w:left w:w="28" w:type="dxa"/>
              <w:bottom w:w="0" w:type="dxa"/>
              <w:right w:w="28" w:type="dxa"/>
            </w:tcMar>
            <w:vAlign w:val="center"/>
          </w:tcPr>
          <w:p w14:paraId="1152ACED" w14:textId="63DB860F" w:rsidR="002A7234" w:rsidRPr="00350596" w:rsidRDefault="002A7234" w:rsidP="007959EA">
            <w:pPr>
              <w:pStyle w:val="COMTableheadingrow"/>
              <w:rPr>
                <w:lang w:val="en-AU"/>
              </w:rPr>
            </w:pPr>
            <w:r w:rsidRPr="00350596">
              <w:rPr>
                <w:lang w:val="en-AU"/>
              </w:rPr>
              <w:t>Corticosteroid use (base case 75.2% of all patients are on corticosteroids; high dose corticosteroids defined as ≥10 mg; MG-ADL &lt;</w:t>
            </w:r>
            <w:r w:rsidR="009C59C3">
              <w:rPr>
                <w:lang w:val="en-AU"/>
              </w:rPr>
              <w:t xml:space="preserve"> </w:t>
            </w:r>
            <w:r w:rsidRPr="00350596">
              <w:rPr>
                <w:lang w:val="en-AU"/>
              </w:rPr>
              <w:t>5: 100% on low dose corticosteroids, MG-ADL ≥5: 26.8% on low dose and 73.2% on high dose corticosteroids)</w:t>
            </w:r>
          </w:p>
        </w:tc>
      </w:tr>
      <w:tr w:rsidR="002A7234" w:rsidRPr="00350596" w14:paraId="23E47807" w14:textId="77777777" w:rsidTr="007959EA">
        <w:tc>
          <w:tcPr>
            <w:tcW w:w="4714" w:type="dxa"/>
            <w:tcMar>
              <w:top w:w="0" w:type="dxa"/>
              <w:left w:w="28" w:type="dxa"/>
              <w:bottom w:w="0" w:type="dxa"/>
              <w:right w:w="28" w:type="dxa"/>
            </w:tcMar>
            <w:vAlign w:val="center"/>
          </w:tcPr>
          <w:p w14:paraId="1A03A818" w14:textId="77777777" w:rsidR="002A7234" w:rsidRPr="00350596" w:rsidRDefault="002A7234" w:rsidP="007959EA">
            <w:pPr>
              <w:pStyle w:val="COMTabletext"/>
              <w:keepNext w:val="0"/>
            </w:pPr>
            <w:r w:rsidRPr="00350596">
              <w:t xml:space="preserve">High dose corticosteroids defined as ≥5 mg (affects cost of corticosteroids, cost of corticosteroid-related complications and corticosteroid-related mortality but not corticosteroid disutilities) </w:t>
            </w:r>
          </w:p>
        </w:tc>
        <w:tc>
          <w:tcPr>
            <w:tcW w:w="1058" w:type="dxa"/>
            <w:tcMar>
              <w:top w:w="0" w:type="dxa"/>
              <w:left w:w="28" w:type="dxa"/>
              <w:bottom w:w="0" w:type="dxa"/>
              <w:right w:w="28" w:type="dxa"/>
            </w:tcMar>
            <w:vAlign w:val="center"/>
          </w:tcPr>
          <w:p w14:paraId="19546D13" w14:textId="40A9E719"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73"/>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3"/>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3"/>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6E928E6"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2.4227</w:t>
            </w:r>
          </w:p>
        </w:tc>
        <w:tc>
          <w:tcPr>
            <w:tcW w:w="1167" w:type="dxa"/>
            <w:tcMar>
              <w:top w:w="0" w:type="dxa"/>
              <w:left w:w="28" w:type="dxa"/>
              <w:bottom w:w="0" w:type="dxa"/>
              <w:right w:w="28" w:type="dxa"/>
            </w:tcMar>
            <w:vAlign w:val="center"/>
          </w:tcPr>
          <w:p w14:paraId="49D2E5D5" w14:textId="2760F264"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72"/>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2"/>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2"/>
                <w14:textFill>
                  <w14:solidFill>
                    <w14:srgbClr w14:val="000000">
                      <w14:alpha w14:val="100000"/>
                    </w14:srgbClr>
                  </w14:solidFill>
                </w14:textFill>
              </w:rPr>
              <w:t xml:space="preserve">　</w:t>
            </w:r>
            <w:r w:rsidR="00DC2D31" w:rsidRPr="00350596">
              <w:rPr>
                <w:b/>
                <w:bCs w:val="0"/>
                <w:vertAlign w:val="superscript"/>
              </w:rPr>
              <w:t>1</w:t>
            </w:r>
          </w:p>
        </w:tc>
        <w:tc>
          <w:tcPr>
            <w:tcW w:w="1040" w:type="dxa"/>
            <w:tcMar>
              <w:left w:w="28" w:type="dxa"/>
              <w:right w:w="28" w:type="dxa"/>
            </w:tcMar>
            <w:vAlign w:val="center"/>
          </w:tcPr>
          <w:p w14:paraId="3AC7F3E5" w14:textId="7DC63734" w:rsidR="002A7234" w:rsidRPr="00350596" w:rsidRDefault="002A7234" w:rsidP="007959EA">
            <w:pPr>
              <w:pStyle w:val="COMTabletext"/>
              <w:keepNext w:val="0"/>
              <w:jc w:val="center"/>
              <w:rPr>
                <w:rFonts w:cs="Calibri"/>
                <w:color w:val="000000"/>
                <w:szCs w:val="20"/>
              </w:rPr>
            </w:pPr>
            <w:r w:rsidRPr="00350596">
              <w:t>-</w:t>
            </w:r>
            <w:r w:rsidR="00823FDB" w:rsidRPr="00823FDB">
              <w:rPr>
                <w:rFonts w:hint="eastAsia"/>
                <w:color w:val="000000"/>
                <w:w w:val="33"/>
                <w:shd w:val="solid" w:color="000000" w:fill="000000"/>
                <w:fitText w:val="150" w:id="-691796471"/>
                <w14:textFill>
                  <w14:solidFill>
                    <w14:srgbClr w14:val="000000">
                      <w14:alpha w14:val="100000"/>
                    </w14:srgbClr>
                  </w14:solidFill>
                </w14:textFill>
              </w:rPr>
              <w:t xml:space="preserve">　</w:t>
            </w:r>
            <w:r w:rsidR="00823FDB" w:rsidRPr="00823FDB">
              <w:rPr>
                <w:color w:val="000000"/>
                <w:w w:val="33"/>
                <w:shd w:val="solid" w:color="000000" w:fill="000000"/>
                <w:fitText w:val="150" w:id="-691796471"/>
                <w14:textFill>
                  <w14:solidFill>
                    <w14:srgbClr w14:val="000000">
                      <w14:alpha w14:val="100000"/>
                    </w14:srgbClr>
                  </w14:solidFill>
                </w14:textFill>
              </w:rPr>
              <w:t>|</w:t>
            </w:r>
            <w:r w:rsidR="00823FDB" w:rsidRPr="00823FDB">
              <w:rPr>
                <w:rFonts w:hint="eastAsia"/>
                <w:color w:val="000000"/>
                <w:w w:val="33"/>
                <w:shd w:val="solid" w:color="000000" w:fill="000000"/>
                <w:fitText w:val="150" w:id="-691796471"/>
                <w14:textFill>
                  <w14:solidFill>
                    <w14:srgbClr w14:val="000000">
                      <w14:alpha w14:val="100000"/>
                    </w14:srgbClr>
                  </w14:solidFill>
                </w14:textFill>
              </w:rPr>
              <w:t xml:space="preserve">　</w:t>
            </w:r>
            <w:r w:rsidRPr="00350596">
              <w:t>%</w:t>
            </w:r>
          </w:p>
        </w:tc>
      </w:tr>
      <w:tr w:rsidR="002A7234" w:rsidRPr="00350596" w14:paraId="5E6CB788" w14:textId="77777777" w:rsidTr="007959EA">
        <w:tc>
          <w:tcPr>
            <w:tcW w:w="4714" w:type="dxa"/>
            <w:tcMar>
              <w:top w:w="0" w:type="dxa"/>
              <w:left w:w="28" w:type="dxa"/>
              <w:bottom w:w="0" w:type="dxa"/>
              <w:right w:w="28" w:type="dxa"/>
            </w:tcMar>
            <w:vAlign w:val="center"/>
          </w:tcPr>
          <w:p w14:paraId="0EDD643C" w14:textId="77777777" w:rsidR="002A7234" w:rsidRPr="00350596" w:rsidRDefault="002A7234" w:rsidP="007959EA">
            <w:pPr>
              <w:pStyle w:val="COMTabletext"/>
              <w:keepNext w:val="0"/>
            </w:pPr>
            <w:r w:rsidRPr="00350596">
              <w:t>High dose corticosteroids defined as ≥15 mg (affects cost of corticosteroids, cost of corticosteroid-related complications and corticosteroid-related mortality but not corticosteroid disutilities)</w:t>
            </w:r>
          </w:p>
        </w:tc>
        <w:tc>
          <w:tcPr>
            <w:tcW w:w="1058" w:type="dxa"/>
            <w:tcMar>
              <w:top w:w="0" w:type="dxa"/>
              <w:left w:w="28" w:type="dxa"/>
              <w:bottom w:w="0" w:type="dxa"/>
              <w:right w:w="28" w:type="dxa"/>
            </w:tcMar>
            <w:vAlign w:val="center"/>
          </w:tcPr>
          <w:p w14:paraId="5E5B1468" w14:textId="244F7BE2"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70"/>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0"/>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0"/>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672AC5FA"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2.2474</w:t>
            </w:r>
          </w:p>
        </w:tc>
        <w:tc>
          <w:tcPr>
            <w:tcW w:w="1167" w:type="dxa"/>
            <w:tcMar>
              <w:top w:w="0" w:type="dxa"/>
              <w:left w:w="28" w:type="dxa"/>
              <w:bottom w:w="0" w:type="dxa"/>
              <w:right w:w="28" w:type="dxa"/>
            </w:tcMar>
            <w:vAlign w:val="center"/>
          </w:tcPr>
          <w:p w14:paraId="6EF9ECBF" w14:textId="747DBA8B"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69"/>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9"/>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9"/>
                <w14:textFill>
                  <w14:solidFill>
                    <w14:srgbClr w14:val="000000">
                      <w14:alpha w14:val="100000"/>
                    </w14:srgbClr>
                  </w14:solidFill>
                </w14:textFill>
              </w:rPr>
              <w:t xml:space="preserve">　</w:t>
            </w:r>
            <w:r w:rsidR="00DC2D31" w:rsidRPr="00350596">
              <w:rPr>
                <w:b/>
                <w:bCs w:val="0"/>
                <w:vertAlign w:val="superscript"/>
              </w:rPr>
              <w:t>1</w:t>
            </w:r>
          </w:p>
        </w:tc>
        <w:tc>
          <w:tcPr>
            <w:tcW w:w="1040" w:type="dxa"/>
            <w:tcMar>
              <w:left w:w="28" w:type="dxa"/>
              <w:right w:w="28" w:type="dxa"/>
            </w:tcMar>
            <w:vAlign w:val="center"/>
          </w:tcPr>
          <w:p w14:paraId="04FC4EEE" w14:textId="256C5453" w:rsidR="002A7234" w:rsidRPr="00350596" w:rsidRDefault="002A7234" w:rsidP="007959EA">
            <w:pPr>
              <w:pStyle w:val="COMTabletext"/>
              <w:keepNext w:val="0"/>
              <w:jc w:val="center"/>
              <w:rPr>
                <w:rFonts w:cs="Calibri"/>
                <w:color w:val="000000"/>
                <w:szCs w:val="20"/>
              </w:rPr>
            </w:pPr>
            <w:r w:rsidRPr="00350596">
              <w:t>+</w:t>
            </w:r>
            <w:r w:rsidR="00823FDB" w:rsidRPr="00823FDB">
              <w:rPr>
                <w:color w:val="000000"/>
                <w:spacing w:val="89"/>
                <w:shd w:val="solid" w:color="000000" w:fill="000000"/>
                <w:fitText w:val="175" w:id="-691796468"/>
                <w14:textFill>
                  <w14:solidFill>
                    <w14:srgbClr w14:val="000000">
                      <w14:alpha w14:val="100000"/>
                    </w14:srgbClr>
                  </w14:solidFill>
                </w14:textFill>
              </w:rPr>
              <w:t>|</w:t>
            </w:r>
            <w:r w:rsidR="00823FDB" w:rsidRPr="00823FDB">
              <w:rPr>
                <w:color w:val="000000"/>
                <w:spacing w:val="1"/>
                <w:shd w:val="solid" w:color="000000" w:fill="000000"/>
                <w:fitText w:val="175" w:id="-691796468"/>
                <w14:textFill>
                  <w14:solidFill>
                    <w14:srgbClr w14:val="000000">
                      <w14:alpha w14:val="100000"/>
                    </w14:srgbClr>
                  </w14:solidFill>
                </w14:textFill>
              </w:rPr>
              <w:t>|</w:t>
            </w:r>
            <w:r w:rsidRPr="00350596">
              <w:t>%</w:t>
            </w:r>
          </w:p>
        </w:tc>
      </w:tr>
      <w:tr w:rsidR="002A7234" w:rsidRPr="00350596" w14:paraId="0637A21A" w14:textId="77777777" w:rsidTr="007959EA">
        <w:tc>
          <w:tcPr>
            <w:tcW w:w="4714" w:type="dxa"/>
            <w:tcMar>
              <w:top w:w="0" w:type="dxa"/>
              <w:left w:w="28" w:type="dxa"/>
              <w:bottom w:w="0" w:type="dxa"/>
              <w:right w:w="28" w:type="dxa"/>
            </w:tcMar>
            <w:vAlign w:val="center"/>
          </w:tcPr>
          <w:p w14:paraId="0BC9C9A8" w14:textId="77B2CCFB" w:rsidR="002A7234" w:rsidRPr="00350596" w:rsidRDefault="002A7234" w:rsidP="007959EA">
            <w:pPr>
              <w:pStyle w:val="COMTabletext"/>
              <w:keepNext w:val="0"/>
            </w:pPr>
            <w:r w:rsidRPr="00350596">
              <w:t>Patients with MG-ADL &lt;</w:t>
            </w:r>
            <w:r w:rsidR="009C59C3">
              <w:t xml:space="preserve"> </w:t>
            </w:r>
            <w:r w:rsidRPr="00350596">
              <w:t>5 are not on corticosteroids</w:t>
            </w:r>
          </w:p>
        </w:tc>
        <w:tc>
          <w:tcPr>
            <w:tcW w:w="1058" w:type="dxa"/>
            <w:tcMar>
              <w:top w:w="0" w:type="dxa"/>
              <w:left w:w="28" w:type="dxa"/>
              <w:bottom w:w="0" w:type="dxa"/>
              <w:right w:w="28" w:type="dxa"/>
            </w:tcMar>
            <w:vAlign w:val="center"/>
          </w:tcPr>
          <w:p w14:paraId="5749DF10" w14:textId="598532C5"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67"/>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7"/>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7"/>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47FF4905"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2.6761</w:t>
            </w:r>
          </w:p>
        </w:tc>
        <w:tc>
          <w:tcPr>
            <w:tcW w:w="1167" w:type="dxa"/>
            <w:tcMar>
              <w:top w:w="0" w:type="dxa"/>
              <w:left w:w="28" w:type="dxa"/>
              <w:bottom w:w="0" w:type="dxa"/>
              <w:right w:w="28" w:type="dxa"/>
            </w:tcMar>
            <w:vAlign w:val="center"/>
          </w:tcPr>
          <w:p w14:paraId="27A12759" w14:textId="7843834C"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66"/>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6"/>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6"/>
                <w14:textFill>
                  <w14:solidFill>
                    <w14:srgbClr w14:val="000000">
                      <w14:alpha w14:val="100000"/>
                    </w14:srgbClr>
                  </w14:solidFill>
                </w14:textFill>
              </w:rPr>
              <w:t xml:space="preserve">　</w:t>
            </w:r>
            <w:r w:rsidR="00DC2D31" w:rsidRPr="00350596">
              <w:rPr>
                <w:b/>
                <w:bCs w:val="0"/>
                <w:vertAlign w:val="superscript"/>
              </w:rPr>
              <w:t>1</w:t>
            </w:r>
          </w:p>
        </w:tc>
        <w:tc>
          <w:tcPr>
            <w:tcW w:w="1040" w:type="dxa"/>
            <w:tcMar>
              <w:left w:w="28" w:type="dxa"/>
              <w:right w:w="28" w:type="dxa"/>
            </w:tcMar>
            <w:vAlign w:val="center"/>
          </w:tcPr>
          <w:p w14:paraId="6C6F55B3" w14:textId="203D51DB" w:rsidR="002A7234" w:rsidRPr="00350596" w:rsidRDefault="002A7234" w:rsidP="007959EA">
            <w:pPr>
              <w:pStyle w:val="COMTabletext"/>
              <w:keepNext w:val="0"/>
              <w:jc w:val="center"/>
              <w:rPr>
                <w:rFonts w:cs="Calibri"/>
                <w:color w:val="000000"/>
                <w:szCs w:val="20"/>
              </w:rPr>
            </w:pPr>
            <w:r w:rsidRPr="00350596">
              <w:t>-</w:t>
            </w:r>
            <w:r w:rsidR="00823FDB" w:rsidRPr="00823FDB">
              <w:rPr>
                <w:rFonts w:hint="eastAsia"/>
                <w:color w:val="000000"/>
                <w:w w:val="33"/>
                <w:shd w:val="solid" w:color="000000" w:fill="000000"/>
                <w:fitText w:val="150" w:id="-691796465"/>
                <w14:textFill>
                  <w14:solidFill>
                    <w14:srgbClr w14:val="000000">
                      <w14:alpha w14:val="100000"/>
                    </w14:srgbClr>
                  </w14:solidFill>
                </w14:textFill>
              </w:rPr>
              <w:t xml:space="preserve">　</w:t>
            </w:r>
            <w:r w:rsidR="00823FDB" w:rsidRPr="00823FDB">
              <w:rPr>
                <w:color w:val="000000"/>
                <w:w w:val="33"/>
                <w:shd w:val="solid" w:color="000000" w:fill="000000"/>
                <w:fitText w:val="150" w:id="-691796465"/>
                <w14:textFill>
                  <w14:solidFill>
                    <w14:srgbClr w14:val="000000">
                      <w14:alpha w14:val="100000"/>
                    </w14:srgbClr>
                  </w14:solidFill>
                </w14:textFill>
              </w:rPr>
              <w:t>|</w:t>
            </w:r>
            <w:r w:rsidR="00823FDB" w:rsidRPr="00823FDB">
              <w:rPr>
                <w:rFonts w:hint="eastAsia"/>
                <w:color w:val="000000"/>
                <w:w w:val="33"/>
                <w:shd w:val="solid" w:color="000000" w:fill="000000"/>
                <w:fitText w:val="150" w:id="-691796465"/>
                <w14:textFill>
                  <w14:solidFill>
                    <w14:srgbClr w14:val="000000">
                      <w14:alpha w14:val="100000"/>
                    </w14:srgbClr>
                  </w14:solidFill>
                </w14:textFill>
              </w:rPr>
              <w:t xml:space="preserve">　</w:t>
            </w:r>
            <w:r w:rsidRPr="00350596">
              <w:t>%</w:t>
            </w:r>
          </w:p>
        </w:tc>
      </w:tr>
      <w:tr w:rsidR="002A7234" w:rsidRPr="00350596" w14:paraId="1F232F8A" w14:textId="77777777" w:rsidTr="007959EA">
        <w:tc>
          <w:tcPr>
            <w:tcW w:w="4714" w:type="dxa"/>
            <w:tcMar>
              <w:top w:w="0" w:type="dxa"/>
              <w:left w:w="28" w:type="dxa"/>
              <w:bottom w:w="0" w:type="dxa"/>
              <w:right w:w="28" w:type="dxa"/>
            </w:tcMar>
            <w:vAlign w:val="center"/>
          </w:tcPr>
          <w:p w14:paraId="1F526C7B" w14:textId="77777777" w:rsidR="002A7234" w:rsidRPr="00350596" w:rsidRDefault="002A7234" w:rsidP="007959EA">
            <w:pPr>
              <w:pStyle w:val="COMTabletext"/>
              <w:keepNext w:val="0"/>
            </w:pPr>
            <w:r w:rsidRPr="00350596">
              <w:t xml:space="preserve">No change in corticosteroid use based on MG-ADL score (low and high dose use based on MG-ADL ≥5 for all states) </w:t>
            </w:r>
          </w:p>
        </w:tc>
        <w:tc>
          <w:tcPr>
            <w:tcW w:w="1058" w:type="dxa"/>
            <w:tcMar>
              <w:top w:w="0" w:type="dxa"/>
              <w:left w:w="28" w:type="dxa"/>
              <w:bottom w:w="0" w:type="dxa"/>
              <w:right w:w="28" w:type="dxa"/>
            </w:tcMar>
            <w:vAlign w:val="center"/>
          </w:tcPr>
          <w:p w14:paraId="38186487" w14:textId="42987FF3"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64"/>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4"/>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4"/>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1AD57194"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1.8683</w:t>
            </w:r>
          </w:p>
        </w:tc>
        <w:tc>
          <w:tcPr>
            <w:tcW w:w="1167" w:type="dxa"/>
            <w:tcMar>
              <w:top w:w="0" w:type="dxa"/>
              <w:left w:w="28" w:type="dxa"/>
              <w:bottom w:w="0" w:type="dxa"/>
              <w:right w:w="28" w:type="dxa"/>
            </w:tcMar>
            <w:vAlign w:val="center"/>
          </w:tcPr>
          <w:p w14:paraId="0972E8C6" w14:textId="095BBE90"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80"/>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80"/>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80"/>
                <w14:textFill>
                  <w14:solidFill>
                    <w14:srgbClr w14:val="000000">
                      <w14:alpha w14:val="100000"/>
                    </w14:srgbClr>
                  </w14:solidFill>
                </w14:textFill>
              </w:rPr>
              <w:t xml:space="preserve">　</w:t>
            </w:r>
            <w:r w:rsidR="00706047" w:rsidRPr="00350596">
              <w:rPr>
                <w:rFonts w:cs="Calibri"/>
                <w:color w:val="000000"/>
                <w:szCs w:val="20"/>
                <w:vertAlign w:val="superscript"/>
              </w:rPr>
              <w:t>3</w:t>
            </w:r>
          </w:p>
        </w:tc>
        <w:tc>
          <w:tcPr>
            <w:tcW w:w="1040" w:type="dxa"/>
            <w:tcMar>
              <w:left w:w="28" w:type="dxa"/>
              <w:right w:w="28" w:type="dxa"/>
            </w:tcMar>
            <w:vAlign w:val="center"/>
          </w:tcPr>
          <w:p w14:paraId="1858BBA4" w14:textId="3550DD10" w:rsidR="002A7234" w:rsidRPr="00350596" w:rsidRDefault="002A7234" w:rsidP="007959EA">
            <w:pPr>
              <w:pStyle w:val="COMTabletext"/>
              <w:keepNext w:val="0"/>
              <w:jc w:val="center"/>
              <w:rPr>
                <w:rFonts w:cs="Calibri"/>
                <w:color w:val="000000"/>
                <w:szCs w:val="20"/>
              </w:rPr>
            </w:pPr>
            <w:r w:rsidRPr="00350596">
              <w:t>+</w:t>
            </w:r>
            <w:r w:rsidR="00823FDB" w:rsidRPr="00823FDB">
              <w:rPr>
                <w:color w:val="000000"/>
                <w:spacing w:val="89"/>
                <w:shd w:val="solid" w:color="000000" w:fill="000000"/>
                <w:fitText w:val="175" w:id="-691796479"/>
                <w14:textFill>
                  <w14:solidFill>
                    <w14:srgbClr w14:val="000000">
                      <w14:alpha w14:val="100000"/>
                    </w14:srgbClr>
                  </w14:solidFill>
                </w14:textFill>
              </w:rPr>
              <w:t>|</w:t>
            </w:r>
            <w:r w:rsidR="00823FDB" w:rsidRPr="00823FDB">
              <w:rPr>
                <w:color w:val="000000"/>
                <w:spacing w:val="1"/>
                <w:shd w:val="solid" w:color="000000" w:fill="000000"/>
                <w:fitText w:val="175" w:id="-691796479"/>
                <w14:textFill>
                  <w14:solidFill>
                    <w14:srgbClr w14:val="000000">
                      <w14:alpha w14:val="100000"/>
                    </w14:srgbClr>
                  </w14:solidFill>
                </w14:textFill>
              </w:rPr>
              <w:t>|</w:t>
            </w:r>
            <w:r w:rsidRPr="00350596">
              <w:t>%</w:t>
            </w:r>
          </w:p>
        </w:tc>
      </w:tr>
      <w:tr w:rsidR="00BC39E6" w:rsidRPr="00350596" w14:paraId="1FF26701" w14:textId="77777777" w:rsidTr="007959EA">
        <w:tc>
          <w:tcPr>
            <w:tcW w:w="9029" w:type="dxa"/>
            <w:gridSpan w:val="5"/>
            <w:tcMar>
              <w:top w:w="0" w:type="dxa"/>
              <w:left w:w="28" w:type="dxa"/>
              <w:bottom w:w="0" w:type="dxa"/>
              <w:right w:w="28" w:type="dxa"/>
            </w:tcMar>
            <w:vAlign w:val="center"/>
          </w:tcPr>
          <w:p w14:paraId="61F8C6E0" w14:textId="77777777" w:rsidR="00BC39E6" w:rsidRPr="00350596" w:rsidRDefault="00BC39E6" w:rsidP="007959EA">
            <w:pPr>
              <w:pStyle w:val="COMTableheadingrow"/>
              <w:rPr>
                <w:lang w:val="en-AU"/>
              </w:rPr>
            </w:pPr>
            <w:r w:rsidRPr="00350596">
              <w:rPr>
                <w:lang w:val="en-AU"/>
              </w:rPr>
              <w:lastRenderedPageBreak/>
              <w:t>Exacerbation events and myasthenic crises (base case exacerbation rates based on the CADTH eculizumab model for myasthenia gravis for any exacerbation event, myasthenic crises transition probabilities based on Ramos-Fransi 2015)</w:t>
            </w:r>
          </w:p>
        </w:tc>
      </w:tr>
      <w:tr w:rsidR="00BC39E6" w:rsidRPr="00350596" w14:paraId="2E2DE852" w14:textId="77777777" w:rsidTr="007959EA">
        <w:tc>
          <w:tcPr>
            <w:tcW w:w="4714" w:type="dxa"/>
            <w:tcMar>
              <w:top w:w="0" w:type="dxa"/>
              <w:left w:w="28" w:type="dxa"/>
              <w:bottom w:w="0" w:type="dxa"/>
              <w:right w:w="28" w:type="dxa"/>
            </w:tcMar>
          </w:tcPr>
          <w:p w14:paraId="201DC1C5" w14:textId="77777777" w:rsidR="00BC39E6" w:rsidRPr="00350596" w:rsidRDefault="00BC39E6" w:rsidP="007959EA">
            <w:pPr>
              <w:pStyle w:val="COMTabletext"/>
              <w:keepNext w:val="0"/>
            </w:pPr>
            <w:r w:rsidRPr="00350596">
              <w:rPr>
                <w:szCs w:val="20"/>
              </w:rPr>
              <w:t>Increase exacerbation risk by 50%</w:t>
            </w:r>
          </w:p>
        </w:tc>
        <w:tc>
          <w:tcPr>
            <w:tcW w:w="1058" w:type="dxa"/>
            <w:tcMar>
              <w:top w:w="0" w:type="dxa"/>
              <w:left w:w="28" w:type="dxa"/>
              <w:bottom w:w="0" w:type="dxa"/>
              <w:right w:w="28" w:type="dxa"/>
            </w:tcMar>
            <w:vAlign w:val="center"/>
          </w:tcPr>
          <w:p w14:paraId="309F72D1" w14:textId="05AB097A" w:rsidR="00BC39E6"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78"/>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8"/>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8"/>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70048401" w14:textId="77777777" w:rsidR="00BC39E6" w:rsidRPr="00350596" w:rsidRDefault="00BC39E6" w:rsidP="007959EA">
            <w:pPr>
              <w:pStyle w:val="COMTabletext"/>
              <w:keepNext w:val="0"/>
              <w:jc w:val="center"/>
              <w:rPr>
                <w:rFonts w:cs="Calibri"/>
                <w:color w:val="000000"/>
                <w:szCs w:val="20"/>
              </w:rPr>
            </w:pPr>
            <w:r w:rsidRPr="00350596">
              <w:rPr>
                <w:rFonts w:cs="Calibri"/>
                <w:color w:val="000000"/>
                <w:szCs w:val="20"/>
              </w:rPr>
              <w:t>2.4085</w:t>
            </w:r>
          </w:p>
        </w:tc>
        <w:tc>
          <w:tcPr>
            <w:tcW w:w="1167" w:type="dxa"/>
            <w:tcMar>
              <w:top w:w="0" w:type="dxa"/>
              <w:left w:w="28" w:type="dxa"/>
              <w:bottom w:w="0" w:type="dxa"/>
              <w:right w:w="28" w:type="dxa"/>
            </w:tcMar>
            <w:vAlign w:val="center"/>
          </w:tcPr>
          <w:p w14:paraId="78491086" w14:textId="797160B8" w:rsidR="00BC39E6"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77"/>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7"/>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7"/>
                <w14:textFill>
                  <w14:solidFill>
                    <w14:srgbClr w14:val="000000">
                      <w14:alpha w14:val="100000"/>
                    </w14:srgbClr>
                  </w14:solidFill>
                </w14:textFill>
              </w:rPr>
              <w:t xml:space="preserve">　</w:t>
            </w:r>
            <w:r w:rsidR="00DC2D31" w:rsidRPr="00350596">
              <w:rPr>
                <w:b/>
                <w:bCs w:val="0"/>
                <w:vertAlign w:val="superscript"/>
              </w:rPr>
              <w:t>1</w:t>
            </w:r>
          </w:p>
        </w:tc>
        <w:tc>
          <w:tcPr>
            <w:tcW w:w="1040" w:type="dxa"/>
            <w:tcMar>
              <w:left w:w="28" w:type="dxa"/>
              <w:right w:w="28" w:type="dxa"/>
            </w:tcMar>
          </w:tcPr>
          <w:p w14:paraId="260BCFC1" w14:textId="75B8E828" w:rsidR="00BC39E6" w:rsidRPr="00350596" w:rsidRDefault="00BC39E6" w:rsidP="007959EA">
            <w:pPr>
              <w:pStyle w:val="COMTabletext"/>
              <w:keepNext w:val="0"/>
              <w:jc w:val="center"/>
              <w:rPr>
                <w:rFonts w:cs="Calibri"/>
                <w:color w:val="000000"/>
                <w:szCs w:val="20"/>
              </w:rPr>
            </w:pPr>
            <w:r w:rsidRPr="00350596">
              <w:t>-</w:t>
            </w:r>
            <w:r w:rsidR="00823FDB" w:rsidRPr="00823FDB">
              <w:rPr>
                <w:rFonts w:hint="eastAsia"/>
                <w:color w:val="000000"/>
                <w:w w:val="33"/>
                <w:shd w:val="solid" w:color="000000" w:fill="000000"/>
                <w:fitText w:val="150" w:id="-691796476"/>
                <w14:textFill>
                  <w14:solidFill>
                    <w14:srgbClr w14:val="000000">
                      <w14:alpha w14:val="100000"/>
                    </w14:srgbClr>
                  </w14:solidFill>
                </w14:textFill>
              </w:rPr>
              <w:t xml:space="preserve">　</w:t>
            </w:r>
            <w:r w:rsidR="00823FDB" w:rsidRPr="00823FDB">
              <w:rPr>
                <w:color w:val="000000"/>
                <w:w w:val="33"/>
                <w:shd w:val="solid" w:color="000000" w:fill="000000"/>
                <w:fitText w:val="150" w:id="-691796476"/>
                <w14:textFill>
                  <w14:solidFill>
                    <w14:srgbClr w14:val="000000">
                      <w14:alpha w14:val="100000"/>
                    </w14:srgbClr>
                  </w14:solidFill>
                </w14:textFill>
              </w:rPr>
              <w:t>|</w:t>
            </w:r>
            <w:r w:rsidR="00823FDB" w:rsidRPr="00823FDB">
              <w:rPr>
                <w:rFonts w:hint="eastAsia"/>
                <w:color w:val="000000"/>
                <w:w w:val="33"/>
                <w:shd w:val="solid" w:color="000000" w:fill="000000"/>
                <w:fitText w:val="150" w:id="-691796476"/>
                <w14:textFill>
                  <w14:solidFill>
                    <w14:srgbClr w14:val="000000">
                      <w14:alpha w14:val="100000"/>
                    </w14:srgbClr>
                  </w14:solidFill>
                </w14:textFill>
              </w:rPr>
              <w:t xml:space="preserve">　</w:t>
            </w:r>
            <w:r w:rsidRPr="00350596">
              <w:t>%</w:t>
            </w:r>
          </w:p>
        </w:tc>
      </w:tr>
      <w:tr w:rsidR="00BC39E6" w:rsidRPr="00350596" w14:paraId="6999D75E" w14:textId="77777777" w:rsidTr="007959EA">
        <w:tc>
          <w:tcPr>
            <w:tcW w:w="4714" w:type="dxa"/>
            <w:tcMar>
              <w:top w:w="0" w:type="dxa"/>
              <w:left w:w="28" w:type="dxa"/>
              <w:bottom w:w="0" w:type="dxa"/>
              <w:right w:w="28" w:type="dxa"/>
            </w:tcMar>
          </w:tcPr>
          <w:p w14:paraId="38375A62" w14:textId="77777777" w:rsidR="00BC39E6" w:rsidRPr="00350596" w:rsidRDefault="00BC39E6" w:rsidP="007959EA">
            <w:pPr>
              <w:pStyle w:val="COMTabletext"/>
              <w:keepNext w:val="0"/>
            </w:pPr>
            <w:r w:rsidRPr="00350596">
              <w:rPr>
                <w:szCs w:val="20"/>
              </w:rPr>
              <w:t>Decrease exacerbation risk by 50%</w:t>
            </w:r>
          </w:p>
        </w:tc>
        <w:tc>
          <w:tcPr>
            <w:tcW w:w="1058" w:type="dxa"/>
            <w:tcMar>
              <w:top w:w="0" w:type="dxa"/>
              <w:left w:w="28" w:type="dxa"/>
              <w:bottom w:w="0" w:type="dxa"/>
              <w:right w:w="28" w:type="dxa"/>
            </w:tcMar>
            <w:vAlign w:val="center"/>
          </w:tcPr>
          <w:p w14:paraId="3E933EF6" w14:textId="18BFAFB9" w:rsidR="00BC39E6"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75"/>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5"/>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5"/>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31E349A5" w14:textId="77777777" w:rsidR="00BC39E6" w:rsidRPr="00350596" w:rsidRDefault="00BC39E6" w:rsidP="007959EA">
            <w:pPr>
              <w:pStyle w:val="COMTabletext"/>
              <w:keepNext w:val="0"/>
              <w:jc w:val="center"/>
              <w:rPr>
                <w:rFonts w:cs="Calibri"/>
                <w:color w:val="000000"/>
                <w:szCs w:val="20"/>
              </w:rPr>
            </w:pPr>
            <w:r w:rsidRPr="00350596">
              <w:rPr>
                <w:rFonts w:cs="Calibri"/>
                <w:color w:val="000000"/>
                <w:szCs w:val="20"/>
              </w:rPr>
              <w:t>2.3672</w:t>
            </w:r>
          </w:p>
        </w:tc>
        <w:tc>
          <w:tcPr>
            <w:tcW w:w="1167" w:type="dxa"/>
            <w:tcMar>
              <w:top w:w="0" w:type="dxa"/>
              <w:left w:w="28" w:type="dxa"/>
              <w:bottom w:w="0" w:type="dxa"/>
              <w:right w:w="28" w:type="dxa"/>
            </w:tcMar>
            <w:vAlign w:val="center"/>
          </w:tcPr>
          <w:p w14:paraId="778D1674" w14:textId="5B84D54A" w:rsidR="00BC39E6"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74"/>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4"/>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4"/>
                <w14:textFill>
                  <w14:solidFill>
                    <w14:srgbClr w14:val="000000">
                      <w14:alpha w14:val="100000"/>
                    </w14:srgbClr>
                  </w14:solidFill>
                </w14:textFill>
              </w:rPr>
              <w:t xml:space="preserve">　</w:t>
            </w:r>
            <w:r w:rsidR="00AE489A" w:rsidRPr="00350596">
              <w:rPr>
                <w:b/>
                <w:bCs w:val="0"/>
                <w:vertAlign w:val="superscript"/>
              </w:rPr>
              <w:t>1</w:t>
            </w:r>
          </w:p>
        </w:tc>
        <w:tc>
          <w:tcPr>
            <w:tcW w:w="1040" w:type="dxa"/>
            <w:tcMar>
              <w:left w:w="28" w:type="dxa"/>
              <w:right w:w="28" w:type="dxa"/>
            </w:tcMar>
          </w:tcPr>
          <w:p w14:paraId="7AA36655" w14:textId="72B28CBE" w:rsidR="00BC39E6" w:rsidRPr="00350596" w:rsidRDefault="00BC39E6" w:rsidP="007959EA">
            <w:pPr>
              <w:pStyle w:val="COMTabletext"/>
              <w:keepNext w:val="0"/>
              <w:jc w:val="center"/>
              <w:rPr>
                <w:rFonts w:cs="Calibri"/>
                <w:color w:val="000000"/>
                <w:szCs w:val="20"/>
              </w:rPr>
            </w:pPr>
            <w:r w:rsidRPr="00350596">
              <w:t>+</w:t>
            </w:r>
            <w:r w:rsidR="00823FDB" w:rsidRPr="00823FDB">
              <w:rPr>
                <w:color w:val="000000"/>
                <w:spacing w:val="89"/>
                <w:shd w:val="solid" w:color="000000" w:fill="000000"/>
                <w:fitText w:val="175" w:id="-691796473"/>
                <w14:textFill>
                  <w14:solidFill>
                    <w14:srgbClr w14:val="000000">
                      <w14:alpha w14:val="100000"/>
                    </w14:srgbClr>
                  </w14:solidFill>
                </w14:textFill>
              </w:rPr>
              <w:t>|</w:t>
            </w:r>
            <w:r w:rsidR="00823FDB" w:rsidRPr="00823FDB">
              <w:rPr>
                <w:color w:val="000000"/>
                <w:spacing w:val="1"/>
                <w:shd w:val="solid" w:color="000000" w:fill="000000"/>
                <w:fitText w:val="175" w:id="-691796473"/>
                <w14:textFill>
                  <w14:solidFill>
                    <w14:srgbClr w14:val="000000">
                      <w14:alpha w14:val="100000"/>
                    </w14:srgbClr>
                  </w14:solidFill>
                </w14:textFill>
              </w:rPr>
              <w:t>|</w:t>
            </w:r>
            <w:r w:rsidRPr="00350596">
              <w:t>%</w:t>
            </w:r>
          </w:p>
        </w:tc>
      </w:tr>
      <w:tr w:rsidR="002A7234" w:rsidRPr="00350596" w14:paraId="34BD3ADF" w14:textId="77777777" w:rsidTr="007959EA">
        <w:tc>
          <w:tcPr>
            <w:tcW w:w="9029" w:type="dxa"/>
            <w:gridSpan w:val="5"/>
            <w:tcMar>
              <w:top w:w="0" w:type="dxa"/>
              <w:left w:w="28" w:type="dxa"/>
              <w:bottom w:w="0" w:type="dxa"/>
              <w:right w:w="28" w:type="dxa"/>
            </w:tcMar>
            <w:vAlign w:val="center"/>
          </w:tcPr>
          <w:p w14:paraId="0B50C5B4" w14:textId="216EA9BA" w:rsidR="002A7234" w:rsidRPr="00350596" w:rsidRDefault="002A7234" w:rsidP="007959EA">
            <w:pPr>
              <w:pStyle w:val="COMTableheadingrow"/>
              <w:rPr>
                <w:rFonts w:cs="Calibri"/>
                <w:color w:val="000000"/>
                <w:szCs w:val="20"/>
                <w:lang w:val="en-AU"/>
              </w:rPr>
            </w:pPr>
            <w:r w:rsidRPr="00350596">
              <w:rPr>
                <w:lang w:val="en-AU"/>
              </w:rPr>
              <w:t>Health state utilities (base case derived from ADAPT trial data, treatment specific for efgartigimod and chronic IVIg; standard therapy assumed based on efgartigimod for MG-ADL &lt;</w:t>
            </w:r>
            <w:r w:rsidR="009C59C3">
              <w:rPr>
                <w:lang w:val="en-AU"/>
              </w:rPr>
              <w:t xml:space="preserve"> </w:t>
            </w:r>
            <w:r w:rsidRPr="00350596">
              <w:rPr>
                <w:lang w:val="en-AU"/>
              </w:rPr>
              <w:t>5 and chronic IVIg for MG-ADL 5-7, 8-9 and ≥10; myasthenic crises assumed the same as MG-ADL ≥10 for chronic IVIg)</w:t>
            </w:r>
          </w:p>
        </w:tc>
      </w:tr>
      <w:tr w:rsidR="002A7234" w:rsidRPr="00350596" w14:paraId="65AA6CBF" w14:textId="77777777" w:rsidTr="007959EA">
        <w:tc>
          <w:tcPr>
            <w:tcW w:w="4714" w:type="dxa"/>
            <w:tcMar>
              <w:top w:w="0" w:type="dxa"/>
              <w:left w:w="28" w:type="dxa"/>
              <w:bottom w:w="0" w:type="dxa"/>
              <w:right w:w="28" w:type="dxa"/>
            </w:tcMar>
            <w:vAlign w:val="center"/>
          </w:tcPr>
          <w:p w14:paraId="5A88447E" w14:textId="23C6604C" w:rsidR="002A7234" w:rsidRPr="00350596" w:rsidRDefault="002A7234" w:rsidP="007959EA">
            <w:pPr>
              <w:pStyle w:val="COMTabletext"/>
              <w:keepNext w:val="0"/>
            </w:pPr>
            <w:r w:rsidRPr="00350596">
              <w:t xml:space="preserve">ADAPT trial data, pooled health state utilities (same values applied between treatments) </w:t>
            </w:r>
            <w:r w:rsidR="0074273A" w:rsidRPr="00350596">
              <w:rPr>
                <w:vertAlign w:val="superscript"/>
              </w:rPr>
              <w:t>b</w:t>
            </w:r>
          </w:p>
        </w:tc>
        <w:tc>
          <w:tcPr>
            <w:tcW w:w="1058" w:type="dxa"/>
            <w:tcMar>
              <w:top w:w="0" w:type="dxa"/>
              <w:left w:w="28" w:type="dxa"/>
              <w:bottom w:w="0" w:type="dxa"/>
              <w:right w:w="28" w:type="dxa"/>
            </w:tcMar>
            <w:vAlign w:val="center"/>
          </w:tcPr>
          <w:p w14:paraId="38B87A8E" w14:textId="2DC90A23"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72"/>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72"/>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72"/>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184258D4"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1.3674</w:t>
            </w:r>
          </w:p>
        </w:tc>
        <w:tc>
          <w:tcPr>
            <w:tcW w:w="1167" w:type="dxa"/>
            <w:tcMar>
              <w:top w:w="0" w:type="dxa"/>
              <w:left w:w="28" w:type="dxa"/>
              <w:bottom w:w="0" w:type="dxa"/>
              <w:right w:w="28" w:type="dxa"/>
            </w:tcMar>
            <w:vAlign w:val="center"/>
          </w:tcPr>
          <w:p w14:paraId="44567C2E" w14:textId="336F68F3"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71"/>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71"/>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71"/>
                <w14:textFill>
                  <w14:solidFill>
                    <w14:srgbClr w14:val="000000">
                      <w14:alpha w14:val="100000"/>
                    </w14:srgbClr>
                  </w14:solidFill>
                </w14:textFill>
              </w:rPr>
              <w:t xml:space="preserve">　</w:t>
            </w:r>
            <w:r w:rsidR="00FF3602" w:rsidRPr="00350596">
              <w:rPr>
                <w:rFonts w:cs="Calibri"/>
                <w:color w:val="000000"/>
                <w:szCs w:val="20"/>
                <w:vertAlign w:val="superscript"/>
              </w:rPr>
              <w:t>8</w:t>
            </w:r>
          </w:p>
        </w:tc>
        <w:tc>
          <w:tcPr>
            <w:tcW w:w="1040" w:type="dxa"/>
            <w:tcMar>
              <w:left w:w="28" w:type="dxa"/>
              <w:right w:w="28" w:type="dxa"/>
            </w:tcMar>
            <w:vAlign w:val="center"/>
          </w:tcPr>
          <w:p w14:paraId="44E6CF45" w14:textId="4677FB1E" w:rsidR="002A7234" w:rsidRPr="00350596" w:rsidRDefault="002A7234" w:rsidP="007959EA">
            <w:pPr>
              <w:pStyle w:val="COMTabletext"/>
              <w:keepNext w:val="0"/>
              <w:jc w:val="center"/>
              <w:rPr>
                <w:rFonts w:cs="Calibri"/>
                <w:color w:val="000000"/>
                <w:szCs w:val="20"/>
              </w:rPr>
            </w:pPr>
            <w:r w:rsidRPr="00350596">
              <w:rPr>
                <w:rFonts w:cs="Calibri"/>
                <w:color w:val="000000"/>
                <w:szCs w:val="20"/>
              </w:rPr>
              <w:t>+</w:t>
            </w:r>
            <w:r w:rsidR="00823FDB" w:rsidRPr="00823FDB">
              <w:rPr>
                <w:rFonts w:cs="Calibri"/>
                <w:color w:val="000000"/>
                <w:spacing w:val="89"/>
                <w:szCs w:val="20"/>
                <w:shd w:val="solid" w:color="000000" w:fill="000000"/>
                <w:fitText w:val="175" w:id="-691796470"/>
                <w14:textFill>
                  <w14:solidFill>
                    <w14:srgbClr w14:val="000000">
                      <w14:alpha w14:val="100000"/>
                    </w14:srgbClr>
                  </w14:solidFill>
                </w14:textFill>
              </w:rPr>
              <w:t>|</w:t>
            </w:r>
            <w:r w:rsidR="00823FDB" w:rsidRPr="00823FDB">
              <w:rPr>
                <w:rFonts w:cs="Calibri"/>
                <w:color w:val="000000"/>
                <w:spacing w:val="1"/>
                <w:szCs w:val="20"/>
                <w:shd w:val="solid" w:color="000000" w:fill="000000"/>
                <w:fitText w:val="175" w:id="-691796470"/>
                <w14:textFill>
                  <w14:solidFill>
                    <w14:srgbClr w14:val="000000">
                      <w14:alpha w14:val="100000"/>
                    </w14:srgbClr>
                  </w14:solidFill>
                </w14:textFill>
              </w:rPr>
              <w:t>|</w:t>
            </w:r>
            <w:r w:rsidRPr="00350596">
              <w:rPr>
                <w:rFonts w:cs="Calibri"/>
                <w:color w:val="000000"/>
                <w:szCs w:val="20"/>
              </w:rPr>
              <w:t>%</w:t>
            </w:r>
          </w:p>
        </w:tc>
      </w:tr>
      <w:tr w:rsidR="002A7234" w:rsidRPr="00350596" w14:paraId="0DBBDC22" w14:textId="77777777" w:rsidTr="007959EA">
        <w:tc>
          <w:tcPr>
            <w:tcW w:w="4714" w:type="dxa"/>
            <w:tcMar>
              <w:top w:w="0" w:type="dxa"/>
              <w:left w:w="28" w:type="dxa"/>
              <w:bottom w:w="0" w:type="dxa"/>
              <w:right w:w="28" w:type="dxa"/>
            </w:tcMar>
            <w:vAlign w:val="center"/>
          </w:tcPr>
          <w:p w14:paraId="561ABDB1" w14:textId="77777777" w:rsidR="002A7234" w:rsidRPr="00350596" w:rsidRDefault="002A7234" w:rsidP="007959EA">
            <w:pPr>
              <w:pStyle w:val="COMTabletext"/>
              <w:keepNext w:val="0"/>
              <w:rPr>
                <w:vertAlign w:val="superscript"/>
              </w:rPr>
            </w:pPr>
            <w:r w:rsidRPr="00350596">
              <w:t xml:space="preserve">MyRealWorldMG observational study </w:t>
            </w:r>
            <w:r w:rsidRPr="00350596">
              <w:rPr>
                <w:vertAlign w:val="superscript"/>
              </w:rPr>
              <w:t>c</w:t>
            </w:r>
          </w:p>
        </w:tc>
        <w:tc>
          <w:tcPr>
            <w:tcW w:w="1058" w:type="dxa"/>
            <w:tcMar>
              <w:top w:w="0" w:type="dxa"/>
              <w:left w:w="28" w:type="dxa"/>
              <w:bottom w:w="0" w:type="dxa"/>
              <w:right w:w="28" w:type="dxa"/>
            </w:tcMar>
            <w:vAlign w:val="center"/>
          </w:tcPr>
          <w:p w14:paraId="5AEC1521" w14:textId="58F4848A"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469"/>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469"/>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469"/>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2DF3670F"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1.8457</w:t>
            </w:r>
          </w:p>
        </w:tc>
        <w:tc>
          <w:tcPr>
            <w:tcW w:w="1167" w:type="dxa"/>
            <w:tcMar>
              <w:top w:w="0" w:type="dxa"/>
              <w:left w:w="28" w:type="dxa"/>
              <w:bottom w:w="0" w:type="dxa"/>
              <w:right w:w="28" w:type="dxa"/>
            </w:tcMar>
            <w:vAlign w:val="center"/>
          </w:tcPr>
          <w:p w14:paraId="6DC57CA5" w14:textId="4943324D"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468"/>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468"/>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468"/>
                <w14:textFill>
                  <w14:solidFill>
                    <w14:srgbClr w14:val="000000">
                      <w14:alpha w14:val="100000"/>
                    </w14:srgbClr>
                  </w14:solidFill>
                </w14:textFill>
              </w:rPr>
              <w:t xml:space="preserve">　</w:t>
            </w:r>
            <w:r w:rsidR="00706047" w:rsidRPr="00350596">
              <w:rPr>
                <w:rFonts w:cs="Calibri"/>
                <w:color w:val="000000"/>
                <w:szCs w:val="20"/>
                <w:vertAlign w:val="superscript"/>
              </w:rPr>
              <w:t>3</w:t>
            </w:r>
          </w:p>
        </w:tc>
        <w:tc>
          <w:tcPr>
            <w:tcW w:w="1040" w:type="dxa"/>
            <w:tcMar>
              <w:left w:w="28" w:type="dxa"/>
              <w:right w:w="28" w:type="dxa"/>
            </w:tcMar>
            <w:vAlign w:val="center"/>
          </w:tcPr>
          <w:p w14:paraId="4C4BA9BF" w14:textId="30086704" w:rsidR="002A7234" w:rsidRPr="00350596" w:rsidRDefault="002A7234" w:rsidP="007959EA">
            <w:pPr>
              <w:pStyle w:val="COMTabletext"/>
              <w:keepNext w:val="0"/>
              <w:jc w:val="center"/>
              <w:rPr>
                <w:rFonts w:cs="Calibri"/>
                <w:color w:val="000000"/>
                <w:szCs w:val="20"/>
              </w:rPr>
            </w:pPr>
            <w:r w:rsidRPr="00350596">
              <w:rPr>
                <w:rFonts w:cs="Calibri"/>
                <w:color w:val="000000"/>
                <w:szCs w:val="20"/>
              </w:rPr>
              <w:t>+</w:t>
            </w:r>
            <w:r w:rsidR="00823FDB" w:rsidRPr="00823FDB">
              <w:rPr>
                <w:rFonts w:cs="Calibri"/>
                <w:color w:val="000000"/>
                <w:spacing w:val="89"/>
                <w:szCs w:val="20"/>
                <w:shd w:val="solid" w:color="000000" w:fill="000000"/>
                <w:fitText w:val="175" w:id="-691796224"/>
                <w14:textFill>
                  <w14:solidFill>
                    <w14:srgbClr w14:val="000000">
                      <w14:alpha w14:val="100000"/>
                    </w14:srgbClr>
                  </w14:solidFill>
                </w14:textFill>
              </w:rPr>
              <w:t>|</w:t>
            </w:r>
            <w:r w:rsidR="00823FDB" w:rsidRPr="00823FDB">
              <w:rPr>
                <w:rFonts w:cs="Calibri"/>
                <w:color w:val="000000"/>
                <w:spacing w:val="1"/>
                <w:szCs w:val="20"/>
                <w:shd w:val="solid" w:color="000000" w:fill="000000"/>
                <w:fitText w:val="175" w:id="-691796224"/>
                <w14:textFill>
                  <w14:solidFill>
                    <w14:srgbClr w14:val="000000">
                      <w14:alpha w14:val="100000"/>
                    </w14:srgbClr>
                  </w14:solidFill>
                </w14:textFill>
              </w:rPr>
              <w:t>|</w:t>
            </w:r>
            <w:r w:rsidRPr="00350596">
              <w:rPr>
                <w:rFonts w:cs="Calibri"/>
                <w:color w:val="000000"/>
                <w:szCs w:val="20"/>
              </w:rPr>
              <w:t>%</w:t>
            </w:r>
          </w:p>
        </w:tc>
      </w:tr>
      <w:tr w:rsidR="002A7234" w:rsidRPr="00350596" w14:paraId="60E427C9" w14:textId="77777777" w:rsidTr="007959EA">
        <w:tc>
          <w:tcPr>
            <w:tcW w:w="4714" w:type="dxa"/>
            <w:tcMar>
              <w:top w:w="0" w:type="dxa"/>
              <w:left w:w="28" w:type="dxa"/>
              <w:bottom w:w="0" w:type="dxa"/>
              <w:right w:w="28" w:type="dxa"/>
            </w:tcMar>
            <w:vAlign w:val="center"/>
          </w:tcPr>
          <w:p w14:paraId="7AF8AC5C" w14:textId="77777777" w:rsidR="002A7234" w:rsidRPr="00350596" w:rsidRDefault="002A7234" w:rsidP="007959EA">
            <w:pPr>
              <w:pStyle w:val="COMTabletext"/>
              <w:keepNext w:val="0"/>
            </w:pPr>
            <w:r w:rsidRPr="00350596">
              <w:t>MG-ADL &lt;5 for standard therapy assumed based on chronic IVIg utility value</w:t>
            </w:r>
          </w:p>
        </w:tc>
        <w:tc>
          <w:tcPr>
            <w:tcW w:w="1058" w:type="dxa"/>
            <w:tcMar>
              <w:top w:w="0" w:type="dxa"/>
              <w:left w:w="28" w:type="dxa"/>
              <w:bottom w:w="0" w:type="dxa"/>
              <w:right w:w="28" w:type="dxa"/>
            </w:tcMar>
            <w:vAlign w:val="center"/>
          </w:tcPr>
          <w:p w14:paraId="30F9457A" w14:textId="3FCF4CE8" w:rsidR="002A7234" w:rsidRPr="00350596" w:rsidRDefault="00823FDB" w:rsidP="007959EA">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223"/>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223"/>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223"/>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65EB1D21" w14:textId="77777777" w:rsidR="002A7234" w:rsidRPr="00350596" w:rsidRDefault="002A7234" w:rsidP="007959EA">
            <w:pPr>
              <w:pStyle w:val="COMTabletext"/>
              <w:keepNext w:val="0"/>
              <w:jc w:val="center"/>
              <w:rPr>
                <w:rFonts w:cs="Calibri"/>
                <w:color w:val="000000"/>
                <w:szCs w:val="20"/>
              </w:rPr>
            </w:pPr>
            <w:r w:rsidRPr="00350596">
              <w:rPr>
                <w:rFonts w:cs="Calibri"/>
                <w:color w:val="000000"/>
                <w:szCs w:val="20"/>
              </w:rPr>
              <w:t>1.7858</w:t>
            </w:r>
          </w:p>
        </w:tc>
        <w:tc>
          <w:tcPr>
            <w:tcW w:w="1167" w:type="dxa"/>
            <w:tcMar>
              <w:top w:w="0" w:type="dxa"/>
              <w:left w:w="28" w:type="dxa"/>
              <w:bottom w:w="0" w:type="dxa"/>
              <w:right w:w="28" w:type="dxa"/>
            </w:tcMar>
            <w:vAlign w:val="center"/>
          </w:tcPr>
          <w:p w14:paraId="07C96398" w14:textId="7D3EACC9" w:rsidR="002A7234" w:rsidRPr="00350596" w:rsidRDefault="00823FDB" w:rsidP="007959EA">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222"/>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222"/>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222"/>
                <w14:textFill>
                  <w14:solidFill>
                    <w14:srgbClr w14:val="000000">
                      <w14:alpha w14:val="100000"/>
                    </w14:srgbClr>
                  </w14:solidFill>
                </w14:textFill>
              </w:rPr>
              <w:t xml:space="preserve">　</w:t>
            </w:r>
            <w:r w:rsidR="00706047" w:rsidRPr="00350596">
              <w:rPr>
                <w:rFonts w:cs="Calibri"/>
                <w:color w:val="000000"/>
                <w:szCs w:val="20"/>
                <w:vertAlign w:val="superscript"/>
              </w:rPr>
              <w:t>3</w:t>
            </w:r>
          </w:p>
        </w:tc>
        <w:tc>
          <w:tcPr>
            <w:tcW w:w="1040" w:type="dxa"/>
            <w:tcMar>
              <w:left w:w="28" w:type="dxa"/>
              <w:right w:w="28" w:type="dxa"/>
            </w:tcMar>
            <w:vAlign w:val="center"/>
          </w:tcPr>
          <w:p w14:paraId="53FE6136" w14:textId="75C3F3FA" w:rsidR="002A7234" w:rsidRPr="00350596" w:rsidRDefault="002A7234" w:rsidP="007959EA">
            <w:pPr>
              <w:pStyle w:val="COMTabletext"/>
              <w:keepNext w:val="0"/>
              <w:jc w:val="center"/>
              <w:rPr>
                <w:rFonts w:cs="Calibri"/>
                <w:color w:val="000000"/>
                <w:szCs w:val="20"/>
              </w:rPr>
            </w:pPr>
            <w:r w:rsidRPr="00350596">
              <w:t>+</w:t>
            </w:r>
            <w:r w:rsidR="00823FDB" w:rsidRPr="00823FDB">
              <w:rPr>
                <w:color w:val="000000"/>
                <w:spacing w:val="89"/>
                <w:shd w:val="solid" w:color="000000" w:fill="000000"/>
                <w:fitText w:val="175" w:id="-691796221"/>
                <w14:textFill>
                  <w14:solidFill>
                    <w14:srgbClr w14:val="000000">
                      <w14:alpha w14:val="100000"/>
                    </w14:srgbClr>
                  </w14:solidFill>
                </w14:textFill>
              </w:rPr>
              <w:t>|</w:t>
            </w:r>
            <w:r w:rsidR="00823FDB" w:rsidRPr="00823FDB">
              <w:rPr>
                <w:color w:val="000000"/>
                <w:spacing w:val="1"/>
                <w:shd w:val="solid" w:color="000000" w:fill="000000"/>
                <w:fitText w:val="175" w:id="-691796221"/>
                <w14:textFill>
                  <w14:solidFill>
                    <w14:srgbClr w14:val="000000">
                      <w14:alpha w14:val="100000"/>
                    </w14:srgbClr>
                  </w14:solidFill>
                </w14:textFill>
              </w:rPr>
              <w:t>|</w:t>
            </w:r>
            <w:r w:rsidRPr="00350596">
              <w:t>%</w:t>
            </w:r>
          </w:p>
        </w:tc>
      </w:tr>
      <w:tr w:rsidR="002A7234" w:rsidRPr="00350596" w14:paraId="3F013540" w14:textId="77777777" w:rsidTr="007959EA">
        <w:tc>
          <w:tcPr>
            <w:tcW w:w="9029" w:type="dxa"/>
            <w:gridSpan w:val="5"/>
            <w:tcMar>
              <w:top w:w="0" w:type="dxa"/>
              <w:left w:w="28" w:type="dxa"/>
              <w:bottom w:w="0" w:type="dxa"/>
              <w:right w:w="28" w:type="dxa"/>
            </w:tcMar>
            <w:vAlign w:val="center"/>
          </w:tcPr>
          <w:p w14:paraId="248FE2EC" w14:textId="77777777" w:rsidR="002A7234" w:rsidRPr="00350596" w:rsidRDefault="002A7234" w:rsidP="007959EA">
            <w:pPr>
              <w:pStyle w:val="COMTableheadingrow"/>
              <w:rPr>
                <w:lang w:val="en-AU"/>
              </w:rPr>
            </w:pPr>
            <w:r w:rsidRPr="00350596">
              <w:rPr>
                <w:lang w:val="en-AU"/>
              </w:rPr>
              <w:t>Costs (base case resource use and unit costs based on various sources)</w:t>
            </w:r>
          </w:p>
        </w:tc>
      </w:tr>
      <w:tr w:rsidR="00BC0716" w:rsidRPr="00350596" w14:paraId="6D685343" w14:textId="77777777" w:rsidTr="007959EA">
        <w:tc>
          <w:tcPr>
            <w:tcW w:w="4714" w:type="dxa"/>
            <w:tcMar>
              <w:top w:w="0" w:type="dxa"/>
              <w:left w:w="28" w:type="dxa"/>
              <w:bottom w:w="0" w:type="dxa"/>
              <w:right w:w="28" w:type="dxa"/>
            </w:tcMar>
            <w:vAlign w:val="center"/>
          </w:tcPr>
          <w:p w14:paraId="0727E4F4" w14:textId="24BAA99A" w:rsidR="00BC0716" w:rsidRPr="00350596" w:rsidRDefault="00BC0716" w:rsidP="00BC0716">
            <w:pPr>
              <w:pStyle w:val="COMTabletext"/>
              <w:keepNext w:val="0"/>
            </w:pPr>
            <w:r w:rsidRPr="00350596">
              <w:t>Efgartigimod administration costs based on MBS item 116</w:t>
            </w:r>
          </w:p>
        </w:tc>
        <w:tc>
          <w:tcPr>
            <w:tcW w:w="1058" w:type="dxa"/>
            <w:tcMar>
              <w:top w:w="0" w:type="dxa"/>
              <w:left w:w="28" w:type="dxa"/>
              <w:bottom w:w="0" w:type="dxa"/>
              <w:right w:w="28" w:type="dxa"/>
            </w:tcMar>
            <w:vAlign w:val="center"/>
          </w:tcPr>
          <w:p w14:paraId="20872528" w14:textId="3D1B150C" w:rsidR="00BC0716" w:rsidRPr="00350596" w:rsidRDefault="00823FDB" w:rsidP="00BC0716">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220"/>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220"/>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220"/>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7BA93210" w14:textId="0558819F" w:rsidR="00BC0716" w:rsidRPr="00350596" w:rsidRDefault="00BC0716" w:rsidP="00BC0716">
            <w:pPr>
              <w:pStyle w:val="COMTabletext"/>
              <w:keepNext w:val="0"/>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24F29B68" w14:textId="039E2DE7" w:rsidR="00BC0716" w:rsidRPr="00350596" w:rsidRDefault="00823FDB" w:rsidP="00BC0716">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219"/>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219"/>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219"/>
                <w14:textFill>
                  <w14:solidFill>
                    <w14:srgbClr w14:val="000000">
                      <w14:alpha w14:val="100000"/>
                    </w14:srgbClr>
                  </w14:solidFill>
                </w14:textFill>
              </w:rPr>
              <w:t xml:space="preserve">　</w:t>
            </w:r>
            <w:r w:rsidR="00AE489A" w:rsidRPr="00350596">
              <w:rPr>
                <w:b/>
                <w:bCs w:val="0"/>
                <w:vertAlign w:val="superscript"/>
              </w:rPr>
              <w:t>1</w:t>
            </w:r>
          </w:p>
        </w:tc>
        <w:tc>
          <w:tcPr>
            <w:tcW w:w="1040" w:type="dxa"/>
            <w:tcMar>
              <w:left w:w="28" w:type="dxa"/>
              <w:right w:w="28" w:type="dxa"/>
            </w:tcMar>
            <w:vAlign w:val="center"/>
          </w:tcPr>
          <w:p w14:paraId="0A40A78C" w14:textId="1764EB4F" w:rsidR="00BC0716" w:rsidRPr="00350596" w:rsidRDefault="00BC0716" w:rsidP="00BC0716">
            <w:pPr>
              <w:pStyle w:val="COMTabletext"/>
              <w:keepNext w:val="0"/>
              <w:jc w:val="center"/>
            </w:pPr>
            <w:r w:rsidRPr="00350596">
              <w:t>-</w:t>
            </w:r>
            <w:r w:rsidR="00823FDB" w:rsidRPr="00823FDB">
              <w:rPr>
                <w:rFonts w:hint="eastAsia"/>
                <w:color w:val="000000"/>
                <w:w w:val="33"/>
                <w:shd w:val="solid" w:color="000000" w:fill="000000"/>
                <w:fitText w:val="150" w:id="-691796218"/>
                <w14:textFill>
                  <w14:solidFill>
                    <w14:srgbClr w14:val="000000">
                      <w14:alpha w14:val="100000"/>
                    </w14:srgbClr>
                  </w14:solidFill>
                </w14:textFill>
              </w:rPr>
              <w:t xml:space="preserve">　</w:t>
            </w:r>
            <w:r w:rsidR="00823FDB" w:rsidRPr="00823FDB">
              <w:rPr>
                <w:color w:val="000000"/>
                <w:w w:val="33"/>
                <w:shd w:val="solid" w:color="000000" w:fill="000000"/>
                <w:fitText w:val="150" w:id="-691796218"/>
                <w14:textFill>
                  <w14:solidFill>
                    <w14:srgbClr w14:val="000000">
                      <w14:alpha w14:val="100000"/>
                    </w14:srgbClr>
                  </w14:solidFill>
                </w14:textFill>
              </w:rPr>
              <w:t>|</w:t>
            </w:r>
            <w:r w:rsidR="00823FDB" w:rsidRPr="00823FDB">
              <w:rPr>
                <w:rFonts w:hint="eastAsia"/>
                <w:color w:val="000000"/>
                <w:w w:val="33"/>
                <w:shd w:val="solid" w:color="000000" w:fill="000000"/>
                <w:fitText w:val="150" w:id="-691796218"/>
                <w14:textFill>
                  <w14:solidFill>
                    <w14:srgbClr w14:val="000000">
                      <w14:alpha w14:val="100000"/>
                    </w14:srgbClr>
                  </w14:solidFill>
                </w14:textFill>
              </w:rPr>
              <w:t xml:space="preserve">　</w:t>
            </w:r>
            <w:r w:rsidRPr="00350596">
              <w:t>%</w:t>
            </w:r>
          </w:p>
        </w:tc>
      </w:tr>
      <w:tr w:rsidR="00BC0716" w:rsidRPr="00350596" w14:paraId="1D9BD870" w14:textId="77777777" w:rsidTr="007959EA">
        <w:tc>
          <w:tcPr>
            <w:tcW w:w="4714" w:type="dxa"/>
            <w:tcMar>
              <w:top w:w="0" w:type="dxa"/>
              <w:left w:w="28" w:type="dxa"/>
              <w:bottom w:w="0" w:type="dxa"/>
              <w:right w:w="28" w:type="dxa"/>
            </w:tcMar>
            <w:vAlign w:val="center"/>
          </w:tcPr>
          <w:p w14:paraId="68E547E2" w14:textId="5AC289BA" w:rsidR="00BC0716" w:rsidRPr="00350596" w:rsidRDefault="00BC0716" w:rsidP="00BC0716">
            <w:pPr>
              <w:pStyle w:val="COMTabletext"/>
              <w:keepNext w:val="0"/>
            </w:pPr>
            <w:r w:rsidRPr="00350596">
              <w:t>Chronic IVIg administration costs based on MBS item 14245</w:t>
            </w:r>
          </w:p>
        </w:tc>
        <w:tc>
          <w:tcPr>
            <w:tcW w:w="1058" w:type="dxa"/>
            <w:tcMar>
              <w:top w:w="0" w:type="dxa"/>
              <w:left w:w="28" w:type="dxa"/>
              <w:bottom w:w="0" w:type="dxa"/>
              <w:right w:w="28" w:type="dxa"/>
            </w:tcMar>
            <w:vAlign w:val="center"/>
          </w:tcPr>
          <w:p w14:paraId="3F039C1E" w14:textId="4C98E268" w:rsidR="00BC0716" w:rsidRPr="00350596" w:rsidRDefault="00823FDB" w:rsidP="00BC0716">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217"/>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217"/>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217"/>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0888FDC6" w14:textId="1F067F63" w:rsidR="00BC0716" w:rsidRPr="00350596" w:rsidRDefault="00BC0716" w:rsidP="00BC0716">
            <w:pPr>
              <w:pStyle w:val="COMTabletext"/>
              <w:keepNext w:val="0"/>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0A7C445D" w14:textId="021337FE" w:rsidR="00BC0716" w:rsidRPr="00350596" w:rsidRDefault="00823FDB" w:rsidP="00BC0716">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216"/>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216"/>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216"/>
                <w14:textFill>
                  <w14:solidFill>
                    <w14:srgbClr w14:val="000000">
                      <w14:alpha w14:val="100000"/>
                    </w14:srgbClr>
                  </w14:solidFill>
                </w14:textFill>
              </w:rPr>
              <w:t xml:space="preserve">　</w:t>
            </w:r>
            <w:r w:rsidR="00AE489A" w:rsidRPr="00350596">
              <w:rPr>
                <w:b/>
                <w:bCs w:val="0"/>
                <w:vertAlign w:val="superscript"/>
              </w:rPr>
              <w:t>1</w:t>
            </w:r>
          </w:p>
        </w:tc>
        <w:tc>
          <w:tcPr>
            <w:tcW w:w="1040" w:type="dxa"/>
            <w:tcMar>
              <w:left w:w="28" w:type="dxa"/>
              <w:right w:w="28" w:type="dxa"/>
            </w:tcMar>
            <w:vAlign w:val="center"/>
          </w:tcPr>
          <w:p w14:paraId="5C57566F" w14:textId="259E0EFD" w:rsidR="00BC0716" w:rsidRPr="00350596" w:rsidRDefault="00BC0716" w:rsidP="00BC0716">
            <w:pPr>
              <w:pStyle w:val="COMTabletext"/>
              <w:keepNext w:val="0"/>
              <w:jc w:val="center"/>
            </w:pPr>
            <w:r w:rsidRPr="00350596">
              <w:t>+</w:t>
            </w:r>
            <w:r w:rsidR="00823FDB" w:rsidRPr="00823FDB">
              <w:rPr>
                <w:color w:val="000000"/>
                <w:spacing w:val="89"/>
                <w:shd w:val="solid" w:color="000000" w:fill="000000"/>
                <w:fitText w:val="175" w:id="-691796215"/>
                <w14:textFill>
                  <w14:solidFill>
                    <w14:srgbClr w14:val="000000">
                      <w14:alpha w14:val="100000"/>
                    </w14:srgbClr>
                  </w14:solidFill>
                </w14:textFill>
              </w:rPr>
              <w:t>|</w:t>
            </w:r>
            <w:r w:rsidR="00823FDB" w:rsidRPr="00823FDB">
              <w:rPr>
                <w:color w:val="000000"/>
                <w:spacing w:val="1"/>
                <w:shd w:val="solid" w:color="000000" w:fill="000000"/>
                <w:fitText w:val="175" w:id="-691796215"/>
                <w14:textFill>
                  <w14:solidFill>
                    <w14:srgbClr w14:val="000000">
                      <w14:alpha w14:val="100000"/>
                    </w14:srgbClr>
                  </w14:solidFill>
                </w14:textFill>
              </w:rPr>
              <w:t>|</w:t>
            </w:r>
            <w:r w:rsidRPr="00350596">
              <w:t>%</w:t>
            </w:r>
          </w:p>
        </w:tc>
      </w:tr>
      <w:tr w:rsidR="00BC0716" w:rsidRPr="00350596" w14:paraId="6D5B8380" w14:textId="77777777" w:rsidTr="007959EA">
        <w:tc>
          <w:tcPr>
            <w:tcW w:w="4714" w:type="dxa"/>
            <w:tcMar>
              <w:top w:w="0" w:type="dxa"/>
              <w:left w:w="28" w:type="dxa"/>
              <w:bottom w:w="0" w:type="dxa"/>
              <w:right w:w="28" w:type="dxa"/>
            </w:tcMar>
            <w:vAlign w:val="center"/>
          </w:tcPr>
          <w:p w14:paraId="270B3D46" w14:textId="77777777" w:rsidR="00BC0716" w:rsidRPr="00350596" w:rsidRDefault="00BC0716" w:rsidP="00BC0716">
            <w:pPr>
              <w:pStyle w:val="COMTabletext"/>
              <w:keepNext w:val="0"/>
            </w:pPr>
            <w:r w:rsidRPr="00350596">
              <w:t>Halve exacerbation event costs</w:t>
            </w:r>
          </w:p>
        </w:tc>
        <w:tc>
          <w:tcPr>
            <w:tcW w:w="1058" w:type="dxa"/>
            <w:tcMar>
              <w:top w:w="0" w:type="dxa"/>
              <w:left w:w="28" w:type="dxa"/>
              <w:bottom w:w="0" w:type="dxa"/>
              <w:right w:w="28" w:type="dxa"/>
            </w:tcMar>
            <w:vAlign w:val="center"/>
          </w:tcPr>
          <w:p w14:paraId="753A648B" w14:textId="6ED32713" w:rsidR="00BC0716" w:rsidRPr="00350596" w:rsidRDefault="00823FDB" w:rsidP="00BC0716">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214"/>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214"/>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214"/>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5C301896" w14:textId="77777777" w:rsidR="00BC0716" w:rsidRPr="00350596" w:rsidRDefault="00BC0716" w:rsidP="00BC0716">
            <w:pPr>
              <w:pStyle w:val="COMTabletext"/>
              <w:keepNext w:val="0"/>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3C2C2881" w14:textId="1830EDB3" w:rsidR="00BC0716" w:rsidRPr="00350596" w:rsidRDefault="00823FDB" w:rsidP="00BC0716">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213"/>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213"/>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213"/>
                <w14:textFill>
                  <w14:solidFill>
                    <w14:srgbClr w14:val="000000">
                      <w14:alpha w14:val="100000"/>
                    </w14:srgbClr>
                  </w14:solidFill>
                </w14:textFill>
              </w:rPr>
              <w:t xml:space="preserve">　</w:t>
            </w:r>
            <w:r w:rsidR="00AE489A" w:rsidRPr="00350596">
              <w:rPr>
                <w:b/>
                <w:bCs w:val="0"/>
                <w:vertAlign w:val="superscript"/>
              </w:rPr>
              <w:t>1</w:t>
            </w:r>
          </w:p>
        </w:tc>
        <w:tc>
          <w:tcPr>
            <w:tcW w:w="1040" w:type="dxa"/>
            <w:tcMar>
              <w:left w:w="28" w:type="dxa"/>
              <w:right w:w="28" w:type="dxa"/>
            </w:tcMar>
            <w:vAlign w:val="center"/>
          </w:tcPr>
          <w:p w14:paraId="051AB9EE" w14:textId="4D69E952" w:rsidR="00BC0716" w:rsidRPr="00350596" w:rsidRDefault="00BC0716" w:rsidP="00BC0716">
            <w:pPr>
              <w:pStyle w:val="COMTabletext"/>
              <w:keepNext w:val="0"/>
              <w:jc w:val="center"/>
              <w:rPr>
                <w:rFonts w:cs="Calibri"/>
                <w:color w:val="000000"/>
                <w:szCs w:val="20"/>
              </w:rPr>
            </w:pPr>
            <w:r w:rsidRPr="00350596">
              <w:t>+</w:t>
            </w:r>
            <w:r w:rsidR="00823FDB" w:rsidRPr="00823FDB">
              <w:rPr>
                <w:color w:val="000000"/>
                <w:spacing w:val="89"/>
                <w:shd w:val="solid" w:color="000000" w:fill="000000"/>
                <w:fitText w:val="175" w:id="-691796212"/>
                <w14:textFill>
                  <w14:solidFill>
                    <w14:srgbClr w14:val="000000">
                      <w14:alpha w14:val="100000"/>
                    </w14:srgbClr>
                  </w14:solidFill>
                </w14:textFill>
              </w:rPr>
              <w:t>|</w:t>
            </w:r>
            <w:r w:rsidR="00823FDB" w:rsidRPr="00823FDB">
              <w:rPr>
                <w:color w:val="000000"/>
                <w:spacing w:val="1"/>
                <w:shd w:val="solid" w:color="000000" w:fill="000000"/>
                <w:fitText w:val="175" w:id="-691796212"/>
                <w14:textFill>
                  <w14:solidFill>
                    <w14:srgbClr w14:val="000000">
                      <w14:alpha w14:val="100000"/>
                    </w14:srgbClr>
                  </w14:solidFill>
                </w14:textFill>
              </w:rPr>
              <w:t>|</w:t>
            </w:r>
            <w:r w:rsidRPr="00350596">
              <w:t>%</w:t>
            </w:r>
          </w:p>
        </w:tc>
      </w:tr>
      <w:tr w:rsidR="00BC0716" w:rsidRPr="00350596" w14:paraId="50711211" w14:textId="77777777" w:rsidTr="007959EA">
        <w:tc>
          <w:tcPr>
            <w:tcW w:w="4714" w:type="dxa"/>
            <w:tcMar>
              <w:top w:w="0" w:type="dxa"/>
              <w:left w:w="28" w:type="dxa"/>
              <w:bottom w:w="0" w:type="dxa"/>
              <w:right w:w="28" w:type="dxa"/>
            </w:tcMar>
            <w:vAlign w:val="center"/>
          </w:tcPr>
          <w:p w14:paraId="6AD0AD80" w14:textId="77777777" w:rsidR="00BC0716" w:rsidRPr="00350596" w:rsidRDefault="00BC0716" w:rsidP="00BC0716">
            <w:pPr>
              <w:pStyle w:val="COMTabletext"/>
              <w:keepNext w:val="0"/>
            </w:pPr>
            <w:r w:rsidRPr="00350596">
              <w:t>Double exacerbation event costs</w:t>
            </w:r>
          </w:p>
        </w:tc>
        <w:tc>
          <w:tcPr>
            <w:tcW w:w="1058" w:type="dxa"/>
            <w:tcMar>
              <w:top w:w="0" w:type="dxa"/>
              <w:left w:w="28" w:type="dxa"/>
              <w:bottom w:w="0" w:type="dxa"/>
              <w:right w:w="28" w:type="dxa"/>
            </w:tcMar>
            <w:vAlign w:val="center"/>
          </w:tcPr>
          <w:p w14:paraId="629CE5D5" w14:textId="24CF562C" w:rsidR="00BC0716" w:rsidRPr="00350596" w:rsidRDefault="00823FDB" w:rsidP="00BC0716">
            <w:pPr>
              <w:pStyle w:val="COMTabletext"/>
              <w:keepNext w:val="0"/>
              <w:jc w:val="center"/>
              <w:rPr>
                <w:rFonts w:cs="Calibri"/>
                <w:color w:val="000000"/>
                <w:szCs w:val="20"/>
                <w:highlight w:val="darkGray"/>
              </w:rPr>
            </w:pPr>
            <w:r w:rsidRPr="00823FDB">
              <w:rPr>
                <w:rFonts w:cs="Calibri" w:hint="eastAsia"/>
                <w:color w:val="000000"/>
                <w:w w:val="15"/>
                <w:szCs w:val="20"/>
                <w:shd w:val="solid" w:color="000000" w:fill="000000"/>
                <w:fitText w:val="37" w:id="-691796211"/>
                <w14:textFill>
                  <w14:solidFill>
                    <w14:srgbClr w14:val="000000">
                      <w14:alpha w14:val="100000"/>
                    </w14:srgbClr>
                  </w14:solidFill>
                </w14:textFill>
              </w:rPr>
              <w:t xml:space="preserve">　</w:t>
            </w:r>
            <w:r w:rsidRPr="00823FDB">
              <w:rPr>
                <w:rFonts w:cs="Calibri"/>
                <w:color w:val="000000"/>
                <w:w w:val="15"/>
                <w:szCs w:val="20"/>
                <w:shd w:val="solid" w:color="000000" w:fill="000000"/>
                <w:fitText w:val="37" w:id="-691796211"/>
                <w14:textFill>
                  <w14:solidFill>
                    <w14:srgbClr w14:val="000000">
                      <w14:alpha w14:val="100000"/>
                    </w14:srgbClr>
                  </w14:solidFill>
                </w14:textFill>
              </w:rPr>
              <w:t>|</w:t>
            </w:r>
            <w:r w:rsidRPr="00823FDB">
              <w:rPr>
                <w:rFonts w:cs="Calibri" w:hint="eastAsia"/>
                <w:color w:val="000000"/>
                <w:spacing w:val="-28"/>
                <w:w w:val="15"/>
                <w:szCs w:val="20"/>
                <w:shd w:val="solid" w:color="000000" w:fill="000000"/>
                <w:fitText w:val="37" w:id="-691796211"/>
                <w14:textFill>
                  <w14:solidFill>
                    <w14:srgbClr w14:val="000000">
                      <w14:alpha w14:val="100000"/>
                    </w14:srgbClr>
                  </w14:solidFill>
                </w14:textFill>
              </w:rPr>
              <w:t xml:space="preserve">　</w:t>
            </w:r>
            <w:r w:rsidR="00612D9F" w:rsidRPr="00612D9F">
              <w:rPr>
                <w:rFonts w:cs="Calibri"/>
                <w:color w:val="000000"/>
                <w:szCs w:val="20"/>
              </w:rPr>
              <w:t xml:space="preserve"> </w:t>
            </w:r>
          </w:p>
        </w:tc>
        <w:tc>
          <w:tcPr>
            <w:tcW w:w="1050" w:type="dxa"/>
            <w:tcMar>
              <w:top w:w="0" w:type="dxa"/>
              <w:left w:w="28" w:type="dxa"/>
              <w:bottom w:w="0" w:type="dxa"/>
              <w:right w:w="28" w:type="dxa"/>
            </w:tcMar>
            <w:vAlign w:val="center"/>
          </w:tcPr>
          <w:p w14:paraId="382A1098" w14:textId="77777777" w:rsidR="00BC0716" w:rsidRPr="00350596" w:rsidRDefault="00BC0716" w:rsidP="00BC0716">
            <w:pPr>
              <w:pStyle w:val="COMTabletext"/>
              <w:keepNext w:val="0"/>
              <w:jc w:val="center"/>
              <w:rPr>
                <w:rFonts w:cs="Calibri"/>
                <w:color w:val="000000"/>
                <w:szCs w:val="20"/>
              </w:rPr>
            </w:pPr>
            <w:r w:rsidRPr="00350596">
              <w:rPr>
                <w:rFonts w:cs="Calibri"/>
                <w:color w:val="000000"/>
                <w:szCs w:val="20"/>
              </w:rPr>
              <w:t>2.3879</w:t>
            </w:r>
          </w:p>
        </w:tc>
        <w:tc>
          <w:tcPr>
            <w:tcW w:w="1167" w:type="dxa"/>
            <w:tcMar>
              <w:top w:w="0" w:type="dxa"/>
              <w:left w:w="28" w:type="dxa"/>
              <w:bottom w:w="0" w:type="dxa"/>
              <w:right w:w="28" w:type="dxa"/>
            </w:tcMar>
            <w:vAlign w:val="center"/>
          </w:tcPr>
          <w:p w14:paraId="40CB667E" w14:textId="3DBCF4D5" w:rsidR="00BC0716" w:rsidRPr="00350596" w:rsidRDefault="00823FDB" w:rsidP="00BC0716">
            <w:pPr>
              <w:pStyle w:val="COMTabletext"/>
              <w:keepNext w:val="0"/>
              <w:jc w:val="center"/>
              <w:rPr>
                <w:rFonts w:cs="Calibri"/>
                <w:color w:val="000000"/>
                <w:szCs w:val="20"/>
                <w:highlight w:val="darkGray"/>
              </w:rPr>
            </w:pPr>
            <w:r w:rsidRPr="002B16A5">
              <w:rPr>
                <w:rFonts w:cs="Calibri" w:hint="eastAsia"/>
                <w:color w:val="000000"/>
                <w:w w:val="15"/>
                <w:szCs w:val="20"/>
                <w:shd w:val="solid" w:color="000000" w:fill="000000"/>
                <w:fitText w:val="12" w:id="-691796210"/>
                <w14:textFill>
                  <w14:solidFill>
                    <w14:srgbClr w14:val="000000">
                      <w14:alpha w14:val="100000"/>
                    </w14:srgbClr>
                  </w14:solidFill>
                </w14:textFill>
              </w:rPr>
              <w:t xml:space="preserve">　</w:t>
            </w:r>
            <w:r w:rsidRPr="002B16A5">
              <w:rPr>
                <w:rFonts w:cs="Calibri"/>
                <w:color w:val="000000"/>
                <w:w w:val="15"/>
                <w:szCs w:val="20"/>
                <w:shd w:val="solid" w:color="000000" w:fill="000000"/>
                <w:fitText w:val="12" w:id="-691796210"/>
                <w14:textFill>
                  <w14:solidFill>
                    <w14:srgbClr w14:val="000000">
                      <w14:alpha w14:val="100000"/>
                    </w14:srgbClr>
                  </w14:solidFill>
                </w14:textFill>
              </w:rPr>
              <w:t>|</w:t>
            </w:r>
            <w:r w:rsidRPr="002B16A5">
              <w:rPr>
                <w:rFonts w:cs="Calibri" w:hint="eastAsia"/>
                <w:color w:val="000000"/>
                <w:spacing w:val="-54"/>
                <w:w w:val="15"/>
                <w:szCs w:val="20"/>
                <w:shd w:val="solid" w:color="000000" w:fill="000000"/>
                <w:fitText w:val="12" w:id="-691796210"/>
                <w14:textFill>
                  <w14:solidFill>
                    <w14:srgbClr w14:val="000000">
                      <w14:alpha w14:val="100000"/>
                    </w14:srgbClr>
                  </w14:solidFill>
                </w14:textFill>
              </w:rPr>
              <w:t xml:space="preserve">　</w:t>
            </w:r>
            <w:r w:rsidR="00853A41" w:rsidRPr="00350596">
              <w:rPr>
                <w:rFonts w:cs="Calibri"/>
                <w:color w:val="000000"/>
                <w:szCs w:val="20"/>
                <w:vertAlign w:val="superscript"/>
              </w:rPr>
              <w:t>9</w:t>
            </w:r>
          </w:p>
        </w:tc>
        <w:tc>
          <w:tcPr>
            <w:tcW w:w="1040" w:type="dxa"/>
            <w:tcMar>
              <w:left w:w="28" w:type="dxa"/>
              <w:right w:w="28" w:type="dxa"/>
            </w:tcMar>
            <w:vAlign w:val="center"/>
          </w:tcPr>
          <w:p w14:paraId="5627D05B" w14:textId="5DBF149D" w:rsidR="00BC0716" w:rsidRPr="00350596" w:rsidRDefault="00BC0716" w:rsidP="00BC0716">
            <w:pPr>
              <w:pStyle w:val="COMTabletext"/>
              <w:keepNext w:val="0"/>
              <w:jc w:val="center"/>
              <w:rPr>
                <w:rFonts w:cs="Calibri"/>
                <w:color w:val="000000"/>
                <w:szCs w:val="20"/>
              </w:rPr>
            </w:pPr>
            <w:r w:rsidRPr="00350596">
              <w:t>-</w:t>
            </w:r>
            <w:r w:rsidR="00823FDB">
              <w:rPr>
                <w:rFonts w:hint="eastAsia"/>
                <w:color w:val="000000"/>
                <w:w w:val="33"/>
                <w:shd w:val="solid" w:color="000000" w:fill="000000"/>
                <w:fitText w:val="150" w:id="-691796209"/>
                <w14:textFill>
                  <w14:solidFill>
                    <w14:srgbClr w14:val="000000">
                      <w14:alpha w14:val="100000"/>
                    </w14:srgbClr>
                  </w14:solidFill>
                </w14:textFill>
              </w:rPr>
              <w:t xml:space="preserve">　</w:t>
            </w:r>
            <w:r w:rsidR="00823FDB">
              <w:rPr>
                <w:color w:val="000000"/>
                <w:w w:val="33"/>
                <w:shd w:val="solid" w:color="000000" w:fill="000000"/>
                <w:fitText w:val="150" w:id="-691796209"/>
                <w14:textFill>
                  <w14:solidFill>
                    <w14:srgbClr w14:val="000000">
                      <w14:alpha w14:val="100000"/>
                    </w14:srgbClr>
                  </w14:solidFill>
                </w14:textFill>
              </w:rPr>
              <w:t>|</w:t>
            </w:r>
            <w:r w:rsidR="00823FDB">
              <w:rPr>
                <w:rFonts w:hint="eastAsia"/>
                <w:color w:val="000000"/>
                <w:spacing w:val="4"/>
                <w:w w:val="33"/>
                <w:shd w:val="solid" w:color="000000" w:fill="000000"/>
                <w:fitText w:val="150" w:id="-691796209"/>
                <w14:textFill>
                  <w14:solidFill>
                    <w14:srgbClr w14:val="000000">
                      <w14:alpha w14:val="100000"/>
                    </w14:srgbClr>
                  </w14:solidFill>
                </w14:textFill>
              </w:rPr>
              <w:t xml:space="preserve">　</w:t>
            </w:r>
            <w:r w:rsidRPr="00350596">
              <w:t>%</w:t>
            </w:r>
          </w:p>
        </w:tc>
      </w:tr>
    </w:tbl>
    <w:p w14:paraId="77B92E33" w14:textId="30E933D9" w:rsidR="006D34A4" w:rsidRPr="00350596" w:rsidRDefault="006D34A4" w:rsidP="006D34A4">
      <w:pPr>
        <w:pStyle w:val="COMTablefooter"/>
      </w:pPr>
      <w:r w:rsidRPr="00350596">
        <w:t>Source: Section 3A.9, pp172-180 of the submission</w:t>
      </w:r>
    </w:p>
    <w:p w14:paraId="162E588F" w14:textId="77777777" w:rsidR="006D34A4" w:rsidRPr="00350596" w:rsidRDefault="006D34A4" w:rsidP="006D34A4">
      <w:pPr>
        <w:pStyle w:val="COMTablefooter"/>
      </w:pPr>
      <w:r w:rsidRPr="00350596">
        <w:t>Abbreviations: AChR+, acetylcholine receptor antibody positive; HR, hazard ratio; ICER, incremental cost effectiveness ratio; IVIg, intravenous immunoglobulin; MBS, Medicare Benefits Schedule; MG-ADL, Myasthenia Gravis Activities of Daily Living; PLEX, plasma exchange; QALY, quality adjusted life year</w:t>
      </w:r>
    </w:p>
    <w:p w14:paraId="0B082D82" w14:textId="77777777" w:rsidR="006D34A4" w:rsidRPr="00350596" w:rsidRDefault="006D34A4" w:rsidP="006D34A4">
      <w:pPr>
        <w:pStyle w:val="COMTablefooter"/>
      </w:pPr>
      <w:r w:rsidRPr="00350596">
        <w:rPr>
          <w:vertAlign w:val="superscript"/>
        </w:rPr>
        <w:t>a</w:t>
      </w:r>
      <w:r w:rsidRPr="00350596">
        <w:t xml:space="preserve"> Due to an error in the model, adverse event disutilities were not applied. This was not corrected during the evaluation due to minimal impact on the cost-effectiveness estimate</w:t>
      </w:r>
    </w:p>
    <w:p w14:paraId="53C6999C" w14:textId="2D7217D1" w:rsidR="006D34A4" w:rsidRPr="00350596" w:rsidRDefault="006D34A4" w:rsidP="006D34A4">
      <w:pPr>
        <w:pStyle w:val="COMTablefooter"/>
      </w:pPr>
      <w:r w:rsidRPr="00350596">
        <w:rPr>
          <w:vertAlign w:val="superscript"/>
        </w:rPr>
        <w:t>b</w:t>
      </w:r>
      <w:r w:rsidRPr="00350596">
        <w:t xml:space="preserve"> Same utility values applied between treatments (MG-ADL &lt;</w:t>
      </w:r>
      <w:r w:rsidR="009C59C3">
        <w:t xml:space="preserve"> </w:t>
      </w:r>
      <w:r w:rsidRPr="00350596">
        <w:t>5: 0.767, MG-ADL 5-7: 0.691, MG-ADL 8-9: 0.601, MG-ADL ≥10: 0.499, myasthenic crises: 0.499)</w:t>
      </w:r>
    </w:p>
    <w:p w14:paraId="5C718DFD" w14:textId="0D087F33" w:rsidR="00FD0081" w:rsidRPr="00350596" w:rsidRDefault="006D34A4" w:rsidP="00FD0081">
      <w:pPr>
        <w:pStyle w:val="COMTablefooter"/>
      </w:pPr>
      <w:r w:rsidRPr="00350596">
        <w:rPr>
          <w:vertAlign w:val="superscript"/>
        </w:rPr>
        <w:t>c</w:t>
      </w:r>
      <w:r w:rsidRPr="00350596">
        <w:t xml:space="preserve"> Same utility values applied between treatments (MG-ADL &lt;</w:t>
      </w:r>
      <w:r w:rsidR="009C59C3">
        <w:t xml:space="preserve"> </w:t>
      </w:r>
      <w:r w:rsidRPr="00350596">
        <w:t>5: 0.776, MG-ADL 5-7: 0.611, MG-ADL 8-9: 0.530, MG-ADL ≥10: 0.373, myasthenic crises: 0.373)</w:t>
      </w:r>
      <w:r w:rsidR="00FD0081" w:rsidRPr="00350596">
        <w:t xml:space="preserve"> </w:t>
      </w:r>
    </w:p>
    <w:p w14:paraId="61EB006D" w14:textId="4D0C549B" w:rsidR="00FD0081" w:rsidRPr="00350596" w:rsidRDefault="00FD0081" w:rsidP="00FD0081">
      <w:pPr>
        <w:pStyle w:val="COMTablefooter"/>
        <w:rPr>
          <w:i/>
          <w:iCs/>
        </w:rPr>
      </w:pPr>
      <w:r w:rsidRPr="00350596">
        <w:rPr>
          <w:i/>
          <w:iCs/>
        </w:rPr>
        <w:t>The redacted values correspond to the following ranges</w:t>
      </w:r>
      <w:r w:rsidR="007E30A8" w:rsidRPr="00350596">
        <w:rPr>
          <w:i/>
          <w:iCs/>
        </w:rPr>
        <w:t>:</w:t>
      </w:r>
      <w:r w:rsidRPr="00350596">
        <w:rPr>
          <w:i/>
          <w:iCs/>
        </w:rPr>
        <w:t xml:space="preserve"> </w:t>
      </w:r>
    </w:p>
    <w:p w14:paraId="7BA05B34" w14:textId="77777777" w:rsidR="0023434D" w:rsidRPr="00350596" w:rsidRDefault="00F61FE8" w:rsidP="00FD0081">
      <w:pPr>
        <w:pStyle w:val="COMTablefooter"/>
        <w:rPr>
          <w:i/>
          <w:iCs/>
        </w:rPr>
      </w:pPr>
      <w:r w:rsidRPr="00350596">
        <w:rPr>
          <w:i/>
          <w:iCs/>
          <w:vertAlign w:val="superscript"/>
        </w:rPr>
        <w:t>1</w:t>
      </w:r>
      <w:r w:rsidR="00FD0081" w:rsidRPr="00350596">
        <w:rPr>
          <w:i/>
          <w:iCs/>
        </w:rPr>
        <w:t xml:space="preserve"> $255,000 to &lt; $355,000</w:t>
      </w:r>
      <w:r w:rsidR="00B04FAB" w:rsidRPr="00350596">
        <w:rPr>
          <w:i/>
          <w:iCs/>
        </w:rPr>
        <w:t xml:space="preserve"> </w:t>
      </w:r>
    </w:p>
    <w:p w14:paraId="02ECE927" w14:textId="09B75E1C" w:rsidR="00B04FAB" w:rsidRPr="00350596" w:rsidRDefault="0023434D" w:rsidP="00FD0081">
      <w:pPr>
        <w:pStyle w:val="COMTablefooter"/>
        <w:rPr>
          <w:i/>
          <w:iCs/>
        </w:rPr>
      </w:pPr>
      <w:r w:rsidRPr="00350596">
        <w:rPr>
          <w:i/>
          <w:iCs/>
          <w:vertAlign w:val="superscript"/>
        </w:rPr>
        <w:t>2</w:t>
      </w:r>
      <w:r w:rsidRPr="00350596">
        <w:rPr>
          <w:i/>
          <w:iCs/>
        </w:rPr>
        <w:t xml:space="preserve"> $135,000 to &lt; $155,000</w:t>
      </w:r>
    </w:p>
    <w:p w14:paraId="792AFC93" w14:textId="77777777" w:rsidR="0033324C" w:rsidRPr="00350596" w:rsidRDefault="00736A35" w:rsidP="0033324C">
      <w:pPr>
        <w:pStyle w:val="COMTablefooter"/>
        <w:rPr>
          <w:i/>
          <w:iCs/>
        </w:rPr>
      </w:pPr>
      <w:r w:rsidRPr="00350596">
        <w:rPr>
          <w:i/>
          <w:iCs/>
          <w:vertAlign w:val="superscript"/>
        </w:rPr>
        <w:t>3</w:t>
      </w:r>
      <w:r w:rsidR="00B04FAB" w:rsidRPr="00350596">
        <w:rPr>
          <w:i/>
          <w:iCs/>
        </w:rPr>
        <w:t xml:space="preserve"> $355,000 to &lt; $455,000</w:t>
      </w:r>
      <w:r w:rsidR="0033324C" w:rsidRPr="00350596">
        <w:rPr>
          <w:i/>
          <w:iCs/>
        </w:rPr>
        <w:t xml:space="preserve"> </w:t>
      </w:r>
    </w:p>
    <w:p w14:paraId="38330379" w14:textId="77777777" w:rsidR="005E7CE1" w:rsidRPr="00350596" w:rsidRDefault="0033324C" w:rsidP="005E7CE1">
      <w:pPr>
        <w:pStyle w:val="COMTablefooter"/>
        <w:rPr>
          <w:i/>
          <w:iCs/>
        </w:rPr>
      </w:pPr>
      <w:r w:rsidRPr="00350596">
        <w:rPr>
          <w:i/>
          <w:iCs/>
          <w:vertAlign w:val="superscript"/>
        </w:rPr>
        <w:t>4</w:t>
      </w:r>
      <w:r w:rsidRPr="00350596">
        <w:rPr>
          <w:i/>
          <w:iCs/>
        </w:rPr>
        <w:t xml:space="preserve"> $655,000 to &lt; $755,000</w:t>
      </w:r>
    </w:p>
    <w:p w14:paraId="05EEC6E9" w14:textId="77777777" w:rsidR="00644D1D" w:rsidRPr="00350596" w:rsidRDefault="005E7CE1" w:rsidP="00644D1D">
      <w:pPr>
        <w:pStyle w:val="COMTablefooter"/>
        <w:rPr>
          <w:i/>
          <w:iCs/>
        </w:rPr>
      </w:pPr>
      <w:r w:rsidRPr="00350596">
        <w:rPr>
          <w:i/>
          <w:iCs/>
          <w:vertAlign w:val="superscript"/>
        </w:rPr>
        <w:t>5</w:t>
      </w:r>
      <w:r w:rsidRPr="00350596">
        <w:rPr>
          <w:i/>
          <w:iCs/>
        </w:rPr>
        <w:t xml:space="preserve"> &gt; $1,055,000</w:t>
      </w:r>
      <w:r w:rsidR="00644D1D" w:rsidRPr="00350596">
        <w:rPr>
          <w:i/>
          <w:iCs/>
        </w:rPr>
        <w:t xml:space="preserve"> </w:t>
      </w:r>
    </w:p>
    <w:p w14:paraId="7254C30F" w14:textId="77777777" w:rsidR="00C21559" w:rsidRPr="00350596" w:rsidRDefault="00644D1D" w:rsidP="00644D1D">
      <w:pPr>
        <w:pStyle w:val="COMTablefooter"/>
        <w:rPr>
          <w:i/>
          <w:iCs/>
        </w:rPr>
      </w:pPr>
      <w:r w:rsidRPr="00350596">
        <w:rPr>
          <w:i/>
          <w:iCs/>
          <w:vertAlign w:val="superscript"/>
        </w:rPr>
        <w:t>6</w:t>
      </w:r>
      <w:r w:rsidRPr="00350596">
        <w:rPr>
          <w:i/>
          <w:iCs/>
        </w:rPr>
        <w:t xml:space="preserve"> $75,000 to &lt; $95,000</w:t>
      </w:r>
      <w:r w:rsidR="00C21559" w:rsidRPr="00350596">
        <w:rPr>
          <w:i/>
          <w:iCs/>
        </w:rPr>
        <w:t xml:space="preserve"> </w:t>
      </w:r>
    </w:p>
    <w:p w14:paraId="71AFBA0C" w14:textId="77777777" w:rsidR="00FF3602" w:rsidRPr="00350596" w:rsidRDefault="00C21559" w:rsidP="00FF3602">
      <w:pPr>
        <w:pStyle w:val="COMTablefooter"/>
        <w:rPr>
          <w:i/>
          <w:iCs/>
        </w:rPr>
      </w:pPr>
      <w:r w:rsidRPr="00350596">
        <w:rPr>
          <w:i/>
          <w:iCs/>
          <w:vertAlign w:val="superscript"/>
        </w:rPr>
        <w:t>7</w:t>
      </w:r>
      <w:r w:rsidRPr="00350596">
        <w:rPr>
          <w:i/>
          <w:iCs/>
        </w:rPr>
        <w:t xml:space="preserve"> $555,000 to &lt; $655,000</w:t>
      </w:r>
      <w:r w:rsidR="00FF3602" w:rsidRPr="00350596">
        <w:rPr>
          <w:i/>
          <w:iCs/>
        </w:rPr>
        <w:t xml:space="preserve"> </w:t>
      </w:r>
    </w:p>
    <w:p w14:paraId="73A4F9BD" w14:textId="77777777" w:rsidR="00B0354F" w:rsidRPr="00350596" w:rsidRDefault="00FF3602" w:rsidP="00B0354F">
      <w:pPr>
        <w:pStyle w:val="COMTablefooter"/>
        <w:rPr>
          <w:i/>
          <w:iCs/>
        </w:rPr>
      </w:pPr>
      <w:r w:rsidRPr="00350596">
        <w:rPr>
          <w:i/>
          <w:iCs/>
          <w:vertAlign w:val="superscript"/>
        </w:rPr>
        <w:t>8</w:t>
      </w:r>
      <w:r w:rsidRPr="00350596">
        <w:rPr>
          <w:i/>
          <w:iCs/>
        </w:rPr>
        <w:t xml:space="preserve"> $455,000 to &lt; $555,000</w:t>
      </w:r>
      <w:r w:rsidR="00B0354F" w:rsidRPr="00350596">
        <w:rPr>
          <w:i/>
          <w:iCs/>
        </w:rPr>
        <w:t xml:space="preserve"> </w:t>
      </w:r>
    </w:p>
    <w:p w14:paraId="04FFD728" w14:textId="6365A1ED" w:rsidR="006D34A4" w:rsidRPr="00224059" w:rsidRDefault="00B0354F" w:rsidP="00FD0081">
      <w:pPr>
        <w:pStyle w:val="COMTablefooter"/>
        <w:rPr>
          <w:i/>
          <w:iCs/>
        </w:rPr>
      </w:pPr>
      <w:r w:rsidRPr="00350596">
        <w:rPr>
          <w:i/>
          <w:iCs/>
          <w:vertAlign w:val="superscript"/>
        </w:rPr>
        <w:t>9</w:t>
      </w:r>
      <w:r w:rsidRPr="00350596">
        <w:rPr>
          <w:i/>
          <w:iCs/>
        </w:rPr>
        <w:t xml:space="preserve"> $155,000 to &lt; $255,000</w:t>
      </w:r>
    </w:p>
    <w:p w14:paraId="6107A2AA" w14:textId="1A048BF1" w:rsidR="00402812" w:rsidRPr="00350596" w:rsidRDefault="00DB05E9" w:rsidP="00DB05E9">
      <w:pPr>
        <w:pStyle w:val="COMexecsummnumbered"/>
      </w:pPr>
      <w:r w:rsidRPr="00350596">
        <w:t>The results of the sensitivity analyses indicate that the model is most sensitive to time horizon, treatment discontinuation rates and circumstances of use in patients who are persistent to therapy, MG-ADL health state utility values, corticosteroid use (primarily dose reductions in patients with MG-ADL &lt;</w:t>
      </w:r>
      <w:r w:rsidR="009C59C3">
        <w:t xml:space="preserve"> </w:t>
      </w:r>
      <w:r w:rsidRPr="00350596">
        <w:t>5) and exacerbation rate (primarily due to event costs).</w:t>
      </w:r>
    </w:p>
    <w:p w14:paraId="11DC9549" w14:textId="2D67C729" w:rsidR="00DB05E9" w:rsidRPr="00350596" w:rsidRDefault="00DB05E9" w:rsidP="00DB05E9">
      <w:pPr>
        <w:pStyle w:val="COMexecsummnumbered"/>
      </w:pPr>
      <w:r w:rsidRPr="00350596">
        <w:t>However, due to limitations of the model structure and data inputs it was not possible to assess the impact of different modelled patient populations (with different functional impairment criteria), response definitions (MGC ≥ 3 reduction), treatment benefits associated with efgartigimod and chronic IVIg and the disease trajectory following discontinuation of these treatments.</w:t>
      </w:r>
      <w:r w:rsidR="00D53C72">
        <w:t xml:space="preserve"> </w:t>
      </w:r>
    </w:p>
    <w:p w14:paraId="7ACE01BD" w14:textId="19880DE2" w:rsidR="00F17B3E" w:rsidRPr="00350596" w:rsidRDefault="00F17B3E" w:rsidP="00F17B3E">
      <w:pPr>
        <w:pStyle w:val="COMexecsummnumbered"/>
      </w:pPr>
      <w:r w:rsidRPr="00350596">
        <w:lastRenderedPageBreak/>
        <w:t xml:space="preserve">Overall, </w:t>
      </w:r>
      <w:r w:rsidR="008054A1" w:rsidRPr="00350596">
        <w:t xml:space="preserve">as outlined in </w:t>
      </w:r>
      <w:r w:rsidR="000E1357" w:rsidRPr="00350596">
        <w:t>Section 7</w:t>
      </w:r>
      <w:r w:rsidR="008054A1" w:rsidRPr="00350596">
        <w:t xml:space="preserve">, </w:t>
      </w:r>
      <w:r w:rsidRPr="00350596">
        <w:t>the ESC considered a cost-</w:t>
      </w:r>
      <w:r w:rsidR="007A3130" w:rsidRPr="00350596">
        <w:t xml:space="preserve">comparison </w:t>
      </w:r>
      <w:r w:rsidRPr="00350596">
        <w:t>approach versus IVIg may provide an appropriate frame of reference for interpreting the cost of each of the four therapies in the refractory setting. The ESC was less certain as to whether this approach would be appropriate in the bridging setting and considered that it was unclear whether these concerns would be adequately addressed by limiting use in this setting to a maximum duration of six months, along with a combined risk sharing arrangement (RSA) for any recommended drugs across both setting.</w:t>
      </w:r>
    </w:p>
    <w:p w14:paraId="472842D7" w14:textId="72C83F1E" w:rsidR="00C25D9C" w:rsidRPr="00350596" w:rsidRDefault="00C25D9C" w:rsidP="003D5DE7">
      <w:pPr>
        <w:pStyle w:val="COMH2-non-numbered"/>
      </w:pPr>
      <w:bookmarkStart w:id="57" w:name="_Toc22897646"/>
      <w:bookmarkStart w:id="58" w:name="_Toc188365364"/>
      <w:r w:rsidRPr="00350596">
        <w:t>Drug cost/patien</w:t>
      </w:r>
      <w:bookmarkEnd w:id="57"/>
      <w:r w:rsidR="00BB6799" w:rsidRPr="00350596">
        <w:t>t</w:t>
      </w:r>
      <w:r w:rsidR="0084170C" w:rsidRPr="00350596">
        <w:t>/course and year</w:t>
      </w:r>
      <w:bookmarkEnd w:id="58"/>
    </w:p>
    <w:p w14:paraId="1DF684D7" w14:textId="5D767797" w:rsidR="00BB6799" w:rsidRPr="00350596" w:rsidRDefault="00BB6799" w:rsidP="00BB6799">
      <w:pPr>
        <w:pStyle w:val="COMexecsummnumbered"/>
      </w:pPr>
      <w:bookmarkStart w:id="59" w:name="_Hlk107307804"/>
      <w:r w:rsidRPr="00350596">
        <w:t xml:space="preserve">The </w:t>
      </w:r>
      <w:r w:rsidR="00DD3C49" w:rsidRPr="00350596">
        <w:t xml:space="preserve">submission </w:t>
      </w:r>
      <w:r w:rsidRPr="00350596">
        <w:t xml:space="preserve">estimated </w:t>
      </w:r>
      <w:r w:rsidR="00DD3C49" w:rsidRPr="00350596">
        <w:t xml:space="preserve">the </w:t>
      </w:r>
      <w:r w:rsidRPr="00350596">
        <w:t xml:space="preserve">drug cost for efgartigimod per treatment cycle </w:t>
      </w:r>
      <w:r w:rsidR="00DD3C49" w:rsidRPr="00350596">
        <w:t xml:space="preserve">would be </w:t>
      </w:r>
      <w:r w:rsidRPr="00350596">
        <w:t>$</w:t>
      </w:r>
      <w:r w:rsidR="00823FDB" w:rsidRPr="002B16A5">
        <w:rPr>
          <w:color w:val="000000"/>
          <w:w w:val="15"/>
          <w:shd w:val="solid" w:color="000000" w:fill="000000"/>
          <w:fitText w:val="-20" w:id="-691796208"/>
          <w14:textFill>
            <w14:solidFill>
              <w14:srgbClr w14:val="000000">
                <w14:alpha w14:val="100000"/>
              </w14:srgbClr>
            </w14:solidFill>
          </w14:textFill>
        </w:rPr>
        <w:t>|</w:t>
      </w:r>
      <w:r w:rsidR="00D53C72" w:rsidRPr="002B16A5">
        <w:rPr>
          <w:color w:val="000000"/>
          <w:w w:val="15"/>
          <w:shd w:val="solid" w:color="000000" w:fill="000000"/>
          <w:fitText w:val="-20" w:id="-691796208"/>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08"/>
          <w14:textFill>
            <w14:solidFill>
              <w14:srgbClr w14:val="000000">
                <w14:alpha w14:val="100000"/>
              </w14:srgbClr>
            </w14:solidFill>
          </w14:textFill>
        </w:rPr>
        <w:t>|</w:t>
      </w:r>
      <w:r w:rsidRPr="00350596">
        <w:t xml:space="preserve"> (based on the proposed effective AEMP $</w:t>
      </w:r>
      <w:r w:rsidR="00823FDB" w:rsidRPr="002B16A5">
        <w:rPr>
          <w:color w:val="000000"/>
          <w:w w:val="15"/>
          <w:shd w:val="solid" w:color="000000" w:fill="000000"/>
          <w:fitText w:val="-20" w:id="-691796224"/>
          <w14:textFill>
            <w14:solidFill>
              <w14:srgbClr w14:val="000000">
                <w14:alpha w14:val="100000"/>
              </w14:srgbClr>
            </w14:solidFill>
          </w14:textFill>
        </w:rPr>
        <w:t>|</w:t>
      </w:r>
      <w:r w:rsidR="00D53C72" w:rsidRPr="002B16A5">
        <w:rPr>
          <w:color w:val="000000"/>
          <w:w w:val="15"/>
          <w:shd w:val="solid" w:color="000000" w:fill="000000"/>
          <w:fitText w:val="-20" w:id="-691796224"/>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24"/>
          <w14:textFill>
            <w14:solidFill>
              <w14:srgbClr w14:val="000000">
                <w14:alpha w14:val="100000"/>
              </w14:srgbClr>
            </w14:solidFill>
          </w14:textFill>
        </w:rPr>
        <w:t>|</w:t>
      </w:r>
      <w:r w:rsidRPr="00350596">
        <w:t xml:space="preserve"> per vial, 2.4 vials per infusion assuming the same distribution of patients across weight categories in the ADAPT trial and 4 infusions per cycle assuming perfect compliance).</w:t>
      </w:r>
      <w:r w:rsidR="00011022" w:rsidRPr="00350596">
        <w:t xml:space="preserve"> </w:t>
      </w:r>
      <w:r w:rsidR="00664894" w:rsidRPr="00350596">
        <w:t xml:space="preserve">The </w:t>
      </w:r>
      <w:r w:rsidR="00DD3C49" w:rsidRPr="00350596">
        <w:t xml:space="preserve">submission’s proposed </w:t>
      </w:r>
      <w:r w:rsidR="00664894" w:rsidRPr="00350596">
        <w:t xml:space="preserve">cost per vial was </w:t>
      </w:r>
      <w:r w:rsidR="006B3A94" w:rsidRPr="00350596">
        <w:t>$</w:t>
      </w:r>
      <w:r w:rsidR="00823FDB" w:rsidRPr="002B16A5">
        <w:rPr>
          <w:color w:val="000000"/>
          <w:w w:val="15"/>
          <w:shd w:val="solid" w:color="000000" w:fill="000000"/>
          <w:fitText w:val="-20" w:id="-691796223"/>
          <w14:textFill>
            <w14:solidFill>
              <w14:srgbClr w14:val="000000">
                <w14:alpha w14:val="100000"/>
              </w14:srgbClr>
            </w14:solidFill>
          </w14:textFill>
        </w:rPr>
        <w:t>|</w:t>
      </w:r>
      <w:r w:rsidR="00D53C72" w:rsidRPr="002B16A5">
        <w:rPr>
          <w:color w:val="000000"/>
          <w:w w:val="15"/>
          <w:shd w:val="solid" w:color="000000" w:fill="000000"/>
          <w:fitText w:val="-20" w:id="-691796223"/>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23"/>
          <w14:textFill>
            <w14:solidFill>
              <w14:srgbClr w14:val="000000">
                <w14:alpha w14:val="100000"/>
              </w14:srgbClr>
            </w14:solidFill>
          </w14:textFill>
        </w:rPr>
        <w:t>|</w:t>
      </w:r>
      <w:r w:rsidR="006B3A94" w:rsidRPr="00350596">
        <w:t xml:space="preserve"> in the financial estimates assuming 50:50 split between private and public hospital settings</w:t>
      </w:r>
      <w:r w:rsidR="000D5530" w:rsidRPr="00350596">
        <w:t>. The number of vials per infusion in the financial estimates was consistent with the economic analysis.</w:t>
      </w:r>
    </w:p>
    <w:p w14:paraId="3DBFE151" w14:textId="5BD054B0" w:rsidR="00494207" w:rsidRPr="00350596" w:rsidRDefault="00011022" w:rsidP="00011022">
      <w:pPr>
        <w:pStyle w:val="COMexecsummnumbered"/>
      </w:pPr>
      <w:bookmarkStart w:id="60" w:name="_Ref194439455"/>
      <w:r w:rsidRPr="00350596">
        <w:t xml:space="preserve">The </w:t>
      </w:r>
      <w:r w:rsidR="00DD3C49" w:rsidRPr="00350596">
        <w:t xml:space="preserve">submission </w:t>
      </w:r>
      <w:r w:rsidRPr="00350596">
        <w:t>estimated</w:t>
      </w:r>
      <w:r w:rsidR="00DD3C49" w:rsidRPr="00350596">
        <w:t xml:space="preserve"> the</w:t>
      </w:r>
      <w:r w:rsidRPr="00350596">
        <w:t xml:space="preserve"> drug cost for efgartigimod in the first year of treatment </w:t>
      </w:r>
      <w:r w:rsidR="008F6247" w:rsidRPr="00350596">
        <w:t xml:space="preserve">in the economic model </w:t>
      </w:r>
      <w:r w:rsidR="00DD3C49" w:rsidRPr="00350596">
        <w:t>would be</w:t>
      </w:r>
      <w:r w:rsidRPr="00350596">
        <w:t xml:space="preserve"> $</w:t>
      </w:r>
      <w:r w:rsidR="00823FDB" w:rsidRPr="002B16A5">
        <w:rPr>
          <w:color w:val="000000"/>
          <w:w w:val="15"/>
          <w:shd w:val="solid" w:color="000000" w:fill="000000"/>
          <w:fitText w:val="-20" w:id="-691796222"/>
          <w14:textFill>
            <w14:solidFill>
              <w14:srgbClr w14:val="000000">
                <w14:alpha w14:val="100000"/>
              </w14:srgbClr>
            </w14:solidFill>
          </w14:textFill>
        </w:rPr>
        <w:t>|</w:t>
      </w:r>
      <w:r w:rsidR="00D53C72" w:rsidRPr="002B16A5">
        <w:rPr>
          <w:color w:val="000000"/>
          <w:w w:val="15"/>
          <w:shd w:val="solid" w:color="000000" w:fill="000000"/>
          <w:fitText w:val="-20" w:id="-691796222"/>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22"/>
          <w14:textFill>
            <w14:solidFill>
              <w14:srgbClr w14:val="000000">
                <w14:alpha w14:val="100000"/>
              </w14:srgbClr>
            </w14:solidFill>
          </w14:textFill>
        </w:rPr>
        <w:t>|</w:t>
      </w:r>
      <w:r w:rsidRPr="00350596">
        <w:t xml:space="preserve"> (based on efgartigimod costs of $</w:t>
      </w:r>
      <w:r w:rsidR="00823FDB" w:rsidRPr="002B16A5">
        <w:rPr>
          <w:color w:val="000000"/>
          <w:w w:val="15"/>
          <w:shd w:val="solid" w:color="000000" w:fill="000000"/>
          <w:fitText w:val="-20" w:id="-691796221"/>
          <w14:textFill>
            <w14:solidFill>
              <w14:srgbClr w14:val="000000">
                <w14:alpha w14:val="100000"/>
              </w14:srgbClr>
            </w14:solidFill>
          </w14:textFill>
        </w:rPr>
        <w:t>|</w:t>
      </w:r>
      <w:r w:rsidR="00D53C72" w:rsidRPr="002B16A5">
        <w:rPr>
          <w:color w:val="000000"/>
          <w:w w:val="15"/>
          <w:shd w:val="solid" w:color="000000" w:fill="000000"/>
          <w:fitText w:val="-20" w:id="-691796221"/>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21"/>
          <w14:textFill>
            <w14:solidFill>
              <w14:srgbClr w14:val="000000">
                <w14:alpha w14:val="100000"/>
              </w14:srgbClr>
            </w14:solidFill>
          </w14:textFill>
        </w:rPr>
        <w:t>|</w:t>
      </w:r>
      <w:r w:rsidRPr="00350596">
        <w:t xml:space="preserve"> per treatment cycle, yielding an estimated 4.04 treatment cycles in the first year of treatment accounting for discontinuations and modelled time off-treatment in patients with MG-ADL &lt;</w:t>
      </w:r>
      <w:r w:rsidR="009C59C3">
        <w:t xml:space="preserve"> </w:t>
      </w:r>
      <w:r w:rsidRPr="00350596">
        <w:t xml:space="preserve">5 and a minimum 4-week gap between treatment cycles). </w:t>
      </w:r>
      <w:r w:rsidR="00FB2929" w:rsidRPr="00350596">
        <w:t>In the economic model, the e</w:t>
      </w:r>
      <w:r w:rsidRPr="00350596">
        <w:t>fgartigimod drug costs declined substantially in subsequent years of therapy primarily due to the accumulating proportion of patients who discontinued therapy over time</w:t>
      </w:r>
      <w:r w:rsidR="001F33EE" w:rsidRPr="00350596">
        <w:t xml:space="preserve"> (i.e. the number of cycles per patient decreased from 4.04 cycles in Year 1, to 2.7 cycles in Year 2, 2.2 cycles in Year 3, 1.8 cycles in Year 4 and 1.5 cycles in Year 5)</w:t>
      </w:r>
      <w:r w:rsidRPr="00350596">
        <w:t xml:space="preserve">. </w:t>
      </w:r>
      <w:r w:rsidR="00DD3C49" w:rsidRPr="00350596">
        <w:t xml:space="preserve">The PBAC noted that the evaluation and the ESC had considered the discontinuation assumptions in the economic model were highly uncertain and poorly justified (paragraph </w:t>
      </w:r>
      <w:r w:rsidR="00DD3C49" w:rsidRPr="00350596">
        <w:fldChar w:fldCharType="begin"/>
      </w:r>
      <w:r w:rsidR="00DD3C49" w:rsidRPr="00350596">
        <w:instrText xml:space="preserve"> REF _Ref191278584 \r \h </w:instrText>
      </w:r>
      <w:r w:rsidR="00191C50" w:rsidRPr="00350596">
        <w:instrText xml:space="preserve"> \* MERGEFORMAT </w:instrText>
      </w:r>
      <w:r w:rsidR="00DD3C49" w:rsidRPr="00350596">
        <w:fldChar w:fldCharType="separate"/>
      </w:r>
      <w:r w:rsidR="002B16A5">
        <w:t>6.87</w:t>
      </w:r>
      <w:r w:rsidR="00DD3C49" w:rsidRPr="00350596">
        <w:fldChar w:fldCharType="end"/>
      </w:r>
      <w:r w:rsidR="00DD3C49" w:rsidRPr="00350596">
        <w:t xml:space="preserve">). </w:t>
      </w:r>
      <w:r w:rsidR="00C12AE5" w:rsidRPr="00350596">
        <w:t>Estimated costs in the economic analysis w</w:t>
      </w:r>
      <w:r w:rsidR="009A4063" w:rsidRPr="00350596">
        <w:t>ere</w:t>
      </w:r>
      <w:r w:rsidR="00C12AE5" w:rsidRPr="00350596">
        <w:t xml:space="preserve"> lower than applied in the financial </w:t>
      </w:r>
      <w:r w:rsidR="00C81079" w:rsidRPr="00350596">
        <w:t>section</w:t>
      </w:r>
      <w:r w:rsidR="00DD3C49" w:rsidRPr="00350596">
        <w:t xml:space="preserve">, which were </w:t>
      </w:r>
      <w:r w:rsidR="00C81079" w:rsidRPr="00350596">
        <w:t>based on 4.72 treatment cycles per patient per year (</w:t>
      </w:r>
      <w:r w:rsidR="00BD27CB" w:rsidRPr="00350596">
        <w:t>$</w:t>
      </w:r>
      <w:r w:rsidR="00823FDB" w:rsidRPr="002B16A5">
        <w:rPr>
          <w:color w:val="000000"/>
          <w:w w:val="15"/>
          <w:shd w:val="solid" w:color="000000" w:fill="000000"/>
          <w:fitText w:val="-20" w:id="-691796220"/>
          <w14:textFill>
            <w14:solidFill>
              <w14:srgbClr w14:val="000000">
                <w14:alpha w14:val="100000"/>
              </w14:srgbClr>
            </w14:solidFill>
          </w14:textFill>
        </w:rPr>
        <w:t>|</w:t>
      </w:r>
      <w:r w:rsidR="00D53C72" w:rsidRPr="002B16A5">
        <w:rPr>
          <w:color w:val="000000"/>
          <w:w w:val="15"/>
          <w:shd w:val="solid" w:color="000000" w:fill="000000"/>
          <w:fitText w:val="-20" w:id="-691796220"/>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20"/>
          <w14:textFill>
            <w14:solidFill>
              <w14:srgbClr w14:val="000000">
                <w14:alpha w14:val="100000"/>
              </w14:srgbClr>
            </w14:solidFill>
          </w14:textFill>
        </w:rPr>
        <w:t>|</w:t>
      </w:r>
      <w:r w:rsidR="00BD27CB" w:rsidRPr="00350596">
        <w:t xml:space="preserve"> per year</w:t>
      </w:r>
      <w:r w:rsidR="009A4063" w:rsidRPr="00350596">
        <w:t>).</w:t>
      </w:r>
      <w:r w:rsidR="006C3223" w:rsidRPr="00350596">
        <w:t xml:space="preserve"> </w:t>
      </w:r>
      <w:bookmarkEnd w:id="60"/>
    </w:p>
    <w:p w14:paraId="4F4B42B8" w14:textId="05242D88" w:rsidR="003143D0" w:rsidRPr="00350596" w:rsidRDefault="00F42B20" w:rsidP="003143D0">
      <w:pPr>
        <w:pStyle w:val="COMexecsummnumbered"/>
      </w:pPr>
      <w:bookmarkStart w:id="61" w:name="_Ref191281649"/>
      <w:bookmarkStart w:id="62" w:name="_Ref194440603"/>
      <w:r w:rsidRPr="00350596">
        <w:t>The efgartigimod costs applied in the submission were based on cyclical use of efgartigimod</w:t>
      </w:r>
      <w:r w:rsidR="00F26353" w:rsidRPr="00350596">
        <w:t xml:space="preserve"> (with strict re-treatment criteria applied ADAPT and ADAPT+ Part A)</w:t>
      </w:r>
      <w:r w:rsidRPr="00350596">
        <w:t xml:space="preserve">, however </w:t>
      </w:r>
      <w:r w:rsidR="00E31D67" w:rsidRPr="00350596">
        <w:t xml:space="preserve">the ESC considered that the </w:t>
      </w:r>
      <w:r w:rsidR="00F26353" w:rsidRPr="00350596">
        <w:t>efgartigimod drug</w:t>
      </w:r>
      <w:r w:rsidRPr="00350596">
        <w:t xml:space="preserve"> costs would substantially increase if </w:t>
      </w:r>
      <w:r w:rsidR="00DD3C49" w:rsidRPr="00350596">
        <w:t>it</w:t>
      </w:r>
      <w:r w:rsidRPr="00350596">
        <w:t xml:space="preserve"> were used without </w:t>
      </w:r>
      <w:r w:rsidR="00F26353" w:rsidRPr="00350596">
        <w:t xml:space="preserve">strict </w:t>
      </w:r>
      <w:r w:rsidRPr="00350596">
        <w:t>re-treatment criteria</w:t>
      </w:r>
      <w:r w:rsidR="00F26353" w:rsidRPr="00350596">
        <w:t>. For example,</w:t>
      </w:r>
      <w:r w:rsidRPr="00350596">
        <w:t xml:space="preserve"> a fixed cycle regimen of 4 once-weekly infusions with a 4-week intertreatment period (as evaluated in ADAPT-NXT) would result in </w:t>
      </w:r>
      <w:r w:rsidR="00E31D67" w:rsidRPr="00350596">
        <w:t>7</w:t>
      </w:r>
      <w:r w:rsidRPr="00350596">
        <w:t xml:space="preserve"> cycles of efgartigimod in Year 1, rather than 4.04 cycles as assumed in the economic model.</w:t>
      </w:r>
      <w:bookmarkEnd w:id="61"/>
      <w:r w:rsidRPr="00350596">
        <w:t xml:space="preserve"> </w:t>
      </w:r>
      <w:r w:rsidR="00066D38" w:rsidRPr="00350596">
        <w:t>Further, a sponsor-commissioned utilisation study in the United States indicated that the most common treatment-free interval between cycles was 4-6 weeks (Bhavaraju-Sanka 2024). DUSC commented that the difference between the submission and real world estimates indicates that the number of cycles and vials would be greater than estimated.</w:t>
      </w:r>
      <w:r w:rsidR="003143D0" w:rsidRPr="00350596">
        <w:t xml:space="preserve"> DUSC considered that </w:t>
      </w:r>
      <w:r w:rsidR="003143D0" w:rsidRPr="00350596">
        <w:lastRenderedPageBreak/>
        <w:t>the real-world estimate from Bhavaraju-Sanka (2024) of treatment-free interval between cycles (4-6 weeks) could be used instead of the ADAPT interval.</w:t>
      </w:r>
      <w:bookmarkEnd w:id="62"/>
      <w:r w:rsidR="003143D0" w:rsidRPr="00350596">
        <w:t xml:space="preserve"> </w:t>
      </w:r>
    </w:p>
    <w:p w14:paraId="635D8A95" w14:textId="5BE667EB" w:rsidR="00E31D67" w:rsidRPr="00350596" w:rsidRDefault="008054A1" w:rsidP="008054A1">
      <w:pPr>
        <w:pStyle w:val="COMexecsummnumbered"/>
      </w:pPr>
      <w:bookmarkStart w:id="63" w:name="_Ref194439463"/>
      <w:bookmarkStart w:id="64" w:name="_Ref194437780"/>
      <w:r w:rsidRPr="00350596">
        <w:t xml:space="preserve">As outlined in </w:t>
      </w:r>
      <w:r w:rsidR="000E1357" w:rsidRPr="00350596">
        <w:t>Section 7</w:t>
      </w:r>
      <w:r w:rsidRPr="00350596">
        <w:t xml:space="preserve">, the ESC advised that, for the new </w:t>
      </w:r>
      <w:r w:rsidR="006F73A7" w:rsidRPr="00350596">
        <w:t xml:space="preserve">gMG </w:t>
      </w:r>
      <w:r w:rsidRPr="00350596">
        <w:t xml:space="preserve">therapies, the average amount of drug per patient would need to be determined and for the </w:t>
      </w:r>
      <w:r w:rsidR="008A34A5" w:rsidRPr="00350596">
        <w:t>FcRn</w:t>
      </w:r>
      <w:r w:rsidRPr="00350596">
        <w:t xml:space="preserve"> blockers should account for the likely decreasing treatment-free intervals over time seen in the extension trials. </w:t>
      </w:r>
      <w:r w:rsidR="00E31D67" w:rsidRPr="00350596">
        <w:t xml:space="preserve">As outlined in paragraph </w:t>
      </w:r>
      <w:r w:rsidR="00E31D67" w:rsidRPr="00350596">
        <w:fldChar w:fldCharType="begin"/>
      </w:r>
      <w:r w:rsidR="00E31D67" w:rsidRPr="00350596">
        <w:instrText xml:space="preserve"> REF _Ref191201119 \r \h </w:instrText>
      </w:r>
      <w:r w:rsidR="00C30F21" w:rsidRPr="00350596">
        <w:instrText xml:space="preserve"> \* MERGEFORMAT </w:instrText>
      </w:r>
      <w:r w:rsidR="00E31D67" w:rsidRPr="00350596">
        <w:fldChar w:fldCharType="separate"/>
      </w:r>
      <w:r w:rsidR="002B16A5">
        <w:t>6.40</w:t>
      </w:r>
      <w:r w:rsidR="00E31D67" w:rsidRPr="00350596">
        <w:fldChar w:fldCharType="end"/>
      </w:r>
      <w:r w:rsidR="00E31D67" w:rsidRPr="00350596">
        <w:t>, the median treatment-free interval was 7 weeks between Cycle</w:t>
      </w:r>
      <w:r w:rsidR="00040919" w:rsidRPr="00350596">
        <w:t>s</w:t>
      </w:r>
      <w:r w:rsidR="00E31D67" w:rsidRPr="00350596">
        <w:t xml:space="preserve"> 1 and 2, and decreased to 4 weeks by the thirteenth treatment cycle. </w:t>
      </w:r>
      <w:bookmarkEnd w:id="63"/>
    </w:p>
    <w:p w14:paraId="7D53EA7D" w14:textId="0989CD86" w:rsidR="00011022" w:rsidRPr="00350596" w:rsidRDefault="009A4063" w:rsidP="00011022">
      <w:pPr>
        <w:pStyle w:val="COMexecsummnumbered"/>
      </w:pPr>
      <w:bookmarkStart w:id="65" w:name="_Ref194668316"/>
      <w:bookmarkEnd w:id="64"/>
      <w:r w:rsidRPr="00350596">
        <w:t xml:space="preserve">The </w:t>
      </w:r>
      <w:r w:rsidR="00F17B3E" w:rsidRPr="00350596">
        <w:t xml:space="preserve">submission </w:t>
      </w:r>
      <w:r w:rsidRPr="00350596">
        <w:t xml:space="preserve">estimated </w:t>
      </w:r>
      <w:r w:rsidR="00F17B3E" w:rsidRPr="00350596">
        <w:t xml:space="preserve">the </w:t>
      </w:r>
      <w:r w:rsidRPr="00350596">
        <w:t>drug cost of the induction dose of IVIg was $16,500. The cost was estimated based on an assumed cost of $100 per gram of IVIg, yielding an assumed cost per vial of Intagram 10 (2.5 g/25 mL) of $250. The submission also estimated the number of vials based on an estimated dose of 164</w:t>
      </w:r>
      <w:r w:rsidR="008F6247" w:rsidRPr="00350596">
        <w:t> </w:t>
      </w:r>
      <w:r w:rsidRPr="00350596">
        <w:t xml:space="preserve">g </w:t>
      </w:r>
      <w:r w:rsidR="00040919" w:rsidRPr="00350596">
        <w:t>and</w:t>
      </w:r>
      <w:r w:rsidRPr="00350596">
        <w:t xml:space="preserve"> an assumed dose of 2 g/kg and the mean weight of patients in the ADAPT trial. The estimated total cost for induction was calculated as $250 x 66 vials.</w:t>
      </w:r>
      <w:bookmarkEnd w:id="65"/>
    </w:p>
    <w:p w14:paraId="69E7118D" w14:textId="3C8083D3" w:rsidR="009A4063" w:rsidRPr="00350596" w:rsidRDefault="009A4063" w:rsidP="00011022">
      <w:pPr>
        <w:pStyle w:val="COMexecsummnumbered"/>
      </w:pPr>
      <w:r w:rsidRPr="00350596">
        <w:t xml:space="preserve">The estimated drug cost of the maintenance dose of IVIg was $4,000. The cost was based on estimated annual IVIg use of 514 g per patient with myasthenia gravis (derived from the </w:t>
      </w:r>
      <w:r w:rsidR="00DA6027" w:rsidRPr="00350596">
        <w:t>NBA</w:t>
      </w:r>
      <w:r w:rsidRPr="00350596">
        <w:t xml:space="preserve"> 2021-22 report) and the proportion of IVIg use for maintenance therapy (80.1% of patients using 90% of total IVIg volume) in myasthenia gravis patients in 2017/2018 (MSAC Assessment Report 1566; April 2020 MSAC meeting). The submission assumed a total number of administrations per year of 13.04, yielding a dose per administration of 39.42 g. The submission estimated a total of 16 vials of Intagram 10 (2.5 g/25 mL) for each dose at an assumed cost of $250 per vial. The estimated cost per maintenance dose was calculated as $250 x 16 vials.</w:t>
      </w:r>
    </w:p>
    <w:p w14:paraId="2F8FFB5E" w14:textId="18F5716B" w:rsidR="009A4063" w:rsidRPr="00350596" w:rsidRDefault="009A4063" w:rsidP="00011022">
      <w:pPr>
        <w:pStyle w:val="COMexecsummnumbered"/>
      </w:pPr>
      <w:bookmarkStart w:id="66" w:name="_Ref194582126"/>
      <w:r w:rsidRPr="00350596">
        <w:t xml:space="preserve">The estimated drug cost for IVIg in the first year of treatment </w:t>
      </w:r>
      <w:r w:rsidR="008F6247" w:rsidRPr="00350596">
        <w:t xml:space="preserve">in the economic model </w:t>
      </w:r>
      <w:r w:rsidRPr="00350596">
        <w:t>was $42,089 (based on the cost of induction of $16,500 and $4,000 for maintenance doses, yielding an estimated 7.4 x 4-week treatment cycles in the first year of treatment accounting for discontinuations and modelled time off-treatment in patients with MG-ADL &lt;</w:t>
      </w:r>
      <w:r w:rsidR="009C59C3">
        <w:t xml:space="preserve"> </w:t>
      </w:r>
      <w:r w:rsidRPr="00350596">
        <w:t>5). IVIg costs declined marginally in subsequent years as there were no further discontinuations to therapy except due to myasthenic crises and death.</w:t>
      </w:r>
      <w:r w:rsidR="002B79C1" w:rsidRPr="00350596">
        <w:t xml:space="preserve"> Estimated costs in the economic analysis were lower than applied in the financial section that was based on </w:t>
      </w:r>
      <w:r w:rsidR="009B1078" w:rsidRPr="00350596">
        <w:t xml:space="preserve">an assumed cost </w:t>
      </w:r>
      <w:r w:rsidR="009B1078" w:rsidRPr="00477A0E">
        <w:t>of $100 per gram</w:t>
      </w:r>
      <w:r w:rsidR="009B1078" w:rsidRPr="00350596">
        <w:t xml:space="preserve"> of IVIg and </w:t>
      </w:r>
      <w:r w:rsidR="002B79C1" w:rsidRPr="00350596">
        <w:t>514 g of IVIg dispensed per patient per year ($51,400 per year).</w:t>
      </w:r>
      <w:bookmarkEnd w:id="66"/>
    </w:p>
    <w:p w14:paraId="30BE8094" w14:textId="080E4C4A" w:rsidR="00F17B3E" w:rsidRPr="00350596" w:rsidRDefault="00F17B3E" w:rsidP="00F17B3E">
      <w:pPr>
        <w:pStyle w:val="COMexecsummnumbered"/>
      </w:pPr>
      <w:r w:rsidRPr="00350596">
        <w:t xml:space="preserve">As outlined in </w:t>
      </w:r>
      <w:r w:rsidR="000E1357" w:rsidRPr="00350596">
        <w:t>Section 7</w:t>
      </w:r>
      <w:r w:rsidRPr="00350596">
        <w:t xml:space="preserve">, the ESC noted that, based on data received from the </w:t>
      </w:r>
      <w:r w:rsidR="002439DF" w:rsidRPr="00350596">
        <w:t>NBA</w:t>
      </w:r>
      <w:r w:rsidRPr="00350596">
        <w:t xml:space="preserve"> on the utilisation of IVIg as maintenance therapy for </w:t>
      </w:r>
      <w:r w:rsidR="00F64FF2" w:rsidRPr="00350596">
        <w:t>gMG</w:t>
      </w:r>
      <w:r w:rsidRPr="00350596">
        <w:t xml:space="preserve"> in 2023-24, the average annual drug cost for chronic IVIg therapy per patient was $</w:t>
      </w:r>
      <w:r w:rsidR="000F00AE" w:rsidRPr="00D53C72">
        <w:rPr>
          <w:color w:val="000000"/>
          <w:spacing w:val="6"/>
          <w:w w:val="60"/>
          <w:shd w:val="solid" w:color="000000" w:fill="000000"/>
          <w:fitText w:val="470" w:id="-656689664"/>
          <w14:textFill>
            <w14:solidFill>
              <w14:srgbClr w14:val="000000">
                <w14:alpha w14:val="100000"/>
              </w14:srgbClr>
            </w14:solidFill>
          </w14:textFill>
        </w:rPr>
        <w:t>|||</w:t>
      </w:r>
      <w:r w:rsidR="00D53C72" w:rsidRPr="00D53C72">
        <w:rPr>
          <w:color w:val="000000"/>
          <w:spacing w:val="6"/>
          <w:w w:val="60"/>
          <w:shd w:val="solid" w:color="000000" w:fill="000000"/>
          <w:fitText w:val="470" w:id="-656689664"/>
          <w14:textFill>
            <w14:solidFill>
              <w14:srgbClr w14:val="000000">
                <w14:alpha w14:val="100000"/>
              </w14:srgbClr>
            </w14:solidFill>
          </w14:textFill>
        </w:rPr>
        <w:t xml:space="preserve"> </w:t>
      </w:r>
      <w:r w:rsidR="000F00AE" w:rsidRPr="00D53C72">
        <w:rPr>
          <w:color w:val="000000"/>
          <w:spacing w:val="6"/>
          <w:w w:val="60"/>
          <w:shd w:val="solid" w:color="000000" w:fill="000000"/>
          <w:fitText w:val="470" w:id="-656689664"/>
          <w14:textFill>
            <w14:solidFill>
              <w14:srgbClr w14:val="000000">
                <w14:alpha w14:val="100000"/>
              </w14:srgbClr>
            </w14:solidFill>
          </w14:textFill>
        </w:rPr>
        <w:t>||</w:t>
      </w:r>
      <w:r w:rsidR="000F00AE" w:rsidRPr="00D53C72">
        <w:rPr>
          <w:color w:val="000000"/>
          <w:spacing w:val="4"/>
          <w:w w:val="60"/>
          <w:shd w:val="solid" w:color="000000" w:fill="000000"/>
          <w:fitText w:val="470" w:id="-656689664"/>
          <w14:textFill>
            <w14:solidFill>
              <w14:srgbClr w14:val="000000">
                <w14:alpha w14:val="100000"/>
              </w14:srgbClr>
            </w14:solidFill>
          </w14:textFill>
        </w:rPr>
        <w:t>|</w:t>
      </w:r>
      <w:r w:rsidRPr="00350596">
        <w:t xml:space="preserve"> based on an average cost per gram of $</w:t>
      </w:r>
      <w:r w:rsidR="000F00AE" w:rsidRPr="00D53C72">
        <w:rPr>
          <w:color w:val="000000"/>
          <w:spacing w:val="6"/>
          <w:w w:val="60"/>
          <w:shd w:val="solid" w:color="000000" w:fill="000000"/>
          <w:fitText w:val="470" w:id="-656689663"/>
          <w14:textFill>
            <w14:solidFill>
              <w14:srgbClr w14:val="000000">
                <w14:alpha w14:val="100000"/>
              </w14:srgbClr>
            </w14:solidFill>
          </w14:textFill>
        </w:rPr>
        <w:t>|||</w:t>
      </w:r>
      <w:r w:rsidR="00D53C72" w:rsidRPr="00D53C72">
        <w:rPr>
          <w:color w:val="000000"/>
          <w:spacing w:val="6"/>
          <w:w w:val="60"/>
          <w:shd w:val="solid" w:color="000000" w:fill="000000"/>
          <w:fitText w:val="470" w:id="-656689663"/>
          <w14:textFill>
            <w14:solidFill>
              <w14:srgbClr w14:val="000000">
                <w14:alpha w14:val="100000"/>
              </w14:srgbClr>
            </w14:solidFill>
          </w14:textFill>
        </w:rPr>
        <w:t xml:space="preserve"> </w:t>
      </w:r>
      <w:r w:rsidR="000F00AE" w:rsidRPr="00D53C72">
        <w:rPr>
          <w:color w:val="000000"/>
          <w:spacing w:val="6"/>
          <w:w w:val="60"/>
          <w:shd w:val="solid" w:color="000000" w:fill="000000"/>
          <w:fitText w:val="470" w:id="-656689663"/>
          <w14:textFill>
            <w14:solidFill>
              <w14:srgbClr w14:val="000000">
                <w14:alpha w14:val="100000"/>
              </w14:srgbClr>
            </w14:solidFill>
          </w14:textFill>
        </w:rPr>
        <w:t>||</w:t>
      </w:r>
      <w:r w:rsidR="000F00AE" w:rsidRPr="00D53C72">
        <w:rPr>
          <w:color w:val="000000"/>
          <w:spacing w:val="4"/>
          <w:w w:val="60"/>
          <w:shd w:val="solid" w:color="000000" w:fill="000000"/>
          <w:fitText w:val="470" w:id="-656689663"/>
          <w14:textFill>
            <w14:solidFill>
              <w14:srgbClr w14:val="000000">
                <w14:alpha w14:val="100000"/>
              </w14:srgbClr>
            </w14:solidFill>
          </w14:textFill>
        </w:rPr>
        <w:t>|</w:t>
      </w:r>
      <w:r w:rsidRPr="00350596">
        <w:t xml:space="preserve"> (which is an average across all IVIg use in Australia) and an average of 541.1 grams per patient per year (specific to the Myasthenia Gravis maintenance setting).</w:t>
      </w:r>
    </w:p>
    <w:p w14:paraId="168A553B" w14:textId="5E0793DB" w:rsidR="00286CBF" w:rsidRPr="00350596" w:rsidRDefault="00286CBF" w:rsidP="00011022">
      <w:pPr>
        <w:pStyle w:val="COMexecsummnumbered"/>
      </w:pPr>
      <w:r w:rsidRPr="00350596">
        <w:t xml:space="preserve">The estimated drug cost for standard therapy (anticholinesterases, corticosteroids and other immunosuppressive agents) in the first year of treatment was $1,591 for the efgartigimod arm and $1,613 for the chronic IVIg arm. The marginal difference was </w:t>
      </w:r>
      <w:r w:rsidRPr="00350596">
        <w:lastRenderedPageBreak/>
        <w:t>due to differences in the use of low- and high-dose corticosteroids based on MG-ADL health state occupancy in the model.</w:t>
      </w:r>
      <w:r w:rsidR="00736E3F" w:rsidRPr="00350596">
        <w:t xml:space="preserve"> </w:t>
      </w:r>
      <w:r w:rsidR="0038128E" w:rsidRPr="00350596">
        <w:t xml:space="preserve">The submission estimated cost offsets associated with reduced use of corticosteroids in the financial estimates. The estimates could not be validated due to inadequate documentation in the submission. </w:t>
      </w:r>
    </w:p>
    <w:p w14:paraId="59233D5B" w14:textId="1388B8CB" w:rsidR="007A3130" w:rsidRPr="00350596" w:rsidRDefault="007A3130" w:rsidP="009C6D8C">
      <w:pPr>
        <w:pStyle w:val="COMexecsummnumbered"/>
        <w:numPr>
          <w:ilvl w:val="0"/>
          <w:numId w:val="0"/>
        </w:numPr>
        <w:outlineLvl w:val="2"/>
        <w:rPr>
          <w:u w:val="single"/>
        </w:rPr>
      </w:pPr>
      <w:bookmarkStart w:id="67" w:name="_Hlk194071250"/>
      <w:r w:rsidRPr="00350596">
        <w:rPr>
          <w:u w:val="single"/>
        </w:rPr>
        <w:t>Cost-comparison</w:t>
      </w:r>
    </w:p>
    <w:p w14:paraId="66717292" w14:textId="0288FB97" w:rsidR="007A3130" w:rsidRPr="00350596" w:rsidRDefault="00F172E9" w:rsidP="00F172E9">
      <w:pPr>
        <w:pStyle w:val="Caption"/>
        <w:spacing w:before="120"/>
        <w:rPr>
          <w:rFonts w:cstheme="majorBidi"/>
          <w:bCs/>
          <w:lang w:val="en-AU"/>
        </w:rPr>
      </w:pPr>
      <w:r w:rsidRPr="00350596">
        <w:rPr>
          <w:lang w:val="en-AU"/>
        </w:rPr>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14</w:t>
      </w:r>
      <w:r w:rsidRPr="00350596">
        <w:rPr>
          <w:lang w:val="en-AU"/>
        </w:rPr>
        <w:fldChar w:fldCharType="end"/>
      </w:r>
      <w:r w:rsidR="007A3130" w:rsidRPr="00350596">
        <w:rPr>
          <w:rFonts w:cstheme="majorBidi"/>
          <w:bCs/>
          <w:lang w:val="en-AU"/>
        </w:rPr>
        <w:t xml:space="preserve">: Comparison of the annual drug cost </w:t>
      </w:r>
      <w:r w:rsidR="00EF2F32" w:rsidRPr="00350596">
        <w:rPr>
          <w:rFonts w:cstheme="majorBidi"/>
          <w:bCs/>
          <w:lang w:val="en-AU"/>
        </w:rPr>
        <w:t xml:space="preserve">or dose </w:t>
      </w:r>
      <w:r w:rsidR="007A3130" w:rsidRPr="00350596">
        <w:rPr>
          <w:rFonts w:cstheme="majorBidi"/>
          <w:bCs/>
          <w:lang w:val="en-AU"/>
        </w:rPr>
        <w:t xml:space="preserve">of </w:t>
      </w:r>
      <w:r w:rsidRPr="00350596">
        <w:rPr>
          <w:rFonts w:cstheme="majorBidi"/>
          <w:lang w:val="en-AU"/>
        </w:rPr>
        <w:t>efgartigimod</w:t>
      </w:r>
      <w:r w:rsidR="007A3130" w:rsidRPr="00350596">
        <w:rPr>
          <w:rFonts w:cstheme="majorBidi"/>
          <w:bCs/>
          <w:lang w:val="en-AU"/>
        </w:rPr>
        <w:t xml:space="preserve"> and IVIg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Comparison of the annual drug cost or dose of efgartigimod and IVIg"/>
      </w:tblPr>
      <w:tblGrid>
        <w:gridCol w:w="1414"/>
        <w:gridCol w:w="994"/>
        <w:gridCol w:w="6609"/>
      </w:tblGrid>
      <w:tr w:rsidR="00EC044B" w:rsidRPr="00350596" w14:paraId="1C53F265" w14:textId="77777777" w:rsidTr="005E4526">
        <w:trPr>
          <w:trHeight w:val="40"/>
        </w:trPr>
        <w:tc>
          <w:tcPr>
            <w:tcW w:w="784" w:type="pct"/>
            <w:vAlign w:val="center"/>
          </w:tcPr>
          <w:p w14:paraId="29454AB8" w14:textId="77777777" w:rsidR="007A3130" w:rsidRPr="00350596" w:rsidRDefault="007A3130" w:rsidP="007A3130">
            <w:pPr>
              <w:keepNext/>
              <w:keepLines/>
              <w:widowControl w:val="0"/>
              <w:jc w:val="left"/>
              <w:rPr>
                <w:rFonts w:ascii="Arial Narrow" w:eastAsiaTheme="majorEastAsia" w:hAnsi="Arial Narrow" w:cstheme="majorBidi"/>
                <w:b/>
                <w:bCs/>
                <w:sz w:val="20"/>
              </w:rPr>
            </w:pPr>
            <w:r w:rsidRPr="00350596">
              <w:rPr>
                <w:rFonts w:ascii="Arial Narrow" w:eastAsiaTheme="majorEastAsia" w:hAnsi="Arial Narrow" w:cstheme="majorBidi"/>
                <w:b/>
                <w:bCs/>
                <w:sz w:val="20"/>
              </w:rPr>
              <w:t>Treatment</w:t>
            </w:r>
          </w:p>
        </w:tc>
        <w:tc>
          <w:tcPr>
            <w:tcW w:w="551" w:type="pct"/>
            <w:vAlign w:val="center"/>
          </w:tcPr>
          <w:p w14:paraId="62503C19" w14:textId="0DE87322" w:rsidR="007A3130" w:rsidRPr="00350596" w:rsidRDefault="007A3130" w:rsidP="007A3130">
            <w:pPr>
              <w:keepNext/>
              <w:keepLines/>
              <w:widowControl w:val="0"/>
              <w:jc w:val="center"/>
              <w:rPr>
                <w:rFonts w:ascii="Arial Narrow" w:eastAsiaTheme="majorEastAsia" w:hAnsi="Arial Narrow" w:cstheme="majorBidi"/>
                <w:b/>
                <w:bCs/>
                <w:sz w:val="20"/>
              </w:rPr>
            </w:pPr>
            <w:r w:rsidRPr="00350596">
              <w:rPr>
                <w:rFonts w:ascii="Arial Narrow" w:eastAsiaTheme="majorEastAsia" w:hAnsi="Arial Narrow" w:cstheme="majorBidi"/>
                <w:b/>
                <w:bCs/>
                <w:sz w:val="20"/>
              </w:rPr>
              <w:t>Annual cost</w:t>
            </w:r>
            <w:r w:rsidR="00F172E9" w:rsidRPr="00350596">
              <w:rPr>
                <w:rFonts w:ascii="Arial Narrow" w:eastAsiaTheme="majorEastAsia" w:hAnsi="Arial Narrow" w:cstheme="majorBidi"/>
                <w:b/>
                <w:bCs/>
                <w:sz w:val="20"/>
              </w:rPr>
              <w:t xml:space="preserve"> </w:t>
            </w:r>
            <w:r w:rsidR="00EF2F32" w:rsidRPr="00350596">
              <w:rPr>
                <w:rFonts w:ascii="Arial Narrow" w:eastAsiaTheme="majorEastAsia" w:hAnsi="Arial Narrow" w:cstheme="majorBidi"/>
                <w:b/>
                <w:bCs/>
                <w:sz w:val="20"/>
              </w:rPr>
              <w:t>or</w:t>
            </w:r>
            <w:r w:rsidR="00F172E9" w:rsidRPr="00350596">
              <w:rPr>
                <w:rFonts w:ascii="Arial Narrow" w:eastAsiaTheme="majorEastAsia" w:hAnsi="Arial Narrow" w:cstheme="majorBidi"/>
                <w:b/>
                <w:bCs/>
                <w:sz w:val="20"/>
              </w:rPr>
              <w:t xml:space="preserve"> dose</w:t>
            </w:r>
          </w:p>
        </w:tc>
        <w:tc>
          <w:tcPr>
            <w:tcW w:w="3665" w:type="pct"/>
            <w:vAlign w:val="center"/>
          </w:tcPr>
          <w:p w14:paraId="3B1E8152" w14:textId="77777777" w:rsidR="007A3130" w:rsidRPr="00350596" w:rsidRDefault="007A3130" w:rsidP="007A3130">
            <w:pPr>
              <w:keepNext/>
              <w:keepLines/>
              <w:widowControl w:val="0"/>
              <w:jc w:val="center"/>
              <w:rPr>
                <w:rFonts w:ascii="Arial Narrow" w:eastAsiaTheme="majorEastAsia" w:hAnsi="Arial Narrow" w:cstheme="majorBidi"/>
                <w:b/>
                <w:bCs/>
                <w:sz w:val="20"/>
              </w:rPr>
            </w:pPr>
            <w:r w:rsidRPr="00350596">
              <w:rPr>
                <w:rFonts w:ascii="Arial Narrow" w:eastAsiaTheme="majorEastAsia" w:hAnsi="Arial Narrow" w:cstheme="majorBidi"/>
                <w:b/>
                <w:bCs/>
                <w:sz w:val="20"/>
              </w:rPr>
              <w:t>Source</w:t>
            </w:r>
          </w:p>
        </w:tc>
      </w:tr>
      <w:tr w:rsidR="005E4526" w:rsidRPr="00350596" w14:paraId="0DBC62A6" w14:textId="77777777" w:rsidTr="005E4526">
        <w:trPr>
          <w:trHeight w:val="43"/>
        </w:trPr>
        <w:tc>
          <w:tcPr>
            <w:tcW w:w="5000" w:type="pct"/>
            <w:gridSpan w:val="3"/>
            <w:vAlign w:val="center"/>
          </w:tcPr>
          <w:p w14:paraId="70C9EE00" w14:textId="5EB524B7" w:rsidR="005E4526" w:rsidRPr="00350596" w:rsidRDefault="005E4526" w:rsidP="007A3130">
            <w:pPr>
              <w:keepNext/>
              <w:keepLines/>
              <w:widowControl w:val="0"/>
              <w:jc w:val="left"/>
              <w:rPr>
                <w:rFonts w:ascii="Arial Narrow" w:eastAsiaTheme="majorEastAsia" w:hAnsi="Arial Narrow" w:cstheme="majorBidi"/>
                <w:b/>
                <w:sz w:val="20"/>
              </w:rPr>
            </w:pPr>
            <w:r w:rsidRPr="00350596">
              <w:rPr>
                <w:rFonts w:ascii="Arial Narrow" w:eastAsiaTheme="majorEastAsia" w:hAnsi="Arial Narrow" w:cstheme="majorBidi"/>
                <w:b/>
                <w:sz w:val="20"/>
              </w:rPr>
              <w:t>Efgartigimod</w:t>
            </w:r>
          </w:p>
        </w:tc>
      </w:tr>
      <w:tr w:rsidR="00EC044B" w:rsidRPr="00350596" w14:paraId="3338F483" w14:textId="77777777" w:rsidTr="005E4526">
        <w:trPr>
          <w:trHeight w:val="43"/>
        </w:trPr>
        <w:tc>
          <w:tcPr>
            <w:tcW w:w="784" w:type="pct"/>
            <w:vAlign w:val="center"/>
          </w:tcPr>
          <w:p w14:paraId="76C84A9E" w14:textId="21A3BCF6" w:rsidR="007A3130" w:rsidRPr="00350596" w:rsidRDefault="00F172E9"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Efgartigimod economic model</w:t>
            </w:r>
          </w:p>
        </w:tc>
        <w:tc>
          <w:tcPr>
            <w:tcW w:w="551" w:type="pct"/>
            <w:vAlign w:val="center"/>
          </w:tcPr>
          <w:p w14:paraId="7CE39238" w14:textId="4406D2EB" w:rsidR="003D6851" w:rsidRPr="00350596" w:rsidRDefault="00627B5F" w:rsidP="007A3130">
            <w:pPr>
              <w:keepNext/>
              <w:keepLines/>
              <w:widowControl w:val="0"/>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15,534 mg</w:t>
            </w:r>
            <w:r w:rsidR="00F172E9" w:rsidRPr="00350596">
              <w:rPr>
                <w:rFonts w:ascii="Arial Narrow" w:eastAsiaTheme="majorEastAsia" w:hAnsi="Arial Narrow" w:cstheme="majorBidi"/>
                <w:bCs/>
                <w:sz w:val="20"/>
              </w:rPr>
              <w:t xml:space="preserve"> in Year 1</w:t>
            </w:r>
          </w:p>
        </w:tc>
        <w:tc>
          <w:tcPr>
            <w:tcW w:w="3665" w:type="pct"/>
            <w:vAlign w:val="center"/>
          </w:tcPr>
          <w:p w14:paraId="0529E4BE" w14:textId="113B9BA6" w:rsidR="007A3130" w:rsidRPr="00350596" w:rsidRDefault="00F172E9"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2.4 vials per infusion (assuming the same distribution of patients across weight categories in the ADAPT trial (40.3% of patients weight &gt;80kg and thus require 3 vials; remainder require 2 vials), 4 infusions per cycle (perfect compliance), 4.04 cycles per year (accounting for discontinuations and modelled time off-treatment in patients with MG-ADL &lt;</w:t>
            </w:r>
            <w:r w:rsidR="00132973">
              <w:rPr>
                <w:rFonts w:ascii="Arial Narrow" w:eastAsiaTheme="majorEastAsia" w:hAnsi="Arial Narrow" w:cstheme="majorBidi"/>
                <w:bCs/>
                <w:sz w:val="20"/>
              </w:rPr>
              <w:t xml:space="preserve"> </w:t>
            </w:r>
            <w:r w:rsidRPr="00350596">
              <w:rPr>
                <w:rFonts w:ascii="Arial Narrow" w:eastAsiaTheme="majorEastAsia" w:hAnsi="Arial Narrow" w:cstheme="majorBidi"/>
                <w:bCs/>
                <w:sz w:val="20"/>
              </w:rPr>
              <w:t>5 and a minimum 4-week gap between treatment cycles)</w:t>
            </w:r>
            <w:r w:rsidR="000660F4" w:rsidRPr="00350596">
              <w:rPr>
                <w:rFonts w:ascii="Arial Narrow" w:eastAsiaTheme="majorEastAsia" w:hAnsi="Arial Narrow" w:cstheme="majorBidi"/>
                <w:bCs/>
                <w:sz w:val="20"/>
              </w:rPr>
              <w:t>. This equates to a treatment-free interval of 8.</w:t>
            </w:r>
            <w:r w:rsidR="003D6851" w:rsidRPr="00350596">
              <w:rPr>
                <w:rFonts w:ascii="Arial Narrow" w:eastAsiaTheme="majorEastAsia" w:hAnsi="Arial Narrow" w:cstheme="majorBidi"/>
                <w:bCs/>
                <w:sz w:val="20"/>
              </w:rPr>
              <w:t>9</w:t>
            </w:r>
            <w:r w:rsidR="000660F4" w:rsidRPr="00350596">
              <w:rPr>
                <w:rFonts w:ascii="Arial Narrow" w:eastAsiaTheme="majorEastAsia" w:hAnsi="Arial Narrow" w:cstheme="majorBidi"/>
                <w:bCs/>
                <w:sz w:val="20"/>
              </w:rPr>
              <w:t xml:space="preserve"> weeks between cycles.</w:t>
            </w:r>
            <w:r w:rsidR="00D53C72">
              <w:rPr>
                <w:rFonts w:ascii="Arial Narrow" w:eastAsiaTheme="majorEastAsia" w:hAnsi="Arial Narrow" w:cstheme="majorBidi"/>
                <w:bCs/>
                <w:sz w:val="20"/>
              </w:rPr>
              <w:t xml:space="preserve"> </w:t>
            </w:r>
          </w:p>
        </w:tc>
      </w:tr>
      <w:tr w:rsidR="00EC044B" w:rsidRPr="00350596" w14:paraId="1631078C" w14:textId="77777777" w:rsidTr="005E4526">
        <w:trPr>
          <w:trHeight w:val="43"/>
        </w:trPr>
        <w:tc>
          <w:tcPr>
            <w:tcW w:w="784" w:type="pct"/>
            <w:vAlign w:val="center"/>
          </w:tcPr>
          <w:p w14:paraId="4A88DD97" w14:textId="3BA07ADC" w:rsidR="00F172E9" w:rsidRPr="00350596" w:rsidRDefault="00F172E9"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Efgartigimod: minimum treatment-free interval </w:t>
            </w:r>
          </w:p>
        </w:tc>
        <w:tc>
          <w:tcPr>
            <w:tcW w:w="551" w:type="pct"/>
            <w:vAlign w:val="center"/>
          </w:tcPr>
          <w:p w14:paraId="7FA9D440" w14:textId="6E7AA785" w:rsidR="00627B5F" w:rsidRPr="00350596" w:rsidRDefault="00627B5F" w:rsidP="007A3130">
            <w:pPr>
              <w:keepNext/>
              <w:keepLines/>
              <w:widowControl w:val="0"/>
              <w:jc w:val="center"/>
              <w:rPr>
                <w:rFonts w:ascii="Arial Narrow" w:eastAsiaTheme="majorEastAsia" w:hAnsi="Arial Narrow" w:cstheme="majorBidi"/>
                <w:bCs/>
                <w:sz w:val="20"/>
              </w:rPr>
            </w:pPr>
            <w:r w:rsidRPr="00350596">
              <w:rPr>
                <w:rFonts w:ascii="Arial Narrow" w:eastAsiaTheme="majorEastAsia" w:hAnsi="Arial Narrow" w:cstheme="majorBidi"/>
                <w:bCs/>
                <w:sz w:val="20"/>
              </w:rPr>
              <w:t>26,915</w:t>
            </w:r>
            <w:r w:rsidR="000660F4" w:rsidRPr="00350596">
              <w:rPr>
                <w:rFonts w:ascii="Arial Narrow" w:eastAsiaTheme="majorEastAsia" w:hAnsi="Arial Narrow" w:cstheme="majorBidi"/>
                <w:bCs/>
                <w:sz w:val="20"/>
              </w:rPr>
              <w:t xml:space="preserve"> mg</w:t>
            </w:r>
          </w:p>
        </w:tc>
        <w:tc>
          <w:tcPr>
            <w:tcW w:w="3665" w:type="pct"/>
            <w:vAlign w:val="center"/>
          </w:tcPr>
          <w:p w14:paraId="314098C2" w14:textId="38D0B07C" w:rsidR="00F172E9" w:rsidRPr="00350596" w:rsidRDefault="00F172E9"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As above, but with 7 cycles per year</w:t>
            </w:r>
            <w:r w:rsidR="000660F4" w:rsidRPr="00350596">
              <w:rPr>
                <w:rFonts w:ascii="Arial Narrow" w:eastAsiaTheme="majorEastAsia" w:hAnsi="Arial Narrow" w:cstheme="majorBidi"/>
                <w:bCs/>
                <w:sz w:val="20"/>
              </w:rPr>
              <w:t>.</w:t>
            </w:r>
            <w:r w:rsidRPr="00350596">
              <w:rPr>
                <w:rFonts w:ascii="Arial Narrow" w:eastAsiaTheme="majorEastAsia" w:hAnsi="Arial Narrow" w:cstheme="majorBidi"/>
                <w:bCs/>
                <w:sz w:val="20"/>
              </w:rPr>
              <w:t xml:space="preserve"> </w:t>
            </w:r>
            <w:r w:rsidR="000660F4" w:rsidRPr="00350596">
              <w:rPr>
                <w:rFonts w:ascii="Arial Narrow" w:eastAsiaTheme="majorEastAsia" w:hAnsi="Arial Narrow" w:cstheme="majorBidi"/>
                <w:bCs/>
                <w:sz w:val="20"/>
              </w:rPr>
              <w:t>This equates to a treatment-free interval of 4 weeks between cycles.</w:t>
            </w:r>
            <w:r w:rsidR="00D53C72">
              <w:rPr>
                <w:rFonts w:ascii="Arial Narrow" w:eastAsiaTheme="majorEastAsia" w:hAnsi="Arial Narrow" w:cstheme="majorBidi"/>
                <w:bCs/>
                <w:sz w:val="20"/>
              </w:rPr>
              <w:t xml:space="preserve"> </w:t>
            </w:r>
          </w:p>
        </w:tc>
      </w:tr>
      <w:tr w:rsidR="00EC044B" w:rsidRPr="00350596" w14:paraId="2EE0AADB" w14:textId="77777777" w:rsidTr="005E4526">
        <w:trPr>
          <w:trHeight w:val="43"/>
        </w:trPr>
        <w:tc>
          <w:tcPr>
            <w:tcW w:w="784" w:type="pct"/>
            <w:vAlign w:val="center"/>
          </w:tcPr>
          <w:p w14:paraId="60DB00EA" w14:textId="5AE98202" w:rsidR="00F172E9" w:rsidRPr="00350596" w:rsidRDefault="00F172E9"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Efgartigimod: financial estimates</w:t>
            </w:r>
          </w:p>
        </w:tc>
        <w:tc>
          <w:tcPr>
            <w:tcW w:w="551" w:type="pct"/>
            <w:vAlign w:val="center"/>
          </w:tcPr>
          <w:p w14:paraId="4CBEFAE2" w14:textId="291D28E8" w:rsidR="00627B5F" w:rsidRPr="00350596" w:rsidRDefault="00627B5F" w:rsidP="004B77B0">
            <w:pPr>
              <w:keepNext/>
              <w:keepLines/>
              <w:widowControl w:val="0"/>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18,148</w:t>
            </w:r>
            <w:r w:rsidR="000660F4" w:rsidRPr="00350596">
              <w:rPr>
                <w:rFonts w:ascii="Arial Narrow" w:eastAsiaTheme="majorEastAsia" w:hAnsi="Arial Narrow" w:cstheme="majorBidi"/>
                <w:bCs/>
                <w:sz w:val="20"/>
              </w:rPr>
              <w:t xml:space="preserve"> mg</w:t>
            </w:r>
          </w:p>
        </w:tc>
        <w:tc>
          <w:tcPr>
            <w:tcW w:w="3665" w:type="pct"/>
            <w:vAlign w:val="center"/>
          </w:tcPr>
          <w:p w14:paraId="55AB7CD4" w14:textId="1E367673" w:rsidR="00F172E9" w:rsidRPr="00350596" w:rsidRDefault="00F172E9"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As above, but with 4.72 cycles per year</w:t>
            </w:r>
            <w:r w:rsidRPr="00350596">
              <w:t xml:space="preserve"> </w:t>
            </w:r>
            <w:r w:rsidRPr="00350596">
              <w:rPr>
                <w:rFonts w:ascii="Arial Narrow" w:eastAsiaTheme="majorEastAsia" w:hAnsi="Arial Narrow" w:cstheme="majorBidi"/>
                <w:bCs/>
                <w:sz w:val="20"/>
              </w:rPr>
              <w:t xml:space="preserve">based on a </w:t>
            </w:r>
            <w:r w:rsidRPr="00350596">
              <w:rPr>
                <w:rFonts w:ascii="Arial Narrow" w:eastAsiaTheme="majorEastAsia" w:hAnsi="Arial Narrow" w:cstheme="majorBidi"/>
                <w:i/>
                <w:sz w:val="20"/>
              </w:rPr>
              <w:t>post hoc</w:t>
            </w:r>
            <w:r w:rsidRPr="00350596">
              <w:rPr>
                <w:rFonts w:ascii="Arial Narrow" w:eastAsiaTheme="majorEastAsia" w:hAnsi="Arial Narrow" w:cstheme="majorBidi"/>
                <w:bCs/>
                <w:sz w:val="20"/>
              </w:rPr>
              <w:t xml:space="preserve"> analysis of the average cycles per year in AChR+ patients with ≥ 1 year of follow-up in the ADAPT trial and extensions (Howard 2024)</w:t>
            </w:r>
            <w:r w:rsidR="000660F4" w:rsidRPr="00350596">
              <w:rPr>
                <w:rFonts w:ascii="Arial Narrow" w:eastAsiaTheme="majorEastAsia" w:hAnsi="Arial Narrow" w:cstheme="majorBidi"/>
                <w:bCs/>
                <w:sz w:val="20"/>
              </w:rPr>
              <w:t>. This equates to a treatment-free interval of 7.0 weeks between cycles.</w:t>
            </w:r>
            <w:r w:rsidR="00D53C72">
              <w:rPr>
                <w:rFonts w:ascii="Arial Narrow" w:eastAsiaTheme="majorEastAsia" w:hAnsi="Arial Narrow" w:cstheme="majorBidi"/>
                <w:bCs/>
                <w:sz w:val="20"/>
              </w:rPr>
              <w:t xml:space="preserve"> </w:t>
            </w:r>
          </w:p>
        </w:tc>
      </w:tr>
      <w:tr w:rsidR="00EC044B" w:rsidRPr="00350596" w14:paraId="2474CEDC" w14:textId="77777777" w:rsidTr="005E4526">
        <w:trPr>
          <w:trHeight w:val="43"/>
        </w:trPr>
        <w:tc>
          <w:tcPr>
            <w:tcW w:w="784" w:type="pct"/>
            <w:vAlign w:val="center"/>
          </w:tcPr>
          <w:p w14:paraId="07EA8D44" w14:textId="2194ED54" w:rsidR="002F3DF3" w:rsidRPr="00350596" w:rsidRDefault="002F3DF3"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Efgartigimod: </w:t>
            </w:r>
            <w:r w:rsidR="003143D0" w:rsidRPr="00350596">
              <w:rPr>
                <w:rFonts w:ascii="Arial Narrow" w:eastAsiaTheme="majorEastAsia" w:hAnsi="Arial Narrow" w:cstheme="majorBidi"/>
                <w:bCs/>
                <w:sz w:val="20"/>
              </w:rPr>
              <w:t xml:space="preserve">6 weeks between cycles </w:t>
            </w:r>
          </w:p>
        </w:tc>
        <w:tc>
          <w:tcPr>
            <w:tcW w:w="551" w:type="pct"/>
            <w:vAlign w:val="center"/>
          </w:tcPr>
          <w:p w14:paraId="4C3A2A4A" w14:textId="16767C8A" w:rsidR="002F3DF3" w:rsidRPr="00350596" w:rsidRDefault="00924A5A" w:rsidP="00EF2F32">
            <w:pPr>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19,994 </w:t>
            </w:r>
            <w:r w:rsidR="002F3DF3" w:rsidRPr="00350596">
              <w:rPr>
                <w:rFonts w:ascii="Arial Narrow" w:eastAsiaTheme="majorEastAsia" w:hAnsi="Arial Narrow" w:cstheme="majorBidi"/>
                <w:bCs/>
                <w:sz w:val="20"/>
              </w:rPr>
              <w:t>mg</w:t>
            </w:r>
          </w:p>
        </w:tc>
        <w:tc>
          <w:tcPr>
            <w:tcW w:w="3665" w:type="pct"/>
            <w:vAlign w:val="center"/>
          </w:tcPr>
          <w:p w14:paraId="6E7548C0" w14:textId="19C75F9B" w:rsidR="002F3DF3" w:rsidRPr="00350596" w:rsidRDefault="002F3DF3"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As above, but with 6 </w:t>
            </w:r>
            <w:r w:rsidR="00924A5A" w:rsidRPr="00350596">
              <w:rPr>
                <w:rFonts w:ascii="Arial Narrow" w:eastAsiaTheme="majorEastAsia" w:hAnsi="Arial Narrow" w:cstheme="majorBidi"/>
                <w:bCs/>
                <w:sz w:val="20"/>
              </w:rPr>
              <w:t xml:space="preserve">weeks between cycles based on Bhavaraju-Sanka (2024) </w:t>
            </w:r>
            <w:r w:rsidRPr="00350596">
              <w:rPr>
                <w:rFonts w:ascii="Arial Narrow" w:eastAsiaTheme="majorEastAsia" w:hAnsi="Arial Narrow" w:cstheme="majorBidi"/>
                <w:bCs/>
                <w:sz w:val="20"/>
              </w:rPr>
              <w:t>(paragraph</w:t>
            </w:r>
            <w:r w:rsidR="00924A5A" w:rsidRPr="00350596">
              <w:rPr>
                <w:rFonts w:ascii="Arial Narrow" w:eastAsiaTheme="majorEastAsia" w:hAnsi="Arial Narrow" w:cstheme="majorBidi"/>
                <w:bCs/>
                <w:sz w:val="20"/>
              </w:rPr>
              <w:t xml:space="preserve"> </w:t>
            </w:r>
            <w:r w:rsidR="00924A5A" w:rsidRPr="00350596">
              <w:rPr>
                <w:rFonts w:ascii="Arial Narrow" w:eastAsiaTheme="majorEastAsia" w:hAnsi="Arial Narrow" w:cstheme="majorBidi"/>
                <w:bCs/>
                <w:sz w:val="20"/>
              </w:rPr>
              <w:fldChar w:fldCharType="begin"/>
            </w:r>
            <w:r w:rsidR="00924A5A" w:rsidRPr="00350596">
              <w:rPr>
                <w:rFonts w:ascii="Arial Narrow" w:eastAsiaTheme="majorEastAsia" w:hAnsi="Arial Narrow" w:cstheme="majorBidi"/>
                <w:bCs/>
                <w:sz w:val="20"/>
              </w:rPr>
              <w:instrText xml:space="preserve"> REF _Ref194440603 \r \h </w:instrText>
            </w:r>
            <w:r w:rsidR="00924A5A" w:rsidRPr="00350596">
              <w:rPr>
                <w:rFonts w:ascii="Arial Narrow" w:eastAsiaTheme="majorEastAsia" w:hAnsi="Arial Narrow" w:cstheme="majorBidi"/>
                <w:bCs/>
                <w:sz w:val="20"/>
              </w:rPr>
            </w:r>
            <w:r w:rsidR="00924A5A" w:rsidRPr="00350596">
              <w:rPr>
                <w:rFonts w:ascii="Arial Narrow" w:eastAsiaTheme="majorEastAsia" w:hAnsi="Arial Narrow" w:cstheme="majorBidi"/>
                <w:bCs/>
                <w:sz w:val="20"/>
              </w:rPr>
              <w:fldChar w:fldCharType="separate"/>
            </w:r>
            <w:r w:rsidR="002B16A5">
              <w:rPr>
                <w:rFonts w:ascii="Arial Narrow" w:eastAsiaTheme="majorEastAsia" w:hAnsi="Arial Narrow" w:cstheme="majorBidi"/>
                <w:bCs/>
                <w:sz w:val="20"/>
              </w:rPr>
              <w:t>6.103</w:t>
            </w:r>
            <w:r w:rsidR="00924A5A" w:rsidRPr="00350596">
              <w:rPr>
                <w:rFonts w:ascii="Arial Narrow" w:eastAsiaTheme="majorEastAsia" w:hAnsi="Arial Narrow" w:cstheme="majorBidi"/>
                <w:bCs/>
                <w:sz w:val="20"/>
              </w:rPr>
              <w:fldChar w:fldCharType="end"/>
            </w:r>
            <w:r w:rsidRPr="00350596">
              <w:rPr>
                <w:rFonts w:ascii="Arial Narrow" w:eastAsiaTheme="majorEastAsia" w:hAnsi="Arial Narrow" w:cstheme="majorBidi"/>
                <w:bCs/>
                <w:sz w:val="20"/>
              </w:rPr>
              <w:t>)</w:t>
            </w:r>
          </w:p>
        </w:tc>
      </w:tr>
      <w:tr w:rsidR="00EC044B" w:rsidRPr="00350596" w14:paraId="167242DF" w14:textId="77777777" w:rsidTr="00104A28">
        <w:trPr>
          <w:trHeight w:val="43"/>
        </w:trPr>
        <w:tc>
          <w:tcPr>
            <w:tcW w:w="5000" w:type="pct"/>
            <w:gridSpan w:val="3"/>
            <w:vAlign w:val="center"/>
          </w:tcPr>
          <w:p w14:paraId="2B0914DE" w14:textId="77777777" w:rsidR="007A3130" w:rsidRPr="00350596" w:rsidRDefault="007A3130" w:rsidP="007A3130">
            <w:pPr>
              <w:keepNext/>
              <w:keepLines/>
              <w:widowControl w:val="0"/>
              <w:jc w:val="left"/>
              <w:rPr>
                <w:rFonts w:ascii="Arial Narrow" w:eastAsiaTheme="majorEastAsia" w:hAnsi="Arial Narrow" w:cstheme="majorBidi"/>
                <w:b/>
                <w:sz w:val="20"/>
              </w:rPr>
            </w:pPr>
            <w:r w:rsidRPr="00350596">
              <w:rPr>
                <w:rFonts w:ascii="Arial Narrow" w:eastAsiaTheme="majorEastAsia" w:hAnsi="Arial Narrow" w:cstheme="majorBidi"/>
                <w:b/>
                <w:sz w:val="20"/>
              </w:rPr>
              <w:t>IVIg costing scenarios</w:t>
            </w:r>
          </w:p>
        </w:tc>
      </w:tr>
      <w:tr w:rsidR="00EC044B" w:rsidRPr="00350596" w14:paraId="5D7938BC" w14:textId="77777777" w:rsidTr="005E4526">
        <w:trPr>
          <w:trHeight w:val="43"/>
        </w:trPr>
        <w:tc>
          <w:tcPr>
            <w:tcW w:w="784" w:type="pct"/>
            <w:vAlign w:val="center"/>
          </w:tcPr>
          <w:p w14:paraId="4B4513C4" w14:textId="77777777" w:rsidR="007A3130" w:rsidRPr="00350596" w:rsidRDefault="007A3130"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ESC: IVIg </w:t>
            </w:r>
            <w:r w:rsidRPr="00350596">
              <w:rPr>
                <w:rFonts w:ascii="Arial Narrow" w:eastAsiaTheme="majorEastAsia" w:hAnsi="Arial Narrow" w:cstheme="majorBidi"/>
                <w:bCs/>
                <w:sz w:val="20"/>
              </w:rPr>
              <w:br/>
              <w:t>(average grams dispensed per maintenance MG patient)</w:t>
            </w:r>
          </w:p>
        </w:tc>
        <w:tc>
          <w:tcPr>
            <w:tcW w:w="551" w:type="pct"/>
            <w:vAlign w:val="center"/>
          </w:tcPr>
          <w:p w14:paraId="3A310B33" w14:textId="63D81BF9" w:rsidR="0097149D" w:rsidRPr="00350596" w:rsidRDefault="0097149D" w:rsidP="007A3130">
            <w:pPr>
              <w:keepNext/>
              <w:keepLines/>
              <w:widowControl w:val="0"/>
              <w:jc w:val="center"/>
              <w:rPr>
                <w:rFonts w:ascii="Arial Narrow" w:eastAsiaTheme="majorEastAsia" w:hAnsi="Arial Narrow" w:cstheme="majorBidi"/>
                <w:bCs/>
                <w:sz w:val="20"/>
              </w:rPr>
            </w:pPr>
            <w:r w:rsidRPr="00350596" w:rsidDel="005457AF">
              <w:rPr>
                <w:rFonts w:ascii="Arial Narrow" w:eastAsiaTheme="majorEastAsia" w:hAnsi="Arial Narrow" w:cstheme="majorBidi"/>
                <w:bCs/>
                <w:sz w:val="20"/>
              </w:rPr>
              <w:t>541 g</w:t>
            </w:r>
          </w:p>
          <w:p w14:paraId="34143399" w14:textId="0806C9AF" w:rsidR="007A3130" w:rsidRPr="00350596" w:rsidRDefault="007A3130" w:rsidP="007A3130">
            <w:pPr>
              <w:keepNext/>
              <w:keepLines/>
              <w:widowControl w:val="0"/>
              <w:jc w:val="center"/>
              <w:rPr>
                <w:rFonts w:ascii="Arial Narrow" w:eastAsiaTheme="majorEastAsia" w:hAnsi="Arial Narrow" w:cstheme="majorBidi"/>
                <w:bCs/>
                <w:sz w:val="20"/>
              </w:rPr>
            </w:pPr>
            <w:r w:rsidRPr="00350596">
              <w:rPr>
                <w:rFonts w:ascii="Arial Narrow" w:eastAsiaTheme="majorEastAsia" w:hAnsi="Arial Narrow" w:cstheme="majorBidi"/>
                <w:bCs/>
                <w:sz w:val="20"/>
              </w:rPr>
              <w:t>$</w:t>
            </w:r>
            <w:r w:rsidR="000F00AE" w:rsidRPr="000F00AE">
              <w:rPr>
                <w:rFonts w:ascii="Arial Narrow" w:eastAsiaTheme="majorEastAsia" w:hAnsi="Arial Narrow" w:cstheme="majorBidi"/>
                <w:bCs/>
                <w:color w:val="000000"/>
                <w:spacing w:val="49"/>
                <w:sz w:val="20"/>
                <w:shd w:val="solid" w:color="000000" w:fill="000000"/>
                <w:fitText w:val="320" w:id="-656689662"/>
                <w14:textFill>
                  <w14:solidFill>
                    <w14:srgbClr w14:val="000000">
                      <w14:alpha w14:val="100000"/>
                    </w14:srgbClr>
                  </w14:solidFill>
                </w14:textFill>
              </w:rPr>
              <w:t>|||</w:t>
            </w:r>
            <w:r w:rsidR="000F00AE" w:rsidRPr="000F00AE">
              <w:rPr>
                <w:rFonts w:ascii="Arial Narrow" w:eastAsiaTheme="majorEastAsia" w:hAnsi="Arial Narrow" w:cstheme="majorBidi"/>
                <w:bCs/>
                <w:color w:val="000000"/>
                <w:spacing w:val="3"/>
                <w:sz w:val="20"/>
                <w:shd w:val="solid" w:color="000000" w:fill="000000"/>
                <w:fitText w:val="320" w:id="-656689662"/>
                <w14:textFill>
                  <w14:solidFill>
                    <w14:srgbClr w14:val="000000">
                      <w14:alpha w14:val="100000"/>
                    </w14:srgbClr>
                  </w14:solidFill>
                </w14:textFill>
              </w:rPr>
              <w:t>|</w:t>
            </w:r>
          </w:p>
        </w:tc>
        <w:tc>
          <w:tcPr>
            <w:tcW w:w="3665" w:type="pct"/>
            <w:vAlign w:val="center"/>
          </w:tcPr>
          <w:p w14:paraId="060C55EB" w14:textId="32CE252A" w:rsidR="007A3130" w:rsidRPr="00350596" w:rsidRDefault="007A3130"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Based on an estimated cost of $</w:t>
            </w:r>
            <w:r w:rsidR="000F00AE" w:rsidRPr="000F00AE">
              <w:rPr>
                <w:rFonts w:ascii="Arial Narrow" w:eastAsiaTheme="majorEastAsia" w:hAnsi="Arial Narrow" w:cstheme="majorBidi"/>
                <w:bCs/>
                <w:color w:val="000000"/>
                <w:spacing w:val="53"/>
                <w:sz w:val="20"/>
                <w:shd w:val="solid" w:color="000000" w:fill="000000"/>
                <w:fitText w:val="330" w:id="-656689661"/>
                <w14:textFill>
                  <w14:solidFill>
                    <w14:srgbClr w14:val="000000">
                      <w14:alpha w14:val="100000"/>
                    </w14:srgbClr>
                  </w14:solidFill>
                </w14:textFill>
              </w:rPr>
              <w:t>|||</w:t>
            </w:r>
            <w:r w:rsidR="000F00AE" w:rsidRPr="000F00AE">
              <w:rPr>
                <w:rFonts w:ascii="Arial Narrow" w:eastAsiaTheme="majorEastAsia" w:hAnsi="Arial Narrow" w:cstheme="majorBidi"/>
                <w:bCs/>
                <w:color w:val="000000"/>
                <w:spacing w:val="1"/>
                <w:sz w:val="20"/>
                <w:shd w:val="solid" w:color="000000" w:fill="000000"/>
                <w:fitText w:val="330" w:id="-656689661"/>
                <w14:textFill>
                  <w14:solidFill>
                    <w14:srgbClr w14:val="000000">
                      <w14:alpha w14:val="100000"/>
                    </w14:srgbClr>
                  </w14:solidFill>
                </w14:textFill>
              </w:rPr>
              <w:t>|</w:t>
            </w:r>
            <w:r w:rsidRPr="00350596">
              <w:rPr>
                <w:rFonts w:ascii="Arial Narrow" w:eastAsiaTheme="majorEastAsia" w:hAnsi="Arial Narrow" w:cstheme="majorBidi"/>
                <w:bCs/>
                <w:sz w:val="20"/>
              </w:rPr>
              <w:t xml:space="preserve"> per gram for IVIg and average dose of 541 grams per patient per year based on data received from the NBA for 2023-24 (refer to Section 7). </w:t>
            </w:r>
          </w:p>
          <w:p w14:paraId="2248C9FA" w14:textId="77777777" w:rsidR="007A3130" w:rsidRPr="00350596" w:rsidRDefault="007A3130"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This excludes patients who commenced in 2023-24, as this may represent a part year of treatment for some patients, and may include non-responders.</w:t>
            </w:r>
          </w:p>
        </w:tc>
      </w:tr>
      <w:tr w:rsidR="00EC044B" w:rsidRPr="00350596" w14:paraId="24F5803D" w14:textId="77777777" w:rsidTr="005E4526">
        <w:trPr>
          <w:trHeight w:val="43"/>
        </w:trPr>
        <w:tc>
          <w:tcPr>
            <w:tcW w:w="784" w:type="pct"/>
            <w:vAlign w:val="center"/>
          </w:tcPr>
          <w:p w14:paraId="0E8277FD" w14:textId="4B15E754" w:rsidR="007A3130" w:rsidRPr="00350596" w:rsidRDefault="003D6851" w:rsidP="007A3130">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Submission economic model</w:t>
            </w:r>
            <w:r w:rsidR="007A3130" w:rsidRPr="00350596">
              <w:rPr>
                <w:rFonts w:ascii="Arial Narrow" w:eastAsiaTheme="majorEastAsia" w:hAnsi="Arial Narrow" w:cstheme="majorBidi"/>
                <w:bCs/>
                <w:sz w:val="20"/>
              </w:rPr>
              <w:t xml:space="preserve">: IVIg </w:t>
            </w:r>
          </w:p>
        </w:tc>
        <w:tc>
          <w:tcPr>
            <w:tcW w:w="551" w:type="pct"/>
            <w:vAlign w:val="center"/>
          </w:tcPr>
          <w:p w14:paraId="3B10356F" w14:textId="07D10DAE" w:rsidR="00040919" w:rsidRPr="00350596" w:rsidRDefault="00040919" w:rsidP="007A3130">
            <w:pPr>
              <w:keepNext/>
              <w:keepLines/>
              <w:widowControl w:val="0"/>
              <w:jc w:val="center"/>
              <w:rPr>
                <w:rFonts w:ascii="Arial Narrow" w:eastAsiaTheme="majorEastAsia" w:hAnsi="Arial Narrow" w:cstheme="majorBidi"/>
                <w:bCs/>
                <w:sz w:val="20"/>
              </w:rPr>
            </w:pPr>
            <w:r w:rsidRPr="00350596">
              <w:rPr>
                <w:rFonts w:ascii="Arial Narrow" w:eastAsiaTheme="majorEastAsia" w:hAnsi="Arial Narrow" w:cstheme="majorBidi"/>
                <w:bCs/>
                <w:sz w:val="20"/>
              </w:rPr>
              <w:t>678 g</w:t>
            </w:r>
          </w:p>
          <w:p w14:paraId="3E41E9C5" w14:textId="2A5FDF8F" w:rsidR="007A3130" w:rsidRPr="00350596" w:rsidRDefault="003D6851" w:rsidP="007A3130">
            <w:pPr>
              <w:keepNext/>
              <w:keepLines/>
              <w:widowControl w:val="0"/>
              <w:jc w:val="center"/>
              <w:rPr>
                <w:rFonts w:ascii="Arial Narrow" w:eastAsiaTheme="majorEastAsia" w:hAnsi="Arial Narrow" w:cstheme="majorBidi"/>
                <w:bCs/>
                <w:sz w:val="20"/>
              </w:rPr>
            </w:pPr>
            <w:r w:rsidRPr="00350596">
              <w:rPr>
                <w:rFonts w:ascii="Arial Narrow" w:eastAsiaTheme="majorEastAsia" w:hAnsi="Arial Narrow" w:cstheme="majorBidi"/>
                <w:bCs/>
                <w:sz w:val="20"/>
              </w:rPr>
              <w:t>$42,089</w:t>
            </w:r>
          </w:p>
        </w:tc>
        <w:tc>
          <w:tcPr>
            <w:tcW w:w="3665" w:type="pct"/>
            <w:vAlign w:val="center"/>
          </w:tcPr>
          <w:p w14:paraId="01B201A3" w14:textId="3EFA2AA4" w:rsidR="007A3130" w:rsidRPr="00350596" w:rsidRDefault="00040919" w:rsidP="00040919">
            <w:pPr>
              <w:keepNext/>
              <w:keepLines/>
              <w:widowControl w:val="0"/>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Induction dose: 164 g (2g/kg); Maintenance dose: 514 g per patient per year based on the 2021-22 NBA Report. </w:t>
            </w:r>
            <w:r w:rsidR="003D6851" w:rsidRPr="00350596">
              <w:rPr>
                <w:rFonts w:ascii="Arial Narrow" w:eastAsiaTheme="majorEastAsia" w:hAnsi="Arial Narrow" w:cstheme="majorBidi"/>
                <w:bCs/>
                <w:sz w:val="20"/>
              </w:rPr>
              <w:t>See paragraph</w:t>
            </w:r>
            <w:r w:rsidRPr="00350596">
              <w:rPr>
                <w:rFonts w:ascii="Arial Narrow" w:eastAsiaTheme="majorEastAsia" w:hAnsi="Arial Narrow" w:cstheme="majorBidi"/>
                <w:bCs/>
                <w:sz w:val="20"/>
              </w:rPr>
              <w:t xml:space="preserve">s </w:t>
            </w:r>
            <w:r w:rsidRPr="00350596">
              <w:rPr>
                <w:rFonts w:ascii="Arial Narrow" w:eastAsiaTheme="majorEastAsia" w:hAnsi="Arial Narrow" w:cstheme="majorBidi"/>
                <w:bCs/>
                <w:sz w:val="20"/>
              </w:rPr>
              <w:fldChar w:fldCharType="begin"/>
            </w:r>
            <w:r w:rsidRPr="00350596">
              <w:rPr>
                <w:rFonts w:ascii="Arial Narrow" w:eastAsiaTheme="majorEastAsia" w:hAnsi="Arial Narrow" w:cstheme="majorBidi"/>
                <w:bCs/>
                <w:sz w:val="20"/>
              </w:rPr>
              <w:instrText xml:space="preserve"> REF _Ref194668316 \r \h </w:instrText>
            </w:r>
            <w:r w:rsidRPr="00350596">
              <w:rPr>
                <w:rFonts w:ascii="Arial Narrow" w:eastAsiaTheme="majorEastAsia" w:hAnsi="Arial Narrow" w:cstheme="majorBidi"/>
                <w:bCs/>
                <w:sz w:val="20"/>
              </w:rPr>
            </w:r>
            <w:r w:rsidRPr="00350596">
              <w:rPr>
                <w:rFonts w:ascii="Arial Narrow" w:eastAsiaTheme="majorEastAsia" w:hAnsi="Arial Narrow" w:cstheme="majorBidi"/>
                <w:bCs/>
                <w:sz w:val="20"/>
              </w:rPr>
              <w:fldChar w:fldCharType="separate"/>
            </w:r>
            <w:r w:rsidR="002B16A5">
              <w:rPr>
                <w:rFonts w:ascii="Arial Narrow" w:eastAsiaTheme="majorEastAsia" w:hAnsi="Arial Narrow" w:cstheme="majorBidi"/>
                <w:bCs/>
                <w:sz w:val="20"/>
              </w:rPr>
              <w:t>6.105</w:t>
            </w:r>
            <w:r w:rsidRPr="00350596">
              <w:rPr>
                <w:rFonts w:ascii="Arial Narrow" w:eastAsiaTheme="majorEastAsia" w:hAnsi="Arial Narrow" w:cstheme="majorBidi"/>
                <w:bCs/>
                <w:sz w:val="20"/>
              </w:rPr>
              <w:fldChar w:fldCharType="end"/>
            </w:r>
            <w:r w:rsidRPr="00350596">
              <w:rPr>
                <w:rFonts w:ascii="Arial Narrow" w:eastAsiaTheme="majorEastAsia" w:hAnsi="Arial Narrow" w:cstheme="majorBidi"/>
                <w:bCs/>
                <w:sz w:val="20"/>
              </w:rPr>
              <w:t xml:space="preserve"> and</w:t>
            </w:r>
            <w:r w:rsidR="00EB7E9E" w:rsidRPr="00350596">
              <w:rPr>
                <w:rFonts w:ascii="Arial Narrow" w:eastAsiaTheme="majorEastAsia" w:hAnsi="Arial Narrow" w:cstheme="majorBidi"/>
                <w:bCs/>
                <w:sz w:val="20"/>
              </w:rPr>
              <w:t xml:space="preserve"> </w:t>
            </w:r>
            <w:r w:rsidR="00EB7E9E" w:rsidRPr="00350596">
              <w:rPr>
                <w:rFonts w:ascii="Arial Narrow" w:eastAsiaTheme="majorEastAsia" w:hAnsi="Arial Narrow" w:cstheme="majorBidi"/>
                <w:bCs/>
                <w:sz w:val="20"/>
              </w:rPr>
              <w:fldChar w:fldCharType="begin"/>
            </w:r>
            <w:r w:rsidR="00EB7E9E" w:rsidRPr="00350596">
              <w:rPr>
                <w:rFonts w:ascii="Arial Narrow" w:eastAsiaTheme="majorEastAsia" w:hAnsi="Arial Narrow" w:cstheme="majorBidi"/>
                <w:bCs/>
                <w:sz w:val="20"/>
              </w:rPr>
              <w:instrText xml:space="preserve"> REF _Ref194582126 \r \h </w:instrText>
            </w:r>
            <w:r w:rsidR="00EB7E9E" w:rsidRPr="00350596">
              <w:rPr>
                <w:rFonts w:ascii="Arial Narrow" w:eastAsiaTheme="majorEastAsia" w:hAnsi="Arial Narrow" w:cstheme="majorBidi"/>
                <w:bCs/>
                <w:sz w:val="20"/>
              </w:rPr>
            </w:r>
            <w:r w:rsidR="00EB7E9E" w:rsidRPr="00350596">
              <w:rPr>
                <w:rFonts w:ascii="Arial Narrow" w:eastAsiaTheme="majorEastAsia" w:hAnsi="Arial Narrow" w:cstheme="majorBidi"/>
                <w:bCs/>
                <w:sz w:val="20"/>
              </w:rPr>
              <w:fldChar w:fldCharType="separate"/>
            </w:r>
            <w:r w:rsidR="002B16A5">
              <w:rPr>
                <w:rFonts w:ascii="Arial Narrow" w:eastAsiaTheme="majorEastAsia" w:hAnsi="Arial Narrow" w:cstheme="majorBidi"/>
                <w:bCs/>
                <w:sz w:val="20"/>
              </w:rPr>
              <w:t>6.107</w:t>
            </w:r>
            <w:r w:rsidR="00EB7E9E" w:rsidRPr="00350596">
              <w:rPr>
                <w:rFonts w:ascii="Arial Narrow" w:eastAsiaTheme="majorEastAsia" w:hAnsi="Arial Narrow" w:cstheme="majorBidi"/>
                <w:bCs/>
                <w:sz w:val="20"/>
              </w:rPr>
              <w:fldChar w:fldCharType="end"/>
            </w:r>
          </w:p>
        </w:tc>
      </w:tr>
      <w:tr w:rsidR="00C108E8" w:rsidRPr="00350596" w14:paraId="641533F4" w14:textId="77777777" w:rsidTr="00C108E8">
        <w:trPr>
          <w:trHeight w:val="43"/>
        </w:trPr>
        <w:tc>
          <w:tcPr>
            <w:tcW w:w="5000" w:type="pct"/>
            <w:gridSpan w:val="3"/>
            <w:vAlign w:val="center"/>
          </w:tcPr>
          <w:p w14:paraId="0AC9357A" w14:textId="095E256D" w:rsidR="00C108E8" w:rsidRPr="00350596" w:rsidRDefault="00C108E8" w:rsidP="007A3130">
            <w:pPr>
              <w:keepNext/>
              <w:keepLines/>
              <w:widowControl w:val="0"/>
              <w:jc w:val="left"/>
              <w:rPr>
                <w:rFonts w:ascii="Arial Narrow" w:eastAsiaTheme="majorEastAsia" w:hAnsi="Arial Narrow" w:cstheme="majorBidi"/>
                <w:b/>
                <w:sz w:val="20"/>
              </w:rPr>
            </w:pPr>
            <w:r w:rsidRPr="00350596">
              <w:rPr>
                <w:rFonts w:ascii="Arial Narrow" w:eastAsiaTheme="majorEastAsia" w:hAnsi="Arial Narrow" w:cstheme="majorBidi"/>
                <w:b/>
                <w:sz w:val="20"/>
              </w:rPr>
              <w:t>IVIg costing scenarios: sensitivity analyses</w:t>
            </w:r>
          </w:p>
        </w:tc>
      </w:tr>
      <w:tr w:rsidR="00502B9E" w:rsidRPr="00350596" w14:paraId="16C6B6A1" w14:textId="77777777" w:rsidTr="005E4526">
        <w:trPr>
          <w:trHeight w:val="43"/>
        </w:trPr>
        <w:tc>
          <w:tcPr>
            <w:tcW w:w="784" w:type="pct"/>
            <w:vAlign w:val="center"/>
          </w:tcPr>
          <w:p w14:paraId="505BEAB7" w14:textId="42CC4395" w:rsidR="00502B9E" w:rsidRPr="00350596" w:rsidRDefault="00502B9E" w:rsidP="00502B9E">
            <w:pPr>
              <w:keepNext/>
              <w:keepLines/>
              <w:widowControl w:val="0"/>
              <w:jc w:val="left"/>
              <w:rPr>
                <w:rFonts w:ascii="Arial Narrow" w:eastAsiaTheme="majorEastAsia" w:hAnsi="Arial Narrow" w:cstheme="majorBidi"/>
                <w:bCs/>
                <w:sz w:val="20"/>
                <w:szCs w:val="20"/>
              </w:rPr>
            </w:pPr>
            <w:r w:rsidRPr="00350596">
              <w:rPr>
                <w:rFonts w:ascii="Arial Narrow" w:hAnsi="Arial Narrow"/>
                <w:sz w:val="20"/>
                <w:szCs w:val="20"/>
              </w:rPr>
              <w:t xml:space="preserve">Average IVIg dose per NBA data plus IVIg price based on MSAC review </w:t>
            </w:r>
          </w:p>
        </w:tc>
        <w:tc>
          <w:tcPr>
            <w:tcW w:w="551" w:type="pct"/>
            <w:vAlign w:val="center"/>
          </w:tcPr>
          <w:p w14:paraId="714841F3" w14:textId="3149777B" w:rsidR="00502B9E" w:rsidRPr="00350596" w:rsidRDefault="00502B9E" w:rsidP="00502B9E">
            <w:pPr>
              <w:keepNext/>
              <w:keepLines/>
              <w:widowControl w:val="0"/>
              <w:jc w:val="center"/>
              <w:rPr>
                <w:rFonts w:ascii="Arial Narrow" w:eastAsiaTheme="majorEastAsia" w:hAnsi="Arial Narrow" w:cstheme="majorBidi"/>
                <w:bCs/>
                <w:sz w:val="20"/>
                <w:szCs w:val="20"/>
              </w:rPr>
            </w:pPr>
            <w:r w:rsidRPr="00350596">
              <w:rPr>
                <w:rFonts w:ascii="Arial Narrow" w:hAnsi="Arial Narrow"/>
                <w:sz w:val="20"/>
                <w:szCs w:val="20"/>
              </w:rPr>
              <w:t>$32,688</w:t>
            </w:r>
          </w:p>
        </w:tc>
        <w:tc>
          <w:tcPr>
            <w:tcW w:w="3665" w:type="pct"/>
            <w:vAlign w:val="center"/>
          </w:tcPr>
          <w:p w14:paraId="6A79870B" w14:textId="77777777" w:rsidR="00502B9E" w:rsidRPr="00350596" w:rsidRDefault="00502B9E" w:rsidP="00502B9E">
            <w:pPr>
              <w:pStyle w:val="TableText"/>
              <w:rPr>
                <w:i w:val="0"/>
                <w:iCs w:val="0"/>
                <w:szCs w:val="20"/>
              </w:rPr>
            </w:pPr>
            <w:r w:rsidRPr="00350596">
              <w:rPr>
                <w:i w:val="0"/>
                <w:iCs w:val="0"/>
                <w:szCs w:val="20"/>
              </w:rPr>
              <w:t xml:space="preserve">The MSAC review of ‘Immunoglobulin therapy for Myasthenia Gravis’ from April 2020 </w:t>
            </w:r>
            <w:r w:rsidRPr="00350596">
              <w:rPr>
                <w:i w:val="0"/>
                <w:iCs w:val="0"/>
                <w:szCs w:val="20"/>
                <w:vertAlign w:val="superscript"/>
              </w:rPr>
              <w:t>b</w:t>
            </w:r>
            <w:r w:rsidRPr="00350596">
              <w:rPr>
                <w:i w:val="0"/>
                <w:iCs w:val="0"/>
                <w:szCs w:val="20"/>
              </w:rPr>
              <w:t xml:space="preserve"> used a price of $60.41 per gram in the base case based on NBA data from 2017-18 i.e. this was the cost at which the cost-effectiveness of IVIg was assessed. </w:t>
            </w:r>
          </w:p>
          <w:p w14:paraId="7C16EE73" w14:textId="533E9746" w:rsidR="00502B9E" w:rsidRPr="00350596" w:rsidRDefault="00502B9E" w:rsidP="00502B9E">
            <w:pPr>
              <w:keepNext/>
              <w:keepLines/>
              <w:widowControl w:val="0"/>
              <w:jc w:val="left"/>
              <w:rPr>
                <w:rFonts w:ascii="Arial Narrow" w:eastAsiaTheme="majorEastAsia" w:hAnsi="Arial Narrow" w:cstheme="majorBidi"/>
                <w:bCs/>
                <w:sz w:val="20"/>
                <w:szCs w:val="20"/>
              </w:rPr>
            </w:pPr>
            <w:r w:rsidRPr="00350596">
              <w:rPr>
                <w:rFonts w:ascii="Arial Narrow" w:hAnsi="Arial Narrow"/>
                <w:sz w:val="20"/>
                <w:szCs w:val="20"/>
              </w:rPr>
              <w:t>Average IVIg dose of 541 grams per patient per year based on data received from the NBA for 2023-24</w:t>
            </w:r>
          </w:p>
        </w:tc>
      </w:tr>
      <w:tr w:rsidR="00502B9E" w:rsidRPr="00350596" w14:paraId="16D4A6BB" w14:textId="77777777" w:rsidTr="005E4526">
        <w:trPr>
          <w:trHeight w:val="43"/>
        </w:trPr>
        <w:tc>
          <w:tcPr>
            <w:tcW w:w="784" w:type="pct"/>
            <w:vAlign w:val="center"/>
          </w:tcPr>
          <w:p w14:paraId="78BBC0A3" w14:textId="387164F1" w:rsidR="00502B9E" w:rsidRPr="00350596" w:rsidRDefault="00282A7E" w:rsidP="00502B9E">
            <w:pPr>
              <w:keepNext/>
              <w:keepLines/>
              <w:widowControl w:val="0"/>
              <w:jc w:val="left"/>
              <w:rPr>
                <w:rFonts w:ascii="Arial Narrow" w:eastAsiaTheme="majorEastAsia" w:hAnsi="Arial Narrow" w:cstheme="majorBidi"/>
                <w:bCs/>
                <w:sz w:val="20"/>
                <w:szCs w:val="20"/>
              </w:rPr>
            </w:pPr>
            <w:r w:rsidRPr="00350596">
              <w:rPr>
                <w:rFonts w:ascii="Arial Narrow" w:eastAsiaTheme="majorEastAsia" w:hAnsi="Arial Narrow" w:cstheme="majorBidi"/>
                <w:bCs/>
                <w:sz w:val="20"/>
              </w:rPr>
              <w:t>Max</w:t>
            </w:r>
            <w:r w:rsidR="00F726B6" w:rsidRPr="00350596">
              <w:rPr>
                <w:rFonts w:ascii="Arial Narrow" w:eastAsiaTheme="majorEastAsia" w:hAnsi="Arial Narrow" w:cstheme="majorBidi"/>
                <w:bCs/>
                <w:sz w:val="20"/>
              </w:rPr>
              <w:t xml:space="preserve">imum dose recommended in IVIg </w:t>
            </w:r>
            <w:r w:rsidRPr="00350596">
              <w:rPr>
                <w:rFonts w:ascii="Arial Narrow" w:eastAsiaTheme="majorEastAsia" w:hAnsi="Arial Narrow" w:cstheme="majorBidi"/>
                <w:bCs/>
                <w:sz w:val="20"/>
              </w:rPr>
              <w:t xml:space="preserve">Product Info </w:t>
            </w:r>
            <w:r w:rsidR="00502B9E" w:rsidRPr="00350596">
              <w:rPr>
                <w:rFonts w:ascii="Arial Narrow" w:hAnsi="Arial Narrow"/>
                <w:sz w:val="20"/>
                <w:szCs w:val="20"/>
              </w:rPr>
              <w:t>plus IVIg price based on MSAC review</w:t>
            </w:r>
          </w:p>
        </w:tc>
        <w:tc>
          <w:tcPr>
            <w:tcW w:w="551" w:type="pct"/>
            <w:vAlign w:val="center"/>
          </w:tcPr>
          <w:p w14:paraId="55DA1A29" w14:textId="23C236C0" w:rsidR="00502B9E" w:rsidRPr="00350596" w:rsidRDefault="00502B9E" w:rsidP="00502B9E">
            <w:pPr>
              <w:keepNext/>
              <w:keepLines/>
              <w:widowControl w:val="0"/>
              <w:jc w:val="center"/>
              <w:rPr>
                <w:rFonts w:ascii="Arial Narrow" w:eastAsiaTheme="majorEastAsia" w:hAnsi="Arial Narrow" w:cstheme="majorBidi"/>
                <w:bCs/>
                <w:sz w:val="20"/>
                <w:szCs w:val="20"/>
              </w:rPr>
            </w:pPr>
            <w:r w:rsidRPr="00350596">
              <w:rPr>
                <w:rFonts w:ascii="Arial Narrow" w:hAnsi="Arial Narrow"/>
                <w:sz w:val="20"/>
                <w:szCs w:val="20"/>
              </w:rPr>
              <w:t>$70,788</w:t>
            </w:r>
          </w:p>
        </w:tc>
        <w:tc>
          <w:tcPr>
            <w:tcW w:w="3665" w:type="pct"/>
            <w:vAlign w:val="center"/>
          </w:tcPr>
          <w:p w14:paraId="2B2A74EE" w14:textId="0C149D01" w:rsidR="00502B9E" w:rsidRPr="00350596" w:rsidRDefault="00502B9E" w:rsidP="00502B9E">
            <w:pPr>
              <w:keepNext/>
              <w:keepLines/>
              <w:widowControl w:val="0"/>
              <w:jc w:val="left"/>
              <w:rPr>
                <w:rFonts w:ascii="Arial Narrow" w:eastAsiaTheme="majorEastAsia" w:hAnsi="Arial Narrow" w:cstheme="majorBidi"/>
                <w:bCs/>
                <w:sz w:val="20"/>
                <w:szCs w:val="20"/>
              </w:rPr>
            </w:pPr>
            <w:r w:rsidRPr="00350596">
              <w:rPr>
                <w:rFonts w:ascii="Arial Narrow" w:hAnsi="Arial Narrow"/>
                <w:sz w:val="20"/>
                <w:szCs w:val="20"/>
              </w:rPr>
              <w:t xml:space="preserve">As above for the price of IVIg. </w:t>
            </w:r>
            <w:r w:rsidR="00282A7E" w:rsidRPr="00350596">
              <w:rPr>
                <w:rFonts w:ascii="Arial Narrow" w:eastAsiaTheme="majorEastAsia" w:hAnsi="Arial Narrow" w:cstheme="majorBidi"/>
                <w:bCs/>
                <w:sz w:val="20"/>
              </w:rPr>
              <w:t>IVIg dose based on a loading dose of 2 g/kg; maintenance dose of 1 g/kg Q4W for a total of 1,172 g per year</w:t>
            </w:r>
          </w:p>
        </w:tc>
      </w:tr>
    </w:tbl>
    <w:p w14:paraId="79457C93" w14:textId="2E0D0406" w:rsidR="007A3130" w:rsidRPr="00350596" w:rsidRDefault="007A3130" w:rsidP="007A3130">
      <w:pPr>
        <w:spacing w:after="120"/>
        <w:contextualSpacing/>
        <w:rPr>
          <w:rFonts w:ascii="Arial Narrow" w:hAnsi="Arial Narrow"/>
          <w:snapToGrid w:val="0"/>
          <w:sz w:val="18"/>
          <w:szCs w:val="22"/>
        </w:rPr>
      </w:pPr>
      <w:r w:rsidRPr="00350596">
        <w:rPr>
          <w:rFonts w:ascii="Arial Narrow" w:hAnsi="Arial Narrow"/>
          <w:snapToGrid w:val="0"/>
          <w:sz w:val="18"/>
          <w:szCs w:val="22"/>
        </w:rPr>
        <w:t xml:space="preserve">Source: Compiled during preparation of the </w:t>
      </w:r>
      <w:bookmarkEnd w:id="67"/>
      <w:r w:rsidR="00271421">
        <w:rPr>
          <w:rFonts w:ascii="Arial Narrow" w:hAnsi="Arial Narrow"/>
          <w:snapToGrid w:val="0"/>
          <w:sz w:val="18"/>
          <w:szCs w:val="22"/>
        </w:rPr>
        <w:t>Public Summary Document (PSR)</w:t>
      </w:r>
    </w:p>
    <w:p w14:paraId="32E03F76" w14:textId="77777777" w:rsidR="00904093" w:rsidRPr="00350596" w:rsidRDefault="00904093" w:rsidP="00904093">
      <w:pPr>
        <w:spacing w:after="120"/>
        <w:contextualSpacing/>
        <w:rPr>
          <w:rFonts w:ascii="Arial Narrow" w:hAnsi="Arial Narrow"/>
          <w:snapToGrid w:val="0"/>
          <w:sz w:val="18"/>
          <w:szCs w:val="22"/>
        </w:rPr>
      </w:pPr>
      <w:r w:rsidRPr="00350596">
        <w:rPr>
          <w:rFonts w:ascii="Arial Narrow" w:hAnsi="Arial Narrow"/>
          <w:snapToGrid w:val="0"/>
          <w:sz w:val="18"/>
          <w:szCs w:val="22"/>
        </w:rPr>
        <w:t>Abbreviations: IVIg, intravenous immunoglobulin; NBA, National Blood Authority</w:t>
      </w:r>
    </w:p>
    <w:p w14:paraId="5FEF5BAC" w14:textId="77777777" w:rsidR="00904093" w:rsidRPr="00350596" w:rsidRDefault="00904093" w:rsidP="00904093">
      <w:pPr>
        <w:spacing w:after="120"/>
        <w:contextualSpacing/>
        <w:rPr>
          <w:rFonts w:ascii="Arial Narrow" w:hAnsi="Arial Narrow"/>
          <w:snapToGrid w:val="0"/>
          <w:sz w:val="18"/>
          <w:szCs w:val="22"/>
        </w:rPr>
      </w:pPr>
      <w:r w:rsidRPr="00350596">
        <w:rPr>
          <w:rFonts w:ascii="Arial Narrow" w:hAnsi="Arial Narrow"/>
          <w:snapToGrid w:val="0"/>
          <w:sz w:val="18"/>
          <w:szCs w:val="22"/>
          <w:vertAlign w:val="superscript"/>
        </w:rPr>
        <w:t>a</w:t>
      </w:r>
      <w:r w:rsidRPr="00350596">
        <w:rPr>
          <w:rFonts w:ascii="Arial Narrow" w:hAnsi="Arial Narrow"/>
          <w:snapToGrid w:val="0"/>
          <w:sz w:val="18"/>
          <w:szCs w:val="22"/>
        </w:rPr>
        <w:t xml:space="preserve"> The cost per gram was estimated based on total expenditure / total grams dispensed by the NBA reported in 2021-2022 annual report which accounted for the costs of plasma fractionation as well as domestic and imported products; inflated to 2024 values using the AIHW health inflation index</w:t>
      </w:r>
    </w:p>
    <w:p w14:paraId="6A9E2DA8" w14:textId="7C9CAC19" w:rsidR="00E63BDA" w:rsidRPr="00350596" w:rsidRDefault="00904093" w:rsidP="00904093">
      <w:pPr>
        <w:spacing w:after="120"/>
        <w:contextualSpacing/>
        <w:rPr>
          <w:rFonts w:ascii="Arial Narrow" w:hAnsi="Arial Narrow"/>
          <w:snapToGrid w:val="0"/>
          <w:sz w:val="18"/>
          <w:szCs w:val="22"/>
        </w:rPr>
      </w:pPr>
      <w:r w:rsidRPr="00350596">
        <w:rPr>
          <w:rFonts w:ascii="Arial Narrow" w:hAnsi="Arial Narrow"/>
          <w:snapToGrid w:val="0"/>
          <w:sz w:val="18"/>
          <w:szCs w:val="22"/>
          <w:vertAlign w:val="superscript"/>
        </w:rPr>
        <w:lastRenderedPageBreak/>
        <w:t>b</w:t>
      </w:r>
      <w:r w:rsidRPr="00350596">
        <w:rPr>
          <w:rFonts w:ascii="Arial Narrow" w:hAnsi="Arial Narrow"/>
          <w:snapToGrid w:val="0"/>
          <w:sz w:val="18"/>
          <w:szCs w:val="22"/>
        </w:rPr>
        <w:t xml:space="preserve"> Based on MSAC Public Summary Document, Application No. 1566 – Review of immunoglobulin use for Myasthenia Gravis, 3 April 2020. Available at: https://www.msac.gov.au/sites/default/files/documents/1566%2520Final%2520PSD_Apr2020.pdf</w:t>
      </w:r>
    </w:p>
    <w:p w14:paraId="662CA436" w14:textId="5FD236F4" w:rsidR="00473968" w:rsidRPr="00350596" w:rsidRDefault="00AF2DCE" w:rsidP="00473968">
      <w:pPr>
        <w:pStyle w:val="COMexecsummnumbered"/>
      </w:pPr>
      <w:r w:rsidRPr="00350596">
        <w:t xml:space="preserve">The evaluation and the ESC considered that costing scenarios based on the maximum recommended dose of IVIg were not plausible as these estimates substantially exceeded the quantities of IVIg dispensed </w:t>
      </w:r>
      <w:r w:rsidR="0068430F" w:rsidRPr="00350596">
        <w:t>by</w:t>
      </w:r>
      <w:r w:rsidRPr="00350596">
        <w:t xml:space="preserve"> the </w:t>
      </w:r>
      <w:r w:rsidR="0068430F" w:rsidRPr="00350596">
        <w:t>NBA</w:t>
      </w:r>
      <w:r w:rsidRPr="00350596">
        <w:t>. Based on the average amount of IVIg dispensed per patient as maintenance therapy for myasthenia gravis, the cost of IVIg was approximately $</w:t>
      </w:r>
      <w:r w:rsidR="000F00AE" w:rsidRPr="00D53C72">
        <w:rPr>
          <w:color w:val="000000"/>
          <w:spacing w:val="6"/>
          <w:w w:val="62"/>
          <w:shd w:val="solid" w:color="000000" w:fill="000000"/>
          <w:fitText w:val="480" w:id="-656689660"/>
          <w14:textFill>
            <w14:solidFill>
              <w14:srgbClr w14:val="000000">
                <w14:alpha w14:val="100000"/>
              </w14:srgbClr>
            </w14:solidFill>
          </w14:textFill>
        </w:rPr>
        <w:t>|||</w:t>
      </w:r>
      <w:r w:rsidR="00D53C72" w:rsidRPr="00D53C72">
        <w:rPr>
          <w:color w:val="000000"/>
          <w:spacing w:val="6"/>
          <w:w w:val="62"/>
          <w:shd w:val="solid" w:color="000000" w:fill="000000"/>
          <w:fitText w:val="480" w:id="-656689660"/>
          <w14:textFill>
            <w14:solidFill>
              <w14:srgbClr w14:val="000000">
                <w14:alpha w14:val="100000"/>
              </w14:srgbClr>
            </w14:solidFill>
          </w14:textFill>
        </w:rPr>
        <w:t xml:space="preserve"> </w:t>
      </w:r>
      <w:r w:rsidR="000F00AE" w:rsidRPr="00D53C72">
        <w:rPr>
          <w:color w:val="000000"/>
          <w:spacing w:val="6"/>
          <w:w w:val="62"/>
          <w:shd w:val="solid" w:color="000000" w:fill="000000"/>
          <w:fitText w:val="480" w:id="-656689660"/>
          <w14:textFill>
            <w14:solidFill>
              <w14:srgbClr w14:val="000000">
                <w14:alpha w14:val="100000"/>
              </w14:srgbClr>
            </w14:solidFill>
          </w14:textFill>
        </w:rPr>
        <w:t>|||</w:t>
      </w:r>
      <w:r w:rsidRPr="00350596">
        <w:t xml:space="preserve"> per year, which the ESC considered was more plausible. </w:t>
      </w:r>
    </w:p>
    <w:p w14:paraId="210D03AC" w14:textId="414397CC" w:rsidR="009C6D8C" w:rsidRPr="00350596" w:rsidRDefault="009C6D8C" w:rsidP="009C6D8C">
      <w:pPr>
        <w:pStyle w:val="COMexecsummnumbered"/>
        <w:numPr>
          <w:ilvl w:val="0"/>
          <w:numId w:val="0"/>
        </w:numPr>
        <w:outlineLvl w:val="2"/>
        <w:rPr>
          <w:u w:val="single"/>
        </w:rPr>
      </w:pPr>
      <w:r w:rsidRPr="00350596">
        <w:rPr>
          <w:u w:val="single"/>
        </w:rPr>
        <w:t>Cost-per-responder</w:t>
      </w:r>
    </w:p>
    <w:p w14:paraId="0B52AF62" w14:textId="0D23010B" w:rsidR="009C6D8C" w:rsidRPr="00350596" w:rsidRDefault="009C6D8C" w:rsidP="00154419">
      <w:pPr>
        <w:pStyle w:val="COMexecsummnumbered"/>
      </w:pPr>
      <w:bookmarkStart w:id="68" w:name="_Ref193117741"/>
      <w:r w:rsidRPr="00350596">
        <w:t xml:space="preserve">The PBAC noted that, at the price proposed by the sponsor, the </w:t>
      </w:r>
      <w:r w:rsidR="007336D1" w:rsidRPr="00350596">
        <w:t xml:space="preserve">incremental </w:t>
      </w:r>
      <w:r w:rsidRPr="00350596">
        <w:t xml:space="preserve">cost-per-responder </w:t>
      </w:r>
      <w:r w:rsidR="007336D1" w:rsidRPr="00350596">
        <w:t xml:space="preserve">versus </w:t>
      </w:r>
      <w:r w:rsidR="00F77F8B" w:rsidRPr="00350596">
        <w:t>placebo</w:t>
      </w:r>
      <w:r w:rsidR="007336D1" w:rsidRPr="00350596">
        <w:t xml:space="preserve"> </w:t>
      </w:r>
      <w:r w:rsidRPr="00350596">
        <w:t xml:space="preserve">would be </w:t>
      </w:r>
      <w:r w:rsidR="00074BD2" w:rsidRPr="00350596">
        <w:t xml:space="preserve">$255,000 to &lt; $355,000 </w:t>
      </w:r>
      <w:r w:rsidRPr="00350596">
        <w:t xml:space="preserve">(based on </w:t>
      </w:r>
      <w:r w:rsidR="00934150" w:rsidRPr="00350596">
        <w:t>30.6</w:t>
      </w:r>
      <w:r w:rsidRPr="00350596">
        <w:t xml:space="preserve">% difference in the proportion of patients with ≥2 point reduction in MG-ADL at </w:t>
      </w:r>
      <w:r w:rsidR="00934150" w:rsidRPr="00350596">
        <w:t xml:space="preserve">4 </w:t>
      </w:r>
      <w:r w:rsidRPr="00350596">
        <w:t>weeks, and a cost of $</w:t>
      </w:r>
      <w:r w:rsidR="00823FDB" w:rsidRPr="002B16A5">
        <w:rPr>
          <w:color w:val="000000"/>
          <w:w w:val="15"/>
          <w:shd w:val="solid" w:color="000000" w:fill="000000"/>
          <w:fitText w:val="-20" w:id="-691796219"/>
          <w14:textFill>
            <w14:solidFill>
              <w14:srgbClr w14:val="000000">
                <w14:alpha w14:val="100000"/>
              </w14:srgbClr>
            </w14:solidFill>
          </w14:textFill>
        </w:rPr>
        <w:t>|</w:t>
      </w:r>
      <w:r w:rsidR="00D53C72" w:rsidRPr="002B16A5">
        <w:rPr>
          <w:color w:val="000000"/>
          <w:w w:val="15"/>
          <w:shd w:val="solid" w:color="000000" w:fill="000000"/>
          <w:fitText w:val="-20" w:id="-691796219"/>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6219"/>
          <w14:textFill>
            <w14:solidFill>
              <w14:srgbClr w14:val="000000">
                <w14:alpha w14:val="100000"/>
              </w14:srgbClr>
            </w14:solidFill>
          </w14:textFill>
        </w:rPr>
        <w:t>|</w:t>
      </w:r>
      <w:r w:rsidRPr="00350596">
        <w:t xml:space="preserve"> for </w:t>
      </w:r>
      <w:r w:rsidR="00934150" w:rsidRPr="00350596">
        <w:t xml:space="preserve">4 </w:t>
      </w:r>
      <w:r w:rsidRPr="00350596">
        <w:t>weeks of therapy). The PBAC advised that this was unacceptably high in the context of previous cost-per-responder analyses.</w:t>
      </w:r>
      <w:bookmarkEnd w:id="68"/>
      <w:r w:rsidRPr="00350596">
        <w:t xml:space="preserve"> </w:t>
      </w:r>
    </w:p>
    <w:p w14:paraId="767F1044" w14:textId="79ACBBA4" w:rsidR="009C6D8C" w:rsidRPr="00350596" w:rsidRDefault="009C6D8C" w:rsidP="009C6D8C">
      <w:pPr>
        <w:pStyle w:val="COMexecsummnumbered"/>
      </w:pPr>
      <w:bookmarkStart w:id="69" w:name="_Ref193117743"/>
      <w:r w:rsidRPr="00350596">
        <w:t>The PBAC noted that, at a cost per patient per year of $</w:t>
      </w:r>
      <w:r w:rsidR="000F00AE" w:rsidRPr="00D53C72">
        <w:rPr>
          <w:color w:val="000000"/>
          <w:spacing w:val="6"/>
          <w:w w:val="60"/>
          <w:shd w:val="solid" w:color="000000" w:fill="000000"/>
          <w:fitText w:val="470" w:id="-656689659"/>
          <w14:textFill>
            <w14:solidFill>
              <w14:srgbClr w14:val="000000">
                <w14:alpha w14:val="100000"/>
              </w14:srgbClr>
            </w14:solidFill>
          </w14:textFill>
        </w:rPr>
        <w:t>|||</w:t>
      </w:r>
      <w:r w:rsidR="00D53C72" w:rsidRPr="00D53C72">
        <w:rPr>
          <w:color w:val="000000"/>
          <w:spacing w:val="6"/>
          <w:w w:val="60"/>
          <w:shd w:val="solid" w:color="000000" w:fill="000000"/>
          <w:fitText w:val="470" w:id="-656689659"/>
          <w14:textFill>
            <w14:solidFill>
              <w14:srgbClr w14:val="000000">
                <w14:alpha w14:val="100000"/>
              </w14:srgbClr>
            </w14:solidFill>
          </w14:textFill>
        </w:rPr>
        <w:t xml:space="preserve"> </w:t>
      </w:r>
      <w:r w:rsidR="000F00AE" w:rsidRPr="00D53C72">
        <w:rPr>
          <w:color w:val="000000"/>
          <w:spacing w:val="6"/>
          <w:w w:val="60"/>
          <w:shd w:val="solid" w:color="000000" w:fill="000000"/>
          <w:fitText w:val="470" w:id="-656689659"/>
          <w14:textFill>
            <w14:solidFill>
              <w14:srgbClr w14:val="000000">
                <w14:alpha w14:val="100000"/>
              </w14:srgbClr>
            </w14:solidFill>
          </w14:textFill>
        </w:rPr>
        <w:t>||</w:t>
      </w:r>
      <w:r w:rsidR="000F00AE" w:rsidRPr="00D53C72">
        <w:rPr>
          <w:color w:val="000000"/>
          <w:spacing w:val="4"/>
          <w:w w:val="60"/>
          <w:shd w:val="solid" w:color="000000" w:fill="000000"/>
          <w:fitText w:val="470" w:id="-656689659"/>
          <w14:textFill>
            <w14:solidFill>
              <w14:srgbClr w14:val="000000">
                <w14:alpha w14:val="100000"/>
              </w14:srgbClr>
            </w14:solidFill>
          </w14:textFill>
        </w:rPr>
        <w:t>|</w:t>
      </w:r>
      <w:r w:rsidRPr="00350596">
        <w:t xml:space="preserve">, and assuming the average </w:t>
      </w:r>
      <w:r w:rsidR="006A2F70" w:rsidRPr="00350596">
        <w:t xml:space="preserve">of the incremental difference in response rates </w:t>
      </w:r>
      <w:r w:rsidRPr="00350596">
        <w:t xml:space="preserve">across the four gMG trials (24% at 12 weeks, based on a simple mean of the proportion of patients with ≥2 point reduction in MG-ADL in the four key trials), the </w:t>
      </w:r>
      <w:r w:rsidR="00440653" w:rsidRPr="00350596">
        <w:t xml:space="preserve">incremental </w:t>
      </w:r>
      <w:r w:rsidRPr="00350596">
        <w:t xml:space="preserve">cost-per-responder </w:t>
      </w:r>
      <w:r w:rsidR="006A2F70" w:rsidRPr="00350596">
        <w:t xml:space="preserve">versus placebo </w:t>
      </w:r>
      <w:r w:rsidRPr="00350596">
        <w:t>would be</w:t>
      </w:r>
      <w:r w:rsidR="006A2F70" w:rsidRPr="00350596">
        <w:t xml:space="preserve"> around </w:t>
      </w:r>
      <w:r w:rsidRPr="00350596">
        <w:t>$</w:t>
      </w:r>
      <w:r w:rsidR="00F76F87" w:rsidRPr="00350596">
        <w:t>55,000 to &lt; $75,000</w:t>
      </w:r>
      <w:r w:rsidRPr="00350596">
        <w:t>.</w:t>
      </w:r>
      <w:bookmarkEnd w:id="69"/>
    </w:p>
    <w:p w14:paraId="268768EF" w14:textId="3626F292" w:rsidR="00B60939" w:rsidRPr="00350596" w:rsidRDefault="00B60939" w:rsidP="003D5DE7">
      <w:pPr>
        <w:pStyle w:val="COMH2-non-numbered"/>
      </w:pPr>
      <w:bookmarkStart w:id="70" w:name="_Toc22897647"/>
      <w:bookmarkStart w:id="71" w:name="_Toc188365365"/>
      <w:bookmarkEnd w:id="59"/>
      <w:r w:rsidRPr="00350596">
        <w:t>Estimated PBS usage &amp; financial implications</w:t>
      </w:r>
      <w:bookmarkEnd w:id="70"/>
      <w:bookmarkEnd w:id="71"/>
    </w:p>
    <w:p w14:paraId="1C92E46E" w14:textId="200335D2" w:rsidR="00EF585C" w:rsidRPr="00350596" w:rsidRDefault="00EF585C" w:rsidP="00EF585C">
      <w:pPr>
        <w:pStyle w:val="COMexecsummnumbered"/>
        <w:rPr>
          <w:color w:val="0066FF"/>
        </w:rPr>
      </w:pPr>
      <w:r w:rsidRPr="00350596">
        <w:t>This submission was considered by DUSC</w:t>
      </w:r>
      <w:r w:rsidRPr="00350596">
        <w:rPr>
          <w:color w:val="0070C0"/>
        </w:rPr>
        <w:t>.</w:t>
      </w:r>
    </w:p>
    <w:p w14:paraId="4A521738" w14:textId="3D7837D7" w:rsidR="00EF585C" w:rsidRPr="00350596" w:rsidRDefault="00EF585C" w:rsidP="00EF585C">
      <w:pPr>
        <w:pStyle w:val="COMexecsummnumbered"/>
      </w:pPr>
      <w:r w:rsidRPr="00350596">
        <w:t xml:space="preserve">The submission used a mixed market share/epidemiological approach to estimate the utilisation and financial impacts of listing efgartigimod as a treatment for generalised myasthenia gravis. Key inputs used in the submission are summarised in </w:t>
      </w:r>
      <w:r w:rsidRPr="00350596">
        <w:fldChar w:fldCharType="begin"/>
      </w:r>
      <w:r w:rsidRPr="00350596">
        <w:instrText xml:space="preserve"> REF _Ref185958192 \h </w:instrText>
      </w:r>
      <w:r w:rsidRPr="00350596">
        <w:fldChar w:fldCharType="separate"/>
      </w:r>
      <w:r w:rsidR="002B16A5" w:rsidRPr="00350596">
        <w:t xml:space="preserve">Table </w:t>
      </w:r>
      <w:r w:rsidR="002B16A5">
        <w:rPr>
          <w:noProof/>
        </w:rPr>
        <w:t>15</w:t>
      </w:r>
      <w:r w:rsidRPr="00350596">
        <w:fldChar w:fldCharType="end"/>
      </w:r>
      <w:r w:rsidRPr="00350596">
        <w:t>.</w:t>
      </w:r>
    </w:p>
    <w:p w14:paraId="3B49E956" w14:textId="42930A71" w:rsidR="00F85CFA" w:rsidRPr="00350596" w:rsidRDefault="00F85CFA" w:rsidP="00F85CFA">
      <w:pPr>
        <w:pStyle w:val="Caption"/>
        <w:rPr>
          <w:lang w:val="en-AU"/>
        </w:rPr>
      </w:pPr>
      <w:bookmarkStart w:id="72" w:name="_Ref185958192"/>
      <w:r w:rsidRPr="00350596">
        <w:rPr>
          <w:lang w:val="en-AU"/>
        </w:rPr>
        <w:t xml:space="preserve">Table </w:t>
      </w:r>
      <w:r w:rsidRPr="00350596">
        <w:rPr>
          <w:lang w:val="en-AU"/>
        </w:rPr>
        <w:fldChar w:fldCharType="begin"/>
      </w:r>
      <w:r w:rsidRPr="00350596">
        <w:rPr>
          <w:lang w:val="en-AU"/>
        </w:rPr>
        <w:instrText xml:space="preserve"> SEQ Table \* ARABIC </w:instrText>
      </w:r>
      <w:r w:rsidRPr="00350596">
        <w:rPr>
          <w:lang w:val="en-AU"/>
        </w:rPr>
        <w:fldChar w:fldCharType="separate"/>
      </w:r>
      <w:r w:rsidR="002B16A5">
        <w:rPr>
          <w:noProof/>
          <w:lang w:val="en-AU"/>
        </w:rPr>
        <w:t>15</w:t>
      </w:r>
      <w:r w:rsidRPr="00350596">
        <w:rPr>
          <w:lang w:val="en-AU"/>
        </w:rPr>
        <w:fldChar w:fldCharType="end"/>
      </w:r>
      <w:bookmarkEnd w:id="72"/>
      <w:r w:rsidRPr="00350596">
        <w:rPr>
          <w:lang w:val="en-AU"/>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inputs for financial estimates"/>
      </w:tblPr>
      <w:tblGrid>
        <w:gridCol w:w="1514"/>
        <w:gridCol w:w="3918"/>
        <w:gridCol w:w="3585"/>
      </w:tblGrid>
      <w:tr w:rsidR="00F85CFA" w:rsidRPr="00350596" w14:paraId="625EBB5B" w14:textId="77777777" w:rsidTr="007A45C5">
        <w:trPr>
          <w:cantSplit/>
          <w:tblHeader/>
        </w:trPr>
        <w:tc>
          <w:tcPr>
            <w:tcW w:w="1514" w:type="dxa"/>
            <w:vAlign w:val="center"/>
          </w:tcPr>
          <w:p w14:paraId="1D895B31" w14:textId="77777777" w:rsidR="00F85CFA" w:rsidRPr="00350596" w:rsidRDefault="00F85CFA" w:rsidP="00104A28">
            <w:pPr>
              <w:pStyle w:val="COMTableheadingrow"/>
              <w:keepNext w:val="0"/>
              <w:rPr>
                <w:lang w:val="en-AU"/>
              </w:rPr>
            </w:pPr>
            <w:r w:rsidRPr="00350596">
              <w:rPr>
                <w:lang w:val="en-AU"/>
              </w:rPr>
              <w:t>Data</w:t>
            </w:r>
          </w:p>
        </w:tc>
        <w:tc>
          <w:tcPr>
            <w:tcW w:w="3918" w:type="dxa"/>
            <w:vAlign w:val="center"/>
          </w:tcPr>
          <w:p w14:paraId="397C1D33" w14:textId="77777777" w:rsidR="00F85CFA" w:rsidRPr="00350596" w:rsidRDefault="00F85CFA" w:rsidP="00104A28">
            <w:pPr>
              <w:pStyle w:val="COMTableheadingrow"/>
              <w:keepNext w:val="0"/>
              <w:rPr>
                <w:lang w:val="en-AU"/>
              </w:rPr>
            </w:pPr>
            <w:r w:rsidRPr="00350596">
              <w:rPr>
                <w:lang w:val="en-AU"/>
              </w:rPr>
              <w:t>Value applied and source</w:t>
            </w:r>
          </w:p>
        </w:tc>
        <w:tc>
          <w:tcPr>
            <w:tcW w:w="3585" w:type="dxa"/>
            <w:vAlign w:val="center"/>
          </w:tcPr>
          <w:p w14:paraId="6979026B" w14:textId="77777777" w:rsidR="00F85CFA" w:rsidRPr="00350596" w:rsidRDefault="00F85CFA" w:rsidP="00104A28">
            <w:pPr>
              <w:pStyle w:val="COMTableheadingrow"/>
              <w:keepNext w:val="0"/>
              <w:rPr>
                <w:lang w:val="en-AU"/>
              </w:rPr>
            </w:pPr>
            <w:r w:rsidRPr="00350596">
              <w:rPr>
                <w:lang w:val="en-AU"/>
              </w:rPr>
              <w:t>Comment</w:t>
            </w:r>
          </w:p>
        </w:tc>
      </w:tr>
      <w:tr w:rsidR="00F85CFA" w:rsidRPr="00350596" w14:paraId="1419230E" w14:textId="77777777" w:rsidTr="007A45C5">
        <w:trPr>
          <w:cantSplit/>
        </w:trPr>
        <w:tc>
          <w:tcPr>
            <w:tcW w:w="9017" w:type="dxa"/>
            <w:gridSpan w:val="3"/>
            <w:vAlign w:val="center"/>
          </w:tcPr>
          <w:p w14:paraId="67466EE5" w14:textId="77777777" w:rsidR="00F85CFA" w:rsidRPr="00350596" w:rsidRDefault="00F85CFA" w:rsidP="00104A28">
            <w:pPr>
              <w:pStyle w:val="COMTableheadingrow"/>
              <w:keepNext w:val="0"/>
              <w:rPr>
                <w:lang w:val="en-AU"/>
              </w:rPr>
            </w:pPr>
            <w:r w:rsidRPr="00350596">
              <w:rPr>
                <w:lang w:val="en-AU"/>
              </w:rPr>
              <w:t>Eligible population</w:t>
            </w:r>
          </w:p>
        </w:tc>
      </w:tr>
      <w:tr w:rsidR="00F85CFA" w:rsidRPr="00350596" w14:paraId="11760633" w14:textId="77777777" w:rsidTr="007A45C5">
        <w:trPr>
          <w:cantSplit/>
        </w:trPr>
        <w:tc>
          <w:tcPr>
            <w:tcW w:w="1514" w:type="dxa"/>
            <w:vAlign w:val="center"/>
          </w:tcPr>
          <w:p w14:paraId="23629E17" w14:textId="77777777" w:rsidR="00F85CFA" w:rsidRPr="00350596" w:rsidRDefault="00F85CFA" w:rsidP="00104A28">
            <w:pPr>
              <w:pStyle w:val="COMTabletext"/>
              <w:keepNext w:val="0"/>
            </w:pPr>
            <w:r w:rsidRPr="00350596">
              <w:t>Myasthenia gravis patients using IVIg</w:t>
            </w:r>
          </w:p>
        </w:tc>
        <w:tc>
          <w:tcPr>
            <w:tcW w:w="3918" w:type="dxa"/>
            <w:vAlign w:val="center"/>
          </w:tcPr>
          <w:p w14:paraId="19578F35" w14:textId="15F211A4" w:rsidR="00F85CFA" w:rsidRPr="00350596" w:rsidRDefault="00F85CFA" w:rsidP="00104A28">
            <w:pPr>
              <w:pStyle w:val="COMTabletext"/>
              <w:keepNext w:val="0"/>
              <w:spacing w:after="120"/>
            </w:pPr>
            <w:r w:rsidRPr="00350596">
              <w:t xml:space="preserve">Increasing from </w:t>
            </w:r>
            <w:r w:rsidR="00823FDB" w:rsidRPr="00823FDB">
              <w:rPr>
                <w:color w:val="000000"/>
                <w:spacing w:val="51"/>
                <w:shd w:val="solid" w:color="000000" w:fill="000000"/>
                <w:fitText w:val="326" w:id="-691796218"/>
                <w14:textFill>
                  <w14:solidFill>
                    <w14:srgbClr w14:val="000000">
                      <w14:alpha w14:val="100000"/>
                    </w14:srgbClr>
                  </w14:solidFill>
                </w14:textFill>
              </w:rPr>
              <w:t>|||</w:t>
            </w:r>
            <w:r w:rsidR="00823FDB" w:rsidRPr="00823FDB">
              <w:rPr>
                <w:color w:val="000000"/>
                <w:spacing w:val="3"/>
                <w:shd w:val="solid" w:color="000000" w:fill="000000"/>
                <w:fitText w:val="326" w:id="-691796218"/>
                <w14:textFill>
                  <w14:solidFill>
                    <w14:srgbClr w14:val="000000">
                      <w14:alpha w14:val="100000"/>
                    </w14:srgbClr>
                  </w14:solidFill>
                </w14:textFill>
              </w:rPr>
              <w:t>|</w:t>
            </w:r>
            <w:r w:rsidR="0085711E" w:rsidRPr="00350596">
              <w:rPr>
                <w:vertAlign w:val="superscript"/>
              </w:rPr>
              <w:t>1</w:t>
            </w:r>
            <w:r w:rsidRPr="00350596">
              <w:t xml:space="preserve"> in Year 1 to </w:t>
            </w:r>
            <w:r w:rsidR="00823FDB" w:rsidRPr="00D53C72">
              <w:rPr>
                <w:color w:val="000000"/>
                <w:spacing w:val="51"/>
                <w:shd w:val="solid" w:color="000000" w:fill="000000"/>
                <w:fitText w:val="326" w:id="-691796217"/>
                <w14:textFill>
                  <w14:solidFill>
                    <w14:srgbClr w14:val="000000">
                      <w14:alpha w14:val="100000"/>
                    </w14:srgbClr>
                  </w14:solidFill>
                </w14:textFill>
              </w:rPr>
              <w:t>|||</w:t>
            </w:r>
            <w:r w:rsidR="00823FDB" w:rsidRPr="00D53C72">
              <w:rPr>
                <w:color w:val="000000"/>
                <w:spacing w:val="3"/>
                <w:shd w:val="solid" w:color="000000" w:fill="000000"/>
                <w:fitText w:val="326" w:id="-691796217"/>
                <w14:textFill>
                  <w14:solidFill>
                    <w14:srgbClr w14:val="000000">
                      <w14:alpha w14:val="100000"/>
                    </w14:srgbClr>
                  </w14:solidFill>
                </w14:textFill>
              </w:rPr>
              <w:t>|</w:t>
            </w:r>
            <w:r w:rsidR="0085711E" w:rsidRPr="00350596">
              <w:rPr>
                <w:vertAlign w:val="superscript"/>
              </w:rPr>
              <w:t>1</w:t>
            </w:r>
            <w:r w:rsidR="00D53C72">
              <w:t xml:space="preserve"> </w:t>
            </w:r>
            <w:r w:rsidRPr="00350596">
              <w:t xml:space="preserve">in Year 6. Based on extrapolated estimates from 2019/2020 to 2023/2024 from the MSAC assessment of IVIg use for myasthenia gravis (MSAC Assessment Report 1566; April 2020 MSAC meeting) using NBA data on all myasthenia gravis indications between 2011/2012 and 2017/2018. </w:t>
            </w:r>
          </w:p>
          <w:p w14:paraId="4F1D963B" w14:textId="77777777" w:rsidR="00F85CFA" w:rsidRPr="00350596" w:rsidRDefault="00F85CFA" w:rsidP="00104A28">
            <w:pPr>
              <w:pStyle w:val="COMTabletext"/>
              <w:keepNext w:val="0"/>
              <w:spacing w:after="120"/>
            </w:pPr>
            <w:r w:rsidRPr="00350596">
              <w:t>The submission presented a supportive analysis of actual data from 2019/2020 to 2021/2022 which indicated that extrapolated estimates were broadly consistent with post-COVID actual utilisation.</w:t>
            </w:r>
          </w:p>
          <w:p w14:paraId="3D193531" w14:textId="77777777" w:rsidR="00F85CFA" w:rsidRPr="00350596" w:rsidRDefault="00F85CFA" w:rsidP="00104A28">
            <w:pPr>
              <w:pStyle w:val="COMTabletext"/>
              <w:keepNext w:val="0"/>
            </w:pPr>
            <w:r w:rsidRPr="00350596">
              <w:t>The submission continued to extrapolate estimates to 2031 using a linear function consistent with the MSAC report.</w:t>
            </w:r>
          </w:p>
        </w:tc>
        <w:tc>
          <w:tcPr>
            <w:tcW w:w="3585" w:type="dxa"/>
            <w:vAlign w:val="center"/>
          </w:tcPr>
          <w:p w14:paraId="2793317B" w14:textId="220D3548" w:rsidR="007F7F9B" w:rsidRPr="00350596" w:rsidRDefault="007F7F9B" w:rsidP="007F7F9B">
            <w:pPr>
              <w:pStyle w:val="COMTabletext"/>
            </w:pPr>
            <w:r w:rsidRPr="00350596">
              <w:t>DUSC noted that NBA data was provided by the department giving total IVIg patient counts for the years 2019-20 to 2023-24.</w:t>
            </w:r>
          </w:p>
          <w:p w14:paraId="54DE0736" w14:textId="77777777" w:rsidR="007F7F9B" w:rsidRPr="00350596" w:rsidRDefault="007F7F9B" w:rsidP="007F7F9B">
            <w:pPr>
              <w:pStyle w:val="COMTabletext"/>
            </w:pPr>
          </w:p>
          <w:p w14:paraId="0B1A77E3" w14:textId="64C7800D" w:rsidR="007F7F9B" w:rsidRPr="00350596" w:rsidRDefault="007F7F9B" w:rsidP="007F7F9B">
            <w:pPr>
              <w:pStyle w:val="COMTabletext"/>
            </w:pPr>
            <w:r w:rsidRPr="00350596">
              <w:t>DUSC commented that the submission should be updated with the new data.</w:t>
            </w:r>
          </w:p>
        </w:tc>
      </w:tr>
      <w:tr w:rsidR="007A45C5" w:rsidRPr="00350596" w14:paraId="42AD04E4" w14:textId="77777777" w:rsidTr="007A45C5">
        <w:trPr>
          <w:cantSplit/>
        </w:trPr>
        <w:tc>
          <w:tcPr>
            <w:tcW w:w="1514" w:type="dxa"/>
            <w:vAlign w:val="center"/>
          </w:tcPr>
          <w:p w14:paraId="6A28F924" w14:textId="3F8C0450" w:rsidR="007A45C5" w:rsidRPr="00350596" w:rsidRDefault="007A45C5" w:rsidP="007A45C5">
            <w:pPr>
              <w:pStyle w:val="COMTabletext"/>
              <w:keepNext w:val="0"/>
            </w:pPr>
            <w:r w:rsidRPr="00350596">
              <w:lastRenderedPageBreak/>
              <w:t>Proportion who are AChR+</w:t>
            </w:r>
          </w:p>
        </w:tc>
        <w:tc>
          <w:tcPr>
            <w:tcW w:w="3918" w:type="dxa"/>
            <w:vAlign w:val="center"/>
          </w:tcPr>
          <w:p w14:paraId="40EABB1C" w14:textId="32D27117" w:rsidR="007A45C5" w:rsidRPr="00350596" w:rsidRDefault="00DA1A20" w:rsidP="007A45C5">
            <w:pPr>
              <w:pStyle w:val="COMTabletext"/>
              <w:keepNext w:val="0"/>
              <w:spacing w:after="120"/>
            </w:pPr>
            <w:r w:rsidRPr="00350596">
              <w:t>85%</w:t>
            </w:r>
            <w:r w:rsidR="00D00B6D" w:rsidRPr="00350596">
              <w:t>. Assumption. The submission claimed that this was consistent with the general consensus from the published literature.</w:t>
            </w:r>
          </w:p>
        </w:tc>
        <w:tc>
          <w:tcPr>
            <w:tcW w:w="3585" w:type="dxa"/>
            <w:vAlign w:val="center"/>
          </w:tcPr>
          <w:p w14:paraId="081903A2" w14:textId="09C501F4" w:rsidR="00932156" w:rsidRPr="00350596" w:rsidRDefault="00932156" w:rsidP="007A45C5">
            <w:pPr>
              <w:pStyle w:val="COMTabletext"/>
            </w:pPr>
            <w:r w:rsidRPr="00350596">
              <w:t>DUSC agreed with the commentary that this assumption appears reasonable.</w:t>
            </w:r>
          </w:p>
        </w:tc>
      </w:tr>
      <w:tr w:rsidR="007A45C5" w:rsidRPr="00350596" w14:paraId="01FAD8DC" w14:textId="77777777" w:rsidTr="007A45C5">
        <w:trPr>
          <w:cantSplit/>
        </w:trPr>
        <w:tc>
          <w:tcPr>
            <w:tcW w:w="1514" w:type="dxa"/>
            <w:vAlign w:val="center"/>
          </w:tcPr>
          <w:p w14:paraId="77D897FC" w14:textId="77777777" w:rsidR="007A45C5" w:rsidRPr="00350596" w:rsidRDefault="007A45C5" w:rsidP="007A45C5">
            <w:pPr>
              <w:pStyle w:val="COMTabletext"/>
              <w:keepNext w:val="0"/>
            </w:pPr>
            <w:r w:rsidRPr="00350596">
              <w:t>Proportion with MG-ADL ≥ 5</w:t>
            </w:r>
          </w:p>
        </w:tc>
        <w:tc>
          <w:tcPr>
            <w:tcW w:w="3918" w:type="dxa"/>
            <w:vAlign w:val="center"/>
          </w:tcPr>
          <w:p w14:paraId="4B4B86FF" w14:textId="77777777" w:rsidR="007A45C5" w:rsidRPr="00350596" w:rsidRDefault="007A45C5" w:rsidP="007A45C5">
            <w:pPr>
              <w:pStyle w:val="COMTabletext"/>
              <w:keepNext w:val="0"/>
            </w:pPr>
            <w:r w:rsidRPr="00350596">
              <w:t>59.3%. Based on data from the MyRealWorld-MG patient registry (DeWilde 2023). Estimates were derived from transforming reported mean MG-ADL scores and standard deviations in patients with generalised symptoms (MGFA II-IV) to Z-scores and then converting these scores to proportions with MG-ADL ≥ 5.</w:t>
            </w:r>
          </w:p>
        </w:tc>
        <w:tc>
          <w:tcPr>
            <w:tcW w:w="3585" w:type="dxa"/>
            <w:vAlign w:val="center"/>
          </w:tcPr>
          <w:p w14:paraId="2B86C692" w14:textId="77777777" w:rsidR="007A45C5" w:rsidRPr="00350596" w:rsidRDefault="007A45C5" w:rsidP="007A45C5">
            <w:pPr>
              <w:pStyle w:val="COMTabletext"/>
              <w:spacing w:after="120"/>
            </w:pPr>
            <w:r w:rsidRPr="00350596">
              <w:t>Calculated estimates could not be validated due to inadequate documentation of methodology.</w:t>
            </w:r>
          </w:p>
          <w:p w14:paraId="1B18150D" w14:textId="1C1241D1" w:rsidR="007A45C5" w:rsidRPr="00350596" w:rsidRDefault="007A45C5" w:rsidP="007A45C5">
            <w:pPr>
              <w:pStyle w:val="COMTabletext"/>
            </w:pPr>
          </w:p>
          <w:p w14:paraId="6C7C9206" w14:textId="700A7318" w:rsidR="007A45C5" w:rsidRPr="00350596" w:rsidRDefault="007A45C5" w:rsidP="007A45C5">
            <w:pPr>
              <w:pStyle w:val="COMTabletext"/>
            </w:pPr>
            <w:r w:rsidRPr="00350596">
              <w:t>DUSC noted that</w:t>
            </w:r>
            <w:r w:rsidR="00932156" w:rsidRPr="00350596">
              <w:t xml:space="preserve"> t</w:t>
            </w:r>
            <w:r w:rsidRPr="00350596">
              <w:t xml:space="preserve">he calculated estimate for the proportion with MG-ADL ≥ 5 </w:t>
            </w:r>
            <w:r w:rsidR="007A0DEC" w:rsidRPr="00350596">
              <w:t>we</w:t>
            </w:r>
            <w:r w:rsidRPr="00350596">
              <w:t>re based on the full population of MGFA II-IV, not those using IVIg, who would be expected to have worse symptoms and agreed with the commentary that this was probably underestimated.</w:t>
            </w:r>
          </w:p>
        </w:tc>
      </w:tr>
      <w:tr w:rsidR="007A45C5" w:rsidRPr="00350596" w14:paraId="0104E27A" w14:textId="77777777" w:rsidTr="007A45C5">
        <w:trPr>
          <w:cantSplit/>
        </w:trPr>
        <w:tc>
          <w:tcPr>
            <w:tcW w:w="1514" w:type="dxa"/>
            <w:vAlign w:val="center"/>
          </w:tcPr>
          <w:p w14:paraId="0F5E19F6" w14:textId="77777777" w:rsidR="007A45C5" w:rsidRPr="00350596" w:rsidRDefault="007A45C5" w:rsidP="007A45C5">
            <w:pPr>
              <w:pStyle w:val="COMTabletext"/>
              <w:keepNext w:val="0"/>
            </w:pPr>
            <w:r w:rsidRPr="00350596">
              <w:t>Combined newer agents uptake rate</w:t>
            </w:r>
          </w:p>
        </w:tc>
        <w:tc>
          <w:tcPr>
            <w:tcW w:w="3918" w:type="dxa"/>
            <w:vAlign w:val="center"/>
          </w:tcPr>
          <w:p w14:paraId="2816A207" w14:textId="1578140B" w:rsidR="007A45C5" w:rsidRPr="00350596" w:rsidRDefault="007A45C5" w:rsidP="007A45C5">
            <w:pPr>
              <w:pStyle w:val="COMTabletext"/>
              <w:keepNext w:val="0"/>
            </w:pPr>
            <w:r w:rsidRPr="00350596">
              <w:t xml:space="preserve">Assumed to increase from </w:t>
            </w:r>
            <w:r w:rsidR="00823FDB" w:rsidRPr="00823FDB">
              <w:rPr>
                <w:color w:val="000000"/>
                <w:spacing w:val="51"/>
                <w:shd w:val="solid" w:color="000000" w:fill="000000"/>
                <w:fitText w:val="325" w:id="-691796216"/>
                <w14:textFill>
                  <w14:solidFill>
                    <w14:srgbClr w14:val="000000">
                      <w14:alpha w14:val="100000"/>
                    </w14:srgbClr>
                  </w14:solidFill>
                </w14:textFill>
              </w:rPr>
              <w:t>|||</w:t>
            </w:r>
            <w:r w:rsidR="00823FDB" w:rsidRPr="00823FDB">
              <w:rPr>
                <w:color w:val="000000"/>
                <w:spacing w:val="2"/>
                <w:shd w:val="solid" w:color="000000" w:fill="000000"/>
                <w:fitText w:val="325" w:id="-691796216"/>
                <w14:textFill>
                  <w14:solidFill>
                    <w14:srgbClr w14:val="000000">
                      <w14:alpha w14:val="100000"/>
                    </w14:srgbClr>
                  </w14:solidFill>
                </w14:textFill>
              </w:rPr>
              <w:t>|</w:t>
            </w:r>
            <w:r w:rsidRPr="00350596">
              <w:t xml:space="preserve">% in Year 1 to </w:t>
            </w:r>
            <w:r w:rsidR="00823FDB" w:rsidRPr="00823FDB">
              <w:rPr>
                <w:color w:val="000000"/>
                <w:spacing w:val="51"/>
                <w:shd w:val="solid" w:color="000000" w:fill="000000"/>
                <w:fitText w:val="326" w:id="-691796215"/>
                <w14:textFill>
                  <w14:solidFill>
                    <w14:srgbClr w14:val="000000">
                      <w14:alpha w14:val="100000"/>
                    </w14:srgbClr>
                  </w14:solidFill>
                </w14:textFill>
              </w:rPr>
              <w:t>|||</w:t>
            </w:r>
            <w:r w:rsidR="00823FDB" w:rsidRPr="00823FDB">
              <w:rPr>
                <w:color w:val="000000"/>
                <w:spacing w:val="3"/>
                <w:shd w:val="solid" w:color="000000" w:fill="000000"/>
                <w:fitText w:val="326" w:id="-691796215"/>
                <w14:textFill>
                  <w14:solidFill>
                    <w14:srgbClr w14:val="000000">
                      <w14:alpha w14:val="100000"/>
                    </w14:srgbClr>
                  </w14:solidFill>
                </w14:textFill>
              </w:rPr>
              <w:t>|</w:t>
            </w:r>
            <w:r w:rsidRPr="00350596">
              <w:t xml:space="preserve">% in Year 6. The submission claimed that this was consistent with Australian market research which indicated that at least </w:t>
            </w:r>
            <w:r w:rsidR="00823FDB" w:rsidRPr="00823FDB">
              <w:rPr>
                <w:color w:val="000000"/>
                <w:spacing w:val="51"/>
                <w:shd w:val="solid" w:color="000000" w:fill="000000"/>
                <w:fitText w:val="325" w:id="-691796214"/>
                <w14:textFill>
                  <w14:solidFill>
                    <w14:srgbClr w14:val="000000">
                      <w14:alpha w14:val="100000"/>
                    </w14:srgbClr>
                  </w14:solidFill>
                </w14:textFill>
              </w:rPr>
              <w:t>|||</w:t>
            </w:r>
            <w:r w:rsidR="00823FDB" w:rsidRPr="00823FDB">
              <w:rPr>
                <w:color w:val="000000"/>
                <w:spacing w:val="2"/>
                <w:shd w:val="solid" w:color="000000" w:fill="000000"/>
                <w:fitText w:val="325" w:id="-691796214"/>
                <w14:textFill>
                  <w14:solidFill>
                    <w14:srgbClr w14:val="000000">
                      <w14:alpha w14:val="100000"/>
                    </w14:srgbClr>
                  </w14:solidFill>
                </w14:textFill>
              </w:rPr>
              <w:t>|</w:t>
            </w:r>
            <w:r w:rsidRPr="00350596">
              <w:t>% of chronic IVIg users meeting the eligibility criteria would switch to efgartigimod over a six-year time horizon. The submission assumes the same uptake rates in new and established IVIg users.</w:t>
            </w:r>
          </w:p>
        </w:tc>
        <w:tc>
          <w:tcPr>
            <w:tcW w:w="3585" w:type="dxa"/>
            <w:vAlign w:val="center"/>
          </w:tcPr>
          <w:p w14:paraId="07529EBE" w14:textId="77777777" w:rsidR="007A45C5" w:rsidRPr="00350596" w:rsidRDefault="007A45C5" w:rsidP="007A45C5">
            <w:pPr>
              <w:pStyle w:val="COMTabletext"/>
              <w:spacing w:after="120"/>
            </w:pPr>
            <w:r w:rsidRPr="00350596">
              <w:t>The market research was based on efgartigimod utilisation rather than the broader market for newer agents.</w:t>
            </w:r>
          </w:p>
          <w:p w14:paraId="07A09B58" w14:textId="77777777" w:rsidR="007A45C5" w:rsidRPr="00350596" w:rsidRDefault="007A45C5" w:rsidP="007A45C5">
            <w:pPr>
              <w:pStyle w:val="COMTabletext"/>
              <w:spacing w:after="120"/>
            </w:pPr>
            <w:r w:rsidRPr="00350596">
              <w:t>Additionally, the uptake estimates were based on patients with ongoing functional impairment (MGC ≥ 4 and/or MG-ADL ≥ 5) despite IVIg/PLEX therapy rather than all patients eligible for IVIg.</w:t>
            </w:r>
          </w:p>
          <w:p w14:paraId="74ACD2CB" w14:textId="77777777" w:rsidR="007A45C5" w:rsidRPr="00350596" w:rsidRDefault="007A45C5" w:rsidP="007A45C5">
            <w:pPr>
              <w:pStyle w:val="COMTabletext"/>
            </w:pPr>
            <w:r w:rsidRPr="00350596">
              <w:t xml:space="preserve">The assumption of the same uptake rates in new and established IVIg users was not adequately justified. </w:t>
            </w:r>
          </w:p>
          <w:p w14:paraId="4B496BD2" w14:textId="77777777" w:rsidR="00865234" w:rsidRPr="00350596" w:rsidRDefault="00865234" w:rsidP="007A45C5">
            <w:pPr>
              <w:pStyle w:val="COMTabletext"/>
            </w:pPr>
          </w:p>
          <w:p w14:paraId="37743AEA" w14:textId="1D1C3B8E" w:rsidR="00865234" w:rsidRPr="00350596" w:rsidRDefault="00865234" w:rsidP="007A45C5">
            <w:pPr>
              <w:pStyle w:val="COMTabletext"/>
            </w:pPr>
            <w:r w:rsidRPr="00350596">
              <w:t xml:space="preserve">DUSC considered </w:t>
            </w:r>
            <w:r w:rsidR="00D37E54" w:rsidRPr="00350596">
              <w:t>feedback from clinicians and patients indicates high awareness of the new drugs</w:t>
            </w:r>
            <w:r w:rsidR="00A30524" w:rsidRPr="00350596">
              <w:t xml:space="preserve"> and considered the combined uptake of the newer agents </w:t>
            </w:r>
            <w:r w:rsidR="00867D73" w:rsidRPr="00350596">
              <w:t>was likely underestimated</w:t>
            </w:r>
            <w:r w:rsidR="00D934FD" w:rsidRPr="00350596">
              <w:t>.</w:t>
            </w:r>
            <w:r w:rsidR="00935225" w:rsidRPr="00350596">
              <w:t xml:space="preserve"> </w:t>
            </w:r>
            <w:r w:rsidR="00D934FD" w:rsidRPr="00350596">
              <w:t>DUSC considered that new IVIg users and existing users with ongoing functional impairment will likely have much greater uptake. H</w:t>
            </w:r>
            <w:r w:rsidR="00935225" w:rsidRPr="00350596">
              <w:t xml:space="preserve">owever the pre-PBAC </w:t>
            </w:r>
            <w:r w:rsidR="00871448" w:rsidRPr="00350596">
              <w:t xml:space="preserve">response noted that </w:t>
            </w:r>
            <w:r w:rsidR="001D1F3D" w:rsidRPr="00350596">
              <w:t>some IVIg patients may not wish to transition to a new therapy if they are satisfied with IVIg treatment.</w:t>
            </w:r>
          </w:p>
        </w:tc>
      </w:tr>
      <w:tr w:rsidR="007A45C5" w:rsidRPr="00350596" w14:paraId="3B53251F" w14:textId="77777777" w:rsidTr="007A45C5">
        <w:trPr>
          <w:cantSplit/>
        </w:trPr>
        <w:tc>
          <w:tcPr>
            <w:tcW w:w="1514" w:type="dxa"/>
            <w:vAlign w:val="center"/>
          </w:tcPr>
          <w:p w14:paraId="33711007" w14:textId="7F10C6A2" w:rsidR="007A45C5" w:rsidRPr="00350596" w:rsidRDefault="008A34A5" w:rsidP="007A45C5">
            <w:pPr>
              <w:pStyle w:val="COMTabletext"/>
              <w:keepNext w:val="0"/>
            </w:pPr>
            <w:r w:rsidRPr="00350596">
              <w:t>FcRn</w:t>
            </w:r>
            <w:r w:rsidR="007A45C5" w:rsidRPr="00350596">
              <w:t xml:space="preserve"> blocker market share of newer agents</w:t>
            </w:r>
          </w:p>
        </w:tc>
        <w:tc>
          <w:tcPr>
            <w:tcW w:w="3918" w:type="dxa"/>
            <w:vAlign w:val="center"/>
          </w:tcPr>
          <w:p w14:paraId="1380AEBE" w14:textId="658AB607" w:rsidR="007A45C5" w:rsidRPr="00350596" w:rsidRDefault="007A45C5" w:rsidP="007A45C5">
            <w:pPr>
              <w:pStyle w:val="COMTabletext"/>
              <w:keepNext w:val="0"/>
            </w:pPr>
            <w:r w:rsidRPr="00350596">
              <w:t xml:space="preserve">Assumed </w:t>
            </w:r>
            <w:r w:rsidR="00823FDB" w:rsidRPr="00823FDB">
              <w:rPr>
                <w:color w:val="000000"/>
                <w:spacing w:val="51"/>
                <w:shd w:val="solid" w:color="000000" w:fill="000000"/>
                <w:fitText w:val="325" w:id="-691796213"/>
                <w14:textFill>
                  <w14:solidFill>
                    <w14:srgbClr w14:val="000000">
                      <w14:alpha w14:val="100000"/>
                    </w14:srgbClr>
                  </w14:solidFill>
                </w14:textFill>
              </w:rPr>
              <w:t>|||</w:t>
            </w:r>
            <w:r w:rsidR="00823FDB" w:rsidRPr="00823FDB">
              <w:rPr>
                <w:color w:val="000000"/>
                <w:spacing w:val="2"/>
                <w:shd w:val="solid" w:color="000000" w:fill="000000"/>
                <w:fitText w:val="325" w:id="-691796213"/>
                <w14:textFill>
                  <w14:solidFill>
                    <w14:srgbClr w14:val="000000">
                      <w14:alpha w14:val="100000"/>
                    </w14:srgbClr>
                  </w14:solidFill>
                </w14:textFill>
              </w:rPr>
              <w:t>|</w:t>
            </w:r>
            <w:r w:rsidRPr="00350596">
              <w:t xml:space="preserve">%. The submission claimed that </w:t>
            </w:r>
            <w:r w:rsidR="008A34A5" w:rsidRPr="00350596">
              <w:t>FcRn</w:t>
            </w:r>
            <w:r w:rsidRPr="00350596">
              <w:t xml:space="preserve"> blockers would have greater market share than complement inhibitors (assumed </w:t>
            </w:r>
            <w:r w:rsidR="00823FDB" w:rsidRPr="00823FDB">
              <w:rPr>
                <w:color w:val="000000"/>
                <w:spacing w:val="51"/>
                <w:shd w:val="solid" w:color="000000" w:fill="000000"/>
                <w:fitText w:val="325" w:id="-691796212"/>
                <w14:textFill>
                  <w14:solidFill>
                    <w14:srgbClr w14:val="000000">
                      <w14:alpha w14:val="100000"/>
                    </w14:srgbClr>
                  </w14:solidFill>
                </w14:textFill>
              </w:rPr>
              <w:t>|||</w:t>
            </w:r>
            <w:r w:rsidR="00823FDB" w:rsidRPr="00823FDB">
              <w:rPr>
                <w:color w:val="000000"/>
                <w:spacing w:val="2"/>
                <w:shd w:val="solid" w:color="000000" w:fill="000000"/>
                <w:fitText w:val="325" w:id="-691796212"/>
                <w14:textFill>
                  <w14:solidFill>
                    <w14:srgbClr w14:val="000000">
                      <w14:alpha w14:val="100000"/>
                    </w14:srgbClr>
                  </w14:solidFill>
                </w14:textFill>
              </w:rPr>
              <w:t>|</w:t>
            </w:r>
            <w:r w:rsidRPr="00350596">
              <w:t>%) due to the targeted mechanism of action, fast response and favourable safety profile.</w:t>
            </w:r>
          </w:p>
        </w:tc>
        <w:tc>
          <w:tcPr>
            <w:tcW w:w="3585" w:type="dxa"/>
            <w:vAlign w:val="center"/>
          </w:tcPr>
          <w:p w14:paraId="4ABC77F7" w14:textId="5ED0DF2D" w:rsidR="007A45C5" w:rsidRPr="00350596" w:rsidRDefault="00D934FD" w:rsidP="007A45C5">
            <w:pPr>
              <w:pStyle w:val="COMTabletext"/>
            </w:pPr>
            <w:r w:rsidRPr="00350596">
              <w:t>DUSC considered that t</w:t>
            </w:r>
            <w:r w:rsidR="007A45C5" w:rsidRPr="00350596">
              <w:t xml:space="preserve">he assumed market share of </w:t>
            </w:r>
            <w:r w:rsidR="008A34A5" w:rsidRPr="00350596">
              <w:t>FcRn</w:t>
            </w:r>
            <w:r w:rsidR="007A45C5" w:rsidRPr="00350596">
              <w:t xml:space="preserve"> blockers was highly uncertain.</w:t>
            </w:r>
          </w:p>
        </w:tc>
      </w:tr>
      <w:tr w:rsidR="007A45C5" w:rsidRPr="00350596" w14:paraId="21340E2D" w14:textId="77777777" w:rsidTr="007A45C5">
        <w:trPr>
          <w:cantSplit/>
        </w:trPr>
        <w:tc>
          <w:tcPr>
            <w:tcW w:w="1514" w:type="dxa"/>
            <w:vAlign w:val="center"/>
          </w:tcPr>
          <w:p w14:paraId="7FC3E515" w14:textId="0E0EA8E7" w:rsidR="007A45C5" w:rsidRPr="00350596" w:rsidRDefault="007A45C5" w:rsidP="007A45C5">
            <w:pPr>
              <w:pStyle w:val="COMTabletext"/>
              <w:keepNext w:val="0"/>
            </w:pPr>
            <w:r w:rsidRPr="00350596">
              <w:t xml:space="preserve">Efgartigimod market share of </w:t>
            </w:r>
            <w:r w:rsidR="008A34A5" w:rsidRPr="00350596">
              <w:t>FcRn</w:t>
            </w:r>
            <w:r w:rsidRPr="00350596">
              <w:t xml:space="preserve"> blockers</w:t>
            </w:r>
          </w:p>
        </w:tc>
        <w:tc>
          <w:tcPr>
            <w:tcW w:w="3918" w:type="dxa"/>
            <w:vAlign w:val="center"/>
          </w:tcPr>
          <w:p w14:paraId="19385A21" w14:textId="055E1B45" w:rsidR="007A45C5" w:rsidRPr="00350596" w:rsidRDefault="007A45C5" w:rsidP="007A45C5">
            <w:pPr>
              <w:pStyle w:val="COMTabletext"/>
              <w:keepNext w:val="0"/>
            </w:pPr>
            <w:r w:rsidRPr="00350596">
              <w:t xml:space="preserve">Assumed </w:t>
            </w:r>
            <w:r w:rsidR="00823FDB" w:rsidRPr="00823FDB">
              <w:rPr>
                <w:color w:val="000000"/>
                <w:spacing w:val="51"/>
                <w:shd w:val="solid" w:color="000000" w:fill="000000"/>
                <w:fitText w:val="325" w:id="-691796211"/>
                <w14:textFill>
                  <w14:solidFill>
                    <w14:srgbClr w14:val="000000">
                      <w14:alpha w14:val="100000"/>
                    </w14:srgbClr>
                  </w14:solidFill>
                </w14:textFill>
              </w:rPr>
              <w:t>|||</w:t>
            </w:r>
            <w:r w:rsidR="00823FDB" w:rsidRPr="00823FDB">
              <w:rPr>
                <w:color w:val="000000"/>
                <w:spacing w:val="2"/>
                <w:shd w:val="solid" w:color="000000" w:fill="000000"/>
                <w:fitText w:val="325" w:id="-691796211"/>
                <w14:textFill>
                  <w14:solidFill>
                    <w14:srgbClr w14:val="000000">
                      <w14:alpha w14:val="100000"/>
                    </w14:srgbClr>
                  </w14:solidFill>
                </w14:textFill>
              </w:rPr>
              <w:t>|</w:t>
            </w:r>
            <w:r w:rsidRPr="00350596">
              <w:t xml:space="preserve">%. The submission claimed that efgartigimod would have greater market share than rozanolixizumab (assumed </w:t>
            </w:r>
            <w:r w:rsidR="00823FDB" w:rsidRPr="00823FDB">
              <w:rPr>
                <w:color w:val="000000"/>
                <w:spacing w:val="51"/>
                <w:shd w:val="solid" w:color="000000" w:fill="000000"/>
                <w:fitText w:val="326" w:id="-691796210"/>
                <w14:textFill>
                  <w14:solidFill>
                    <w14:srgbClr w14:val="000000">
                      <w14:alpha w14:val="100000"/>
                    </w14:srgbClr>
                  </w14:solidFill>
                </w14:textFill>
              </w:rPr>
              <w:t>|||</w:t>
            </w:r>
            <w:r w:rsidR="00823FDB" w:rsidRPr="00823FDB">
              <w:rPr>
                <w:color w:val="000000"/>
                <w:spacing w:val="3"/>
                <w:shd w:val="solid" w:color="000000" w:fill="000000"/>
                <w:fitText w:val="326" w:id="-691796210"/>
                <w14:textFill>
                  <w14:solidFill>
                    <w14:srgbClr w14:val="000000">
                      <w14:alpha w14:val="100000"/>
                    </w14:srgbClr>
                  </w14:solidFill>
                </w14:textFill>
              </w:rPr>
              <w:t>|</w:t>
            </w:r>
            <w:r w:rsidRPr="00350596">
              <w:t>%) due to a superior benefit/risk profile.</w:t>
            </w:r>
          </w:p>
        </w:tc>
        <w:tc>
          <w:tcPr>
            <w:tcW w:w="3585" w:type="dxa"/>
            <w:vAlign w:val="center"/>
          </w:tcPr>
          <w:p w14:paraId="21E67570" w14:textId="467B1A6F" w:rsidR="007A45C5" w:rsidRPr="00350596" w:rsidRDefault="00D934FD" w:rsidP="007A45C5">
            <w:pPr>
              <w:pStyle w:val="COMTabletext"/>
            </w:pPr>
            <w:r w:rsidRPr="00350596">
              <w:t>DUSC considered that t</w:t>
            </w:r>
            <w:r w:rsidR="007A45C5" w:rsidRPr="00350596">
              <w:t>he assumed market share of efgartigimod was highly uncertain.</w:t>
            </w:r>
          </w:p>
        </w:tc>
      </w:tr>
      <w:tr w:rsidR="007A45C5" w:rsidRPr="00350596" w14:paraId="3180DCC0" w14:textId="77777777" w:rsidTr="007A45C5">
        <w:trPr>
          <w:cantSplit/>
        </w:trPr>
        <w:tc>
          <w:tcPr>
            <w:tcW w:w="1514" w:type="dxa"/>
            <w:vAlign w:val="center"/>
          </w:tcPr>
          <w:p w14:paraId="65108892" w14:textId="77777777" w:rsidR="007A45C5" w:rsidRPr="00350596" w:rsidRDefault="007A45C5" w:rsidP="007A45C5">
            <w:pPr>
              <w:pStyle w:val="COMTabletext"/>
              <w:keepNext w:val="0"/>
            </w:pPr>
            <w:r w:rsidRPr="00350596">
              <w:t>Grandfathered patients</w:t>
            </w:r>
          </w:p>
        </w:tc>
        <w:tc>
          <w:tcPr>
            <w:tcW w:w="3918" w:type="dxa"/>
            <w:vAlign w:val="center"/>
          </w:tcPr>
          <w:p w14:paraId="46543A08" w14:textId="014EEF1E" w:rsidR="007A45C5" w:rsidRPr="00350596" w:rsidRDefault="007A45C5" w:rsidP="007A45C5">
            <w:pPr>
              <w:pStyle w:val="COMTabletext"/>
              <w:keepNext w:val="0"/>
            </w:pPr>
            <w:r w:rsidRPr="00350596">
              <w:t xml:space="preserve">It was estimated that approximately </w:t>
            </w:r>
            <w:r w:rsidR="00823FDB" w:rsidRPr="00823FDB">
              <w:rPr>
                <w:color w:val="000000"/>
                <w:spacing w:val="51"/>
                <w:shd w:val="solid" w:color="000000" w:fill="000000"/>
                <w:fitText w:val="326" w:id="-691796209"/>
                <w14:textFill>
                  <w14:solidFill>
                    <w14:srgbClr w14:val="000000">
                      <w14:alpha w14:val="100000"/>
                    </w14:srgbClr>
                  </w14:solidFill>
                </w14:textFill>
              </w:rPr>
              <w:t>|||</w:t>
            </w:r>
            <w:r w:rsidR="00823FDB" w:rsidRPr="00823FDB">
              <w:rPr>
                <w:color w:val="000000"/>
                <w:spacing w:val="3"/>
                <w:shd w:val="solid" w:color="000000" w:fill="000000"/>
                <w:fitText w:val="326" w:id="-691796209"/>
                <w14:textFill>
                  <w14:solidFill>
                    <w14:srgbClr w14:val="000000">
                      <w14:alpha w14:val="100000"/>
                    </w14:srgbClr>
                  </w14:solidFill>
                </w14:textFill>
              </w:rPr>
              <w:t>|</w:t>
            </w:r>
            <w:r w:rsidR="00D814A9" w:rsidRPr="00350596">
              <w:rPr>
                <w:vertAlign w:val="superscript"/>
              </w:rPr>
              <w:t>2</w:t>
            </w:r>
            <w:r w:rsidRPr="00350596">
              <w:t xml:space="preserve"> patients would initiate efgartigimod under the sponsor’s expanded access program (which is aligned with the proposed PBS restriction) in 2025.</w:t>
            </w:r>
          </w:p>
        </w:tc>
        <w:tc>
          <w:tcPr>
            <w:tcW w:w="3585" w:type="dxa"/>
            <w:vAlign w:val="center"/>
          </w:tcPr>
          <w:p w14:paraId="28431B73" w14:textId="77777777" w:rsidR="007A45C5" w:rsidRPr="00350596" w:rsidRDefault="007A45C5" w:rsidP="007A45C5">
            <w:pPr>
              <w:pStyle w:val="COMTabletext"/>
            </w:pPr>
            <w:r w:rsidRPr="00350596">
              <w:t>This estimate could not be validated. The model assumed that all grandfathered patients would remain on therapy for the full six-year forecast period.</w:t>
            </w:r>
          </w:p>
        </w:tc>
      </w:tr>
      <w:tr w:rsidR="007A45C5" w:rsidRPr="00350596" w14:paraId="49D14469" w14:textId="77777777" w:rsidTr="007A45C5">
        <w:trPr>
          <w:cantSplit/>
        </w:trPr>
        <w:tc>
          <w:tcPr>
            <w:tcW w:w="9017" w:type="dxa"/>
            <w:gridSpan w:val="3"/>
            <w:vAlign w:val="center"/>
          </w:tcPr>
          <w:p w14:paraId="37A180A6" w14:textId="77777777" w:rsidR="007A45C5" w:rsidRPr="00350596" w:rsidRDefault="007A45C5" w:rsidP="00766727">
            <w:pPr>
              <w:pStyle w:val="COMTabletext"/>
              <w:rPr>
                <w:b/>
                <w:bCs w:val="0"/>
              </w:rPr>
            </w:pPr>
            <w:r w:rsidRPr="00350596">
              <w:rPr>
                <w:b/>
                <w:bCs w:val="0"/>
              </w:rPr>
              <w:lastRenderedPageBreak/>
              <w:t>Treatment utilisation</w:t>
            </w:r>
          </w:p>
        </w:tc>
      </w:tr>
      <w:tr w:rsidR="007A45C5" w:rsidRPr="00350596" w14:paraId="602E9738" w14:textId="77777777" w:rsidTr="007A45C5">
        <w:trPr>
          <w:cantSplit/>
        </w:trPr>
        <w:tc>
          <w:tcPr>
            <w:tcW w:w="1514" w:type="dxa"/>
            <w:vAlign w:val="center"/>
          </w:tcPr>
          <w:p w14:paraId="7C3A3D64" w14:textId="77777777" w:rsidR="007A45C5" w:rsidRPr="00350596" w:rsidRDefault="007A45C5" w:rsidP="007A45C5">
            <w:pPr>
              <w:pStyle w:val="COMTabletext"/>
              <w:keepNext w:val="0"/>
            </w:pPr>
            <w:r w:rsidRPr="00350596">
              <w:t>Patient years of efgartigimod treatment</w:t>
            </w:r>
          </w:p>
        </w:tc>
        <w:tc>
          <w:tcPr>
            <w:tcW w:w="3918" w:type="dxa"/>
            <w:vAlign w:val="center"/>
          </w:tcPr>
          <w:p w14:paraId="61522FF2" w14:textId="417B53E5" w:rsidR="007A45C5" w:rsidRPr="00350596" w:rsidRDefault="007A45C5" w:rsidP="007A45C5">
            <w:pPr>
              <w:pStyle w:val="COMTabletext"/>
              <w:keepNext w:val="0"/>
            </w:pPr>
            <w:r w:rsidRPr="00350596">
              <w:t xml:space="preserve">Increasing from </w:t>
            </w:r>
            <w:r w:rsidR="00823FDB" w:rsidRPr="00823FDB">
              <w:rPr>
                <w:color w:val="000000"/>
                <w:spacing w:val="51"/>
                <w:shd w:val="solid" w:color="000000" w:fill="000000"/>
                <w:fitText w:val="326" w:id="-691796208"/>
                <w14:textFill>
                  <w14:solidFill>
                    <w14:srgbClr w14:val="000000">
                      <w14:alpha w14:val="100000"/>
                    </w14:srgbClr>
                  </w14:solidFill>
                </w14:textFill>
              </w:rPr>
              <w:t>|||</w:t>
            </w:r>
            <w:r w:rsidR="00823FDB" w:rsidRPr="00823FDB">
              <w:rPr>
                <w:color w:val="000000"/>
                <w:spacing w:val="3"/>
                <w:shd w:val="solid" w:color="000000" w:fill="000000"/>
                <w:fitText w:val="326" w:id="-691796208"/>
                <w14:textFill>
                  <w14:solidFill>
                    <w14:srgbClr w14:val="000000">
                      <w14:alpha w14:val="100000"/>
                    </w14:srgbClr>
                  </w14:solidFill>
                </w14:textFill>
              </w:rPr>
              <w:t>|</w:t>
            </w:r>
            <w:r w:rsidR="00D814A9" w:rsidRPr="00350596">
              <w:rPr>
                <w:vertAlign w:val="superscript"/>
              </w:rPr>
              <w:t>2</w:t>
            </w:r>
            <w:r w:rsidRPr="00350596">
              <w:t xml:space="preserve"> in Year 1 to </w:t>
            </w:r>
            <w:r w:rsidR="00823FDB" w:rsidRPr="00823FDB">
              <w:rPr>
                <w:color w:val="000000"/>
                <w:spacing w:val="51"/>
                <w:shd w:val="solid" w:color="000000" w:fill="000000"/>
                <w:fitText w:val="326" w:id="-691796224"/>
                <w14:textFill>
                  <w14:solidFill>
                    <w14:srgbClr w14:val="000000">
                      <w14:alpha w14:val="100000"/>
                    </w14:srgbClr>
                  </w14:solidFill>
                </w14:textFill>
              </w:rPr>
              <w:t>|||</w:t>
            </w:r>
            <w:r w:rsidR="00823FDB" w:rsidRPr="00823FDB">
              <w:rPr>
                <w:color w:val="000000"/>
                <w:spacing w:val="3"/>
                <w:shd w:val="solid" w:color="000000" w:fill="000000"/>
                <w:fitText w:val="326" w:id="-691796224"/>
                <w14:textFill>
                  <w14:solidFill>
                    <w14:srgbClr w14:val="000000">
                      <w14:alpha w14:val="100000"/>
                    </w14:srgbClr>
                  </w14:solidFill>
                </w14:textFill>
              </w:rPr>
              <w:t>|</w:t>
            </w:r>
            <w:r w:rsidR="00D814A9" w:rsidRPr="00350596">
              <w:rPr>
                <w:vertAlign w:val="superscript"/>
              </w:rPr>
              <w:t>2</w:t>
            </w:r>
            <w:r w:rsidRPr="00350596">
              <w:t xml:space="preserve"> in Year 6. Patient years of therapy were estimated by assuming all grandfathered patients start therapy in the first month while the uptake of all patients initiating efgartigimod was distributed equally across the year (</w:t>
            </w:r>
            <w:r w:rsidR="00823FDB" w:rsidRPr="00823FDB">
              <w:rPr>
                <w:color w:val="000000"/>
                <w:spacing w:val="51"/>
                <w:shd w:val="solid" w:color="000000" w:fill="000000"/>
                <w:fitText w:val="326" w:id="-691796223"/>
                <w14:textFill>
                  <w14:solidFill>
                    <w14:srgbClr w14:val="000000">
                      <w14:alpha w14:val="100000"/>
                    </w14:srgbClr>
                  </w14:solidFill>
                </w14:textFill>
              </w:rPr>
              <w:t>|||</w:t>
            </w:r>
            <w:r w:rsidR="00823FDB" w:rsidRPr="00823FDB">
              <w:rPr>
                <w:color w:val="000000"/>
                <w:spacing w:val="3"/>
                <w:shd w:val="solid" w:color="000000" w:fill="000000"/>
                <w:fitText w:val="326" w:id="-691796223"/>
                <w14:textFill>
                  <w14:solidFill>
                    <w14:srgbClr w14:val="000000">
                      <w14:alpha w14:val="100000"/>
                    </w14:srgbClr>
                  </w14:solidFill>
                </w14:textFill>
              </w:rPr>
              <w:t>|</w:t>
            </w:r>
            <w:r w:rsidRPr="00350596">
              <w:t xml:space="preserve">% per month). All patients continuing therapy beyond the first year are assumed to have a full year of treatment with no discontinuations. </w:t>
            </w:r>
          </w:p>
        </w:tc>
        <w:tc>
          <w:tcPr>
            <w:tcW w:w="3585" w:type="dxa"/>
            <w:vAlign w:val="center"/>
          </w:tcPr>
          <w:p w14:paraId="29063241" w14:textId="77777777" w:rsidR="007A45C5" w:rsidRPr="00350596" w:rsidRDefault="007A45C5" w:rsidP="007A45C5">
            <w:pPr>
              <w:pStyle w:val="COMTabletext"/>
              <w:spacing w:after="120"/>
            </w:pPr>
            <w:r w:rsidRPr="00350596">
              <w:t xml:space="preserve">The assumption of part-year utilisation of efgartigimod was inconsistent with other estimates used in the budget model which were based on total patients receiving treatment using full calendar years. </w:t>
            </w:r>
          </w:p>
          <w:p w14:paraId="6DC2AB32" w14:textId="77777777" w:rsidR="007A45C5" w:rsidRPr="00350596" w:rsidRDefault="007A45C5" w:rsidP="007A45C5">
            <w:pPr>
              <w:pStyle w:val="COMTabletext"/>
            </w:pPr>
            <w:r w:rsidRPr="00350596">
              <w:t>The assumption of no treatment discontinuations was not adequately supported.</w:t>
            </w:r>
          </w:p>
        </w:tc>
      </w:tr>
      <w:tr w:rsidR="007A45C5" w:rsidRPr="00350596" w14:paraId="4DD81612" w14:textId="77777777" w:rsidTr="007A45C5">
        <w:trPr>
          <w:cantSplit/>
          <w:trHeight w:val="1257"/>
        </w:trPr>
        <w:tc>
          <w:tcPr>
            <w:tcW w:w="1514" w:type="dxa"/>
            <w:vAlign w:val="center"/>
          </w:tcPr>
          <w:p w14:paraId="766C3B7F" w14:textId="77777777" w:rsidR="007A45C5" w:rsidRPr="00350596" w:rsidRDefault="007A45C5" w:rsidP="007A45C5">
            <w:pPr>
              <w:pStyle w:val="COMTabletext"/>
              <w:keepNext w:val="0"/>
            </w:pPr>
            <w:r w:rsidRPr="00350596">
              <w:t>Vials dispensed per patient year</w:t>
            </w:r>
          </w:p>
        </w:tc>
        <w:tc>
          <w:tcPr>
            <w:tcW w:w="3918" w:type="dxa"/>
            <w:vMerge w:val="restart"/>
            <w:vAlign w:val="center"/>
          </w:tcPr>
          <w:p w14:paraId="31337684" w14:textId="77777777" w:rsidR="007A45C5" w:rsidRPr="00350596" w:rsidRDefault="007A45C5" w:rsidP="007A45C5">
            <w:pPr>
              <w:pStyle w:val="COMTabletext"/>
              <w:keepNext w:val="0"/>
            </w:pPr>
            <w:r w:rsidRPr="00350596">
              <w:t xml:space="preserve">18.88 infusions per year and 45.4 vials per year. Based on a </w:t>
            </w:r>
            <w:r w:rsidRPr="00350596">
              <w:rPr>
                <w:i/>
                <w:iCs/>
              </w:rPr>
              <w:t>post hoc</w:t>
            </w:r>
            <w:r w:rsidRPr="00350596">
              <w:t xml:space="preserve"> analysis of the average cycles per year (4.72) in AChR+ patients with ≥ 1 year of follow-up in the ADAPT trial and extension (Howard 2024) × recommended number of infusions per cycle (4 infusions per cycle) × the baseline weight distribution of patients from the ADAPT trial (60% &lt; 80 kg using 2 vials per infusion; 40% ≥ 80 kg using 3 vials per infusion) </w:t>
            </w:r>
          </w:p>
        </w:tc>
        <w:tc>
          <w:tcPr>
            <w:tcW w:w="3585" w:type="dxa"/>
            <w:vMerge w:val="restart"/>
            <w:vAlign w:val="center"/>
          </w:tcPr>
          <w:p w14:paraId="1E5677B4" w14:textId="77777777" w:rsidR="007A45C5" w:rsidRPr="00350596" w:rsidRDefault="007A45C5" w:rsidP="007A45C5">
            <w:pPr>
              <w:pStyle w:val="COMTabletext"/>
              <w:spacing w:after="120"/>
            </w:pPr>
            <w:r w:rsidRPr="00350596">
              <w:t xml:space="preserve">Treatment patterns reported in a tightly regulated clinical study setting (equating to a treatment-free interval between cycles of approximately 8 weeks) may not be representative of clinical practice. </w:t>
            </w:r>
          </w:p>
          <w:p w14:paraId="763AEE62" w14:textId="39BF39D8" w:rsidR="00E6298A" w:rsidRPr="00350596" w:rsidRDefault="007A45C5" w:rsidP="00D934FD">
            <w:pPr>
              <w:pStyle w:val="COMTabletext"/>
            </w:pPr>
            <w:r w:rsidRPr="00350596">
              <w:t xml:space="preserve">A sponsor-commissioned utilisation study in the United States indicated that the most common treatment-free interval between cycles was 4-6 weeks (Bhavaraju-Sanka 2024). </w:t>
            </w:r>
            <w:r w:rsidR="00D934FD" w:rsidRPr="00350596">
              <w:t xml:space="preserve">DUSC noted that the estimates were based on the trial data (cycles of 8 weeks), which differed to real-world data (cycles between 4-6 weeks). DUSC commented this difference indicates that the amount of cycles and vials would be greater than estimated. </w:t>
            </w:r>
            <w:r w:rsidR="00E6298A" w:rsidRPr="00350596">
              <w:t xml:space="preserve">The PBAC </w:t>
            </w:r>
            <w:r w:rsidR="00D934FD" w:rsidRPr="00350596">
              <w:t xml:space="preserve">further </w:t>
            </w:r>
            <w:r w:rsidR="00E6298A" w:rsidRPr="00350596">
              <w:t xml:space="preserve">noted this </w:t>
            </w:r>
            <w:r w:rsidR="00D934FD" w:rsidRPr="00350596">
              <w:t xml:space="preserve">assumption </w:t>
            </w:r>
            <w:r w:rsidR="00E6298A" w:rsidRPr="00350596">
              <w:t xml:space="preserve">was inconsistent with assumptions applied in the economics. </w:t>
            </w:r>
          </w:p>
        </w:tc>
      </w:tr>
      <w:tr w:rsidR="007A45C5" w:rsidRPr="00350596" w14:paraId="291CB298" w14:textId="77777777" w:rsidTr="007A45C5">
        <w:trPr>
          <w:cantSplit/>
          <w:trHeight w:val="1257"/>
        </w:trPr>
        <w:tc>
          <w:tcPr>
            <w:tcW w:w="1514" w:type="dxa"/>
            <w:vAlign w:val="center"/>
          </w:tcPr>
          <w:p w14:paraId="75D37CBD" w14:textId="77777777" w:rsidR="007A45C5" w:rsidRPr="00350596" w:rsidRDefault="007A45C5" w:rsidP="007A45C5">
            <w:pPr>
              <w:pStyle w:val="COMTabletext"/>
              <w:keepNext w:val="0"/>
            </w:pPr>
            <w:r w:rsidRPr="00350596">
              <w:t>Efgartigimod infusions per year</w:t>
            </w:r>
          </w:p>
        </w:tc>
        <w:tc>
          <w:tcPr>
            <w:tcW w:w="3918" w:type="dxa"/>
            <w:vMerge/>
            <w:vAlign w:val="center"/>
          </w:tcPr>
          <w:p w14:paraId="4D655472" w14:textId="77777777" w:rsidR="007A45C5" w:rsidRPr="00350596" w:rsidRDefault="007A45C5" w:rsidP="007A45C5">
            <w:pPr>
              <w:pStyle w:val="COMTabletext"/>
              <w:keepNext w:val="0"/>
            </w:pPr>
          </w:p>
        </w:tc>
        <w:tc>
          <w:tcPr>
            <w:tcW w:w="3585" w:type="dxa"/>
            <w:vMerge/>
            <w:vAlign w:val="center"/>
          </w:tcPr>
          <w:p w14:paraId="436587EF" w14:textId="77777777" w:rsidR="007A45C5" w:rsidRPr="00350596" w:rsidRDefault="007A45C5" w:rsidP="007A45C5">
            <w:pPr>
              <w:pStyle w:val="COMTabletext"/>
              <w:rPr>
                <w:highlight w:val="yellow"/>
              </w:rPr>
            </w:pPr>
          </w:p>
        </w:tc>
      </w:tr>
      <w:tr w:rsidR="007A45C5" w:rsidRPr="00350596" w14:paraId="2859865D" w14:textId="77777777" w:rsidTr="007A45C5">
        <w:trPr>
          <w:cantSplit/>
        </w:trPr>
        <w:tc>
          <w:tcPr>
            <w:tcW w:w="1514" w:type="dxa"/>
            <w:vAlign w:val="center"/>
          </w:tcPr>
          <w:p w14:paraId="4CFC31BB" w14:textId="77777777" w:rsidR="007A45C5" w:rsidRPr="00350596" w:rsidRDefault="007A45C5" w:rsidP="007A45C5">
            <w:pPr>
              <w:pStyle w:val="COMTabletext"/>
              <w:keepNext w:val="0"/>
            </w:pPr>
            <w:r w:rsidRPr="00350596">
              <w:t>Dispensed IVIg per patient</w:t>
            </w:r>
          </w:p>
        </w:tc>
        <w:tc>
          <w:tcPr>
            <w:tcW w:w="3918" w:type="dxa"/>
            <w:vAlign w:val="center"/>
          </w:tcPr>
          <w:p w14:paraId="020CBBD6" w14:textId="77777777" w:rsidR="007A45C5" w:rsidRPr="00350596" w:rsidRDefault="007A45C5" w:rsidP="007A45C5">
            <w:pPr>
              <w:pStyle w:val="COMTabletext"/>
              <w:keepNext w:val="0"/>
            </w:pPr>
            <w:r w:rsidRPr="00350596">
              <w:t>514 g per year. Based on the total IVIg grams dispensed for myasthenia gravis in 2021/2022 (NBA Annual Report 2022) × proportion of IVIg use for maintenance therapy (80.1% of patients using 90% of total IVIg volume) in myasthenia gravis patients in 2017/2018 (MSAC Assessment Report 1566; April 2020 MSAC meeting)</w:t>
            </w:r>
          </w:p>
        </w:tc>
        <w:tc>
          <w:tcPr>
            <w:tcW w:w="3585" w:type="dxa"/>
            <w:vAlign w:val="center"/>
          </w:tcPr>
          <w:p w14:paraId="3D8EBF9C" w14:textId="4AE4C3B3" w:rsidR="007A45C5" w:rsidRPr="00350596" w:rsidRDefault="00533AAA" w:rsidP="007A45C5">
            <w:pPr>
              <w:pStyle w:val="COMTabletext"/>
              <w:rPr>
                <w:highlight w:val="yellow"/>
              </w:rPr>
            </w:pPr>
            <w:r w:rsidRPr="00350596">
              <w:t xml:space="preserve">NBA data shows the average amount of IVIg was </w:t>
            </w:r>
            <w:r w:rsidRPr="00350596">
              <w:rPr>
                <w:rFonts w:eastAsiaTheme="minorHAnsi" w:cs="Calibri"/>
                <w:szCs w:val="22"/>
              </w:rPr>
              <w:t>541.1 grams per patient per year in 2023-24 (specific to the myasthenia gravis maintenance setting).</w:t>
            </w:r>
          </w:p>
        </w:tc>
      </w:tr>
      <w:tr w:rsidR="007A45C5" w:rsidRPr="00350596" w14:paraId="29AC97D0" w14:textId="77777777" w:rsidTr="007A45C5">
        <w:trPr>
          <w:cantSplit/>
        </w:trPr>
        <w:tc>
          <w:tcPr>
            <w:tcW w:w="9017" w:type="dxa"/>
            <w:gridSpan w:val="3"/>
            <w:vAlign w:val="center"/>
          </w:tcPr>
          <w:p w14:paraId="0D845B3B" w14:textId="77777777" w:rsidR="007A45C5" w:rsidRPr="00350596" w:rsidRDefault="007A45C5" w:rsidP="007A45C5">
            <w:pPr>
              <w:pStyle w:val="COMTabletext"/>
              <w:rPr>
                <w:b/>
                <w:bCs w:val="0"/>
              </w:rPr>
            </w:pPr>
            <w:r w:rsidRPr="00350596">
              <w:rPr>
                <w:b/>
                <w:bCs w:val="0"/>
              </w:rPr>
              <w:t>Costs</w:t>
            </w:r>
          </w:p>
        </w:tc>
      </w:tr>
      <w:tr w:rsidR="007A45C5" w:rsidRPr="00350596" w14:paraId="68332696" w14:textId="77777777" w:rsidTr="007A45C5">
        <w:trPr>
          <w:cantSplit/>
        </w:trPr>
        <w:tc>
          <w:tcPr>
            <w:tcW w:w="1514" w:type="dxa"/>
            <w:vAlign w:val="center"/>
          </w:tcPr>
          <w:p w14:paraId="5D48D4F0" w14:textId="77777777" w:rsidR="007A45C5" w:rsidRPr="00350596" w:rsidRDefault="007A45C5" w:rsidP="007A45C5">
            <w:pPr>
              <w:pStyle w:val="COMTabletext"/>
            </w:pPr>
            <w:r w:rsidRPr="00350596">
              <w:t>Efgartigimod cost</w:t>
            </w:r>
          </w:p>
        </w:tc>
        <w:tc>
          <w:tcPr>
            <w:tcW w:w="3918" w:type="dxa"/>
            <w:vAlign w:val="center"/>
          </w:tcPr>
          <w:p w14:paraId="4E1DD4E0" w14:textId="1482FB45" w:rsidR="007A45C5" w:rsidRPr="00350596" w:rsidRDefault="007A45C5" w:rsidP="007A45C5">
            <w:pPr>
              <w:pStyle w:val="COMTabletext"/>
            </w:pPr>
            <w:r w:rsidRPr="00350596">
              <w:t>$</w:t>
            </w:r>
            <w:r w:rsidR="00823FDB" w:rsidRPr="00823FDB">
              <w:rPr>
                <w:color w:val="000000"/>
                <w:spacing w:val="51"/>
                <w:shd w:val="solid" w:color="000000" w:fill="000000"/>
                <w:fitText w:val="326" w:id="-691796222"/>
                <w14:textFill>
                  <w14:solidFill>
                    <w14:srgbClr w14:val="000000">
                      <w14:alpha w14:val="100000"/>
                    </w14:srgbClr>
                  </w14:solidFill>
                </w14:textFill>
              </w:rPr>
              <w:t>|||</w:t>
            </w:r>
            <w:r w:rsidR="00823FDB" w:rsidRPr="00823FDB">
              <w:rPr>
                <w:color w:val="000000"/>
                <w:spacing w:val="3"/>
                <w:shd w:val="solid" w:color="000000" w:fill="000000"/>
                <w:fitText w:val="326" w:id="-691796222"/>
                <w14:textFill>
                  <w14:solidFill>
                    <w14:srgbClr w14:val="000000">
                      <w14:alpha w14:val="100000"/>
                    </w14:srgbClr>
                  </w14:solidFill>
                </w14:textFill>
              </w:rPr>
              <w:t>|</w:t>
            </w:r>
            <w:r w:rsidRPr="00350596">
              <w:t xml:space="preserve"> per vial. Proposed effective DPMQ assuming 50% of use will be in the public hospital setting ($</w:t>
            </w:r>
            <w:r w:rsidR="00823FDB" w:rsidRPr="00823FDB">
              <w:rPr>
                <w:color w:val="000000"/>
                <w:spacing w:val="55"/>
                <w:shd w:val="solid" w:color="000000" w:fill="000000"/>
                <w:fitText w:val="338" w:id="-691796221"/>
                <w14:textFill>
                  <w14:solidFill>
                    <w14:srgbClr w14:val="000000">
                      <w14:alpha w14:val="100000"/>
                    </w14:srgbClr>
                  </w14:solidFill>
                </w14:textFill>
              </w:rPr>
              <w:t>|||</w:t>
            </w:r>
            <w:r w:rsidR="00823FDB" w:rsidRPr="00823FDB">
              <w:rPr>
                <w:color w:val="000000"/>
                <w:spacing w:val="3"/>
                <w:shd w:val="solid" w:color="000000" w:fill="000000"/>
                <w:fitText w:val="338" w:id="-691796221"/>
                <w14:textFill>
                  <w14:solidFill>
                    <w14:srgbClr w14:val="000000">
                      <w14:alpha w14:val="100000"/>
                    </w14:srgbClr>
                  </w14:solidFill>
                </w14:textFill>
              </w:rPr>
              <w:t>|</w:t>
            </w:r>
            <w:r w:rsidRPr="00350596">
              <w:t xml:space="preserve"> per vial) and 50% of use will be in the private hospital setting ($</w:t>
            </w:r>
            <w:r w:rsidR="00823FDB" w:rsidRPr="00823FDB">
              <w:rPr>
                <w:color w:val="000000"/>
                <w:spacing w:val="55"/>
                <w:shd w:val="solid" w:color="000000" w:fill="000000"/>
                <w:fitText w:val="338" w:id="-691796220"/>
                <w14:textFill>
                  <w14:solidFill>
                    <w14:srgbClr w14:val="000000">
                      <w14:alpha w14:val="100000"/>
                    </w14:srgbClr>
                  </w14:solidFill>
                </w14:textFill>
              </w:rPr>
              <w:t>|||</w:t>
            </w:r>
            <w:r w:rsidR="00823FDB" w:rsidRPr="00823FDB">
              <w:rPr>
                <w:color w:val="000000"/>
                <w:spacing w:val="3"/>
                <w:shd w:val="solid" w:color="000000" w:fill="000000"/>
                <w:fitText w:val="338" w:id="-691796220"/>
                <w14:textFill>
                  <w14:solidFill>
                    <w14:srgbClr w14:val="000000">
                      <w14:alpha w14:val="100000"/>
                    </w14:srgbClr>
                  </w14:solidFill>
                </w14:textFill>
              </w:rPr>
              <w:t>|</w:t>
            </w:r>
            <w:r w:rsidRPr="00350596">
              <w:t xml:space="preserve"> per vial).</w:t>
            </w:r>
          </w:p>
        </w:tc>
        <w:tc>
          <w:tcPr>
            <w:tcW w:w="3585" w:type="dxa"/>
            <w:vAlign w:val="center"/>
          </w:tcPr>
          <w:p w14:paraId="697C7F79" w14:textId="77777777" w:rsidR="007A45C5" w:rsidRPr="00350596" w:rsidRDefault="007A45C5" w:rsidP="007A45C5">
            <w:pPr>
              <w:pStyle w:val="COMTabletext"/>
            </w:pPr>
            <w:r w:rsidRPr="00350596">
              <w:t>The assumption of a 50:50 split between private and public hospital settings was not adequately justified.</w:t>
            </w:r>
          </w:p>
        </w:tc>
      </w:tr>
      <w:tr w:rsidR="007A45C5" w:rsidRPr="00350596" w14:paraId="544C059F" w14:textId="77777777" w:rsidTr="007A45C5">
        <w:trPr>
          <w:cantSplit/>
        </w:trPr>
        <w:tc>
          <w:tcPr>
            <w:tcW w:w="1514" w:type="dxa"/>
            <w:vAlign w:val="center"/>
          </w:tcPr>
          <w:p w14:paraId="0D5C3C56" w14:textId="77777777" w:rsidR="007A45C5" w:rsidRPr="00350596" w:rsidRDefault="007A45C5" w:rsidP="007A45C5">
            <w:pPr>
              <w:pStyle w:val="COMTabletext"/>
              <w:keepNext w:val="0"/>
            </w:pPr>
            <w:r w:rsidRPr="00350596">
              <w:t>IVIg cost</w:t>
            </w:r>
          </w:p>
        </w:tc>
        <w:tc>
          <w:tcPr>
            <w:tcW w:w="3918" w:type="dxa"/>
            <w:vAlign w:val="center"/>
          </w:tcPr>
          <w:p w14:paraId="26835BAD" w14:textId="77777777" w:rsidR="007A45C5" w:rsidRPr="00350596" w:rsidRDefault="007A45C5" w:rsidP="007A45C5">
            <w:pPr>
              <w:pStyle w:val="COMTabletext"/>
              <w:keepNext w:val="0"/>
            </w:pPr>
            <w:r w:rsidRPr="00350596">
              <w:t>Assumed $100 per gram. Based on the total IVIg grams dispensed in 2021/2022 (8.054 million grams) / total cost of IVIg in 2021/2022 ($810.4 million) (NBA Annual Report 2022).</w:t>
            </w:r>
          </w:p>
        </w:tc>
        <w:tc>
          <w:tcPr>
            <w:tcW w:w="3585" w:type="dxa"/>
            <w:vAlign w:val="center"/>
          </w:tcPr>
          <w:p w14:paraId="1860CAAD" w14:textId="72D33E0C" w:rsidR="007A45C5" w:rsidRPr="00350596" w:rsidRDefault="00533AAA" w:rsidP="007A45C5">
            <w:pPr>
              <w:pStyle w:val="COMTabletext"/>
            </w:pPr>
            <w:r w:rsidRPr="00350596">
              <w:t>NBA data shows the average cost per gram of IVIg (across all indications on the NBA) was $</w:t>
            </w:r>
            <w:r w:rsidR="00C13B8A" w:rsidRPr="00C13B8A">
              <w:rPr>
                <w:color w:val="000000"/>
                <w:spacing w:val="79"/>
                <w:shd w:val="solid" w:color="000000" w:fill="000000"/>
                <w:fitText w:val="410" w:id="-656566528"/>
                <w14:textFill>
                  <w14:solidFill>
                    <w14:srgbClr w14:val="000000">
                      <w14:alpha w14:val="100000"/>
                    </w14:srgbClr>
                  </w14:solidFill>
                </w14:textFill>
              </w:rPr>
              <w:t>|||</w:t>
            </w:r>
            <w:r w:rsidR="00C13B8A" w:rsidRPr="00C13B8A">
              <w:rPr>
                <w:color w:val="000000"/>
                <w:spacing w:val="3"/>
                <w:shd w:val="solid" w:color="000000" w:fill="000000"/>
                <w:fitText w:val="410" w:id="-656566528"/>
                <w14:textFill>
                  <w14:solidFill>
                    <w14:srgbClr w14:val="000000">
                      <w14:alpha w14:val="100000"/>
                    </w14:srgbClr>
                  </w14:solidFill>
                </w14:textFill>
              </w:rPr>
              <w:t>|</w:t>
            </w:r>
          </w:p>
        </w:tc>
      </w:tr>
    </w:tbl>
    <w:p w14:paraId="03807623" w14:textId="05F6A1BC" w:rsidR="00F85CFA" w:rsidRPr="00350596" w:rsidRDefault="00F85CFA" w:rsidP="00F85CFA">
      <w:pPr>
        <w:pStyle w:val="COMTablefooter"/>
      </w:pPr>
      <w:r w:rsidRPr="00350596">
        <w:t>Source: Table 4-1, pp182-184; Table 4-3, p187; Figure 4-1, p189; Table 4-7, p192 of the submission</w:t>
      </w:r>
    </w:p>
    <w:p w14:paraId="1822D432" w14:textId="77777777" w:rsidR="00B03F0C" w:rsidRPr="00350596" w:rsidRDefault="00F85CFA" w:rsidP="00B03F0C">
      <w:pPr>
        <w:pStyle w:val="COMTablefooter"/>
      </w:pPr>
      <w:r w:rsidRPr="00350596">
        <w:t xml:space="preserve">Abbreviations: AChR+, acetylcholine receptor antibody positive; DPMQ, dispensed price for maximum quantity; GP, general practitioner; IV, intravenous; IVIg, intravenous immunoglobulin; MG-ADL, Myasthenia Gravis Activities of Daily Living; MGC, Myasthenia Gravis Composite score; MGFA, Myasthenia Gravis Foundation of America classification; MSAC, Medicare Services Advisory Committee; NBA, National Blood Authority; PBS, Pharmaceutical Benefits Scheme; </w:t>
      </w:r>
    </w:p>
    <w:p w14:paraId="05F49A3A" w14:textId="0D8E3CB5" w:rsidR="00B03F0C" w:rsidRPr="00350596" w:rsidRDefault="00B03F0C" w:rsidP="00B03F0C">
      <w:pPr>
        <w:pStyle w:val="COMTablefooter"/>
        <w:rPr>
          <w:i/>
          <w:iCs/>
        </w:rPr>
      </w:pPr>
      <w:r w:rsidRPr="00350596">
        <w:rPr>
          <w:i/>
          <w:iCs/>
        </w:rPr>
        <w:t>The redacted values correspond to the following ranges</w:t>
      </w:r>
      <w:r w:rsidR="00022F7E" w:rsidRPr="00350596">
        <w:rPr>
          <w:i/>
          <w:iCs/>
        </w:rPr>
        <w:t>:</w:t>
      </w:r>
      <w:r w:rsidRPr="00350596">
        <w:rPr>
          <w:i/>
          <w:iCs/>
        </w:rPr>
        <w:t xml:space="preserve"> </w:t>
      </w:r>
    </w:p>
    <w:p w14:paraId="746017B5" w14:textId="77777777" w:rsidR="00D814A9" w:rsidRPr="00350596" w:rsidRDefault="00B03F0C" w:rsidP="00D814A9">
      <w:pPr>
        <w:pStyle w:val="COMTablefooter"/>
        <w:rPr>
          <w:i/>
          <w:iCs/>
        </w:rPr>
      </w:pPr>
      <w:r w:rsidRPr="00350596">
        <w:rPr>
          <w:i/>
          <w:iCs/>
          <w:vertAlign w:val="superscript"/>
        </w:rPr>
        <w:t>1</w:t>
      </w:r>
      <w:r w:rsidRPr="00350596">
        <w:rPr>
          <w:i/>
          <w:iCs/>
        </w:rPr>
        <w:t xml:space="preserve"> </w:t>
      </w:r>
      <w:bookmarkStart w:id="73" w:name="_Hlk113629046"/>
      <w:r w:rsidR="00D814A9" w:rsidRPr="00350596">
        <w:rPr>
          <w:i/>
          <w:iCs/>
        </w:rPr>
        <w:t xml:space="preserve">500 to &lt; 5,000 </w:t>
      </w:r>
    </w:p>
    <w:p w14:paraId="7240DA3A" w14:textId="7165DCB5" w:rsidR="00F85CFA" w:rsidRPr="00350596" w:rsidRDefault="00D814A9" w:rsidP="00B03F0C">
      <w:pPr>
        <w:pStyle w:val="COMTablefooter"/>
        <w:rPr>
          <w:i/>
          <w:iCs/>
        </w:rPr>
      </w:pPr>
      <w:r w:rsidRPr="00350596">
        <w:rPr>
          <w:i/>
          <w:iCs/>
          <w:vertAlign w:val="superscript"/>
        </w:rPr>
        <w:t>2</w:t>
      </w:r>
      <w:r w:rsidRPr="00350596">
        <w:rPr>
          <w:i/>
          <w:iCs/>
        </w:rPr>
        <w:t xml:space="preserve"> &lt; 500</w:t>
      </w:r>
      <w:bookmarkEnd w:id="73"/>
    </w:p>
    <w:p w14:paraId="3D00E825" w14:textId="590807B9" w:rsidR="00F85CFA" w:rsidRPr="00350596" w:rsidRDefault="00F85CFA" w:rsidP="00F85CFA">
      <w:pPr>
        <w:pStyle w:val="COMexecsummnumbered"/>
      </w:pPr>
      <w:r w:rsidRPr="00350596">
        <w:fldChar w:fldCharType="begin"/>
      </w:r>
      <w:r w:rsidRPr="00350596">
        <w:instrText xml:space="preserve"> REF _Ref185958634 \h  \* MERGEFORMAT </w:instrText>
      </w:r>
      <w:r w:rsidRPr="00350596">
        <w:fldChar w:fldCharType="separate"/>
      </w:r>
      <w:r w:rsidR="002B16A5" w:rsidRPr="002B16A5">
        <w:t>Table 16</w:t>
      </w:r>
      <w:r w:rsidRPr="00350596">
        <w:fldChar w:fldCharType="end"/>
      </w:r>
      <w:r w:rsidRPr="00350596">
        <w:t xml:space="preserve"> summarises the estimated eligible population, scripts dispensed and net cost to government of listing efgartigimod </w:t>
      </w:r>
      <w:r w:rsidR="00533AAA" w:rsidRPr="00350596">
        <w:t>presented in the submission</w:t>
      </w:r>
      <w:r w:rsidRPr="00350596">
        <w:t>.</w:t>
      </w:r>
    </w:p>
    <w:p w14:paraId="66D69DB1" w14:textId="3F727DC4" w:rsidR="00F85CFA" w:rsidRPr="00350596" w:rsidRDefault="00F85CFA" w:rsidP="00F85CFA">
      <w:pPr>
        <w:keepNext/>
        <w:jc w:val="left"/>
        <w:rPr>
          <w:rFonts w:ascii="Arial Narrow" w:eastAsiaTheme="majorEastAsia" w:hAnsi="Arial Narrow" w:cs="Times New Roman"/>
          <w:b/>
          <w:sz w:val="20"/>
        </w:rPr>
      </w:pPr>
      <w:bookmarkStart w:id="74" w:name="_Ref185958634"/>
      <w:r w:rsidRPr="00350596">
        <w:rPr>
          <w:rFonts w:ascii="Arial Narrow" w:eastAsiaTheme="majorEastAsia" w:hAnsi="Arial Narrow" w:cs="Times New Roman"/>
          <w:b/>
          <w:sz w:val="20"/>
        </w:rPr>
        <w:lastRenderedPageBreak/>
        <w:t xml:space="preserve">Table </w:t>
      </w:r>
      <w:r w:rsidRPr="00350596">
        <w:rPr>
          <w:rFonts w:ascii="Arial Narrow" w:eastAsiaTheme="majorEastAsia" w:hAnsi="Arial Narrow" w:cs="Times New Roman"/>
          <w:b/>
          <w:sz w:val="20"/>
        </w:rPr>
        <w:fldChar w:fldCharType="begin"/>
      </w:r>
      <w:r w:rsidRPr="00350596">
        <w:rPr>
          <w:rFonts w:ascii="Arial Narrow" w:eastAsiaTheme="majorEastAsia" w:hAnsi="Arial Narrow" w:cs="Times New Roman"/>
          <w:b/>
          <w:sz w:val="20"/>
        </w:rPr>
        <w:instrText xml:space="preserve"> SEQ Table \* ARABIC </w:instrText>
      </w:r>
      <w:r w:rsidRPr="00350596">
        <w:rPr>
          <w:rFonts w:ascii="Arial Narrow" w:eastAsiaTheme="majorEastAsia" w:hAnsi="Arial Narrow" w:cs="Times New Roman"/>
          <w:b/>
          <w:sz w:val="20"/>
        </w:rPr>
        <w:fldChar w:fldCharType="separate"/>
      </w:r>
      <w:r w:rsidR="002B16A5">
        <w:rPr>
          <w:rFonts w:ascii="Arial Narrow" w:eastAsiaTheme="majorEastAsia" w:hAnsi="Arial Narrow" w:cs="Times New Roman"/>
          <w:b/>
          <w:noProof/>
          <w:sz w:val="20"/>
        </w:rPr>
        <w:t>16</w:t>
      </w:r>
      <w:r w:rsidRPr="00350596">
        <w:rPr>
          <w:rFonts w:ascii="Arial Narrow" w:eastAsiaTheme="majorEastAsia" w:hAnsi="Arial Narrow" w:cs="Times New Roman"/>
          <w:b/>
          <w:sz w:val="20"/>
        </w:rPr>
        <w:fldChar w:fldCharType="end"/>
      </w:r>
      <w:bookmarkEnd w:id="74"/>
      <w:r w:rsidRPr="00350596">
        <w:rPr>
          <w:rFonts w:ascii="Arial Narrow" w:eastAsiaTheme="majorEastAsia" w:hAnsi="Arial Narrow" w:cs="Times New Roman"/>
          <w:b/>
          <w:sz w:val="20"/>
        </w:rPr>
        <w:t>: Estimated use and financial implications of listing efgartigimod</w:t>
      </w:r>
      <w:r w:rsidR="00533AAA" w:rsidRPr="00350596">
        <w:rPr>
          <w:rFonts w:ascii="Arial Narrow" w:eastAsiaTheme="majorEastAsia" w:hAnsi="Arial Narrow" w:cs="Times New Roman"/>
          <w:b/>
          <w:sz w:val="20"/>
        </w:rPr>
        <w:t xml:space="preserve"> </w:t>
      </w:r>
      <w:r w:rsidR="00533AAA" w:rsidRPr="00350596">
        <w:rPr>
          <w:rFonts w:ascii="Arial Narrow" w:eastAsiaTheme="majorEastAsia" w:hAnsi="Arial Narrow" w:cstheme="majorBidi"/>
          <w:b/>
          <w:bCs/>
          <w:sz w:val="20"/>
        </w:rPr>
        <w:t>(as estimated in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of listing efgartigimod (as estimated in the submission)"/>
      </w:tblPr>
      <w:tblGrid>
        <w:gridCol w:w="2711"/>
        <w:gridCol w:w="1059"/>
        <w:gridCol w:w="1059"/>
        <w:gridCol w:w="1060"/>
        <w:gridCol w:w="1059"/>
        <w:gridCol w:w="1059"/>
        <w:gridCol w:w="1060"/>
      </w:tblGrid>
      <w:tr w:rsidR="00F85CFA" w:rsidRPr="00350596" w14:paraId="67D2A8A0" w14:textId="77777777" w:rsidTr="00104A28">
        <w:trPr>
          <w:tblHeader/>
        </w:trPr>
        <w:tc>
          <w:tcPr>
            <w:tcW w:w="2711" w:type="dxa"/>
            <w:vAlign w:val="center"/>
          </w:tcPr>
          <w:p w14:paraId="526C8FBA" w14:textId="77777777" w:rsidR="00F85CFA" w:rsidRPr="00350596" w:rsidRDefault="00F85CFA" w:rsidP="00104A28">
            <w:pPr>
              <w:keepNext/>
              <w:jc w:val="left"/>
              <w:rPr>
                <w:rFonts w:ascii="Arial Narrow" w:eastAsiaTheme="majorEastAsia" w:hAnsi="Arial Narrow" w:cs="Times New Roman"/>
                <w:b/>
                <w:sz w:val="20"/>
              </w:rPr>
            </w:pPr>
          </w:p>
        </w:tc>
        <w:tc>
          <w:tcPr>
            <w:tcW w:w="1059" w:type="dxa"/>
            <w:vAlign w:val="center"/>
          </w:tcPr>
          <w:p w14:paraId="29D2B926" w14:textId="77777777" w:rsidR="00F85CFA" w:rsidRPr="00350596" w:rsidRDefault="00F85CFA" w:rsidP="00104A28">
            <w:pPr>
              <w:keepNext/>
              <w:jc w:val="center"/>
              <w:rPr>
                <w:rFonts w:ascii="Arial Narrow" w:eastAsiaTheme="majorEastAsia" w:hAnsi="Arial Narrow" w:cs="Times New Roman"/>
                <w:b/>
                <w:sz w:val="20"/>
              </w:rPr>
            </w:pPr>
            <w:r w:rsidRPr="00350596">
              <w:rPr>
                <w:rFonts w:ascii="Arial Narrow" w:eastAsiaTheme="majorEastAsia" w:hAnsi="Arial Narrow" w:cs="Times New Roman"/>
                <w:b/>
                <w:sz w:val="20"/>
              </w:rPr>
              <w:t>Year 1</w:t>
            </w:r>
          </w:p>
        </w:tc>
        <w:tc>
          <w:tcPr>
            <w:tcW w:w="1059" w:type="dxa"/>
            <w:vAlign w:val="center"/>
          </w:tcPr>
          <w:p w14:paraId="1415B3D5" w14:textId="77777777" w:rsidR="00F85CFA" w:rsidRPr="00350596" w:rsidRDefault="00F85CFA" w:rsidP="00104A28">
            <w:pPr>
              <w:keepNext/>
              <w:jc w:val="center"/>
              <w:rPr>
                <w:rFonts w:ascii="Arial Narrow" w:eastAsiaTheme="majorEastAsia" w:hAnsi="Arial Narrow" w:cs="Times New Roman"/>
                <w:b/>
                <w:sz w:val="20"/>
              </w:rPr>
            </w:pPr>
            <w:r w:rsidRPr="00350596">
              <w:rPr>
                <w:rFonts w:ascii="Arial Narrow" w:eastAsiaTheme="majorEastAsia" w:hAnsi="Arial Narrow" w:cs="Times New Roman"/>
                <w:b/>
                <w:sz w:val="20"/>
              </w:rPr>
              <w:t>Year 2</w:t>
            </w:r>
          </w:p>
        </w:tc>
        <w:tc>
          <w:tcPr>
            <w:tcW w:w="1060" w:type="dxa"/>
            <w:vAlign w:val="center"/>
          </w:tcPr>
          <w:p w14:paraId="1FA0C1BB" w14:textId="77777777" w:rsidR="00F85CFA" w:rsidRPr="00350596" w:rsidRDefault="00F85CFA" w:rsidP="00104A28">
            <w:pPr>
              <w:keepNext/>
              <w:jc w:val="center"/>
              <w:rPr>
                <w:rFonts w:ascii="Arial Narrow" w:eastAsiaTheme="majorEastAsia" w:hAnsi="Arial Narrow" w:cs="Times New Roman"/>
                <w:b/>
                <w:sz w:val="20"/>
              </w:rPr>
            </w:pPr>
            <w:r w:rsidRPr="00350596">
              <w:rPr>
                <w:rFonts w:ascii="Arial Narrow" w:eastAsiaTheme="majorEastAsia" w:hAnsi="Arial Narrow" w:cs="Times New Roman"/>
                <w:b/>
                <w:sz w:val="20"/>
              </w:rPr>
              <w:t>Year 3</w:t>
            </w:r>
          </w:p>
        </w:tc>
        <w:tc>
          <w:tcPr>
            <w:tcW w:w="1059" w:type="dxa"/>
            <w:vAlign w:val="center"/>
          </w:tcPr>
          <w:p w14:paraId="7534E41E" w14:textId="77777777" w:rsidR="00F85CFA" w:rsidRPr="00350596" w:rsidRDefault="00F85CFA" w:rsidP="00104A28">
            <w:pPr>
              <w:keepNext/>
              <w:jc w:val="center"/>
              <w:rPr>
                <w:rFonts w:ascii="Arial Narrow" w:eastAsiaTheme="majorEastAsia" w:hAnsi="Arial Narrow" w:cs="Times New Roman"/>
                <w:b/>
                <w:sz w:val="20"/>
              </w:rPr>
            </w:pPr>
            <w:r w:rsidRPr="00350596">
              <w:rPr>
                <w:rFonts w:ascii="Arial Narrow" w:eastAsiaTheme="majorEastAsia" w:hAnsi="Arial Narrow" w:cs="Times New Roman"/>
                <w:b/>
                <w:sz w:val="20"/>
              </w:rPr>
              <w:t>Year 4</w:t>
            </w:r>
          </w:p>
        </w:tc>
        <w:tc>
          <w:tcPr>
            <w:tcW w:w="1059" w:type="dxa"/>
            <w:vAlign w:val="center"/>
          </w:tcPr>
          <w:p w14:paraId="09205427" w14:textId="77777777" w:rsidR="00F85CFA" w:rsidRPr="00350596" w:rsidRDefault="00F85CFA" w:rsidP="00104A28">
            <w:pPr>
              <w:keepNext/>
              <w:jc w:val="center"/>
              <w:rPr>
                <w:rFonts w:ascii="Arial Narrow" w:eastAsiaTheme="majorEastAsia" w:hAnsi="Arial Narrow" w:cs="Times New Roman"/>
                <w:b/>
                <w:sz w:val="20"/>
              </w:rPr>
            </w:pPr>
            <w:r w:rsidRPr="00350596">
              <w:rPr>
                <w:rFonts w:ascii="Arial Narrow" w:eastAsiaTheme="majorEastAsia" w:hAnsi="Arial Narrow" w:cs="Times New Roman"/>
                <w:b/>
                <w:sz w:val="20"/>
              </w:rPr>
              <w:t>Year 5</w:t>
            </w:r>
          </w:p>
        </w:tc>
        <w:tc>
          <w:tcPr>
            <w:tcW w:w="1060" w:type="dxa"/>
            <w:vAlign w:val="center"/>
          </w:tcPr>
          <w:p w14:paraId="38491C62" w14:textId="77777777" w:rsidR="00F85CFA" w:rsidRPr="00350596" w:rsidRDefault="00F85CFA" w:rsidP="00104A28">
            <w:pPr>
              <w:keepNext/>
              <w:jc w:val="center"/>
              <w:rPr>
                <w:rFonts w:ascii="Arial Narrow" w:eastAsiaTheme="majorEastAsia" w:hAnsi="Arial Narrow" w:cs="Times New Roman"/>
                <w:b/>
                <w:sz w:val="20"/>
              </w:rPr>
            </w:pPr>
            <w:r w:rsidRPr="00350596">
              <w:rPr>
                <w:rFonts w:ascii="Arial Narrow" w:eastAsiaTheme="majorEastAsia" w:hAnsi="Arial Narrow" w:cs="Times New Roman"/>
                <w:b/>
                <w:sz w:val="20"/>
              </w:rPr>
              <w:t>Year 6</w:t>
            </w:r>
          </w:p>
        </w:tc>
      </w:tr>
      <w:tr w:rsidR="00F85CFA" w:rsidRPr="00350596" w14:paraId="7FE1B90F" w14:textId="77777777" w:rsidTr="00104A28">
        <w:tc>
          <w:tcPr>
            <w:tcW w:w="2711" w:type="dxa"/>
            <w:vAlign w:val="center"/>
          </w:tcPr>
          <w:p w14:paraId="179BF7D7"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Eligible patient population</w:t>
            </w:r>
          </w:p>
        </w:tc>
        <w:tc>
          <w:tcPr>
            <w:tcW w:w="1059" w:type="dxa"/>
            <w:vAlign w:val="center"/>
          </w:tcPr>
          <w:p w14:paraId="557FB44B" w14:textId="10BC544D"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7"/>
                <w:sz w:val="20"/>
                <w:shd w:val="solid" w:color="000000" w:fill="000000"/>
                <w:fitText w:val="76" w:id="-691796219"/>
                <w14:textFill>
                  <w14:solidFill>
                    <w14:srgbClr w14:val="000000">
                      <w14:alpha w14:val="100000"/>
                    </w14:srgbClr>
                  </w14:solidFill>
                </w14:textFill>
              </w:rPr>
              <w:t xml:space="preserve">　</w:t>
            </w:r>
            <w:r w:rsidRPr="00823FDB">
              <w:rPr>
                <w:rFonts w:ascii="Arial Narrow" w:eastAsiaTheme="majorEastAsia" w:hAnsi="Arial Narrow"/>
                <w:bCs/>
                <w:color w:val="000000"/>
                <w:w w:val="17"/>
                <w:sz w:val="20"/>
                <w:shd w:val="solid" w:color="000000" w:fill="000000"/>
                <w:fitText w:val="76" w:id="-691796219"/>
                <w14:textFill>
                  <w14:solidFill>
                    <w14:srgbClr w14:val="000000">
                      <w14:alpha w14:val="100000"/>
                    </w14:srgbClr>
                  </w14:solidFill>
                </w14:textFill>
              </w:rPr>
              <w:t>|</w:t>
            </w:r>
            <w:r w:rsidRPr="00823FDB">
              <w:rPr>
                <w:rFonts w:ascii="Arial Narrow" w:eastAsiaTheme="majorEastAsia" w:hAnsi="Arial Narrow" w:hint="eastAsia"/>
                <w:bCs/>
                <w:color w:val="000000"/>
                <w:spacing w:val="3"/>
                <w:w w:val="17"/>
                <w:sz w:val="20"/>
                <w:shd w:val="solid" w:color="000000" w:fill="000000"/>
                <w:fitText w:val="76" w:id="-691796219"/>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59" w:type="dxa"/>
            <w:vAlign w:val="center"/>
          </w:tcPr>
          <w:p w14:paraId="1F347C23" w14:textId="13C1B1F1"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8"/>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8"/>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8"/>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60" w:type="dxa"/>
            <w:vAlign w:val="center"/>
          </w:tcPr>
          <w:p w14:paraId="3B8B0ADB" w14:textId="14E6E0AE"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7"/>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7"/>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7"/>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59" w:type="dxa"/>
            <w:vAlign w:val="center"/>
          </w:tcPr>
          <w:p w14:paraId="602C399D" w14:textId="6312D98C"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6"/>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6"/>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6"/>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59" w:type="dxa"/>
            <w:vAlign w:val="center"/>
          </w:tcPr>
          <w:p w14:paraId="1BAB35DF" w14:textId="7619E56D"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5"/>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5"/>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5"/>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60" w:type="dxa"/>
            <w:vAlign w:val="center"/>
          </w:tcPr>
          <w:p w14:paraId="123E6CD4" w14:textId="0CC3C699"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4"/>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4"/>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4"/>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r>
      <w:tr w:rsidR="00F85CFA" w:rsidRPr="00350596" w14:paraId="164FF95D" w14:textId="77777777" w:rsidTr="00104A28">
        <w:tc>
          <w:tcPr>
            <w:tcW w:w="2711" w:type="dxa"/>
            <w:vAlign w:val="center"/>
          </w:tcPr>
          <w:p w14:paraId="11856F8F" w14:textId="77777777" w:rsidR="00F85CFA" w:rsidRPr="00350596" w:rsidRDefault="00F85CFA" w:rsidP="00104A28">
            <w:pPr>
              <w:keepNext/>
              <w:jc w:val="left"/>
              <w:rPr>
                <w:rFonts w:ascii="Arial Narrow" w:eastAsiaTheme="majorEastAsia" w:hAnsi="Arial Narrow" w:cstheme="majorBidi"/>
                <w:sz w:val="20"/>
                <w:szCs w:val="20"/>
                <w:vertAlign w:val="superscript"/>
              </w:rPr>
            </w:pPr>
            <w:r w:rsidRPr="00350596">
              <w:rPr>
                <w:rFonts w:ascii="Arial Narrow" w:eastAsiaTheme="majorEastAsia" w:hAnsi="Arial Narrow" w:cstheme="majorBidi"/>
                <w:sz w:val="20"/>
                <w:szCs w:val="20"/>
              </w:rPr>
              <w:t>Market uptake rate for newer agents</w:t>
            </w:r>
            <w:r w:rsidRPr="00350596">
              <w:rPr>
                <w:rFonts w:ascii="Arial Narrow" w:eastAsiaTheme="majorEastAsia" w:hAnsi="Arial Narrow" w:cstheme="majorBidi"/>
                <w:sz w:val="20"/>
                <w:szCs w:val="20"/>
                <w:vertAlign w:val="superscript"/>
              </w:rPr>
              <w:t>a</w:t>
            </w:r>
          </w:p>
        </w:tc>
        <w:tc>
          <w:tcPr>
            <w:tcW w:w="1059" w:type="dxa"/>
            <w:vAlign w:val="center"/>
          </w:tcPr>
          <w:p w14:paraId="47158535" w14:textId="76C9D972" w:rsidR="00F85CFA" w:rsidRPr="00350596" w:rsidRDefault="00823FDB" w:rsidP="00104A28">
            <w:pPr>
              <w:keepNext/>
              <w:jc w:val="center"/>
              <w:rPr>
                <w:rFonts w:ascii="Arial Narrow" w:eastAsiaTheme="majorEastAsia" w:hAnsi="Arial Narrow"/>
                <w:bCs/>
                <w:sz w:val="20"/>
              </w:rPr>
            </w:pPr>
            <w:r w:rsidRPr="00823FDB">
              <w:rPr>
                <w:rFonts w:ascii="Arial Narrow" w:eastAsiaTheme="majorEastAsia" w:hAnsi="Arial Narrow" w:hint="eastAsia"/>
                <w:bCs/>
                <w:color w:val="000000"/>
                <w:w w:val="28"/>
                <w:sz w:val="20"/>
                <w:shd w:val="solid" w:color="000000" w:fill="000000"/>
                <w:fitText w:val="126" w:id="-691796213"/>
                <w14:textFill>
                  <w14:solidFill>
                    <w14:srgbClr w14:val="000000">
                      <w14:alpha w14:val="100000"/>
                    </w14:srgbClr>
                  </w14:solidFill>
                </w14:textFill>
              </w:rPr>
              <w:t xml:space="preserve">　</w:t>
            </w:r>
            <w:r w:rsidRPr="00823FDB">
              <w:rPr>
                <w:rFonts w:ascii="Arial Narrow" w:eastAsiaTheme="majorEastAsia" w:hAnsi="Arial Narrow"/>
                <w:bCs/>
                <w:color w:val="000000"/>
                <w:w w:val="28"/>
                <w:sz w:val="20"/>
                <w:shd w:val="solid" w:color="000000" w:fill="000000"/>
                <w:fitText w:val="126" w:id="-691796213"/>
                <w14:textFill>
                  <w14:solidFill>
                    <w14:srgbClr w14:val="000000">
                      <w14:alpha w14:val="100000"/>
                    </w14:srgbClr>
                  </w14:solidFill>
                </w14:textFill>
              </w:rPr>
              <w:t>|</w:t>
            </w:r>
            <w:r w:rsidRPr="00823FDB">
              <w:rPr>
                <w:rFonts w:ascii="Arial Narrow" w:eastAsiaTheme="majorEastAsia" w:hAnsi="Arial Narrow" w:hint="eastAsia"/>
                <w:bCs/>
                <w:color w:val="000000"/>
                <w:spacing w:val="4"/>
                <w:w w:val="28"/>
                <w:sz w:val="20"/>
                <w:shd w:val="solid" w:color="000000" w:fill="000000"/>
                <w:fitText w:val="126" w:id="-691796213"/>
                <w14:textFill>
                  <w14:solidFill>
                    <w14:srgbClr w14:val="000000">
                      <w14:alpha w14:val="100000"/>
                    </w14:srgbClr>
                  </w14:solidFill>
                </w14:textFill>
              </w:rPr>
              <w:t xml:space="preserve">　</w:t>
            </w:r>
            <w:r w:rsidR="00F85CFA" w:rsidRPr="00350596">
              <w:rPr>
                <w:rFonts w:ascii="Arial Narrow" w:eastAsiaTheme="majorEastAsia" w:hAnsi="Arial Narrow"/>
                <w:bCs/>
                <w:sz w:val="20"/>
              </w:rPr>
              <w:t>%</w:t>
            </w:r>
          </w:p>
        </w:tc>
        <w:tc>
          <w:tcPr>
            <w:tcW w:w="1059" w:type="dxa"/>
            <w:vAlign w:val="center"/>
          </w:tcPr>
          <w:p w14:paraId="1FA42E4E" w14:textId="00646693" w:rsidR="00F85CFA" w:rsidRPr="00350596" w:rsidRDefault="00823FDB" w:rsidP="00104A28">
            <w:pPr>
              <w:keepNext/>
              <w:jc w:val="center"/>
              <w:rPr>
                <w:rFonts w:ascii="Arial Narrow" w:eastAsiaTheme="majorEastAsia" w:hAnsi="Arial Narrow" w:cstheme="majorBidi"/>
                <w:bCs/>
                <w:sz w:val="20"/>
              </w:rPr>
            </w:pPr>
            <w:r w:rsidRPr="00823FDB">
              <w:rPr>
                <w:rFonts w:ascii="Arial Narrow" w:eastAsiaTheme="majorEastAsia" w:hAnsi="Arial Narrow" w:cstheme="majorBidi" w:hint="eastAsia"/>
                <w:bCs/>
                <w:color w:val="000000"/>
                <w:w w:val="28"/>
                <w:sz w:val="20"/>
                <w:shd w:val="solid" w:color="000000" w:fill="000000"/>
                <w:fitText w:val="125" w:id="-691796212"/>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8"/>
                <w:sz w:val="20"/>
                <w:shd w:val="solid" w:color="000000" w:fill="000000"/>
                <w:fitText w:val="125" w:id="-691796212"/>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8"/>
                <w:sz w:val="20"/>
                <w:shd w:val="solid" w:color="000000" w:fill="000000"/>
                <w:fitText w:val="125" w:id="-691796212"/>
                <w14:textFill>
                  <w14:solidFill>
                    <w14:srgbClr w14:val="000000">
                      <w14:alpha w14:val="100000"/>
                    </w14:srgbClr>
                  </w14:solidFill>
                </w14:textFill>
              </w:rPr>
              <w:t xml:space="preserve">　</w:t>
            </w:r>
            <w:r w:rsidR="00F85CFA" w:rsidRPr="00350596">
              <w:rPr>
                <w:rFonts w:ascii="Arial Narrow" w:eastAsiaTheme="majorEastAsia" w:hAnsi="Arial Narrow" w:cstheme="majorBidi"/>
                <w:bCs/>
                <w:sz w:val="20"/>
              </w:rPr>
              <w:t>%</w:t>
            </w:r>
          </w:p>
        </w:tc>
        <w:tc>
          <w:tcPr>
            <w:tcW w:w="1060" w:type="dxa"/>
            <w:vAlign w:val="center"/>
          </w:tcPr>
          <w:p w14:paraId="789116F6" w14:textId="4253AD85" w:rsidR="00F85CFA" w:rsidRPr="00350596" w:rsidRDefault="00823FDB" w:rsidP="00104A28">
            <w:pPr>
              <w:keepNext/>
              <w:jc w:val="center"/>
              <w:rPr>
                <w:rFonts w:ascii="Arial Narrow" w:eastAsiaTheme="majorEastAsia" w:hAnsi="Arial Narrow" w:cstheme="majorBidi"/>
                <w:bCs/>
                <w:sz w:val="20"/>
              </w:rPr>
            </w:pPr>
            <w:r w:rsidRPr="00823FDB">
              <w:rPr>
                <w:rFonts w:ascii="Arial Narrow" w:eastAsiaTheme="majorEastAsia" w:hAnsi="Arial Narrow" w:cstheme="majorBidi" w:hint="eastAsia"/>
                <w:bCs/>
                <w:color w:val="000000"/>
                <w:w w:val="25"/>
                <w:sz w:val="20"/>
                <w:shd w:val="solid" w:color="000000" w:fill="000000"/>
                <w:fitText w:val="113" w:id="-691796211"/>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5"/>
                <w:sz w:val="20"/>
                <w:shd w:val="solid" w:color="000000" w:fill="000000"/>
                <w:fitText w:val="113" w:id="-691796211"/>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2"/>
                <w:w w:val="25"/>
                <w:sz w:val="20"/>
                <w:shd w:val="solid" w:color="000000" w:fill="000000"/>
                <w:fitText w:val="113" w:id="-691796211"/>
                <w14:textFill>
                  <w14:solidFill>
                    <w14:srgbClr w14:val="000000">
                      <w14:alpha w14:val="100000"/>
                    </w14:srgbClr>
                  </w14:solidFill>
                </w14:textFill>
              </w:rPr>
              <w:t xml:space="preserve">　</w:t>
            </w:r>
            <w:r w:rsidR="00F85CFA" w:rsidRPr="00350596">
              <w:rPr>
                <w:rFonts w:ascii="Arial Narrow" w:eastAsiaTheme="majorEastAsia" w:hAnsi="Arial Narrow" w:cstheme="majorBidi"/>
                <w:bCs/>
                <w:sz w:val="20"/>
              </w:rPr>
              <w:t>%</w:t>
            </w:r>
          </w:p>
        </w:tc>
        <w:tc>
          <w:tcPr>
            <w:tcW w:w="1059" w:type="dxa"/>
            <w:vAlign w:val="center"/>
          </w:tcPr>
          <w:p w14:paraId="712AD725" w14:textId="6D5A664C" w:rsidR="00F85CFA" w:rsidRPr="00350596" w:rsidRDefault="00823FDB" w:rsidP="00104A28">
            <w:pPr>
              <w:keepNext/>
              <w:jc w:val="center"/>
              <w:rPr>
                <w:rFonts w:ascii="Arial Narrow" w:eastAsiaTheme="majorEastAsia" w:hAnsi="Arial Narrow" w:cstheme="majorBidi"/>
                <w:bCs/>
                <w:sz w:val="20"/>
              </w:rPr>
            </w:pPr>
            <w:r w:rsidRPr="00823FDB">
              <w:rPr>
                <w:rFonts w:ascii="Arial Narrow" w:eastAsiaTheme="majorEastAsia" w:hAnsi="Arial Narrow" w:cstheme="majorBidi" w:hint="eastAsia"/>
                <w:bCs/>
                <w:color w:val="000000"/>
                <w:w w:val="28"/>
                <w:sz w:val="20"/>
                <w:shd w:val="solid" w:color="000000" w:fill="000000"/>
                <w:fitText w:val="125" w:id="-691796210"/>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8"/>
                <w:sz w:val="20"/>
                <w:shd w:val="solid" w:color="000000" w:fill="000000"/>
                <w:fitText w:val="125" w:id="-691796210"/>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8"/>
                <w:sz w:val="20"/>
                <w:shd w:val="solid" w:color="000000" w:fill="000000"/>
                <w:fitText w:val="125" w:id="-691796210"/>
                <w14:textFill>
                  <w14:solidFill>
                    <w14:srgbClr w14:val="000000">
                      <w14:alpha w14:val="100000"/>
                    </w14:srgbClr>
                  </w14:solidFill>
                </w14:textFill>
              </w:rPr>
              <w:t xml:space="preserve">　</w:t>
            </w:r>
            <w:r w:rsidR="00F85CFA" w:rsidRPr="00350596">
              <w:rPr>
                <w:rFonts w:ascii="Arial Narrow" w:eastAsiaTheme="majorEastAsia" w:hAnsi="Arial Narrow" w:cstheme="majorBidi"/>
                <w:bCs/>
                <w:sz w:val="20"/>
              </w:rPr>
              <w:t>%</w:t>
            </w:r>
          </w:p>
        </w:tc>
        <w:tc>
          <w:tcPr>
            <w:tcW w:w="1059" w:type="dxa"/>
            <w:vAlign w:val="center"/>
          </w:tcPr>
          <w:p w14:paraId="138CA958" w14:textId="61EA974D" w:rsidR="00F85CFA" w:rsidRPr="00350596" w:rsidRDefault="00823FDB" w:rsidP="00104A28">
            <w:pPr>
              <w:keepNext/>
              <w:jc w:val="center"/>
              <w:rPr>
                <w:rFonts w:ascii="Arial Narrow" w:eastAsiaTheme="majorEastAsia" w:hAnsi="Arial Narrow" w:cstheme="majorBidi"/>
                <w:bCs/>
                <w:sz w:val="20"/>
              </w:rPr>
            </w:pPr>
            <w:r w:rsidRPr="00823FDB">
              <w:rPr>
                <w:rFonts w:ascii="Arial Narrow" w:eastAsiaTheme="majorEastAsia" w:hAnsi="Arial Narrow" w:cstheme="majorBidi" w:hint="eastAsia"/>
                <w:bCs/>
                <w:color w:val="000000"/>
                <w:w w:val="28"/>
                <w:sz w:val="20"/>
                <w:shd w:val="solid" w:color="000000" w:fill="000000"/>
                <w:fitText w:val="125" w:id="-69179620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8"/>
                <w:sz w:val="20"/>
                <w:shd w:val="solid" w:color="000000" w:fill="000000"/>
                <w:fitText w:val="125" w:id="-69179620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8"/>
                <w:sz w:val="20"/>
                <w:shd w:val="solid" w:color="000000" w:fill="000000"/>
                <w:fitText w:val="125" w:id="-691796209"/>
                <w14:textFill>
                  <w14:solidFill>
                    <w14:srgbClr w14:val="000000">
                      <w14:alpha w14:val="100000"/>
                    </w14:srgbClr>
                  </w14:solidFill>
                </w14:textFill>
              </w:rPr>
              <w:t xml:space="preserve">　</w:t>
            </w:r>
            <w:r w:rsidR="00F85CFA" w:rsidRPr="00350596">
              <w:rPr>
                <w:rFonts w:ascii="Arial Narrow" w:eastAsiaTheme="majorEastAsia" w:hAnsi="Arial Narrow" w:cstheme="majorBidi"/>
                <w:bCs/>
                <w:sz w:val="20"/>
              </w:rPr>
              <w:t>%</w:t>
            </w:r>
          </w:p>
        </w:tc>
        <w:tc>
          <w:tcPr>
            <w:tcW w:w="1060" w:type="dxa"/>
            <w:vAlign w:val="center"/>
          </w:tcPr>
          <w:p w14:paraId="16495509" w14:textId="601046C4" w:rsidR="00F85CFA" w:rsidRPr="00350596" w:rsidRDefault="00823FDB" w:rsidP="00104A28">
            <w:pPr>
              <w:keepNext/>
              <w:jc w:val="center"/>
              <w:rPr>
                <w:rFonts w:ascii="Arial Narrow" w:eastAsiaTheme="majorEastAsia" w:hAnsi="Arial Narrow"/>
                <w:bCs/>
                <w:sz w:val="20"/>
              </w:rPr>
            </w:pPr>
            <w:r w:rsidRPr="00823FDB">
              <w:rPr>
                <w:rFonts w:ascii="Arial Narrow" w:eastAsiaTheme="majorEastAsia" w:hAnsi="Arial Narrow" w:hint="eastAsia"/>
                <w:bCs/>
                <w:color w:val="000000"/>
                <w:w w:val="25"/>
                <w:sz w:val="20"/>
                <w:shd w:val="solid" w:color="000000" w:fill="000000"/>
                <w:fitText w:val="112" w:id="-691796208"/>
                <w14:textFill>
                  <w14:solidFill>
                    <w14:srgbClr w14:val="000000">
                      <w14:alpha w14:val="100000"/>
                    </w14:srgbClr>
                  </w14:solidFill>
                </w14:textFill>
              </w:rPr>
              <w:t xml:space="preserve">　</w:t>
            </w:r>
            <w:r w:rsidRPr="00823FDB">
              <w:rPr>
                <w:rFonts w:ascii="Arial Narrow" w:eastAsiaTheme="majorEastAsia" w:hAnsi="Arial Narrow"/>
                <w:bCs/>
                <w:color w:val="000000"/>
                <w:w w:val="25"/>
                <w:sz w:val="20"/>
                <w:shd w:val="solid" w:color="000000" w:fill="000000"/>
                <w:fitText w:val="112" w:id="-691796208"/>
                <w14:textFill>
                  <w14:solidFill>
                    <w14:srgbClr w14:val="000000">
                      <w14:alpha w14:val="100000"/>
                    </w14:srgbClr>
                  </w14:solidFill>
                </w14:textFill>
              </w:rPr>
              <w:t>|</w:t>
            </w:r>
            <w:r w:rsidRPr="00823FDB">
              <w:rPr>
                <w:rFonts w:ascii="Arial Narrow" w:eastAsiaTheme="majorEastAsia" w:hAnsi="Arial Narrow" w:hint="eastAsia"/>
                <w:bCs/>
                <w:color w:val="000000"/>
                <w:spacing w:val="1"/>
                <w:w w:val="25"/>
                <w:sz w:val="20"/>
                <w:shd w:val="solid" w:color="000000" w:fill="000000"/>
                <w:fitText w:val="112" w:id="-691796208"/>
                <w14:textFill>
                  <w14:solidFill>
                    <w14:srgbClr w14:val="000000">
                      <w14:alpha w14:val="100000"/>
                    </w14:srgbClr>
                  </w14:solidFill>
                </w14:textFill>
              </w:rPr>
              <w:t xml:space="preserve">　</w:t>
            </w:r>
            <w:r w:rsidR="00F85CFA" w:rsidRPr="00350596">
              <w:rPr>
                <w:rFonts w:ascii="Arial Narrow" w:eastAsiaTheme="majorEastAsia" w:hAnsi="Arial Narrow"/>
                <w:bCs/>
                <w:sz w:val="20"/>
              </w:rPr>
              <w:t>%</w:t>
            </w:r>
          </w:p>
        </w:tc>
      </w:tr>
      <w:tr w:rsidR="00F85CFA" w:rsidRPr="00350596" w14:paraId="73010C81" w14:textId="77777777" w:rsidTr="00104A28">
        <w:tc>
          <w:tcPr>
            <w:tcW w:w="2711" w:type="dxa"/>
            <w:vAlign w:val="center"/>
          </w:tcPr>
          <w:p w14:paraId="151E1604"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Patients using newer agents</w:t>
            </w:r>
          </w:p>
        </w:tc>
        <w:tc>
          <w:tcPr>
            <w:tcW w:w="1059" w:type="dxa"/>
          </w:tcPr>
          <w:p w14:paraId="3E3F57E4" w14:textId="49310AE3"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7"/>
                <w:sz w:val="20"/>
                <w:shd w:val="solid" w:color="000000" w:fill="000000"/>
                <w:fitText w:val="76" w:id="-691796224"/>
                <w14:textFill>
                  <w14:solidFill>
                    <w14:srgbClr w14:val="000000">
                      <w14:alpha w14:val="100000"/>
                    </w14:srgbClr>
                  </w14:solidFill>
                </w14:textFill>
              </w:rPr>
              <w:t xml:space="preserve">　</w:t>
            </w:r>
            <w:r w:rsidRPr="00823FDB">
              <w:rPr>
                <w:rFonts w:ascii="Arial Narrow" w:eastAsiaTheme="majorEastAsia" w:hAnsi="Arial Narrow"/>
                <w:bCs/>
                <w:color w:val="000000"/>
                <w:w w:val="17"/>
                <w:sz w:val="20"/>
                <w:shd w:val="solid" w:color="000000" w:fill="000000"/>
                <w:fitText w:val="76" w:id="-691796224"/>
                <w14:textFill>
                  <w14:solidFill>
                    <w14:srgbClr w14:val="000000">
                      <w14:alpha w14:val="100000"/>
                    </w14:srgbClr>
                  </w14:solidFill>
                </w14:textFill>
              </w:rPr>
              <w:t>|</w:t>
            </w:r>
            <w:r w:rsidRPr="00823FDB">
              <w:rPr>
                <w:rFonts w:ascii="Arial Narrow" w:eastAsiaTheme="majorEastAsia" w:hAnsi="Arial Narrow" w:hint="eastAsia"/>
                <w:bCs/>
                <w:color w:val="000000"/>
                <w:spacing w:val="3"/>
                <w:w w:val="17"/>
                <w:sz w:val="20"/>
                <w:shd w:val="solid" w:color="000000" w:fill="000000"/>
                <w:fitText w:val="76" w:id="-691796224"/>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tcPr>
          <w:p w14:paraId="1F1BA7C3" w14:textId="3924BFE7"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3"/>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3"/>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3"/>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tcPr>
          <w:p w14:paraId="02FFA6D4" w14:textId="10615CB4"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2"/>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2"/>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2"/>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tcPr>
          <w:p w14:paraId="24AFD554" w14:textId="0D90C6AE"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1"/>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1"/>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1"/>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tcPr>
          <w:p w14:paraId="0897C7D8" w14:textId="3EC3B737"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0"/>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0"/>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0"/>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60" w:type="dxa"/>
          </w:tcPr>
          <w:p w14:paraId="41DA6928" w14:textId="79277F11"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9"/>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9"/>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9"/>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r>
      <w:tr w:rsidR="00F85CFA" w:rsidRPr="00350596" w14:paraId="67C69854" w14:textId="77777777" w:rsidTr="00104A28">
        <w:tc>
          <w:tcPr>
            <w:tcW w:w="2711" w:type="dxa"/>
            <w:vAlign w:val="center"/>
          </w:tcPr>
          <w:p w14:paraId="0A499D10" w14:textId="71B39DE4" w:rsidR="00F85CFA" w:rsidRPr="00350596" w:rsidRDefault="00F85CFA" w:rsidP="00104A28">
            <w:pPr>
              <w:keepNext/>
              <w:jc w:val="left"/>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 xml:space="preserve">Market uptake for </w:t>
            </w:r>
            <w:r w:rsidR="008A34A5" w:rsidRPr="00350596">
              <w:rPr>
                <w:rFonts w:ascii="Arial Narrow" w:eastAsiaTheme="majorEastAsia" w:hAnsi="Arial Narrow" w:cstheme="majorBidi"/>
                <w:sz w:val="20"/>
                <w:szCs w:val="20"/>
              </w:rPr>
              <w:t>FcRn</w:t>
            </w:r>
            <w:r w:rsidRPr="00350596">
              <w:rPr>
                <w:rFonts w:ascii="Arial Narrow" w:eastAsiaTheme="majorEastAsia" w:hAnsi="Arial Narrow" w:cstheme="majorBidi"/>
                <w:sz w:val="20"/>
                <w:szCs w:val="20"/>
              </w:rPr>
              <w:t xml:space="preserve"> blockers (</w:t>
            </w:r>
            <w:r w:rsidR="00823FDB" w:rsidRPr="00823FDB">
              <w:rPr>
                <w:rFonts w:ascii="Arial Narrow" w:eastAsiaTheme="majorEastAsia" w:hAnsi="Arial Narrow" w:cstheme="majorBidi"/>
                <w:color w:val="000000"/>
                <w:spacing w:val="51"/>
                <w:sz w:val="20"/>
                <w:szCs w:val="20"/>
                <w:shd w:val="solid" w:color="000000" w:fill="000000"/>
                <w:fitText w:val="326" w:id="-691796218"/>
                <w14:textFill>
                  <w14:solidFill>
                    <w14:srgbClr w14:val="000000">
                      <w14:alpha w14:val="100000"/>
                    </w14:srgbClr>
                  </w14:solidFill>
                </w14:textFill>
              </w:rPr>
              <w:t>|||</w:t>
            </w:r>
            <w:r w:rsidR="00823FDB" w:rsidRPr="00823FDB">
              <w:rPr>
                <w:rFonts w:ascii="Arial Narrow" w:eastAsiaTheme="majorEastAsia" w:hAnsi="Arial Narrow" w:cstheme="majorBidi"/>
                <w:color w:val="000000"/>
                <w:spacing w:val="3"/>
                <w:sz w:val="20"/>
                <w:szCs w:val="20"/>
                <w:shd w:val="solid" w:color="000000" w:fill="000000"/>
                <w:fitText w:val="326" w:id="-691796218"/>
                <w14:textFill>
                  <w14:solidFill>
                    <w14:srgbClr w14:val="000000">
                      <w14:alpha w14:val="100000"/>
                    </w14:srgbClr>
                  </w14:solidFill>
                </w14:textFill>
              </w:rPr>
              <w:t>|</w:t>
            </w:r>
            <w:r w:rsidRPr="00350596">
              <w:rPr>
                <w:rFonts w:ascii="Arial Narrow" w:eastAsiaTheme="majorEastAsia" w:hAnsi="Arial Narrow" w:cstheme="majorBidi"/>
                <w:sz w:val="20"/>
                <w:szCs w:val="20"/>
              </w:rPr>
              <w:t>%)</w:t>
            </w:r>
          </w:p>
        </w:tc>
        <w:tc>
          <w:tcPr>
            <w:tcW w:w="1059" w:type="dxa"/>
            <w:vAlign w:val="center"/>
          </w:tcPr>
          <w:p w14:paraId="451B2D61" w14:textId="2DF3EA2E"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7"/>
                <w:sz w:val="20"/>
                <w:shd w:val="solid" w:color="000000" w:fill="000000"/>
                <w:fitText w:val="76" w:id="-691796217"/>
                <w14:textFill>
                  <w14:solidFill>
                    <w14:srgbClr w14:val="000000">
                      <w14:alpha w14:val="100000"/>
                    </w14:srgbClr>
                  </w14:solidFill>
                </w14:textFill>
              </w:rPr>
              <w:t xml:space="preserve">　</w:t>
            </w:r>
            <w:r w:rsidRPr="00823FDB">
              <w:rPr>
                <w:rFonts w:ascii="Arial Narrow" w:eastAsiaTheme="majorEastAsia" w:hAnsi="Arial Narrow"/>
                <w:bCs/>
                <w:color w:val="000000"/>
                <w:w w:val="17"/>
                <w:sz w:val="20"/>
                <w:shd w:val="solid" w:color="000000" w:fill="000000"/>
                <w:fitText w:val="76" w:id="-691796217"/>
                <w14:textFill>
                  <w14:solidFill>
                    <w14:srgbClr w14:val="000000">
                      <w14:alpha w14:val="100000"/>
                    </w14:srgbClr>
                  </w14:solidFill>
                </w14:textFill>
              </w:rPr>
              <w:t>|</w:t>
            </w:r>
            <w:r w:rsidRPr="00823FDB">
              <w:rPr>
                <w:rFonts w:ascii="Arial Narrow" w:eastAsiaTheme="majorEastAsia" w:hAnsi="Arial Narrow" w:hint="eastAsia"/>
                <w:bCs/>
                <w:color w:val="000000"/>
                <w:spacing w:val="3"/>
                <w:w w:val="17"/>
                <w:sz w:val="20"/>
                <w:shd w:val="solid" w:color="000000" w:fill="000000"/>
                <w:fitText w:val="76" w:id="-691796217"/>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3EA8AF6A" w14:textId="05B3F782"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6"/>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6"/>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6"/>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685E52CB" w14:textId="7F0C8040"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5"/>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5"/>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5"/>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059B150F" w14:textId="55ACF74E"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4"/>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4"/>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4"/>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298395BA" w14:textId="08261CC6"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3"/>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3"/>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3"/>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3813B9AB" w14:textId="45DB3E2B"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2"/>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2"/>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2"/>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r>
      <w:tr w:rsidR="00F85CFA" w:rsidRPr="00350596" w14:paraId="38D99678" w14:textId="77777777" w:rsidTr="00104A28">
        <w:tc>
          <w:tcPr>
            <w:tcW w:w="2711" w:type="dxa"/>
            <w:vAlign w:val="center"/>
          </w:tcPr>
          <w:p w14:paraId="48CECC18" w14:textId="55CAFE80"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Treated with efgartigimod (</w:t>
            </w:r>
            <w:r w:rsidR="00823FDB" w:rsidRPr="00823FDB">
              <w:rPr>
                <w:rFonts w:ascii="Arial Narrow" w:eastAsiaTheme="majorEastAsia" w:hAnsi="Arial Narrow" w:cstheme="majorBidi"/>
                <w:color w:val="000000"/>
                <w:spacing w:val="51"/>
                <w:sz w:val="20"/>
                <w:shd w:val="solid" w:color="000000" w:fill="000000"/>
                <w:fitText w:val="326" w:id="-691796211"/>
                <w14:textFill>
                  <w14:solidFill>
                    <w14:srgbClr w14:val="000000">
                      <w14:alpha w14:val="100000"/>
                    </w14:srgbClr>
                  </w14:solidFill>
                </w14:textFill>
              </w:rPr>
              <w:t>|||</w:t>
            </w:r>
            <w:r w:rsidR="00823FDB" w:rsidRPr="00823FDB">
              <w:rPr>
                <w:rFonts w:ascii="Arial Narrow" w:eastAsiaTheme="majorEastAsia" w:hAnsi="Arial Narrow" w:cstheme="majorBidi"/>
                <w:color w:val="000000"/>
                <w:spacing w:val="3"/>
                <w:sz w:val="20"/>
                <w:shd w:val="solid" w:color="000000" w:fill="000000"/>
                <w:fitText w:val="326" w:id="-691796211"/>
                <w14:textFill>
                  <w14:solidFill>
                    <w14:srgbClr w14:val="000000">
                      <w14:alpha w14:val="100000"/>
                    </w14:srgbClr>
                  </w14:solidFill>
                </w14:textFill>
              </w:rPr>
              <w:t>|</w:t>
            </w:r>
            <w:r w:rsidRPr="00350596">
              <w:rPr>
                <w:rFonts w:ascii="Arial Narrow" w:eastAsiaTheme="majorEastAsia" w:hAnsi="Arial Narrow" w:cstheme="majorBidi"/>
                <w:bCs/>
                <w:sz w:val="20"/>
              </w:rPr>
              <w:t>%)</w:t>
            </w:r>
          </w:p>
        </w:tc>
        <w:tc>
          <w:tcPr>
            <w:tcW w:w="1059" w:type="dxa"/>
          </w:tcPr>
          <w:p w14:paraId="40789F0B" w14:textId="7EB5A1A9"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7"/>
                <w:sz w:val="20"/>
                <w:shd w:val="solid" w:color="000000" w:fill="000000"/>
                <w:fitText w:val="76" w:id="-691796210"/>
                <w14:textFill>
                  <w14:solidFill>
                    <w14:srgbClr w14:val="000000">
                      <w14:alpha w14:val="100000"/>
                    </w14:srgbClr>
                  </w14:solidFill>
                </w14:textFill>
              </w:rPr>
              <w:t xml:space="preserve">　</w:t>
            </w:r>
            <w:r w:rsidRPr="00823FDB">
              <w:rPr>
                <w:rFonts w:ascii="Arial Narrow" w:eastAsiaTheme="majorEastAsia" w:hAnsi="Arial Narrow"/>
                <w:bCs/>
                <w:color w:val="000000"/>
                <w:w w:val="17"/>
                <w:sz w:val="20"/>
                <w:shd w:val="solid" w:color="000000" w:fill="000000"/>
                <w:fitText w:val="76" w:id="-691796210"/>
                <w14:textFill>
                  <w14:solidFill>
                    <w14:srgbClr w14:val="000000">
                      <w14:alpha w14:val="100000"/>
                    </w14:srgbClr>
                  </w14:solidFill>
                </w14:textFill>
              </w:rPr>
              <w:t>|</w:t>
            </w:r>
            <w:r w:rsidRPr="00823FDB">
              <w:rPr>
                <w:rFonts w:ascii="Arial Narrow" w:eastAsiaTheme="majorEastAsia" w:hAnsi="Arial Narrow" w:hint="eastAsia"/>
                <w:bCs/>
                <w:color w:val="000000"/>
                <w:spacing w:val="3"/>
                <w:w w:val="17"/>
                <w:sz w:val="20"/>
                <w:shd w:val="solid" w:color="000000" w:fill="000000"/>
                <w:fitText w:val="76" w:id="-691796210"/>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tcPr>
          <w:p w14:paraId="6E7A392B" w14:textId="1B184E86"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0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0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09"/>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tcPr>
          <w:p w14:paraId="61F00E18" w14:textId="4920888A"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0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0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08"/>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tcPr>
          <w:p w14:paraId="5159A913" w14:textId="1B146042"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4"/>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4"/>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4"/>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tcPr>
          <w:p w14:paraId="77B82F7E" w14:textId="5A4BB514"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3"/>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3"/>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3"/>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tcPr>
          <w:p w14:paraId="7002DCB2" w14:textId="1A4FDA64"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22"/>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22"/>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22"/>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r>
      <w:tr w:rsidR="00F85CFA" w:rsidRPr="00350596" w14:paraId="0E802B70" w14:textId="77777777" w:rsidTr="00104A28">
        <w:tc>
          <w:tcPr>
            <w:tcW w:w="2711" w:type="dxa"/>
            <w:vAlign w:val="center"/>
          </w:tcPr>
          <w:p w14:paraId="0E6E5289"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Grandfathered patients using efgartigimod</w:t>
            </w:r>
          </w:p>
        </w:tc>
        <w:tc>
          <w:tcPr>
            <w:tcW w:w="1059" w:type="dxa"/>
            <w:vAlign w:val="center"/>
          </w:tcPr>
          <w:p w14:paraId="39611C8C" w14:textId="46F76D4F"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7"/>
                <w:sz w:val="20"/>
                <w:shd w:val="solid" w:color="000000" w:fill="000000"/>
                <w:fitText w:val="76" w:id="-691796221"/>
                <w14:textFill>
                  <w14:solidFill>
                    <w14:srgbClr w14:val="000000">
                      <w14:alpha w14:val="100000"/>
                    </w14:srgbClr>
                  </w14:solidFill>
                </w14:textFill>
              </w:rPr>
              <w:t xml:space="preserve">　</w:t>
            </w:r>
            <w:r w:rsidRPr="00823FDB">
              <w:rPr>
                <w:rFonts w:ascii="Arial Narrow" w:eastAsiaTheme="majorEastAsia" w:hAnsi="Arial Narrow"/>
                <w:bCs/>
                <w:color w:val="000000"/>
                <w:w w:val="17"/>
                <w:sz w:val="20"/>
                <w:shd w:val="solid" w:color="000000" w:fill="000000"/>
                <w:fitText w:val="76" w:id="-691796221"/>
                <w14:textFill>
                  <w14:solidFill>
                    <w14:srgbClr w14:val="000000">
                      <w14:alpha w14:val="100000"/>
                    </w14:srgbClr>
                  </w14:solidFill>
                </w14:textFill>
              </w:rPr>
              <w:t>|</w:t>
            </w:r>
            <w:r w:rsidRPr="00823FDB">
              <w:rPr>
                <w:rFonts w:ascii="Arial Narrow" w:eastAsiaTheme="majorEastAsia" w:hAnsi="Arial Narrow" w:hint="eastAsia"/>
                <w:bCs/>
                <w:color w:val="000000"/>
                <w:spacing w:val="3"/>
                <w:w w:val="17"/>
                <w:sz w:val="20"/>
                <w:shd w:val="solid" w:color="000000" w:fill="000000"/>
                <w:fitText w:val="76" w:id="-691796221"/>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5D910B56" w14:textId="570F476C"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0"/>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0"/>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0"/>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206CD256" w14:textId="36E5A32A"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9"/>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09CDFCE5" w14:textId="1A62909B"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8"/>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3E6B93E4" w14:textId="2FD84A74"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7"/>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7"/>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7"/>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40155C3B" w14:textId="235B6B10"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6"/>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6"/>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6"/>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r>
      <w:tr w:rsidR="00F85CFA" w:rsidRPr="00350596" w14:paraId="4FDF9C8D" w14:textId="77777777" w:rsidTr="00104A28">
        <w:tc>
          <w:tcPr>
            <w:tcW w:w="2711" w:type="dxa"/>
            <w:vAlign w:val="center"/>
          </w:tcPr>
          <w:p w14:paraId="660F1FA8"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Total patients treated with efgartigimod</w:t>
            </w:r>
          </w:p>
        </w:tc>
        <w:tc>
          <w:tcPr>
            <w:tcW w:w="1059" w:type="dxa"/>
            <w:vAlign w:val="center"/>
          </w:tcPr>
          <w:p w14:paraId="6D3E642B" w14:textId="70B27E68"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7"/>
                <w:sz w:val="20"/>
                <w:shd w:val="solid" w:color="000000" w:fill="000000"/>
                <w:fitText w:val="76" w:id="-691796215"/>
                <w14:textFill>
                  <w14:solidFill>
                    <w14:srgbClr w14:val="000000">
                      <w14:alpha w14:val="100000"/>
                    </w14:srgbClr>
                  </w14:solidFill>
                </w14:textFill>
              </w:rPr>
              <w:t xml:space="preserve">　</w:t>
            </w:r>
            <w:r w:rsidRPr="00823FDB">
              <w:rPr>
                <w:rFonts w:ascii="Arial Narrow" w:eastAsiaTheme="majorEastAsia" w:hAnsi="Arial Narrow"/>
                <w:bCs/>
                <w:color w:val="000000"/>
                <w:w w:val="17"/>
                <w:sz w:val="20"/>
                <w:shd w:val="solid" w:color="000000" w:fill="000000"/>
                <w:fitText w:val="76" w:id="-691796215"/>
                <w14:textFill>
                  <w14:solidFill>
                    <w14:srgbClr w14:val="000000">
                      <w14:alpha w14:val="100000"/>
                    </w14:srgbClr>
                  </w14:solidFill>
                </w14:textFill>
              </w:rPr>
              <w:t>|</w:t>
            </w:r>
            <w:r w:rsidRPr="00823FDB">
              <w:rPr>
                <w:rFonts w:ascii="Arial Narrow" w:eastAsiaTheme="majorEastAsia" w:hAnsi="Arial Narrow" w:hint="eastAsia"/>
                <w:bCs/>
                <w:color w:val="000000"/>
                <w:spacing w:val="3"/>
                <w:w w:val="17"/>
                <w:sz w:val="20"/>
                <w:shd w:val="solid" w:color="000000" w:fill="000000"/>
                <w:fitText w:val="76" w:id="-691796215"/>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0D95B44B" w14:textId="4B97F55A"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4"/>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4"/>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4"/>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43325FA9" w14:textId="6A8C64BC"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3"/>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3"/>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3"/>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7E8CBBFE" w14:textId="7ABD511A"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2"/>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2"/>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2"/>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78150B29" w14:textId="7F539E38"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1"/>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1"/>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1"/>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5A5A28E4" w14:textId="64AC78A2"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hint="eastAsia"/>
                <w:bCs/>
                <w:color w:val="000000"/>
                <w:w w:val="16"/>
                <w:sz w:val="20"/>
                <w:shd w:val="solid" w:color="000000" w:fill="000000"/>
                <w:fitText w:val="75" w:id="-691796210"/>
                <w14:textFill>
                  <w14:solidFill>
                    <w14:srgbClr w14:val="000000">
                      <w14:alpha w14:val="100000"/>
                    </w14:srgbClr>
                  </w14:solidFill>
                </w14:textFill>
              </w:rPr>
              <w:t xml:space="preserve">　</w:t>
            </w:r>
            <w:r w:rsidRPr="00823FDB">
              <w:rPr>
                <w:rFonts w:ascii="Arial Narrow" w:eastAsiaTheme="majorEastAsia" w:hAnsi="Arial Narrow"/>
                <w:bCs/>
                <w:color w:val="000000"/>
                <w:w w:val="16"/>
                <w:sz w:val="20"/>
                <w:shd w:val="solid" w:color="000000" w:fill="000000"/>
                <w:fitText w:val="75" w:id="-691796210"/>
                <w14:textFill>
                  <w14:solidFill>
                    <w14:srgbClr w14:val="000000">
                      <w14:alpha w14:val="100000"/>
                    </w14:srgbClr>
                  </w14:solidFill>
                </w14:textFill>
              </w:rPr>
              <w:t>|</w:t>
            </w:r>
            <w:r w:rsidRPr="00823FDB">
              <w:rPr>
                <w:rFonts w:ascii="Arial Narrow" w:eastAsiaTheme="majorEastAsia" w:hAnsi="Arial Narrow" w:hint="eastAsia"/>
                <w:bCs/>
                <w:color w:val="000000"/>
                <w:spacing w:val="5"/>
                <w:w w:val="16"/>
                <w:sz w:val="20"/>
                <w:shd w:val="solid" w:color="000000" w:fill="000000"/>
                <w:fitText w:val="75" w:id="-691796210"/>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r>
      <w:tr w:rsidR="00F85CFA" w:rsidRPr="00350596" w14:paraId="11B6B0FB" w14:textId="77777777" w:rsidTr="00104A28">
        <w:tc>
          <w:tcPr>
            <w:tcW w:w="2711" w:type="dxa"/>
            <w:vAlign w:val="center"/>
          </w:tcPr>
          <w:p w14:paraId="5085B260" w14:textId="77777777" w:rsidR="00F85CFA" w:rsidRPr="00350596" w:rsidRDefault="00F85CFA" w:rsidP="00104A28">
            <w:pPr>
              <w:keepNext/>
              <w:jc w:val="left"/>
              <w:rPr>
                <w:rFonts w:ascii="Arial Narrow" w:eastAsiaTheme="majorEastAsia" w:hAnsi="Arial Narrow" w:cstheme="majorBidi"/>
                <w:sz w:val="20"/>
                <w:szCs w:val="20"/>
                <w:vertAlign w:val="superscript"/>
              </w:rPr>
            </w:pPr>
            <w:r w:rsidRPr="00350596">
              <w:rPr>
                <w:rFonts w:ascii="Arial Narrow" w:eastAsiaTheme="majorEastAsia" w:hAnsi="Arial Narrow" w:cstheme="majorBidi"/>
                <w:sz w:val="20"/>
                <w:szCs w:val="20"/>
              </w:rPr>
              <w:t>Patient years of treatment (adjusted for uptake throughout year)</w:t>
            </w:r>
            <w:r w:rsidRPr="00350596">
              <w:rPr>
                <w:rFonts w:ascii="Arial Narrow" w:eastAsiaTheme="majorEastAsia" w:hAnsi="Arial Narrow" w:cstheme="majorBidi"/>
                <w:sz w:val="20"/>
                <w:szCs w:val="20"/>
                <w:vertAlign w:val="superscript"/>
              </w:rPr>
              <w:t>b</w:t>
            </w:r>
          </w:p>
        </w:tc>
        <w:tc>
          <w:tcPr>
            <w:tcW w:w="1059" w:type="dxa"/>
            <w:vAlign w:val="center"/>
          </w:tcPr>
          <w:p w14:paraId="3418EEF5" w14:textId="10DCB6A1"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7"/>
                <w:sz w:val="20"/>
                <w:shd w:val="solid" w:color="000000" w:fill="000000"/>
                <w:fitText w:val="76" w:id="-69179620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7"/>
                <w:sz w:val="20"/>
                <w:shd w:val="solid" w:color="000000" w:fill="000000"/>
                <w:fitText w:val="76" w:id="-69179620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17"/>
                <w:sz w:val="20"/>
                <w:shd w:val="solid" w:color="000000" w:fill="000000"/>
                <w:fitText w:val="76" w:id="-691796209"/>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3B93FDED" w14:textId="3B97D21B"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0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0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08"/>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37814D88" w14:textId="7000B9AE"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4"/>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4"/>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4"/>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76882B7A" w14:textId="3E600506"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3"/>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3"/>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3"/>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59" w:type="dxa"/>
            <w:vAlign w:val="center"/>
          </w:tcPr>
          <w:p w14:paraId="60F8D5B0" w14:textId="4E6189C2"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2"/>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2"/>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2"/>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c>
          <w:tcPr>
            <w:tcW w:w="1060" w:type="dxa"/>
            <w:vAlign w:val="center"/>
          </w:tcPr>
          <w:p w14:paraId="452AB035" w14:textId="3E01D908"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21"/>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21"/>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21"/>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2</w:t>
            </w:r>
          </w:p>
        </w:tc>
      </w:tr>
      <w:tr w:rsidR="00F85CFA" w:rsidRPr="00350596" w14:paraId="5A2D7FCF" w14:textId="77777777" w:rsidTr="00104A28">
        <w:tc>
          <w:tcPr>
            <w:tcW w:w="2711" w:type="dxa"/>
            <w:vAlign w:val="center"/>
          </w:tcPr>
          <w:p w14:paraId="28B04ADA" w14:textId="56157784"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Vials dispensed per patient year (45.4 vials)</w:t>
            </w:r>
          </w:p>
        </w:tc>
        <w:tc>
          <w:tcPr>
            <w:tcW w:w="1059" w:type="dxa"/>
            <w:vAlign w:val="center"/>
          </w:tcPr>
          <w:p w14:paraId="0E34537B" w14:textId="730EB390"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7"/>
                <w:sz w:val="20"/>
                <w:shd w:val="solid" w:color="000000" w:fill="000000"/>
                <w:fitText w:val="76" w:id="-691796220"/>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7"/>
                <w:sz w:val="20"/>
                <w:shd w:val="solid" w:color="000000" w:fill="000000"/>
                <w:fitText w:val="76" w:id="-691796220"/>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17"/>
                <w:sz w:val="20"/>
                <w:shd w:val="solid" w:color="000000" w:fill="000000"/>
                <w:fitText w:val="76" w:id="-691796220"/>
                <w14:textFill>
                  <w14:solidFill>
                    <w14:srgbClr w14:val="000000">
                      <w14:alpha w14:val="100000"/>
                    </w14:srgbClr>
                  </w14:solidFill>
                </w14:textFill>
              </w:rPr>
              <w:t xml:space="preserve">　</w:t>
            </w:r>
            <w:r w:rsidR="009551DB" w:rsidRPr="00350596">
              <w:rPr>
                <w:rFonts w:ascii="Arial Narrow" w:eastAsiaTheme="majorEastAsia" w:hAnsi="Arial Narrow"/>
                <w:bCs/>
                <w:sz w:val="20"/>
                <w:vertAlign w:val="superscript"/>
              </w:rPr>
              <w:t>1</w:t>
            </w:r>
          </w:p>
        </w:tc>
        <w:tc>
          <w:tcPr>
            <w:tcW w:w="1059" w:type="dxa"/>
            <w:vAlign w:val="center"/>
          </w:tcPr>
          <w:p w14:paraId="087357B3" w14:textId="3241F1BC"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9"/>
                <w14:textFill>
                  <w14:solidFill>
                    <w14:srgbClr w14:val="000000">
                      <w14:alpha w14:val="100000"/>
                    </w14:srgbClr>
                  </w14:solidFill>
                </w14:textFill>
              </w:rPr>
              <w:t xml:space="preserve">　</w:t>
            </w:r>
            <w:r w:rsidR="009551DB" w:rsidRPr="00350596">
              <w:rPr>
                <w:rFonts w:ascii="Arial Narrow" w:eastAsiaTheme="majorEastAsia" w:hAnsi="Arial Narrow" w:cstheme="majorBidi"/>
                <w:bCs/>
                <w:sz w:val="20"/>
                <w:vertAlign w:val="superscript"/>
              </w:rPr>
              <w:t>3</w:t>
            </w:r>
          </w:p>
        </w:tc>
        <w:tc>
          <w:tcPr>
            <w:tcW w:w="1060" w:type="dxa"/>
            <w:vAlign w:val="center"/>
          </w:tcPr>
          <w:p w14:paraId="4BF8227A" w14:textId="2BF61134"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8"/>
                <w14:textFill>
                  <w14:solidFill>
                    <w14:srgbClr w14:val="000000">
                      <w14:alpha w14:val="100000"/>
                    </w14:srgbClr>
                  </w14:solidFill>
                </w14:textFill>
              </w:rPr>
              <w:t xml:space="preserve">　</w:t>
            </w:r>
            <w:r w:rsidR="009551DB" w:rsidRPr="00350596">
              <w:rPr>
                <w:rFonts w:ascii="Arial Narrow" w:eastAsiaTheme="majorEastAsia" w:hAnsi="Arial Narrow" w:cstheme="majorBidi"/>
                <w:bCs/>
                <w:sz w:val="20"/>
                <w:vertAlign w:val="superscript"/>
              </w:rPr>
              <w:t>3</w:t>
            </w:r>
          </w:p>
        </w:tc>
        <w:tc>
          <w:tcPr>
            <w:tcW w:w="1059" w:type="dxa"/>
            <w:vAlign w:val="center"/>
          </w:tcPr>
          <w:p w14:paraId="094F81DC" w14:textId="2E6E1B68"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7"/>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7"/>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7"/>
                <w14:textFill>
                  <w14:solidFill>
                    <w14:srgbClr w14:val="000000">
                      <w14:alpha w14:val="100000"/>
                    </w14:srgbClr>
                  </w14:solidFill>
                </w14:textFill>
              </w:rPr>
              <w:t xml:space="preserve">　</w:t>
            </w:r>
            <w:r w:rsidR="009551DB" w:rsidRPr="00350596">
              <w:rPr>
                <w:rFonts w:ascii="Arial Narrow" w:eastAsiaTheme="majorEastAsia" w:hAnsi="Arial Narrow" w:cstheme="majorBidi"/>
                <w:bCs/>
                <w:sz w:val="20"/>
                <w:vertAlign w:val="superscript"/>
              </w:rPr>
              <w:t>3</w:t>
            </w:r>
          </w:p>
        </w:tc>
        <w:tc>
          <w:tcPr>
            <w:tcW w:w="1059" w:type="dxa"/>
            <w:vAlign w:val="center"/>
          </w:tcPr>
          <w:p w14:paraId="4A3578BD" w14:textId="34D248DE"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6"/>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6"/>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6"/>
                <w14:textFill>
                  <w14:solidFill>
                    <w14:srgbClr w14:val="000000">
                      <w14:alpha w14:val="100000"/>
                    </w14:srgbClr>
                  </w14:solidFill>
                </w14:textFill>
              </w:rPr>
              <w:t xml:space="preserve">　</w:t>
            </w:r>
            <w:r w:rsidR="009551DB" w:rsidRPr="00350596">
              <w:rPr>
                <w:rFonts w:ascii="Arial Narrow" w:eastAsiaTheme="majorEastAsia" w:hAnsi="Arial Narrow" w:cstheme="majorBidi"/>
                <w:bCs/>
                <w:sz w:val="20"/>
                <w:vertAlign w:val="superscript"/>
              </w:rPr>
              <w:t>4</w:t>
            </w:r>
          </w:p>
        </w:tc>
        <w:tc>
          <w:tcPr>
            <w:tcW w:w="1060" w:type="dxa"/>
            <w:vAlign w:val="center"/>
          </w:tcPr>
          <w:p w14:paraId="0065BDC3" w14:textId="00343BDE"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cstheme="majorBidi" w:hint="eastAsia"/>
                <w:bCs/>
                <w:color w:val="000000"/>
                <w:w w:val="16"/>
                <w:sz w:val="20"/>
                <w:shd w:val="solid" w:color="000000" w:fill="000000"/>
                <w:fitText w:val="75" w:id="-691796215"/>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16"/>
                <w:sz w:val="20"/>
                <w:shd w:val="solid" w:color="000000" w:fill="000000"/>
                <w:fitText w:val="75" w:id="-691796215"/>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5"/>
                <w:w w:val="16"/>
                <w:sz w:val="20"/>
                <w:shd w:val="solid" w:color="000000" w:fill="000000"/>
                <w:fitText w:val="75" w:id="-691796215"/>
                <w14:textFill>
                  <w14:solidFill>
                    <w14:srgbClr w14:val="000000">
                      <w14:alpha w14:val="100000"/>
                    </w14:srgbClr>
                  </w14:solidFill>
                </w14:textFill>
              </w:rPr>
              <w:t xml:space="preserve">　</w:t>
            </w:r>
            <w:r w:rsidR="009551DB" w:rsidRPr="00350596">
              <w:rPr>
                <w:rFonts w:ascii="Arial Narrow" w:eastAsiaTheme="majorEastAsia" w:hAnsi="Arial Narrow" w:cstheme="majorBidi"/>
                <w:bCs/>
                <w:sz w:val="20"/>
                <w:vertAlign w:val="superscript"/>
              </w:rPr>
              <w:t>4</w:t>
            </w:r>
          </w:p>
        </w:tc>
      </w:tr>
      <w:tr w:rsidR="00F85CFA" w:rsidRPr="00350596" w14:paraId="5245820B" w14:textId="77777777" w:rsidTr="00104A28">
        <w:tc>
          <w:tcPr>
            <w:tcW w:w="2711" w:type="dxa"/>
            <w:vAlign w:val="center"/>
          </w:tcPr>
          <w:p w14:paraId="1E8D1B38"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
                <w:sz w:val="20"/>
              </w:rPr>
              <w:t>Total PBS/RPBS cost less copay</w:t>
            </w:r>
          </w:p>
        </w:tc>
        <w:tc>
          <w:tcPr>
            <w:tcW w:w="1059" w:type="dxa"/>
            <w:vAlign w:val="center"/>
          </w:tcPr>
          <w:p w14:paraId="2659EE3D" w14:textId="525B9872" w:rsidR="00F85CFA" w:rsidRPr="00350596" w:rsidRDefault="00823FDB" w:rsidP="00104A28">
            <w:pPr>
              <w:keepNext/>
              <w:jc w:val="center"/>
              <w:rPr>
                <w:rFonts w:ascii="Arial Narrow" w:eastAsiaTheme="majorEastAsia" w:hAnsi="Arial Narrow" w:cstheme="majorBidi"/>
                <w:b/>
                <w:sz w:val="20"/>
                <w:highlight w:val="darkGray"/>
              </w:rPr>
            </w:pPr>
            <w:r w:rsidRPr="00823FDB">
              <w:rPr>
                <w:rFonts w:ascii="Arial Narrow" w:eastAsiaTheme="majorEastAsia" w:hAnsi="Arial Narrow" w:cstheme="majorBidi" w:hint="eastAsia"/>
                <w:b/>
                <w:color w:val="000000"/>
                <w:w w:val="27"/>
                <w:sz w:val="20"/>
                <w:shd w:val="solid" w:color="000000" w:fill="000000"/>
                <w:fitText w:val="125" w:id="-691796214"/>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7"/>
                <w:sz w:val="20"/>
                <w:shd w:val="solid" w:color="000000" w:fill="000000"/>
                <w:fitText w:val="125" w:id="-691796214"/>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6"/>
                <w:w w:val="27"/>
                <w:sz w:val="20"/>
                <w:shd w:val="solid" w:color="000000" w:fill="000000"/>
                <w:fitText w:val="125" w:id="-691796214"/>
                <w14:textFill>
                  <w14:solidFill>
                    <w14:srgbClr w14:val="000000">
                      <w14:alpha w14:val="100000"/>
                    </w14:srgbClr>
                  </w14:solidFill>
                </w14:textFill>
              </w:rPr>
              <w:t xml:space="preserve">　</w:t>
            </w:r>
            <w:r w:rsidR="00716707" w:rsidRPr="00350596">
              <w:rPr>
                <w:rFonts w:ascii="Arial Narrow" w:eastAsiaTheme="majorEastAsia" w:hAnsi="Arial Narrow" w:cstheme="majorBidi"/>
                <w:b/>
                <w:sz w:val="20"/>
                <w:vertAlign w:val="superscript"/>
              </w:rPr>
              <w:t>5</w:t>
            </w:r>
          </w:p>
        </w:tc>
        <w:tc>
          <w:tcPr>
            <w:tcW w:w="1059" w:type="dxa"/>
            <w:vAlign w:val="center"/>
          </w:tcPr>
          <w:p w14:paraId="63156B28" w14:textId="115625FA" w:rsidR="00F85CFA" w:rsidRPr="00350596" w:rsidRDefault="00823FDB" w:rsidP="00104A28">
            <w:pPr>
              <w:keepNext/>
              <w:jc w:val="center"/>
              <w:rPr>
                <w:rFonts w:ascii="Arial Narrow" w:eastAsiaTheme="majorEastAsia" w:hAnsi="Arial Narrow" w:cstheme="majorBidi"/>
                <w:b/>
                <w:sz w:val="20"/>
                <w:highlight w:val="darkGray"/>
              </w:rPr>
            </w:pPr>
            <w:r w:rsidRPr="00823FDB">
              <w:rPr>
                <w:rFonts w:ascii="Arial Narrow" w:eastAsiaTheme="majorEastAsia" w:hAnsi="Arial Narrow" w:cstheme="majorBidi" w:hint="eastAsia"/>
                <w:b/>
                <w:color w:val="000000"/>
                <w:w w:val="27"/>
                <w:sz w:val="20"/>
                <w:shd w:val="solid" w:color="000000" w:fill="000000"/>
                <w:fitText w:val="125" w:id="-691796213"/>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7"/>
                <w:sz w:val="20"/>
                <w:shd w:val="solid" w:color="000000" w:fill="000000"/>
                <w:fitText w:val="125" w:id="-691796213"/>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6"/>
                <w:w w:val="27"/>
                <w:sz w:val="20"/>
                <w:shd w:val="solid" w:color="000000" w:fill="000000"/>
                <w:fitText w:val="125" w:id="-691796213"/>
                <w14:textFill>
                  <w14:solidFill>
                    <w14:srgbClr w14:val="000000">
                      <w14:alpha w14:val="100000"/>
                    </w14:srgbClr>
                  </w14:solidFill>
                </w14:textFill>
              </w:rPr>
              <w:t xml:space="preserve">　</w:t>
            </w:r>
            <w:r w:rsidR="00E33D16" w:rsidRPr="00350596">
              <w:rPr>
                <w:rFonts w:ascii="Arial Narrow" w:eastAsiaTheme="majorEastAsia" w:hAnsi="Arial Narrow" w:cstheme="majorBidi"/>
                <w:b/>
                <w:sz w:val="20"/>
                <w:vertAlign w:val="superscript"/>
              </w:rPr>
              <w:t>6</w:t>
            </w:r>
          </w:p>
        </w:tc>
        <w:tc>
          <w:tcPr>
            <w:tcW w:w="1060" w:type="dxa"/>
            <w:vAlign w:val="center"/>
          </w:tcPr>
          <w:p w14:paraId="47BCC4EF" w14:textId="35D43C2F" w:rsidR="00F85CFA" w:rsidRPr="00350596" w:rsidRDefault="00823FDB" w:rsidP="00104A28">
            <w:pPr>
              <w:keepNext/>
              <w:jc w:val="center"/>
              <w:rPr>
                <w:rFonts w:ascii="Arial Narrow" w:eastAsiaTheme="majorEastAsia" w:hAnsi="Arial Narrow" w:cstheme="majorBidi"/>
                <w:b/>
                <w:sz w:val="20"/>
                <w:highlight w:val="darkGray"/>
              </w:rPr>
            </w:pPr>
            <w:r w:rsidRPr="00823FDB">
              <w:rPr>
                <w:rFonts w:ascii="Arial Narrow" w:eastAsiaTheme="majorEastAsia" w:hAnsi="Arial Narrow" w:cstheme="majorBidi" w:hint="eastAsia"/>
                <w:b/>
                <w:color w:val="000000"/>
                <w:w w:val="27"/>
                <w:sz w:val="20"/>
                <w:shd w:val="solid" w:color="000000" w:fill="000000"/>
                <w:fitText w:val="125" w:id="-691796212"/>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7"/>
                <w:sz w:val="20"/>
                <w:shd w:val="solid" w:color="000000" w:fill="000000"/>
                <w:fitText w:val="125" w:id="-691796212"/>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6"/>
                <w:w w:val="27"/>
                <w:sz w:val="20"/>
                <w:shd w:val="solid" w:color="000000" w:fill="000000"/>
                <w:fitText w:val="125" w:id="-691796212"/>
                <w14:textFill>
                  <w14:solidFill>
                    <w14:srgbClr w14:val="000000">
                      <w14:alpha w14:val="100000"/>
                    </w14:srgbClr>
                  </w14:solidFill>
                </w14:textFill>
              </w:rPr>
              <w:t xml:space="preserve">　</w:t>
            </w:r>
            <w:r w:rsidR="00E33D16" w:rsidRPr="00350596">
              <w:rPr>
                <w:rFonts w:ascii="Arial Narrow" w:eastAsiaTheme="majorEastAsia" w:hAnsi="Arial Narrow" w:cstheme="majorBidi"/>
                <w:b/>
                <w:sz w:val="20"/>
                <w:vertAlign w:val="superscript"/>
              </w:rPr>
              <w:t>7</w:t>
            </w:r>
          </w:p>
        </w:tc>
        <w:tc>
          <w:tcPr>
            <w:tcW w:w="1059" w:type="dxa"/>
            <w:vAlign w:val="center"/>
          </w:tcPr>
          <w:p w14:paraId="2FDBD1C7" w14:textId="53890422" w:rsidR="00F85CFA" w:rsidRPr="00350596" w:rsidRDefault="00823FDB" w:rsidP="00104A28">
            <w:pPr>
              <w:keepNext/>
              <w:jc w:val="center"/>
              <w:rPr>
                <w:rFonts w:ascii="Arial Narrow" w:eastAsiaTheme="majorEastAsia" w:hAnsi="Arial Narrow" w:cstheme="majorBidi"/>
                <w:b/>
                <w:sz w:val="20"/>
                <w:highlight w:val="darkGray"/>
              </w:rPr>
            </w:pPr>
            <w:r w:rsidRPr="00823FDB">
              <w:rPr>
                <w:rFonts w:ascii="Arial Narrow" w:eastAsiaTheme="majorEastAsia" w:hAnsi="Arial Narrow" w:cstheme="majorBidi" w:hint="eastAsia"/>
                <w:b/>
                <w:color w:val="000000"/>
                <w:w w:val="28"/>
                <w:sz w:val="20"/>
                <w:shd w:val="solid" w:color="000000" w:fill="000000"/>
                <w:fitText w:val="126" w:id="-691796211"/>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8"/>
                <w:sz w:val="20"/>
                <w:shd w:val="solid" w:color="000000" w:fill="000000"/>
                <w:fitText w:val="126" w:id="-691796211"/>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3"/>
                <w:w w:val="28"/>
                <w:sz w:val="20"/>
                <w:shd w:val="solid" w:color="000000" w:fill="000000"/>
                <w:fitText w:val="126" w:id="-691796211"/>
                <w14:textFill>
                  <w14:solidFill>
                    <w14:srgbClr w14:val="000000">
                      <w14:alpha w14:val="100000"/>
                    </w14:srgbClr>
                  </w14:solidFill>
                </w14:textFill>
              </w:rPr>
              <w:t xml:space="preserve">　</w:t>
            </w:r>
            <w:r w:rsidR="00CF001C" w:rsidRPr="00350596">
              <w:rPr>
                <w:rFonts w:ascii="Arial Narrow" w:eastAsiaTheme="majorEastAsia" w:hAnsi="Arial Narrow" w:cstheme="majorBidi"/>
                <w:b/>
                <w:sz w:val="20"/>
                <w:vertAlign w:val="superscript"/>
              </w:rPr>
              <w:t>8</w:t>
            </w:r>
          </w:p>
        </w:tc>
        <w:tc>
          <w:tcPr>
            <w:tcW w:w="1059" w:type="dxa"/>
            <w:vAlign w:val="center"/>
          </w:tcPr>
          <w:p w14:paraId="1F0B87AD" w14:textId="2F56D0E5" w:rsidR="00F85CFA" w:rsidRPr="00350596" w:rsidRDefault="00823FDB" w:rsidP="00104A28">
            <w:pPr>
              <w:keepNext/>
              <w:jc w:val="center"/>
              <w:rPr>
                <w:rFonts w:ascii="Arial Narrow" w:eastAsiaTheme="majorEastAsia" w:hAnsi="Arial Narrow" w:cstheme="majorBidi"/>
                <w:b/>
                <w:sz w:val="20"/>
                <w:highlight w:val="darkGray"/>
              </w:rPr>
            </w:pPr>
            <w:r w:rsidRPr="00823FDB">
              <w:rPr>
                <w:rFonts w:ascii="Arial Narrow" w:eastAsiaTheme="majorEastAsia" w:hAnsi="Arial Narrow" w:cstheme="majorBidi" w:hint="eastAsia"/>
                <w:b/>
                <w:color w:val="000000"/>
                <w:w w:val="27"/>
                <w:sz w:val="20"/>
                <w:shd w:val="solid" w:color="000000" w:fill="000000"/>
                <w:fitText w:val="125" w:id="-691796210"/>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7"/>
                <w:sz w:val="20"/>
                <w:shd w:val="solid" w:color="000000" w:fill="000000"/>
                <w:fitText w:val="125" w:id="-691796210"/>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6"/>
                <w:w w:val="27"/>
                <w:sz w:val="20"/>
                <w:shd w:val="solid" w:color="000000" w:fill="000000"/>
                <w:fitText w:val="125" w:id="-691796210"/>
                <w14:textFill>
                  <w14:solidFill>
                    <w14:srgbClr w14:val="000000">
                      <w14:alpha w14:val="100000"/>
                    </w14:srgbClr>
                  </w14:solidFill>
                </w14:textFill>
              </w:rPr>
              <w:t xml:space="preserve">　</w:t>
            </w:r>
            <w:r w:rsidR="00CF001C" w:rsidRPr="00350596">
              <w:rPr>
                <w:rFonts w:ascii="Arial Narrow" w:eastAsiaTheme="majorEastAsia" w:hAnsi="Arial Narrow" w:cstheme="majorBidi"/>
                <w:b/>
                <w:sz w:val="20"/>
                <w:vertAlign w:val="superscript"/>
              </w:rPr>
              <w:t>9</w:t>
            </w:r>
          </w:p>
        </w:tc>
        <w:tc>
          <w:tcPr>
            <w:tcW w:w="1060" w:type="dxa"/>
            <w:vAlign w:val="center"/>
          </w:tcPr>
          <w:p w14:paraId="1860BD29" w14:textId="68DA36E4" w:rsidR="00F85CFA" w:rsidRPr="00350596" w:rsidRDefault="00823FDB" w:rsidP="00104A28">
            <w:pPr>
              <w:keepNext/>
              <w:jc w:val="center"/>
              <w:rPr>
                <w:rFonts w:ascii="Arial Narrow" w:eastAsiaTheme="majorEastAsia" w:hAnsi="Arial Narrow" w:cstheme="majorBidi"/>
                <w:b/>
                <w:sz w:val="20"/>
                <w:highlight w:val="darkGray"/>
              </w:rPr>
            </w:pPr>
            <w:r w:rsidRPr="00823FDB">
              <w:rPr>
                <w:rFonts w:ascii="Arial Narrow" w:eastAsiaTheme="majorEastAsia" w:hAnsi="Arial Narrow" w:cstheme="majorBidi" w:hint="eastAsia"/>
                <w:b/>
                <w:color w:val="000000"/>
                <w:w w:val="33"/>
                <w:sz w:val="20"/>
                <w:shd w:val="solid" w:color="000000" w:fill="000000"/>
                <w:fitText w:val="150" w:id="-691796209"/>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33"/>
                <w:sz w:val="20"/>
                <w:shd w:val="solid" w:color="000000" w:fill="000000"/>
                <w:fitText w:val="150" w:id="-691796209"/>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3"/>
                <w:w w:val="33"/>
                <w:sz w:val="20"/>
                <w:shd w:val="solid" w:color="000000" w:fill="000000"/>
                <w:fitText w:val="150" w:id="-691796209"/>
                <w14:textFill>
                  <w14:solidFill>
                    <w14:srgbClr w14:val="000000">
                      <w14:alpha w14:val="100000"/>
                    </w14:srgbClr>
                  </w14:solidFill>
                </w14:textFill>
              </w:rPr>
              <w:t xml:space="preserve">　</w:t>
            </w:r>
            <w:r w:rsidR="00CF001C" w:rsidRPr="00350596">
              <w:rPr>
                <w:rFonts w:ascii="Arial Narrow" w:eastAsiaTheme="majorEastAsia" w:hAnsi="Arial Narrow" w:cstheme="majorBidi"/>
                <w:b/>
                <w:sz w:val="20"/>
                <w:vertAlign w:val="superscript"/>
              </w:rPr>
              <w:t>10</w:t>
            </w:r>
          </w:p>
        </w:tc>
      </w:tr>
      <w:tr w:rsidR="00F85CFA" w:rsidRPr="00350596" w14:paraId="17927F10" w14:textId="77777777" w:rsidTr="00104A28">
        <w:tc>
          <w:tcPr>
            <w:tcW w:w="2711" w:type="dxa"/>
            <w:vAlign w:val="center"/>
          </w:tcPr>
          <w:p w14:paraId="4F9ACA05"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Cost to the PBS </w:t>
            </w:r>
          </w:p>
          <w:p w14:paraId="0044FC7C"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(reduced corticosteroid use)</w:t>
            </w:r>
          </w:p>
        </w:tc>
        <w:tc>
          <w:tcPr>
            <w:tcW w:w="1059" w:type="dxa"/>
            <w:vAlign w:val="center"/>
          </w:tcPr>
          <w:p w14:paraId="7196CC47" w14:textId="57F4402D"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hint="eastAsia"/>
                <w:bCs/>
                <w:color w:val="000000"/>
                <w:w w:val="22"/>
                <w:sz w:val="20"/>
                <w:shd w:val="solid" w:color="000000" w:fill="000000"/>
                <w:fitText w:val="101" w:id="-691796208"/>
                <w14:textFill>
                  <w14:solidFill>
                    <w14:srgbClr w14:val="000000">
                      <w14:alpha w14:val="100000"/>
                    </w14:srgbClr>
                  </w14:solidFill>
                </w14:textFill>
              </w:rPr>
              <w:t xml:space="preserve">　</w:t>
            </w:r>
            <w:r w:rsidRPr="00823FDB">
              <w:rPr>
                <w:rFonts w:ascii="Arial Narrow" w:eastAsiaTheme="majorEastAsia" w:hAnsi="Arial Narrow"/>
                <w:bCs/>
                <w:color w:val="000000"/>
                <w:w w:val="22"/>
                <w:sz w:val="20"/>
                <w:shd w:val="solid" w:color="000000" w:fill="000000"/>
                <w:fitText w:val="101" w:id="-691796208"/>
                <w14:textFill>
                  <w14:solidFill>
                    <w14:srgbClr w14:val="000000">
                      <w14:alpha w14:val="100000"/>
                    </w14:srgbClr>
                  </w14:solidFill>
                </w14:textFill>
              </w:rPr>
              <w:t>|</w:t>
            </w:r>
            <w:r w:rsidRPr="00823FDB">
              <w:rPr>
                <w:rFonts w:ascii="Arial Narrow" w:eastAsiaTheme="majorEastAsia" w:hAnsi="Arial Narrow" w:hint="eastAsia"/>
                <w:bCs/>
                <w:color w:val="000000"/>
                <w:spacing w:val="4"/>
                <w:w w:val="22"/>
                <w:sz w:val="20"/>
                <w:shd w:val="solid" w:color="000000" w:fill="000000"/>
                <w:fitText w:val="101" w:id="-691796208"/>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4127B894" w14:textId="02332D08"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hint="eastAsia"/>
                <w:bCs/>
                <w:color w:val="000000"/>
                <w:w w:val="22"/>
                <w:sz w:val="20"/>
                <w:shd w:val="solid" w:color="000000" w:fill="000000"/>
                <w:fitText w:val="100" w:id="-691796224"/>
                <w14:textFill>
                  <w14:solidFill>
                    <w14:srgbClr w14:val="000000">
                      <w14:alpha w14:val="100000"/>
                    </w14:srgbClr>
                  </w14:solidFill>
                </w14:textFill>
              </w:rPr>
              <w:t xml:space="preserve">　</w:t>
            </w:r>
            <w:r w:rsidRPr="00823FDB">
              <w:rPr>
                <w:rFonts w:ascii="Arial Narrow" w:eastAsiaTheme="majorEastAsia" w:hAnsi="Arial Narrow"/>
                <w:bCs/>
                <w:color w:val="000000"/>
                <w:w w:val="22"/>
                <w:sz w:val="20"/>
                <w:shd w:val="solid" w:color="000000" w:fill="000000"/>
                <w:fitText w:val="100" w:id="-691796224"/>
                <w14:textFill>
                  <w14:solidFill>
                    <w14:srgbClr w14:val="000000">
                      <w14:alpha w14:val="100000"/>
                    </w14:srgbClr>
                  </w14:solidFill>
                </w14:textFill>
              </w:rPr>
              <w:t>|</w:t>
            </w:r>
            <w:r w:rsidRPr="00823FDB">
              <w:rPr>
                <w:rFonts w:ascii="Arial Narrow" w:eastAsiaTheme="majorEastAsia" w:hAnsi="Arial Narrow" w:hint="eastAsia"/>
                <w:bCs/>
                <w:color w:val="000000"/>
                <w:spacing w:val="3"/>
                <w:w w:val="22"/>
                <w:sz w:val="20"/>
                <w:shd w:val="solid" w:color="000000" w:fill="000000"/>
                <w:fitText w:val="100" w:id="-691796224"/>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2BE0E680" w14:textId="13E4269A"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hint="eastAsia"/>
                <w:bCs/>
                <w:color w:val="000000"/>
                <w:w w:val="22"/>
                <w:sz w:val="20"/>
                <w:shd w:val="solid" w:color="000000" w:fill="000000"/>
                <w:fitText w:val="100" w:id="-691796223"/>
                <w14:textFill>
                  <w14:solidFill>
                    <w14:srgbClr w14:val="000000">
                      <w14:alpha w14:val="100000"/>
                    </w14:srgbClr>
                  </w14:solidFill>
                </w14:textFill>
              </w:rPr>
              <w:t xml:space="preserve">　</w:t>
            </w:r>
            <w:r w:rsidRPr="00823FDB">
              <w:rPr>
                <w:rFonts w:ascii="Arial Narrow" w:eastAsiaTheme="majorEastAsia" w:hAnsi="Arial Narrow"/>
                <w:bCs/>
                <w:color w:val="000000"/>
                <w:w w:val="22"/>
                <w:sz w:val="20"/>
                <w:shd w:val="solid" w:color="000000" w:fill="000000"/>
                <w:fitText w:val="100" w:id="-691796223"/>
                <w14:textFill>
                  <w14:solidFill>
                    <w14:srgbClr w14:val="000000">
                      <w14:alpha w14:val="100000"/>
                    </w14:srgbClr>
                  </w14:solidFill>
                </w14:textFill>
              </w:rPr>
              <w:t>|</w:t>
            </w:r>
            <w:r w:rsidRPr="00823FDB">
              <w:rPr>
                <w:rFonts w:ascii="Arial Narrow" w:eastAsiaTheme="majorEastAsia" w:hAnsi="Arial Narrow" w:hint="eastAsia"/>
                <w:bCs/>
                <w:color w:val="000000"/>
                <w:spacing w:val="3"/>
                <w:w w:val="22"/>
                <w:sz w:val="20"/>
                <w:shd w:val="solid" w:color="000000" w:fill="000000"/>
                <w:fitText w:val="100" w:id="-691796223"/>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6DF78314" w14:textId="1B2AABE4"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hint="eastAsia"/>
                <w:bCs/>
                <w:color w:val="000000"/>
                <w:w w:val="22"/>
                <w:sz w:val="20"/>
                <w:shd w:val="solid" w:color="000000" w:fill="000000"/>
                <w:fitText w:val="100" w:id="-691796222"/>
                <w14:textFill>
                  <w14:solidFill>
                    <w14:srgbClr w14:val="000000">
                      <w14:alpha w14:val="100000"/>
                    </w14:srgbClr>
                  </w14:solidFill>
                </w14:textFill>
              </w:rPr>
              <w:t xml:space="preserve">　</w:t>
            </w:r>
            <w:r w:rsidRPr="00823FDB">
              <w:rPr>
                <w:rFonts w:ascii="Arial Narrow" w:eastAsiaTheme="majorEastAsia" w:hAnsi="Arial Narrow"/>
                <w:bCs/>
                <w:color w:val="000000"/>
                <w:w w:val="22"/>
                <w:sz w:val="20"/>
                <w:shd w:val="solid" w:color="000000" w:fill="000000"/>
                <w:fitText w:val="100" w:id="-691796222"/>
                <w14:textFill>
                  <w14:solidFill>
                    <w14:srgbClr w14:val="000000">
                      <w14:alpha w14:val="100000"/>
                    </w14:srgbClr>
                  </w14:solidFill>
                </w14:textFill>
              </w:rPr>
              <w:t>|</w:t>
            </w:r>
            <w:r w:rsidRPr="00823FDB">
              <w:rPr>
                <w:rFonts w:ascii="Arial Narrow" w:eastAsiaTheme="majorEastAsia" w:hAnsi="Arial Narrow" w:hint="eastAsia"/>
                <w:bCs/>
                <w:color w:val="000000"/>
                <w:spacing w:val="3"/>
                <w:w w:val="22"/>
                <w:sz w:val="20"/>
                <w:shd w:val="solid" w:color="000000" w:fill="000000"/>
                <w:fitText w:val="100" w:id="-691796222"/>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4B6C9A84" w14:textId="4278C0B4"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hint="eastAsia"/>
                <w:bCs/>
                <w:color w:val="000000"/>
                <w:w w:val="22"/>
                <w:sz w:val="20"/>
                <w:shd w:val="solid" w:color="000000" w:fill="000000"/>
                <w:fitText w:val="100" w:id="-691796221"/>
                <w14:textFill>
                  <w14:solidFill>
                    <w14:srgbClr w14:val="000000">
                      <w14:alpha w14:val="100000"/>
                    </w14:srgbClr>
                  </w14:solidFill>
                </w14:textFill>
              </w:rPr>
              <w:t xml:space="preserve">　</w:t>
            </w:r>
            <w:r w:rsidRPr="00823FDB">
              <w:rPr>
                <w:rFonts w:ascii="Arial Narrow" w:eastAsiaTheme="majorEastAsia" w:hAnsi="Arial Narrow"/>
                <w:bCs/>
                <w:color w:val="000000"/>
                <w:w w:val="22"/>
                <w:sz w:val="20"/>
                <w:shd w:val="solid" w:color="000000" w:fill="000000"/>
                <w:fitText w:val="100" w:id="-691796221"/>
                <w14:textFill>
                  <w14:solidFill>
                    <w14:srgbClr w14:val="000000">
                      <w14:alpha w14:val="100000"/>
                    </w14:srgbClr>
                  </w14:solidFill>
                </w14:textFill>
              </w:rPr>
              <w:t>|</w:t>
            </w:r>
            <w:r w:rsidRPr="00823FDB">
              <w:rPr>
                <w:rFonts w:ascii="Arial Narrow" w:eastAsiaTheme="majorEastAsia" w:hAnsi="Arial Narrow" w:hint="eastAsia"/>
                <w:bCs/>
                <w:color w:val="000000"/>
                <w:spacing w:val="3"/>
                <w:w w:val="22"/>
                <w:sz w:val="20"/>
                <w:shd w:val="solid" w:color="000000" w:fill="000000"/>
                <w:fitText w:val="100" w:id="-691796221"/>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2070845C" w14:textId="0B56263C" w:rsidR="00F85CFA" w:rsidRPr="00350596" w:rsidRDefault="00823FDB" w:rsidP="00104A28">
            <w:pPr>
              <w:keepNext/>
              <w:jc w:val="center"/>
              <w:rPr>
                <w:rFonts w:ascii="Arial Narrow" w:eastAsiaTheme="majorEastAsia" w:hAnsi="Arial Narrow" w:cstheme="majorBidi"/>
                <w:bCs/>
                <w:sz w:val="20"/>
                <w:highlight w:val="darkGray"/>
              </w:rPr>
            </w:pPr>
            <w:r w:rsidRPr="00823FDB">
              <w:rPr>
                <w:rFonts w:ascii="Arial Narrow" w:eastAsiaTheme="majorEastAsia" w:hAnsi="Arial Narrow" w:hint="eastAsia"/>
                <w:bCs/>
                <w:color w:val="000000"/>
                <w:w w:val="22"/>
                <w:sz w:val="20"/>
                <w:shd w:val="solid" w:color="000000" w:fill="000000"/>
                <w:fitText w:val="100" w:id="-691796220"/>
                <w14:textFill>
                  <w14:solidFill>
                    <w14:srgbClr w14:val="000000">
                      <w14:alpha w14:val="100000"/>
                    </w14:srgbClr>
                  </w14:solidFill>
                </w14:textFill>
              </w:rPr>
              <w:t xml:space="preserve">　</w:t>
            </w:r>
            <w:r w:rsidRPr="00823FDB">
              <w:rPr>
                <w:rFonts w:ascii="Arial Narrow" w:eastAsiaTheme="majorEastAsia" w:hAnsi="Arial Narrow"/>
                <w:bCs/>
                <w:color w:val="000000"/>
                <w:w w:val="22"/>
                <w:sz w:val="20"/>
                <w:shd w:val="solid" w:color="000000" w:fill="000000"/>
                <w:fitText w:val="100" w:id="-691796220"/>
                <w14:textFill>
                  <w14:solidFill>
                    <w14:srgbClr w14:val="000000">
                      <w14:alpha w14:val="100000"/>
                    </w14:srgbClr>
                  </w14:solidFill>
                </w14:textFill>
              </w:rPr>
              <w:t>|</w:t>
            </w:r>
            <w:r w:rsidRPr="00823FDB">
              <w:rPr>
                <w:rFonts w:ascii="Arial Narrow" w:eastAsiaTheme="majorEastAsia" w:hAnsi="Arial Narrow" w:hint="eastAsia"/>
                <w:bCs/>
                <w:color w:val="000000"/>
                <w:spacing w:val="3"/>
                <w:w w:val="22"/>
                <w:sz w:val="20"/>
                <w:shd w:val="solid" w:color="000000" w:fill="000000"/>
                <w:fitText w:val="100" w:id="-691796220"/>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r>
      <w:tr w:rsidR="00F85CFA" w:rsidRPr="00350596" w14:paraId="594FFAD5" w14:textId="77777777" w:rsidTr="00104A28">
        <w:tc>
          <w:tcPr>
            <w:tcW w:w="2711" w:type="dxa"/>
            <w:vAlign w:val="center"/>
          </w:tcPr>
          <w:p w14:paraId="6A2140C8"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Cost to the MBS </w:t>
            </w:r>
          </w:p>
          <w:p w14:paraId="18BF2CCC"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(disease management) </w:t>
            </w:r>
            <w:r w:rsidRPr="00350596">
              <w:rPr>
                <w:rFonts w:ascii="Arial Narrow" w:eastAsiaTheme="majorEastAsia" w:hAnsi="Arial Narrow" w:cstheme="majorBidi"/>
                <w:bCs/>
                <w:sz w:val="20"/>
                <w:vertAlign w:val="superscript"/>
              </w:rPr>
              <w:t>c</w:t>
            </w:r>
            <w:r w:rsidRPr="00350596">
              <w:rPr>
                <w:rFonts w:ascii="Arial Narrow" w:eastAsiaTheme="majorEastAsia" w:hAnsi="Arial Narrow" w:cstheme="majorBidi"/>
                <w:bCs/>
                <w:sz w:val="20"/>
              </w:rPr>
              <w:t xml:space="preserve"> </w:t>
            </w:r>
          </w:p>
        </w:tc>
        <w:tc>
          <w:tcPr>
            <w:tcW w:w="1059" w:type="dxa"/>
            <w:vAlign w:val="center"/>
          </w:tcPr>
          <w:p w14:paraId="79265669" w14:textId="6BB84B06"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1" w:id="-69179621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1" w:id="-69179621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4"/>
                <w:w w:val="22"/>
                <w:sz w:val="20"/>
                <w:shd w:val="solid" w:color="000000" w:fill="000000"/>
                <w:fitText w:val="101" w:id="-691796219"/>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4ECE0536" w14:textId="1D1A02F3"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621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621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6218"/>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50AAC740" w14:textId="2A1046A2"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6217"/>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6217"/>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6217"/>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42AACBE6" w14:textId="33375D3C"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8"/>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2D5D14BE" w14:textId="48A815B8"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7"/>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7"/>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7"/>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66F17CDC" w14:textId="68AFA049"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6"/>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6"/>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6"/>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r>
      <w:tr w:rsidR="00F85CFA" w:rsidRPr="00350596" w14:paraId="4EA3ED60" w14:textId="77777777" w:rsidTr="00104A28">
        <w:tc>
          <w:tcPr>
            <w:tcW w:w="2711" w:type="dxa"/>
            <w:vAlign w:val="center"/>
          </w:tcPr>
          <w:p w14:paraId="6C56A155"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Cost to NBA </w:t>
            </w:r>
          </w:p>
          <w:p w14:paraId="52781F8E"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(substituted IVIg)</w:t>
            </w:r>
          </w:p>
        </w:tc>
        <w:tc>
          <w:tcPr>
            <w:tcW w:w="1059" w:type="dxa"/>
            <w:vAlign w:val="center"/>
          </w:tcPr>
          <w:p w14:paraId="655F7728" w14:textId="3A2FC128"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1" w:id="-691795965"/>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1" w:id="-691795965"/>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4"/>
                <w:w w:val="22"/>
                <w:sz w:val="20"/>
                <w:shd w:val="solid" w:color="000000" w:fill="000000"/>
                <w:fitText w:val="101" w:id="-691795965"/>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1A6B1AF1" w14:textId="4C0FED0C"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4"/>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4"/>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4"/>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19F54820" w14:textId="6DC9BC0A"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3"/>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3"/>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3"/>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71DCAC6B" w14:textId="37297B29"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2"/>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2"/>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2"/>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39CF78F0" w14:textId="4494E39F"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1"/>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1"/>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1"/>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675F5099" w14:textId="1ECF0DE3"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60"/>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60"/>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60"/>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r>
      <w:tr w:rsidR="00F85CFA" w:rsidRPr="00350596" w14:paraId="17DDE7FC" w14:textId="77777777" w:rsidTr="00104A28">
        <w:tc>
          <w:tcPr>
            <w:tcW w:w="2711" w:type="dxa"/>
            <w:vAlign w:val="center"/>
          </w:tcPr>
          <w:p w14:paraId="01D65605"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Cost to State/Territory hospitals </w:t>
            </w:r>
          </w:p>
          <w:p w14:paraId="16AE9EA3" w14:textId="77777777" w:rsidR="00F85CFA" w:rsidRPr="00350596" w:rsidRDefault="00F85CFA" w:rsidP="00104A28">
            <w:pPr>
              <w:keepNext/>
              <w:jc w:val="left"/>
              <w:rPr>
                <w:rFonts w:ascii="Arial Narrow" w:eastAsiaTheme="majorEastAsia" w:hAnsi="Arial Narrow" w:cstheme="majorBidi"/>
                <w:bCs/>
                <w:sz w:val="20"/>
                <w:vertAlign w:val="superscript"/>
              </w:rPr>
            </w:pPr>
            <w:r w:rsidRPr="00350596">
              <w:rPr>
                <w:rFonts w:ascii="Arial Narrow" w:eastAsiaTheme="majorEastAsia" w:hAnsi="Arial Narrow" w:cstheme="majorBidi"/>
                <w:bCs/>
                <w:sz w:val="20"/>
              </w:rPr>
              <w:t xml:space="preserve">(infusion and exacerbation costs) </w:t>
            </w:r>
            <w:r w:rsidRPr="00350596">
              <w:rPr>
                <w:rFonts w:ascii="Arial Narrow" w:eastAsiaTheme="majorEastAsia" w:hAnsi="Arial Narrow" w:cstheme="majorBidi"/>
                <w:bCs/>
                <w:sz w:val="20"/>
                <w:vertAlign w:val="superscript"/>
              </w:rPr>
              <w:t>d</w:t>
            </w:r>
          </w:p>
        </w:tc>
        <w:tc>
          <w:tcPr>
            <w:tcW w:w="1059" w:type="dxa"/>
            <w:vAlign w:val="center"/>
          </w:tcPr>
          <w:p w14:paraId="44089C1F" w14:textId="27817DB9"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1" w:id="-691795959"/>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1" w:id="-691795959"/>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4"/>
                <w:w w:val="22"/>
                <w:sz w:val="20"/>
                <w:shd w:val="solid" w:color="000000" w:fill="000000"/>
                <w:fitText w:val="101" w:id="-691795959"/>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195A37FE" w14:textId="58926B2C"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58"/>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58"/>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58"/>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3522BFE0" w14:textId="0D0DCEF2"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57"/>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57"/>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57"/>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1127BB7C" w14:textId="09F490DB"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56"/>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56"/>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56"/>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59" w:type="dxa"/>
            <w:vAlign w:val="center"/>
          </w:tcPr>
          <w:p w14:paraId="3C5045FC" w14:textId="400E64CA"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55"/>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55"/>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55"/>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c>
          <w:tcPr>
            <w:tcW w:w="1060" w:type="dxa"/>
            <w:vAlign w:val="center"/>
          </w:tcPr>
          <w:p w14:paraId="6E99A864" w14:textId="189B1816"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Cs/>
                <w:color w:val="000000"/>
                <w:w w:val="22"/>
                <w:sz w:val="20"/>
                <w:shd w:val="solid" w:color="000000" w:fill="000000"/>
                <w:fitText w:val="100" w:id="-691795954"/>
                <w14:textFill>
                  <w14:solidFill>
                    <w14:srgbClr w14:val="000000">
                      <w14:alpha w14:val="100000"/>
                    </w14:srgbClr>
                  </w14:solidFill>
                </w14:textFill>
              </w:rPr>
              <w:t xml:space="preserve">　</w:t>
            </w:r>
            <w:r w:rsidRPr="00823FDB">
              <w:rPr>
                <w:rFonts w:ascii="Arial Narrow" w:eastAsiaTheme="majorEastAsia" w:hAnsi="Arial Narrow" w:cstheme="majorBidi"/>
                <w:bCs/>
                <w:color w:val="000000"/>
                <w:w w:val="22"/>
                <w:sz w:val="20"/>
                <w:shd w:val="solid" w:color="000000" w:fill="000000"/>
                <w:fitText w:val="100" w:id="-691795954"/>
                <w14:textFill>
                  <w14:solidFill>
                    <w14:srgbClr w14:val="000000">
                      <w14:alpha w14:val="100000"/>
                    </w14:srgbClr>
                  </w14:solidFill>
                </w14:textFill>
              </w:rPr>
              <w:t>|</w:t>
            </w:r>
            <w:r w:rsidRPr="00823FDB">
              <w:rPr>
                <w:rFonts w:ascii="Arial Narrow" w:eastAsiaTheme="majorEastAsia" w:hAnsi="Arial Narrow" w:cstheme="majorBidi" w:hint="eastAsia"/>
                <w:bCs/>
                <w:color w:val="000000"/>
                <w:spacing w:val="3"/>
                <w:w w:val="22"/>
                <w:sz w:val="20"/>
                <w:shd w:val="solid" w:color="000000" w:fill="000000"/>
                <w:fitText w:val="100" w:id="-691795954"/>
                <w14:textFill>
                  <w14:solidFill>
                    <w14:srgbClr w14:val="000000">
                      <w14:alpha w14:val="100000"/>
                    </w14:srgbClr>
                  </w14:solidFill>
                </w14:textFill>
              </w:rPr>
              <w:t xml:space="preserve">　</w:t>
            </w:r>
            <w:r w:rsidR="00CF001C" w:rsidRPr="00350596">
              <w:rPr>
                <w:rFonts w:ascii="Arial Narrow" w:eastAsiaTheme="majorEastAsia" w:hAnsi="Arial Narrow"/>
                <w:bCs/>
                <w:sz w:val="20"/>
                <w:vertAlign w:val="superscript"/>
              </w:rPr>
              <w:t>11</w:t>
            </w:r>
          </w:p>
        </w:tc>
      </w:tr>
      <w:tr w:rsidR="00F85CFA" w:rsidRPr="00350596" w14:paraId="23A3B6D5" w14:textId="77777777" w:rsidTr="00104A28">
        <w:tc>
          <w:tcPr>
            <w:tcW w:w="2711" w:type="dxa"/>
            <w:vAlign w:val="center"/>
          </w:tcPr>
          <w:p w14:paraId="37197881" w14:textId="77777777" w:rsidR="00F85CFA" w:rsidRPr="00350596" w:rsidRDefault="00F85CFA"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
                <w:sz w:val="20"/>
              </w:rPr>
              <w:t>Net cost to government</w:t>
            </w:r>
          </w:p>
        </w:tc>
        <w:tc>
          <w:tcPr>
            <w:tcW w:w="1059" w:type="dxa"/>
          </w:tcPr>
          <w:p w14:paraId="6730AB0D" w14:textId="57E0D9A4"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
                <w:color w:val="000000"/>
                <w:w w:val="27"/>
                <w:sz w:val="20"/>
                <w:shd w:val="solid" w:color="000000" w:fill="000000"/>
                <w:fitText w:val="125" w:id="-691795953"/>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7"/>
                <w:sz w:val="20"/>
                <w:shd w:val="solid" w:color="000000" w:fill="000000"/>
                <w:fitText w:val="125" w:id="-691795953"/>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6"/>
                <w:w w:val="27"/>
                <w:sz w:val="20"/>
                <w:shd w:val="solid" w:color="000000" w:fill="000000"/>
                <w:fitText w:val="125" w:id="-691795953"/>
                <w14:textFill>
                  <w14:solidFill>
                    <w14:srgbClr w14:val="000000">
                      <w14:alpha w14:val="100000"/>
                    </w14:srgbClr>
                  </w14:solidFill>
                </w14:textFill>
              </w:rPr>
              <w:t xml:space="preserve">　</w:t>
            </w:r>
            <w:r w:rsidR="000B4692" w:rsidRPr="00350596">
              <w:rPr>
                <w:rFonts w:ascii="Arial Narrow" w:eastAsiaTheme="majorEastAsia" w:hAnsi="Arial Narrow" w:cstheme="majorBidi"/>
                <w:b/>
                <w:sz w:val="20"/>
                <w:vertAlign w:val="superscript"/>
              </w:rPr>
              <w:t>5</w:t>
            </w:r>
          </w:p>
        </w:tc>
        <w:tc>
          <w:tcPr>
            <w:tcW w:w="1059" w:type="dxa"/>
          </w:tcPr>
          <w:p w14:paraId="511F08C8" w14:textId="710F052B"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
                <w:color w:val="000000"/>
                <w:w w:val="33"/>
                <w:sz w:val="20"/>
                <w:shd w:val="solid" w:color="000000" w:fill="000000"/>
                <w:fitText w:val="150" w:id="-691795952"/>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33"/>
                <w:sz w:val="20"/>
                <w:shd w:val="solid" w:color="000000" w:fill="000000"/>
                <w:fitText w:val="150" w:id="-691795952"/>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3"/>
                <w:w w:val="33"/>
                <w:sz w:val="20"/>
                <w:shd w:val="solid" w:color="000000" w:fill="000000"/>
                <w:fitText w:val="150" w:id="-691795952"/>
                <w14:textFill>
                  <w14:solidFill>
                    <w14:srgbClr w14:val="000000">
                      <w14:alpha w14:val="100000"/>
                    </w14:srgbClr>
                  </w14:solidFill>
                </w14:textFill>
              </w:rPr>
              <w:t xml:space="preserve">　</w:t>
            </w:r>
            <w:r w:rsidR="009F6806" w:rsidRPr="00350596">
              <w:rPr>
                <w:rFonts w:ascii="Arial Narrow" w:eastAsiaTheme="majorEastAsia" w:hAnsi="Arial Narrow" w:cstheme="majorBidi"/>
                <w:b/>
                <w:sz w:val="20"/>
                <w:vertAlign w:val="superscript"/>
              </w:rPr>
              <w:t>12</w:t>
            </w:r>
          </w:p>
        </w:tc>
        <w:tc>
          <w:tcPr>
            <w:tcW w:w="1060" w:type="dxa"/>
          </w:tcPr>
          <w:p w14:paraId="2EA0D28C" w14:textId="1162A48A"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
                <w:color w:val="000000"/>
                <w:w w:val="33"/>
                <w:sz w:val="20"/>
                <w:shd w:val="solid" w:color="000000" w:fill="000000"/>
                <w:fitText w:val="150" w:id="-691795968"/>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33"/>
                <w:sz w:val="20"/>
                <w:shd w:val="solid" w:color="000000" w:fill="000000"/>
                <w:fitText w:val="150" w:id="-691795968"/>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3"/>
                <w:w w:val="33"/>
                <w:sz w:val="20"/>
                <w:shd w:val="solid" w:color="000000" w:fill="000000"/>
                <w:fitText w:val="150" w:id="-691795968"/>
                <w14:textFill>
                  <w14:solidFill>
                    <w14:srgbClr w14:val="000000">
                      <w14:alpha w14:val="100000"/>
                    </w14:srgbClr>
                  </w14:solidFill>
                </w14:textFill>
              </w:rPr>
              <w:t xml:space="preserve">　</w:t>
            </w:r>
            <w:r w:rsidR="00A95E02" w:rsidRPr="00350596">
              <w:rPr>
                <w:rFonts w:ascii="Arial Narrow" w:eastAsiaTheme="majorEastAsia" w:hAnsi="Arial Narrow" w:cstheme="majorBidi"/>
                <w:b/>
                <w:sz w:val="20"/>
                <w:vertAlign w:val="superscript"/>
              </w:rPr>
              <w:t>13</w:t>
            </w:r>
          </w:p>
        </w:tc>
        <w:tc>
          <w:tcPr>
            <w:tcW w:w="1059" w:type="dxa"/>
          </w:tcPr>
          <w:p w14:paraId="6ABA224B" w14:textId="1AA81734"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
                <w:color w:val="000000"/>
                <w:w w:val="28"/>
                <w:sz w:val="20"/>
                <w:shd w:val="solid" w:color="000000" w:fill="000000"/>
                <w:fitText w:val="126" w:id="-691795967"/>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8"/>
                <w:sz w:val="20"/>
                <w:shd w:val="solid" w:color="000000" w:fill="000000"/>
                <w:fitText w:val="126" w:id="-691795967"/>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3"/>
                <w:w w:val="28"/>
                <w:sz w:val="20"/>
                <w:shd w:val="solid" w:color="000000" w:fill="000000"/>
                <w:fitText w:val="126" w:id="-691795967"/>
                <w14:textFill>
                  <w14:solidFill>
                    <w14:srgbClr w14:val="000000">
                      <w14:alpha w14:val="100000"/>
                    </w14:srgbClr>
                  </w14:solidFill>
                </w14:textFill>
              </w:rPr>
              <w:t xml:space="preserve">　</w:t>
            </w:r>
            <w:r w:rsidR="00CF001C" w:rsidRPr="00350596">
              <w:rPr>
                <w:rFonts w:ascii="Arial Narrow" w:eastAsiaTheme="majorEastAsia" w:hAnsi="Arial Narrow" w:cstheme="majorBidi"/>
                <w:b/>
                <w:sz w:val="20"/>
                <w:vertAlign w:val="superscript"/>
              </w:rPr>
              <w:t>7</w:t>
            </w:r>
          </w:p>
        </w:tc>
        <w:tc>
          <w:tcPr>
            <w:tcW w:w="1059" w:type="dxa"/>
          </w:tcPr>
          <w:p w14:paraId="01C2847F" w14:textId="17974694" w:rsidR="00F85CFA" w:rsidRPr="00350596" w:rsidRDefault="00823FDB" w:rsidP="00104A28">
            <w:pPr>
              <w:keepNext/>
              <w:jc w:val="center"/>
              <w:rPr>
                <w:rFonts w:ascii="Arial Narrow" w:eastAsiaTheme="majorEastAsia" w:hAnsi="Arial Narrow"/>
                <w:bCs/>
                <w:sz w:val="20"/>
                <w:highlight w:val="darkGray"/>
              </w:rPr>
            </w:pPr>
            <w:r w:rsidRPr="00823FDB">
              <w:rPr>
                <w:rFonts w:ascii="Arial Narrow" w:eastAsiaTheme="majorEastAsia" w:hAnsi="Arial Narrow" w:cstheme="majorBidi" w:hint="eastAsia"/>
                <w:b/>
                <w:color w:val="000000"/>
                <w:w w:val="27"/>
                <w:sz w:val="20"/>
                <w:shd w:val="solid" w:color="000000" w:fill="000000"/>
                <w:fitText w:val="125" w:id="-691795966"/>
                <w14:textFill>
                  <w14:solidFill>
                    <w14:srgbClr w14:val="000000">
                      <w14:alpha w14:val="100000"/>
                    </w14:srgbClr>
                  </w14:solidFill>
                </w14:textFill>
              </w:rPr>
              <w:t xml:space="preserve">　</w:t>
            </w:r>
            <w:r w:rsidRPr="00823FDB">
              <w:rPr>
                <w:rFonts w:ascii="Arial Narrow" w:eastAsiaTheme="majorEastAsia" w:hAnsi="Arial Narrow" w:cstheme="majorBidi"/>
                <w:b/>
                <w:color w:val="000000"/>
                <w:w w:val="27"/>
                <w:sz w:val="20"/>
                <w:shd w:val="solid" w:color="000000" w:fill="000000"/>
                <w:fitText w:val="125" w:id="-691795966"/>
                <w14:textFill>
                  <w14:solidFill>
                    <w14:srgbClr w14:val="000000">
                      <w14:alpha w14:val="100000"/>
                    </w14:srgbClr>
                  </w14:solidFill>
                </w14:textFill>
              </w:rPr>
              <w:t>|</w:t>
            </w:r>
            <w:r w:rsidRPr="00823FDB">
              <w:rPr>
                <w:rFonts w:ascii="Arial Narrow" w:eastAsiaTheme="majorEastAsia" w:hAnsi="Arial Narrow" w:cstheme="majorBidi" w:hint="eastAsia"/>
                <w:b/>
                <w:color w:val="000000"/>
                <w:spacing w:val="6"/>
                <w:w w:val="27"/>
                <w:sz w:val="20"/>
                <w:shd w:val="solid" w:color="000000" w:fill="000000"/>
                <w:fitText w:val="125" w:id="-691795966"/>
                <w14:textFill>
                  <w14:solidFill>
                    <w14:srgbClr w14:val="000000">
                      <w14:alpha w14:val="100000"/>
                    </w14:srgbClr>
                  </w14:solidFill>
                </w14:textFill>
              </w:rPr>
              <w:t xml:space="preserve">　</w:t>
            </w:r>
            <w:r w:rsidR="00CF001C" w:rsidRPr="00350596">
              <w:rPr>
                <w:rFonts w:ascii="Arial Narrow" w:eastAsiaTheme="majorEastAsia" w:hAnsi="Arial Narrow" w:cstheme="majorBidi"/>
                <w:b/>
                <w:sz w:val="20"/>
                <w:vertAlign w:val="superscript"/>
              </w:rPr>
              <w:t>8</w:t>
            </w:r>
          </w:p>
        </w:tc>
        <w:tc>
          <w:tcPr>
            <w:tcW w:w="1060" w:type="dxa"/>
          </w:tcPr>
          <w:p w14:paraId="1E61A92C" w14:textId="3E72A0BB" w:rsidR="00F85CFA" w:rsidRPr="00350596" w:rsidRDefault="00823FDB" w:rsidP="00104A28">
            <w:pPr>
              <w:keepNext/>
              <w:jc w:val="center"/>
              <w:rPr>
                <w:rFonts w:ascii="Arial Narrow" w:eastAsiaTheme="majorEastAsia" w:hAnsi="Arial Narrow"/>
                <w:bCs/>
                <w:sz w:val="20"/>
                <w:highlight w:val="darkGray"/>
              </w:rPr>
            </w:pPr>
            <w:r w:rsidRPr="0079021D">
              <w:rPr>
                <w:rFonts w:ascii="Arial Narrow" w:eastAsiaTheme="majorEastAsia" w:hAnsi="Arial Narrow" w:cstheme="majorBidi" w:hint="eastAsia"/>
                <w:b/>
                <w:color w:val="000000"/>
                <w:w w:val="27"/>
                <w:sz w:val="20"/>
                <w:shd w:val="solid" w:color="000000" w:fill="000000"/>
                <w:fitText w:val="125" w:id="-691795965"/>
                <w14:textFill>
                  <w14:solidFill>
                    <w14:srgbClr w14:val="000000">
                      <w14:alpha w14:val="100000"/>
                    </w14:srgbClr>
                  </w14:solidFill>
                </w14:textFill>
              </w:rPr>
              <w:t xml:space="preserve">　</w:t>
            </w:r>
            <w:r w:rsidRPr="0079021D">
              <w:rPr>
                <w:rFonts w:ascii="Arial Narrow" w:eastAsiaTheme="majorEastAsia" w:hAnsi="Arial Narrow" w:cstheme="majorBidi"/>
                <w:b/>
                <w:color w:val="000000"/>
                <w:w w:val="27"/>
                <w:sz w:val="20"/>
                <w:shd w:val="solid" w:color="000000" w:fill="000000"/>
                <w:fitText w:val="125" w:id="-691795965"/>
                <w14:textFill>
                  <w14:solidFill>
                    <w14:srgbClr w14:val="000000">
                      <w14:alpha w14:val="100000"/>
                    </w14:srgbClr>
                  </w14:solidFill>
                </w14:textFill>
              </w:rPr>
              <w:t>|</w:t>
            </w:r>
            <w:r w:rsidRPr="0079021D">
              <w:rPr>
                <w:rFonts w:ascii="Arial Narrow" w:eastAsiaTheme="majorEastAsia" w:hAnsi="Arial Narrow" w:cstheme="majorBidi" w:hint="eastAsia"/>
                <w:b/>
                <w:color w:val="000000"/>
                <w:spacing w:val="6"/>
                <w:w w:val="27"/>
                <w:sz w:val="20"/>
                <w:shd w:val="solid" w:color="000000" w:fill="000000"/>
                <w:fitText w:val="125" w:id="-691795965"/>
                <w14:textFill>
                  <w14:solidFill>
                    <w14:srgbClr w14:val="000000">
                      <w14:alpha w14:val="100000"/>
                    </w14:srgbClr>
                  </w14:solidFill>
                </w14:textFill>
              </w:rPr>
              <w:t xml:space="preserve">　</w:t>
            </w:r>
            <w:r w:rsidR="00CF001C" w:rsidRPr="00350596">
              <w:rPr>
                <w:rFonts w:ascii="Arial Narrow" w:eastAsiaTheme="majorEastAsia" w:hAnsi="Arial Narrow" w:cstheme="majorBidi"/>
                <w:b/>
                <w:sz w:val="20"/>
                <w:vertAlign w:val="superscript"/>
              </w:rPr>
              <w:t>8</w:t>
            </w:r>
          </w:p>
        </w:tc>
      </w:tr>
    </w:tbl>
    <w:p w14:paraId="5AA9DC8C" w14:textId="166707D3" w:rsidR="00F85CFA" w:rsidRPr="00350596" w:rsidRDefault="00F85CFA" w:rsidP="00F85CFA">
      <w:pPr>
        <w:pStyle w:val="COMTablefooter"/>
      </w:pPr>
      <w:r w:rsidRPr="00350596">
        <w:t>Source: Table 4-6, p190; Table 4-8, p193; Table 4-10, p195; Table 4-12, p197; Table 4-13, p198; Table 4-14, p199; Table 4-15, p199; Table 4-19, p202; Table 4-22, p205; Table 4-24, p207; Table 4-25, p209; Table 4-28, p211 of the submission</w:t>
      </w:r>
    </w:p>
    <w:p w14:paraId="417ED887" w14:textId="3F959F02" w:rsidR="00F85CFA" w:rsidRPr="00350596" w:rsidRDefault="00F85CFA" w:rsidP="00F85CFA">
      <w:pPr>
        <w:pStyle w:val="COMTablefooter"/>
      </w:pPr>
      <w:r w:rsidRPr="00350596">
        <w:t xml:space="preserve">Abbreviations: AChR+, acetylcholine receptor antibody positive; IVIg, intravenous immunoglobulin; MG, myasthenia gravis; MG-ADL, Myasthenia Gravis Activities of Daily Living; </w:t>
      </w:r>
      <w:r w:rsidR="005E4CC0" w:rsidRPr="00350596">
        <w:t xml:space="preserve">NBA, National Blood Authority; </w:t>
      </w:r>
      <w:r w:rsidRPr="00350596">
        <w:t>PBS, Pharmaceutical Benefits Scheme; RPBS, Repatriation Pharmaceutical Benefits Scheme.</w:t>
      </w:r>
    </w:p>
    <w:p w14:paraId="3A457B93" w14:textId="77777777" w:rsidR="00F85CFA" w:rsidRPr="00350596" w:rsidRDefault="00F85CFA" w:rsidP="00F85CFA">
      <w:pPr>
        <w:pStyle w:val="COMTablefooter"/>
        <w:rPr>
          <w:vertAlign w:val="superscript"/>
        </w:rPr>
      </w:pPr>
      <w:r w:rsidRPr="00350596">
        <w:rPr>
          <w:vertAlign w:val="superscript"/>
        </w:rPr>
        <w:t>a</w:t>
      </w:r>
      <w:r w:rsidRPr="00350596">
        <w:t xml:space="preserve"> Includes efgartigimod, rozanolixizumab, ravulizumab and zilucoplan</w:t>
      </w:r>
    </w:p>
    <w:p w14:paraId="16A289A7" w14:textId="77777777" w:rsidR="00F85CFA" w:rsidRPr="00350596" w:rsidRDefault="00F85CFA" w:rsidP="00F85CFA">
      <w:pPr>
        <w:pStyle w:val="COMTablefooter"/>
      </w:pPr>
      <w:r w:rsidRPr="00350596">
        <w:rPr>
          <w:vertAlign w:val="superscript"/>
        </w:rPr>
        <w:t xml:space="preserve">b </w:t>
      </w:r>
      <w:r w:rsidRPr="00350596">
        <w:t>Assumes uptake in initiating patients in a year would be equally distributed across each month and monthly patient numbers rounded up</w:t>
      </w:r>
    </w:p>
    <w:p w14:paraId="74877793" w14:textId="77777777" w:rsidR="00F85CFA" w:rsidRPr="00350596" w:rsidRDefault="00F85CFA" w:rsidP="00F85CFA">
      <w:pPr>
        <w:pStyle w:val="COMTablefooter"/>
      </w:pPr>
      <w:r w:rsidRPr="00350596">
        <w:rPr>
          <w:vertAlign w:val="superscript"/>
        </w:rPr>
        <w:t>c</w:t>
      </w:r>
      <w:r w:rsidRPr="00350596">
        <w:t xml:space="preserve"> Based on GP visit Level C</w:t>
      </w:r>
    </w:p>
    <w:p w14:paraId="3CC59F23" w14:textId="77777777" w:rsidR="0085711E" w:rsidRPr="00350596" w:rsidRDefault="00F85CFA" w:rsidP="0085711E">
      <w:pPr>
        <w:pStyle w:val="COMTablefooter"/>
      </w:pPr>
      <w:r w:rsidRPr="00350596">
        <w:rPr>
          <w:vertAlign w:val="superscript"/>
        </w:rPr>
        <w:t>d</w:t>
      </w:r>
      <w:r w:rsidRPr="00350596">
        <w:t xml:space="preserve"> Infusion administration costs were based on non-admitted hospital costs and would be substantially lower if based on MBS costs</w:t>
      </w:r>
      <w:r w:rsidR="0085711E" w:rsidRPr="00350596">
        <w:t xml:space="preserve"> </w:t>
      </w:r>
    </w:p>
    <w:p w14:paraId="2FFF7152" w14:textId="6BF4FE87" w:rsidR="0085711E" w:rsidRPr="00350596" w:rsidRDefault="0085711E" w:rsidP="0085711E">
      <w:pPr>
        <w:pStyle w:val="COMTablefooter"/>
        <w:rPr>
          <w:i/>
          <w:iCs/>
        </w:rPr>
      </w:pPr>
      <w:r w:rsidRPr="00350596">
        <w:rPr>
          <w:i/>
          <w:iCs/>
        </w:rPr>
        <w:t>The redacted values correspond to the following ranges</w:t>
      </w:r>
      <w:r w:rsidR="00E50761" w:rsidRPr="00350596">
        <w:rPr>
          <w:i/>
          <w:iCs/>
        </w:rPr>
        <w:t>:</w:t>
      </w:r>
      <w:r w:rsidRPr="00350596">
        <w:rPr>
          <w:i/>
          <w:iCs/>
        </w:rPr>
        <w:t xml:space="preserve"> </w:t>
      </w:r>
    </w:p>
    <w:p w14:paraId="75AB17C0" w14:textId="77777777" w:rsidR="0085711E" w:rsidRPr="00350596" w:rsidRDefault="0085711E" w:rsidP="0085711E">
      <w:pPr>
        <w:pStyle w:val="COMTablefooter"/>
        <w:rPr>
          <w:i/>
          <w:iCs/>
        </w:rPr>
      </w:pPr>
      <w:r w:rsidRPr="00350596">
        <w:rPr>
          <w:i/>
          <w:iCs/>
          <w:vertAlign w:val="superscript"/>
        </w:rPr>
        <w:t>1</w:t>
      </w:r>
      <w:r w:rsidRPr="00350596">
        <w:rPr>
          <w:i/>
          <w:iCs/>
        </w:rPr>
        <w:t xml:space="preserve"> 500 to &lt; 5,000 </w:t>
      </w:r>
    </w:p>
    <w:p w14:paraId="45107D4E" w14:textId="77777777" w:rsidR="00AD7026" w:rsidRPr="00350596" w:rsidRDefault="0085711E" w:rsidP="00AD7026">
      <w:pPr>
        <w:pStyle w:val="COMTablefooter"/>
        <w:rPr>
          <w:i/>
          <w:iCs/>
        </w:rPr>
      </w:pPr>
      <w:r w:rsidRPr="00350596">
        <w:rPr>
          <w:i/>
          <w:iCs/>
          <w:vertAlign w:val="superscript"/>
        </w:rPr>
        <w:t>2</w:t>
      </w:r>
      <w:r w:rsidRPr="00350596">
        <w:rPr>
          <w:i/>
          <w:iCs/>
        </w:rPr>
        <w:t xml:space="preserve"> &lt; 500</w:t>
      </w:r>
      <w:r w:rsidR="00AD7026" w:rsidRPr="00350596">
        <w:rPr>
          <w:i/>
          <w:iCs/>
        </w:rPr>
        <w:t xml:space="preserve"> </w:t>
      </w:r>
    </w:p>
    <w:p w14:paraId="1963FEE6" w14:textId="00833838" w:rsidR="00AD7026" w:rsidRPr="00350596" w:rsidRDefault="00AD7026" w:rsidP="00AD7026">
      <w:pPr>
        <w:pStyle w:val="COMTablefooter"/>
        <w:rPr>
          <w:i/>
          <w:iCs/>
        </w:rPr>
      </w:pPr>
      <w:r w:rsidRPr="00350596">
        <w:rPr>
          <w:i/>
          <w:iCs/>
          <w:vertAlign w:val="superscript"/>
        </w:rPr>
        <w:t>3</w:t>
      </w:r>
      <w:r w:rsidRPr="00350596">
        <w:rPr>
          <w:i/>
          <w:iCs/>
        </w:rPr>
        <w:t xml:space="preserve"> </w:t>
      </w:r>
      <w:bookmarkStart w:id="75" w:name="_Hlk113629206"/>
      <w:r w:rsidRPr="00350596">
        <w:rPr>
          <w:i/>
          <w:iCs/>
        </w:rPr>
        <w:t>5,000 to &lt; 10,000</w:t>
      </w:r>
    </w:p>
    <w:bookmarkEnd w:id="75"/>
    <w:p w14:paraId="7CF3ABE3" w14:textId="77777777" w:rsidR="00E33D16" w:rsidRPr="00350596" w:rsidRDefault="00AD7026" w:rsidP="00E33D16">
      <w:pPr>
        <w:pStyle w:val="COMTablefooter"/>
        <w:rPr>
          <w:i/>
          <w:iCs/>
        </w:rPr>
      </w:pPr>
      <w:r w:rsidRPr="00350596">
        <w:rPr>
          <w:i/>
          <w:iCs/>
          <w:vertAlign w:val="superscript"/>
        </w:rPr>
        <w:t>4</w:t>
      </w:r>
      <w:r w:rsidRPr="00350596">
        <w:rPr>
          <w:i/>
          <w:iCs/>
        </w:rPr>
        <w:t xml:space="preserve"> 10,000 to &lt; 20,000</w:t>
      </w:r>
      <w:r w:rsidR="00E33D16" w:rsidRPr="00350596">
        <w:rPr>
          <w:i/>
          <w:iCs/>
        </w:rPr>
        <w:t xml:space="preserve"> </w:t>
      </w:r>
    </w:p>
    <w:p w14:paraId="5FEE7E94" w14:textId="2667F376" w:rsidR="00E33D16" w:rsidRPr="00350596" w:rsidRDefault="00E33D16" w:rsidP="00E33D16">
      <w:pPr>
        <w:pStyle w:val="COMTablefooter"/>
        <w:rPr>
          <w:i/>
          <w:iCs/>
        </w:rPr>
      </w:pPr>
      <w:r w:rsidRPr="00350596">
        <w:rPr>
          <w:i/>
          <w:iCs/>
          <w:vertAlign w:val="superscript"/>
        </w:rPr>
        <w:t xml:space="preserve">5 </w:t>
      </w:r>
      <w:r w:rsidRPr="00350596">
        <w:rPr>
          <w:i/>
          <w:iCs/>
        </w:rPr>
        <w:t>$20 million to &lt; $30 million</w:t>
      </w:r>
    </w:p>
    <w:p w14:paraId="11DDDD18" w14:textId="050485E5" w:rsidR="00E33D16" w:rsidRPr="00350596" w:rsidRDefault="00E33D16" w:rsidP="00E33D16">
      <w:pPr>
        <w:pStyle w:val="COMTablefooter"/>
        <w:rPr>
          <w:i/>
          <w:iCs/>
        </w:rPr>
      </w:pPr>
      <w:r w:rsidRPr="00350596">
        <w:rPr>
          <w:i/>
          <w:iCs/>
          <w:vertAlign w:val="superscript"/>
        </w:rPr>
        <w:t>6</w:t>
      </w:r>
      <w:r w:rsidRPr="00350596">
        <w:rPr>
          <w:i/>
          <w:iCs/>
        </w:rPr>
        <w:t xml:space="preserve"> $40 million to &lt; $50 million</w:t>
      </w:r>
    </w:p>
    <w:p w14:paraId="14247400" w14:textId="356F3045" w:rsidR="00E33D16" w:rsidRPr="00350596" w:rsidRDefault="00CF001C" w:rsidP="00E33D16">
      <w:pPr>
        <w:pStyle w:val="COMTablefooter"/>
        <w:rPr>
          <w:i/>
          <w:iCs/>
        </w:rPr>
      </w:pPr>
      <w:r w:rsidRPr="00350596">
        <w:rPr>
          <w:i/>
          <w:iCs/>
          <w:vertAlign w:val="superscript"/>
        </w:rPr>
        <w:t>7</w:t>
      </w:r>
      <w:r w:rsidRPr="00350596">
        <w:rPr>
          <w:i/>
          <w:iCs/>
        </w:rPr>
        <w:t xml:space="preserve"> </w:t>
      </w:r>
      <w:r w:rsidR="00E33D16" w:rsidRPr="00350596">
        <w:rPr>
          <w:i/>
          <w:iCs/>
        </w:rPr>
        <w:t>$60 million to &lt; $70 million</w:t>
      </w:r>
    </w:p>
    <w:p w14:paraId="17C212CC" w14:textId="18A90F87" w:rsidR="00E33D16" w:rsidRPr="00350596" w:rsidRDefault="00CF001C" w:rsidP="00E33D16">
      <w:pPr>
        <w:pStyle w:val="COMTablefooter"/>
        <w:rPr>
          <w:i/>
          <w:iCs/>
        </w:rPr>
      </w:pPr>
      <w:r w:rsidRPr="00350596">
        <w:rPr>
          <w:i/>
          <w:iCs/>
          <w:vertAlign w:val="superscript"/>
        </w:rPr>
        <w:t xml:space="preserve">8 </w:t>
      </w:r>
      <w:r w:rsidR="00E33D16" w:rsidRPr="00350596">
        <w:rPr>
          <w:i/>
          <w:iCs/>
        </w:rPr>
        <w:t>$80 million to &lt; $90 million</w:t>
      </w:r>
    </w:p>
    <w:p w14:paraId="0B57D5CF" w14:textId="7C2B0E99" w:rsidR="00E33D16" w:rsidRPr="00350596" w:rsidRDefault="00CF001C" w:rsidP="00E33D16">
      <w:pPr>
        <w:pStyle w:val="COMTablefooter"/>
        <w:rPr>
          <w:i/>
          <w:iCs/>
        </w:rPr>
      </w:pPr>
      <w:r w:rsidRPr="00350596">
        <w:rPr>
          <w:i/>
          <w:iCs/>
          <w:vertAlign w:val="superscript"/>
        </w:rPr>
        <w:t>9</w:t>
      </w:r>
      <w:r w:rsidRPr="00350596">
        <w:rPr>
          <w:i/>
          <w:iCs/>
        </w:rPr>
        <w:t xml:space="preserve"> </w:t>
      </w:r>
      <w:r w:rsidR="00E33D16" w:rsidRPr="00350596">
        <w:rPr>
          <w:i/>
          <w:iCs/>
        </w:rPr>
        <w:t>$90 million to &lt; $100 million</w:t>
      </w:r>
    </w:p>
    <w:p w14:paraId="2C3684E3" w14:textId="4EB3F25E" w:rsidR="00AD7026" w:rsidRPr="00350596" w:rsidRDefault="00CF001C" w:rsidP="00E33D16">
      <w:pPr>
        <w:pStyle w:val="COMTablefooter"/>
        <w:rPr>
          <w:i/>
          <w:iCs/>
        </w:rPr>
      </w:pPr>
      <w:r w:rsidRPr="00350596">
        <w:rPr>
          <w:i/>
          <w:iCs/>
          <w:vertAlign w:val="superscript"/>
        </w:rPr>
        <w:t>10</w:t>
      </w:r>
      <w:r w:rsidRPr="00350596">
        <w:rPr>
          <w:i/>
          <w:iCs/>
        </w:rPr>
        <w:t xml:space="preserve"> </w:t>
      </w:r>
      <w:r w:rsidR="00E33D16" w:rsidRPr="00350596">
        <w:rPr>
          <w:i/>
          <w:iCs/>
        </w:rPr>
        <w:t>$100 million to &lt; $200 million</w:t>
      </w:r>
    </w:p>
    <w:p w14:paraId="019BEDDB" w14:textId="77777777" w:rsidR="009F6806" w:rsidRPr="00350596" w:rsidRDefault="009F6806" w:rsidP="00E33D16">
      <w:pPr>
        <w:pStyle w:val="COMTablefooter"/>
        <w:rPr>
          <w:i/>
          <w:iCs/>
        </w:rPr>
      </w:pPr>
      <w:r w:rsidRPr="00350596">
        <w:rPr>
          <w:i/>
          <w:iCs/>
          <w:vertAlign w:val="superscript"/>
        </w:rPr>
        <w:t>11</w:t>
      </w:r>
      <w:r w:rsidRPr="00350596">
        <w:t xml:space="preserve"> </w:t>
      </w:r>
      <w:r w:rsidRPr="00350596">
        <w:rPr>
          <w:i/>
          <w:iCs/>
        </w:rPr>
        <w:t xml:space="preserve">net cost saving </w:t>
      </w:r>
    </w:p>
    <w:p w14:paraId="55CA132C" w14:textId="55538ED9" w:rsidR="00E33D16" w:rsidRPr="00350596" w:rsidRDefault="009F6806" w:rsidP="00E33D16">
      <w:pPr>
        <w:pStyle w:val="COMTablefooter"/>
        <w:rPr>
          <w:i/>
          <w:iCs/>
        </w:rPr>
      </w:pPr>
      <w:r w:rsidRPr="00350596">
        <w:rPr>
          <w:i/>
          <w:iCs/>
          <w:vertAlign w:val="superscript"/>
        </w:rPr>
        <w:t>12</w:t>
      </w:r>
      <w:r w:rsidRPr="00350596">
        <w:rPr>
          <w:i/>
          <w:iCs/>
        </w:rPr>
        <w:t xml:space="preserve"> </w:t>
      </w:r>
      <w:r w:rsidR="00E33D16" w:rsidRPr="00350596">
        <w:rPr>
          <w:i/>
          <w:iCs/>
        </w:rPr>
        <w:t>$30 million to &lt; $40 million</w:t>
      </w:r>
    </w:p>
    <w:p w14:paraId="0C032D2E" w14:textId="0D875DE5" w:rsidR="00F85CFA" w:rsidRPr="00350596" w:rsidRDefault="009F6806" w:rsidP="0085711E">
      <w:pPr>
        <w:pStyle w:val="COMTablefooter"/>
        <w:rPr>
          <w:i/>
          <w:iCs/>
        </w:rPr>
      </w:pPr>
      <w:r w:rsidRPr="00350596">
        <w:rPr>
          <w:i/>
          <w:iCs/>
          <w:vertAlign w:val="superscript"/>
        </w:rPr>
        <w:t xml:space="preserve">13 </w:t>
      </w:r>
      <w:r w:rsidR="00E33D16" w:rsidRPr="00350596">
        <w:rPr>
          <w:i/>
          <w:iCs/>
        </w:rPr>
        <w:t>$50 million to &lt; $60 million</w:t>
      </w:r>
    </w:p>
    <w:p w14:paraId="70E8EB0A" w14:textId="24627046" w:rsidR="00F85CFA" w:rsidRPr="00350596" w:rsidRDefault="00F85CFA" w:rsidP="00F85CFA">
      <w:pPr>
        <w:numPr>
          <w:ilvl w:val="1"/>
          <w:numId w:val="4"/>
        </w:numPr>
        <w:spacing w:before="60" w:after="60"/>
        <w:rPr>
          <w:rFonts w:asciiTheme="minorHAnsi" w:eastAsiaTheme="minorHAnsi" w:hAnsiTheme="minorHAnsi" w:cstheme="minorBidi"/>
          <w:szCs w:val="22"/>
        </w:rPr>
      </w:pPr>
      <w:r w:rsidRPr="00350596">
        <w:rPr>
          <w:rFonts w:asciiTheme="minorHAnsi" w:eastAsiaTheme="minorHAnsi" w:hAnsiTheme="minorHAnsi" w:cstheme="minorBidi"/>
          <w:szCs w:val="22"/>
        </w:rPr>
        <w:t xml:space="preserve">The </w:t>
      </w:r>
      <w:r w:rsidR="00533AAA" w:rsidRPr="00350596">
        <w:rPr>
          <w:rFonts w:asciiTheme="minorHAnsi" w:eastAsiaTheme="minorHAnsi" w:hAnsiTheme="minorHAnsi" w:cstheme="minorBidi"/>
          <w:szCs w:val="22"/>
        </w:rPr>
        <w:t xml:space="preserve">submission </w:t>
      </w:r>
      <w:r w:rsidRPr="00350596">
        <w:rPr>
          <w:rFonts w:asciiTheme="minorHAnsi" w:eastAsiaTheme="minorHAnsi" w:hAnsiTheme="minorHAnsi" w:cstheme="minorBidi"/>
          <w:szCs w:val="22"/>
        </w:rPr>
        <w:t xml:space="preserve">estimated </w:t>
      </w:r>
      <w:r w:rsidR="00533AAA" w:rsidRPr="00350596">
        <w:rPr>
          <w:rFonts w:asciiTheme="minorHAnsi" w:eastAsiaTheme="minorHAnsi" w:hAnsiTheme="minorHAnsi" w:cstheme="minorBidi"/>
          <w:szCs w:val="22"/>
        </w:rPr>
        <w:t xml:space="preserve">the </w:t>
      </w:r>
      <w:r w:rsidRPr="00350596">
        <w:rPr>
          <w:rFonts w:asciiTheme="minorHAnsi" w:eastAsiaTheme="minorHAnsi" w:hAnsiTheme="minorHAnsi" w:cstheme="minorBidi"/>
          <w:szCs w:val="22"/>
        </w:rPr>
        <w:t xml:space="preserve">cost to the PBS/RPBS of listing efgartigimod for generalised myasthenia gravis was </w:t>
      </w:r>
      <w:r w:rsidR="0065476E" w:rsidRPr="00350596">
        <w:rPr>
          <w:rFonts w:asciiTheme="minorHAnsi" w:eastAsiaTheme="minorHAnsi" w:hAnsiTheme="minorHAnsi" w:cstheme="minorBidi"/>
          <w:szCs w:val="22"/>
        </w:rPr>
        <w:t>$20 million to &lt; $30 million</w:t>
      </w:r>
      <w:r w:rsidR="0065476E" w:rsidRPr="00350596" w:rsidDel="0065476E">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 xml:space="preserve">in Year 1, increasing to </w:t>
      </w:r>
      <w:r w:rsidR="0065476E" w:rsidRPr="00350596">
        <w:rPr>
          <w:rFonts w:asciiTheme="minorHAnsi" w:eastAsiaTheme="minorHAnsi" w:hAnsiTheme="minorHAnsi" w:cstheme="minorBidi"/>
          <w:szCs w:val="22"/>
        </w:rPr>
        <w:t>$100 million to &lt; $200 million</w:t>
      </w:r>
      <w:r w:rsidR="00E50761" w:rsidRPr="00350596">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 xml:space="preserve">in Year 6, a total cost of </w:t>
      </w:r>
      <w:r w:rsidR="008A4C7F" w:rsidRPr="00350596">
        <w:rPr>
          <w:rFonts w:asciiTheme="minorHAnsi" w:eastAsiaTheme="minorHAnsi" w:hAnsiTheme="minorHAnsi" w:cstheme="minorBidi"/>
          <w:szCs w:val="22"/>
        </w:rPr>
        <w:t>$400 million to &lt;</w:t>
      </w:r>
      <w:r w:rsidR="00766727">
        <w:rPr>
          <w:rFonts w:asciiTheme="minorHAnsi" w:eastAsiaTheme="minorHAnsi" w:hAnsiTheme="minorHAnsi" w:cstheme="minorBidi"/>
          <w:szCs w:val="22"/>
        </w:rPr>
        <w:t> </w:t>
      </w:r>
      <w:r w:rsidR="008A4C7F" w:rsidRPr="00350596">
        <w:rPr>
          <w:rFonts w:asciiTheme="minorHAnsi" w:eastAsiaTheme="minorHAnsi" w:hAnsiTheme="minorHAnsi" w:cstheme="minorBidi"/>
          <w:szCs w:val="22"/>
        </w:rPr>
        <w:t>$500</w:t>
      </w:r>
      <w:r w:rsidR="00766727">
        <w:rPr>
          <w:rFonts w:asciiTheme="minorHAnsi" w:eastAsiaTheme="minorHAnsi" w:hAnsiTheme="minorHAnsi" w:cstheme="minorBidi"/>
          <w:szCs w:val="22"/>
        </w:rPr>
        <w:t> </w:t>
      </w:r>
      <w:r w:rsidR="008A4C7F" w:rsidRPr="00350596">
        <w:rPr>
          <w:rFonts w:asciiTheme="minorHAnsi" w:eastAsiaTheme="minorHAnsi" w:hAnsiTheme="minorHAnsi" w:cstheme="minorBidi"/>
          <w:szCs w:val="22"/>
        </w:rPr>
        <w:t>million</w:t>
      </w:r>
      <w:r w:rsidR="00E50761" w:rsidRPr="00350596">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over the first six years of listing. The net cost to the PBS/RBS including cost offsets due to substituted use of corticosteroids was similar.</w:t>
      </w:r>
    </w:p>
    <w:p w14:paraId="328DDAB7" w14:textId="32886FFB" w:rsidR="00F85CFA" w:rsidRPr="00350596" w:rsidRDefault="00F85CFA" w:rsidP="00F85CFA">
      <w:pPr>
        <w:numPr>
          <w:ilvl w:val="1"/>
          <w:numId w:val="4"/>
        </w:numPr>
        <w:spacing w:before="60" w:after="60"/>
        <w:rPr>
          <w:rFonts w:asciiTheme="minorHAnsi" w:eastAsiaTheme="minorHAnsi" w:hAnsiTheme="minorHAnsi" w:cstheme="minorBidi"/>
          <w:szCs w:val="22"/>
        </w:rPr>
      </w:pPr>
      <w:r w:rsidRPr="00350596">
        <w:rPr>
          <w:rFonts w:asciiTheme="minorHAnsi" w:eastAsiaTheme="minorHAnsi" w:hAnsiTheme="minorHAnsi" w:cstheme="minorBidi"/>
          <w:szCs w:val="22"/>
        </w:rPr>
        <w:lastRenderedPageBreak/>
        <w:t xml:space="preserve">The </w:t>
      </w:r>
      <w:r w:rsidR="00533AAA" w:rsidRPr="00350596">
        <w:rPr>
          <w:rFonts w:asciiTheme="minorHAnsi" w:eastAsiaTheme="minorHAnsi" w:hAnsiTheme="minorHAnsi" w:cstheme="minorBidi"/>
          <w:szCs w:val="22"/>
        </w:rPr>
        <w:t xml:space="preserve">submission </w:t>
      </w:r>
      <w:r w:rsidRPr="00350596">
        <w:rPr>
          <w:rFonts w:asciiTheme="minorHAnsi" w:eastAsiaTheme="minorHAnsi" w:hAnsiTheme="minorHAnsi" w:cstheme="minorBidi"/>
          <w:szCs w:val="22"/>
        </w:rPr>
        <w:t xml:space="preserve">estimated </w:t>
      </w:r>
      <w:r w:rsidR="00533AAA" w:rsidRPr="00350596">
        <w:rPr>
          <w:rFonts w:asciiTheme="minorHAnsi" w:eastAsiaTheme="minorHAnsi" w:hAnsiTheme="minorHAnsi" w:cstheme="minorBidi"/>
          <w:szCs w:val="22"/>
        </w:rPr>
        <w:t xml:space="preserve">the </w:t>
      </w:r>
      <w:r w:rsidRPr="00350596">
        <w:rPr>
          <w:rFonts w:asciiTheme="minorHAnsi" w:eastAsiaTheme="minorHAnsi" w:hAnsiTheme="minorHAnsi" w:cstheme="minorBidi"/>
          <w:szCs w:val="22"/>
        </w:rPr>
        <w:t xml:space="preserve">net cost to government was </w:t>
      </w:r>
      <w:r w:rsidR="008A4C7F" w:rsidRPr="00350596">
        <w:rPr>
          <w:rFonts w:asciiTheme="minorHAnsi" w:eastAsiaTheme="minorHAnsi" w:hAnsiTheme="minorHAnsi" w:cstheme="minorBidi"/>
          <w:szCs w:val="22"/>
        </w:rPr>
        <w:t>$20 million to &lt;</w:t>
      </w:r>
      <w:r w:rsidR="00766727">
        <w:rPr>
          <w:rFonts w:asciiTheme="minorHAnsi" w:eastAsiaTheme="minorHAnsi" w:hAnsiTheme="minorHAnsi" w:cstheme="minorBidi"/>
          <w:szCs w:val="22"/>
        </w:rPr>
        <w:t> </w:t>
      </w:r>
      <w:r w:rsidR="008A4C7F" w:rsidRPr="00350596">
        <w:rPr>
          <w:rFonts w:asciiTheme="minorHAnsi" w:eastAsiaTheme="minorHAnsi" w:hAnsiTheme="minorHAnsi" w:cstheme="minorBidi"/>
          <w:szCs w:val="22"/>
        </w:rPr>
        <w:t>$30</w:t>
      </w:r>
      <w:r w:rsidR="00766727">
        <w:rPr>
          <w:rFonts w:asciiTheme="minorHAnsi" w:eastAsiaTheme="minorHAnsi" w:hAnsiTheme="minorHAnsi" w:cstheme="minorBidi"/>
          <w:szCs w:val="22"/>
        </w:rPr>
        <w:t> </w:t>
      </w:r>
      <w:r w:rsidR="008A4C7F" w:rsidRPr="00350596">
        <w:rPr>
          <w:rFonts w:asciiTheme="minorHAnsi" w:eastAsiaTheme="minorHAnsi" w:hAnsiTheme="minorHAnsi" w:cstheme="minorBidi"/>
          <w:szCs w:val="22"/>
        </w:rPr>
        <w:t xml:space="preserve">million </w:t>
      </w:r>
      <w:r w:rsidRPr="00350596">
        <w:rPr>
          <w:rFonts w:asciiTheme="minorHAnsi" w:eastAsiaTheme="minorHAnsi" w:hAnsiTheme="minorHAnsi" w:cstheme="minorBidi"/>
          <w:szCs w:val="22"/>
        </w:rPr>
        <w:t xml:space="preserve">in Year 1, increasing to </w:t>
      </w:r>
      <w:r w:rsidR="004E2016" w:rsidRPr="00350596">
        <w:rPr>
          <w:rFonts w:asciiTheme="minorHAnsi" w:eastAsiaTheme="minorHAnsi" w:hAnsiTheme="minorHAnsi" w:cstheme="minorBidi"/>
          <w:szCs w:val="22"/>
        </w:rPr>
        <w:t>$80 million to &lt; $90 million</w:t>
      </w:r>
      <w:r w:rsidR="008D6A88" w:rsidRPr="00350596">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 xml:space="preserve">in Year 6, a total cost of </w:t>
      </w:r>
      <w:r w:rsidR="009716AA" w:rsidRPr="00350596">
        <w:rPr>
          <w:rFonts w:asciiTheme="minorHAnsi" w:eastAsiaTheme="minorHAnsi" w:hAnsiTheme="minorHAnsi" w:cstheme="minorBidi"/>
          <w:szCs w:val="22"/>
        </w:rPr>
        <w:t>$300</w:t>
      </w:r>
      <w:r w:rsidR="00766727">
        <w:rPr>
          <w:rFonts w:asciiTheme="minorHAnsi" w:eastAsiaTheme="minorHAnsi" w:hAnsiTheme="minorHAnsi" w:cstheme="minorBidi"/>
          <w:szCs w:val="22"/>
        </w:rPr>
        <w:t> </w:t>
      </w:r>
      <w:r w:rsidR="009716AA" w:rsidRPr="00350596">
        <w:rPr>
          <w:rFonts w:asciiTheme="minorHAnsi" w:eastAsiaTheme="minorHAnsi" w:hAnsiTheme="minorHAnsi" w:cstheme="minorBidi"/>
          <w:szCs w:val="22"/>
        </w:rPr>
        <w:t>million</w:t>
      </w:r>
      <w:r w:rsidR="00766727">
        <w:rPr>
          <w:rFonts w:asciiTheme="minorHAnsi" w:eastAsiaTheme="minorHAnsi" w:hAnsiTheme="minorHAnsi" w:cstheme="minorBidi"/>
          <w:szCs w:val="22"/>
        </w:rPr>
        <w:t> </w:t>
      </w:r>
      <w:r w:rsidR="009716AA" w:rsidRPr="00350596">
        <w:rPr>
          <w:rFonts w:asciiTheme="minorHAnsi" w:eastAsiaTheme="minorHAnsi" w:hAnsiTheme="minorHAnsi" w:cstheme="minorBidi"/>
          <w:szCs w:val="22"/>
        </w:rPr>
        <w:t>to &lt; $400 million</w:t>
      </w:r>
      <w:r w:rsidR="008D6A88" w:rsidRPr="00350596">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 xml:space="preserve">over the first six years of listing. The estimated net cost to government excluding State/Territory costs was </w:t>
      </w:r>
      <w:r w:rsidR="009716AA" w:rsidRPr="00350596">
        <w:rPr>
          <w:rFonts w:asciiTheme="minorHAnsi" w:eastAsiaTheme="minorHAnsi" w:hAnsiTheme="minorHAnsi" w:cstheme="minorBidi"/>
          <w:szCs w:val="22"/>
        </w:rPr>
        <w:t xml:space="preserve">$20 million to &lt; $30 million </w:t>
      </w:r>
      <w:r w:rsidRPr="00350596">
        <w:rPr>
          <w:rFonts w:asciiTheme="minorHAnsi" w:eastAsiaTheme="minorHAnsi" w:hAnsiTheme="minorHAnsi" w:cstheme="minorBidi"/>
          <w:szCs w:val="22"/>
        </w:rPr>
        <w:t>in Year</w:t>
      </w:r>
      <w:r w:rsidR="00766727">
        <w:rPr>
          <w:rFonts w:asciiTheme="minorHAnsi" w:eastAsiaTheme="minorHAnsi" w:hAnsiTheme="minorHAnsi" w:cstheme="minorBidi"/>
          <w:szCs w:val="22"/>
        </w:rPr>
        <w:t> </w:t>
      </w:r>
      <w:r w:rsidRPr="00350596">
        <w:rPr>
          <w:rFonts w:asciiTheme="minorHAnsi" w:eastAsiaTheme="minorHAnsi" w:hAnsiTheme="minorHAnsi" w:cstheme="minorBidi"/>
          <w:szCs w:val="22"/>
        </w:rPr>
        <w:t xml:space="preserve">1, increasing to </w:t>
      </w:r>
      <w:r w:rsidR="009716AA" w:rsidRPr="00350596">
        <w:rPr>
          <w:rFonts w:asciiTheme="minorHAnsi" w:eastAsiaTheme="minorHAnsi" w:hAnsiTheme="minorHAnsi" w:cstheme="minorBidi"/>
          <w:szCs w:val="22"/>
        </w:rPr>
        <w:t>$80 million to &lt; $90 million</w:t>
      </w:r>
      <w:r w:rsidR="009716AA" w:rsidRPr="00350596" w:rsidDel="009716AA">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 xml:space="preserve">in Year 6, a total cost of </w:t>
      </w:r>
      <w:r w:rsidR="009716AA" w:rsidRPr="00350596">
        <w:rPr>
          <w:rFonts w:asciiTheme="minorHAnsi" w:eastAsiaTheme="minorHAnsi" w:hAnsiTheme="minorHAnsi" w:cstheme="minorBidi"/>
          <w:szCs w:val="22"/>
        </w:rPr>
        <w:t>$300 million to &lt;</w:t>
      </w:r>
      <w:r w:rsidR="00766727">
        <w:rPr>
          <w:rFonts w:asciiTheme="minorHAnsi" w:eastAsiaTheme="minorHAnsi" w:hAnsiTheme="minorHAnsi" w:cstheme="minorBidi"/>
          <w:szCs w:val="22"/>
        </w:rPr>
        <w:t> </w:t>
      </w:r>
      <w:r w:rsidR="009716AA" w:rsidRPr="00350596">
        <w:rPr>
          <w:rFonts w:asciiTheme="minorHAnsi" w:eastAsiaTheme="minorHAnsi" w:hAnsiTheme="minorHAnsi" w:cstheme="minorBidi"/>
          <w:szCs w:val="22"/>
        </w:rPr>
        <w:t>$400 million</w:t>
      </w:r>
      <w:r w:rsidR="009716AA" w:rsidRPr="00350596" w:rsidDel="009716AA">
        <w:rPr>
          <w:rFonts w:asciiTheme="minorHAnsi" w:eastAsiaTheme="minorHAnsi" w:hAnsiTheme="minorHAnsi" w:cstheme="minorBidi"/>
          <w:szCs w:val="22"/>
        </w:rPr>
        <w:t xml:space="preserve"> </w:t>
      </w:r>
      <w:r w:rsidRPr="00350596">
        <w:rPr>
          <w:rFonts w:asciiTheme="minorHAnsi" w:eastAsiaTheme="minorHAnsi" w:hAnsiTheme="minorHAnsi" w:cstheme="minorBidi"/>
          <w:szCs w:val="22"/>
        </w:rPr>
        <w:t>over the first six years of listing.</w:t>
      </w:r>
    </w:p>
    <w:p w14:paraId="070C7088" w14:textId="54E2C4F4" w:rsidR="00F85CFA" w:rsidRPr="00350596" w:rsidRDefault="00F85CFA" w:rsidP="00F85CFA">
      <w:pPr>
        <w:numPr>
          <w:ilvl w:val="1"/>
          <w:numId w:val="4"/>
        </w:numPr>
        <w:spacing w:before="60" w:after="60"/>
        <w:rPr>
          <w:rFonts w:asciiTheme="minorHAnsi" w:eastAsiaTheme="minorHAnsi" w:hAnsiTheme="minorHAnsi" w:cstheme="minorBidi"/>
          <w:szCs w:val="22"/>
        </w:rPr>
      </w:pPr>
      <w:r w:rsidRPr="00350596">
        <w:rPr>
          <w:rFonts w:asciiTheme="minorHAnsi" w:eastAsiaTheme="minorHAnsi" w:hAnsiTheme="minorHAnsi" w:cstheme="minorBidi"/>
          <w:szCs w:val="22"/>
        </w:rPr>
        <w:t xml:space="preserve">The </w:t>
      </w:r>
      <w:r w:rsidR="00936DA3" w:rsidRPr="00350596">
        <w:rPr>
          <w:rFonts w:asciiTheme="minorHAnsi" w:eastAsiaTheme="minorHAnsi" w:hAnsiTheme="minorHAnsi" w:cstheme="minorBidi"/>
          <w:szCs w:val="22"/>
        </w:rPr>
        <w:t xml:space="preserve">evaluation considered that the </w:t>
      </w:r>
      <w:r w:rsidRPr="00350596">
        <w:rPr>
          <w:rFonts w:asciiTheme="minorHAnsi" w:eastAsiaTheme="minorHAnsi" w:hAnsiTheme="minorHAnsi" w:cstheme="minorBidi"/>
          <w:szCs w:val="22"/>
        </w:rPr>
        <w:t>estimated cost to the PBS/RPBS was uncertain due to the following reasons:</w:t>
      </w:r>
    </w:p>
    <w:p w14:paraId="0345C0EA" w14:textId="77777777" w:rsidR="00F85CFA" w:rsidRPr="00350596" w:rsidRDefault="00F85CFA" w:rsidP="00F85CFA">
      <w:pPr>
        <w:numPr>
          <w:ilvl w:val="0"/>
          <w:numId w:val="21"/>
        </w:numPr>
        <w:spacing w:before="60" w:after="60"/>
        <w:ind w:left="1077" w:hanging="357"/>
        <w:rPr>
          <w:rFonts w:asciiTheme="minorHAnsi" w:eastAsiaTheme="minorHAnsi" w:hAnsiTheme="minorHAnsi" w:cstheme="minorBidi"/>
          <w:szCs w:val="22"/>
        </w:rPr>
      </w:pPr>
      <w:r w:rsidRPr="00350596">
        <w:rPr>
          <w:rFonts w:asciiTheme="minorHAnsi" w:eastAsiaTheme="minorHAnsi" w:hAnsiTheme="minorHAnsi" w:cstheme="minorBidi"/>
          <w:szCs w:val="22"/>
        </w:rPr>
        <w:t>The mixed market share/epidemiological approach used in the submission assumed that there would be no substantial differences in patterns of use between IVIg and newer therapies despite differences in initiation rules, dosing intervals (cyclical, continuous), continuation rules and stopping rules. This approach also assumed that newer therapies will not grow the market despite potentially offering another line of therapy (i.e. in patients intolerant or inadequately responsive to IVIg/PLEX).</w:t>
      </w:r>
    </w:p>
    <w:p w14:paraId="26068AA1" w14:textId="77777777" w:rsidR="00F85CFA" w:rsidRPr="00350596" w:rsidRDefault="00F85CFA" w:rsidP="00F85CFA">
      <w:pPr>
        <w:numPr>
          <w:ilvl w:val="0"/>
          <w:numId w:val="21"/>
        </w:numPr>
        <w:spacing w:before="60" w:after="60"/>
        <w:ind w:left="1077" w:hanging="357"/>
        <w:rPr>
          <w:rFonts w:asciiTheme="minorHAnsi" w:eastAsiaTheme="minorEastAsia" w:hAnsiTheme="minorHAnsi" w:cstheme="minorBidi"/>
        </w:rPr>
      </w:pPr>
      <w:r w:rsidRPr="00350596">
        <w:rPr>
          <w:rFonts w:asciiTheme="minorHAnsi" w:eastAsiaTheme="minorEastAsia" w:hAnsiTheme="minorHAnsi" w:cstheme="minorBidi"/>
        </w:rPr>
        <w:t>The estimated proportion of patients with MG-ADL ≥ 5 was based on all generalised myasthenia gravis patients rather than the subset of patients using IVIg who are required to have an MGC score ≥ 4. It is likely that a substantially higher proportion of patients using IVIg will meet the MG-ADL criterion compared to the overall myasthenia gravis population.</w:t>
      </w:r>
    </w:p>
    <w:p w14:paraId="6401101D" w14:textId="77777777" w:rsidR="00F85CFA" w:rsidRPr="00350596" w:rsidRDefault="00F85CFA" w:rsidP="00F85CFA">
      <w:pPr>
        <w:numPr>
          <w:ilvl w:val="0"/>
          <w:numId w:val="21"/>
        </w:numPr>
        <w:spacing w:before="60" w:after="60"/>
        <w:ind w:left="1077" w:hanging="357"/>
        <w:rPr>
          <w:rFonts w:asciiTheme="minorHAnsi" w:eastAsiaTheme="minorEastAsia" w:hAnsiTheme="minorHAnsi" w:cstheme="minorBidi"/>
        </w:rPr>
      </w:pPr>
      <w:r w:rsidRPr="00350596">
        <w:rPr>
          <w:rFonts w:asciiTheme="minorHAnsi" w:eastAsiaTheme="minorEastAsia" w:hAnsiTheme="minorHAnsi" w:cstheme="minorBidi"/>
        </w:rPr>
        <w:t>The assumption of similar uptake rates from established users and new users was not adequately justified given that many patients may be adequately managed with their existing IVIg treatment.</w:t>
      </w:r>
    </w:p>
    <w:p w14:paraId="17D42046" w14:textId="77777777" w:rsidR="00F85CFA" w:rsidRPr="00350596" w:rsidRDefault="00F85CFA" w:rsidP="00F85CFA">
      <w:pPr>
        <w:numPr>
          <w:ilvl w:val="0"/>
          <w:numId w:val="21"/>
        </w:numPr>
        <w:spacing w:before="60" w:after="60"/>
        <w:ind w:left="1077" w:hanging="357"/>
        <w:rPr>
          <w:rFonts w:asciiTheme="minorHAnsi" w:eastAsiaTheme="minorHAnsi" w:hAnsiTheme="minorHAnsi" w:cstheme="minorBidi"/>
          <w:szCs w:val="22"/>
        </w:rPr>
      </w:pPr>
      <w:r w:rsidRPr="00350596">
        <w:rPr>
          <w:rFonts w:asciiTheme="minorHAnsi" w:eastAsiaTheme="minorHAnsi" w:hAnsiTheme="minorHAnsi" w:cstheme="minorBidi"/>
          <w:szCs w:val="22"/>
        </w:rPr>
        <w:t>The assumed market dynamics were uncertain given the potential entry of multiple new therapies for myasthenia gravis, with different modes of action, method and frequency of administration and different adverse event profiles.</w:t>
      </w:r>
    </w:p>
    <w:p w14:paraId="3FE6DAF2" w14:textId="77777777" w:rsidR="00F85CFA" w:rsidRPr="00350596" w:rsidRDefault="00F85CFA" w:rsidP="00F85CFA">
      <w:pPr>
        <w:numPr>
          <w:ilvl w:val="0"/>
          <w:numId w:val="21"/>
        </w:numPr>
        <w:spacing w:before="60" w:after="60"/>
        <w:ind w:left="1077" w:hanging="357"/>
        <w:rPr>
          <w:rFonts w:asciiTheme="minorHAnsi" w:eastAsiaTheme="minorHAnsi" w:hAnsiTheme="minorHAnsi" w:cstheme="minorBidi"/>
          <w:szCs w:val="22"/>
        </w:rPr>
      </w:pPr>
      <w:r w:rsidRPr="00350596">
        <w:rPr>
          <w:rFonts w:asciiTheme="minorHAnsi" w:eastAsiaTheme="minorHAnsi" w:hAnsiTheme="minorHAnsi" w:cstheme="minorBidi"/>
          <w:szCs w:val="22"/>
        </w:rPr>
        <w:t xml:space="preserve">Estimates of utilisation for efgartigimod were based on patient-years of therapy assuming uptake was equally distributed across the year. This was not consistent with other estimates included in the budget impact model which were based on total patients using full calendar years of treatment (particularly IVIg cost offsets). </w:t>
      </w:r>
    </w:p>
    <w:p w14:paraId="166A54A0" w14:textId="77777777" w:rsidR="00F85CFA" w:rsidRPr="00350596" w:rsidRDefault="00F85CFA" w:rsidP="00F85CFA">
      <w:pPr>
        <w:numPr>
          <w:ilvl w:val="0"/>
          <w:numId w:val="21"/>
        </w:numPr>
        <w:ind w:left="1077" w:hanging="357"/>
        <w:contextualSpacing/>
        <w:rPr>
          <w:rFonts w:asciiTheme="minorHAnsi" w:eastAsiaTheme="minorEastAsia" w:hAnsiTheme="minorHAnsi" w:cstheme="minorBidi"/>
        </w:rPr>
      </w:pPr>
      <w:r w:rsidRPr="00350596">
        <w:rPr>
          <w:rFonts w:asciiTheme="minorHAnsi" w:eastAsiaTheme="minorEastAsia" w:hAnsiTheme="minorHAnsi" w:cstheme="minorBidi"/>
        </w:rPr>
        <w:t>It was unclear whether the efgartigimod utilisation estimates from the ADAPT trial and extension (observed in a tightly regulated clinical study setting with specific rules regarding re-treatment) would be representative of Australian clinical practice.</w:t>
      </w:r>
    </w:p>
    <w:p w14:paraId="0F2FDE8C" w14:textId="065A4BEA" w:rsidR="00D934FD" w:rsidRPr="00350596" w:rsidRDefault="00D934FD" w:rsidP="00D934FD">
      <w:pPr>
        <w:pStyle w:val="COMexecsummnumbered"/>
        <w:rPr>
          <w:rFonts w:eastAsiaTheme="minorEastAsia"/>
          <w:szCs w:val="24"/>
        </w:rPr>
      </w:pPr>
      <w:r w:rsidRPr="00350596">
        <w:rPr>
          <w:rFonts w:eastAsiaTheme="minorEastAsia"/>
          <w:szCs w:val="24"/>
        </w:rPr>
        <w:t>DUSC considered the estimates presented in the submission to be underestimated, and that the main issues were:</w:t>
      </w:r>
    </w:p>
    <w:p w14:paraId="3A7951CA" w14:textId="592E0FE7" w:rsidR="00D934FD" w:rsidRPr="00350596" w:rsidRDefault="00D934FD" w:rsidP="00907957">
      <w:pPr>
        <w:numPr>
          <w:ilvl w:val="0"/>
          <w:numId w:val="21"/>
        </w:numPr>
        <w:spacing w:after="120"/>
        <w:ind w:left="1077" w:hanging="357"/>
        <w:rPr>
          <w:rFonts w:eastAsiaTheme="minorEastAsia"/>
        </w:rPr>
      </w:pPr>
      <w:r w:rsidRPr="00350596">
        <w:rPr>
          <w:rFonts w:eastAsiaTheme="minorEastAsia"/>
        </w:rPr>
        <w:t xml:space="preserve">DUSC commented that the estimates were highly sensitive to the treatment uptake rate and market share. </w:t>
      </w:r>
    </w:p>
    <w:p w14:paraId="5B437D4F" w14:textId="2C8AFB17" w:rsidR="00D934FD" w:rsidRPr="00350596" w:rsidRDefault="00D934FD" w:rsidP="00907957">
      <w:pPr>
        <w:numPr>
          <w:ilvl w:val="0"/>
          <w:numId w:val="21"/>
        </w:numPr>
        <w:spacing w:after="120"/>
        <w:ind w:left="1077" w:hanging="357"/>
        <w:rPr>
          <w:rFonts w:eastAsiaTheme="minorEastAsia"/>
        </w:rPr>
      </w:pPr>
      <w:r w:rsidRPr="00350596">
        <w:rPr>
          <w:rFonts w:eastAsiaTheme="minorEastAsia"/>
        </w:rPr>
        <w:lastRenderedPageBreak/>
        <w:t>DUSC noted that the submission has estimated a higher number of IVIg users when compared to the updated NBA data. DUSC considered that using the updated NBA data would lower the financial estimate for this input.</w:t>
      </w:r>
    </w:p>
    <w:p w14:paraId="472B321D" w14:textId="6FEAF1C5" w:rsidR="00D934FD" w:rsidRPr="00350596" w:rsidRDefault="00D934FD" w:rsidP="00907957">
      <w:pPr>
        <w:numPr>
          <w:ilvl w:val="0"/>
          <w:numId w:val="21"/>
        </w:numPr>
        <w:spacing w:after="120"/>
        <w:ind w:left="1077" w:hanging="357"/>
        <w:rPr>
          <w:rFonts w:eastAsiaTheme="minorEastAsia"/>
        </w:rPr>
      </w:pPr>
      <w:r w:rsidRPr="00350596">
        <w:rPr>
          <w:rFonts w:eastAsiaTheme="minorEastAsia"/>
        </w:rPr>
        <w:t>DUSC considered that some changes to highly sensitive assumptions would result in more reliable estimates, that are higher than the submission’s base case estimates. DUSC noted that the:</w:t>
      </w:r>
    </w:p>
    <w:p w14:paraId="5F2E6A62" w14:textId="34497846" w:rsidR="00D934FD" w:rsidRPr="00350596" w:rsidRDefault="00D934FD" w:rsidP="00D934FD">
      <w:pPr>
        <w:pStyle w:val="COMexecsummnumbered"/>
        <w:numPr>
          <w:ilvl w:val="1"/>
          <w:numId w:val="28"/>
        </w:numPr>
        <w:rPr>
          <w:rFonts w:eastAsiaTheme="minorEastAsia"/>
          <w:szCs w:val="24"/>
        </w:rPr>
      </w:pPr>
      <w:r w:rsidRPr="00350596">
        <w:rPr>
          <w:rFonts w:eastAsiaTheme="minorEastAsia"/>
          <w:szCs w:val="24"/>
        </w:rPr>
        <w:t>Sponsor’s assumed proportion of patients using IVIg for maintenance therapy rate (80%) was lower than compared to the updated NBA data (mean 87%). DUSC commented that the sponsor could update these estimates with the newer NBA data.</w:t>
      </w:r>
    </w:p>
    <w:p w14:paraId="247D4DCE" w14:textId="77777777" w:rsidR="00D934FD" w:rsidRPr="00350596" w:rsidRDefault="00D934FD" w:rsidP="00D934FD">
      <w:pPr>
        <w:pStyle w:val="COMexecsummnumbered"/>
        <w:numPr>
          <w:ilvl w:val="1"/>
          <w:numId w:val="28"/>
        </w:numPr>
        <w:rPr>
          <w:rFonts w:eastAsiaTheme="minorEastAsia"/>
          <w:szCs w:val="24"/>
        </w:rPr>
      </w:pPr>
      <w:r w:rsidRPr="00350596">
        <w:rPr>
          <w:rFonts w:eastAsiaTheme="minorEastAsia"/>
          <w:szCs w:val="24"/>
        </w:rPr>
        <w:t>predicted uptake among eligible patients is probably low, due to the poor evidence base for current options, and difficulties in access and likely patient demand.</w:t>
      </w:r>
    </w:p>
    <w:p w14:paraId="761E9F64" w14:textId="77777777" w:rsidR="00D934FD" w:rsidRPr="00350596" w:rsidRDefault="00D934FD" w:rsidP="00D934FD">
      <w:pPr>
        <w:pStyle w:val="COMexecsummnumbered"/>
        <w:numPr>
          <w:ilvl w:val="1"/>
          <w:numId w:val="28"/>
        </w:numPr>
        <w:rPr>
          <w:rFonts w:eastAsiaTheme="minorEastAsia"/>
          <w:szCs w:val="24"/>
        </w:rPr>
      </w:pPr>
      <w:r w:rsidRPr="00350596">
        <w:rPr>
          <w:rFonts w:eastAsiaTheme="minorEastAsia"/>
          <w:szCs w:val="24"/>
        </w:rPr>
        <w:t xml:space="preserve">there is potential for uptake higher up in the treatment cascade by patients who are not currently eligible for IVIg, given the current wording of the proposed restriction. </w:t>
      </w:r>
    </w:p>
    <w:p w14:paraId="0FD5AB14" w14:textId="77777777" w:rsidR="00D934FD" w:rsidRPr="00350596" w:rsidRDefault="00D934FD" w:rsidP="00D934FD">
      <w:pPr>
        <w:pStyle w:val="COMexecsummnumbered"/>
        <w:numPr>
          <w:ilvl w:val="1"/>
          <w:numId w:val="28"/>
        </w:numPr>
        <w:rPr>
          <w:rFonts w:eastAsiaTheme="minorEastAsia"/>
          <w:szCs w:val="24"/>
        </w:rPr>
      </w:pPr>
      <w:r w:rsidRPr="00350596">
        <w:rPr>
          <w:rFonts w:eastAsiaTheme="minorEastAsia"/>
          <w:szCs w:val="24"/>
        </w:rPr>
        <w:t xml:space="preserve">annual number of treatment cycles estimate is low, DUSC considered that the real-world estimate from Bhavaraju-Sanka (2024) of treatment-free interval between cycles (4-6 weeks) could be used instead of the ADAPT interval (8 weeks). </w:t>
      </w:r>
    </w:p>
    <w:p w14:paraId="1310D989" w14:textId="3E2DFCB8" w:rsidR="00D934FD" w:rsidRPr="00350596" w:rsidRDefault="00D934FD" w:rsidP="00907957">
      <w:pPr>
        <w:numPr>
          <w:ilvl w:val="0"/>
          <w:numId w:val="21"/>
        </w:numPr>
        <w:spacing w:before="120" w:after="120"/>
        <w:ind w:left="1077" w:hanging="357"/>
        <w:rPr>
          <w:rFonts w:eastAsiaTheme="minorEastAsia"/>
        </w:rPr>
      </w:pPr>
      <w:r w:rsidRPr="00350596">
        <w:rPr>
          <w:rFonts w:eastAsiaTheme="minorEastAsia"/>
        </w:rPr>
        <w:t xml:space="preserve">DUSC agreed with the commentary that the estimated proportion of patients with MG-ADL ≥ 5 was based on all gMG patients rather than the subset of patients using IVIg who are required to have an MGC score ≥ 4. It is likely that a substantially higher proportion of patients using IVIg will meet the MG-ADL criterion compared to the overall myasthenia gravis population. </w:t>
      </w:r>
    </w:p>
    <w:p w14:paraId="612D5E53" w14:textId="77777777" w:rsidR="007D5205" w:rsidRPr="00350596" w:rsidRDefault="00CB33B0" w:rsidP="004F32F6">
      <w:pPr>
        <w:numPr>
          <w:ilvl w:val="1"/>
          <w:numId w:val="4"/>
        </w:numPr>
        <w:spacing w:before="60" w:after="60"/>
        <w:rPr>
          <w:rFonts w:asciiTheme="minorHAnsi" w:eastAsiaTheme="minorEastAsia" w:hAnsiTheme="minorHAnsi" w:cstheme="minorBidi"/>
        </w:rPr>
      </w:pPr>
      <w:r w:rsidRPr="00350596">
        <w:rPr>
          <w:rFonts w:asciiTheme="minorHAnsi" w:eastAsiaTheme="minorEastAsia" w:hAnsiTheme="minorHAnsi" w:cstheme="minorBidi"/>
        </w:rPr>
        <w:t xml:space="preserve">As outlined in Section 7, the ESC considered that the use of IVIg as maintenance therapy, from the NBA data, may be a more appropriate starting point to estimate the use of new gMG therapies. </w:t>
      </w:r>
    </w:p>
    <w:p w14:paraId="1D25956B" w14:textId="0B4F1C79" w:rsidR="00CB33B0" w:rsidRPr="00350596" w:rsidRDefault="00CB33B0" w:rsidP="00766727">
      <w:pPr>
        <w:numPr>
          <w:ilvl w:val="1"/>
          <w:numId w:val="4"/>
        </w:numPr>
        <w:spacing w:before="60" w:after="120"/>
        <w:rPr>
          <w:rFonts w:asciiTheme="minorHAnsi" w:eastAsiaTheme="minorEastAsia" w:hAnsiTheme="minorHAnsi" w:cstheme="minorBidi"/>
        </w:rPr>
      </w:pPr>
      <w:r w:rsidRPr="00350596">
        <w:rPr>
          <w:rFonts w:asciiTheme="minorHAnsi" w:eastAsiaTheme="minorEastAsia" w:hAnsiTheme="minorHAnsi" w:cstheme="minorBidi"/>
        </w:rPr>
        <w:t xml:space="preserve">The PBAC agreed with the ESC and advised the parameters </w:t>
      </w:r>
      <w:r w:rsidRPr="00350596">
        <w:rPr>
          <w:rFonts w:asciiTheme="minorHAnsi" w:eastAsiaTheme="minorEastAsia" w:hAnsiTheme="minorHAnsi" w:cstheme="minorHAnsi"/>
        </w:rPr>
        <w:t xml:space="preserve">outlined in </w:t>
      </w:r>
      <w:r w:rsidR="002439DF" w:rsidRPr="00350596">
        <w:rPr>
          <w:rFonts w:asciiTheme="minorHAnsi" w:eastAsiaTheme="minorEastAsia" w:hAnsiTheme="minorHAnsi" w:cstheme="minorHAnsi"/>
        </w:rPr>
        <w:fldChar w:fldCharType="begin"/>
      </w:r>
      <w:r w:rsidR="002439DF" w:rsidRPr="00350596">
        <w:rPr>
          <w:rFonts w:asciiTheme="minorHAnsi" w:eastAsiaTheme="minorEastAsia" w:hAnsiTheme="minorHAnsi" w:cstheme="minorHAnsi"/>
        </w:rPr>
        <w:instrText xml:space="preserve"> REF _Ref193702983 \h </w:instrText>
      </w:r>
      <w:r w:rsidR="002439DF" w:rsidRPr="00350596">
        <w:rPr>
          <w:rFonts w:asciiTheme="minorHAnsi" w:eastAsiaTheme="minorEastAsia" w:hAnsiTheme="minorHAnsi" w:cstheme="minorHAnsi"/>
        </w:rPr>
      </w:r>
      <w:r w:rsidR="002439DF" w:rsidRPr="00350596">
        <w:rPr>
          <w:rFonts w:asciiTheme="minorHAnsi" w:eastAsiaTheme="minorEastAsia" w:hAnsiTheme="minorHAnsi" w:cstheme="minorHAnsi"/>
        </w:rPr>
        <w:fldChar w:fldCharType="separate"/>
      </w:r>
      <w:r w:rsidR="002B16A5" w:rsidRPr="00350596">
        <w:rPr>
          <w:szCs w:val="20"/>
        </w:rPr>
        <w:t xml:space="preserve">Table </w:t>
      </w:r>
      <w:r w:rsidR="002B16A5">
        <w:rPr>
          <w:noProof/>
          <w:szCs w:val="20"/>
        </w:rPr>
        <w:t>17</w:t>
      </w:r>
      <w:r w:rsidR="002439DF" w:rsidRPr="00350596">
        <w:rPr>
          <w:rFonts w:asciiTheme="minorHAnsi" w:eastAsiaTheme="minorEastAsia" w:hAnsiTheme="minorHAnsi" w:cstheme="minorHAnsi"/>
        </w:rPr>
        <w:fldChar w:fldCharType="end"/>
      </w:r>
      <w:r w:rsidR="002439DF" w:rsidRPr="00350596">
        <w:rPr>
          <w:rFonts w:asciiTheme="minorHAnsi" w:eastAsiaTheme="minorEastAsia" w:hAnsiTheme="minorHAnsi" w:cstheme="minorHAnsi"/>
        </w:rPr>
        <w:t xml:space="preserve"> </w:t>
      </w:r>
      <w:r w:rsidRPr="00350596">
        <w:rPr>
          <w:rFonts w:asciiTheme="minorHAnsi" w:eastAsiaTheme="minorEastAsia" w:hAnsiTheme="minorHAnsi" w:cstheme="minorHAnsi"/>
        </w:rPr>
        <w:t>may be</w:t>
      </w:r>
      <w:r w:rsidRPr="00350596">
        <w:rPr>
          <w:rFonts w:asciiTheme="minorHAnsi" w:eastAsiaTheme="minorEastAsia" w:hAnsiTheme="minorHAnsi" w:cstheme="minorBidi"/>
        </w:rPr>
        <w:t xml:space="preserve"> reasonable for determining the estimated use and financial implications of the new therapies for gMG. </w:t>
      </w:r>
    </w:p>
    <w:p w14:paraId="3A81BB60" w14:textId="57E2F457" w:rsidR="007D6943" w:rsidRPr="00350596" w:rsidRDefault="007D6943" w:rsidP="00186337">
      <w:pPr>
        <w:pStyle w:val="Caption"/>
        <w:spacing w:before="120"/>
        <w:rPr>
          <w:szCs w:val="20"/>
          <w:lang w:val="en-AU"/>
        </w:rPr>
      </w:pPr>
      <w:bookmarkStart w:id="76" w:name="_Ref193702983"/>
      <w:bookmarkStart w:id="77" w:name="_Ref194408360"/>
      <w:r w:rsidRPr="00350596">
        <w:rPr>
          <w:szCs w:val="20"/>
          <w:lang w:val="en-AU"/>
        </w:rPr>
        <w:lastRenderedPageBreak/>
        <w:t xml:space="preserve">Table </w:t>
      </w:r>
      <w:r w:rsidRPr="00350596">
        <w:rPr>
          <w:szCs w:val="20"/>
          <w:lang w:val="en-AU"/>
        </w:rPr>
        <w:fldChar w:fldCharType="begin"/>
      </w:r>
      <w:r w:rsidRPr="00350596">
        <w:rPr>
          <w:szCs w:val="20"/>
          <w:lang w:val="en-AU"/>
        </w:rPr>
        <w:instrText xml:space="preserve"> SEQ Table \* ARABIC </w:instrText>
      </w:r>
      <w:r w:rsidRPr="00350596">
        <w:rPr>
          <w:szCs w:val="20"/>
          <w:lang w:val="en-AU"/>
        </w:rPr>
        <w:fldChar w:fldCharType="separate"/>
      </w:r>
      <w:r w:rsidR="002B16A5">
        <w:rPr>
          <w:noProof/>
          <w:szCs w:val="20"/>
          <w:lang w:val="en-AU"/>
        </w:rPr>
        <w:t>17</w:t>
      </w:r>
      <w:r w:rsidRPr="00350596">
        <w:rPr>
          <w:szCs w:val="20"/>
          <w:lang w:val="en-AU"/>
        </w:rPr>
        <w:fldChar w:fldCharType="end"/>
      </w:r>
      <w:bookmarkEnd w:id="76"/>
      <w:r w:rsidRPr="00350596">
        <w:rPr>
          <w:szCs w:val="20"/>
          <w:lang w:val="en-AU"/>
        </w:rPr>
        <w:t>: PBAC advised inputs for the financial estimates</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PBAC advised inputs for the financial estimates"/>
      </w:tblPr>
      <w:tblGrid>
        <w:gridCol w:w="1980"/>
        <w:gridCol w:w="7037"/>
      </w:tblGrid>
      <w:tr w:rsidR="007D6943" w:rsidRPr="00350596" w14:paraId="1D5C5E99" w14:textId="77777777">
        <w:trPr>
          <w:tblHeader/>
        </w:trPr>
        <w:tc>
          <w:tcPr>
            <w:tcW w:w="1098" w:type="pct"/>
            <w:vAlign w:val="center"/>
          </w:tcPr>
          <w:p w14:paraId="1DFE36A8" w14:textId="77777777" w:rsidR="007D6943" w:rsidRPr="00350596" w:rsidRDefault="007D6943" w:rsidP="00186337">
            <w:pPr>
              <w:pStyle w:val="COMTableheadingrow"/>
              <w:rPr>
                <w:lang w:val="en-AU"/>
              </w:rPr>
            </w:pPr>
            <w:r w:rsidRPr="00350596">
              <w:rPr>
                <w:lang w:val="en-AU"/>
              </w:rPr>
              <w:t>Input</w:t>
            </w:r>
          </w:p>
        </w:tc>
        <w:tc>
          <w:tcPr>
            <w:tcW w:w="3902" w:type="pct"/>
            <w:vAlign w:val="center"/>
          </w:tcPr>
          <w:p w14:paraId="3C838A45" w14:textId="77777777" w:rsidR="007D6943" w:rsidRPr="00350596" w:rsidRDefault="007D6943" w:rsidP="00186337">
            <w:pPr>
              <w:pStyle w:val="COMTableheadingrow"/>
              <w:jc w:val="center"/>
              <w:rPr>
                <w:lang w:val="en-AU"/>
              </w:rPr>
            </w:pPr>
            <w:r w:rsidRPr="00350596">
              <w:rPr>
                <w:lang w:val="en-AU"/>
              </w:rPr>
              <w:t>Value and rationale (estimated patient numbers are indicative only)</w:t>
            </w:r>
          </w:p>
        </w:tc>
      </w:tr>
      <w:tr w:rsidR="007D6943" w:rsidRPr="00350596" w14:paraId="4178F9D7" w14:textId="77777777">
        <w:trPr>
          <w:trHeight w:val="20"/>
        </w:trPr>
        <w:tc>
          <w:tcPr>
            <w:tcW w:w="1098" w:type="pct"/>
            <w:vAlign w:val="center"/>
          </w:tcPr>
          <w:p w14:paraId="7BA5CBC6" w14:textId="77777777" w:rsidR="007D6943" w:rsidRPr="00350596" w:rsidRDefault="007D6943" w:rsidP="00186337">
            <w:pPr>
              <w:pStyle w:val="COMTabletext"/>
            </w:pPr>
            <w:r w:rsidRPr="00350596">
              <w:t>Total number of patients accessing IVIg as gMG maintenance therapy</w:t>
            </w:r>
          </w:p>
        </w:tc>
        <w:tc>
          <w:tcPr>
            <w:tcW w:w="3902" w:type="pct"/>
            <w:vAlign w:val="center"/>
          </w:tcPr>
          <w:p w14:paraId="228773FA" w14:textId="606E297B" w:rsidR="007D6943" w:rsidRPr="00350596" w:rsidRDefault="007D6943" w:rsidP="00186337">
            <w:pPr>
              <w:pStyle w:val="COMTabletext"/>
            </w:pPr>
            <w:r w:rsidRPr="00350596">
              <w:t>1,324 in 2023-24 (refer to</w:t>
            </w:r>
            <w:r w:rsidR="00BD2EC0" w:rsidRPr="00350596">
              <w:t xml:space="preserve"> </w:t>
            </w:r>
            <w:r w:rsidR="00BD2EC0" w:rsidRPr="00350596">
              <w:fldChar w:fldCharType="begin"/>
            </w:r>
            <w:r w:rsidR="00BD2EC0" w:rsidRPr="00350596">
              <w:instrText xml:space="preserve"> REF _Ref190678974 \h  \* MERGEFORMAT </w:instrText>
            </w:r>
            <w:r w:rsidR="00BD2EC0" w:rsidRPr="00350596">
              <w:fldChar w:fldCharType="separate"/>
            </w:r>
            <w:r w:rsidR="002B16A5" w:rsidRPr="002B16A5">
              <w:t>Table 18</w:t>
            </w:r>
            <w:r w:rsidR="00BD2EC0" w:rsidRPr="00350596">
              <w:fldChar w:fldCharType="end"/>
            </w:r>
            <w:r w:rsidRPr="00350596">
              <w:t>)</w:t>
            </w:r>
            <w:r w:rsidR="00BD2EC0" w:rsidRPr="00350596">
              <w:t>.</w:t>
            </w:r>
          </w:p>
        </w:tc>
      </w:tr>
      <w:tr w:rsidR="007D6943" w:rsidRPr="00350596" w14:paraId="03AD0934" w14:textId="77777777">
        <w:trPr>
          <w:trHeight w:val="20"/>
        </w:trPr>
        <w:tc>
          <w:tcPr>
            <w:tcW w:w="1098" w:type="pct"/>
            <w:vAlign w:val="center"/>
          </w:tcPr>
          <w:p w14:paraId="59157389" w14:textId="77777777" w:rsidR="007D6943" w:rsidRPr="00350596" w:rsidRDefault="007D6943" w:rsidP="00186337">
            <w:pPr>
              <w:pStyle w:val="COMTabletext"/>
            </w:pPr>
            <w:r w:rsidRPr="00350596">
              <w:t>Market growth</w:t>
            </w:r>
          </w:p>
        </w:tc>
        <w:tc>
          <w:tcPr>
            <w:tcW w:w="3902" w:type="pct"/>
            <w:vAlign w:val="center"/>
          </w:tcPr>
          <w:p w14:paraId="26FE4515" w14:textId="53020FB2" w:rsidR="007D6943" w:rsidRPr="00350596" w:rsidRDefault="007D6943" w:rsidP="00186337">
            <w:pPr>
              <w:pStyle w:val="COMTabletext"/>
            </w:pPr>
            <w:r w:rsidRPr="00350596">
              <w:t>3.96% per year based on the last five years of IVIg data (i.e. 1,431 patients in Year 1 and 1,</w:t>
            </w:r>
            <w:r w:rsidR="00E628FA" w:rsidRPr="00350596">
              <w:t xml:space="preserve">738 </w:t>
            </w:r>
            <w:r w:rsidRPr="00350596">
              <w:t xml:space="preserve">patients in Year </w:t>
            </w:r>
            <w:r w:rsidR="00E628FA" w:rsidRPr="00350596">
              <w:t>6</w:t>
            </w:r>
            <w:r w:rsidRPr="00350596">
              <w:t>)</w:t>
            </w:r>
          </w:p>
        </w:tc>
      </w:tr>
      <w:tr w:rsidR="007D6943" w:rsidRPr="00350596" w14:paraId="1069EA47" w14:textId="77777777">
        <w:trPr>
          <w:trHeight w:val="20"/>
        </w:trPr>
        <w:tc>
          <w:tcPr>
            <w:tcW w:w="1098" w:type="pct"/>
            <w:vAlign w:val="center"/>
          </w:tcPr>
          <w:p w14:paraId="2046C9D0" w14:textId="77777777" w:rsidR="007D6943" w:rsidRPr="00350596" w:rsidRDefault="007D6943" w:rsidP="00186337">
            <w:pPr>
              <w:pStyle w:val="COMTabletext"/>
            </w:pPr>
            <w:r w:rsidRPr="00350596">
              <w:t>% with AChR+</w:t>
            </w:r>
          </w:p>
        </w:tc>
        <w:tc>
          <w:tcPr>
            <w:tcW w:w="3902" w:type="pct"/>
            <w:vAlign w:val="center"/>
          </w:tcPr>
          <w:p w14:paraId="56B8F3B2" w14:textId="3BCDFBFB" w:rsidR="007D6943" w:rsidRPr="00350596" w:rsidRDefault="007D6943" w:rsidP="00186337">
            <w:pPr>
              <w:pStyle w:val="COMTabletext"/>
            </w:pPr>
            <w:r w:rsidRPr="00350596">
              <w:t>85.57% based on the totality of the evidence presented across all the submissions, and similar to the estimate of 88% provided in Hendricks et al. 2019 (i.e. 1,224 patients in Year 1 and 1,</w:t>
            </w:r>
            <w:r w:rsidR="00733668" w:rsidRPr="00350596">
              <w:t xml:space="preserve">487 </w:t>
            </w:r>
            <w:r w:rsidRPr="00350596">
              <w:t xml:space="preserve">patients in Year </w:t>
            </w:r>
            <w:r w:rsidR="008B3DF8" w:rsidRPr="00350596">
              <w:t>6</w:t>
            </w:r>
            <w:r w:rsidRPr="00350596">
              <w:t>)</w:t>
            </w:r>
          </w:p>
        </w:tc>
      </w:tr>
      <w:tr w:rsidR="007D6943" w:rsidRPr="00350596" w14:paraId="4A4C4D81" w14:textId="77777777">
        <w:trPr>
          <w:trHeight w:val="20"/>
        </w:trPr>
        <w:tc>
          <w:tcPr>
            <w:tcW w:w="1098" w:type="pct"/>
            <w:vAlign w:val="center"/>
          </w:tcPr>
          <w:p w14:paraId="4A4D6DE0" w14:textId="77777777" w:rsidR="007D6943" w:rsidRPr="00350596" w:rsidRDefault="007D6943" w:rsidP="00186337">
            <w:pPr>
              <w:pStyle w:val="COMTabletext"/>
            </w:pPr>
            <w:r w:rsidRPr="00350596">
              <w:t>Uptake across all new gMG therapies that are listed</w:t>
            </w:r>
          </w:p>
        </w:tc>
        <w:tc>
          <w:tcPr>
            <w:tcW w:w="3902" w:type="pct"/>
            <w:vAlign w:val="center"/>
          </w:tcPr>
          <w:p w14:paraId="177CFA2D" w14:textId="5E522B80" w:rsidR="007D6943" w:rsidRPr="00350596" w:rsidRDefault="007D6943" w:rsidP="00186337">
            <w:pPr>
              <w:pStyle w:val="COMTabletext"/>
            </w:pPr>
            <w:r w:rsidRPr="00350596">
              <w:t xml:space="preserve">Uptake from new patients and existing IVIg users with ongoing functional impairment: </w:t>
            </w:r>
            <w:r w:rsidR="00313F98" w:rsidRPr="00350596">
              <w:t xml:space="preserve">The PBAC, in its expert opinion, considered this could be up to </w:t>
            </w:r>
            <w:r w:rsidR="00823FDB" w:rsidRPr="00823FDB">
              <w:rPr>
                <w:color w:val="000000"/>
                <w:spacing w:val="51"/>
                <w:shd w:val="solid" w:color="000000" w:fill="000000"/>
                <w:fitText w:val="325" w:id="-691795964"/>
                <w14:textFill>
                  <w14:solidFill>
                    <w14:srgbClr w14:val="000000">
                      <w14:alpha w14:val="100000"/>
                    </w14:srgbClr>
                  </w14:solidFill>
                </w14:textFill>
              </w:rPr>
              <w:t>|||</w:t>
            </w:r>
            <w:r w:rsidR="00823FDB" w:rsidRPr="00823FDB">
              <w:rPr>
                <w:color w:val="000000"/>
                <w:spacing w:val="2"/>
                <w:shd w:val="solid" w:color="000000" w:fill="000000"/>
                <w:fitText w:val="325" w:id="-691795964"/>
                <w14:textFill>
                  <w14:solidFill>
                    <w14:srgbClr w14:val="000000">
                      <w14:alpha w14:val="100000"/>
                    </w14:srgbClr>
                  </w14:solidFill>
                </w14:textFill>
              </w:rPr>
              <w:t>|</w:t>
            </w:r>
            <w:r w:rsidR="00313F98" w:rsidRPr="00350596">
              <w:t xml:space="preserve">%, and this </w:t>
            </w:r>
            <w:r w:rsidRPr="00350596">
              <w:t xml:space="preserve">could represent around </w:t>
            </w:r>
            <w:r w:rsidR="00823FDB" w:rsidRPr="00823FDB">
              <w:rPr>
                <w:color w:val="000000"/>
                <w:spacing w:val="51"/>
                <w:shd w:val="solid" w:color="000000" w:fill="000000"/>
                <w:fitText w:val="325" w:id="-691795963"/>
                <w14:textFill>
                  <w14:solidFill>
                    <w14:srgbClr w14:val="000000">
                      <w14:alpha w14:val="100000"/>
                    </w14:srgbClr>
                  </w14:solidFill>
                </w14:textFill>
              </w:rPr>
              <w:t>|||</w:t>
            </w:r>
            <w:r w:rsidR="00823FDB" w:rsidRPr="00823FDB">
              <w:rPr>
                <w:color w:val="000000"/>
                <w:spacing w:val="2"/>
                <w:shd w:val="solid" w:color="000000" w:fill="000000"/>
                <w:fitText w:val="325" w:id="-691795963"/>
                <w14:textFill>
                  <w14:solidFill>
                    <w14:srgbClr w14:val="000000">
                      <w14:alpha w14:val="100000"/>
                    </w14:srgbClr>
                  </w14:solidFill>
                </w14:textFill>
              </w:rPr>
              <w:t>|</w:t>
            </w:r>
            <w:r w:rsidRPr="00350596">
              <w:t xml:space="preserve"> of current IVIg users based on: </w:t>
            </w:r>
            <w:r w:rsidR="00823FDB" w:rsidRPr="00823FDB">
              <w:rPr>
                <w:color w:val="000000"/>
                <w:spacing w:val="51"/>
                <w:shd w:val="solid" w:color="000000" w:fill="000000"/>
                <w:fitText w:val="325" w:id="-691795962"/>
                <w14:textFill>
                  <w14:solidFill>
                    <w14:srgbClr w14:val="000000">
                      <w14:alpha w14:val="100000"/>
                    </w14:srgbClr>
                  </w14:solidFill>
                </w14:textFill>
              </w:rPr>
              <w:t>|||</w:t>
            </w:r>
            <w:r w:rsidR="00823FDB" w:rsidRPr="00823FDB">
              <w:rPr>
                <w:color w:val="000000"/>
                <w:spacing w:val="2"/>
                <w:shd w:val="solid" w:color="000000" w:fill="000000"/>
                <w:fitText w:val="325" w:id="-691795962"/>
                <w14:textFill>
                  <w14:solidFill>
                    <w14:srgbClr w14:val="000000">
                      <w14:alpha w14:val="100000"/>
                    </w14:srgbClr>
                  </w14:solidFill>
                </w14:textFill>
              </w:rPr>
              <w:t>|</w:t>
            </w:r>
            <w:r w:rsidRPr="00350596">
              <w:t xml:space="preserve">% of IVIg pts commenced within the most recent year, plus of the remaining </w:t>
            </w:r>
            <w:r w:rsidR="00823FDB" w:rsidRPr="00823FDB">
              <w:rPr>
                <w:color w:val="000000"/>
                <w:spacing w:val="51"/>
                <w:shd w:val="solid" w:color="000000" w:fill="000000"/>
                <w:fitText w:val="326" w:id="-691795961"/>
                <w14:textFill>
                  <w14:solidFill>
                    <w14:srgbClr w14:val="000000">
                      <w14:alpha w14:val="100000"/>
                    </w14:srgbClr>
                  </w14:solidFill>
                </w14:textFill>
              </w:rPr>
              <w:t>|||</w:t>
            </w:r>
            <w:r w:rsidR="00823FDB" w:rsidRPr="00823FDB">
              <w:rPr>
                <w:color w:val="000000"/>
                <w:spacing w:val="3"/>
                <w:shd w:val="solid" w:color="000000" w:fill="000000"/>
                <w:fitText w:val="326" w:id="-691795961"/>
                <w14:textFill>
                  <w14:solidFill>
                    <w14:srgbClr w14:val="000000">
                      <w14:alpha w14:val="100000"/>
                    </w14:srgbClr>
                  </w14:solidFill>
                </w14:textFill>
              </w:rPr>
              <w:t>|</w:t>
            </w:r>
            <w:r w:rsidRPr="00350596">
              <w:t xml:space="preserve">% around </w:t>
            </w:r>
            <w:r w:rsidR="00823FDB" w:rsidRPr="00823FDB">
              <w:rPr>
                <w:color w:val="000000"/>
                <w:spacing w:val="51"/>
                <w:shd w:val="solid" w:color="000000" w:fill="000000"/>
                <w:fitText w:val="325" w:id="-691795960"/>
                <w14:textFill>
                  <w14:solidFill>
                    <w14:srgbClr w14:val="000000">
                      <w14:alpha w14:val="100000"/>
                    </w14:srgbClr>
                  </w14:solidFill>
                </w14:textFill>
              </w:rPr>
              <w:t>|||</w:t>
            </w:r>
            <w:r w:rsidR="00823FDB" w:rsidRPr="00823FDB">
              <w:rPr>
                <w:color w:val="000000"/>
                <w:spacing w:val="2"/>
                <w:shd w:val="solid" w:color="000000" w:fill="000000"/>
                <w:fitText w:val="325" w:id="-691795960"/>
                <w14:textFill>
                  <w14:solidFill>
                    <w14:srgbClr w14:val="000000">
                      <w14:alpha w14:val="100000"/>
                    </w14:srgbClr>
                  </w14:solidFill>
                </w14:textFill>
              </w:rPr>
              <w:t>|</w:t>
            </w:r>
            <w:r w:rsidRPr="00350596">
              <w:t xml:space="preserve">% may be using IVIg but experiencing ongoing functional impairment (i.e. </w:t>
            </w:r>
            <w:r w:rsidR="00823FDB" w:rsidRPr="00823FDB">
              <w:rPr>
                <w:color w:val="000000"/>
                <w:spacing w:val="51"/>
                <w:shd w:val="solid" w:color="000000" w:fill="000000"/>
                <w:fitText w:val="326" w:id="-691795959"/>
                <w14:textFill>
                  <w14:solidFill>
                    <w14:srgbClr w14:val="000000">
                      <w14:alpha w14:val="100000"/>
                    </w14:srgbClr>
                  </w14:solidFill>
                </w14:textFill>
              </w:rPr>
              <w:t>|||</w:t>
            </w:r>
            <w:r w:rsidR="00823FDB" w:rsidRPr="00823FDB">
              <w:rPr>
                <w:color w:val="000000"/>
                <w:spacing w:val="3"/>
                <w:shd w:val="solid" w:color="000000" w:fill="000000"/>
                <w:fitText w:val="326" w:id="-691795959"/>
                <w14:textFill>
                  <w14:solidFill>
                    <w14:srgbClr w14:val="000000">
                      <w14:alpha w14:val="100000"/>
                    </w14:srgbClr>
                  </w14:solidFill>
                </w14:textFill>
              </w:rPr>
              <w:t>|</w:t>
            </w:r>
            <w:r w:rsidRPr="00350596">
              <w:t>% + (</w:t>
            </w:r>
            <w:r w:rsidR="00823FDB" w:rsidRPr="00823FDB">
              <w:rPr>
                <w:color w:val="000000"/>
                <w:spacing w:val="51"/>
                <w:shd w:val="solid" w:color="000000" w:fill="000000"/>
                <w:fitText w:val="325" w:id="-691795958"/>
                <w14:textFill>
                  <w14:solidFill>
                    <w14:srgbClr w14:val="000000">
                      <w14:alpha w14:val="100000"/>
                    </w14:srgbClr>
                  </w14:solidFill>
                </w14:textFill>
              </w:rPr>
              <w:t>|||</w:t>
            </w:r>
            <w:r w:rsidR="00823FDB" w:rsidRPr="00823FDB">
              <w:rPr>
                <w:color w:val="000000"/>
                <w:spacing w:val="2"/>
                <w:shd w:val="solid" w:color="000000" w:fill="000000"/>
                <w:fitText w:val="325" w:id="-691795958"/>
                <w14:textFill>
                  <w14:solidFill>
                    <w14:srgbClr w14:val="000000">
                      <w14:alpha w14:val="100000"/>
                    </w14:srgbClr>
                  </w14:solidFill>
                </w14:textFill>
              </w:rPr>
              <w:t>|</w:t>
            </w:r>
            <w:r w:rsidRPr="00350596">
              <w:t xml:space="preserve">% * </w:t>
            </w:r>
            <w:r w:rsidR="00823FDB" w:rsidRPr="00823FDB">
              <w:rPr>
                <w:color w:val="000000"/>
                <w:spacing w:val="51"/>
                <w:shd w:val="solid" w:color="000000" w:fill="000000"/>
                <w:fitText w:val="326" w:id="-691795957"/>
                <w14:textFill>
                  <w14:solidFill>
                    <w14:srgbClr w14:val="000000">
                      <w14:alpha w14:val="100000"/>
                    </w14:srgbClr>
                  </w14:solidFill>
                </w14:textFill>
              </w:rPr>
              <w:t>|||</w:t>
            </w:r>
            <w:r w:rsidR="00823FDB" w:rsidRPr="00823FDB">
              <w:rPr>
                <w:color w:val="000000"/>
                <w:spacing w:val="3"/>
                <w:shd w:val="solid" w:color="000000" w:fill="000000"/>
                <w:fitText w:val="326" w:id="-691795957"/>
                <w14:textFill>
                  <w14:solidFill>
                    <w14:srgbClr w14:val="000000">
                      <w14:alpha w14:val="100000"/>
                    </w14:srgbClr>
                  </w14:solidFill>
                </w14:textFill>
              </w:rPr>
              <w:t>|</w:t>
            </w:r>
            <w:r w:rsidRPr="00350596">
              <w:t>%</w:t>
            </w:r>
            <w:r w:rsidR="000C5CB9" w:rsidRPr="00350596">
              <w:t>)</w:t>
            </w:r>
            <w:r w:rsidRPr="00350596">
              <w:t xml:space="preserve"> = </w:t>
            </w:r>
            <w:r w:rsidR="00823FDB" w:rsidRPr="00823FDB">
              <w:rPr>
                <w:color w:val="000000"/>
                <w:spacing w:val="51"/>
                <w:shd w:val="solid" w:color="000000" w:fill="000000"/>
                <w:fitText w:val="325" w:id="-691795956"/>
                <w14:textFill>
                  <w14:solidFill>
                    <w14:srgbClr w14:val="000000">
                      <w14:alpha w14:val="100000"/>
                    </w14:srgbClr>
                  </w14:solidFill>
                </w14:textFill>
              </w:rPr>
              <w:t>|||</w:t>
            </w:r>
            <w:r w:rsidR="00823FDB" w:rsidRPr="00823FDB">
              <w:rPr>
                <w:color w:val="000000"/>
                <w:spacing w:val="2"/>
                <w:shd w:val="solid" w:color="000000" w:fill="000000"/>
                <w:fitText w:val="325" w:id="-691795956"/>
                <w14:textFill>
                  <w14:solidFill>
                    <w14:srgbClr w14:val="000000">
                      <w14:alpha w14:val="100000"/>
                    </w14:srgbClr>
                  </w14:solidFill>
                </w14:textFill>
              </w:rPr>
              <w:t>|</w:t>
            </w:r>
            <w:r w:rsidRPr="00350596">
              <w:t>% of the market)</w:t>
            </w:r>
            <w:r w:rsidR="00FF7AF9" w:rsidRPr="00350596">
              <w:t>.</w:t>
            </w:r>
            <w:r w:rsidRPr="00350596">
              <w:t xml:space="preserve"> Total uptake of </w:t>
            </w:r>
            <w:r w:rsidR="00823FDB" w:rsidRPr="00823FDB">
              <w:rPr>
                <w:color w:val="000000"/>
                <w:spacing w:val="51"/>
                <w:shd w:val="solid" w:color="000000" w:fill="000000"/>
                <w:fitText w:val="326" w:id="-691795955"/>
                <w14:textFill>
                  <w14:solidFill>
                    <w14:srgbClr w14:val="000000">
                      <w14:alpha w14:val="100000"/>
                    </w14:srgbClr>
                  </w14:solidFill>
                </w14:textFill>
              </w:rPr>
              <w:t>|||</w:t>
            </w:r>
            <w:r w:rsidR="00823FDB" w:rsidRPr="00823FDB">
              <w:rPr>
                <w:color w:val="000000"/>
                <w:spacing w:val="3"/>
                <w:shd w:val="solid" w:color="000000" w:fill="000000"/>
                <w:fitText w:val="326" w:id="-691795955"/>
                <w14:textFill>
                  <w14:solidFill>
                    <w14:srgbClr w14:val="000000">
                      <w14:alpha w14:val="100000"/>
                    </w14:srgbClr>
                  </w14:solidFill>
                </w14:textFill>
              </w:rPr>
              <w:t>|</w:t>
            </w:r>
            <w:r w:rsidRPr="00350596">
              <w:t xml:space="preserve">% in </w:t>
            </w:r>
            <w:r w:rsidR="00823FDB" w:rsidRPr="00823FDB">
              <w:rPr>
                <w:color w:val="000000"/>
                <w:spacing w:val="55"/>
                <w:shd w:val="solid" w:color="000000" w:fill="000000"/>
                <w:fitText w:val="338" w:id="-691795954"/>
                <w14:textFill>
                  <w14:solidFill>
                    <w14:srgbClr w14:val="000000">
                      <w14:alpha w14:val="100000"/>
                    </w14:srgbClr>
                  </w14:solidFill>
                </w14:textFill>
              </w:rPr>
              <w:t>|||</w:t>
            </w:r>
            <w:r w:rsidR="00823FDB" w:rsidRPr="00823FDB">
              <w:rPr>
                <w:color w:val="000000"/>
                <w:spacing w:val="3"/>
                <w:shd w:val="solid" w:color="000000" w:fill="000000"/>
                <w:fitText w:val="338" w:id="-691795954"/>
                <w14:textFill>
                  <w14:solidFill>
                    <w14:srgbClr w14:val="000000">
                      <w14:alpha w14:val="100000"/>
                    </w14:srgbClr>
                  </w14:solidFill>
                </w14:textFill>
              </w:rPr>
              <w:t>|</w:t>
            </w:r>
            <w:r w:rsidRPr="00350596">
              <w:t xml:space="preserve">% of the market. </w:t>
            </w:r>
          </w:p>
          <w:p w14:paraId="309654FC" w14:textId="103CB1A5" w:rsidR="007D6943" w:rsidRPr="00350596" w:rsidRDefault="007D6943" w:rsidP="00186337">
            <w:pPr>
              <w:pStyle w:val="COMTabletext"/>
            </w:pPr>
            <w:r w:rsidRPr="00350596">
              <w:t xml:space="preserve">Uptake from prevalent patients already established on IVIg: </w:t>
            </w:r>
            <w:r w:rsidR="00F5583E" w:rsidRPr="00350596">
              <w:t xml:space="preserve">The PBAC, in its expert opinion, considered this could be up to </w:t>
            </w:r>
            <w:r w:rsidR="00823FDB" w:rsidRPr="00823FDB">
              <w:rPr>
                <w:color w:val="000000"/>
                <w:spacing w:val="55"/>
                <w:shd w:val="solid" w:color="000000" w:fill="000000"/>
                <w:fitText w:val="338" w:id="-691795953"/>
                <w14:textFill>
                  <w14:solidFill>
                    <w14:srgbClr w14:val="000000">
                      <w14:alpha w14:val="100000"/>
                    </w14:srgbClr>
                  </w14:solidFill>
                </w14:textFill>
              </w:rPr>
              <w:t>|||</w:t>
            </w:r>
            <w:r w:rsidR="00823FDB" w:rsidRPr="00823FDB">
              <w:rPr>
                <w:color w:val="000000"/>
                <w:spacing w:val="3"/>
                <w:shd w:val="solid" w:color="000000" w:fill="000000"/>
                <w:fitText w:val="338" w:id="-691795953"/>
                <w14:textFill>
                  <w14:solidFill>
                    <w14:srgbClr w14:val="000000">
                      <w14:alpha w14:val="100000"/>
                    </w14:srgbClr>
                  </w14:solidFill>
                </w14:textFill>
              </w:rPr>
              <w:t>|</w:t>
            </w:r>
            <w:r w:rsidRPr="00350596">
              <w:t>%</w:t>
            </w:r>
            <w:r w:rsidR="00C905C4" w:rsidRPr="00350596">
              <w:t>, and t</w:t>
            </w:r>
            <w:r w:rsidRPr="00350596">
              <w:t xml:space="preserve">his could represent around two-thirds of current IVIg users based on: of the </w:t>
            </w:r>
            <w:r w:rsidR="00823FDB" w:rsidRPr="00823FDB">
              <w:rPr>
                <w:color w:val="000000"/>
                <w:spacing w:val="51"/>
                <w:shd w:val="solid" w:color="000000" w:fill="000000"/>
                <w:fitText w:val="326" w:id="-691795952"/>
                <w14:textFill>
                  <w14:solidFill>
                    <w14:srgbClr w14:val="000000">
                      <w14:alpha w14:val="100000"/>
                    </w14:srgbClr>
                  </w14:solidFill>
                </w14:textFill>
              </w:rPr>
              <w:t>|||</w:t>
            </w:r>
            <w:r w:rsidR="00823FDB" w:rsidRPr="00823FDB">
              <w:rPr>
                <w:color w:val="000000"/>
                <w:spacing w:val="3"/>
                <w:shd w:val="solid" w:color="000000" w:fill="000000"/>
                <w:fitText w:val="326" w:id="-691795952"/>
                <w14:textFill>
                  <w14:solidFill>
                    <w14:srgbClr w14:val="000000">
                      <w14:alpha w14:val="100000"/>
                    </w14:srgbClr>
                  </w14:solidFill>
                </w14:textFill>
              </w:rPr>
              <w:t>|</w:t>
            </w:r>
            <w:r w:rsidRPr="00350596">
              <w:t xml:space="preserve">% of IVIg users who commenced more than a year ago, around 80% are responding (i.e. </w:t>
            </w:r>
            <w:r w:rsidR="00823FDB" w:rsidRPr="00823FDB">
              <w:rPr>
                <w:color w:val="000000"/>
                <w:spacing w:val="51"/>
                <w:shd w:val="solid" w:color="000000" w:fill="000000"/>
                <w:fitText w:val="326" w:id="-691795968"/>
                <w14:textFill>
                  <w14:solidFill>
                    <w14:srgbClr w14:val="000000">
                      <w14:alpha w14:val="100000"/>
                    </w14:srgbClr>
                  </w14:solidFill>
                </w14:textFill>
              </w:rPr>
              <w:t>|||</w:t>
            </w:r>
            <w:r w:rsidR="00823FDB" w:rsidRPr="00823FDB">
              <w:rPr>
                <w:color w:val="000000"/>
                <w:spacing w:val="3"/>
                <w:shd w:val="solid" w:color="000000" w:fill="000000"/>
                <w:fitText w:val="326" w:id="-691795968"/>
                <w14:textFill>
                  <w14:solidFill>
                    <w14:srgbClr w14:val="000000">
                      <w14:alpha w14:val="100000"/>
                    </w14:srgbClr>
                  </w14:solidFill>
                </w14:textFill>
              </w:rPr>
              <w:t>|</w:t>
            </w:r>
            <w:r w:rsidRPr="00350596">
              <w:t xml:space="preserve">% * </w:t>
            </w:r>
            <w:r w:rsidR="00823FDB" w:rsidRPr="00823FDB">
              <w:rPr>
                <w:color w:val="000000"/>
                <w:spacing w:val="55"/>
                <w:shd w:val="solid" w:color="000000" w:fill="000000"/>
                <w:fitText w:val="338" w:id="-691795967"/>
                <w14:textFill>
                  <w14:solidFill>
                    <w14:srgbClr w14:val="000000">
                      <w14:alpha w14:val="100000"/>
                    </w14:srgbClr>
                  </w14:solidFill>
                </w14:textFill>
              </w:rPr>
              <w:t>|||</w:t>
            </w:r>
            <w:r w:rsidR="00823FDB" w:rsidRPr="00823FDB">
              <w:rPr>
                <w:color w:val="000000"/>
                <w:spacing w:val="3"/>
                <w:shd w:val="solid" w:color="000000" w:fill="000000"/>
                <w:fitText w:val="338" w:id="-691795967"/>
                <w14:textFill>
                  <w14:solidFill>
                    <w14:srgbClr w14:val="000000">
                      <w14:alpha w14:val="100000"/>
                    </w14:srgbClr>
                  </w14:solidFill>
                </w14:textFill>
              </w:rPr>
              <w:t>|</w:t>
            </w:r>
            <w:r w:rsidRPr="00350596">
              <w:t xml:space="preserve">% = </w:t>
            </w:r>
            <w:r w:rsidR="00823FDB" w:rsidRPr="00823FDB">
              <w:rPr>
                <w:color w:val="000000"/>
                <w:spacing w:val="51"/>
                <w:shd w:val="solid" w:color="000000" w:fill="000000"/>
                <w:fitText w:val="326" w:id="-691795966"/>
                <w14:textFill>
                  <w14:solidFill>
                    <w14:srgbClr w14:val="000000">
                      <w14:alpha w14:val="100000"/>
                    </w14:srgbClr>
                  </w14:solidFill>
                </w14:textFill>
              </w:rPr>
              <w:t>|||</w:t>
            </w:r>
            <w:r w:rsidR="00823FDB" w:rsidRPr="00823FDB">
              <w:rPr>
                <w:color w:val="000000"/>
                <w:spacing w:val="3"/>
                <w:shd w:val="solid" w:color="000000" w:fill="000000"/>
                <w:fitText w:val="326" w:id="-691795966"/>
                <w14:textFill>
                  <w14:solidFill>
                    <w14:srgbClr w14:val="000000">
                      <w14:alpha w14:val="100000"/>
                    </w14:srgbClr>
                  </w14:solidFill>
                </w14:textFill>
              </w:rPr>
              <w:t>|</w:t>
            </w:r>
            <w:r w:rsidRPr="00350596">
              <w:t>/</w:t>
            </w:r>
            <w:r w:rsidR="00823FDB" w:rsidRPr="00823FDB">
              <w:rPr>
                <w:color w:val="000000"/>
                <w:spacing w:val="51"/>
                <w:shd w:val="solid" w:color="000000" w:fill="000000"/>
                <w:fitText w:val="326" w:id="-691795965"/>
                <w14:textFill>
                  <w14:solidFill>
                    <w14:srgbClr w14:val="000000">
                      <w14:alpha w14:val="100000"/>
                    </w14:srgbClr>
                  </w14:solidFill>
                </w14:textFill>
              </w:rPr>
              <w:t>|||</w:t>
            </w:r>
            <w:r w:rsidR="00823FDB" w:rsidRPr="00823FDB">
              <w:rPr>
                <w:color w:val="000000"/>
                <w:spacing w:val="3"/>
                <w:shd w:val="solid" w:color="000000" w:fill="000000"/>
                <w:fitText w:val="326" w:id="-691795965"/>
                <w14:textFill>
                  <w14:solidFill>
                    <w14:srgbClr w14:val="000000">
                      <w14:alpha w14:val="100000"/>
                    </w14:srgbClr>
                  </w14:solidFill>
                </w14:textFill>
              </w:rPr>
              <w:t>|</w:t>
            </w:r>
            <w:r w:rsidRPr="00350596">
              <w:t xml:space="preserve">%). Total uptake of </w:t>
            </w:r>
            <w:r w:rsidR="00823FDB" w:rsidRPr="00823FDB">
              <w:rPr>
                <w:color w:val="000000"/>
                <w:spacing w:val="51"/>
                <w:shd w:val="solid" w:color="000000" w:fill="000000"/>
                <w:fitText w:val="325" w:id="-691795964"/>
                <w14:textFill>
                  <w14:solidFill>
                    <w14:srgbClr w14:val="000000">
                      <w14:alpha w14:val="100000"/>
                    </w14:srgbClr>
                  </w14:solidFill>
                </w14:textFill>
              </w:rPr>
              <w:t>|||</w:t>
            </w:r>
            <w:r w:rsidR="00823FDB" w:rsidRPr="00823FDB">
              <w:rPr>
                <w:color w:val="000000"/>
                <w:spacing w:val="2"/>
                <w:shd w:val="solid" w:color="000000" w:fill="000000"/>
                <w:fitText w:val="325" w:id="-691795964"/>
                <w14:textFill>
                  <w14:solidFill>
                    <w14:srgbClr w14:val="000000">
                      <w14:alpha w14:val="100000"/>
                    </w14:srgbClr>
                  </w14:solidFill>
                </w14:textFill>
              </w:rPr>
              <w:t>|</w:t>
            </w:r>
            <w:r w:rsidRPr="00350596">
              <w:t xml:space="preserve">% in </w:t>
            </w:r>
            <w:r w:rsidR="00823FDB" w:rsidRPr="00823FDB">
              <w:rPr>
                <w:color w:val="000000"/>
                <w:spacing w:val="55"/>
                <w:shd w:val="solid" w:color="000000" w:fill="000000"/>
                <w:fitText w:val="338" w:id="-691795963"/>
                <w14:textFill>
                  <w14:solidFill>
                    <w14:srgbClr w14:val="000000">
                      <w14:alpha w14:val="100000"/>
                    </w14:srgbClr>
                  </w14:solidFill>
                </w14:textFill>
              </w:rPr>
              <w:t>|||</w:t>
            </w:r>
            <w:r w:rsidR="00823FDB" w:rsidRPr="00823FDB">
              <w:rPr>
                <w:color w:val="000000"/>
                <w:spacing w:val="3"/>
                <w:shd w:val="solid" w:color="000000" w:fill="000000"/>
                <w:fitText w:val="338" w:id="-691795963"/>
                <w14:textFill>
                  <w14:solidFill>
                    <w14:srgbClr w14:val="000000">
                      <w14:alpha w14:val="100000"/>
                    </w14:srgbClr>
                  </w14:solidFill>
                </w14:textFill>
              </w:rPr>
              <w:t>|</w:t>
            </w:r>
            <w:r w:rsidRPr="00350596">
              <w:t>% of the market.</w:t>
            </w:r>
          </w:p>
          <w:p w14:paraId="124709B6" w14:textId="0157DBF5" w:rsidR="007D6943" w:rsidRPr="00350596" w:rsidRDefault="007D6943" w:rsidP="00186337">
            <w:pPr>
              <w:pStyle w:val="COMTabletext"/>
            </w:pPr>
            <w:r w:rsidRPr="00350596">
              <w:t xml:space="preserve">Total market uptake of </w:t>
            </w:r>
            <w:r w:rsidR="00823FDB" w:rsidRPr="00823FDB">
              <w:rPr>
                <w:color w:val="000000"/>
                <w:spacing w:val="51"/>
                <w:shd w:val="solid" w:color="000000" w:fill="000000"/>
                <w:fitText w:val="325" w:id="-691795962"/>
                <w14:textFill>
                  <w14:solidFill>
                    <w14:srgbClr w14:val="000000">
                      <w14:alpha w14:val="100000"/>
                    </w14:srgbClr>
                  </w14:solidFill>
                </w14:textFill>
              </w:rPr>
              <w:t>|||</w:t>
            </w:r>
            <w:r w:rsidR="00823FDB" w:rsidRPr="00823FDB">
              <w:rPr>
                <w:color w:val="000000"/>
                <w:spacing w:val="2"/>
                <w:shd w:val="solid" w:color="000000" w:fill="000000"/>
                <w:fitText w:val="325" w:id="-691795962"/>
                <w14:textFill>
                  <w14:solidFill>
                    <w14:srgbClr w14:val="000000">
                      <w14:alpha w14:val="100000"/>
                    </w14:srgbClr>
                  </w14:solidFill>
                </w14:textFill>
              </w:rPr>
              <w:t>|</w:t>
            </w:r>
            <w:r w:rsidRPr="00350596">
              <w:t xml:space="preserve">% in Year 1 (i.e. </w:t>
            </w:r>
            <w:r w:rsidR="00823FDB" w:rsidRPr="00823FDB">
              <w:rPr>
                <w:color w:val="000000"/>
                <w:spacing w:val="51"/>
                <w:shd w:val="solid" w:color="000000" w:fill="000000"/>
                <w:fitText w:val="325" w:id="-691795961"/>
                <w14:textFill>
                  <w14:solidFill>
                    <w14:srgbClr w14:val="000000">
                      <w14:alpha w14:val="100000"/>
                    </w14:srgbClr>
                  </w14:solidFill>
                </w14:textFill>
              </w:rPr>
              <w:t>|||</w:t>
            </w:r>
            <w:r w:rsidR="00823FDB" w:rsidRPr="00823FDB">
              <w:rPr>
                <w:color w:val="000000"/>
                <w:spacing w:val="2"/>
                <w:shd w:val="solid" w:color="000000" w:fill="000000"/>
                <w:fitText w:val="325" w:id="-691795961"/>
                <w14:textFill>
                  <w14:solidFill>
                    <w14:srgbClr w14:val="000000">
                      <w14:alpha w14:val="100000"/>
                    </w14:srgbClr>
                  </w14:solidFill>
                </w14:textFill>
              </w:rPr>
              <w:t>|</w:t>
            </w:r>
            <w:r w:rsidR="00770722" w:rsidRPr="00350596">
              <w:rPr>
                <w:vertAlign w:val="superscript"/>
              </w:rPr>
              <w:t>1</w:t>
            </w:r>
            <w:r w:rsidRPr="00350596">
              <w:t xml:space="preserve"> patients in Year 1)</w:t>
            </w:r>
            <w:r w:rsidR="001B5702" w:rsidRPr="00350596">
              <w:t>.</w:t>
            </w:r>
          </w:p>
        </w:tc>
      </w:tr>
      <w:tr w:rsidR="007D6943" w:rsidRPr="00350596" w14:paraId="222B8CEC" w14:textId="77777777">
        <w:trPr>
          <w:trHeight w:val="20"/>
        </w:trPr>
        <w:tc>
          <w:tcPr>
            <w:tcW w:w="1098" w:type="pct"/>
            <w:vAlign w:val="center"/>
          </w:tcPr>
          <w:p w14:paraId="6C462527" w14:textId="77777777" w:rsidR="007D6943" w:rsidRPr="00350596" w:rsidRDefault="007D6943" w:rsidP="00186337">
            <w:pPr>
              <w:pStyle w:val="COMTabletext"/>
            </w:pPr>
            <w:r w:rsidRPr="00350596">
              <w:t>Increase in uptake over time</w:t>
            </w:r>
          </w:p>
        </w:tc>
        <w:tc>
          <w:tcPr>
            <w:tcW w:w="3902" w:type="pct"/>
            <w:vAlign w:val="center"/>
          </w:tcPr>
          <w:p w14:paraId="5A0C3A75" w14:textId="092C5E56" w:rsidR="007D6943" w:rsidRPr="00350596" w:rsidRDefault="00823FDB" w:rsidP="00186337">
            <w:pPr>
              <w:pStyle w:val="COMTabletext"/>
            </w:pPr>
            <w:r w:rsidRPr="00823FDB">
              <w:rPr>
                <w:color w:val="000000"/>
                <w:spacing w:val="51"/>
                <w:shd w:val="solid" w:color="000000" w:fill="000000"/>
                <w:fitText w:val="325" w:id="-691795960"/>
                <w14:textFill>
                  <w14:solidFill>
                    <w14:srgbClr w14:val="000000">
                      <w14:alpha w14:val="100000"/>
                    </w14:srgbClr>
                  </w14:solidFill>
                </w14:textFill>
              </w:rPr>
              <w:t>|||</w:t>
            </w:r>
            <w:r w:rsidRPr="00823FDB">
              <w:rPr>
                <w:color w:val="000000"/>
                <w:spacing w:val="2"/>
                <w:shd w:val="solid" w:color="000000" w:fill="000000"/>
                <w:fitText w:val="325" w:id="-691795960"/>
                <w14:textFill>
                  <w14:solidFill>
                    <w14:srgbClr w14:val="000000">
                      <w14:alpha w14:val="100000"/>
                    </w14:srgbClr>
                  </w14:solidFill>
                </w14:textFill>
              </w:rPr>
              <w:t>|</w:t>
            </w:r>
            <w:r w:rsidR="007D6943" w:rsidRPr="00350596">
              <w:t xml:space="preserve"> percentage points each year for the first </w:t>
            </w:r>
            <w:r w:rsidR="001D5DF0" w:rsidRPr="00350596">
              <w:t xml:space="preserve">six </w:t>
            </w:r>
            <w:r w:rsidR="007D6943" w:rsidRPr="00350596">
              <w:t xml:space="preserve">years of listing (i.e. </w:t>
            </w:r>
            <w:r w:rsidRPr="00823FDB">
              <w:rPr>
                <w:color w:val="000000"/>
                <w:spacing w:val="55"/>
                <w:shd w:val="solid" w:color="000000" w:fill="000000"/>
                <w:fitText w:val="338" w:id="-691795959"/>
                <w14:textFill>
                  <w14:solidFill>
                    <w14:srgbClr w14:val="000000">
                      <w14:alpha w14:val="100000"/>
                    </w14:srgbClr>
                  </w14:solidFill>
                </w14:textFill>
              </w:rPr>
              <w:t>|||</w:t>
            </w:r>
            <w:r w:rsidRPr="00823FDB">
              <w:rPr>
                <w:color w:val="000000"/>
                <w:spacing w:val="3"/>
                <w:shd w:val="solid" w:color="000000" w:fill="000000"/>
                <w:fitText w:val="338" w:id="-691795959"/>
                <w14:textFill>
                  <w14:solidFill>
                    <w14:srgbClr w14:val="000000">
                      <w14:alpha w14:val="100000"/>
                    </w14:srgbClr>
                  </w14:solidFill>
                </w14:textFill>
              </w:rPr>
              <w:t>|</w:t>
            </w:r>
            <w:r w:rsidR="00770722" w:rsidRPr="00350596">
              <w:rPr>
                <w:vertAlign w:val="superscript"/>
              </w:rPr>
              <w:t xml:space="preserve">2 </w:t>
            </w:r>
            <w:r w:rsidR="007D6943" w:rsidRPr="00350596">
              <w:t xml:space="preserve">patients in Year </w:t>
            </w:r>
            <w:r w:rsidR="005861BD" w:rsidRPr="00350596">
              <w:t>6</w:t>
            </w:r>
            <w:r w:rsidR="007D6943" w:rsidRPr="00350596">
              <w:t>)</w:t>
            </w:r>
          </w:p>
        </w:tc>
      </w:tr>
    </w:tbl>
    <w:p w14:paraId="6D6A2E42" w14:textId="4A4408C7" w:rsidR="00B1312E" w:rsidRPr="00350596" w:rsidRDefault="007D6943" w:rsidP="00B1312E">
      <w:pPr>
        <w:pStyle w:val="COMTablefooter"/>
        <w:rPr>
          <w:szCs w:val="18"/>
        </w:rPr>
      </w:pPr>
      <w:r w:rsidRPr="00350596">
        <w:rPr>
          <w:szCs w:val="18"/>
        </w:rPr>
        <w:t xml:space="preserve">Source: Compiled during preparation of the </w:t>
      </w:r>
      <w:r w:rsidR="00271421">
        <w:rPr>
          <w:szCs w:val="18"/>
        </w:rPr>
        <w:t xml:space="preserve">PSD </w:t>
      </w:r>
    </w:p>
    <w:p w14:paraId="582BC7A8" w14:textId="12825A92" w:rsidR="007D4FEE" w:rsidRPr="00350596" w:rsidRDefault="00B1312E" w:rsidP="00B1312E">
      <w:pPr>
        <w:pStyle w:val="COMTablefooter"/>
        <w:rPr>
          <w:i/>
          <w:iCs/>
        </w:rPr>
      </w:pPr>
      <w:r w:rsidRPr="00350596">
        <w:rPr>
          <w:i/>
          <w:iCs/>
        </w:rPr>
        <w:t>The redacted values correspond to the following ranges</w:t>
      </w:r>
      <w:r w:rsidR="00AD2BB5" w:rsidRPr="00350596">
        <w:rPr>
          <w:i/>
          <w:iCs/>
        </w:rPr>
        <w:t>:</w:t>
      </w:r>
      <w:r w:rsidRPr="00350596">
        <w:rPr>
          <w:i/>
          <w:iCs/>
        </w:rPr>
        <w:t xml:space="preserve"> </w:t>
      </w:r>
    </w:p>
    <w:p w14:paraId="07E57F48" w14:textId="2B1B8959" w:rsidR="00B1312E" w:rsidRPr="00350596" w:rsidRDefault="007D4FEE" w:rsidP="00B1312E">
      <w:pPr>
        <w:pStyle w:val="COMTablefooter"/>
        <w:rPr>
          <w:i/>
          <w:iCs/>
        </w:rPr>
      </w:pPr>
      <w:r w:rsidRPr="00350596">
        <w:rPr>
          <w:i/>
          <w:iCs/>
          <w:vertAlign w:val="superscript"/>
        </w:rPr>
        <w:t>1</w:t>
      </w:r>
      <w:r w:rsidRPr="00350596">
        <w:rPr>
          <w:i/>
          <w:iCs/>
        </w:rPr>
        <w:t xml:space="preserve"> &lt; 500</w:t>
      </w:r>
    </w:p>
    <w:p w14:paraId="0A50B4CB" w14:textId="3A34DE07" w:rsidR="00B1312E" w:rsidRPr="00350596" w:rsidRDefault="007D4FEE" w:rsidP="00B1312E">
      <w:pPr>
        <w:pStyle w:val="COMTablefooter"/>
        <w:rPr>
          <w:i/>
          <w:iCs/>
        </w:rPr>
      </w:pPr>
      <w:r w:rsidRPr="00350596">
        <w:rPr>
          <w:i/>
          <w:iCs/>
          <w:vertAlign w:val="superscript"/>
        </w:rPr>
        <w:t>2</w:t>
      </w:r>
      <w:r w:rsidR="00B1312E" w:rsidRPr="00350596">
        <w:rPr>
          <w:i/>
          <w:iCs/>
        </w:rPr>
        <w:t xml:space="preserve"> 500 to &lt; 5,000 </w:t>
      </w:r>
    </w:p>
    <w:p w14:paraId="66FF5966" w14:textId="67EED721" w:rsidR="0045268D" w:rsidRPr="00350596" w:rsidRDefault="007C7939" w:rsidP="004F32F6">
      <w:pPr>
        <w:numPr>
          <w:ilvl w:val="1"/>
          <w:numId w:val="4"/>
        </w:numPr>
        <w:spacing w:before="60" w:after="60"/>
        <w:rPr>
          <w:rFonts w:asciiTheme="minorHAnsi" w:eastAsiaTheme="minorEastAsia" w:hAnsiTheme="minorHAnsi" w:cstheme="minorBidi"/>
        </w:rPr>
      </w:pPr>
      <w:r w:rsidRPr="00350596">
        <w:rPr>
          <w:rFonts w:asciiTheme="minorHAnsi" w:eastAsiaTheme="minorEastAsia" w:hAnsiTheme="minorHAnsi" w:cstheme="minorBidi"/>
        </w:rPr>
        <w:t>The PBAC considered that uptake rates would be the largest source of uncertainty in the financial estimates, particularly given the range of patients currently taking IVIg (with new patients and existing IVIg users with ongoing functional impairment expected to have substantially higher uptake than those prevalent patients already established on IVIg) and also given that the uptake rates would need to account for: any additional eligible patients (e.g. patients who are not responding to, or who are unable to be treated with IVIg); the PBS restriction being narrower than the current IVIg criteria; and the stopping rules (as these would generally mirror how IVIg is used in practice).</w:t>
      </w:r>
    </w:p>
    <w:p w14:paraId="2238DEE9" w14:textId="3E6A228B" w:rsidR="00576972" w:rsidRPr="00350596" w:rsidRDefault="00576972" w:rsidP="003D5DE7">
      <w:pPr>
        <w:pStyle w:val="COMH2-non-numbered"/>
      </w:pPr>
      <w:bookmarkStart w:id="78" w:name="_Toc22897648"/>
      <w:bookmarkStart w:id="79" w:name="_Toc188365366"/>
      <w:r w:rsidRPr="00350596">
        <w:t>Quality Use of Medicines</w:t>
      </w:r>
      <w:bookmarkEnd w:id="78"/>
      <w:bookmarkEnd w:id="79"/>
    </w:p>
    <w:p w14:paraId="1AFB2C0B" w14:textId="1A4C0C6D" w:rsidR="00762621" w:rsidRPr="00350596" w:rsidRDefault="00762621" w:rsidP="00762621">
      <w:pPr>
        <w:pStyle w:val="COMexecsummnumbered"/>
      </w:pPr>
      <w:bookmarkStart w:id="80" w:name="_Toc22897649"/>
      <w:r w:rsidRPr="00350596">
        <w:t xml:space="preserve">The submission claimed that there </w:t>
      </w:r>
      <w:r w:rsidR="00270D85" w:rsidRPr="00350596">
        <w:t xml:space="preserve">are </w:t>
      </w:r>
      <w:r w:rsidRPr="00350596">
        <w:t>no quality use of medicine issues associated with using efgartigimod.</w:t>
      </w:r>
    </w:p>
    <w:p w14:paraId="6015A395" w14:textId="2EDB6A4E" w:rsidR="00576972" w:rsidRPr="00350596" w:rsidRDefault="00576972" w:rsidP="003D5DE7">
      <w:pPr>
        <w:pStyle w:val="COMH2-non-numbered"/>
      </w:pPr>
      <w:bookmarkStart w:id="81" w:name="_Toc188365367"/>
      <w:r w:rsidRPr="00350596">
        <w:t>Financial Management – Risk Sharing Arrangements</w:t>
      </w:r>
      <w:bookmarkEnd w:id="80"/>
      <w:bookmarkEnd w:id="81"/>
    </w:p>
    <w:p w14:paraId="25BA2464" w14:textId="4BEED282" w:rsidR="00894CD6" w:rsidRPr="00350596" w:rsidRDefault="00A122BF" w:rsidP="00A122BF">
      <w:pPr>
        <w:pStyle w:val="COMexecsummnumbered"/>
      </w:pPr>
      <w:r w:rsidRPr="00350596">
        <w:t xml:space="preserve">The submission proposed a risk sharing arrangement </w:t>
      </w:r>
      <w:r w:rsidR="000A1A1B" w:rsidRPr="00350596">
        <w:t xml:space="preserve">(RSA) </w:t>
      </w:r>
      <w:r w:rsidRPr="00350596">
        <w:t xml:space="preserve">consisting of an expenditure cap based on the utilisation estimates with a </w:t>
      </w:r>
      <w:r w:rsidR="00823FDB" w:rsidRPr="002B16A5">
        <w:rPr>
          <w:color w:val="000000"/>
          <w:w w:val="15"/>
          <w:shd w:val="solid" w:color="000000" w:fill="000000"/>
          <w:fitText w:val="-20" w:id="-691795958"/>
          <w14:textFill>
            <w14:solidFill>
              <w14:srgbClr w14:val="000000">
                <w14:alpha w14:val="100000"/>
              </w14:srgbClr>
            </w14:solidFill>
          </w14:textFill>
        </w:rPr>
        <w:t>|</w:t>
      </w:r>
      <w:r w:rsidR="00D53C72" w:rsidRPr="002B16A5">
        <w:rPr>
          <w:color w:val="000000"/>
          <w:w w:val="15"/>
          <w:shd w:val="solid" w:color="000000" w:fill="000000"/>
          <w:fitText w:val="-20" w:id="-691795958"/>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58"/>
          <w14:textFill>
            <w14:solidFill>
              <w14:srgbClr w14:val="000000">
                <w14:alpha w14:val="100000"/>
              </w14:srgbClr>
            </w14:solidFill>
          </w14:textFill>
        </w:rPr>
        <w:t>|</w:t>
      </w:r>
      <w:r w:rsidRPr="00350596">
        <w:t xml:space="preserve">% rebate for all use beyond these estimates. </w:t>
      </w:r>
      <w:r w:rsidR="008054A1" w:rsidRPr="00350596">
        <w:t xml:space="preserve">The ESC noted the submission’s proposed RSA was based on an average of </w:t>
      </w:r>
      <w:r w:rsidR="00823FDB" w:rsidRPr="002B16A5">
        <w:rPr>
          <w:color w:val="000000"/>
          <w:w w:val="15"/>
          <w:shd w:val="solid" w:color="000000" w:fill="000000"/>
          <w:fitText w:val="-20" w:id="-691795957"/>
          <w14:textFill>
            <w14:solidFill>
              <w14:srgbClr w14:val="000000">
                <w14:alpha w14:val="100000"/>
              </w14:srgbClr>
            </w14:solidFill>
          </w14:textFill>
        </w:rPr>
        <w:t>|</w:t>
      </w:r>
      <w:r w:rsidR="00D53C72" w:rsidRPr="002B16A5">
        <w:rPr>
          <w:color w:val="000000"/>
          <w:w w:val="15"/>
          <w:shd w:val="solid" w:color="000000" w:fill="000000"/>
          <w:fitText w:val="-20" w:id="-691795957"/>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57"/>
          <w14:textFill>
            <w14:solidFill>
              <w14:srgbClr w14:val="000000">
                <w14:alpha w14:val="100000"/>
              </w14:srgbClr>
            </w14:solidFill>
          </w14:textFill>
        </w:rPr>
        <w:t>|</w:t>
      </w:r>
      <w:r w:rsidR="00612D9F" w:rsidRPr="00612D9F">
        <w:t xml:space="preserve"> </w:t>
      </w:r>
      <w:r w:rsidR="008054A1" w:rsidRPr="00350596">
        <w:t>treatment cycles (</w:t>
      </w:r>
      <w:r w:rsidR="00823FDB" w:rsidRPr="002B16A5">
        <w:rPr>
          <w:color w:val="000000"/>
          <w:w w:val="15"/>
          <w:shd w:val="solid" w:color="000000" w:fill="000000"/>
          <w:fitText w:val="-20" w:id="-691795956"/>
          <w14:textFill>
            <w14:solidFill>
              <w14:srgbClr w14:val="000000">
                <w14:alpha w14:val="100000"/>
              </w14:srgbClr>
            </w14:solidFill>
          </w14:textFill>
        </w:rPr>
        <w:t>|</w:t>
      </w:r>
      <w:r w:rsidR="00D53C72" w:rsidRPr="002B16A5">
        <w:rPr>
          <w:color w:val="000000"/>
          <w:w w:val="15"/>
          <w:shd w:val="solid" w:color="000000" w:fill="000000"/>
          <w:fitText w:val="-20" w:id="-691795956"/>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56"/>
          <w14:textFill>
            <w14:solidFill>
              <w14:srgbClr w14:val="000000">
                <w14:alpha w14:val="100000"/>
              </w14:srgbClr>
            </w14:solidFill>
          </w14:textFill>
        </w:rPr>
        <w:t>|</w:t>
      </w:r>
      <w:r w:rsidR="008054A1" w:rsidRPr="00350596">
        <w:t xml:space="preserve"> vials) per </w:t>
      </w:r>
      <w:r w:rsidR="00BC3C47" w:rsidRPr="00350596">
        <w:t xml:space="preserve">patient per </w:t>
      </w:r>
      <w:r w:rsidR="008054A1" w:rsidRPr="00350596">
        <w:t>year, which was higher than assumed in the economic model</w:t>
      </w:r>
      <w:r w:rsidR="00BC3C47" w:rsidRPr="00350596">
        <w:t xml:space="preserve"> (4.04 treatment cycles in Year 1, then reducing substantially in subsequent years)</w:t>
      </w:r>
      <w:r w:rsidR="008054A1" w:rsidRPr="00350596">
        <w:t xml:space="preserve">. </w:t>
      </w:r>
    </w:p>
    <w:p w14:paraId="600DA438" w14:textId="0796CC4D" w:rsidR="008054A1" w:rsidRPr="00350596" w:rsidRDefault="008054A1" w:rsidP="008054A1">
      <w:pPr>
        <w:pStyle w:val="COMexecsummnumbered"/>
        <w:ind w:left="709"/>
      </w:pPr>
      <w:r w:rsidRPr="00350596">
        <w:lastRenderedPageBreak/>
        <w:t>The ESC considered that a single RSA that includes all of the new PBS listed treatments would be required to mitigate the risk of use outside the intended restriction. The ESC considered that for efgartigimod and rozanolixizumab</w:t>
      </w:r>
      <w:r w:rsidR="003E106B" w:rsidRPr="00350596">
        <w:t>,</w:t>
      </w:r>
      <w:r w:rsidRPr="00350596">
        <w:t xml:space="preserve"> the RSA would also need to mitigate the risk of an increase in the frequency of cycles received over time.</w:t>
      </w:r>
    </w:p>
    <w:p w14:paraId="430CB192" w14:textId="62AEB792" w:rsidR="003417E3" w:rsidRPr="00350596" w:rsidRDefault="003417E3" w:rsidP="003417E3">
      <w:pPr>
        <w:pStyle w:val="COMexecsummnumbered"/>
        <w:numPr>
          <w:ilvl w:val="0"/>
          <w:numId w:val="0"/>
        </w:numPr>
        <w:ind w:left="709"/>
        <w:rPr>
          <w:i/>
          <w:iCs/>
        </w:rPr>
      </w:pPr>
      <w:r w:rsidRPr="00350596">
        <w:rPr>
          <w:i/>
          <w:iCs/>
        </w:rPr>
        <w:t xml:space="preserve">For more detail on PBAC’s view, see section </w:t>
      </w:r>
      <w:r w:rsidR="00AE3864" w:rsidRPr="00350596">
        <w:rPr>
          <w:i/>
          <w:iCs/>
        </w:rPr>
        <w:t xml:space="preserve">8 </w:t>
      </w:r>
      <w:r w:rsidRPr="00350596">
        <w:rPr>
          <w:i/>
          <w:iCs/>
        </w:rPr>
        <w:t>PBAC outcome.</w:t>
      </w:r>
    </w:p>
    <w:p w14:paraId="5CA733EB" w14:textId="21DE5408" w:rsidR="00DA09E5" w:rsidRPr="00350596" w:rsidRDefault="00266017" w:rsidP="00CB7461">
      <w:pPr>
        <w:keepNext/>
        <w:numPr>
          <w:ilvl w:val="0"/>
          <w:numId w:val="1"/>
        </w:numPr>
        <w:spacing w:before="240" w:after="120"/>
        <w:jc w:val="left"/>
        <w:outlineLvl w:val="0"/>
        <w:rPr>
          <w:rFonts w:asciiTheme="minorHAnsi" w:hAnsiTheme="minorHAnsi"/>
          <w:b/>
          <w:snapToGrid w:val="0"/>
          <w:sz w:val="32"/>
          <w:szCs w:val="32"/>
        </w:rPr>
      </w:pPr>
      <w:bookmarkStart w:id="82" w:name="_Hlk76381249"/>
      <w:r w:rsidRPr="00350596">
        <w:rPr>
          <w:rFonts w:asciiTheme="minorHAnsi" w:hAnsiTheme="minorHAnsi"/>
          <w:b/>
          <w:snapToGrid w:val="0"/>
          <w:sz w:val="32"/>
          <w:szCs w:val="32"/>
        </w:rPr>
        <w:t>ESC Advice relevant across the four gMG submissions</w:t>
      </w:r>
    </w:p>
    <w:p w14:paraId="6FA88E39" w14:textId="77777777" w:rsidR="00AF7C17" w:rsidRPr="00350596" w:rsidRDefault="00AF7C17" w:rsidP="006C11F2">
      <w:pPr>
        <w:pStyle w:val="COMH2-non-numbered"/>
      </w:pPr>
      <w:r w:rsidRPr="00350596">
        <w:t>ESC’s view on the appropriate restriction and place for the new therapies</w:t>
      </w:r>
    </w:p>
    <w:p w14:paraId="30650A48" w14:textId="77777777" w:rsidR="00AF7C17" w:rsidRPr="00350596" w:rsidRDefault="00AF7C17" w:rsidP="002100FC">
      <w:pPr>
        <w:numPr>
          <w:ilvl w:val="1"/>
          <w:numId w:val="3"/>
        </w:numPr>
        <w:spacing w:before="120" w:after="120"/>
        <w:rPr>
          <w:rFonts w:eastAsiaTheme="minorHAnsi" w:cs="Calibri"/>
          <w:szCs w:val="22"/>
        </w:rPr>
      </w:pPr>
      <w:r w:rsidRPr="00350596">
        <w:rPr>
          <w:rFonts w:eastAsiaTheme="minorHAnsi" w:cs="Calibri"/>
          <w:szCs w:val="22"/>
        </w:rPr>
        <w:t xml:space="preserve">The Economics Sub-Committee (ESC) noted that there are two key, distinct places in therapy which may be feasible for PBS-listing of the new therapies for gMG (zilucoplan, ravulizumab, efgartigimod alfa and rozanolixizumab): </w:t>
      </w:r>
    </w:p>
    <w:p w14:paraId="2F484373" w14:textId="77777777" w:rsidR="00AF7C17" w:rsidRPr="00350596" w:rsidRDefault="00AF7C17" w:rsidP="002100FC">
      <w:pPr>
        <w:numPr>
          <w:ilvl w:val="0"/>
          <w:numId w:val="9"/>
        </w:numPr>
        <w:spacing w:before="120" w:after="120"/>
        <w:rPr>
          <w:rFonts w:eastAsiaTheme="minorHAnsi" w:cs="Calibri"/>
          <w:szCs w:val="22"/>
        </w:rPr>
      </w:pPr>
      <w:r w:rsidRPr="00350596">
        <w:rPr>
          <w:rFonts w:eastAsiaTheme="minorHAnsi" w:cs="Calibri"/>
          <w:szCs w:val="22"/>
        </w:rPr>
        <w:t xml:space="preserve">early in the treatment algorithm, in combination with standard therapy to provide symptom relief whilst remission induction occurs, often referred to as ‘bridging therapy’; and </w:t>
      </w:r>
    </w:p>
    <w:p w14:paraId="02505DB6" w14:textId="77777777" w:rsidR="00AF7C17" w:rsidRPr="00350596" w:rsidRDefault="00AF7C17" w:rsidP="002100FC">
      <w:pPr>
        <w:numPr>
          <w:ilvl w:val="0"/>
          <w:numId w:val="9"/>
        </w:numPr>
        <w:spacing w:before="120" w:after="120"/>
        <w:rPr>
          <w:rFonts w:eastAsiaTheme="minorHAnsi" w:cs="Calibri"/>
        </w:rPr>
      </w:pPr>
      <w:r w:rsidRPr="00350596">
        <w:rPr>
          <w:rFonts w:eastAsiaTheme="minorHAnsi" w:cs="Calibri"/>
        </w:rPr>
        <w:t>later in the disease course in refractory patients.</w:t>
      </w:r>
    </w:p>
    <w:p w14:paraId="6027B4CE" w14:textId="77777777" w:rsidR="00AF7C17" w:rsidRPr="00350596" w:rsidRDefault="00AF7C17" w:rsidP="002100FC">
      <w:pPr>
        <w:spacing w:before="120" w:after="120"/>
        <w:ind w:left="720"/>
        <w:rPr>
          <w:rFonts w:eastAsiaTheme="minorHAnsi" w:cs="Calibri"/>
          <w:szCs w:val="22"/>
        </w:rPr>
      </w:pPr>
      <w:r w:rsidRPr="00350596">
        <w:rPr>
          <w:rFonts w:eastAsiaTheme="minorHAnsi" w:cs="Calibri"/>
          <w:szCs w:val="22"/>
        </w:rPr>
        <w:t>The ESC considered that separate PBS restrictions would be required in each of these settings.</w:t>
      </w:r>
    </w:p>
    <w:p w14:paraId="6E502AB0"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recalled advice from the clinicians present at the gMG stakeholder meeting (May 2024)</w:t>
      </w:r>
      <w:r w:rsidRPr="00350596">
        <w:rPr>
          <w:rFonts w:eastAsiaTheme="minorHAnsi" w:cs="Calibri"/>
          <w:szCs w:val="22"/>
          <w:vertAlign w:val="superscript"/>
        </w:rPr>
        <w:t xml:space="preserve"> </w:t>
      </w:r>
      <w:r w:rsidRPr="00350596">
        <w:rPr>
          <w:rFonts w:eastAsiaTheme="minorHAnsi" w:cs="Calibri"/>
          <w:szCs w:val="22"/>
          <w:vertAlign w:val="superscript"/>
        </w:rPr>
        <w:footnoteReference w:id="2"/>
      </w:r>
      <w:r w:rsidRPr="00350596">
        <w:rPr>
          <w:rFonts w:eastAsiaTheme="minorHAnsi" w:cs="Calibri"/>
          <w:szCs w:val="22"/>
        </w:rPr>
        <w:t xml:space="preserve"> that the complement inhibitors should be available in both these settings. </w:t>
      </w:r>
    </w:p>
    <w:p w14:paraId="14828957" w14:textId="167F03EE"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considered that in both settings, the new gMG therapies should substitute for IVIg and plasma exchange (PLEX) rather than be added on to or used in combination with these modalities.</w:t>
      </w:r>
    </w:p>
    <w:p w14:paraId="6EDB9B8E" w14:textId="77777777" w:rsidR="00AF7C17" w:rsidRPr="00350596" w:rsidRDefault="00AF7C17" w:rsidP="002100FC">
      <w:pPr>
        <w:spacing w:before="120" w:after="120"/>
        <w:rPr>
          <w:rFonts w:eastAsiaTheme="minorHAnsi" w:cs="Calibri"/>
        </w:rPr>
      </w:pPr>
      <w:r w:rsidRPr="00350596">
        <w:rPr>
          <w:rFonts w:eastAsiaTheme="minorHAnsi" w:cs="Calibri"/>
          <w:u w:val="single"/>
        </w:rPr>
        <w:t>Bridging setting</w:t>
      </w:r>
    </w:p>
    <w:p w14:paraId="79EB8554" w14:textId="10C8699E"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In terms of bridging therapy, the ESC recalled that the stakeholder meeting had discussed that specific patient criteria should be determined (e.g. a hypothetical case study of a typical patient who could benefit from the new therapies was discussed which took into account the patient’s response to standard therapy). The ESC considered that any PBS restriction for bridging therapy should require the patient to have trialled at least three months of combination therapy with all three of: a</w:t>
      </w:r>
      <w:r w:rsidR="00DA6027" w:rsidRPr="00350596">
        <w:rPr>
          <w:rFonts w:eastAsiaTheme="minorHAnsi" w:cs="Calibri"/>
          <w:szCs w:val="22"/>
        </w:rPr>
        <w:t>n</w:t>
      </w:r>
      <w:r w:rsidRPr="00350596">
        <w:rPr>
          <w:rFonts w:eastAsiaTheme="minorHAnsi" w:cs="Calibri"/>
          <w:szCs w:val="22"/>
        </w:rPr>
        <w:t xml:space="preserve"> NS-IST; plus an anti-cholinesterase; plus a corticosteroid. The restriction should require these therapies to have been used at optimised dosing (though specific doses should not be outlined in the PBS restriction, to enable clinician judgement), unless contraindicated or severely intolerant. As such, the ESC considered that the timing of initiation of the new therapy should be based on a minimum of three months having elapsed since initiation of the NS-IST. Further, the ESC considered that the intention would be for </w:t>
      </w:r>
      <w:r w:rsidRPr="00350596">
        <w:rPr>
          <w:rFonts w:eastAsiaTheme="minorHAnsi" w:cs="Calibri"/>
          <w:szCs w:val="22"/>
        </w:rPr>
        <w:lastRenderedPageBreak/>
        <w:t>the NS-IST to be continued concurrently with the new gMG therapy (unless contraindicated or severely intolerant).</w:t>
      </w:r>
      <w:r w:rsidR="0002663A" w:rsidRPr="00350596">
        <w:rPr>
          <w:rFonts w:eastAsiaTheme="minorHAnsi" w:cs="Calibri"/>
          <w:szCs w:val="22"/>
        </w:rPr>
        <w:t xml:space="preserve"> </w:t>
      </w:r>
      <w:r w:rsidR="00AE3864" w:rsidRPr="00350596">
        <w:rPr>
          <w:rFonts w:eastAsiaTheme="minorHAnsi" w:cs="Calibri"/>
          <w:szCs w:val="22"/>
        </w:rPr>
        <w:t>Refer to paragraphs 8</w:t>
      </w:r>
      <w:r w:rsidR="0048010D" w:rsidRPr="00350596">
        <w:rPr>
          <w:rFonts w:eastAsiaTheme="minorHAnsi" w:cs="Calibri"/>
          <w:szCs w:val="22"/>
        </w:rPr>
        <w:t>.6</w:t>
      </w:r>
      <w:r w:rsidR="00AE3864" w:rsidRPr="00350596">
        <w:rPr>
          <w:rFonts w:eastAsiaTheme="minorHAnsi" w:cs="Calibri"/>
          <w:szCs w:val="22"/>
        </w:rPr>
        <w:t xml:space="preserve"> to 8.</w:t>
      </w:r>
      <w:r w:rsidR="0048010D" w:rsidRPr="00350596">
        <w:rPr>
          <w:rFonts w:eastAsiaTheme="minorHAnsi" w:cs="Calibri"/>
          <w:szCs w:val="22"/>
        </w:rPr>
        <w:t>13</w:t>
      </w:r>
      <w:r w:rsidR="000449B3" w:rsidRPr="00350596">
        <w:rPr>
          <w:rFonts w:eastAsiaTheme="minorHAnsi" w:cs="Calibri"/>
          <w:szCs w:val="22"/>
        </w:rPr>
        <w:t xml:space="preserve"> </w:t>
      </w:r>
      <w:r w:rsidR="00AE3864" w:rsidRPr="00350596">
        <w:rPr>
          <w:rFonts w:eastAsiaTheme="minorHAnsi" w:cs="Calibri"/>
          <w:szCs w:val="22"/>
        </w:rPr>
        <w:t>for the PBAC’s advice regarding the restriction criteria.</w:t>
      </w:r>
    </w:p>
    <w:p w14:paraId="5B66D356"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The ESC considered that a key issue in the bridging setting would be the potential for ongoing use of the new therapies in patients who would have responded to standard therapy, or whose condition would have improved over time (given the potential for recovery of receptors in gMG). As such, the ESC reiterated the advice from the stakeholder meeting that there should be robust stopping rules to prevent ongoing use. </w:t>
      </w:r>
    </w:p>
    <w:p w14:paraId="12C672C5" w14:textId="3765D83B" w:rsidR="00AF7C17" w:rsidRPr="00350596" w:rsidRDefault="00AF7C17" w:rsidP="002100FC">
      <w:pPr>
        <w:numPr>
          <w:ilvl w:val="1"/>
          <w:numId w:val="1"/>
        </w:numPr>
        <w:spacing w:before="120" w:after="120"/>
        <w:rPr>
          <w:rFonts w:eastAsiaTheme="minorHAnsi" w:cs="Calibri"/>
          <w:szCs w:val="22"/>
        </w:rPr>
      </w:pPr>
      <w:bookmarkStart w:id="83" w:name="_Ref194668812"/>
      <w:r w:rsidRPr="00350596">
        <w:rPr>
          <w:rFonts w:eastAsiaTheme="minorHAnsi" w:cs="Calibri"/>
          <w:szCs w:val="22"/>
        </w:rPr>
        <w:t>The ESC considered that, overall, the primary literature suggests that most patients generally respond to NS-ISTs within 12 months, with many patients responding within the first one to six months.</w:t>
      </w:r>
      <w:r w:rsidRPr="00350596">
        <w:rPr>
          <w:rFonts w:eastAsiaTheme="minorHAnsi" w:cs="Calibri"/>
          <w:szCs w:val="22"/>
          <w:vertAlign w:val="superscript"/>
        </w:rPr>
        <w:footnoteReference w:id="3"/>
      </w:r>
      <w:r w:rsidRPr="00350596">
        <w:rPr>
          <w:rFonts w:eastAsiaTheme="minorHAnsi" w:cs="Calibri"/>
          <w:szCs w:val="22"/>
          <w:vertAlign w:val="superscript"/>
        </w:rPr>
        <w:t>,</w:t>
      </w:r>
      <w:r w:rsidRPr="00350596">
        <w:rPr>
          <w:rFonts w:eastAsiaTheme="minorHAnsi" w:cs="Calibri"/>
          <w:szCs w:val="22"/>
          <w:vertAlign w:val="superscript"/>
        </w:rPr>
        <w:footnoteReference w:id="4"/>
      </w:r>
      <w:r w:rsidRPr="00350596">
        <w:rPr>
          <w:rFonts w:eastAsiaTheme="minorHAnsi" w:cs="Calibri"/>
          <w:szCs w:val="22"/>
        </w:rPr>
        <w:t xml:space="preserve"> The ESC considered that any PBS restriction for bridging therapy should require the patient to cease the new therapy after around six months of treatment (acknowledging that variations in treatment duration between therapies may be required to align with treatment courses). After three months of therapy cessation (i.e. a total of at least 12 months since NS-IST initiation), patients whose condition remains uncontrolled may recommence under the refractory listing. Overall, the maximum treatment duration in the bridging setting would be around six months.</w:t>
      </w:r>
      <w:bookmarkEnd w:id="83"/>
      <w:r w:rsidRPr="00350596">
        <w:rPr>
          <w:rFonts w:eastAsiaTheme="minorHAnsi" w:cs="Calibri"/>
          <w:szCs w:val="22"/>
        </w:rPr>
        <w:t xml:space="preserve"> </w:t>
      </w:r>
    </w:p>
    <w:p w14:paraId="622DB1F3" w14:textId="77777777" w:rsidR="00AF7C17" w:rsidRPr="00350596" w:rsidRDefault="00AF7C17" w:rsidP="002100FC">
      <w:pPr>
        <w:numPr>
          <w:ilvl w:val="1"/>
          <w:numId w:val="1"/>
        </w:numPr>
        <w:spacing w:before="120" w:after="120"/>
        <w:rPr>
          <w:rFonts w:eastAsiaTheme="minorHAnsi" w:cs="Calibri"/>
          <w:szCs w:val="22"/>
        </w:rPr>
      </w:pPr>
      <w:bookmarkStart w:id="84" w:name="_Ref190340943"/>
      <w:r w:rsidRPr="00350596">
        <w:rPr>
          <w:rFonts w:eastAsiaTheme="minorHAnsi" w:cs="Calibri"/>
          <w:szCs w:val="22"/>
        </w:rPr>
        <w:t xml:space="preserve">The ESC considered that another key issue in the bridging setting was the lower level of certainty in the incremental benefit versus optimisation of existing therapies given the availability of therapies that are effective for many patients, and that this would impact on the cost-effectiveness of the new therapies. The ESC </w:t>
      </w:r>
      <w:bookmarkEnd w:id="84"/>
      <w:r w:rsidRPr="00350596">
        <w:rPr>
          <w:rFonts w:eastAsiaTheme="minorHAnsi" w:cs="Calibri"/>
          <w:szCs w:val="22"/>
        </w:rPr>
        <w:t>considered that it was unclear whether these concerns would be adequately addressed by limiting use in this setting to a maximum duration of six months, along with a combined risk sharing arrangement (RSA) for any recommended drugs across both setting.</w:t>
      </w:r>
    </w:p>
    <w:p w14:paraId="0E10B4EF" w14:textId="77777777" w:rsidR="00AF7C17" w:rsidRPr="00350596" w:rsidRDefault="00AF7C17" w:rsidP="002100FC">
      <w:pPr>
        <w:spacing w:before="120" w:after="120"/>
        <w:rPr>
          <w:rFonts w:eastAsiaTheme="minorHAnsi" w:cs="Calibri"/>
          <w:u w:val="single"/>
        </w:rPr>
      </w:pPr>
      <w:r w:rsidRPr="00350596">
        <w:rPr>
          <w:rFonts w:eastAsiaTheme="minorHAnsi" w:cs="Calibri"/>
          <w:u w:val="single"/>
        </w:rPr>
        <w:t>Refractory setting</w:t>
      </w:r>
    </w:p>
    <w:p w14:paraId="31F9FFC1"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In terms of the treatment refractory setting, the ESC considered any PBS restriction should require the patient to have prior treatment for at least one year. The ESC considered that further work would be required to determine the specific therapies and durations.</w:t>
      </w:r>
    </w:p>
    <w:p w14:paraId="5ED55B2A" w14:textId="77777777" w:rsidR="00AF7C17" w:rsidRPr="00350596" w:rsidRDefault="00AF7C17" w:rsidP="002100FC">
      <w:pPr>
        <w:spacing w:before="120" w:after="120"/>
        <w:rPr>
          <w:rFonts w:eastAsiaTheme="minorHAnsi" w:cs="Calibri"/>
          <w:u w:val="single"/>
        </w:rPr>
      </w:pPr>
      <w:r w:rsidRPr="00350596">
        <w:rPr>
          <w:rFonts w:eastAsiaTheme="minorHAnsi" w:cs="Calibri"/>
          <w:u w:val="single"/>
        </w:rPr>
        <w:t>Both settings</w:t>
      </w:r>
    </w:p>
    <w:p w14:paraId="3A17421C"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considered that restrictions should be consistent across any new gMG therapies recommended for listing.</w:t>
      </w:r>
    </w:p>
    <w:p w14:paraId="294FFC92"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Across both settings, the following aspects of the restrictions would need to be determined:</w:t>
      </w:r>
    </w:p>
    <w:p w14:paraId="7C99430E" w14:textId="77777777" w:rsidR="00AF7C17" w:rsidRPr="00350596" w:rsidRDefault="00AF7C17" w:rsidP="002100FC">
      <w:pPr>
        <w:numPr>
          <w:ilvl w:val="0"/>
          <w:numId w:val="9"/>
        </w:numPr>
        <w:spacing w:before="120" w:after="120"/>
        <w:rPr>
          <w:rFonts w:eastAsiaTheme="minorHAnsi" w:cs="Calibri"/>
        </w:rPr>
      </w:pPr>
      <w:r w:rsidRPr="00350596">
        <w:rPr>
          <w:rFonts w:eastAsiaTheme="minorHAnsi" w:cs="Calibri"/>
        </w:rPr>
        <w:lastRenderedPageBreak/>
        <w:t>functional impairment criteria;</w:t>
      </w:r>
    </w:p>
    <w:p w14:paraId="1EAE5E02" w14:textId="77777777" w:rsidR="00AF7C17" w:rsidRPr="00350596" w:rsidRDefault="00AF7C17" w:rsidP="002100FC">
      <w:pPr>
        <w:numPr>
          <w:ilvl w:val="0"/>
          <w:numId w:val="9"/>
        </w:numPr>
        <w:spacing w:before="120" w:after="120"/>
        <w:rPr>
          <w:rFonts w:eastAsiaTheme="minorHAnsi" w:cs="Calibri"/>
        </w:rPr>
      </w:pPr>
      <w:r w:rsidRPr="00350596">
        <w:rPr>
          <w:rFonts w:eastAsiaTheme="minorHAnsi" w:cs="Calibri"/>
        </w:rPr>
        <w:t>response criteria;</w:t>
      </w:r>
    </w:p>
    <w:p w14:paraId="22593830" w14:textId="77777777" w:rsidR="00AF7C17" w:rsidRPr="00350596" w:rsidRDefault="00AF7C17" w:rsidP="002100FC">
      <w:pPr>
        <w:numPr>
          <w:ilvl w:val="0"/>
          <w:numId w:val="9"/>
        </w:numPr>
        <w:spacing w:before="120" w:after="120"/>
        <w:rPr>
          <w:rFonts w:eastAsiaTheme="minorHAnsi" w:cs="Calibri"/>
        </w:rPr>
      </w:pPr>
      <w:r w:rsidRPr="00350596">
        <w:rPr>
          <w:rFonts w:eastAsiaTheme="minorHAnsi" w:cs="Calibri"/>
        </w:rPr>
        <w:t>requirements around prior and concomitant treatments; and</w:t>
      </w:r>
    </w:p>
    <w:p w14:paraId="53CD4B86" w14:textId="77777777" w:rsidR="00AF7C17" w:rsidRPr="00350596" w:rsidRDefault="00AF7C17" w:rsidP="002100FC">
      <w:pPr>
        <w:numPr>
          <w:ilvl w:val="0"/>
          <w:numId w:val="9"/>
        </w:numPr>
        <w:spacing w:before="120" w:after="120"/>
        <w:rPr>
          <w:rFonts w:eastAsiaTheme="minorHAnsi" w:cs="Calibri"/>
          <w:szCs w:val="22"/>
        </w:rPr>
      </w:pPr>
      <w:r w:rsidRPr="00350596">
        <w:rPr>
          <w:rFonts w:eastAsiaTheme="minorHAnsi" w:cs="Calibri"/>
          <w:szCs w:val="22"/>
        </w:rPr>
        <w:t xml:space="preserve">restriction structure around: balance of supply; grandfather arrangements (where applicable); a transition pathway between the bridging and refractory settings; any allowance for switching between the newer therapies; and recommencement in the refractory setting (if ceased for reasons other than loss of response or exceeding the six month duration in the bridging setting). </w:t>
      </w:r>
    </w:p>
    <w:p w14:paraId="05D73577" w14:textId="6BCBFAA1"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noted that the NBA qualifying criteria for IVIg</w:t>
      </w:r>
      <w:r w:rsidRPr="00350596">
        <w:rPr>
          <w:rFonts w:eastAsiaTheme="minorHAnsi" w:cs="Calibri"/>
          <w:szCs w:val="22"/>
          <w:vertAlign w:val="superscript"/>
        </w:rPr>
        <w:footnoteReference w:id="5"/>
      </w:r>
      <w:r w:rsidRPr="00350596">
        <w:rPr>
          <w:rFonts w:eastAsiaTheme="minorHAnsi" w:cs="Calibri"/>
          <w:szCs w:val="22"/>
        </w:rPr>
        <w:t xml:space="preserve"> specifies that the patient has a Myasthenic Gravis Composite (MGC) of at least 4 points; and at least 2 other treatments are ineffective, contraindicated, unavailable or caused intolerable side effects. The ESC considered this was broad as the other treatments could comprise two of: an anti-cholinesterase; a corticosteroid; or thymectomy (i.e. there is no requirement for the patient to have trialled </w:t>
      </w:r>
      <w:r w:rsidR="00DA6027" w:rsidRPr="00350596">
        <w:rPr>
          <w:rFonts w:eastAsiaTheme="minorHAnsi" w:cs="Calibri"/>
          <w:szCs w:val="22"/>
        </w:rPr>
        <w:t>an NS-IST</w:t>
      </w:r>
      <w:r w:rsidRPr="00350596">
        <w:rPr>
          <w:rFonts w:eastAsiaTheme="minorHAnsi" w:cs="Calibri"/>
          <w:szCs w:val="22"/>
        </w:rPr>
        <w:t xml:space="preserve">) and no time periods are specified, nor is there a requirement for the doses to have been optimised. </w:t>
      </w:r>
    </w:p>
    <w:p w14:paraId="2C2ACB48" w14:textId="77777777" w:rsidR="00AF7C17" w:rsidRPr="00350596" w:rsidRDefault="00AF7C17" w:rsidP="002100FC">
      <w:pPr>
        <w:numPr>
          <w:ilvl w:val="1"/>
          <w:numId w:val="1"/>
        </w:numPr>
        <w:spacing w:before="120" w:after="120"/>
        <w:rPr>
          <w:rFonts w:eastAsiaTheme="minorHAnsi" w:cs="Calibri"/>
        </w:rPr>
      </w:pPr>
      <w:r w:rsidRPr="00350596">
        <w:rPr>
          <w:rFonts w:eastAsiaTheme="minorHAnsi" w:cs="Calibri"/>
        </w:rPr>
        <w:t xml:space="preserve">The ESC noted that the IVIg criteria are referred to as a ‘maintenance’ indication (i.e. “as maintenance therapy for moderate to severe MG when other treatments have been ineffective or caused intolerable side effects”), but that the criteria also stated “IVIg should be regarded as a stopgap treatment while using short-term drugs such as pyridostigmine and while introducing effective immunotherapy”. The ESC considered that it was likely that IVIg is being used in both the bridging and refractory settings. </w:t>
      </w:r>
    </w:p>
    <w:p w14:paraId="00C553B7"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In both settings, the ESC considered that the new gMG therapies should substitute for IVIg and PLEX rather than be added on or used in combination, and that a reduction in IVIg use would be expected. The ESC considered that:</w:t>
      </w:r>
    </w:p>
    <w:p w14:paraId="2D293CB1" w14:textId="725B2BFA" w:rsidR="00AF7C17" w:rsidRPr="00350596" w:rsidRDefault="00AF7C17" w:rsidP="002100FC">
      <w:pPr>
        <w:numPr>
          <w:ilvl w:val="0"/>
          <w:numId w:val="9"/>
        </w:numPr>
        <w:spacing w:before="120" w:after="120"/>
        <w:rPr>
          <w:rFonts w:eastAsiaTheme="minorHAnsi" w:cs="Calibri"/>
          <w:szCs w:val="22"/>
        </w:rPr>
      </w:pPr>
      <w:r w:rsidRPr="00350596">
        <w:rPr>
          <w:rFonts w:eastAsiaTheme="minorHAnsi" w:cs="Calibri"/>
          <w:szCs w:val="22"/>
        </w:rPr>
        <w:t xml:space="preserve">the PBS restriction should state that the new therapy should not be used in combination with maintenance </w:t>
      </w:r>
      <w:r w:rsidR="00462E7F" w:rsidRPr="00350596">
        <w:rPr>
          <w:rFonts w:eastAsiaTheme="minorHAnsi" w:cs="Calibri"/>
          <w:szCs w:val="22"/>
        </w:rPr>
        <w:t xml:space="preserve">use of IVIg </w:t>
      </w:r>
      <w:r w:rsidRPr="00350596">
        <w:rPr>
          <w:rFonts w:eastAsiaTheme="minorHAnsi" w:cs="Calibri"/>
          <w:szCs w:val="22"/>
        </w:rPr>
        <w:t xml:space="preserve">(although use of IVIg prior to surgery or in a myasthenic crisis should be permitted); </w:t>
      </w:r>
    </w:p>
    <w:p w14:paraId="220A2866" w14:textId="77777777" w:rsidR="00AF7C17" w:rsidRPr="00350596" w:rsidRDefault="00AF7C17" w:rsidP="002100FC">
      <w:pPr>
        <w:numPr>
          <w:ilvl w:val="0"/>
          <w:numId w:val="9"/>
        </w:numPr>
        <w:spacing w:before="120" w:after="120"/>
        <w:rPr>
          <w:rFonts w:eastAsiaTheme="minorHAnsi" w:cs="Calibri"/>
        </w:rPr>
      </w:pPr>
      <w:r w:rsidRPr="00350596">
        <w:rPr>
          <w:rFonts w:eastAsiaTheme="minorHAnsi" w:cs="Calibri"/>
        </w:rPr>
        <w:t>there should be no requirement for the patient to have trialled prior IVIg (or PLEX); and</w:t>
      </w:r>
    </w:p>
    <w:p w14:paraId="7ABC84B7" w14:textId="77777777" w:rsidR="00AF7C17" w:rsidRPr="00350596" w:rsidRDefault="00AF7C17" w:rsidP="002100FC">
      <w:pPr>
        <w:numPr>
          <w:ilvl w:val="0"/>
          <w:numId w:val="9"/>
        </w:numPr>
        <w:spacing w:before="120" w:after="120"/>
        <w:rPr>
          <w:rFonts w:eastAsiaTheme="minorHAnsi" w:cs="Calibri"/>
          <w:szCs w:val="22"/>
        </w:rPr>
      </w:pPr>
      <w:r w:rsidRPr="00350596">
        <w:rPr>
          <w:rFonts w:eastAsiaTheme="minorHAnsi" w:cs="Calibri"/>
          <w:szCs w:val="22"/>
        </w:rPr>
        <w:t>amendments to the prescribing criteria for IVIg may be required, along with systems to ensure that the anticipated reductions in IVIg use are realised.</w:t>
      </w:r>
    </w:p>
    <w:p w14:paraId="2D3C56C2" w14:textId="7ADC7D71" w:rsidR="00AF7C17" w:rsidRPr="00350596" w:rsidRDefault="002439DF" w:rsidP="006C11F2">
      <w:pPr>
        <w:pStyle w:val="COMH2-non-numbered"/>
        <w:rPr>
          <w:snapToGrid w:val="0"/>
        </w:rPr>
      </w:pPr>
      <w:r w:rsidRPr="00350596">
        <w:t>ESC’s view on the c</w:t>
      </w:r>
      <w:r w:rsidR="00AF7C17" w:rsidRPr="00350596">
        <w:rPr>
          <w:snapToGrid w:val="0"/>
        </w:rPr>
        <w:t>omparator</w:t>
      </w:r>
    </w:p>
    <w:p w14:paraId="7ED90C7E" w14:textId="77777777" w:rsidR="00AF7C17" w:rsidRPr="00350596" w:rsidRDefault="00AF7C17" w:rsidP="002100FC">
      <w:pPr>
        <w:numPr>
          <w:ilvl w:val="1"/>
          <w:numId w:val="1"/>
        </w:numPr>
        <w:spacing w:before="120" w:after="120"/>
        <w:rPr>
          <w:rFonts w:eastAsia="Calibri" w:cs="Calibri"/>
          <w:szCs w:val="22"/>
        </w:rPr>
      </w:pPr>
      <w:r w:rsidRPr="00350596">
        <w:rPr>
          <w:rFonts w:eastAsia="Calibri" w:cs="Calibri"/>
          <w:szCs w:val="22"/>
        </w:rPr>
        <w:t xml:space="preserve">At its July 2024 meeting, the PBAC considered “for the non-refractory group, the comparator should be optimisation of existing therapies. For refractory patients and those who are unable to use or not responding to existing therapies, the PBAC acknowledged that there are variations in access to IVIg/PLEX and that any clinical </w:t>
      </w:r>
      <w:r w:rsidRPr="00350596">
        <w:rPr>
          <w:rFonts w:eastAsia="Calibri" w:cs="Calibri"/>
          <w:szCs w:val="22"/>
        </w:rPr>
        <w:lastRenderedPageBreak/>
        <w:t xml:space="preserve">comparisons may be limited by the lack of evidence for IVIg/PLEX. As such, the PBAC considered that placebo may be a reasonable comparator in this group. However, the PBAC considered that chronic IVIg/PLEX remained a relevant comparator for providing a frame of reference for interpreting the cost per patient of ravulizumab in the refractory setting” (paragraph 7.10, ravulizumab PSD, July 2024 PBAC meeting). </w:t>
      </w:r>
    </w:p>
    <w:p w14:paraId="67C12A91" w14:textId="77777777" w:rsidR="00AF7C17" w:rsidRPr="00350596" w:rsidRDefault="00AF7C17" w:rsidP="002100FC">
      <w:pPr>
        <w:numPr>
          <w:ilvl w:val="1"/>
          <w:numId w:val="1"/>
        </w:numPr>
        <w:spacing w:before="120" w:after="120"/>
        <w:rPr>
          <w:rFonts w:eastAsia="Calibri" w:cs="Calibri"/>
          <w:szCs w:val="22"/>
        </w:rPr>
      </w:pPr>
      <w:r w:rsidRPr="00350596">
        <w:rPr>
          <w:rFonts w:eastAsia="Calibri" w:cs="Calibri"/>
          <w:szCs w:val="22"/>
        </w:rPr>
        <w:t>As such, the ESC reiterated the PBAC’s previous advice that chronic IVIg was a relevant comparator for providing a frame of reference for interpreting the cost per patient of the newer gMG therapies in the refractory setting.</w:t>
      </w:r>
    </w:p>
    <w:p w14:paraId="788AF2FC" w14:textId="6D09850D" w:rsidR="00AF7C17" w:rsidRPr="00350596" w:rsidRDefault="00AF7C17" w:rsidP="002100FC">
      <w:pPr>
        <w:numPr>
          <w:ilvl w:val="1"/>
          <w:numId w:val="1"/>
        </w:numPr>
        <w:spacing w:before="120" w:after="120"/>
        <w:rPr>
          <w:rFonts w:eastAsiaTheme="minorHAnsi" w:cs="Calibri"/>
          <w:szCs w:val="22"/>
        </w:rPr>
      </w:pPr>
      <w:r w:rsidRPr="00350596">
        <w:rPr>
          <w:rFonts w:eastAsia="Calibri" w:cs="Calibri"/>
          <w:szCs w:val="22"/>
        </w:rPr>
        <w:t>The</w:t>
      </w:r>
      <w:r w:rsidRPr="00350596">
        <w:rPr>
          <w:rFonts w:cs="Calibri"/>
          <w:szCs w:val="22"/>
        </w:rPr>
        <w:t xml:space="preserve"> ESC considered that the four gMG therapies considered at the March 2025 meeting (efgartigimod, rozanolixizumab, ravulizumab and zilucoplan) were all near-market comparators to each other.</w:t>
      </w:r>
    </w:p>
    <w:p w14:paraId="0598A67C" w14:textId="39CA150D" w:rsidR="00AF7C17" w:rsidRPr="00350596" w:rsidRDefault="002439DF" w:rsidP="002100FC">
      <w:pPr>
        <w:pStyle w:val="COMH2-non-numbered"/>
        <w:rPr>
          <w:snapToGrid w:val="0"/>
        </w:rPr>
      </w:pPr>
      <w:r w:rsidRPr="00350596">
        <w:t>ESC’s view on the c</w:t>
      </w:r>
      <w:r w:rsidR="00AF7C17" w:rsidRPr="00350596">
        <w:rPr>
          <w:snapToGrid w:val="0"/>
        </w:rPr>
        <w:t>omparative effectiveness and safety</w:t>
      </w:r>
    </w:p>
    <w:p w14:paraId="4C379D1E"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The ESC noted the PBAC’s previous advice that “for the non-refractory group, the comparator should be optimisation of existing therapies”, but that none of the trials for the new therapies required baseline therapies to have been optimised. </w:t>
      </w:r>
    </w:p>
    <w:p w14:paraId="0C9358F9" w14:textId="22E0D6F3"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The ESC considered that there was no evidence to suggest superior efficacy or safety </w:t>
      </w:r>
      <w:r w:rsidRPr="00350596">
        <w:rPr>
          <w:rFonts w:eastAsia="Calibri" w:cs="Calibri"/>
          <w:szCs w:val="22"/>
        </w:rPr>
        <w:t>between any of</w:t>
      </w:r>
      <w:r w:rsidRPr="00350596">
        <w:rPr>
          <w:rFonts w:eastAsiaTheme="minorHAnsi" w:cs="Calibri"/>
          <w:szCs w:val="22"/>
        </w:rPr>
        <w:t xml:space="preserve"> the four new gMG therapies (zilucoplan, ravulizumab, efgartigimod alfa and rozanolixizumab). The ESC considered that the published </w:t>
      </w:r>
      <w:r w:rsidR="00A7334F" w:rsidRPr="00350596">
        <w:rPr>
          <w:rFonts w:eastAsiaTheme="minorHAnsi" w:cs="Calibri"/>
          <w:szCs w:val="22"/>
        </w:rPr>
        <w:t>NMAs</w:t>
      </w:r>
      <w:r w:rsidR="005E4526" w:rsidRPr="00350596">
        <w:rPr>
          <w:rFonts w:eastAsiaTheme="minorHAnsi" w:cs="Calibri"/>
          <w:szCs w:val="22"/>
        </w:rPr>
        <w:t xml:space="preserve"> </w:t>
      </w:r>
      <w:r w:rsidRPr="00350596">
        <w:rPr>
          <w:rFonts w:eastAsiaTheme="minorHAnsi" w:cs="Calibri"/>
          <w:szCs w:val="22"/>
        </w:rPr>
        <w:t>had substantial limitations, notably the poor transitivity between the included trials and lack of accounting for the treatment effects of FcRn blockers waning over time during the off-treatment period.</w:t>
      </w:r>
      <w:r w:rsidR="00D53C72">
        <w:rPr>
          <w:rFonts w:eastAsiaTheme="minorHAnsi" w:cs="Calibri"/>
          <w:szCs w:val="22"/>
        </w:rPr>
        <w:t xml:space="preserve"> </w:t>
      </w:r>
    </w:p>
    <w:p w14:paraId="0BC91077"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Further, the ESC acknowledged the limitations of the available evidence for chronic IVIg but considered that there was no evidence to suggest superior efficacy of any of the four new gMG therapies versus chronic IVIg or PLEX.</w:t>
      </w:r>
    </w:p>
    <w:p w14:paraId="3B896E10" w14:textId="667ED61C" w:rsidR="00AF7C17" w:rsidRPr="00350596" w:rsidRDefault="002439DF" w:rsidP="002100FC">
      <w:pPr>
        <w:pStyle w:val="COMH2-numbered"/>
        <w:spacing w:before="120"/>
        <w:rPr>
          <w:snapToGrid w:val="0"/>
        </w:rPr>
      </w:pPr>
      <w:r w:rsidRPr="00350596">
        <w:t>ESC’s view on the e</w:t>
      </w:r>
      <w:r w:rsidR="00AF7C17" w:rsidRPr="00350596">
        <w:rPr>
          <w:snapToGrid w:val="0"/>
        </w:rPr>
        <w:t>conomic analysis</w:t>
      </w:r>
    </w:p>
    <w:p w14:paraId="22502492" w14:textId="77777777" w:rsidR="00AF7C17" w:rsidRPr="00350596" w:rsidRDefault="00AF7C17" w:rsidP="002100FC">
      <w:pPr>
        <w:numPr>
          <w:ilvl w:val="1"/>
          <w:numId w:val="1"/>
        </w:numPr>
        <w:spacing w:before="120" w:after="120"/>
        <w:rPr>
          <w:rFonts w:eastAsiaTheme="minorHAnsi" w:cs="Calibri"/>
        </w:rPr>
      </w:pPr>
      <w:r w:rsidRPr="00350596">
        <w:rPr>
          <w:rFonts w:eastAsiaTheme="minorHAnsi" w:cs="Calibri"/>
        </w:rPr>
        <w:t xml:space="preserve">The ESC considered that any cost-utility analyses for the new therapies would be limited by the lack of available information to reliably inform the model. </w:t>
      </w:r>
    </w:p>
    <w:p w14:paraId="7797B6D3" w14:textId="5BEA6824"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considered a cost-</w:t>
      </w:r>
      <w:r w:rsidR="00AE3864" w:rsidRPr="00350596">
        <w:rPr>
          <w:rFonts w:eastAsiaTheme="minorHAnsi" w:cs="Calibri"/>
          <w:szCs w:val="22"/>
        </w:rPr>
        <w:t xml:space="preserve">comparison </w:t>
      </w:r>
      <w:r w:rsidRPr="00350596">
        <w:rPr>
          <w:rFonts w:eastAsiaTheme="minorHAnsi" w:cs="Calibri"/>
          <w:szCs w:val="22"/>
        </w:rPr>
        <w:t>approach versus IVIg may provide an appropriate frame of reference for interpreting the cost of each of the four new therapies in the refractory setting. The ESC was less certain as to whether this approach would be appropriate in the bridging setting.</w:t>
      </w:r>
    </w:p>
    <w:p w14:paraId="124DA8ED" w14:textId="21A3E7DF" w:rsidR="00AF7C17" w:rsidRPr="00350596" w:rsidRDefault="00AF7C17" w:rsidP="002100FC">
      <w:pPr>
        <w:numPr>
          <w:ilvl w:val="1"/>
          <w:numId w:val="1"/>
        </w:numPr>
        <w:spacing w:before="120" w:after="120"/>
        <w:rPr>
          <w:rFonts w:eastAsiaTheme="minorHAnsi" w:cs="Calibri"/>
        </w:rPr>
      </w:pPr>
      <w:r w:rsidRPr="00350596">
        <w:rPr>
          <w:rFonts w:eastAsiaTheme="minorHAnsi" w:cs="Calibri"/>
        </w:rPr>
        <w:fldChar w:fldCharType="begin"/>
      </w:r>
      <w:r w:rsidRPr="00350596">
        <w:rPr>
          <w:rFonts w:eastAsiaTheme="minorHAnsi" w:cs="Calibri"/>
        </w:rPr>
        <w:instrText xml:space="preserve"> REF _Ref190678974 \h  \* MERGEFORMAT </w:instrText>
      </w:r>
      <w:r w:rsidRPr="00350596">
        <w:rPr>
          <w:rFonts w:eastAsiaTheme="minorHAnsi" w:cs="Calibri"/>
        </w:rPr>
      </w:r>
      <w:r w:rsidRPr="00350596">
        <w:rPr>
          <w:rFonts w:eastAsiaTheme="minorHAnsi" w:cs="Calibri"/>
        </w:rPr>
        <w:fldChar w:fldCharType="separate"/>
      </w:r>
      <w:r w:rsidR="002B16A5" w:rsidRPr="002B16A5">
        <w:rPr>
          <w:rFonts w:eastAsiaTheme="minorHAnsi" w:cs="Calibri"/>
        </w:rPr>
        <w:t>Table 18</w:t>
      </w:r>
      <w:r w:rsidRPr="00350596">
        <w:rPr>
          <w:rFonts w:eastAsiaTheme="minorHAnsi" w:cs="Calibri"/>
        </w:rPr>
        <w:fldChar w:fldCharType="end"/>
      </w:r>
      <w:r w:rsidRPr="00350596">
        <w:rPr>
          <w:rFonts w:eastAsiaTheme="minorHAnsi" w:cs="Calibri"/>
        </w:rPr>
        <w:t xml:space="preserve"> </w:t>
      </w:r>
      <w:r w:rsidRPr="00350596">
        <w:rPr>
          <w:rFonts w:eastAsiaTheme="minorHAnsi" w:cs="Calibri"/>
          <w:szCs w:val="22"/>
        </w:rPr>
        <w:t>summarises</w:t>
      </w:r>
      <w:r w:rsidRPr="00350596">
        <w:rPr>
          <w:rFonts w:eastAsiaTheme="minorHAnsi" w:cs="Calibri"/>
        </w:rPr>
        <w:t xml:space="preserve"> data received from the </w:t>
      </w:r>
      <w:r w:rsidR="00A7334F" w:rsidRPr="00350596">
        <w:rPr>
          <w:rFonts w:eastAsiaTheme="minorHAnsi" w:cs="Calibri"/>
        </w:rPr>
        <w:t>NBA</w:t>
      </w:r>
      <w:r w:rsidRPr="00350596">
        <w:rPr>
          <w:rFonts w:eastAsiaTheme="minorHAnsi" w:cs="Calibri"/>
        </w:rPr>
        <w:t xml:space="preserve"> on the utilisation of IVIg as maintenance therapy for myasthenia gravis in 2023-24. </w:t>
      </w:r>
    </w:p>
    <w:p w14:paraId="485651B5" w14:textId="6A0036BF" w:rsidR="00AF7C17" w:rsidRPr="00350596" w:rsidRDefault="00AF7C17" w:rsidP="00AF7C17">
      <w:pPr>
        <w:keepNext/>
        <w:spacing w:before="120"/>
        <w:jc w:val="left"/>
        <w:rPr>
          <w:rFonts w:ascii="Arial Narrow" w:eastAsiaTheme="majorEastAsia" w:hAnsi="Arial Narrow" w:cstheme="majorBidi"/>
          <w:b/>
          <w:bCs/>
          <w:color w:val="3366FF"/>
          <w:sz w:val="20"/>
        </w:rPr>
      </w:pPr>
      <w:bookmarkStart w:id="85" w:name="_Ref190678974"/>
      <w:r w:rsidRPr="00350596">
        <w:rPr>
          <w:rFonts w:ascii="Arial Narrow" w:eastAsiaTheme="majorEastAsia" w:hAnsi="Arial Narrow" w:cstheme="majorBidi"/>
          <w:b/>
          <w:bCs/>
          <w:sz w:val="20"/>
        </w:rPr>
        <w:lastRenderedPageBreak/>
        <w:t xml:space="preserve">Table </w:t>
      </w:r>
      <w:r w:rsidRPr="00350596">
        <w:rPr>
          <w:rFonts w:ascii="Arial Narrow" w:eastAsiaTheme="majorEastAsia" w:hAnsi="Arial Narrow" w:cstheme="majorBidi"/>
          <w:b/>
          <w:bCs/>
          <w:sz w:val="20"/>
        </w:rPr>
        <w:fldChar w:fldCharType="begin"/>
      </w:r>
      <w:r w:rsidRPr="00350596">
        <w:rPr>
          <w:rFonts w:ascii="Arial Narrow" w:eastAsiaTheme="majorEastAsia" w:hAnsi="Arial Narrow" w:cstheme="majorBidi"/>
          <w:b/>
          <w:bCs/>
          <w:sz w:val="20"/>
        </w:rPr>
        <w:instrText xml:space="preserve"> SEQ Table \* ARABIC </w:instrText>
      </w:r>
      <w:r w:rsidRPr="00350596">
        <w:rPr>
          <w:rFonts w:ascii="Arial Narrow" w:eastAsiaTheme="majorEastAsia" w:hAnsi="Arial Narrow" w:cstheme="majorBidi"/>
          <w:b/>
          <w:bCs/>
          <w:sz w:val="20"/>
        </w:rPr>
        <w:fldChar w:fldCharType="separate"/>
      </w:r>
      <w:r w:rsidR="002B16A5">
        <w:rPr>
          <w:rFonts w:ascii="Arial Narrow" w:eastAsiaTheme="majorEastAsia" w:hAnsi="Arial Narrow" w:cstheme="majorBidi"/>
          <w:b/>
          <w:bCs/>
          <w:noProof/>
          <w:sz w:val="20"/>
        </w:rPr>
        <w:t>18</w:t>
      </w:r>
      <w:r w:rsidRPr="00350596">
        <w:rPr>
          <w:rFonts w:ascii="Arial Narrow" w:eastAsiaTheme="majorEastAsia" w:hAnsi="Arial Narrow" w:cstheme="majorBidi"/>
          <w:b/>
          <w:bCs/>
          <w:sz w:val="20"/>
        </w:rPr>
        <w:fldChar w:fldCharType="end"/>
      </w:r>
      <w:bookmarkEnd w:id="85"/>
      <w:r w:rsidRPr="00350596">
        <w:rPr>
          <w:rFonts w:ascii="Arial Narrow" w:eastAsiaTheme="majorEastAsia" w:hAnsi="Arial Narrow" w:cstheme="majorBidi"/>
          <w:b/>
          <w:bCs/>
          <w:sz w:val="20"/>
        </w:rPr>
        <w:t>: Data received from the NBA on the use of IVIg for maintenance treatment of gMG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Data received from the NBA on the use of IVIg for maintenance treatment of gMG"/>
      </w:tblPr>
      <w:tblGrid>
        <w:gridCol w:w="6092"/>
        <w:gridCol w:w="2925"/>
      </w:tblGrid>
      <w:tr w:rsidR="00AF7C17" w:rsidRPr="00350596" w14:paraId="09D4228B" w14:textId="77777777" w:rsidTr="00104A28">
        <w:tc>
          <w:tcPr>
            <w:tcW w:w="3378" w:type="pct"/>
            <w:vAlign w:val="center"/>
          </w:tcPr>
          <w:p w14:paraId="32895CC7" w14:textId="77777777" w:rsidR="00AF7C17" w:rsidRPr="00350596" w:rsidRDefault="00AF7C17"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Average cost per gram of IVIg (across all indications on the NBA)</w:t>
            </w:r>
          </w:p>
        </w:tc>
        <w:tc>
          <w:tcPr>
            <w:tcW w:w="1622" w:type="pct"/>
            <w:vAlign w:val="center"/>
          </w:tcPr>
          <w:p w14:paraId="5AB917D5" w14:textId="3596E63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w:t>
            </w:r>
            <w:r w:rsidR="000F00AE" w:rsidRPr="000F00AE">
              <w:rPr>
                <w:rFonts w:ascii="Arial Narrow" w:eastAsiaTheme="majorEastAsia" w:hAnsi="Arial Narrow" w:cstheme="majorBidi"/>
                <w:bCs/>
                <w:color w:val="000000"/>
                <w:spacing w:val="53"/>
                <w:sz w:val="20"/>
                <w:shd w:val="solid" w:color="000000" w:fill="000000"/>
                <w:fitText w:val="330" w:id="-656689658"/>
                <w14:textFill>
                  <w14:solidFill>
                    <w14:srgbClr w14:val="000000">
                      <w14:alpha w14:val="100000"/>
                    </w14:srgbClr>
                  </w14:solidFill>
                </w14:textFill>
              </w:rPr>
              <w:t>|||</w:t>
            </w:r>
            <w:r w:rsidR="000F00AE" w:rsidRPr="000F00AE">
              <w:rPr>
                <w:rFonts w:ascii="Arial Narrow" w:eastAsiaTheme="majorEastAsia" w:hAnsi="Arial Narrow" w:cstheme="majorBidi"/>
                <w:bCs/>
                <w:color w:val="000000"/>
                <w:spacing w:val="1"/>
                <w:sz w:val="20"/>
                <w:shd w:val="solid" w:color="000000" w:fill="000000"/>
                <w:fitText w:val="330" w:id="-656689658"/>
                <w14:textFill>
                  <w14:solidFill>
                    <w14:srgbClr w14:val="000000">
                      <w14:alpha w14:val="100000"/>
                    </w14:srgbClr>
                  </w14:solidFill>
                </w14:textFill>
              </w:rPr>
              <w:t>|</w:t>
            </w:r>
          </w:p>
        </w:tc>
      </w:tr>
      <w:tr w:rsidR="00AF7C17" w:rsidRPr="00350596" w14:paraId="257A0375" w14:textId="77777777" w:rsidTr="00104A28">
        <w:tc>
          <w:tcPr>
            <w:tcW w:w="5000" w:type="pct"/>
            <w:gridSpan w:val="2"/>
            <w:vAlign w:val="center"/>
          </w:tcPr>
          <w:p w14:paraId="2A3DF202" w14:textId="77777777" w:rsidR="00AF7C17" w:rsidRPr="00350596" w:rsidRDefault="00AF7C17" w:rsidP="00104A28">
            <w:pPr>
              <w:keepNext/>
              <w:jc w:val="left"/>
              <w:rPr>
                <w:rFonts w:ascii="Arial Narrow" w:eastAsiaTheme="majorEastAsia" w:hAnsi="Arial Narrow" w:cstheme="majorBidi"/>
                <w:b/>
                <w:bCs/>
                <w:sz w:val="20"/>
              </w:rPr>
            </w:pPr>
            <w:r w:rsidRPr="00350596">
              <w:rPr>
                <w:rFonts w:ascii="Arial Narrow" w:eastAsiaTheme="majorEastAsia" w:hAnsi="Arial Narrow" w:cstheme="majorBidi"/>
                <w:b/>
                <w:bCs/>
                <w:sz w:val="20"/>
              </w:rPr>
              <w:t>Data below is specific to the myasthenia gravis maintenance setting</w:t>
            </w:r>
          </w:p>
        </w:tc>
      </w:tr>
      <w:tr w:rsidR="00AF7C17" w:rsidRPr="00350596" w14:paraId="20D902F3" w14:textId="77777777" w:rsidTr="00104A28">
        <w:tc>
          <w:tcPr>
            <w:tcW w:w="3378" w:type="pct"/>
            <w:vAlign w:val="center"/>
          </w:tcPr>
          <w:p w14:paraId="54E352FB" w14:textId="77777777" w:rsidR="00AF7C17" w:rsidRPr="00350596" w:rsidRDefault="00AF7C17"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Average number of ‘dispensing events’ per patient in 2023-24 </w:t>
            </w:r>
          </w:p>
        </w:tc>
        <w:tc>
          <w:tcPr>
            <w:tcW w:w="1622" w:type="pct"/>
            <w:vAlign w:val="center"/>
          </w:tcPr>
          <w:p w14:paraId="2FF338DB"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15.7 per patient per year</w:t>
            </w:r>
          </w:p>
        </w:tc>
      </w:tr>
      <w:tr w:rsidR="00AF7C17" w:rsidRPr="00350596" w14:paraId="065A1B61" w14:textId="77777777" w:rsidTr="00104A28">
        <w:tc>
          <w:tcPr>
            <w:tcW w:w="3378" w:type="pct"/>
            <w:vAlign w:val="center"/>
          </w:tcPr>
          <w:p w14:paraId="4052F281" w14:textId="77777777" w:rsidR="00AF7C17" w:rsidRPr="00350596" w:rsidRDefault="00AF7C17"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Average total annual dose in 2023-24 </w:t>
            </w:r>
            <w:r w:rsidRPr="00350596">
              <w:rPr>
                <w:rFonts w:ascii="Arial Narrow" w:eastAsiaTheme="majorEastAsia" w:hAnsi="Arial Narrow" w:cstheme="majorBidi"/>
                <w:bCs/>
                <w:sz w:val="20"/>
                <w:vertAlign w:val="superscript"/>
              </w:rPr>
              <w:t>a</w:t>
            </w:r>
          </w:p>
        </w:tc>
        <w:tc>
          <w:tcPr>
            <w:tcW w:w="1622" w:type="pct"/>
            <w:vAlign w:val="center"/>
          </w:tcPr>
          <w:p w14:paraId="492E0A9E" w14:textId="761B8F59"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541.</w:t>
            </w:r>
            <w:r w:rsidR="00774686" w:rsidRPr="00350596">
              <w:rPr>
                <w:rFonts w:ascii="Arial Narrow" w:eastAsiaTheme="majorEastAsia" w:hAnsi="Arial Narrow" w:cstheme="majorBidi"/>
                <w:bCs/>
                <w:sz w:val="20"/>
              </w:rPr>
              <w:t>0625</w:t>
            </w:r>
            <w:r w:rsidRPr="00350596">
              <w:rPr>
                <w:rFonts w:ascii="Arial Narrow" w:eastAsiaTheme="majorEastAsia" w:hAnsi="Arial Narrow" w:cstheme="majorBidi"/>
                <w:bCs/>
                <w:sz w:val="20"/>
              </w:rPr>
              <w:t xml:space="preserve"> grams</w:t>
            </w:r>
          </w:p>
        </w:tc>
      </w:tr>
      <w:tr w:rsidR="00AF7C17" w:rsidRPr="00350596" w14:paraId="5D48BC47" w14:textId="77777777" w:rsidTr="00104A28">
        <w:tc>
          <w:tcPr>
            <w:tcW w:w="3378" w:type="pct"/>
            <w:vAlign w:val="center"/>
          </w:tcPr>
          <w:p w14:paraId="49D912C2" w14:textId="77777777" w:rsidR="00AF7C17" w:rsidRPr="00350596" w:rsidRDefault="00AF7C17"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Average grams per ‘dispensing event’</w:t>
            </w:r>
          </w:p>
        </w:tc>
        <w:tc>
          <w:tcPr>
            <w:tcW w:w="1622" w:type="pct"/>
            <w:vAlign w:val="center"/>
          </w:tcPr>
          <w:p w14:paraId="27B170FF"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34.4 grams</w:t>
            </w:r>
          </w:p>
        </w:tc>
      </w:tr>
      <w:tr w:rsidR="00AF7C17" w:rsidRPr="00350596" w14:paraId="22D4C2A1" w14:textId="77777777" w:rsidTr="00104A28">
        <w:tc>
          <w:tcPr>
            <w:tcW w:w="3378" w:type="pct"/>
            <w:vAlign w:val="center"/>
          </w:tcPr>
          <w:p w14:paraId="4A6BE13C" w14:textId="77777777" w:rsidR="00AF7C17" w:rsidRPr="00350596" w:rsidRDefault="00AF7C17" w:rsidP="00104A28">
            <w:pPr>
              <w:keepNext/>
              <w:jc w:val="left"/>
              <w:rPr>
                <w:rFonts w:ascii="Arial Narrow" w:eastAsiaTheme="majorEastAsia" w:hAnsi="Arial Narrow" w:cstheme="majorBidi"/>
                <w:bCs/>
                <w:sz w:val="20"/>
                <w:vertAlign w:val="superscript"/>
              </w:rPr>
            </w:pPr>
            <w:r w:rsidRPr="00350596">
              <w:rPr>
                <w:rFonts w:ascii="Arial Narrow" w:eastAsiaTheme="majorEastAsia" w:hAnsi="Arial Narrow" w:cstheme="majorBidi"/>
                <w:bCs/>
                <w:sz w:val="20"/>
              </w:rPr>
              <w:t xml:space="preserve">Average cost per patient per year of IVIg for maintenance </w:t>
            </w:r>
            <w:r w:rsidRPr="00350596">
              <w:rPr>
                <w:rFonts w:ascii="Arial Narrow" w:eastAsiaTheme="majorEastAsia" w:hAnsi="Arial Narrow" w:cstheme="majorBidi"/>
                <w:bCs/>
                <w:sz w:val="20"/>
                <w:vertAlign w:val="superscript"/>
              </w:rPr>
              <w:t>a</w:t>
            </w:r>
          </w:p>
        </w:tc>
        <w:tc>
          <w:tcPr>
            <w:tcW w:w="1622" w:type="pct"/>
            <w:vAlign w:val="center"/>
          </w:tcPr>
          <w:p w14:paraId="27AC94CA" w14:textId="757B1EBE"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w:t>
            </w:r>
            <w:r w:rsidR="000F00AE" w:rsidRPr="000F00AE">
              <w:rPr>
                <w:rFonts w:ascii="Arial Narrow" w:eastAsiaTheme="majorEastAsia" w:hAnsi="Arial Narrow" w:cstheme="majorBidi"/>
                <w:bCs/>
                <w:color w:val="000000"/>
                <w:spacing w:val="53"/>
                <w:sz w:val="20"/>
                <w:shd w:val="solid" w:color="000000" w:fill="000000"/>
                <w:fitText w:val="330" w:id="-656689657"/>
                <w14:textFill>
                  <w14:solidFill>
                    <w14:srgbClr w14:val="000000">
                      <w14:alpha w14:val="100000"/>
                    </w14:srgbClr>
                  </w14:solidFill>
                </w14:textFill>
              </w:rPr>
              <w:t>|||</w:t>
            </w:r>
            <w:r w:rsidR="000F00AE" w:rsidRPr="000F00AE">
              <w:rPr>
                <w:rFonts w:ascii="Arial Narrow" w:eastAsiaTheme="majorEastAsia" w:hAnsi="Arial Narrow" w:cstheme="majorBidi"/>
                <w:bCs/>
                <w:color w:val="000000"/>
                <w:spacing w:val="1"/>
                <w:sz w:val="20"/>
                <w:shd w:val="solid" w:color="000000" w:fill="000000"/>
                <w:fitText w:val="330" w:id="-656689657"/>
                <w14:textFill>
                  <w14:solidFill>
                    <w14:srgbClr w14:val="000000">
                      <w14:alpha w14:val="100000"/>
                    </w14:srgbClr>
                  </w14:solidFill>
                </w14:textFill>
              </w:rPr>
              <w:t>|</w:t>
            </w:r>
          </w:p>
        </w:tc>
      </w:tr>
      <w:tr w:rsidR="00AF7C17" w:rsidRPr="00350596" w14:paraId="2F28EB83" w14:textId="77777777" w:rsidTr="00104A28">
        <w:tc>
          <w:tcPr>
            <w:tcW w:w="3378" w:type="pct"/>
            <w:vAlign w:val="center"/>
          </w:tcPr>
          <w:p w14:paraId="573B6BA2" w14:textId="77777777" w:rsidR="00AF7C17" w:rsidRPr="00350596" w:rsidRDefault="00AF7C17"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 xml:space="preserve">Total number of patients treated with IVIg for maintenance in 2023-24 </w:t>
            </w:r>
          </w:p>
        </w:tc>
        <w:tc>
          <w:tcPr>
            <w:tcW w:w="1622" w:type="pct"/>
            <w:vAlign w:val="center"/>
          </w:tcPr>
          <w:p w14:paraId="1D9D1B31" w14:textId="5C14DD78"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1,324 patients</w:t>
            </w:r>
          </w:p>
        </w:tc>
      </w:tr>
      <w:tr w:rsidR="00AF7C17" w:rsidRPr="00350596" w14:paraId="5F96059F" w14:textId="77777777" w:rsidTr="00104A28">
        <w:tc>
          <w:tcPr>
            <w:tcW w:w="3378" w:type="pct"/>
            <w:vAlign w:val="center"/>
          </w:tcPr>
          <w:p w14:paraId="4FDFC9B8" w14:textId="77777777" w:rsidR="00AF7C17" w:rsidRPr="00350596" w:rsidRDefault="00AF7C17" w:rsidP="00104A28">
            <w:pPr>
              <w:keepNext/>
              <w:jc w:val="left"/>
              <w:rPr>
                <w:rFonts w:ascii="Arial Narrow" w:eastAsiaTheme="majorEastAsia" w:hAnsi="Arial Narrow" w:cstheme="majorBidi"/>
                <w:bCs/>
                <w:sz w:val="20"/>
                <w:vertAlign w:val="superscript"/>
              </w:rPr>
            </w:pPr>
            <w:r w:rsidRPr="00350596">
              <w:rPr>
                <w:rFonts w:ascii="Arial Narrow" w:eastAsiaTheme="majorEastAsia" w:hAnsi="Arial Narrow" w:cstheme="majorBidi"/>
                <w:bCs/>
                <w:sz w:val="20"/>
              </w:rPr>
              <w:t xml:space="preserve">Annual growth in the number of patients using IVIg for maintenance (from 2019-20 to 2023-24) </w:t>
            </w:r>
            <w:r w:rsidRPr="00350596">
              <w:rPr>
                <w:rFonts w:ascii="Arial Narrow" w:eastAsiaTheme="majorEastAsia" w:hAnsi="Arial Narrow" w:cstheme="majorBidi"/>
                <w:bCs/>
                <w:sz w:val="20"/>
                <w:vertAlign w:val="superscript"/>
              </w:rPr>
              <w:t>d</w:t>
            </w:r>
          </w:p>
        </w:tc>
        <w:tc>
          <w:tcPr>
            <w:tcW w:w="1622" w:type="pct"/>
            <w:vAlign w:val="center"/>
          </w:tcPr>
          <w:p w14:paraId="574A7C79"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3.3%</w:t>
            </w:r>
          </w:p>
        </w:tc>
      </w:tr>
      <w:tr w:rsidR="00AF7C17" w:rsidRPr="00350596" w14:paraId="07B1ACB5" w14:textId="77777777" w:rsidTr="00104A28">
        <w:tc>
          <w:tcPr>
            <w:tcW w:w="3378" w:type="pct"/>
            <w:vAlign w:val="center"/>
          </w:tcPr>
          <w:p w14:paraId="19629289" w14:textId="77777777" w:rsidR="00AF7C17" w:rsidRPr="00350596" w:rsidRDefault="00AF7C17" w:rsidP="00104A28">
            <w:pPr>
              <w:keepNext/>
              <w:jc w:val="left"/>
              <w:rPr>
                <w:rFonts w:ascii="Arial Narrow" w:eastAsiaTheme="majorEastAsia" w:hAnsi="Arial Narrow" w:cstheme="majorBidi"/>
                <w:bCs/>
                <w:sz w:val="20"/>
              </w:rPr>
            </w:pPr>
            <w:r w:rsidRPr="00350596">
              <w:rPr>
                <w:rFonts w:ascii="Arial Narrow" w:eastAsiaTheme="majorEastAsia" w:hAnsi="Arial Narrow" w:cstheme="majorBidi"/>
                <w:bCs/>
                <w:sz w:val="20"/>
              </w:rPr>
              <w:t>Of the patients who were treated with IVIg for maintenance in 2023-24, the percent who:</w:t>
            </w:r>
          </w:p>
        </w:tc>
        <w:tc>
          <w:tcPr>
            <w:tcW w:w="1622" w:type="pct"/>
          </w:tcPr>
          <w:p w14:paraId="759C4937" w14:textId="77777777" w:rsidR="00AF7C17" w:rsidRPr="00350596" w:rsidRDefault="00AF7C17" w:rsidP="00104A28">
            <w:pPr>
              <w:keepNext/>
              <w:jc w:val="center"/>
              <w:rPr>
                <w:rFonts w:ascii="Arial Narrow" w:eastAsiaTheme="majorEastAsia" w:hAnsi="Arial Narrow" w:cstheme="majorBidi"/>
                <w:bCs/>
                <w:sz w:val="20"/>
              </w:rPr>
            </w:pPr>
          </w:p>
        </w:tc>
      </w:tr>
      <w:tr w:rsidR="00AF7C17" w:rsidRPr="00350596" w14:paraId="01B83095" w14:textId="77777777" w:rsidTr="00104A28">
        <w:tc>
          <w:tcPr>
            <w:tcW w:w="3378" w:type="pct"/>
            <w:vAlign w:val="bottom"/>
          </w:tcPr>
          <w:p w14:paraId="463B5A9E"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more than 7 years ago</w:t>
            </w:r>
          </w:p>
        </w:tc>
        <w:tc>
          <w:tcPr>
            <w:tcW w:w="1622" w:type="pct"/>
            <w:vAlign w:val="bottom"/>
          </w:tcPr>
          <w:p w14:paraId="6E104872"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28.5%</w:t>
            </w:r>
          </w:p>
        </w:tc>
      </w:tr>
      <w:tr w:rsidR="00AF7C17" w:rsidRPr="00350596" w14:paraId="308BDD4D" w14:textId="77777777" w:rsidTr="00104A28">
        <w:tc>
          <w:tcPr>
            <w:tcW w:w="3378" w:type="pct"/>
            <w:vAlign w:val="bottom"/>
          </w:tcPr>
          <w:p w14:paraId="122C7EA7"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7 years ago</w:t>
            </w:r>
          </w:p>
        </w:tc>
        <w:tc>
          <w:tcPr>
            <w:tcW w:w="1622" w:type="pct"/>
            <w:vAlign w:val="bottom"/>
          </w:tcPr>
          <w:p w14:paraId="50037AD3"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4.1%</w:t>
            </w:r>
          </w:p>
        </w:tc>
      </w:tr>
      <w:tr w:rsidR="00AF7C17" w:rsidRPr="00350596" w14:paraId="08C742F6" w14:textId="77777777" w:rsidTr="00104A28">
        <w:tc>
          <w:tcPr>
            <w:tcW w:w="3378" w:type="pct"/>
            <w:vAlign w:val="bottom"/>
          </w:tcPr>
          <w:p w14:paraId="00B594FD"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6 years ago</w:t>
            </w:r>
          </w:p>
        </w:tc>
        <w:tc>
          <w:tcPr>
            <w:tcW w:w="1622" w:type="pct"/>
            <w:vAlign w:val="bottom"/>
          </w:tcPr>
          <w:p w14:paraId="5121625C"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5.2%</w:t>
            </w:r>
          </w:p>
        </w:tc>
      </w:tr>
      <w:tr w:rsidR="00AF7C17" w:rsidRPr="00350596" w14:paraId="2EE3DE98" w14:textId="77777777" w:rsidTr="00104A28">
        <w:tc>
          <w:tcPr>
            <w:tcW w:w="3378" w:type="pct"/>
            <w:vAlign w:val="bottom"/>
          </w:tcPr>
          <w:p w14:paraId="5F6086A5"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5 years ago</w:t>
            </w:r>
          </w:p>
        </w:tc>
        <w:tc>
          <w:tcPr>
            <w:tcW w:w="1622" w:type="pct"/>
            <w:vAlign w:val="bottom"/>
          </w:tcPr>
          <w:p w14:paraId="151A5963"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6.9%</w:t>
            </w:r>
          </w:p>
        </w:tc>
      </w:tr>
      <w:tr w:rsidR="00AF7C17" w:rsidRPr="00350596" w14:paraId="70247C49" w14:textId="77777777" w:rsidTr="00104A28">
        <w:tc>
          <w:tcPr>
            <w:tcW w:w="3378" w:type="pct"/>
            <w:vAlign w:val="bottom"/>
          </w:tcPr>
          <w:p w14:paraId="76DF2676"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4 years ago</w:t>
            </w:r>
          </w:p>
        </w:tc>
        <w:tc>
          <w:tcPr>
            <w:tcW w:w="1622" w:type="pct"/>
            <w:vAlign w:val="bottom"/>
          </w:tcPr>
          <w:p w14:paraId="69D37460"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7.6%</w:t>
            </w:r>
          </w:p>
        </w:tc>
      </w:tr>
      <w:tr w:rsidR="00AF7C17" w:rsidRPr="00350596" w14:paraId="7B002188" w14:textId="77777777" w:rsidTr="00104A28">
        <w:tc>
          <w:tcPr>
            <w:tcW w:w="3378" w:type="pct"/>
            <w:vAlign w:val="bottom"/>
          </w:tcPr>
          <w:p w14:paraId="42C0EE90"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3 years ago</w:t>
            </w:r>
          </w:p>
        </w:tc>
        <w:tc>
          <w:tcPr>
            <w:tcW w:w="1622" w:type="pct"/>
            <w:vAlign w:val="bottom"/>
          </w:tcPr>
          <w:p w14:paraId="7E8CCF78"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8.2%</w:t>
            </w:r>
          </w:p>
        </w:tc>
      </w:tr>
      <w:tr w:rsidR="00AF7C17" w:rsidRPr="00350596" w14:paraId="18ADC559" w14:textId="77777777" w:rsidTr="00104A28">
        <w:tc>
          <w:tcPr>
            <w:tcW w:w="3378" w:type="pct"/>
            <w:vAlign w:val="bottom"/>
          </w:tcPr>
          <w:p w14:paraId="4F1350D2"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2 years ago</w:t>
            </w:r>
          </w:p>
        </w:tc>
        <w:tc>
          <w:tcPr>
            <w:tcW w:w="1622" w:type="pct"/>
            <w:vAlign w:val="bottom"/>
          </w:tcPr>
          <w:p w14:paraId="33107037"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10.9%</w:t>
            </w:r>
          </w:p>
        </w:tc>
      </w:tr>
      <w:tr w:rsidR="00AF7C17" w:rsidRPr="00350596" w14:paraId="32EDDC03" w14:textId="77777777" w:rsidTr="00104A28">
        <w:tc>
          <w:tcPr>
            <w:tcW w:w="3378" w:type="pct"/>
            <w:vAlign w:val="bottom"/>
          </w:tcPr>
          <w:p w14:paraId="5D78B93A"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1 years ago</w:t>
            </w:r>
          </w:p>
        </w:tc>
        <w:tc>
          <w:tcPr>
            <w:tcW w:w="1622" w:type="pct"/>
            <w:vAlign w:val="bottom"/>
          </w:tcPr>
          <w:p w14:paraId="7B66D45D"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12.1%</w:t>
            </w:r>
          </w:p>
        </w:tc>
      </w:tr>
      <w:tr w:rsidR="00AF7C17" w:rsidRPr="00350596" w14:paraId="7FD9D08B" w14:textId="77777777" w:rsidTr="00104A28">
        <w:tc>
          <w:tcPr>
            <w:tcW w:w="3378" w:type="pct"/>
            <w:vAlign w:val="bottom"/>
          </w:tcPr>
          <w:p w14:paraId="6A1E2C0A" w14:textId="77777777" w:rsidR="00AF7C17" w:rsidRPr="00350596" w:rsidRDefault="00AF7C17" w:rsidP="00104A28">
            <w:pPr>
              <w:keepNext/>
              <w:jc w:val="right"/>
              <w:rPr>
                <w:rFonts w:ascii="Arial Narrow" w:eastAsiaTheme="majorEastAsia" w:hAnsi="Arial Narrow" w:cstheme="majorBidi"/>
                <w:bCs/>
                <w:sz w:val="20"/>
              </w:rPr>
            </w:pPr>
            <w:r w:rsidRPr="00350596">
              <w:rPr>
                <w:rFonts w:ascii="Arial Narrow" w:eastAsiaTheme="majorEastAsia" w:hAnsi="Arial Narrow" w:cstheme="majorBidi"/>
                <w:bCs/>
                <w:sz w:val="20"/>
              </w:rPr>
              <w:t>commenced within the last full year of data (2023-24)</w:t>
            </w:r>
          </w:p>
        </w:tc>
        <w:tc>
          <w:tcPr>
            <w:tcW w:w="1622" w:type="pct"/>
            <w:vAlign w:val="bottom"/>
          </w:tcPr>
          <w:p w14:paraId="228C6A61"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16.6%</w:t>
            </w:r>
          </w:p>
        </w:tc>
      </w:tr>
      <w:tr w:rsidR="00AF7C17" w:rsidRPr="00350596" w14:paraId="5C97D789" w14:textId="77777777" w:rsidTr="00104A28">
        <w:tc>
          <w:tcPr>
            <w:tcW w:w="5000" w:type="pct"/>
            <w:gridSpan w:val="2"/>
            <w:vAlign w:val="bottom"/>
          </w:tcPr>
          <w:p w14:paraId="6222655F" w14:textId="77777777" w:rsidR="00AF7C17" w:rsidRPr="00350596" w:rsidRDefault="00AF7C17" w:rsidP="00104A28">
            <w:pPr>
              <w:keepNext/>
              <w:jc w:val="left"/>
              <w:rPr>
                <w:rFonts w:ascii="Arial Narrow" w:eastAsiaTheme="majorEastAsia" w:hAnsi="Arial Narrow" w:cstheme="majorBidi"/>
                <w:b/>
                <w:bCs/>
                <w:sz w:val="20"/>
                <w:vertAlign w:val="superscript"/>
              </w:rPr>
            </w:pPr>
            <w:r w:rsidRPr="00350596">
              <w:rPr>
                <w:rFonts w:ascii="Arial Narrow" w:eastAsiaTheme="majorEastAsia" w:hAnsi="Arial Narrow" w:cstheme="majorBidi"/>
                <w:b/>
                <w:bCs/>
                <w:sz w:val="20"/>
              </w:rPr>
              <w:t xml:space="preserve">Context of IVIg use for gMG </w:t>
            </w:r>
            <w:r w:rsidRPr="00350596">
              <w:rPr>
                <w:rFonts w:ascii="Arial Narrow" w:eastAsiaTheme="majorEastAsia" w:hAnsi="Arial Narrow" w:cstheme="majorBidi"/>
                <w:b/>
                <w:bCs/>
                <w:sz w:val="20"/>
                <w:vertAlign w:val="superscript"/>
              </w:rPr>
              <w:t>b</w:t>
            </w:r>
          </w:p>
        </w:tc>
      </w:tr>
      <w:tr w:rsidR="00AF7C17" w:rsidRPr="00350596" w14:paraId="08741C29" w14:textId="77777777" w:rsidTr="00104A28">
        <w:tc>
          <w:tcPr>
            <w:tcW w:w="3378" w:type="pct"/>
            <w:vAlign w:val="bottom"/>
          </w:tcPr>
          <w:p w14:paraId="48347D6F" w14:textId="77777777" w:rsidR="00AF7C17" w:rsidRPr="00350596" w:rsidRDefault="00AF7C17" w:rsidP="00104A28">
            <w:pPr>
              <w:jc w:val="left"/>
              <w:rPr>
                <w:rFonts w:ascii="Arial Narrow" w:eastAsiaTheme="majorEastAsia" w:hAnsi="Arial Narrow" w:cstheme="majorBidi"/>
                <w:sz w:val="20"/>
              </w:rPr>
            </w:pPr>
            <w:r w:rsidRPr="00350596">
              <w:rPr>
                <w:rFonts w:ascii="Arial Narrow" w:eastAsiaTheme="majorEastAsia" w:hAnsi="Arial Narrow" w:cstheme="majorBidi"/>
                <w:sz w:val="20"/>
              </w:rPr>
              <w:t>Proportion of all IVIg use in Australia that is for myasthenia gravis maintenance (2022-23)</w:t>
            </w:r>
          </w:p>
        </w:tc>
        <w:tc>
          <w:tcPr>
            <w:tcW w:w="1622" w:type="pct"/>
            <w:vAlign w:val="bottom"/>
          </w:tcPr>
          <w:p w14:paraId="20BCDCEC"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7.3%</w:t>
            </w:r>
          </w:p>
        </w:tc>
      </w:tr>
      <w:tr w:rsidR="00AF7C17" w:rsidRPr="00350596" w14:paraId="2BE2C166" w14:textId="77777777" w:rsidTr="00104A28">
        <w:tc>
          <w:tcPr>
            <w:tcW w:w="3378" w:type="pct"/>
            <w:vAlign w:val="bottom"/>
          </w:tcPr>
          <w:p w14:paraId="6968FCE0" w14:textId="77777777" w:rsidR="00AF7C17" w:rsidRPr="00350596" w:rsidRDefault="00AF7C17" w:rsidP="00104A28">
            <w:pPr>
              <w:jc w:val="left"/>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Total spend on IVIg for gMG maintenance in 2023-24</w:t>
            </w:r>
          </w:p>
        </w:tc>
        <w:tc>
          <w:tcPr>
            <w:tcW w:w="1622" w:type="pct"/>
            <w:vAlign w:val="bottom"/>
          </w:tcPr>
          <w:p w14:paraId="7BBA0F1D" w14:textId="06EAC2B2"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w:t>
            </w:r>
            <w:r w:rsidR="00B25703" w:rsidRPr="00B25703">
              <w:rPr>
                <w:rFonts w:ascii="Arial Narrow" w:eastAsiaTheme="majorEastAsia" w:hAnsi="Arial Narrow" w:cstheme="majorBidi"/>
                <w:bCs/>
                <w:color w:val="000000"/>
                <w:spacing w:val="33"/>
                <w:sz w:val="20"/>
                <w:shd w:val="solid" w:color="000000" w:fill="000000"/>
                <w:fitText w:val="730" w:id="-653069568"/>
                <w14:textFill>
                  <w14:solidFill>
                    <w14:srgbClr w14:val="000000">
                      <w14:alpha w14:val="100000"/>
                    </w14:srgbClr>
                  </w14:solidFill>
                </w14:textFill>
              </w:rPr>
              <w:t>|||||||||</w:t>
            </w:r>
            <w:r w:rsidR="00B25703" w:rsidRPr="00B25703">
              <w:rPr>
                <w:rFonts w:ascii="Arial Narrow" w:eastAsiaTheme="majorEastAsia" w:hAnsi="Arial Narrow" w:cstheme="majorBidi"/>
                <w:bCs/>
                <w:color w:val="000000"/>
                <w:spacing w:val="8"/>
                <w:sz w:val="20"/>
                <w:shd w:val="solid" w:color="000000" w:fill="000000"/>
                <w:fitText w:val="730" w:id="-653069568"/>
                <w14:textFill>
                  <w14:solidFill>
                    <w14:srgbClr w14:val="000000">
                      <w14:alpha w14:val="100000"/>
                    </w14:srgbClr>
                  </w14:solidFill>
                </w14:textFill>
              </w:rPr>
              <w:t>|</w:t>
            </w:r>
          </w:p>
        </w:tc>
      </w:tr>
      <w:tr w:rsidR="00AF7C17" w:rsidRPr="00350596" w14:paraId="50B10C33" w14:textId="77777777" w:rsidTr="00104A28">
        <w:tc>
          <w:tcPr>
            <w:tcW w:w="3378" w:type="pct"/>
            <w:vAlign w:val="bottom"/>
          </w:tcPr>
          <w:p w14:paraId="35223541" w14:textId="77777777" w:rsidR="00AF7C17" w:rsidRPr="00350596" w:rsidRDefault="00AF7C17" w:rsidP="00104A28">
            <w:pPr>
              <w:jc w:val="left"/>
              <w:rPr>
                <w:rFonts w:ascii="Arial Narrow" w:eastAsiaTheme="majorEastAsia" w:hAnsi="Arial Narrow" w:cstheme="majorBidi"/>
                <w:sz w:val="20"/>
                <w:szCs w:val="20"/>
                <w:vertAlign w:val="superscript"/>
              </w:rPr>
            </w:pPr>
            <w:r w:rsidRPr="00350596">
              <w:rPr>
                <w:rFonts w:ascii="Arial Narrow" w:eastAsiaTheme="majorEastAsia" w:hAnsi="Arial Narrow" w:cstheme="majorBidi"/>
                <w:sz w:val="20"/>
                <w:szCs w:val="20"/>
              </w:rPr>
              <w:t xml:space="preserve">% of IVIg use in gMG that is in the maintenance setting (2023-24) </w:t>
            </w:r>
            <w:r w:rsidRPr="00350596">
              <w:rPr>
                <w:rFonts w:ascii="Arial Narrow" w:eastAsiaTheme="majorEastAsia" w:hAnsi="Arial Narrow" w:cstheme="majorBidi"/>
                <w:sz w:val="20"/>
                <w:szCs w:val="20"/>
                <w:vertAlign w:val="superscript"/>
              </w:rPr>
              <w:t>c</w:t>
            </w:r>
          </w:p>
        </w:tc>
        <w:tc>
          <w:tcPr>
            <w:tcW w:w="1622" w:type="pct"/>
            <w:vAlign w:val="bottom"/>
          </w:tcPr>
          <w:p w14:paraId="7C61D839" w14:textId="77777777" w:rsidR="00AF7C17" w:rsidRPr="00350596" w:rsidRDefault="00AF7C17" w:rsidP="00104A28">
            <w:pPr>
              <w:keepNext/>
              <w:jc w:val="center"/>
              <w:rPr>
                <w:rFonts w:ascii="Arial Narrow" w:eastAsiaTheme="majorEastAsia" w:hAnsi="Arial Narrow" w:cstheme="majorBidi"/>
                <w:bCs/>
                <w:sz w:val="20"/>
              </w:rPr>
            </w:pPr>
            <w:r w:rsidRPr="00350596">
              <w:rPr>
                <w:rFonts w:ascii="Arial Narrow" w:eastAsiaTheme="majorEastAsia" w:hAnsi="Arial Narrow" w:cstheme="majorBidi"/>
                <w:bCs/>
                <w:sz w:val="20"/>
              </w:rPr>
              <w:t>91%</w:t>
            </w:r>
          </w:p>
        </w:tc>
      </w:tr>
    </w:tbl>
    <w:p w14:paraId="332DE65B" w14:textId="77777777" w:rsidR="00AF7C17" w:rsidRPr="00350596" w:rsidRDefault="00AF7C17" w:rsidP="00AF7C17">
      <w:pPr>
        <w:rPr>
          <w:rFonts w:ascii="Arial Narrow" w:eastAsiaTheme="majorEastAsia" w:hAnsi="Arial Narrow" w:cstheme="majorBidi"/>
          <w:sz w:val="20"/>
        </w:rPr>
      </w:pPr>
      <w:r w:rsidRPr="00350596">
        <w:rPr>
          <w:rFonts w:ascii="Arial Narrow" w:eastAsiaTheme="majorEastAsia" w:hAnsi="Arial Narrow" w:cstheme="majorBidi"/>
          <w:sz w:val="20"/>
        </w:rPr>
        <w:t>Overall notes:</w:t>
      </w:r>
    </w:p>
    <w:p w14:paraId="02EB0522" w14:textId="77777777" w:rsidR="00AF7C17" w:rsidRPr="00350596" w:rsidRDefault="00AF7C17" w:rsidP="00AF7C17">
      <w:pPr>
        <w:numPr>
          <w:ilvl w:val="0"/>
          <w:numId w:val="9"/>
        </w:numPr>
        <w:ind w:left="819" w:hanging="425"/>
        <w:contextualSpacing/>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 xml:space="preserve">Patients’ commencement year was the first year they received IVIg for any condition or indication in BloodSTAR, therefore patients have not necessarily been on continuous treatment since commencement. </w:t>
      </w:r>
    </w:p>
    <w:p w14:paraId="0D309530" w14:textId="77777777" w:rsidR="00AF7C17" w:rsidRPr="00350596" w:rsidRDefault="00AF7C17" w:rsidP="00AF7C17">
      <w:pPr>
        <w:numPr>
          <w:ilvl w:val="0"/>
          <w:numId w:val="9"/>
        </w:numPr>
        <w:ind w:left="819" w:hanging="425"/>
        <w:contextualSpacing/>
        <w:rPr>
          <w:rFonts w:ascii="Arial Narrow" w:eastAsiaTheme="majorEastAsia" w:hAnsi="Arial Narrow" w:cstheme="majorBidi"/>
          <w:sz w:val="20"/>
          <w:szCs w:val="20"/>
        </w:rPr>
      </w:pPr>
      <w:r w:rsidRPr="00350596">
        <w:rPr>
          <w:rFonts w:ascii="Arial Narrow" w:eastAsiaTheme="majorEastAsia" w:hAnsi="Arial Narrow" w:cstheme="majorBidi"/>
          <w:sz w:val="20"/>
          <w:szCs w:val="20"/>
        </w:rPr>
        <w:t>Nearly half of the patients currently on gMG for maintenance commenced in 2020-21 or earlier.</w:t>
      </w:r>
    </w:p>
    <w:p w14:paraId="1BD80FE2" w14:textId="77777777" w:rsidR="00AF7C17" w:rsidRPr="00350596" w:rsidRDefault="00AF7C17" w:rsidP="00AF7C17">
      <w:pPr>
        <w:numPr>
          <w:ilvl w:val="0"/>
          <w:numId w:val="9"/>
        </w:numPr>
        <w:ind w:left="819" w:hanging="425"/>
        <w:contextualSpacing/>
        <w:rPr>
          <w:rFonts w:ascii="Arial Narrow" w:eastAsiaTheme="majorEastAsia" w:hAnsi="Arial Narrow" w:cstheme="majorBidi"/>
          <w:sz w:val="20"/>
        </w:rPr>
      </w:pPr>
      <w:r w:rsidRPr="00350596">
        <w:rPr>
          <w:rFonts w:ascii="Arial Narrow" w:eastAsiaTheme="majorEastAsia" w:hAnsi="Arial Narrow" w:cstheme="majorBidi"/>
          <w:sz w:val="20"/>
        </w:rPr>
        <w:t>Total number of patients supplied IVIg for ‘maintenance’ therapy 2019-20: 1,167; 2020-21: 1,135; 2021-22: 1,239; 2022-23: 1,276; 2023-24: 1,324.</w:t>
      </w:r>
    </w:p>
    <w:p w14:paraId="4AE61979" w14:textId="06918CCD" w:rsidR="00AF7C17" w:rsidRPr="00350596" w:rsidRDefault="00AF7C17" w:rsidP="00AF7C17">
      <w:pPr>
        <w:keepNext/>
        <w:rPr>
          <w:rFonts w:ascii="Arial Narrow" w:eastAsiaTheme="majorEastAsia" w:hAnsi="Arial Narrow" w:cstheme="majorBidi"/>
          <w:bCs/>
          <w:sz w:val="20"/>
        </w:rPr>
      </w:pPr>
      <w:r w:rsidRPr="00350596">
        <w:rPr>
          <w:rFonts w:ascii="Arial Narrow" w:eastAsiaTheme="majorEastAsia" w:hAnsi="Arial Narrow" w:cstheme="majorBidi"/>
          <w:bCs/>
          <w:sz w:val="20"/>
          <w:vertAlign w:val="superscript"/>
        </w:rPr>
        <w:t xml:space="preserve">a </w:t>
      </w:r>
      <w:r w:rsidRPr="00350596">
        <w:rPr>
          <w:rFonts w:ascii="Arial Narrow" w:eastAsiaTheme="majorEastAsia" w:hAnsi="Arial Narrow" w:cstheme="majorBidi"/>
          <w:bCs/>
          <w:sz w:val="20"/>
        </w:rPr>
        <w:t>Excluding patients who commenced in 2023-24, as this may represent a part year of treatment</w:t>
      </w:r>
      <w:r w:rsidR="00955BEC" w:rsidRPr="00350596">
        <w:rPr>
          <w:rFonts w:ascii="Arial Narrow" w:eastAsiaTheme="majorEastAsia" w:hAnsi="Arial Narrow" w:cstheme="majorBidi"/>
          <w:bCs/>
          <w:sz w:val="20"/>
        </w:rPr>
        <w:t xml:space="preserve"> and may include non-responders</w:t>
      </w:r>
      <w:r w:rsidRPr="00350596">
        <w:rPr>
          <w:rFonts w:ascii="Arial Narrow" w:eastAsiaTheme="majorEastAsia" w:hAnsi="Arial Narrow" w:cstheme="majorBidi"/>
          <w:bCs/>
          <w:sz w:val="20"/>
        </w:rPr>
        <w:t>.</w:t>
      </w:r>
    </w:p>
    <w:p w14:paraId="786C1361" w14:textId="5F4E0643" w:rsidR="00AF7C17" w:rsidRPr="00350596" w:rsidRDefault="00AF7C17" w:rsidP="00AF7C17">
      <w:pPr>
        <w:keepNext/>
        <w:rPr>
          <w:rFonts w:ascii="Arial Narrow" w:eastAsiaTheme="majorEastAsia" w:hAnsi="Arial Narrow" w:cstheme="majorBidi"/>
          <w:bCs/>
          <w:sz w:val="20"/>
        </w:rPr>
      </w:pPr>
      <w:r w:rsidRPr="00350596">
        <w:rPr>
          <w:rFonts w:ascii="Arial Narrow" w:eastAsiaTheme="majorEastAsia" w:hAnsi="Arial Narrow" w:cstheme="majorBidi"/>
          <w:bCs/>
          <w:sz w:val="20"/>
          <w:vertAlign w:val="superscript"/>
        </w:rPr>
        <w:t>b</w:t>
      </w:r>
      <w:r w:rsidRPr="00350596">
        <w:rPr>
          <w:rFonts w:ascii="Arial Narrow" w:eastAsiaTheme="majorEastAsia" w:hAnsi="Arial Narrow" w:cstheme="majorBidi"/>
          <w:bCs/>
          <w:sz w:val="20"/>
        </w:rPr>
        <w:t xml:space="preserve"> Some of this data is from </w:t>
      </w:r>
      <w:hyperlink r:id="rId16" w:history="1">
        <w:r w:rsidRPr="00350596">
          <w:rPr>
            <w:rFonts w:ascii="Arial Narrow" w:eastAsiaTheme="majorEastAsia" w:hAnsi="Arial Narrow" w:cstheme="majorBidi"/>
            <w:bCs/>
            <w:color w:val="0000FF" w:themeColor="hyperlink"/>
            <w:sz w:val="20"/>
            <w:u w:val="single"/>
          </w:rPr>
          <w:t>https://www.blood.gov.au/report-issue-and-use-immunoglobulin</w:t>
        </w:r>
      </w:hyperlink>
      <w:r w:rsidRPr="00350596">
        <w:rPr>
          <w:rFonts w:ascii="Arial Narrow" w:eastAsiaTheme="majorEastAsia" w:hAnsi="Arial Narrow" w:cstheme="majorBidi"/>
          <w:bCs/>
          <w:sz w:val="20"/>
        </w:rPr>
        <w:t xml:space="preserve"> data from 2022-23.</w:t>
      </w:r>
    </w:p>
    <w:p w14:paraId="65305F48" w14:textId="77777777" w:rsidR="00AF7C17" w:rsidRPr="00350596" w:rsidRDefault="00AF7C17" w:rsidP="00AF7C17">
      <w:pPr>
        <w:keepNext/>
        <w:rPr>
          <w:rFonts w:ascii="Arial Narrow" w:eastAsiaTheme="majorEastAsia" w:hAnsi="Arial Narrow" w:cstheme="majorBidi"/>
          <w:bCs/>
          <w:sz w:val="20"/>
        </w:rPr>
      </w:pPr>
      <w:r w:rsidRPr="00350596">
        <w:rPr>
          <w:rFonts w:ascii="Arial Narrow" w:eastAsiaTheme="majorEastAsia" w:hAnsi="Arial Narrow" w:cstheme="majorBidi"/>
          <w:bCs/>
          <w:sz w:val="20"/>
          <w:vertAlign w:val="superscript"/>
        </w:rPr>
        <w:t xml:space="preserve">c </w:t>
      </w:r>
      <w:r w:rsidRPr="00350596">
        <w:rPr>
          <w:rFonts w:ascii="Arial Narrow" w:eastAsiaTheme="majorEastAsia" w:hAnsi="Arial Narrow" w:cstheme="majorBidi"/>
          <w:bCs/>
          <w:sz w:val="20"/>
        </w:rPr>
        <w:t>Remainder is in patients with myasthenia gravis prior to surgery/thymectomy or in myasthenic crisis.</w:t>
      </w:r>
    </w:p>
    <w:p w14:paraId="0BC42E7E" w14:textId="77777777" w:rsidR="00AF7C17" w:rsidRPr="00350596" w:rsidRDefault="00AF7C17" w:rsidP="00766727">
      <w:pPr>
        <w:spacing w:after="120"/>
        <w:rPr>
          <w:rFonts w:ascii="Arial Narrow" w:eastAsiaTheme="majorEastAsia" w:hAnsi="Arial Narrow" w:cstheme="majorBidi"/>
          <w:bCs/>
          <w:sz w:val="20"/>
        </w:rPr>
      </w:pPr>
      <w:r w:rsidRPr="00350596">
        <w:rPr>
          <w:rFonts w:ascii="Arial Narrow" w:eastAsiaTheme="majorEastAsia" w:hAnsi="Arial Narrow" w:cstheme="majorBidi"/>
          <w:bCs/>
          <w:sz w:val="20"/>
          <w:vertAlign w:val="superscript"/>
        </w:rPr>
        <w:t>d</w:t>
      </w:r>
      <w:r w:rsidRPr="00350596">
        <w:rPr>
          <w:rFonts w:ascii="Arial Narrow" w:eastAsiaTheme="majorEastAsia" w:hAnsi="Arial Narrow" w:cstheme="majorBidi"/>
          <w:bCs/>
          <w:sz w:val="20"/>
        </w:rPr>
        <w:t xml:space="preserve"> Result is similar (3.4%) using the most recent two years of data</w:t>
      </w:r>
    </w:p>
    <w:p w14:paraId="00384961" w14:textId="4B6D824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noted that these data showed that the average drug cost per patient in 2023-24 for IVIg was $</w:t>
      </w:r>
      <w:r w:rsidR="000F00AE" w:rsidRPr="00D53C72">
        <w:rPr>
          <w:rFonts w:eastAsiaTheme="minorHAnsi" w:cs="Calibri"/>
          <w:color w:val="000000"/>
          <w:spacing w:val="6"/>
          <w:w w:val="60"/>
          <w:szCs w:val="22"/>
          <w:shd w:val="solid" w:color="000000" w:fill="000000"/>
          <w:fitText w:val="470" w:id="-656689656"/>
          <w14:textFill>
            <w14:solidFill>
              <w14:srgbClr w14:val="000000">
                <w14:alpha w14:val="100000"/>
              </w14:srgbClr>
            </w14:solidFill>
          </w14:textFill>
        </w:rPr>
        <w:t>|||</w:t>
      </w:r>
      <w:r w:rsidR="00D53C72" w:rsidRPr="00D53C72">
        <w:rPr>
          <w:rFonts w:eastAsiaTheme="minorHAnsi" w:cs="Calibri"/>
          <w:color w:val="000000"/>
          <w:spacing w:val="6"/>
          <w:w w:val="60"/>
          <w:szCs w:val="22"/>
          <w:shd w:val="solid" w:color="000000" w:fill="000000"/>
          <w:fitText w:val="470" w:id="-656689656"/>
          <w14:textFill>
            <w14:solidFill>
              <w14:srgbClr w14:val="000000">
                <w14:alpha w14:val="100000"/>
              </w14:srgbClr>
            </w14:solidFill>
          </w14:textFill>
        </w:rPr>
        <w:t xml:space="preserve"> </w:t>
      </w:r>
      <w:r w:rsidR="000F00AE" w:rsidRPr="00D53C72">
        <w:rPr>
          <w:rFonts w:eastAsiaTheme="minorHAnsi" w:cs="Calibri"/>
          <w:color w:val="000000"/>
          <w:spacing w:val="6"/>
          <w:w w:val="60"/>
          <w:szCs w:val="22"/>
          <w:shd w:val="solid" w:color="000000" w:fill="000000"/>
          <w:fitText w:val="470" w:id="-656689656"/>
          <w14:textFill>
            <w14:solidFill>
              <w14:srgbClr w14:val="000000">
                <w14:alpha w14:val="100000"/>
              </w14:srgbClr>
            </w14:solidFill>
          </w14:textFill>
        </w:rPr>
        <w:t>||</w:t>
      </w:r>
      <w:r w:rsidR="000F00AE" w:rsidRPr="00D53C72">
        <w:rPr>
          <w:rFonts w:eastAsiaTheme="minorHAnsi" w:cs="Calibri"/>
          <w:color w:val="000000"/>
          <w:spacing w:val="4"/>
          <w:w w:val="60"/>
          <w:szCs w:val="22"/>
          <w:shd w:val="solid" w:color="000000" w:fill="000000"/>
          <w:fitText w:val="470" w:id="-656689656"/>
          <w14:textFill>
            <w14:solidFill>
              <w14:srgbClr w14:val="000000">
                <w14:alpha w14:val="100000"/>
              </w14:srgbClr>
            </w14:solidFill>
          </w14:textFill>
        </w:rPr>
        <w:t>|</w:t>
      </w:r>
      <w:r w:rsidRPr="00350596">
        <w:rPr>
          <w:rFonts w:eastAsiaTheme="minorHAnsi" w:cs="Calibri"/>
          <w:szCs w:val="22"/>
        </w:rPr>
        <w:t xml:space="preserve"> based on an average cost per gram of $</w:t>
      </w:r>
      <w:r w:rsidR="000F00AE" w:rsidRPr="00D53C72">
        <w:rPr>
          <w:rFonts w:eastAsiaTheme="minorHAnsi" w:cs="Calibri"/>
          <w:color w:val="000000"/>
          <w:spacing w:val="6"/>
          <w:w w:val="60"/>
          <w:szCs w:val="22"/>
          <w:shd w:val="solid" w:color="000000" w:fill="000000"/>
          <w:fitText w:val="470" w:id="-656689655"/>
          <w14:textFill>
            <w14:solidFill>
              <w14:srgbClr w14:val="000000">
                <w14:alpha w14:val="100000"/>
              </w14:srgbClr>
            </w14:solidFill>
          </w14:textFill>
        </w:rPr>
        <w:t>|||</w:t>
      </w:r>
      <w:r w:rsidR="00D53C72" w:rsidRPr="00D53C72">
        <w:rPr>
          <w:rFonts w:eastAsiaTheme="minorHAnsi" w:cs="Calibri"/>
          <w:color w:val="000000"/>
          <w:spacing w:val="6"/>
          <w:w w:val="60"/>
          <w:szCs w:val="22"/>
          <w:shd w:val="solid" w:color="000000" w:fill="000000"/>
          <w:fitText w:val="470" w:id="-656689655"/>
          <w14:textFill>
            <w14:solidFill>
              <w14:srgbClr w14:val="000000">
                <w14:alpha w14:val="100000"/>
              </w14:srgbClr>
            </w14:solidFill>
          </w14:textFill>
        </w:rPr>
        <w:t xml:space="preserve"> </w:t>
      </w:r>
      <w:r w:rsidR="000F00AE" w:rsidRPr="00D53C72">
        <w:rPr>
          <w:rFonts w:eastAsiaTheme="minorHAnsi" w:cs="Calibri"/>
          <w:color w:val="000000"/>
          <w:spacing w:val="6"/>
          <w:w w:val="60"/>
          <w:szCs w:val="22"/>
          <w:shd w:val="solid" w:color="000000" w:fill="000000"/>
          <w:fitText w:val="470" w:id="-656689655"/>
          <w14:textFill>
            <w14:solidFill>
              <w14:srgbClr w14:val="000000">
                <w14:alpha w14:val="100000"/>
              </w14:srgbClr>
            </w14:solidFill>
          </w14:textFill>
        </w:rPr>
        <w:t>||</w:t>
      </w:r>
      <w:r w:rsidR="000F00AE" w:rsidRPr="00D53C72">
        <w:rPr>
          <w:rFonts w:eastAsiaTheme="minorHAnsi" w:cs="Calibri"/>
          <w:color w:val="000000"/>
          <w:spacing w:val="4"/>
          <w:w w:val="60"/>
          <w:szCs w:val="22"/>
          <w:shd w:val="solid" w:color="000000" w:fill="000000"/>
          <w:fitText w:val="470" w:id="-656689655"/>
          <w14:textFill>
            <w14:solidFill>
              <w14:srgbClr w14:val="000000">
                <w14:alpha w14:val="100000"/>
              </w14:srgbClr>
            </w14:solidFill>
          </w14:textFill>
        </w:rPr>
        <w:t>|</w:t>
      </w:r>
      <w:r w:rsidRPr="00350596">
        <w:rPr>
          <w:rFonts w:eastAsiaTheme="minorHAnsi" w:cs="Calibri"/>
          <w:szCs w:val="22"/>
        </w:rPr>
        <w:t xml:space="preserve"> (which is an average across all IVIg use in Australia) and an average of 541.1 grams per patient per year (specific to the myasthenia gravis maintenance setting). </w:t>
      </w:r>
      <w:r w:rsidR="00834739" w:rsidRPr="00350596">
        <w:rPr>
          <w:rFonts w:eastAsiaTheme="minorHAnsi" w:cs="Calibri"/>
          <w:szCs w:val="22"/>
        </w:rPr>
        <w:t xml:space="preserve">This excluded patients who commenced in 2023-24, as this may represent a part year of treatment and may include non-responders. </w:t>
      </w:r>
      <w:r w:rsidRPr="00350596">
        <w:rPr>
          <w:rFonts w:eastAsiaTheme="minorHAnsi" w:cs="Calibri"/>
          <w:szCs w:val="22"/>
        </w:rPr>
        <w:t xml:space="preserve">The IVIg doses used in clinical practice were lower than the maximum recommended dose in the Product Information. As such, the ESC noted that applying NBA utilisation data produced substantially lower costs per patient when compared to applying maximum recommended doses for IVIg. </w:t>
      </w:r>
    </w:p>
    <w:p w14:paraId="0A63CB29" w14:textId="21A9FEB9"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The ESC advised that, for the new therapies, the average amount of drug per patient would need to be determined and should appropriately account for any loading doses and, for the </w:t>
      </w:r>
      <w:r w:rsidR="008A34A5" w:rsidRPr="00350596">
        <w:rPr>
          <w:rFonts w:eastAsiaTheme="minorHAnsi" w:cs="Calibri"/>
          <w:szCs w:val="22"/>
        </w:rPr>
        <w:t>FcRn</w:t>
      </w:r>
      <w:r w:rsidRPr="00350596">
        <w:rPr>
          <w:rFonts w:eastAsiaTheme="minorHAnsi" w:cs="Calibri"/>
          <w:szCs w:val="22"/>
        </w:rPr>
        <w:t xml:space="preserve"> blockers, the likely decreasing treatment-free intervals over time </w:t>
      </w:r>
      <w:r w:rsidRPr="00350596">
        <w:rPr>
          <w:rFonts w:eastAsiaTheme="minorHAnsi" w:cs="Calibri"/>
          <w:szCs w:val="22"/>
        </w:rPr>
        <w:lastRenderedPageBreak/>
        <w:t>seen in the extension trials. The ESC requested that sponsors provide information to inform the equi-effective doses and cost-</w:t>
      </w:r>
      <w:r w:rsidR="007A3130" w:rsidRPr="00350596">
        <w:rPr>
          <w:rFonts w:eastAsiaTheme="minorHAnsi" w:cs="Calibri"/>
          <w:szCs w:val="22"/>
        </w:rPr>
        <w:t xml:space="preserve">comparison </w:t>
      </w:r>
      <w:r w:rsidRPr="00350596">
        <w:rPr>
          <w:rFonts w:eastAsiaTheme="minorHAnsi" w:cs="Calibri"/>
          <w:szCs w:val="22"/>
        </w:rPr>
        <w:t>approach in their pre-PBAC responses.</w:t>
      </w:r>
    </w:p>
    <w:p w14:paraId="31758ADC" w14:textId="2081030F" w:rsidR="00AF7C17" w:rsidRPr="00350596" w:rsidRDefault="002439DF" w:rsidP="002100FC">
      <w:pPr>
        <w:pStyle w:val="COMH2-numbered"/>
        <w:spacing w:before="120"/>
        <w:rPr>
          <w:snapToGrid w:val="0"/>
        </w:rPr>
      </w:pPr>
      <w:r w:rsidRPr="00350596">
        <w:t>ESC’s view on the e</w:t>
      </w:r>
      <w:r w:rsidR="00AF7C17" w:rsidRPr="00350596">
        <w:rPr>
          <w:snapToGrid w:val="0"/>
        </w:rPr>
        <w:t>stimated PBS usage and financial implications</w:t>
      </w:r>
    </w:p>
    <w:p w14:paraId="055CED29"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The ESC considered that the use of IVIg as maintenance therapy, from the NBA data, may be an appropriate starting point to estimate the use of new gMG therapies. </w:t>
      </w:r>
    </w:p>
    <w:p w14:paraId="590300EB"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considered that the following would also need to be considered: the proportion of patients who are AChR antibody positive; uptake rates; treatment response rates; and annual growth rates. Consideration would be required as to whether there would be: additional eligible patients (e.g. patients who are unable or unwilling to be treated with IVIg); and/or, on the other hand, patients who still require IVIg in this setting (e.g. patients who do not respond to the new therapies, patients at high risk of infections). Overall, the ESC considered that the total number of patients on the newer therapies is likely to be less than the number of patients who access IVIg.</w:t>
      </w:r>
    </w:p>
    <w:p w14:paraId="63471059"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Should the PBS restrictions for the new therapies be more restrictive than the existing IVIg criteria (e.g. in terms of functional impairment criteria and number of prior therapies), there may be patients who qualify for IVIg but not the newer therapies. </w:t>
      </w:r>
    </w:p>
    <w:p w14:paraId="384B07BD" w14:textId="77777777"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The ESC noted that the vast majority of patients accessing IVIg (under the NBA maintenance listing) commenced two or more years ago (71%). This indicated that most patients are using IVIg for refractory disease, with those accessing it for bridging therapy likely to be a proportion of the 29% of patients who commenced within the past two years.</w:t>
      </w:r>
    </w:p>
    <w:p w14:paraId="3174BC98" w14:textId="119DC44B" w:rsidR="00AF7C17" w:rsidRPr="00350596" w:rsidRDefault="00AF7C17" w:rsidP="002100FC">
      <w:pPr>
        <w:numPr>
          <w:ilvl w:val="1"/>
          <w:numId w:val="1"/>
        </w:numPr>
        <w:spacing w:before="120" w:after="120"/>
        <w:rPr>
          <w:rFonts w:eastAsiaTheme="minorHAnsi" w:cs="Calibri"/>
          <w:szCs w:val="22"/>
        </w:rPr>
      </w:pPr>
      <w:r w:rsidRPr="00350596">
        <w:rPr>
          <w:rFonts w:eastAsiaTheme="minorHAnsi" w:cs="Calibri"/>
          <w:szCs w:val="22"/>
        </w:rPr>
        <w:t xml:space="preserve">The ESC considered that any listing of the new therapies should be approximately cost-neutral to government across the </w:t>
      </w:r>
      <w:r w:rsidR="003B61B1" w:rsidRPr="00350596">
        <w:rPr>
          <w:rFonts w:eastAsiaTheme="minorHAnsi" w:cs="Calibri"/>
          <w:szCs w:val="22"/>
        </w:rPr>
        <w:t>NBA</w:t>
      </w:r>
      <w:r w:rsidRPr="00350596">
        <w:rPr>
          <w:rFonts w:eastAsiaTheme="minorHAnsi" w:cs="Calibri"/>
          <w:szCs w:val="22"/>
        </w:rPr>
        <w:t xml:space="preserve"> and Pharmaceutical Benefits Scheme.</w:t>
      </w:r>
    </w:p>
    <w:p w14:paraId="57673744" w14:textId="6C8036DA" w:rsidR="00266017" w:rsidRPr="00350596" w:rsidRDefault="00AF7C17" w:rsidP="002100FC">
      <w:pPr>
        <w:pStyle w:val="COMexecsummnumbered"/>
        <w:rPr>
          <w:snapToGrid w:val="0"/>
        </w:rPr>
      </w:pPr>
      <w:r w:rsidRPr="00350596">
        <w:rPr>
          <w:rFonts w:cs="Calibri"/>
        </w:rPr>
        <w:t>The ESC considered that a single RSA that includes all of the new PBS listed treatments would be required to mitigate the risk of use outside the intended restriction. The ESC considered that for efgartigimod and rozanolixizumab the RSA would also need to mitigate the risk of an increase in the frequency of cycles received over time.</w:t>
      </w:r>
    </w:p>
    <w:p w14:paraId="756173B6" w14:textId="3C8886C6" w:rsidR="00CB7461" w:rsidRPr="00350596" w:rsidRDefault="00CB7461" w:rsidP="002B6F6B">
      <w:pPr>
        <w:keepNext/>
        <w:numPr>
          <w:ilvl w:val="0"/>
          <w:numId w:val="1"/>
        </w:numPr>
        <w:spacing w:before="240" w:after="120"/>
        <w:jc w:val="left"/>
        <w:outlineLvl w:val="0"/>
        <w:rPr>
          <w:rFonts w:asciiTheme="minorHAnsi" w:hAnsiTheme="minorHAnsi"/>
          <w:b/>
          <w:snapToGrid w:val="0"/>
          <w:sz w:val="32"/>
          <w:szCs w:val="32"/>
        </w:rPr>
      </w:pPr>
      <w:r w:rsidRPr="00350596">
        <w:rPr>
          <w:rFonts w:asciiTheme="minorHAnsi" w:hAnsiTheme="minorHAnsi"/>
          <w:b/>
          <w:snapToGrid w:val="0"/>
          <w:sz w:val="32"/>
          <w:szCs w:val="32"/>
        </w:rPr>
        <w:t>PBAC Outcome</w:t>
      </w:r>
    </w:p>
    <w:p w14:paraId="0EC60737" w14:textId="143F2926"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86" w:name="_Hlk199492385"/>
      <w:bookmarkStart w:id="87" w:name="_Hlk194072782"/>
      <w:r w:rsidRPr="00350596">
        <w:rPr>
          <w:rFonts w:asciiTheme="minorHAnsi" w:hAnsiTheme="minorHAnsi"/>
          <w:bCs/>
          <w:snapToGrid w:val="0"/>
          <w:lang w:eastAsia="en-US"/>
        </w:rPr>
        <w:t xml:space="preserve">The PBAC recommended the listing of </w:t>
      </w:r>
      <w:r w:rsidR="008C360C" w:rsidRPr="00350596">
        <w:rPr>
          <w:rFonts w:asciiTheme="minorHAnsi" w:hAnsiTheme="minorHAnsi"/>
          <w:bCs/>
          <w:snapToGrid w:val="0"/>
          <w:lang w:eastAsia="en-US"/>
        </w:rPr>
        <w:t xml:space="preserve">efgartigimod </w:t>
      </w:r>
      <w:r w:rsidRPr="00350596">
        <w:rPr>
          <w:rFonts w:asciiTheme="minorHAnsi" w:hAnsiTheme="minorHAnsi"/>
          <w:bCs/>
          <w:snapToGrid w:val="0"/>
          <w:lang w:eastAsia="en-US"/>
        </w:rPr>
        <w:t xml:space="preserve">for the treatment of generalised myasthenia gravis (gMG), on the basis that it should be available only under special arrangements under </w:t>
      </w:r>
      <w:r w:rsidR="00184162" w:rsidRPr="00350596">
        <w:rPr>
          <w:rFonts w:asciiTheme="minorHAnsi" w:hAnsiTheme="minorHAnsi"/>
          <w:bCs/>
          <w:snapToGrid w:val="0"/>
          <w:lang w:eastAsia="en-US"/>
        </w:rPr>
        <w:t xml:space="preserve">the </w:t>
      </w:r>
      <w:r w:rsidRPr="00350596">
        <w:rPr>
          <w:rFonts w:asciiTheme="minorHAnsi" w:hAnsiTheme="minorHAnsi"/>
          <w:bCs/>
          <w:snapToGrid w:val="0"/>
          <w:lang w:eastAsia="en-US"/>
        </w:rPr>
        <w:t>Section 100</w:t>
      </w:r>
      <w:r w:rsidR="00184162" w:rsidRPr="00350596">
        <w:rPr>
          <w:rFonts w:asciiTheme="minorHAnsi" w:hAnsiTheme="minorHAnsi"/>
          <w:bCs/>
          <w:snapToGrid w:val="0"/>
          <w:lang w:eastAsia="en-US"/>
        </w:rPr>
        <w:t xml:space="preserve"> </w:t>
      </w:r>
      <w:r w:rsidR="00184162" w:rsidRPr="00350596">
        <w:t>Highly Specialised Drugs Program</w:t>
      </w:r>
      <w:r w:rsidRPr="00350596">
        <w:rPr>
          <w:rFonts w:asciiTheme="minorHAnsi" w:hAnsiTheme="minorHAnsi"/>
          <w:bCs/>
          <w:snapToGrid w:val="0"/>
          <w:lang w:eastAsia="en-US"/>
        </w:rPr>
        <w:t xml:space="preserve">. The PBAC recognised the high clinical need for new therapies to treat this condition, which has substantial impacts on patient quality of life. </w:t>
      </w:r>
      <w:bookmarkEnd w:id="86"/>
      <w:r w:rsidRPr="00350596">
        <w:rPr>
          <w:rFonts w:asciiTheme="minorHAnsi" w:hAnsiTheme="minorHAnsi"/>
          <w:bCs/>
          <w:snapToGrid w:val="0"/>
          <w:lang w:eastAsia="en-US"/>
        </w:rPr>
        <w:t xml:space="preserve">The recommendation was made </w:t>
      </w:r>
      <w:bookmarkStart w:id="88" w:name="_Hlk192839185"/>
      <w:r w:rsidRPr="00350596">
        <w:rPr>
          <w:rFonts w:asciiTheme="minorHAnsi" w:hAnsiTheme="minorHAnsi"/>
          <w:bCs/>
          <w:snapToGrid w:val="0"/>
          <w:lang w:eastAsia="en-US"/>
        </w:rPr>
        <w:t xml:space="preserve">on the basis of a cost-comparison versus intravenous immunoglobulin (IVIg), supported by a cost-per-responder analysis versus </w:t>
      </w:r>
      <w:r w:rsidR="00494D2A" w:rsidRPr="00350596">
        <w:rPr>
          <w:rFonts w:asciiTheme="minorHAnsi" w:hAnsiTheme="minorHAnsi"/>
          <w:bCs/>
          <w:snapToGrid w:val="0"/>
          <w:lang w:eastAsia="en-US"/>
        </w:rPr>
        <w:t>placebo</w:t>
      </w:r>
      <w:r w:rsidRPr="00350596">
        <w:rPr>
          <w:rFonts w:asciiTheme="minorHAnsi" w:hAnsiTheme="minorHAnsi"/>
          <w:bCs/>
          <w:snapToGrid w:val="0"/>
          <w:lang w:eastAsia="en-US"/>
        </w:rPr>
        <w:t xml:space="preserve">. The PBAC acknowledged the limitations of the available evidence for chronic IVIg, however the PBAC considered that there was </w:t>
      </w:r>
      <w:r w:rsidR="002439DF" w:rsidRPr="00350596">
        <w:rPr>
          <w:rFonts w:asciiTheme="minorHAnsi" w:hAnsiTheme="minorHAnsi"/>
          <w:bCs/>
          <w:snapToGrid w:val="0"/>
          <w:lang w:eastAsia="en-US"/>
        </w:rPr>
        <w:t>insufficient</w:t>
      </w:r>
      <w:r w:rsidRPr="00350596">
        <w:rPr>
          <w:rFonts w:asciiTheme="minorHAnsi" w:hAnsiTheme="minorHAnsi"/>
          <w:bCs/>
          <w:snapToGrid w:val="0"/>
          <w:lang w:eastAsia="en-US"/>
        </w:rPr>
        <w:t xml:space="preserve"> evidence to s</w:t>
      </w:r>
      <w:r w:rsidR="002439DF" w:rsidRPr="00350596">
        <w:rPr>
          <w:rFonts w:asciiTheme="minorHAnsi" w:hAnsiTheme="minorHAnsi"/>
          <w:bCs/>
          <w:snapToGrid w:val="0"/>
          <w:lang w:eastAsia="en-US"/>
        </w:rPr>
        <w:t>upport</w:t>
      </w:r>
      <w:r w:rsidRPr="00350596">
        <w:rPr>
          <w:rFonts w:asciiTheme="minorHAnsi" w:hAnsiTheme="minorHAnsi"/>
          <w:bCs/>
          <w:snapToGrid w:val="0"/>
          <w:lang w:eastAsia="en-US"/>
        </w:rPr>
        <w:t xml:space="preserve"> superior efficacy or safety of </w:t>
      </w:r>
      <w:r w:rsidR="00251D34" w:rsidRPr="00350596">
        <w:rPr>
          <w:rFonts w:asciiTheme="minorHAnsi" w:hAnsiTheme="minorHAnsi"/>
          <w:bCs/>
          <w:snapToGrid w:val="0"/>
          <w:lang w:eastAsia="en-US"/>
        </w:rPr>
        <w:t xml:space="preserve">efgartigimod </w:t>
      </w:r>
      <w:r w:rsidRPr="00350596">
        <w:rPr>
          <w:rFonts w:asciiTheme="minorHAnsi" w:hAnsiTheme="minorHAnsi"/>
          <w:bCs/>
          <w:snapToGrid w:val="0"/>
          <w:lang w:eastAsia="en-US"/>
        </w:rPr>
        <w:t xml:space="preserve">versus chronic IVIg or PLEX. Further, the PBAC considered that there was no reliable evidence </w:t>
      </w:r>
      <w:r w:rsidRPr="00350596">
        <w:rPr>
          <w:rFonts w:asciiTheme="minorHAnsi" w:hAnsiTheme="minorHAnsi"/>
          <w:bCs/>
          <w:snapToGrid w:val="0"/>
          <w:lang w:eastAsia="en-US"/>
        </w:rPr>
        <w:lastRenderedPageBreak/>
        <w:t xml:space="preserve">to </w:t>
      </w:r>
      <w:r w:rsidR="004B00FC" w:rsidRPr="00350596">
        <w:rPr>
          <w:rFonts w:asciiTheme="minorHAnsi" w:hAnsiTheme="minorHAnsi"/>
          <w:bCs/>
          <w:snapToGrid w:val="0"/>
          <w:lang w:eastAsia="en-US"/>
        </w:rPr>
        <w:t xml:space="preserve">support the claim </w:t>
      </w:r>
      <w:r w:rsidRPr="00350596">
        <w:rPr>
          <w:rFonts w:asciiTheme="minorHAnsi" w:hAnsiTheme="minorHAnsi"/>
          <w:bCs/>
          <w:snapToGrid w:val="0"/>
          <w:lang w:eastAsia="en-US"/>
        </w:rPr>
        <w:t xml:space="preserve">that </w:t>
      </w:r>
      <w:r w:rsidR="00251D34" w:rsidRPr="00350596">
        <w:rPr>
          <w:rFonts w:asciiTheme="minorHAnsi" w:hAnsiTheme="minorHAnsi"/>
          <w:bCs/>
          <w:snapToGrid w:val="0"/>
          <w:lang w:eastAsia="en-US"/>
        </w:rPr>
        <w:t xml:space="preserve">efgartigimod </w:t>
      </w:r>
      <w:r w:rsidRPr="00350596">
        <w:rPr>
          <w:rFonts w:asciiTheme="minorHAnsi" w:hAnsiTheme="minorHAnsi"/>
          <w:bCs/>
          <w:snapToGrid w:val="0"/>
          <w:lang w:eastAsia="en-US"/>
        </w:rPr>
        <w:t xml:space="preserve">was superior in terms of efficacy or safety compared with the other three therapies considered at the March 2025 meeting for the treatment of gMG (zilucoplan, </w:t>
      </w:r>
      <w:r w:rsidR="00251D34" w:rsidRPr="00350596">
        <w:rPr>
          <w:rFonts w:asciiTheme="minorHAnsi" w:hAnsiTheme="minorHAnsi"/>
          <w:bCs/>
          <w:snapToGrid w:val="0"/>
          <w:lang w:eastAsia="en-US"/>
        </w:rPr>
        <w:t xml:space="preserve">ravulizumab </w:t>
      </w:r>
      <w:r w:rsidRPr="00350596">
        <w:rPr>
          <w:rFonts w:asciiTheme="minorHAnsi" w:hAnsiTheme="minorHAnsi"/>
          <w:bCs/>
          <w:snapToGrid w:val="0"/>
          <w:lang w:eastAsia="en-US"/>
        </w:rPr>
        <w:t>and rozanolixizumab). Overall, the PBAC advised that the four treatments should be considered as non-inferior with each other and with IVIg.</w:t>
      </w:r>
    </w:p>
    <w:bookmarkEnd w:id="87"/>
    <w:p w14:paraId="5E0F9089" w14:textId="77777777"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The recommendation was made on the basis of the totality of the evidence presented across all four of the submissions for new gMG therapies.</w:t>
      </w:r>
    </w:p>
    <w:bookmarkEnd w:id="88"/>
    <w:p w14:paraId="1628C385" w14:textId="285801E5"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noted the strong consumer and clinician support for the new gMG therapies received via the Consumer Comments facility on the PBS website. </w:t>
      </w:r>
      <w:bookmarkStart w:id="89" w:name="_Hlk199493574"/>
      <w:r w:rsidRPr="00350596">
        <w:rPr>
          <w:rFonts w:asciiTheme="minorHAnsi" w:hAnsiTheme="minorHAnsi"/>
          <w:bCs/>
          <w:snapToGrid w:val="0"/>
          <w:lang w:eastAsia="en-US"/>
        </w:rPr>
        <w:t>The PBAC appreciated the input provided by patients, carers and clinicians and found the comments very informative for understanding the high and unmet clinical need for new effective treatments and the potential use of the new therapies in practice. The comments outlined the significant impact that gMG can have on quality of life, including the impact on patients</w:t>
      </w:r>
      <w:r w:rsidR="00462E7F" w:rsidRPr="00350596">
        <w:rPr>
          <w:rFonts w:asciiTheme="minorHAnsi" w:hAnsiTheme="minorHAnsi"/>
          <w:bCs/>
          <w:snapToGrid w:val="0"/>
          <w:lang w:eastAsia="en-US"/>
        </w:rPr>
        <w:t>’</w:t>
      </w:r>
      <w:r w:rsidRPr="00350596">
        <w:rPr>
          <w:rFonts w:asciiTheme="minorHAnsi" w:hAnsiTheme="minorHAnsi"/>
          <w:bCs/>
          <w:snapToGrid w:val="0"/>
          <w:lang w:eastAsia="en-US"/>
        </w:rPr>
        <w:t xml:space="preserve"> families</w:t>
      </w:r>
      <w:bookmarkEnd w:id="89"/>
      <w:r w:rsidRPr="00350596">
        <w:rPr>
          <w:rFonts w:asciiTheme="minorHAnsi" w:hAnsiTheme="minorHAnsi"/>
          <w:bCs/>
          <w:snapToGrid w:val="0"/>
          <w:lang w:eastAsia="en-US"/>
        </w:rPr>
        <w:t>. The comments also described the limitations of currently available treatment options including adverse events and lengthy administration times</w:t>
      </w:r>
      <w:r w:rsidR="002439DF" w:rsidRPr="00350596">
        <w:rPr>
          <w:rFonts w:asciiTheme="minorHAnsi" w:hAnsiTheme="minorHAnsi"/>
          <w:bCs/>
          <w:snapToGrid w:val="0"/>
          <w:lang w:eastAsia="en-US"/>
        </w:rPr>
        <w:t>. Consumers outlined that the new therapies represent a substantial improvement in administration time compared with IVIg, and also shorter travel distances for patients outside metropolitan areas.</w:t>
      </w:r>
      <w:r w:rsidRPr="00350596">
        <w:rPr>
          <w:rFonts w:asciiTheme="minorHAnsi" w:hAnsiTheme="minorHAnsi"/>
          <w:bCs/>
          <w:snapToGrid w:val="0"/>
          <w:lang w:eastAsia="en-US"/>
        </w:rPr>
        <w:t xml:space="preserve"> The comments described a hope that the new therapies will reduce gMG symptoms quickly, reduce the need for other medications and associated side-effects, and reduce hospital visits, contributing to an overall improved quality of life. The PBAC noted the strong support for access to both complement inhibitors (ravulizumab and zilucoplan) and </w:t>
      </w:r>
      <w:r w:rsidR="008A34A5" w:rsidRPr="00350596">
        <w:rPr>
          <w:rFonts w:asciiTheme="minorHAnsi" w:hAnsiTheme="minorHAnsi"/>
          <w:bCs/>
          <w:snapToGrid w:val="0"/>
          <w:lang w:eastAsia="en-US"/>
        </w:rPr>
        <w:t>FcRn</w:t>
      </w:r>
      <w:r w:rsidRPr="00350596">
        <w:rPr>
          <w:rFonts w:asciiTheme="minorHAnsi" w:hAnsiTheme="minorHAnsi"/>
          <w:bCs/>
          <w:snapToGrid w:val="0"/>
          <w:lang w:eastAsia="en-US"/>
        </w:rPr>
        <w:t xml:space="preserve"> blockers (efgartigimod and rozanolixizumab) across both the bridging and refractory settings. </w:t>
      </w:r>
    </w:p>
    <w:p w14:paraId="34E18070" w14:textId="5442DC6E"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advised that the restrictions were complex and further work would be required to finalise the restrictions including further consultation with expert neurologists </w:t>
      </w:r>
      <w:r w:rsidR="00494D2A" w:rsidRPr="00350596">
        <w:rPr>
          <w:rFonts w:asciiTheme="minorHAnsi" w:hAnsiTheme="minorHAnsi"/>
          <w:bCs/>
          <w:snapToGrid w:val="0"/>
          <w:lang w:eastAsia="en-US"/>
        </w:rPr>
        <w:t xml:space="preserve">and immunologists </w:t>
      </w:r>
      <w:r w:rsidRPr="00350596">
        <w:rPr>
          <w:rFonts w:asciiTheme="minorHAnsi" w:hAnsiTheme="minorHAnsi"/>
          <w:bCs/>
          <w:snapToGrid w:val="0"/>
          <w:lang w:eastAsia="en-US"/>
        </w:rPr>
        <w:t xml:space="preserve">before listing can proceed. </w:t>
      </w:r>
    </w:p>
    <w:p w14:paraId="4A09083A" w14:textId="6075652E"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acknowledged the key trials of the new therapies were not designed to specifically assess efficacy in the bridging setting, but considered the new gMG therapies (both complement inhibitors and </w:t>
      </w:r>
      <w:r w:rsidR="008A34A5" w:rsidRPr="00350596">
        <w:rPr>
          <w:rFonts w:asciiTheme="minorHAnsi" w:hAnsiTheme="minorHAnsi"/>
          <w:bCs/>
          <w:snapToGrid w:val="0"/>
          <w:lang w:eastAsia="en-US"/>
        </w:rPr>
        <w:t>FcRn</w:t>
      </w:r>
      <w:r w:rsidRPr="00350596">
        <w:rPr>
          <w:rFonts w:asciiTheme="minorHAnsi" w:hAnsiTheme="minorHAnsi"/>
          <w:bCs/>
          <w:snapToGrid w:val="0"/>
          <w:lang w:eastAsia="en-US"/>
        </w:rPr>
        <w:t xml:space="preserve"> blockers) should be listed in both the bridging and refractory settings given the high unmet need, clinical rationale and strong clinician support (both through the stakeholder meeting and the consumer comments) for broad listings that allow clinician discretion in the choice as to which agent to use in a particular patient. </w:t>
      </w:r>
    </w:p>
    <w:p w14:paraId="578D741B" w14:textId="77777777"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90" w:name="_Ref194350211"/>
      <w:r w:rsidRPr="00350596">
        <w:rPr>
          <w:rFonts w:asciiTheme="minorHAnsi" w:hAnsiTheme="minorHAnsi"/>
          <w:bCs/>
          <w:snapToGrid w:val="0"/>
          <w:lang w:eastAsia="en-US"/>
        </w:rPr>
        <w:t>As such, the PBAC considered the four new therapies for gMG should be listed in three settings, consistent with the advice provided by clinicians at the stakeholder meeting and in the consumer comments:</w:t>
      </w:r>
      <w:bookmarkEnd w:id="90"/>
    </w:p>
    <w:p w14:paraId="68AC243F" w14:textId="7FF40ABA" w:rsidR="00927CFA" w:rsidRPr="00350596" w:rsidRDefault="00607A9D" w:rsidP="002100FC">
      <w:pPr>
        <w:widowControl w:val="0"/>
        <w:numPr>
          <w:ilvl w:val="1"/>
          <w:numId w:val="41"/>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Immediate access for patients whose condition is acute and severe, and who are at high risk of rapid deterioration. The PBAC advised that the restriction in this setting should require patients to be treated with concomitant corticosteroid and NS-IST therapy with the flexibility that NS-IST can be commenced within two weeks of initiation of the new therapy. A maximum time on treatment of 3-</w:t>
      </w:r>
      <w:r w:rsidRPr="00350596">
        <w:rPr>
          <w:rFonts w:asciiTheme="minorHAnsi" w:hAnsiTheme="minorHAnsi"/>
          <w:bCs/>
          <w:snapToGrid w:val="0"/>
          <w:lang w:eastAsia="en-US"/>
        </w:rPr>
        <w:lastRenderedPageBreak/>
        <w:t>months would apply for this setting.</w:t>
      </w:r>
      <w:r w:rsidR="00D53C72">
        <w:rPr>
          <w:rFonts w:asciiTheme="minorHAnsi" w:hAnsiTheme="minorHAnsi"/>
          <w:bCs/>
          <w:snapToGrid w:val="0"/>
          <w:lang w:eastAsia="en-US"/>
        </w:rPr>
        <w:t xml:space="preserve"> </w:t>
      </w:r>
      <w:r w:rsidR="00927CFA" w:rsidRPr="00350596">
        <w:rPr>
          <w:rFonts w:asciiTheme="minorHAnsi" w:hAnsiTheme="minorHAnsi"/>
          <w:bCs/>
          <w:snapToGrid w:val="0"/>
          <w:lang w:eastAsia="en-US"/>
        </w:rPr>
        <w:t xml:space="preserve"> </w:t>
      </w:r>
    </w:p>
    <w:p w14:paraId="2EF76911" w14:textId="16509A70" w:rsidR="00927CFA" w:rsidRPr="00350596" w:rsidRDefault="00927CFA" w:rsidP="002100FC">
      <w:pPr>
        <w:widowControl w:val="0"/>
        <w:numPr>
          <w:ilvl w:val="1"/>
          <w:numId w:val="41"/>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 xml:space="preserve">Bridging: early in the treatment algorithm, in combination with standard therapy to provide </w:t>
      </w:r>
      <w:bookmarkStart w:id="91" w:name="_Hlk194917417"/>
      <w:r w:rsidR="00494D2A" w:rsidRPr="00350596">
        <w:rPr>
          <w:rFonts w:asciiTheme="minorHAnsi" w:hAnsiTheme="minorHAnsi"/>
          <w:bCs/>
          <w:snapToGrid w:val="0"/>
          <w:lang w:eastAsia="en-US"/>
        </w:rPr>
        <w:t>bridging immunosuppression whilst immunosuppression with NS-IST/thymectomy takes effect</w:t>
      </w:r>
      <w:bookmarkEnd w:id="91"/>
      <w:r w:rsidRPr="00350596">
        <w:rPr>
          <w:rFonts w:asciiTheme="minorHAnsi" w:hAnsiTheme="minorHAnsi"/>
          <w:bCs/>
          <w:snapToGrid w:val="0"/>
          <w:lang w:eastAsia="en-US"/>
        </w:rPr>
        <w:t>.</w:t>
      </w:r>
      <w:r w:rsidR="00F5132E" w:rsidRPr="00350596">
        <w:rPr>
          <w:rFonts w:asciiTheme="minorHAnsi" w:hAnsiTheme="minorHAnsi"/>
          <w:bCs/>
          <w:snapToGrid w:val="0"/>
          <w:lang w:eastAsia="en-US"/>
        </w:rPr>
        <w:t xml:space="preserve"> A maximum time on treatment of 6-months would apply for this setting.</w:t>
      </w:r>
    </w:p>
    <w:p w14:paraId="64868565" w14:textId="77777777" w:rsidR="00927CFA" w:rsidRPr="00350596" w:rsidRDefault="00927CFA" w:rsidP="002100FC">
      <w:pPr>
        <w:widowControl w:val="0"/>
        <w:numPr>
          <w:ilvl w:val="1"/>
          <w:numId w:val="41"/>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Refractory: later in the disease course where other treatments have failed.</w:t>
      </w:r>
    </w:p>
    <w:p w14:paraId="17B853D4" w14:textId="3DE0131E"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92" w:name="_Ref194591780"/>
      <w:r w:rsidRPr="00350596">
        <w:rPr>
          <w:rFonts w:asciiTheme="minorHAnsi" w:hAnsiTheme="minorHAnsi"/>
          <w:bCs/>
          <w:snapToGrid w:val="0"/>
          <w:lang w:eastAsia="en-US"/>
        </w:rPr>
        <w:t xml:space="preserve">The PBAC considered the restriction in the bridging setting should provide access for patients whose condition is moderate-to-severe, and who have trialled at least three months of therapy with remission-inducing intent. </w:t>
      </w:r>
      <w:r w:rsidR="003C26C6" w:rsidRPr="00350596">
        <w:rPr>
          <w:rFonts w:asciiTheme="minorHAnsi" w:hAnsiTheme="minorHAnsi"/>
          <w:bCs/>
          <w:snapToGrid w:val="0"/>
          <w:lang w:eastAsia="en-US"/>
        </w:rPr>
        <w:t>The PBAC advised this should be defined as two of the following three: NS-IST; a corticosteroid; thymectomy</w:t>
      </w:r>
      <w:r w:rsidR="00D47A06" w:rsidRPr="00350596">
        <w:rPr>
          <w:snapToGrid w:val="0"/>
          <w:lang w:eastAsia="en-US"/>
        </w:rPr>
        <w:t xml:space="preserve">. </w:t>
      </w:r>
      <w:r w:rsidR="00D47A06" w:rsidRPr="00350596">
        <w:t>The NS-IST and/or corticosteroid should have been administered at optimised dosing (</w:t>
      </w:r>
      <w:r w:rsidR="00F04948" w:rsidRPr="00350596">
        <w:t>definition of optimised doses not specified and will be up to the treating physician to determine</w:t>
      </w:r>
      <w:r w:rsidR="00D47A06" w:rsidRPr="00350596">
        <w:t>)</w:t>
      </w:r>
      <w:r w:rsidR="00D47A06" w:rsidRPr="00350596">
        <w:rPr>
          <w:snapToGrid w:val="0"/>
          <w:lang w:eastAsia="en-US"/>
        </w:rPr>
        <w:t xml:space="preserve">. </w:t>
      </w:r>
      <w:r w:rsidRPr="00350596">
        <w:rPr>
          <w:rFonts w:asciiTheme="minorHAnsi" w:hAnsiTheme="minorHAnsi"/>
          <w:bCs/>
          <w:snapToGrid w:val="0"/>
          <w:lang w:eastAsia="en-US"/>
        </w:rPr>
        <w:t>The PBAC advised the initiation criteria in this setting should require patients to meet a disease severity threshold similar to most of the key trials, e.g. around MG-ADL ≥ 6 (consistent with two of the four trials of the new therapies for gMG). The PBAC agreed with the clinician correspondence which expressed a preference for also including a clinician-reported component i.e. using the MGC instrument</w:t>
      </w:r>
      <w:r w:rsidR="00FD0DC4" w:rsidRPr="00350596">
        <w:rPr>
          <w:rFonts w:asciiTheme="minorHAnsi" w:hAnsiTheme="minorHAnsi"/>
          <w:bCs/>
          <w:snapToGrid w:val="0"/>
          <w:lang w:eastAsia="en-US"/>
        </w:rPr>
        <w:t xml:space="preserve"> (</w:t>
      </w:r>
      <w:r w:rsidR="00FD0DC4" w:rsidRPr="00350596">
        <w:t>with a threshold to be determined based on consultation with expert neurologists and immunologists)</w:t>
      </w:r>
      <w:r w:rsidRPr="00350596">
        <w:rPr>
          <w:rFonts w:asciiTheme="minorHAnsi" w:hAnsiTheme="minorHAnsi"/>
          <w:bCs/>
          <w:snapToGrid w:val="0"/>
          <w:lang w:eastAsia="en-US"/>
        </w:rPr>
        <w:t xml:space="preserve"> in addition to </w:t>
      </w:r>
      <w:r w:rsidR="00FD0DC4" w:rsidRPr="00350596">
        <w:rPr>
          <w:rFonts w:asciiTheme="minorHAnsi" w:hAnsiTheme="minorHAnsi"/>
          <w:bCs/>
          <w:snapToGrid w:val="0"/>
          <w:lang w:eastAsia="en-US"/>
        </w:rPr>
        <w:t xml:space="preserve">the </w:t>
      </w:r>
      <w:r w:rsidRPr="00350596">
        <w:rPr>
          <w:rFonts w:asciiTheme="minorHAnsi" w:hAnsiTheme="minorHAnsi"/>
          <w:bCs/>
          <w:snapToGrid w:val="0"/>
          <w:lang w:eastAsia="en-US"/>
        </w:rPr>
        <w:t xml:space="preserve">MG-ADL (paragraph </w:t>
      </w:r>
      <w:bookmarkEnd w:id="92"/>
      <w:r w:rsidR="00D407A7" w:rsidRPr="00350596">
        <w:rPr>
          <w:rFonts w:asciiTheme="minorHAnsi" w:hAnsiTheme="minorHAnsi"/>
          <w:bCs/>
          <w:snapToGrid w:val="0"/>
          <w:lang w:eastAsia="en-US"/>
        </w:rPr>
        <w:fldChar w:fldCharType="begin"/>
      </w:r>
      <w:r w:rsidR="00D407A7" w:rsidRPr="00350596">
        <w:rPr>
          <w:rFonts w:asciiTheme="minorHAnsi" w:hAnsiTheme="minorHAnsi"/>
          <w:bCs/>
          <w:snapToGrid w:val="0"/>
          <w:lang w:eastAsia="en-US"/>
        </w:rPr>
        <w:instrText xml:space="preserve"> REF _Ref194668680 \r \h </w:instrText>
      </w:r>
      <w:r w:rsidR="00D407A7" w:rsidRPr="00350596">
        <w:rPr>
          <w:rFonts w:asciiTheme="minorHAnsi" w:hAnsiTheme="minorHAnsi"/>
          <w:bCs/>
          <w:snapToGrid w:val="0"/>
          <w:lang w:eastAsia="en-US"/>
        </w:rPr>
      </w:r>
      <w:r w:rsidR="00D407A7"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6.5</w:t>
      </w:r>
      <w:r w:rsidR="00D407A7" w:rsidRPr="00350596">
        <w:rPr>
          <w:rFonts w:asciiTheme="minorHAnsi" w:hAnsiTheme="minorHAnsi"/>
          <w:bCs/>
          <w:snapToGrid w:val="0"/>
          <w:lang w:eastAsia="en-US"/>
        </w:rPr>
        <w:fldChar w:fldCharType="end"/>
      </w:r>
      <w:r w:rsidR="00D407A7" w:rsidRPr="00350596">
        <w:rPr>
          <w:rFonts w:asciiTheme="minorHAnsi" w:hAnsiTheme="minorHAnsi"/>
          <w:bCs/>
          <w:snapToGrid w:val="0"/>
          <w:lang w:eastAsia="en-US"/>
        </w:rPr>
        <w:fldChar w:fldCharType="begin"/>
      </w:r>
      <w:r w:rsidR="00D407A7" w:rsidRPr="00350596">
        <w:rPr>
          <w:rFonts w:asciiTheme="minorHAnsi" w:hAnsiTheme="minorHAnsi"/>
          <w:bCs/>
          <w:snapToGrid w:val="0"/>
          <w:lang w:eastAsia="en-US"/>
        </w:rPr>
        <w:instrText xml:space="preserve"> REF _Ref194668725 \r \h </w:instrText>
      </w:r>
      <w:r w:rsidR="00D407A7" w:rsidRPr="00350596">
        <w:rPr>
          <w:rFonts w:asciiTheme="minorHAnsi" w:hAnsiTheme="minorHAnsi"/>
          <w:bCs/>
          <w:snapToGrid w:val="0"/>
          <w:lang w:eastAsia="en-US"/>
        </w:rPr>
      </w:r>
      <w:r w:rsidR="00D407A7"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b)</w:t>
      </w:r>
      <w:r w:rsidR="00D407A7" w:rsidRPr="00350596">
        <w:rPr>
          <w:rFonts w:asciiTheme="minorHAnsi" w:hAnsiTheme="minorHAnsi"/>
          <w:bCs/>
          <w:snapToGrid w:val="0"/>
          <w:lang w:eastAsia="en-US"/>
        </w:rPr>
        <w:fldChar w:fldCharType="end"/>
      </w:r>
      <w:r w:rsidR="00494D2A" w:rsidRPr="00350596">
        <w:rPr>
          <w:rFonts w:asciiTheme="minorHAnsi" w:hAnsiTheme="minorHAnsi"/>
          <w:bCs/>
          <w:snapToGrid w:val="0"/>
          <w:lang w:eastAsia="en-US"/>
        </w:rPr>
        <w:t xml:space="preserve">. </w:t>
      </w:r>
    </w:p>
    <w:p w14:paraId="1574A138" w14:textId="3E8A4CC6" w:rsidR="00927CFA" w:rsidRPr="00350596" w:rsidRDefault="001E004B" w:rsidP="002100FC">
      <w:pPr>
        <w:widowControl w:val="0"/>
        <w:numPr>
          <w:ilvl w:val="1"/>
          <w:numId w:val="1"/>
        </w:numPr>
        <w:spacing w:before="120" w:after="120"/>
        <w:rPr>
          <w:rFonts w:asciiTheme="minorHAnsi" w:hAnsiTheme="minorHAnsi"/>
          <w:bCs/>
          <w:snapToGrid w:val="0"/>
          <w:lang w:eastAsia="en-US"/>
        </w:rPr>
      </w:pPr>
      <w:bookmarkStart w:id="93" w:name="_Ref194591790"/>
      <w:r w:rsidRPr="00350596">
        <w:rPr>
          <w:rFonts w:asciiTheme="minorHAnsi" w:hAnsiTheme="minorHAnsi"/>
          <w:bCs/>
          <w:snapToGrid w:val="0"/>
          <w:lang w:eastAsia="en-US"/>
        </w:rPr>
        <w:t xml:space="preserve">The PBAC considered the restrictions in the refractory setting should require patients to have trialled at least 12 months of two of the following three </w:t>
      </w:r>
      <w:r w:rsidR="002439DF" w:rsidRPr="00350596">
        <w:rPr>
          <w:rFonts w:asciiTheme="minorHAnsi" w:hAnsiTheme="minorHAnsi"/>
          <w:bCs/>
          <w:snapToGrid w:val="0"/>
          <w:lang w:eastAsia="en-US"/>
        </w:rPr>
        <w:t>treatments</w:t>
      </w:r>
      <w:r w:rsidRPr="00350596">
        <w:rPr>
          <w:rFonts w:asciiTheme="minorHAnsi" w:hAnsiTheme="minorHAnsi"/>
          <w:bCs/>
          <w:snapToGrid w:val="0"/>
          <w:lang w:eastAsia="en-US"/>
        </w:rPr>
        <w:t xml:space="preserve">: a NS-IST; a corticosteroid; thymectomy. This would </w:t>
      </w:r>
      <w:r w:rsidR="002439DF" w:rsidRPr="00350596">
        <w:rPr>
          <w:rFonts w:asciiTheme="minorHAnsi" w:hAnsiTheme="minorHAnsi"/>
          <w:bCs/>
          <w:snapToGrid w:val="0"/>
          <w:lang w:eastAsia="en-US"/>
        </w:rPr>
        <w:t xml:space="preserve">allow </w:t>
      </w:r>
      <w:r w:rsidRPr="00350596">
        <w:rPr>
          <w:rFonts w:asciiTheme="minorHAnsi" w:hAnsiTheme="minorHAnsi"/>
          <w:bCs/>
          <w:snapToGrid w:val="0"/>
          <w:lang w:eastAsia="en-US"/>
        </w:rPr>
        <w:t xml:space="preserve">patients </w:t>
      </w:r>
      <w:r w:rsidR="002439DF" w:rsidRPr="00350596">
        <w:rPr>
          <w:rFonts w:asciiTheme="minorHAnsi" w:hAnsiTheme="minorHAnsi"/>
          <w:bCs/>
          <w:snapToGrid w:val="0"/>
          <w:lang w:eastAsia="en-US"/>
        </w:rPr>
        <w:t>to</w:t>
      </w:r>
      <w:r w:rsidRPr="00350596">
        <w:rPr>
          <w:rFonts w:asciiTheme="minorHAnsi" w:hAnsiTheme="minorHAnsi"/>
          <w:bCs/>
          <w:snapToGrid w:val="0"/>
          <w:lang w:eastAsia="en-US"/>
        </w:rPr>
        <w:t xml:space="preserve"> transition from the bridging setting (with a 3-month treatment break) as </w:t>
      </w:r>
      <w:r w:rsidR="001F4614" w:rsidRPr="00350596">
        <w:rPr>
          <w:rFonts w:asciiTheme="minorHAnsi" w:hAnsiTheme="minorHAnsi"/>
          <w:bCs/>
          <w:snapToGrid w:val="0"/>
          <w:lang w:eastAsia="en-US"/>
        </w:rPr>
        <w:t xml:space="preserve">the </w:t>
      </w:r>
      <w:r w:rsidRPr="00350596">
        <w:rPr>
          <w:rFonts w:asciiTheme="minorHAnsi" w:hAnsiTheme="minorHAnsi"/>
          <w:bCs/>
          <w:snapToGrid w:val="0"/>
          <w:lang w:eastAsia="en-US"/>
        </w:rPr>
        <w:t>NS-IST and/or corticosteroid should have been co-administered in the previous bridging setting. The PBAC advised the disease severity thresholds for initiation in the refractory setting should be the same as those for the bridging setting.</w:t>
      </w:r>
      <w:bookmarkEnd w:id="93"/>
    </w:p>
    <w:p w14:paraId="36599379" w14:textId="13165E62"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94" w:name="_Ref194593143"/>
      <w:bookmarkStart w:id="95" w:name="_Ref194591911"/>
      <w:r w:rsidRPr="00350596">
        <w:rPr>
          <w:rFonts w:asciiTheme="minorHAnsi" w:hAnsiTheme="minorHAnsi"/>
          <w:bCs/>
          <w:snapToGrid w:val="0"/>
          <w:lang w:eastAsia="en-US"/>
        </w:rPr>
        <w:t xml:space="preserve">The PBAC considered that, in the acute and bridging settings, </w:t>
      </w:r>
      <w:r w:rsidR="00BD41A7" w:rsidRPr="00350596">
        <w:rPr>
          <w:rFonts w:asciiTheme="minorHAnsi" w:hAnsiTheme="minorHAnsi"/>
          <w:bCs/>
          <w:snapToGrid w:val="0"/>
          <w:lang w:eastAsia="en-US"/>
        </w:rPr>
        <w:t>there should be a maximum time on treatment of 3 months and 6 months respectively, to prevent ongoing use given the potential for the condition to respond to NS-IST therapy or improve over time. The PBAC considered that the initial restriction for the treatment refractory setting should require the patient to have trialled cessation of the new therapy for three months to be eligible for further treatment with new therapy for this setting</w:t>
      </w:r>
      <w:r w:rsidR="00BD41A7" w:rsidRPr="00350596" w:rsidDel="00BD41A7">
        <w:rPr>
          <w:rFonts w:asciiTheme="minorHAnsi" w:hAnsiTheme="minorHAnsi"/>
          <w:bCs/>
          <w:snapToGrid w:val="0"/>
          <w:lang w:eastAsia="en-US"/>
        </w:rPr>
        <w:t xml:space="preserve"> </w:t>
      </w:r>
      <w:r w:rsidRPr="00350596">
        <w:rPr>
          <w:rFonts w:asciiTheme="minorHAnsi" w:hAnsiTheme="minorHAnsi"/>
          <w:bCs/>
          <w:snapToGrid w:val="0"/>
          <w:lang w:eastAsia="en-US"/>
        </w:rPr>
        <w:t>(</w:t>
      </w:r>
      <w:r w:rsidR="00BD41A7" w:rsidRPr="00350596">
        <w:rPr>
          <w:rFonts w:asciiTheme="minorHAnsi" w:hAnsiTheme="minorHAnsi"/>
          <w:bCs/>
          <w:snapToGrid w:val="0"/>
          <w:lang w:eastAsia="en-US"/>
        </w:rPr>
        <w:t xml:space="preserve">consistent with </w:t>
      </w:r>
      <w:r w:rsidR="00505979" w:rsidRPr="00350596">
        <w:rPr>
          <w:rFonts w:asciiTheme="minorHAnsi" w:hAnsiTheme="minorHAnsi"/>
          <w:bCs/>
          <w:snapToGrid w:val="0"/>
          <w:lang w:eastAsia="en-US"/>
        </w:rPr>
        <w:t xml:space="preserve">the ESC advice in </w:t>
      </w:r>
      <w:r w:rsidRPr="00350596">
        <w:rPr>
          <w:rFonts w:asciiTheme="minorHAnsi" w:hAnsiTheme="minorHAnsi"/>
          <w:bCs/>
          <w:snapToGrid w:val="0"/>
          <w:lang w:eastAsia="en-US"/>
        </w:rPr>
        <w:t xml:space="preserve">paragraph </w:t>
      </w:r>
      <w:r w:rsidR="00B548BF" w:rsidRPr="00350596">
        <w:rPr>
          <w:rFonts w:asciiTheme="minorHAnsi" w:hAnsiTheme="minorHAnsi"/>
          <w:bCs/>
          <w:snapToGrid w:val="0"/>
          <w:lang w:eastAsia="en-US"/>
        </w:rPr>
        <w:fldChar w:fldCharType="begin"/>
      </w:r>
      <w:r w:rsidR="00B548BF" w:rsidRPr="00350596">
        <w:rPr>
          <w:rFonts w:asciiTheme="minorHAnsi" w:hAnsiTheme="minorHAnsi"/>
          <w:bCs/>
          <w:snapToGrid w:val="0"/>
          <w:lang w:eastAsia="en-US"/>
        </w:rPr>
        <w:instrText xml:space="preserve"> REF _Ref194668812 \r \h </w:instrText>
      </w:r>
      <w:r w:rsidR="00B548BF" w:rsidRPr="00350596">
        <w:rPr>
          <w:rFonts w:asciiTheme="minorHAnsi" w:hAnsiTheme="minorHAnsi"/>
          <w:bCs/>
          <w:snapToGrid w:val="0"/>
          <w:lang w:eastAsia="en-US"/>
        </w:rPr>
      </w:r>
      <w:r w:rsidR="00B548BF"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7.6</w:t>
      </w:r>
      <w:r w:rsidR="00B548BF" w:rsidRPr="00350596">
        <w:rPr>
          <w:rFonts w:asciiTheme="minorHAnsi" w:hAnsiTheme="minorHAnsi"/>
          <w:bCs/>
          <w:snapToGrid w:val="0"/>
          <w:lang w:eastAsia="en-US"/>
        </w:rPr>
        <w:fldChar w:fldCharType="end"/>
      </w:r>
      <w:r w:rsidRPr="00350596">
        <w:rPr>
          <w:rFonts w:asciiTheme="minorHAnsi" w:hAnsiTheme="minorHAnsi"/>
          <w:bCs/>
          <w:snapToGrid w:val="0"/>
          <w:lang w:eastAsia="en-US"/>
        </w:rPr>
        <w:t>).</w:t>
      </w:r>
      <w:bookmarkEnd w:id="94"/>
      <w:r w:rsidRPr="00350596">
        <w:rPr>
          <w:rFonts w:asciiTheme="minorHAnsi" w:hAnsiTheme="minorHAnsi"/>
          <w:bCs/>
          <w:snapToGrid w:val="0"/>
          <w:lang w:eastAsia="en-US"/>
        </w:rPr>
        <w:t xml:space="preserve"> </w:t>
      </w:r>
      <w:bookmarkEnd w:id="95"/>
    </w:p>
    <w:p w14:paraId="257B504A" w14:textId="7CF6FB5B"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In terms of response criteria</w:t>
      </w:r>
      <w:r w:rsidR="005A3237" w:rsidRPr="00350596">
        <w:rPr>
          <w:rFonts w:asciiTheme="minorHAnsi" w:hAnsiTheme="minorHAnsi"/>
          <w:bCs/>
          <w:snapToGrid w:val="0"/>
          <w:lang w:eastAsia="en-US"/>
        </w:rPr>
        <w:t xml:space="preserve"> in the refractory setting</w:t>
      </w:r>
      <w:r w:rsidRPr="00350596">
        <w:rPr>
          <w:rFonts w:asciiTheme="minorHAnsi" w:hAnsiTheme="minorHAnsi"/>
          <w:bCs/>
          <w:snapToGrid w:val="0"/>
          <w:lang w:eastAsia="en-US"/>
        </w:rPr>
        <w:t xml:space="preserve">, the PBAC considered that response should be based on </w:t>
      </w:r>
      <w:r w:rsidR="00FD0DC4" w:rsidRPr="00350596">
        <w:rPr>
          <w:rFonts w:asciiTheme="minorHAnsi" w:hAnsiTheme="minorHAnsi"/>
          <w:bCs/>
          <w:snapToGrid w:val="0"/>
          <w:lang w:eastAsia="en-US"/>
        </w:rPr>
        <w:t>an</w:t>
      </w:r>
      <w:r w:rsidRPr="00350596">
        <w:rPr>
          <w:rFonts w:asciiTheme="minorHAnsi" w:hAnsiTheme="minorHAnsi"/>
          <w:bCs/>
          <w:snapToGrid w:val="0"/>
          <w:lang w:eastAsia="en-US"/>
        </w:rPr>
        <w:t xml:space="preserve"> MG-ADL ≥ 2</w:t>
      </w:r>
      <w:r w:rsidR="00FD0DC4" w:rsidRPr="00350596">
        <w:rPr>
          <w:rFonts w:asciiTheme="minorHAnsi" w:hAnsiTheme="minorHAnsi"/>
          <w:bCs/>
          <w:snapToGrid w:val="0"/>
          <w:lang w:eastAsia="en-US"/>
        </w:rPr>
        <w:t xml:space="preserve"> </w:t>
      </w:r>
      <w:r w:rsidR="00FD0DC4" w:rsidRPr="00350596">
        <w:t>(plus a</w:t>
      </w:r>
      <w:r w:rsidR="00716B8A" w:rsidRPr="00350596">
        <w:t xml:space="preserve"> corresponding</w:t>
      </w:r>
      <w:r w:rsidR="00FD0DC4" w:rsidRPr="00350596">
        <w:t xml:space="preserve"> MGC level to be determined based on consultation with expert neurologists and immunologists)</w:t>
      </w:r>
      <w:r w:rsidRPr="00350596">
        <w:rPr>
          <w:rFonts w:asciiTheme="minorHAnsi" w:hAnsiTheme="minorHAnsi"/>
          <w:bCs/>
          <w:snapToGrid w:val="0"/>
          <w:lang w:eastAsia="en-US"/>
        </w:rPr>
        <w:t>, achieved at 2 to 16 weeks, per the clinician correspondence (paragraph</w:t>
      </w:r>
      <w:r w:rsidR="00D407A7" w:rsidRPr="00350596">
        <w:rPr>
          <w:rFonts w:asciiTheme="minorHAnsi" w:hAnsiTheme="minorHAnsi"/>
          <w:bCs/>
          <w:snapToGrid w:val="0"/>
          <w:lang w:eastAsia="en-US"/>
        </w:rPr>
        <w:t xml:space="preserve"> </w:t>
      </w:r>
      <w:r w:rsidR="00D407A7" w:rsidRPr="00350596">
        <w:rPr>
          <w:rFonts w:asciiTheme="minorHAnsi" w:hAnsiTheme="minorHAnsi"/>
          <w:bCs/>
          <w:snapToGrid w:val="0"/>
          <w:lang w:eastAsia="en-US"/>
        </w:rPr>
        <w:fldChar w:fldCharType="begin"/>
      </w:r>
      <w:r w:rsidR="00D407A7" w:rsidRPr="00350596">
        <w:rPr>
          <w:rFonts w:asciiTheme="minorHAnsi" w:hAnsiTheme="minorHAnsi"/>
          <w:bCs/>
          <w:snapToGrid w:val="0"/>
          <w:lang w:eastAsia="en-US"/>
        </w:rPr>
        <w:instrText xml:space="preserve"> REF _Ref194668680 \r \h </w:instrText>
      </w:r>
      <w:r w:rsidR="00D407A7" w:rsidRPr="00350596">
        <w:rPr>
          <w:rFonts w:asciiTheme="minorHAnsi" w:hAnsiTheme="minorHAnsi"/>
          <w:bCs/>
          <w:snapToGrid w:val="0"/>
          <w:lang w:eastAsia="en-US"/>
        </w:rPr>
      </w:r>
      <w:r w:rsidR="00D407A7"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6.5</w:t>
      </w:r>
      <w:r w:rsidR="00D407A7" w:rsidRPr="00350596">
        <w:rPr>
          <w:rFonts w:asciiTheme="minorHAnsi" w:hAnsiTheme="minorHAnsi"/>
          <w:bCs/>
          <w:snapToGrid w:val="0"/>
          <w:lang w:eastAsia="en-US"/>
        </w:rPr>
        <w:fldChar w:fldCharType="end"/>
      </w:r>
      <w:r w:rsidR="00D407A7" w:rsidRPr="00350596">
        <w:rPr>
          <w:rFonts w:asciiTheme="minorHAnsi" w:hAnsiTheme="minorHAnsi"/>
          <w:bCs/>
          <w:snapToGrid w:val="0"/>
          <w:lang w:eastAsia="en-US"/>
        </w:rPr>
        <w:fldChar w:fldCharType="begin"/>
      </w:r>
      <w:r w:rsidR="00D407A7" w:rsidRPr="00350596">
        <w:rPr>
          <w:rFonts w:asciiTheme="minorHAnsi" w:hAnsiTheme="minorHAnsi"/>
          <w:bCs/>
          <w:snapToGrid w:val="0"/>
          <w:lang w:eastAsia="en-US"/>
        </w:rPr>
        <w:instrText xml:space="preserve"> REF _Ref194668772 \r \h </w:instrText>
      </w:r>
      <w:r w:rsidR="00D407A7" w:rsidRPr="00350596">
        <w:rPr>
          <w:rFonts w:asciiTheme="minorHAnsi" w:hAnsiTheme="minorHAnsi"/>
          <w:bCs/>
          <w:snapToGrid w:val="0"/>
          <w:lang w:eastAsia="en-US"/>
        </w:rPr>
      </w:r>
      <w:r w:rsidR="00D407A7"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e)</w:t>
      </w:r>
      <w:r w:rsidR="00D407A7" w:rsidRPr="00350596">
        <w:rPr>
          <w:rFonts w:asciiTheme="minorHAnsi" w:hAnsiTheme="minorHAnsi"/>
          <w:bCs/>
          <w:snapToGrid w:val="0"/>
          <w:lang w:eastAsia="en-US"/>
        </w:rPr>
        <w:fldChar w:fldCharType="end"/>
      </w:r>
      <w:r w:rsidRPr="00350596">
        <w:rPr>
          <w:rFonts w:asciiTheme="minorHAnsi" w:hAnsiTheme="minorHAnsi"/>
          <w:bCs/>
          <w:snapToGrid w:val="0"/>
          <w:lang w:eastAsia="en-US"/>
        </w:rPr>
        <w:t>.</w:t>
      </w:r>
    </w:p>
    <w:p w14:paraId="06C3FDBB" w14:textId="2049AFA1" w:rsidR="00927CFA" w:rsidRPr="00350596" w:rsidRDefault="00F16D47" w:rsidP="002100FC">
      <w:pPr>
        <w:widowControl w:val="0"/>
        <w:numPr>
          <w:ilvl w:val="1"/>
          <w:numId w:val="1"/>
        </w:numPr>
        <w:spacing w:before="120" w:after="120"/>
      </w:pPr>
      <w:bookmarkStart w:id="96" w:name="_Ref194934286"/>
      <w:r w:rsidRPr="00350596">
        <w:t>The PBAC considered it would be appropriate to list the required number of doses with repeats to enable the approximate full treatment time of 3-months for the acute severe setting, and 6-months for bridging</w:t>
      </w:r>
      <w:r w:rsidR="0082326A" w:rsidRPr="00350596">
        <w:t xml:space="preserve"> therapy</w:t>
      </w:r>
      <w:r w:rsidRPr="00350596">
        <w:t xml:space="preserve">. The PBAC also advised it would be </w:t>
      </w:r>
      <w:r w:rsidRPr="00350596">
        <w:lastRenderedPageBreak/>
        <w:t xml:space="preserve">appropriate to list </w:t>
      </w:r>
      <w:r w:rsidR="002439DF" w:rsidRPr="00350596">
        <w:t xml:space="preserve">the </w:t>
      </w:r>
      <w:r w:rsidRPr="00350596">
        <w:t>number of doses with repeats for each 6-months of treatment in the refractory setting. The PBAC acknowledged there will be some variability in the number of doses and treatment when taking into account the specific dosing regimens of each drug.</w:t>
      </w:r>
      <w:r w:rsidR="00640649" w:rsidRPr="00350596">
        <w:t xml:space="preserve"> </w:t>
      </w:r>
      <w:r w:rsidR="00CB0367" w:rsidRPr="00350596">
        <w:t>Therefore, for the FcRn inhibitors, the PBAC advised that repeat cycles should be permitted, noting the strict re-treatment criteria in some of the FcRn trials may be difficult to implement in practice.</w:t>
      </w:r>
      <w:bookmarkEnd w:id="96"/>
      <w:r w:rsidR="00D53C72">
        <w:rPr>
          <w:rFonts w:asciiTheme="minorHAnsi" w:hAnsiTheme="minorHAnsi"/>
          <w:bCs/>
          <w:snapToGrid w:val="0"/>
          <w:lang w:eastAsia="en-US"/>
        </w:rPr>
        <w:t xml:space="preserve"> </w:t>
      </w:r>
    </w:p>
    <w:p w14:paraId="27E9900E" w14:textId="77777777"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considered that the patient must be treated by (or in consultation with) a neurologist or clinical immunologist with experience in the management of gMG. The PBAC advised that there should be no age criteria in the restrictions. </w:t>
      </w:r>
    </w:p>
    <w:p w14:paraId="46482780" w14:textId="4682DD07" w:rsidR="00927CFA" w:rsidRPr="00350596" w:rsidRDefault="002A401F" w:rsidP="002100FC">
      <w:pPr>
        <w:widowControl w:val="0"/>
        <w:numPr>
          <w:ilvl w:val="1"/>
          <w:numId w:val="1"/>
        </w:numPr>
        <w:spacing w:before="120" w:after="120"/>
        <w:rPr>
          <w:rFonts w:asciiTheme="minorHAnsi" w:hAnsiTheme="minorHAnsi"/>
          <w:bCs/>
          <w:snapToGrid w:val="0"/>
          <w:lang w:eastAsia="en-US"/>
        </w:rPr>
      </w:pPr>
      <w:bookmarkStart w:id="97" w:name="_Ref194350231"/>
      <w:r w:rsidRPr="00350596">
        <w:rPr>
          <w:rFonts w:asciiTheme="minorHAnsi" w:hAnsiTheme="minorHAnsi"/>
          <w:bCs/>
          <w:snapToGrid w:val="0"/>
          <w:lang w:eastAsia="en-US"/>
        </w:rPr>
        <w:t xml:space="preserve">Due to the short timeframe of 3-months and 6-months of acute severe treatment and bridging therapy respectively, the PBAC considered switching between the new therapies would not be appropriate within these settings, however a patient may switch when moving from one phase of treatment to the next. Within the refractory setting, patients may switch as needed on the basis that any unused repeat prescriptions for the previous therapy be cancelled. </w:t>
      </w:r>
      <w:bookmarkEnd w:id="97"/>
    </w:p>
    <w:p w14:paraId="59203F1A" w14:textId="691AEEC3"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The PBAC considered that the new gMG therapies should substitute for IVIg and PLEX rather than be added on to or used in combination with these modalities. The PBAC advised that:</w:t>
      </w:r>
    </w:p>
    <w:p w14:paraId="4521ADF9" w14:textId="427CAF71" w:rsidR="00927CFA" w:rsidRPr="00350596" w:rsidRDefault="00927CFA" w:rsidP="002100FC">
      <w:pPr>
        <w:widowControl w:val="0"/>
        <w:numPr>
          <w:ilvl w:val="1"/>
          <w:numId w:val="40"/>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the PBS restriction should state that the new therapy should not be used in combination with IVIg</w:t>
      </w:r>
      <w:r w:rsidR="00FD0DC4" w:rsidRPr="00350596">
        <w:rPr>
          <w:rFonts w:asciiTheme="minorHAnsi" w:hAnsiTheme="minorHAnsi"/>
          <w:bCs/>
          <w:snapToGrid w:val="0"/>
          <w:lang w:eastAsia="en-US"/>
        </w:rPr>
        <w:t>. In particular, the PBAC noted that FcRn blockers should not be administered concomitantly with IVIg or PLEX given FcRn blockers remove circulating immunoglobulin</w:t>
      </w:r>
      <w:r w:rsidR="005071A6" w:rsidRPr="00350596">
        <w:t>;</w:t>
      </w:r>
      <w:r w:rsidRPr="00350596">
        <w:rPr>
          <w:rFonts w:asciiTheme="minorHAnsi" w:hAnsiTheme="minorHAnsi"/>
          <w:bCs/>
          <w:snapToGrid w:val="0"/>
          <w:lang w:eastAsia="en-US"/>
        </w:rPr>
        <w:t xml:space="preserve"> </w:t>
      </w:r>
    </w:p>
    <w:p w14:paraId="381C0804" w14:textId="77777777" w:rsidR="00927CFA" w:rsidRPr="00350596" w:rsidRDefault="00927CFA" w:rsidP="002100FC">
      <w:pPr>
        <w:widowControl w:val="0"/>
        <w:numPr>
          <w:ilvl w:val="1"/>
          <w:numId w:val="40"/>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there should be no requirement for the patient to have trialled prior IVIg (or PLEX) given the limitations of the available evidence for chronic IVIg; and</w:t>
      </w:r>
    </w:p>
    <w:p w14:paraId="266C6423" w14:textId="77777777" w:rsidR="00927CFA" w:rsidRPr="00350596" w:rsidRDefault="00927CFA" w:rsidP="002100FC">
      <w:pPr>
        <w:widowControl w:val="0"/>
        <w:numPr>
          <w:ilvl w:val="1"/>
          <w:numId w:val="40"/>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the prescribing criteria for IVIg should be revised to ensure use remains appropriate in the context of the availability of the new therapies.</w:t>
      </w:r>
    </w:p>
    <w:p w14:paraId="274A4EA9" w14:textId="64F245D3"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considered that chronic IVIg was a relevant comparator for providing a frame of reference for interpreting the cost-per-patient of the newer gMG therapies across both the refractory and bridging settings. The PBAC acknowledged the ESC’s concerns that, in the bridging setting, there is a lower level of certainty in the incremental benefit versus optimisation of existing therapies but considered these concerns would be adequately addressed by having a maximum duration of use in this setting, along with a combined RSA across </w:t>
      </w:r>
      <w:r w:rsidR="00F53B76" w:rsidRPr="00350596">
        <w:rPr>
          <w:rFonts w:asciiTheme="minorHAnsi" w:hAnsiTheme="minorHAnsi"/>
          <w:bCs/>
          <w:snapToGrid w:val="0"/>
          <w:lang w:eastAsia="en-US"/>
        </w:rPr>
        <w:t>three</w:t>
      </w:r>
      <w:r w:rsidRPr="00350596">
        <w:rPr>
          <w:rFonts w:asciiTheme="minorHAnsi" w:hAnsiTheme="minorHAnsi"/>
          <w:bCs/>
          <w:snapToGrid w:val="0"/>
          <w:lang w:eastAsia="en-US"/>
        </w:rPr>
        <w:t xml:space="preserve"> settings.</w:t>
      </w:r>
    </w:p>
    <w:p w14:paraId="68B868DB" w14:textId="1A2A8537"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The PBAC also considered that the four new gMG therapies (efgartigimod, rozanolixizumab, ravulizumab and zilucoplan) were all near-market comparators to each other.</w:t>
      </w:r>
    </w:p>
    <w:p w14:paraId="059B93FF" w14:textId="433C1D83"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considered there was </w:t>
      </w:r>
      <w:r w:rsidR="00114DF5" w:rsidRPr="00350596">
        <w:rPr>
          <w:rFonts w:asciiTheme="minorHAnsi" w:hAnsiTheme="minorHAnsi"/>
          <w:bCs/>
          <w:snapToGrid w:val="0"/>
          <w:lang w:eastAsia="en-US"/>
        </w:rPr>
        <w:t xml:space="preserve">insufficient </w:t>
      </w:r>
      <w:r w:rsidRPr="00350596">
        <w:rPr>
          <w:rFonts w:asciiTheme="minorHAnsi" w:hAnsiTheme="minorHAnsi"/>
          <w:bCs/>
          <w:snapToGrid w:val="0"/>
          <w:lang w:eastAsia="en-US"/>
        </w:rPr>
        <w:t>evidence to su</w:t>
      </w:r>
      <w:r w:rsidR="00E375FB" w:rsidRPr="00350596">
        <w:rPr>
          <w:rFonts w:asciiTheme="minorHAnsi" w:hAnsiTheme="minorHAnsi"/>
          <w:bCs/>
          <w:snapToGrid w:val="0"/>
          <w:lang w:eastAsia="en-US"/>
        </w:rPr>
        <w:t>pport</w:t>
      </w:r>
      <w:r w:rsidRPr="00350596">
        <w:rPr>
          <w:rFonts w:asciiTheme="minorHAnsi" w:hAnsiTheme="minorHAnsi"/>
          <w:bCs/>
          <w:snapToGrid w:val="0"/>
          <w:lang w:eastAsia="en-US"/>
        </w:rPr>
        <w:t xml:space="preserve"> superior efficacy or safety between any of the four new gMG therapies (zilucoplan, ravulizumab, efgartigimod and rozanolixizumab). The PBAC further considered that the published </w:t>
      </w:r>
      <w:r w:rsidRPr="00350596">
        <w:rPr>
          <w:rFonts w:asciiTheme="minorHAnsi" w:hAnsiTheme="minorHAnsi"/>
          <w:bCs/>
          <w:snapToGrid w:val="0"/>
          <w:lang w:eastAsia="en-US"/>
        </w:rPr>
        <w:lastRenderedPageBreak/>
        <w:t>network meta-analyses had substantial limitations, in particular the lack of accounting for the treatment effects of FcRn blockers waning over time during the off-treatment period.</w:t>
      </w:r>
      <w:r w:rsidR="00D53C72">
        <w:rPr>
          <w:rFonts w:asciiTheme="minorHAnsi" w:hAnsiTheme="minorHAnsi"/>
          <w:bCs/>
          <w:snapToGrid w:val="0"/>
          <w:lang w:eastAsia="en-US"/>
        </w:rPr>
        <w:t xml:space="preserve"> </w:t>
      </w:r>
    </w:p>
    <w:p w14:paraId="3C894978" w14:textId="2862446D" w:rsidR="00927CFA" w:rsidRPr="00350596" w:rsidRDefault="00FE18B2"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considered that, while the submission’s network meta-analysis indicated that efgartigimod was associated with a statistically significant improvement in QMG score compared to IVIg, this analysis was unreliable as it did not account for the treatment effects of efgartigimod waning over time during the off-treatment period. The PBAC noted that at least one of the submissions for a new gMG therapy claimed non-inferior efficacy and safety versus IVIg based on an indirection comparison versus NCT02473952 (later published as Bril 2024) which found no statistically significant differences in functional outcomes or serious adverse events between the new therapy and IVIg. The PBAC acknowledged the limitations of the available evidence for chronic IVIg however, based on the totality of the evidence presented across the four submissions, the PBAC considered that there was </w:t>
      </w:r>
      <w:r w:rsidR="008B6F4F" w:rsidRPr="00350596">
        <w:rPr>
          <w:rFonts w:asciiTheme="minorHAnsi" w:hAnsiTheme="minorHAnsi"/>
          <w:bCs/>
          <w:snapToGrid w:val="0"/>
          <w:lang w:eastAsia="en-US"/>
        </w:rPr>
        <w:t>insufficient</w:t>
      </w:r>
      <w:r w:rsidRPr="00350596">
        <w:rPr>
          <w:rFonts w:asciiTheme="minorHAnsi" w:hAnsiTheme="minorHAnsi"/>
          <w:bCs/>
          <w:snapToGrid w:val="0"/>
          <w:lang w:eastAsia="en-US"/>
        </w:rPr>
        <w:t xml:space="preserve"> evidence to </w:t>
      </w:r>
      <w:r w:rsidR="008B6F4F" w:rsidRPr="00350596">
        <w:rPr>
          <w:rFonts w:asciiTheme="minorHAnsi" w:hAnsiTheme="minorHAnsi"/>
          <w:bCs/>
          <w:snapToGrid w:val="0"/>
          <w:lang w:eastAsia="en-US"/>
        </w:rPr>
        <w:t>support</w:t>
      </w:r>
      <w:r w:rsidRPr="00350596">
        <w:rPr>
          <w:rFonts w:asciiTheme="minorHAnsi" w:hAnsiTheme="minorHAnsi"/>
          <w:bCs/>
          <w:snapToGrid w:val="0"/>
          <w:lang w:eastAsia="en-US"/>
        </w:rPr>
        <w:t xml:space="preserve"> superior efficacy or safety of any of the four new gMG therapies versus chronic IVIg or PLEX.</w:t>
      </w:r>
    </w:p>
    <w:p w14:paraId="79D46465" w14:textId="5E840224"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Overall, the PBAC considered that </w:t>
      </w:r>
      <w:r w:rsidR="00AD32D5" w:rsidRPr="00350596">
        <w:rPr>
          <w:rFonts w:asciiTheme="minorHAnsi" w:hAnsiTheme="minorHAnsi"/>
          <w:bCs/>
          <w:snapToGrid w:val="0"/>
          <w:lang w:eastAsia="en-US"/>
        </w:rPr>
        <w:t xml:space="preserve">efgartigimod </w:t>
      </w:r>
      <w:r w:rsidRPr="00350596">
        <w:rPr>
          <w:rFonts w:asciiTheme="minorHAnsi" w:hAnsiTheme="minorHAnsi"/>
          <w:bCs/>
          <w:snapToGrid w:val="0"/>
          <w:lang w:eastAsia="en-US"/>
        </w:rPr>
        <w:t xml:space="preserve">has non-inferior comparative effectiveness and safety versus chronic IVIg and also against zilucoplan, </w:t>
      </w:r>
      <w:r w:rsidR="00AD32D5" w:rsidRPr="00350596">
        <w:rPr>
          <w:rFonts w:asciiTheme="minorHAnsi" w:hAnsiTheme="minorHAnsi"/>
          <w:bCs/>
          <w:snapToGrid w:val="0"/>
          <w:lang w:eastAsia="en-US"/>
        </w:rPr>
        <w:t xml:space="preserve">ravulizumab </w:t>
      </w:r>
      <w:r w:rsidRPr="00350596">
        <w:rPr>
          <w:rFonts w:asciiTheme="minorHAnsi" w:hAnsiTheme="minorHAnsi"/>
          <w:bCs/>
          <w:snapToGrid w:val="0"/>
          <w:lang w:eastAsia="en-US"/>
        </w:rPr>
        <w:t xml:space="preserve">and rozanolixizumab. </w:t>
      </w:r>
    </w:p>
    <w:p w14:paraId="641C74CB" w14:textId="1F47DFB3" w:rsidR="00927CFA" w:rsidRPr="00350596" w:rsidRDefault="000122AD"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T</w:t>
      </w:r>
      <w:r w:rsidR="00927CFA" w:rsidRPr="00350596">
        <w:rPr>
          <w:rFonts w:asciiTheme="minorHAnsi" w:hAnsiTheme="minorHAnsi"/>
          <w:bCs/>
          <w:snapToGrid w:val="0"/>
          <w:lang w:eastAsia="en-US"/>
        </w:rPr>
        <w:t>he PBAC agreed with ESC that the cost-utility analysis submitted was limited by the lack of long-term data available and the complex nature of the condition. As such, the PBAC considered the uncertainty in the ICER was unlikely to be adequately resolved with further revisions to the model structure and reiterated that the cost-per-patient of IVIg could provide a frame of reference for the newer gMG therapies in a cost-comparison approach.</w:t>
      </w:r>
    </w:p>
    <w:p w14:paraId="32B9848F" w14:textId="21300621"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To determine the average IVIg dose per patient per year, the PBAC considered it would not be practical to use the dose </w:t>
      </w:r>
      <w:r w:rsidR="00001341" w:rsidRPr="00350596">
        <w:rPr>
          <w:rFonts w:asciiTheme="minorHAnsi" w:hAnsiTheme="minorHAnsi"/>
          <w:bCs/>
          <w:snapToGrid w:val="0"/>
          <w:lang w:eastAsia="en-US"/>
        </w:rPr>
        <w:t>recommend</w:t>
      </w:r>
      <w:r w:rsidRPr="00350596">
        <w:rPr>
          <w:rFonts w:asciiTheme="minorHAnsi" w:hAnsiTheme="minorHAnsi"/>
          <w:bCs/>
          <w:snapToGrid w:val="0"/>
          <w:lang w:eastAsia="en-US"/>
        </w:rPr>
        <w:t>ed in the Product Information (induction dose: 1-2g/kg and maintenance dose: 0.4-1 g/kg every 4 to 6 weeks)</w:t>
      </w:r>
      <w:r w:rsidRPr="00350596">
        <w:rPr>
          <w:rFonts w:asciiTheme="minorHAnsi" w:hAnsiTheme="minorHAnsi"/>
          <w:bCs/>
          <w:snapToGrid w:val="0"/>
          <w:vertAlign w:val="superscript"/>
          <w:lang w:eastAsia="en-US"/>
        </w:rPr>
        <w:footnoteReference w:id="6"/>
      </w:r>
      <w:r w:rsidRPr="00350596">
        <w:rPr>
          <w:rFonts w:asciiTheme="minorHAnsi" w:hAnsiTheme="minorHAnsi"/>
          <w:bCs/>
          <w:snapToGrid w:val="0"/>
          <w:lang w:eastAsia="en-US"/>
        </w:rPr>
        <w:t xml:space="preserve"> given the wide dose range specified which could result in </w:t>
      </w:r>
      <w:r w:rsidR="00494D2A" w:rsidRPr="00350596">
        <w:rPr>
          <w:rFonts w:asciiTheme="minorHAnsi" w:hAnsiTheme="minorHAnsi"/>
          <w:bCs/>
          <w:snapToGrid w:val="0"/>
          <w:lang w:eastAsia="en-US"/>
        </w:rPr>
        <w:t xml:space="preserve">annual </w:t>
      </w:r>
      <w:r w:rsidRPr="00350596">
        <w:rPr>
          <w:rFonts w:asciiTheme="minorHAnsi" w:hAnsiTheme="minorHAnsi"/>
          <w:bCs/>
          <w:snapToGrid w:val="0"/>
          <w:lang w:eastAsia="en-US"/>
        </w:rPr>
        <w:t xml:space="preserve">doses from 352g to 1,172g per patient (using an average patient weight of 83.7 kg per Bril 2024). Further, in Bril 2024 (one of the key studies of chronic IVIg in gMG), IVIg was administered every 3 weeks which does not align with the Product Information (dosing every 4 to 6 weeks). </w:t>
      </w:r>
    </w:p>
    <w:p w14:paraId="121F429C" w14:textId="13FC01D7"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98" w:name="_Ref194046300"/>
      <w:r w:rsidRPr="00350596">
        <w:rPr>
          <w:rFonts w:asciiTheme="minorHAnsi" w:hAnsiTheme="minorHAnsi"/>
          <w:bCs/>
          <w:snapToGrid w:val="0"/>
          <w:lang w:eastAsia="en-US"/>
        </w:rPr>
        <w:t xml:space="preserve">The PBAC acknowledged the NBA data </w:t>
      </w:r>
      <w:r w:rsidR="00EC4980" w:rsidRPr="00350596">
        <w:rPr>
          <w:rFonts w:asciiTheme="minorHAnsi" w:hAnsiTheme="minorHAnsi"/>
          <w:bCs/>
          <w:snapToGrid w:val="0"/>
          <w:lang w:eastAsia="en-US"/>
        </w:rPr>
        <w:t xml:space="preserve">was based on </w:t>
      </w:r>
      <w:r w:rsidR="002439DF" w:rsidRPr="00350596">
        <w:rPr>
          <w:rFonts w:asciiTheme="minorHAnsi" w:hAnsiTheme="minorHAnsi"/>
          <w:bCs/>
          <w:snapToGrid w:val="0"/>
          <w:lang w:eastAsia="en-US"/>
        </w:rPr>
        <w:t>the</w:t>
      </w:r>
      <w:r w:rsidR="00EC4980" w:rsidRPr="00350596">
        <w:rPr>
          <w:rFonts w:asciiTheme="minorHAnsi" w:hAnsiTheme="minorHAnsi"/>
          <w:bCs/>
          <w:snapToGrid w:val="0"/>
          <w:lang w:eastAsia="en-US"/>
        </w:rPr>
        <w:t xml:space="preserve"> </w:t>
      </w:r>
      <w:r w:rsidRPr="00350596">
        <w:rPr>
          <w:rFonts w:asciiTheme="minorHAnsi" w:hAnsiTheme="minorHAnsi"/>
          <w:bCs/>
          <w:snapToGrid w:val="0"/>
          <w:lang w:eastAsia="en-US"/>
        </w:rPr>
        <w:t xml:space="preserve">average dose across all severity levels </w:t>
      </w:r>
      <w:r w:rsidR="00444069" w:rsidRPr="00350596">
        <w:rPr>
          <w:rFonts w:asciiTheme="minorHAnsi" w:hAnsiTheme="minorHAnsi"/>
          <w:bCs/>
          <w:snapToGrid w:val="0"/>
          <w:lang w:eastAsia="en-US"/>
        </w:rPr>
        <w:t xml:space="preserve">and thus included </w:t>
      </w:r>
      <w:r w:rsidRPr="00350596">
        <w:rPr>
          <w:rFonts w:asciiTheme="minorHAnsi" w:hAnsiTheme="minorHAnsi"/>
          <w:bCs/>
          <w:snapToGrid w:val="0"/>
          <w:lang w:eastAsia="en-US"/>
        </w:rPr>
        <w:t>patients with less severe disease than the threshold for initiation of the new therapies</w:t>
      </w:r>
      <w:r w:rsidR="00951DBE" w:rsidRPr="00350596">
        <w:rPr>
          <w:rFonts w:asciiTheme="minorHAnsi" w:hAnsiTheme="minorHAnsi"/>
          <w:bCs/>
          <w:snapToGrid w:val="0"/>
          <w:lang w:eastAsia="en-US"/>
        </w:rPr>
        <w:t xml:space="preserve">. Further, use of the 2023-24 NBA data would not account for the varying cost per gram of IVIg (which depends on the proportion of imported IVIg, with the cost in 2023-24 being higher than previous years). </w:t>
      </w:r>
      <w:r w:rsidR="00951DBE" w:rsidRPr="00350596">
        <w:rPr>
          <w:rFonts w:asciiTheme="minorHAnsi" w:hAnsiTheme="minorHAnsi"/>
          <w:bCs/>
          <w:snapToGrid w:val="0"/>
          <w:lang w:eastAsia="en-US"/>
        </w:rPr>
        <w:lastRenderedPageBreak/>
        <w:t>Notwithstanding this, the PBAC considered the IVIg utilisation data from the NBA was the most appropriate data available for determining the average annual dose of IVIg being used in Australian patients.</w:t>
      </w:r>
      <w:r w:rsidR="00D53C72">
        <w:rPr>
          <w:rFonts w:asciiTheme="minorHAnsi" w:hAnsiTheme="minorHAnsi"/>
          <w:bCs/>
          <w:snapToGrid w:val="0"/>
          <w:lang w:eastAsia="en-US"/>
        </w:rPr>
        <w:t xml:space="preserve"> </w:t>
      </w:r>
      <w:bookmarkEnd w:id="98"/>
    </w:p>
    <w:p w14:paraId="14E4AD0A" w14:textId="6038D6A8" w:rsidR="003143D0" w:rsidRPr="00350596" w:rsidRDefault="003143D0" w:rsidP="002100FC">
      <w:pPr>
        <w:pStyle w:val="COMexecsummnumbered"/>
        <w:widowControl w:val="0"/>
        <w:numPr>
          <w:ilvl w:val="1"/>
          <w:numId w:val="1"/>
        </w:numPr>
        <w:rPr>
          <w:bCs/>
          <w:snapToGrid w:val="0"/>
          <w:lang w:eastAsia="en-US"/>
        </w:rPr>
      </w:pPr>
      <w:bookmarkStart w:id="99" w:name="_Ref194440782"/>
      <w:r w:rsidRPr="00350596">
        <w:rPr>
          <w:rFonts w:eastAsia="Times New Roman" w:cs="Arial"/>
          <w:snapToGrid w:val="0"/>
          <w:szCs w:val="24"/>
          <w:lang w:eastAsia="en-US"/>
        </w:rPr>
        <w:t xml:space="preserve">The PBAC noted that a key uncertainty in the estimation of the average annual dose of efgartigimod was the treatment-free interval between cycles (refer to paragraphs 6.104 to 6.107). Overall, the PBAC considered the estimated number of cycles per year derived from the economic model (4.04 in Year 1) was not reliable given the evaluation and the ESC had considered that the discontinuation assumptions in the model were highly uncertain and poorly justified (paragraph 6.89). The PBAC further considered the financial estimates, which had assumed 4.72 cycles per year (based on a </w:t>
      </w:r>
      <w:r w:rsidRPr="00350596">
        <w:rPr>
          <w:rFonts w:eastAsia="Times New Roman" w:cs="Arial"/>
          <w:i/>
          <w:snapToGrid w:val="0"/>
          <w:szCs w:val="24"/>
          <w:lang w:eastAsia="en-US"/>
        </w:rPr>
        <w:t>post hoc</w:t>
      </w:r>
      <w:r w:rsidRPr="00350596">
        <w:rPr>
          <w:rFonts w:eastAsia="Times New Roman" w:cs="Arial"/>
          <w:snapToGrid w:val="0"/>
          <w:szCs w:val="24"/>
          <w:lang w:eastAsia="en-US"/>
        </w:rPr>
        <w:t xml:space="preserve"> of the ADAPT trial and extensions) </w:t>
      </w:r>
      <w:r w:rsidR="0089299F" w:rsidRPr="00350596">
        <w:rPr>
          <w:rFonts w:eastAsia="Times New Roman" w:cs="Arial"/>
          <w:snapToGrid w:val="0"/>
          <w:szCs w:val="24"/>
          <w:lang w:eastAsia="en-US"/>
        </w:rPr>
        <w:t xml:space="preserve">may </w:t>
      </w:r>
      <w:r w:rsidRPr="00350596">
        <w:rPr>
          <w:rFonts w:eastAsia="Times New Roman" w:cs="Arial"/>
          <w:snapToGrid w:val="0"/>
          <w:szCs w:val="24"/>
          <w:lang w:eastAsia="en-US"/>
        </w:rPr>
        <w:t xml:space="preserve">also </w:t>
      </w:r>
      <w:r w:rsidR="0089299F" w:rsidRPr="00350596">
        <w:rPr>
          <w:rFonts w:eastAsia="Times New Roman" w:cs="Arial"/>
          <w:snapToGrid w:val="0"/>
          <w:szCs w:val="24"/>
          <w:lang w:eastAsia="en-US"/>
        </w:rPr>
        <w:t>have</w:t>
      </w:r>
      <w:r w:rsidRPr="00350596">
        <w:rPr>
          <w:rFonts w:eastAsia="Times New Roman" w:cs="Arial"/>
          <w:snapToGrid w:val="0"/>
          <w:szCs w:val="24"/>
          <w:lang w:eastAsia="en-US"/>
        </w:rPr>
        <w:t xml:space="preserve"> </w:t>
      </w:r>
      <w:r w:rsidRPr="00350596">
        <w:t xml:space="preserve">underestimated the number of </w:t>
      </w:r>
      <w:r w:rsidR="00D854BE" w:rsidRPr="00350596">
        <w:t xml:space="preserve">infusions in clinical practice given </w:t>
      </w:r>
      <w:r w:rsidRPr="00350596">
        <w:rPr>
          <w:rFonts w:eastAsia="Times New Roman" w:cs="Arial"/>
          <w:snapToGrid w:val="0"/>
          <w:szCs w:val="24"/>
          <w:lang w:eastAsia="en-US"/>
        </w:rPr>
        <w:t>longer-term data from the extension studies and real world data</w:t>
      </w:r>
      <w:bookmarkEnd w:id="99"/>
      <w:r w:rsidR="0089299F" w:rsidRPr="00350596">
        <w:t xml:space="preserve"> indicated decreasing </w:t>
      </w:r>
      <w:r w:rsidR="00D854BE" w:rsidRPr="00350596">
        <w:rPr>
          <w:rFonts w:eastAsia="Times New Roman" w:cs="Arial"/>
          <w:bCs/>
          <w:snapToGrid w:val="0"/>
          <w:szCs w:val="24"/>
          <w:lang w:eastAsia="en-US"/>
        </w:rPr>
        <w:t>treatment-free intervals over time,</w:t>
      </w:r>
      <w:r w:rsidR="0089299F" w:rsidRPr="00350596">
        <w:t xml:space="preserve"> and also given the strict retreatment criteria applied in the trial (refer to paragraph 6.114</w:t>
      </w:r>
      <w:r w:rsidR="00D854BE" w:rsidRPr="00350596">
        <w:t>). However, overall</w:t>
      </w:r>
      <w:r w:rsidR="004A70D3" w:rsidRPr="00350596">
        <w:t xml:space="preserve">, </w:t>
      </w:r>
      <w:r w:rsidR="00D854BE" w:rsidRPr="00350596">
        <w:t>the PBAC considered this</w:t>
      </w:r>
      <w:r w:rsidR="0089299F" w:rsidRPr="00350596">
        <w:t xml:space="preserve"> </w:t>
      </w:r>
      <w:r w:rsidR="00001341" w:rsidRPr="00350596">
        <w:t xml:space="preserve">latter data </w:t>
      </w:r>
      <w:r w:rsidR="0089299F" w:rsidRPr="00350596">
        <w:t xml:space="preserve">was likely the best </w:t>
      </w:r>
      <w:r w:rsidR="00001341" w:rsidRPr="00350596">
        <w:t>information</w:t>
      </w:r>
      <w:r w:rsidR="0089299F" w:rsidRPr="00350596">
        <w:t xml:space="preserve"> available</w:t>
      </w:r>
      <w:r w:rsidR="00001341" w:rsidRPr="00350596">
        <w:t>,</w:t>
      </w:r>
      <w:r w:rsidR="0089299F" w:rsidRPr="00350596">
        <w:t xml:space="preserve"> and that the risk of additional cycles should be managed through the RSA.</w:t>
      </w:r>
    </w:p>
    <w:p w14:paraId="544B1A49" w14:textId="5AC3641E"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100" w:name="_Ref194930007"/>
      <w:r w:rsidRPr="00350596">
        <w:rPr>
          <w:rFonts w:asciiTheme="minorHAnsi" w:hAnsiTheme="minorHAnsi"/>
          <w:bCs/>
          <w:snapToGrid w:val="0"/>
          <w:lang w:eastAsia="en-US"/>
        </w:rPr>
        <w:t>The PBAC considered that a cost-comparison versus IVIg would need to be based on the drug cost per patient per year accounting for:</w:t>
      </w:r>
      <w:bookmarkEnd w:id="100"/>
    </w:p>
    <w:p w14:paraId="603C4486" w14:textId="21DE280E" w:rsidR="00927CFA" w:rsidRPr="00350596" w:rsidRDefault="00927CFA" w:rsidP="002100FC">
      <w:pPr>
        <w:widowControl w:val="0"/>
        <w:numPr>
          <w:ilvl w:val="1"/>
          <w:numId w:val="42"/>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the total average annual dose of IVIg per patient observed in the NBA data (for maintenance gMG) of 541.1 grams per year</w:t>
      </w:r>
      <w:r w:rsidR="005A10D7" w:rsidRPr="00350596">
        <w:rPr>
          <w:rFonts w:asciiTheme="minorHAnsi" w:hAnsiTheme="minorHAnsi"/>
          <w:bCs/>
          <w:snapToGrid w:val="0"/>
          <w:lang w:eastAsia="en-US"/>
        </w:rPr>
        <w:t xml:space="preserve"> (shown in</w:t>
      </w:r>
      <w:r w:rsidR="00B548BF" w:rsidRPr="00350596">
        <w:rPr>
          <w:rFonts w:asciiTheme="minorHAnsi" w:hAnsiTheme="minorHAnsi"/>
          <w:bCs/>
          <w:snapToGrid w:val="0"/>
          <w:lang w:eastAsia="en-US"/>
        </w:rPr>
        <w:t xml:space="preserve"> </w:t>
      </w:r>
      <w:r w:rsidR="00B548BF" w:rsidRPr="00350596">
        <w:rPr>
          <w:rFonts w:asciiTheme="minorHAnsi" w:hAnsiTheme="minorHAnsi"/>
          <w:bCs/>
          <w:snapToGrid w:val="0"/>
          <w:lang w:eastAsia="en-US"/>
        </w:rPr>
        <w:fldChar w:fldCharType="begin"/>
      </w:r>
      <w:r w:rsidR="00B548BF" w:rsidRPr="00350596">
        <w:rPr>
          <w:rFonts w:asciiTheme="minorHAnsi" w:hAnsiTheme="minorHAnsi"/>
          <w:bCs/>
          <w:snapToGrid w:val="0"/>
          <w:lang w:eastAsia="en-US"/>
        </w:rPr>
        <w:instrText xml:space="preserve"> REF _Ref190678974 \h  \* MERGEFORMAT </w:instrText>
      </w:r>
      <w:r w:rsidR="00B548BF" w:rsidRPr="00350596">
        <w:rPr>
          <w:rFonts w:asciiTheme="minorHAnsi" w:hAnsiTheme="minorHAnsi"/>
          <w:bCs/>
          <w:snapToGrid w:val="0"/>
          <w:lang w:eastAsia="en-US"/>
        </w:rPr>
      </w:r>
      <w:r w:rsidR="00B548BF" w:rsidRPr="00350596">
        <w:rPr>
          <w:rFonts w:asciiTheme="minorHAnsi" w:hAnsiTheme="minorHAnsi"/>
          <w:bCs/>
          <w:snapToGrid w:val="0"/>
          <w:lang w:eastAsia="en-US"/>
        </w:rPr>
        <w:fldChar w:fldCharType="separate"/>
      </w:r>
      <w:r w:rsidR="002B16A5" w:rsidRPr="002B16A5">
        <w:rPr>
          <w:rFonts w:asciiTheme="minorHAnsi" w:hAnsiTheme="minorHAnsi"/>
          <w:bCs/>
          <w:snapToGrid w:val="0"/>
          <w:lang w:eastAsia="en-US"/>
        </w:rPr>
        <w:t>Table 18</w:t>
      </w:r>
      <w:r w:rsidR="00B548BF" w:rsidRPr="00350596">
        <w:rPr>
          <w:rFonts w:asciiTheme="minorHAnsi" w:hAnsiTheme="minorHAnsi"/>
          <w:bCs/>
          <w:snapToGrid w:val="0"/>
          <w:lang w:eastAsia="en-US"/>
        </w:rPr>
        <w:fldChar w:fldCharType="end"/>
      </w:r>
      <w:r w:rsidR="005A10D7" w:rsidRPr="00350596">
        <w:rPr>
          <w:rFonts w:asciiTheme="minorHAnsi" w:hAnsiTheme="minorHAnsi"/>
          <w:bCs/>
          <w:snapToGrid w:val="0"/>
          <w:lang w:eastAsia="en-US"/>
        </w:rPr>
        <w:t>)</w:t>
      </w:r>
      <w:r w:rsidRPr="00350596">
        <w:rPr>
          <w:rFonts w:asciiTheme="minorHAnsi" w:hAnsiTheme="minorHAnsi"/>
          <w:bCs/>
          <w:snapToGrid w:val="0"/>
          <w:lang w:eastAsia="en-US"/>
        </w:rPr>
        <w:t>.</w:t>
      </w:r>
    </w:p>
    <w:p w14:paraId="00781F6F" w14:textId="6FECBD07" w:rsidR="00BA3856" w:rsidRPr="00350596" w:rsidRDefault="00927CFA" w:rsidP="002100FC">
      <w:pPr>
        <w:widowControl w:val="0"/>
        <w:numPr>
          <w:ilvl w:val="1"/>
          <w:numId w:val="42"/>
        </w:numPr>
        <w:spacing w:before="120" w:after="120"/>
        <w:ind w:left="1134"/>
        <w:rPr>
          <w:rFonts w:asciiTheme="minorHAnsi" w:hAnsiTheme="minorHAnsi"/>
          <w:bCs/>
          <w:snapToGrid w:val="0"/>
          <w:lang w:eastAsia="en-US"/>
        </w:rPr>
      </w:pPr>
      <w:r w:rsidRPr="00350596">
        <w:rPr>
          <w:rFonts w:asciiTheme="minorHAnsi" w:hAnsiTheme="minorHAnsi"/>
          <w:snapToGrid w:val="0"/>
          <w:lang w:eastAsia="en-US"/>
        </w:rPr>
        <w:t xml:space="preserve">the </w:t>
      </w:r>
      <w:r w:rsidR="00CA66A2" w:rsidRPr="00350596">
        <w:rPr>
          <w:rFonts w:asciiTheme="minorHAnsi" w:hAnsiTheme="minorHAnsi"/>
          <w:snapToGrid w:val="0"/>
          <w:lang w:eastAsia="en-US"/>
        </w:rPr>
        <w:t>efgartigimod</w:t>
      </w:r>
      <w:r w:rsidRPr="00350596">
        <w:rPr>
          <w:rFonts w:asciiTheme="minorHAnsi" w:hAnsiTheme="minorHAnsi"/>
          <w:snapToGrid w:val="0"/>
          <w:lang w:eastAsia="en-US"/>
        </w:rPr>
        <w:t xml:space="preserve"> dose recommended in the product information assuming the same weight distribution as patients in the trial (i.e. </w:t>
      </w:r>
      <w:r w:rsidR="002F1EB0" w:rsidRPr="00350596">
        <w:rPr>
          <w:rFonts w:asciiTheme="minorHAnsi" w:hAnsiTheme="minorHAnsi"/>
          <w:snapToGrid w:val="0"/>
          <w:lang w:eastAsia="en-US"/>
        </w:rPr>
        <w:t>2.4 vials per infusion and 4</w:t>
      </w:r>
      <w:r w:rsidR="00C47CBE" w:rsidRPr="00350596">
        <w:rPr>
          <w:rFonts w:asciiTheme="minorHAnsi" w:hAnsiTheme="minorHAnsi"/>
          <w:snapToGrid w:val="0"/>
          <w:lang w:eastAsia="en-US"/>
        </w:rPr>
        <w:t> </w:t>
      </w:r>
      <w:r w:rsidR="002F1EB0" w:rsidRPr="00350596">
        <w:rPr>
          <w:rFonts w:asciiTheme="minorHAnsi" w:hAnsiTheme="minorHAnsi"/>
          <w:snapToGrid w:val="0"/>
          <w:lang w:eastAsia="en-US"/>
        </w:rPr>
        <w:t>infusions per cycle)</w:t>
      </w:r>
      <w:r w:rsidRPr="00350596">
        <w:rPr>
          <w:rFonts w:asciiTheme="minorHAnsi" w:hAnsiTheme="minorHAnsi"/>
          <w:snapToGrid w:val="0"/>
          <w:lang w:eastAsia="en-US"/>
        </w:rPr>
        <w:t xml:space="preserve"> </w:t>
      </w:r>
      <w:r w:rsidR="002F1EB0" w:rsidRPr="00350596">
        <w:rPr>
          <w:rFonts w:asciiTheme="minorHAnsi" w:hAnsiTheme="minorHAnsi"/>
          <w:snapToGrid w:val="0"/>
          <w:lang w:eastAsia="en-US"/>
        </w:rPr>
        <w:t xml:space="preserve">with the </w:t>
      </w:r>
      <w:r w:rsidR="00CA66A2" w:rsidRPr="00350596">
        <w:rPr>
          <w:rFonts w:asciiTheme="minorHAnsi" w:hAnsiTheme="minorHAnsi"/>
          <w:snapToGrid w:val="0"/>
          <w:lang w:eastAsia="en-US"/>
        </w:rPr>
        <w:t xml:space="preserve">number of </w:t>
      </w:r>
      <w:r w:rsidR="002F1EB0" w:rsidRPr="00350596">
        <w:rPr>
          <w:rFonts w:asciiTheme="minorHAnsi" w:hAnsiTheme="minorHAnsi"/>
          <w:snapToGrid w:val="0"/>
          <w:lang w:eastAsia="en-US"/>
        </w:rPr>
        <w:t>cycles</w:t>
      </w:r>
      <w:r w:rsidR="00CA66A2" w:rsidRPr="00350596">
        <w:rPr>
          <w:rFonts w:asciiTheme="minorHAnsi" w:hAnsiTheme="minorHAnsi"/>
          <w:snapToGrid w:val="0"/>
          <w:lang w:eastAsia="en-US"/>
        </w:rPr>
        <w:t xml:space="preserve"> per patient per year </w:t>
      </w:r>
      <w:r w:rsidR="00C72E47" w:rsidRPr="00350596">
        <w:rPr>
          <w:rFonts w:asciiTheme="minorHAnsi" w:hAnsiTheme="minorHAnsi"/>
          <w:bCs/>
          <w:snapToGrid w:val="0"/>
          <w:lang w:eastAsia="en-US"/>
        </w:rPr>
        <w:t xml:space="preserve">based on the </w:t>
      </w:r>
      <w:r w:rsidR="00C72E47" w:rsidRPr="00350596">
        <w:rPr>
          <w:rFonts w:asciiTheme="minorHAnsi" w:hAnsiTheme="minorHAnsi"/>
          <w:bCs/>
          <w:i/>
          <w:iCs/>
          <w:snapToGrid w:val="0"/>
          <w:lang w:eastAsia="en-US"/>
        </w:rPr>
        <w:t>post hoc</w:t>
      </w:r>
      <w:r w:rsidR="00C72E47" w:rsidRPr="00350596">
        <w:rPr>
          <w:rFonts w:asciiTheme="minorHAnsi" w:hAnsiTheme="minorHAnsi"/>
          <w:bCs/>
          <w:snapToGrid w:val="0"/>
          <w:lang w:eastAsia="en-US"/>
        </w:rPr>
        <w:t xml:space="preserve"> analysis of the average cycles per year (4.72) in AChR+ patients with ≥</w:t>
      </w:r>
      <w:r w:rsidR="00C47CBE" w:rsidRPr="00350596">
        <w:rPr>
          <w:rFonts w:asciiTheme="minorHAnsi" w:hAnsiTheme="minorHAnsi"/>
          <w:bCs/>
          <w:snapToGrid w:val="0"/>
          <w:lang w:eastAsia="en-US"/>
        </w:rPr>
        <w:t> </w:t>
      </w:r>
      <w:r w:rsidR="00C72E47" w:rsidRPr="00350596">
        <w:rPr>
          <w:rFonts w:asciiTheme="minorHAnsi" w:hAnsiTheme="minorHAnsi"/>
          <w:bCs/>
          <w:snapToGrid w:val="0"/>
          <w:lang w:eastAsia="en-US"/>
        </w:rPr>
        <w:t>1</w:t>
      </w:r>
      <w:r w:rsidR="00C47CBE" w:rsidRPr="00350596">
        <w:rPr>
          <w:rFonts w:asciiTheme="minorHAnsi" w:hAnsiTheme="minorHAnsi"/>
          <w:bCs/>
          <w:snapToGrid w:val="0"/>
          <w:lang w:eastAsia="en-US"/>
        </w:rPr>
        <w:t> </w:t>
      </w:r>
      <w:r w:rsidR="00C72E47" w:rsidRPr="00350596">
        <w:rPr>
          <w:rFonts w:asciiTheme="minorHAnsi" w:hAnsiTheme="minorHAnsi"/>
          <w:bCs/>
          <w:snapToGrid w:val="0"/>
          <w:lang w:eastAsia="en-US"/>
        </w:rPr>
        <w:t xml:space="preserve">year of follow-up in the ADAPT trial and extension, as used in the submission’s financial estimates. Based on these assumptions the average annual dose of </w:t>
      </w:r>
      <w:r w:rsidR="004E1B93" w:rsidRPr="00350596">
        <w:rPr>
          <w:rFonts w:asciiTheme="minorHAnsi" w:hAnsiTheme="minorHAnsi"/>
          <w:snapToGrid w:val="0"/>
          <w:lang w:eastAsia="en-US"/>
        </w:rPr>
        <w:t xml:space="preserve">efgartigimod </w:t>
      </w:r>
      <w:r w:rsidR="00C72E47" w:rsidRPr="00350596">
        <w:rPr>
          <w:rFonts w:asciiTheme="minorHAnsi" w:hAnsiTheme="minorHAnsi"/>
          <w:bCs/>
          <w:snapToGrid w:val="0"/>
          <w:lang w:eastAsia="en-US"/>
        </w:rPr>
        <w:t>would be: 18,148 mg per year.</w:t>
      </w:r>
    </w:p>
    <w:p w14:paraId="264EF331" w14:textId="6DE18A00" w:rsidR="00927CFA" w:rsidRPr="00350596" w:rsidRDefault="00927CFA" w:rsidP="002100FC">
      <w:pPr>
        <w:widowControl w:val="0"/>
        <w:numPr>
          <w:ilvl w:val="1"/>
          <w:numId w:val="42"/>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a small premium to account for the administration benefits associated with the newer therapies compared with IVIg, noting the extensive administration requirements associated with IVIg, with an infusion time of around 2 to 4 hours and up to 8 hours, which have resource implications and a direct impact on patients and carers.</w:t>
      </w:r>
    </w:p>
    <w:p w14:paraId="19C66409" w14:textId="154703E9"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noted the results of a cost-per-responder analysis versus placebo which assumed the same drug cost per patient as IVIg (based on the NBA data), along with the average incremental response rate across the four gMG trials (refer to paragraph </w:t>
      </w:r>
      <w:r w:rsidRPr="00350596">
        <w:rPr>
          <w:rFonts w:asciiTheme="minorHAnsi" w:hAnsiTheme="minorHAnsi"/>
          <w:bCs/>
          <w:snapToGrid w:val="0"/>
          <w:lang w:eastAsia="en-US"/>
        </w:rPr>
        <w:fldChar w:fldCharType="begin"/>
      </w:r>
      <w:r w:rsidRPr="00350596">
        <w:rPr>
          <w:rFonts w:asciiTheme="minorHAnsi" w:hAnsiTheme="minorHAnsi"/>
          <w:bCs/>
          <w:snapToGrid w:val="0"/>
          <w:lang w:eastAsia="en-US"/>
        </w:rPr>
        <w:instrText xml:space="preserve"> REF _Ref193117743 \r \h  \* MERGEFORMAT </w:instrText>
      </w:r>
      <w:r w:rsidRPr="00350596">
        <w:rPr>
          <w:rFonts w:asciiTheme="minorHAnsi" w:hAnsiTheme="minorHAnsi"/>
          <w:bCs/>
          <w:snapToGrid w:val="0"/>
          <w:lang w:eastAsia="en-US"/>
        </w:rPr>
      </w:r>
      <w:r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6.112</w:t>
      </w:r>
      <w:r w:rsidRPr="00350596">
        <w:rPr>
          <w:rFonts w:asciiTheme="minorHAnsi" w:hAnsiTheme="minorHAnsi"/>
          <w:bCs/>
          <w:snapToGrid w:val="0"/>
          <w:lang w:eastAsia="en-US"/>
        </w:rPr>
        <w:fldChar w:fldCharType="end"/>
      </w:r>
      <w:r w:rsidRPr="00350596">
        <w:rPr>
          <w:rFonts w:asciiTheme="minorHAnsi" w:hAnsiTheme="minorHAnsi"/>
          <w:bCs/>
          <w:snapToGrid w:val="0"/>
          <w:lang w:eastAsia="en-US"/>
        </w:rPr>
        <w:t xml:space="preserve">). The PBAC considered cost-per-responder analysis supported that the new therapies would be cost effective if priced based on </w:t>
      </w:r>
      <w:r w:rsidR="00E1642B" w:rsidRPr="00350596">
        <w:rPr>
          <w:rFonts w:asciiTheme="minorHAnsi" w:hAnsiTheme="minorHAnsi"/>
          <w:bCs/>
          <w:snapToGrid w:val="0"/>
          <w:lang w:eastAsia="en-US"/>
        </w:rPr>
        <w:t xml:space="preserve">the </w:t>
      </w:r>
      <w:r w:rsidRPr="00350596">
        <w:rPr>
          <w:rFonts w:asciiTheme="minorHAnsi" w:hAnsiTheme="minorHAnsi"/>
          <w:bCs/>
          <w:snapToGrid w:val="0"/>
          <w:lang w:eastAsia="en-US"/>
        </w:rPr>
        <w:t>IVIg cost as outlined above.</w:t>
      </w:r>
    </w:p>
    <w:p w14:paraId="6AF85B46" w14:textId="462F0042"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101" w:name="_Ref194349212"/>
      <w:r w:rsidRPr="00350596">
        <w:rPr>
          <w:rFonts w:asciiTheme="minorHAnsi" w:hAnsiTheme="minorHAnsi"/>
          <w:bCs/>
          <w:snapToGrid w:val="0"/>
          <w:lang w:eastAsia="en-US"/>
        </w:rPr>
        <w:t xml:space="preserve">The PBAC advised that the financial estimates should </w:t>
      </w:r>
      <w:r w:rsidR="00E027DA" w:rsidRPr="00350596">
        <w:rPr>
          <w:rFonts w:asciiTheme="minorHAnsi" w:hAnsiTheme="minorHAnsi"/>
          <w:bCs/>
          <w:snapToGrid w:val="0"/>
          <w:lang w:eastAsia="en-US"/>
        </w:rPr>
        <w:t>take</w:t>
      </w:r>
      <w:r w:rsidRPr="00350596">
        <w:rPr>
          <w:rFonts w:asciiTheme="minorHAnsi" w:hAnsiTheme="minorHAnsi"/>
          <w:bCs/>
          <w:snapToGrid w:val="0"/>
          <w:lang w:eastAsia="en-US"/>
        </w:rPr>
        <w:t xml:space="preserve"> the total number of patients accessing IVIg as gMG maintenance therapy</w:t>
      </w:r>
      <w:r w:rsidR="00E027DA" w:rsidRPr="00350596">
        <w:rPr>
          <w:rFonts w:asciiTheme="minorHAnsi" w:hAnsiTheme="minorHAnsi"/>
          <w:bCs/>
          <w:snapToGrid w:val="0"/>
          <w:lang w:eastAsia="en-US"/>
        </w:rPr>
        <w:t xml:space="preserve"> as a starting point</w:t>
      </w:r>
      <w:r w:rsidRPr="00350596">
        <w:rPr>
          <w:rFonts w:asciiTheme="minorHAnsi" w:hAnsiTheme="minorHAnsi"/>
          <w:bCs/>
          <w:snapToGrid w:val="0"/>
          <w:lang w:eastAsia="en-US"/>
        </w:rPr>
        <w:t xml:space="preserve">, which was 1,324 in 2023-24 (refer to </w:t>
      </w:r>
      <w:r w:rsidRPr="00350596">
        <w:rPr>
          <w:rFonts w:asciiTheme="minorHAnsi" w:hAnsiTheme="minorHAnsi"/>
          <w:bCs/>
          <w:snapToGrid w:val="0"/>
          <w:lang w:eastAsia="en-US"/>
        </w:rPr>
        <w:fldChar w:fldCharType="begin"/>
      </w:r>
      <w:r w:rsidRPr="00350596">
        <w:rPr>
          <w:rFonts w:asciiTheme="minorHAnsi" w:hAnsiTheme="minorHAnsi"/>
          <w:bCs/>
          <w:snapToGrid w:val="0"/>
          <w:lang w:eastAsia="en-US"/>
        </w:rPr>
        <w:instrText xml:space="preserve"> REF _Ref193702983 \h  \* MERGEFORMAT </w:instrText>
      </w:r>
      <w:r w:rsidRPr="00350596">
        <w:rPr>
          <w:rFonts w:asciiTheme="minorHAnsi" w:hAnsiTheme="minorHAnsi"/>
          <w:bCs/>
          <w:snapToGrid w:val="0"/>
          <w:lang w:eastAsia="en-US"/>
        </w:rPr>
      </w:r>
      <w:r w:rsidRPr="00350596">
        <w:rPr>
          <w:rFonts w:asciiTheme="minorHAnsi" w:hAnsiTheme="minorHAnsi"/>
          <w:bCs/>
          <w:snapToGrid w:val="0"/>
          <w:lang w:eastAsia="en-US"/>
        </w:rPr>
        <w:fldChar w:fldCharType="separate"/>
      </w:r>
      <w:r w:rsidR="002B16A5" w:rsidRPr="002B16A5">
        <w:rPr>
          <w:rFonts w:asciiTheme="minorHAnsi" w:hAnsiTheme="minorHAnsi"/>
          <w:bCs/>
          <w:snapToGrid w:val="0"/>
          <w:lang w:eastAsia="en-US"/>
        </w:rPr>
        <w:t>Table 17</w:t>
      </w:r>
      <w:r w:rsidRPr="00350596">
        <w:rPr>
          <w:rFonts w:asciiTheme="minorHAnsi" w:hAnsiTheme="minorHAnsi"/>
          <w:bCs/>
          <w:snapToGrid w:val="0"/>
          <w:lang w:eastAsia="en-US"/>
        </w:rPr>
        <w:fldChar w:fldCharType="end"/>
      </w:r>
      <w:r w:rsidRPr="00350596">
        <w:rPr>
          <w:rFonts w:asciiTheme="minorHAnsi" w:hAnsiTheme="minorHAnsi"/>
          <w:bCs/>
          <w:snapToGrid w:val="0"/>
          <w:lang w:eastAsia="en-US"/>
        </w:rPr>
        <w:t xml:space="preserve">). The PBAC considered the following should </w:t>
      </w:r>
      <w:r w:rsidR="00E027DA" w:rsidRPr="00350596">
        <w:rPr>
          <w:rFonts w:asciiTheme="minorHAnsi" w:hAnsiTheme="minorHAnsi"/>
          <w:bCs/>
          <w:snapToGrid w:val="0"/>
          <w:lang w:eastAsia="en-US"/>
        </w:rPr>
        <w:t xml:space="preserve">then </w:t>
      </w:r>
      <w:r w:rsidRPr="00350596">
        <w:rPr>
          <w:rFonts w:asciiTheme="minorHAnsi" w:hAnsiTheme="minorHAnsi"/>
          <w:bCs/>
          <w:snapToGrid w:val="0"/>
          <w:lang w:eastAsia="en-US"/>
        </w:rPr>
        <w:t xml:space="preserve">be </w:t>
      </w:r>
      <w:r w:rsidRPr="00350596">
        <w:rPr>
          <w:rFonts w:asciiTheme="minorHAnsi" w:hAnsiTheme="minorHAnsi"/>
          <w:bCs/>
          <w:snapToGrid w:val="0"/>
          <w:lang w:eastAsia="en-US"/>
        </w:rPr>
        <w:lastRenderedPageBreak/>
        <w:t xml:space="preserve">applied: market growth (of around 4% per year, based on the last five years of IVIg data); and the proportion of patients whose gMG is AChR+ (of around 86%, based on the pooled estimates provided in one of the submissions, noting this is similar to the </w:t>
      </w:r>
      <w:r w:rsidR="00640649" w:rsidRPr="00350596">
        <w:rPr>
          <w:rFonts w:asciiTheme="minorHAnsi" w:hAnsiTheme="minorHAnsi"/>
          <w:bCs/>
          <w:snapToGrid w:val="0"/>
          <w:lang w:eastAsia="en-US"/>
        </w:rPr>
        <w:t xml:space="preserve">submission’s </w:t>
      </w:r>
      <w:r w:rsidRPr="00350596">
        <w:rPr>
          <w:rFonts w:asciiTheme="minorHAnsi" w:hAnsiTheme="minorHAnsi"/>
          <w:bCs/>
          <w:snapToGrid w:val="0"/>
          <w:lang w:eastAsia="en-US"/>
        </w:rPr>
        <w:t>estimate of 8</w:t>
      </w:r>
      <w:r w:rsidR="00640649" w:rsidRPr="00350596">
        <w:rPr>
          <w:rFonts w:asciiTheme="minorHAnsi" w:hAnsiTheme="minorHAnsi"/>
          <w:bCs/>
          <w:snapToGrid w:val="0"/>
          <w:lang w:eastAsia="en-US"/>
        </w:rPr>
        <w:t>5</w:t>
      </w:r>
      <w:r w:rsidRPr="00350596">
        <w:rPr>
          <w:rFonts w:asciiTheme="minorHAnsi" w:hAnsiTheme="minorHAnsi"/>
          <w:bCs/>
          <w:snapToGrid w:val="0"/>
          <w:lang w:eastAsia="en-US"/>
        </w:rPr>
        <w:t>%).</w:t>
      </w:r>
      <w:bookmarkEnd w:id="101"/>
    </w:p>
    <w:p w14:paraId="54D27A80" w14:textId="77777777"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The PBAC advised that uptake should be based on the new therapies as a group, and should be from two key groups within existing IVIg users:</w:t>
      </w:r>
    </w:p>
    <w:p w14:paraId="29B253E6" w14:textId="3EF848FB" w:rsidR="00927CFA" w:rsidRPr="00350596" w:rsidRDefault="00927CFA" w:rsidP="002100FC">
      <w:pPr>
        <w:widowControl w:val="0"/>
        <w:numPr>
          <w:ilvl w:val="1"/>
          <w:numId w:val="43"/>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uptake from new patients and existing IVIg users with ongoing functional impairment</w:t>
      </w:r>
      <w:r w:rsidR="008C2713" w:rsidRPr="00350596">
        <w:rPr>
          <w:rFonts w:asciiTheme="minorHAnsi" w:hAnsiTheme="minorHAnsi"/>
          <w:bCs/>
          <w:snapToGrid w:val="0"/>
          <w:lang w:eastAsia="en-US"/>
        </w:rPr>
        <w:t xml:space="preserve"> (i.e. 33.3% of the AChR+ patient cohort, </w:t>
      </w:r>
      <w:r w:rsidR="002439DF" w:rsidRPr="00350596">
        <w:rPr>
          <w:rFonts w:asciiTheme="minorHAnsi" w:hAnsiTheme="minorHAnsi"/>
          <w:bCs/>
          <w:snapToGrid w:val="0"/>
          <w:lang w:eastAsia="en-US"/>
        </w:rPr>
        <w:fldChar w:fldCharType="begin"/>
      </w:r>
      <w:r w:rsidR="002439DF" w:rsidRPr="00350596">
        <w:rPr>
          <w:rFonts w:asciiTheme="minorHAnsi" w:hAnsiTheme="minorHAnsi"/>
          <w:bCs/>
          <w:snapToGrid w:val="0"/>
          <w:lang w:eastAsia="en-US"/>
        </w:rPr>
        <w:instrText xml:space="preserve"> REF _Ref193702983 \h </w:instrText>
      </w:r>
      <w:r w:rsidR="002439DF" w:rsidRPr="00350596">
        <w:rPr>
          <w:rFonts w:asciiTheme="minorHAnsi" w:hAnsiTheme="minorHAnsi"/>
          <w:bCs/>
          <w:snapToGrid w:val="0"/>
          <w:lang w:eastAsia="en-US"/>
        </w:rPr>
      </w:r>
      <w:r w:rsidR="002439DF" w:rsidRPr="00350596">
        <w:rPr>
          <w:rFonts w:asciiTheme="minorHAnsi" w:hAnsiTheme="minorHAnsi"/>
          <w:bCs/>
          <w:snapToGrid w:val="0"/>
          <w:lang w:eastAsia="en-US"/>
        </w:rPr>
        <w:fldChar w:fldCharType="separate"/>
      </w:r>
      <w:r w:rsidR="002B16A5" w:rsidRPr="00350596">
        <w:rPr>
          <w:szCs w:val="20"/>
        </w:rPr>
        <w:t xml:space="preserve">Table </w:t>
      </w:r>
      <w:r w:rsidR="002B16A5">
        <w:rPr>
          <w:noProof/>
          <w:szCs w:val="20"/>
        </w:rPr>
        <w:t>17</w:t>
      </w:r>
      <w:r w:rsidR="002439DF" w:rsidRPr="00350596">
        <w:rPr>
          <w:rFonts w:asciiTheme="minorHAnsi" w:hAnsiTheme="minorHAnsi"/>
          <w:bCs/>
          <w:snapToGrid w:val="0"/>
          <w:lang w:eastAsia="en-US"/>
        </w:rPr>
        <w:fldChar w:fldCharType="end"/>
      </w:r>
      <w:r w:rsidR="008C2713" w:rsidRPr="00350596">
        <w:rPr>
          <w:rFonts w:asciiTheme="minorHAnsi" w:hAnsiTheme="minorHAnsi"/>
          <w:bCs/>
          <w:snapToGrid w:val="0"/>
          <w:lang w:eastAsia="en-US"/>
        </w:rPr>
        <w:t>)</w:t>
      </w:r>
      <w:r w:rsidRPr="00350596">
        <w:rPr>
          <w:rFonts w:asciiTheme="minorHAnsi" w:hAnsiTheme="minorHAnsi"/>
          <w:bCs/>
          <w:snapToGrid w:val="0"/>
          <w:lang w:eastAsia="en-US"/>
        </w:rPr>
        <w:t xml:space="preserve">. This group would likely have relatively high uptake of the new therapies (potentially up to </w:t>
      </w:r>
      <w:r w:rsidR="00823FDB" w:rsidRPr="002B16A5">
        <w:rPr>
          <w:rFonts w:asciiTheme="minorHAnsi" w:hAnsiTheme="minorHAnsi"/>
          <w:bCs/>
          <w:snapToGrid w:val="0"/>
          <w:color w:val="000000"/>
          <w:w w:val="15"/>
          <w:shd w:val="solid" w:color="000000" w:fill="000000"/>
          <w:fitText w:val="-20" w:id="-691795955"/>
          <w:lang w:eastAsia="en-US"/>
          <w14:textFill>
            <w14:solidFill>
              <w14:srgbClr w14:val="000000">
                <w14:alpha w14:val="100000"/>
              </w14:srgbClr>
            </w14:solidFill>
          </w14:textFill>
        </w:rPr>
        <w:t>|</w:t>
      </w:r>
      <w:r w:rsidR="00D53C72" w:rsidRPr="002B16A5">
        <w:rPr>
          <w:rFonts w:asciiTheme="minorHAnsi" w:hAnsiTheme="minorHAnsi"/>
          <w:bCs/>
          <w:snapToGrid w:val="0"/>
          <w:color w:val="000000"/>
          <w:w w:val="15"/>
          <w:shd w:val="solid" w:color="000000" w:fill="000000"/>
          <w:fitText w:val="-20" w:id="-691795955"/>
          <w:lang w:eastAsia="en-US"/>
          <w14:textFill>
            <w14:solidFill>
              <w14:srgbClr w14:val="000000">
                <w14:alpha w14:val="100000"/>
              </w14:srgbClr>
            </w14:solidFill>
          </w14:textFill>
        </w:rPr>
        <w:t xml:space="preserve"> </w:t>
      </w:r>
      <w:r w:rsidR="00823FDB" w:rsidRPr="002B16A5">
        <w:rPr>
          <w:rFonts w:asciiTheme="minorHAnsi" w:hAnsiTheme="minorHAnsi"/>
          <w:bCs/>
          <w:snapToGrid w:val="0"/>
          <w:color w:val="000000"/>
          <w:spacing w:val="-61"/>
          <w:w w:val="15"/>
          <w:shd w:val="solid" w:color="000000" w:fill="000000"/>
          <w:fitText w:val="-20" w:id="-691795955"/>
          <w:lang w:eastAsia="en-US"/>
          <w14:textFill>
            <w14:solidFill>
              <w14:srgbClr w14:val="000000">
                <w14:alpha w14:val="100000"/>
              </w14:srgbClr>
            </w14:solidFill>
          </w14:textFill>
        </w:rPr>
        <w:t>|</w:t>
      </w:r>
      <w:r w:rsidRPr="00350596">
        <w:rPr>
          <w:rFonts w:asciiTheme="minorHAnsi" w:hAnsiTheme="minorHAnsi"/>
          <w:bCs/>
          <w:snapToGrid w:val="0"/>
          <w:lang w:eastAsia="en-US"/>
        </w:rPr>
        <w:t xml:space="preserve">%). </w:t>
      </w:r>
    </w:p>
    <w:p w14:paraId="39495866" w14:textId="4B1E8D7C" w:rsidR="00927CFA" w:rsidRPr="00350596" w:rsidRDefault="00927CFA" w:rsidP="002100FC">
      <w:pPr>
        <w:widowControl w:val="0"/>
        <w:numPr>
          <w:ilvl w:val="1"/>
          <w:numId w:val="43"/>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 xml:space="preserve">uptake from prevalent patients </w:t>
      </w:r>
      <w:r w:rsidR="00D91221" w:rsidRPr="00350596">
        <w:rPr>
          <w:rFonts w:asciiTheme="minorHAnsi" w:hAnsiTheme="minorHAnsi"/>
          <w:bCs/>
          <w:snapToGrid w:val="0"/>
          <w:lang w:eastAsia="en-US"/>
        </w:rPr>
        <w:t xml:space="preserve">(i.e. the remaining </w:t>
      </w:r>
      <w:r w:rsidR="00823FDB" w:rsidRPr="002B16A5">
        <w:rPr>
          <w:rFonts w:asciiTheme="minorHAnsi" w:hAnsiTheme="minorHAnsi"/>
          <w:bCs/>
          <w:snapToGrid w:val="0"/>
          <w:color w:val="000000"/>
          <w:w w:val="15"/>
          <w:shd w:val="solid" w:color="000000" w:fill="000000"/>
          <w:fitText w:val="-20" w:id="-691795954"/>
          <w:lang w:eastAsia="en-US"/>
          <w14:textFill>
            <w14:solidFill>
              <w14:srgbClr w14:val="000000">
                <w14:alpha w14:val="100000"/>
              </w14:srgbClr>
            </w14:solidFill>
          </w14:textFill>
        </w:rPr>
        <w:t>|</w:t>
      </w:r>
      <w:r w:rsidR="00D53C72" w:rsidRPr="002B16A5">
        <w:rPr>
          <w:rFonts w:asciiTheme="minorHAnsi" w:hAnsiTheme="minorHAnsi"/>
          <w:bCs/>
          <w:snapToGrid w:val="0"/>
          <w:color w:val="000000"/>
          <w:w w:val="15"/>
          <w:shd w:val="solid" w:color="000000" w:fill="000000"/>
          <w:fitText w:val="-20" w:id="-691795954"/>
          <w:lang w:eastAsia="en-US"/>
          <w14:textFill>
            <w14:solidFill>
              <w14:srgbClr w14:val="000000">
                <w14:alpha w14:val="100000"/>
              </w14:srgbClr>
            </w14:solidFill>
          </w14:textFill>
        </w:rPr>
        <w:t xml:space="preserve"> </w:t>
      </w:r>
      <w:r w:rsidR="00823FDB" w:rsidRPr="002B16A5">
        <w:rPr>
          <w:rFonts w:asciiTheme="minorHAnsi" w:hAnsiTheme="minorHAnsi"/>
          <w:bCs/>
          <w:snapToGrid w:val="0"/>
          <w:color w:val="000000"/>
          <w:spacing w:val="-61"/>
          <w:w w:val="15"/>
          <w:shd w:val="solid" w:color="000000" w:fill="000000"/>
          <w:fitText w:val="-20" w:id="-691795954"/>
          <w:lang w:eastAsia="en-US"/>
          <w14:textFill>
            <w14:solidFill>
              <w14:srgbClr w14:val="000000">
                <w14:alpha w14:val="100000"/>
              </w14:srgbClr>
            </w14:solidFill>
          </w14:textFill>
        </w:rPr>
        <w:t>|</w:t>
      </w:r>
      <w:r w:rsidR="00D91221" w:rsidRPr="00350596">
        <w:rPr>
          <w:rFonts w:asciiTheme="minorHAnsi" w:hAnsiTheme="minorHAnsi"/>
          <w:bCs/>
          <w:snapToGrid w:val="0"/>
          <w:lang w:eastAsia="en-US"/>
        </w:rPr>
        <w:t xml:space="preserve">% of the AChR+ patient cohort) </w:t>
      </w:r>
      <w:r w:rsidRPr="00350596">
        <w:rPr>
          <w:rFonts w:asciiTheme="minorHAnsi" w:hAnsiTheme="minorHAnsi"/>
          <w:bCs/>
          <w:snapToGrid w:val="0"/>
          <w:lang w:eastAsia="en-US"/>
        </w:rPr>
        <w:t xml:space="preserve">already established on IVIg (uptake of around </w:t>
      </w:r>
      <w:r w:rsidR="00823FDB" w:rsidRPr="002B16A5">
        <w:rPr>
          <w:rFonts w:asciiTheme="minorHAnsi" w:hAnsiTheme="minorHAnsi"/>
          <w:bCs/>
          <w:snapToGrid w:val="0"/>
          <w:color w:val="000000"/>
          <w:w w:val="15"/>
          <w:shd w:val="solid" w:color="000000" w:fill="000000"/>
          <w:fitText w:val="-20" w:id="-691795953"/>
          <w:lang w:eastAsia="en-US"/>
          <w14:textFill>
            <w14:solidFill>
              <w14:srgbClr w14:val="000000">
                <w14:alpha w14:val="100000"/>
              </w14:srgbClr>
            </w14:solidFill>
          </w14:textFill>
        </w:rPr>
        <w:t>|</w:t>
      </w:r>
      <w:r w:rsidR="00D53C72" w:rsidRPr="002B16A5">
        <w:rPr>
          <w:rFonts w:asciiTheme="minorHAnsi" w:hAnsiTheme="minorHAnsi"/>
          <w:bCs/>
          <w:snapToGrid w:val="0"/>
          <w:color w:val="000000"/>
          <w:w w:val="15"/>
          <w:shd w:val="solid" w:color="000000" w:fill="000000"/>
          <w:fitText w:val="-20" w:id="-691795953"/>
          <w:lang w:eastAsia="en-US"/>
          <w14:textFill>
            <w14:solidFill>
              <w14:srgbClr w14:val="000000">
                <w14:alpha w14:val="100000"/>
              </w14:srgbClr>
            </w14:solidFill>
          </w14:textFill>
        </w:rPr>
        <w:t xml:space="preserve"> </w:t>
      </w:r>
      <w:r w:rsidR="00823FDB" w:rsidRPr="002B16A5">
        <w:rPr>
          <w:rFonts w:asciiTheme="minorHAnsi" w:hAnsiTheme="minorHAnsi"/>
          <w:bCs/>
          <w:snapToGrid w:val="0"/>
          <w:color w:val="000000"/>
          <w:spacing w:val="-61"/>
          <w:w w:val="15"/>
          <w:shd w:val="solid" w:color="000000" w:fill="000000"/>
          <w:fitText w:val="-20" w:id="-691795953"/>
          <w:lang w:eastAsia="en-US"/>
          <w14:textFill>
            <w14:solidFill>
              <w14:srgbClr w14:val="000000">
                <w14:alpha w14:val="100000"/>
              </w14:srgbClr>
            </w14:solidFill>
          </w14:textFill>
        </w:rPr>
        <w:t>|</w:t>
      </w:r>
      <w:r w:rsidRPr="00350596">
        <w:rPr>
          <w:rFonts w:asciiTheme="minorHAnsi" w:hAnsiTheme="minorHAnsi"/>
          <w:bCs/>
          <w:snapToGrid w:val="0"/>
          <w:lang w:eastAsia="en-US"/>
        </w:rPr>
        <w:t>%).</w:t>
      </w:r>
    </w:p>
    <w:p w14:paraId="4DD12396" w14:textId="72CAE713"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advised that the aforementioned uptake rates were intended to account for: any additional eligible patients (e.g. patients who are not responding to, or who are unable to be treated with IVIg); the PBS restriction being narrower than the current IVIg criteria; and the stopping rules (as these would generally mirror how IVIg is used in practice). The aforementioned rates would equate to an overall uptake rate of around </w:t>
      </w:r>
      <w:r w:rsidR="00823FDB" w:rsidRPr="002B16A5">
        <w:rPr>
          <w:rFonts w:asciiTheme="minorHAnsi" w:hAnsiTheme="minorHAnsi"/>
          <w:bCs/>
          <w:snapToGrid w:val="0"/>
          <w:color w:val="000000"/>
          <w:w w:val="15"/>
          <w:shd w:val="solid" w:color="000000" w:fill="000000"/>
          <w:fitText w:val="-20" w:id="-691795952"/>
          <w:lang w:eastAsia="en-US"/>
          <w14:textFill>
            <w14:solidFill>
              <w14:srgbClr w14:val="000000">
                <w14:alpha w14:val="100000"/>
              </w14:srgbClr>
            </w14:solidFill>
          </w14:textFill>
        </w:rPr>
        <w:t>|</w:t>
      </w:r>
      <w:r w:rsidR="00D53C72" w:rsidRPr="002B16A5">
        <w:rPr>
          <w:rFonts w:asciiTheme="minorHAnsi" w:hAnsiTheme="minorHAnsi"/>
          <w:bCs/>
          <w:snapToGrid w:val="0"/>
          <w:color w:val="000000"/>
          <w:w w:val="15"/>
          <w:shd w:val="solid" w:color="000000" w:fill="000000"/>
          <w:fitText w:val="-20" w:id="-691795952"/>
          <w:lang w:eastAsia="en-US"/>
          <w14:textFill>
            <w14:solidFill>
              <w14:srgbClr w14:val="000000">
                <w14:alpha w14:val="100000"/>
              </w14:srgbClr>
            </w14:solidFill>
          </w14:textFill>
        </w:rPr>
        <w:t xml:space="preserve"> </w:t>
      </w:r>
      <w:r w:rsidR="00823FDB" w:rsidRPr="002B16A5">
        <w:rPr>
          <w:rFonts w:asciiTheme="minorHAnsi" w:hAnsiTheme="minorHAnsi"/>
          <w:bCs/>
          <w:snapToGrid w:val="0"/>
          <w:color w:val="000000"/>
          <w:spacing w:val="-61"/>
          <w:w w:val="15"/>
          <w:shd w:val="solid" w:color="000000" w:fill="000000"/>
          <w:fitText w:val="-20" w:id="-691795952"/>
          <w:lang w:eastAsia="en-US"/>
          <w14:textFill>
            <w14:solidFill>
              <w14:srgbClr w14:val="000000">
                <w14:alpha w14:val="100000"/>
              </w14:srgbClr>
            </w14:solidFill>
          </w14:textFill>
        </w:rPr>
        <w:t>|</w:t>
      </w:r>
      <w:r w:rsidRPr="00350596">
        <w:rPr>
          <w:rFonts w:asciiTheme="minorHAnsi" w:hAnsiTheme="minorHAnsi"/>
          <w:bCs/>
          <w:snapToGrid w:val="0"/>
          <w:lang w:eastAsia="en-US"/>
        </w:rPr>
        <w:t xml:space="preserve">% in Year 1 (i.e. </w:t>
      </w:r>
      <w:r w:rsidR="00823FDB" w:rsidRPr="002B16A5">
        <w:rPr>
          <w:rFonts w:asciiTheme="minorHAnsi" w:hAnsiTheme="minorHAnsi"/>
          <w:bCs/>
          <w:snapToGrid w:val="0"/>
          <w:color w:val="000000"/>
          <w:w w:val="15"/>
          <w:shd w:val="solid" w:color="000000" w:fill="000000"/>
          <w:fitText w:val="-20" w:id="-691795968"/>
          <w:lang w:eastAsia="en-US"/>
          <w14:textFill>
            <w14:solidFill>
              <w14:srgbClr w14:val="000000">
                <w14:alpha w14:val="100000"/>
              </w14:srgbClr>
            </w14:solidFill>
          </w14:textFill>
        </w:rPr>
        <w:t>|</w:t>
      </w:r>
      <w:r w:rsidR="00D53C72" w:rsidRPr="002B16A5">
        <w:rPr>
          <w:rFonts w:asciiTheme="minorHAnsi" w:hAnsiTheme="minorHAnsi"/>
          <w:bCs/>
          <w:snapToGrid w:val="0"/>
          <w:color w:val="000000"/>
          <w:w w:val="15"/>
          <w:shd w:val="solid" w:color="000000" w:fill="000000"/>
          <w:fitText w:val="-20" w:id="-691795968"/>
          <w:lang w:eastAsia="en-US"/>
          <w14:textFill>
            <w14:solidFill>
              <w14:srgbClr w14:val="000000">
                <w14:alpha w14:val="100000"/>
              </w14:srgbClr>
            </w14:solidFill>
          </w14:textFill>
        </w:rPr>
        <w:t xml:space="preserve"> </w:t>
      </w:r>
      <w:r w:rsidR="00823FDB" w:rsidRPr="002B16A5">
        <w:rPr>
          <w:rFonts w:asciiTheme="minorHAnsi" w:hAnsiTheme="minorHAnsi"/>
          <w:bCs/>
          <w:snapToGrid w:val="0"/>
          <w:color w:val="000000"/>
          <w:spacing w:val="-61"/>
          <w:w w:val="15"/>
          <w:shd w:val="solid" w:color="000000" w:fill="000000"/>
          <w:fitText w:val="-20" w:id="-691795968"/>
          <w:lang w:eastAsia="en-US"/>
          <w14:textFill>
            <w14:solidFill>
              <w14:srgbClr w14:val="000000">
                <w14:alpha w14:val="100000"/>
              </w14:srgbClr>
            </w14:solidFill>
          </w14:textFill>
        </w:rPr>
        <w:t>|</w:t>
      </w:r>
      <w:r w:rsidRPr="00350596">
        <w:rPr>
          <w:rFonts w:asciiTheme="minorHAnsi" w:hAnsiTheme="minorHAnsi"/>
          <w:bCs/>
          <w:snapToGrid w:val="0"/>
          <w:lang w:eastAsia="en-US"/>
        </w:rPr>
        <w:t xml:space="preserve">% of all patients on IVIg for AChR+ gMG would commence a new gMG therapy in Year 1 of listing, refer to </w:t>
      </w:r>
      <w:r w:rsidRPr="00350596">
        <w:rPr>
          <w:rFonts w:asciiTheme="minorHAnsi" w:hAnsiTheme="minorHAnsi"/>
          <w:bCs/>
          <w:snapToGrid w:val="0"/>
          <w:lang w:eastAsia="en-US"/>
        </w:rPr>
        <w:fldChar w:fldCharType="begin"/>
      </w:r>
      <w:r w:rsidRPr="00350596">
        <w:rPr>
          <w:rFonts w:asciiTheme="minorHAnsi" w:hAnsiTheme="minorHAnsi"/>
          <w:bCs/>
          <w:snapToGrid w:val="0"/>
          <w:lang w:eastAsia="en-US"/>
        </w:rPr>
        <w:instrText xml:space="preserve"> REF _Ref193702983 \h  \* MERGEFORMAT </w:instrText>
      </w:r>
      <w:r w:rsidRPr="00350596">
        <w:rPr>
          <w:rFonts w:asciiTheme="minorHAnsi" w:hAnsiTheme="minorHAnsi"/>
          <w:bCs/>
          <w:snapToGrid w:val="0"/>
          <w:lang w:eastAsia="en-US"/>
        </w:rPr>
      </w:r>
      <w:r w:rsidRPr="00350596">
        <w:rPr>
          <w:rFonts w:asciiTheme="minorHAnsi" w:hAnsiTheme="minorHAnsi"/>
          <w:bCs/>
          <w:snapToGrid w:val="0"/>
          <w:lang w:eastAsia="en-US"/>
        </w:rPr>
        <w:fldChar w:fldCharType="separate"/>
      </w:r>
      <w:r w:rsidR="002B16A5" w:rsidRPr="002B16A5">
        <w:rPr>
          <w:rFonts w:asciiTheme="minorHAnsi" w:hAnsiTheme="minorHAnsi"/>
          <w:bCs/>
          <w:snapToGrid w:val="0"/>
          <w:lang w:eastAsia="en-US"/>
        </w:rPr>
        <w:t>Table 17</w:t>
      </w:r>
      <w:r w:rsidRPr="00350596">
        <w:rPr>
          <w:rFonts w:asciiTheme="minorHAnsi" w:hAnsiTheme="minorHAnsi"/>
          <w:bCs/>
          <w:snapToGrid w:val="0"/>
          <w:lang w:eastAsia="en-US"/>
        </w:rPr>
        <w:fldChar w:fldCharType="end"/>
      </w:r>
      <w:r w:rsidRPr="00350596">
        <w:rPr>
          <w:rFonts w:asciiTheme="minorHAnsi" w:hAnsiTheme="minorHAnsi"/>
          <w:bCs/>
          <w:snapToGrid w:val="0"/>
          <w:lang w:eastAsia="en-US"/>
        </w:rPr>
        <w:t>). The PBAC considered this was at the higher end of plausibility given the proportion of patients on IVIg who would be eligible for the new therapies could potentially be quite low.</w:t>
      </w:r>
    </w:p>
    <w:p w14:paraId="6B4F05DC" w14:textId="76D29FC6"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advised that uptake was likely to increase over time, and that this may be gradual given the large prevalent pool with a long history of IVIg use. As such, the PBAC advised that it would be reasonable for the estimated uptake rates to increase by </w:t>
      </w:r>
      <w:r w:rsidR="00823FDB" w:rsidRPr="002B16A5">
        <w:rPr>
          <w:rFonts w:asciiTheme="minorHAnsi" w:hAnsiTheme="minorHAnsi"/>
          <w:bCs/>
          <w:snapToGrid w:val="0"/>
          <w:color w:val="000000"/>
          <w:w w:val="15"/>
          <w:shd w:val="solid" w:color="000000" w:fill="000000"/>
          <w:fitText w:val="-20" w:id="-691795967"/>
          <w:lang w:eastAsia="en-US"/>
          <w14:textFill>
            <w14:solidFill>
              <w14:srgbClr w14:val="000000">
                <w14:alpha w14:val="100000"/>
              </w14:srgbClr>
            </w14:solidFill>
          </w14:textFill>
        </w:rPr>
        <w:t>|</w:t>
      </w:r>
      <w:r w:rsidR="00D53C72" w:rsidRPr="002B16A5">
        <w:rPr>
          <w:rFonts w:asciiTheme="minorHAnsi" w:hAnsiTheme="minorHAnsi"/>
          <w:bCs/>
          <w:snapToGrid w:val="0"/>
          <w:color w:val="000000"/>
          <w:w w:val="15"/>
          <w:shd w:val="solid" w:color="000000" w:fill="000000"/>
          <w:fitText w:val="-20" w:id="-691795967"/>
          <w:lang w:eastAsia="en-US"/>
          <w14:textFill>
            <w14:solidFill>
              <w14:srgbClr w14:val="000000">
                <w14:alpha w14:val="100000"/>
              </w14:srgbClr>
            </w14:solidFill>
          </w14:textFill>
        </w:rPr>
        <w:t xml:space="preserve"> </w:t>
      </w:r>
      <w:r w:rsidR="00823FDB" w:rsidRPr="002B16A5">
        <w:rPr>
          <w:rFonts w:asciiTheme="minorHAnsi" w:hAnsiTheme="minorHAnsi"/>
          <w:bCs/>
          <w:snapToGrid w:val="0"/>
          <w:color w:val="000000"/>
          <w:spacing w:val="-61"/>
          <w:w w:val="15"/>
          <w:shd w:val="solid" w:color="000000" w:fill="000000"/>
          <w:fitText w:val="-20" w:id="-691795967"/>
          <w:lang w:eastAsia="en-US"/>
          <w14:textFill>
            <w14:solidFill>
              <w14:srgbClr w14:val="000000">
                <w14:alpha w14:val="100000"/>
              </w14:srgbClr>
            </w14:solidFill>
          </w14:textFill>
        </w:rPr>
        <w:t>|</w:t>
      </w:r>
      <w:r w:rsidRPr="00350596">
        <w:rPr>
          <w:rFonts w:asciiTheme="minorHAnsi" w:hAnsiTheme="minorHAnsi"/>
          <w:bCs/>
          <w:snapToGrid w:val="0"/>
          <w:lang w:eastAsia="en-US"/>
        </w:rPr>
        <w:t xml:space="preserve"> percentage points each year for the first </w:t>
      </w:r>
      <w:r w:rsidR="00E42117" w:rsidRPr="00350596">
        <w:rPr>
          <w:rFonts w:asciiTheme="minorHAnsi" w:hAnsiTheme="minorHAnsi"/>
          <w:bCs/>
          <w:snapToGrid w:val="0"/>
          <w:lang w:eastAsia="en-US"/>
        </w:rPr>
        <w:t xml:space="preserve">six </w:t>
      </w:r>
      <w:r w:rsidRPr="00350596">
        <w:rPr>
          <w:rFonts w:asciiTheme="minorHAnsi" w:hAnsiTheme="minorHAnsi"/>
          <w:bCs/>
          <w:snapToGrid w:val="0"/>
          <w:lang w:eastAsia="en-US"/>
        </w:rPr>
        <w:t>years of listing.</w:t>
      </w:r>
    </w:p>
    <w:p w14:paraId="51A0B6FE" w14:textId="0D149D53" w:rsidR="00927CFA" w:rsidRPr="00350596" w:rsidRDefault="00927CFA" w:rsidP="002100FC">
      <w:pPr>
        <w:widowControl w:val="0"/>
        <w:numPr>
          <w:ilvl w:val="1"/>
          <w:numId w:val="1"/>
        </w:numPr>
        <w:spacing w:before="120" w:after="120"/>
        <w:rPr>
          <w:rFonts w:asciiTheme="minorHAnsi" w:hAnsiTheme="minorHAnsi"/>
          <w:bCs/>
          <w:snapToGrid w:val="0"/>
          <w:lang w:eastAsia="en-US"/>
        </w:rPr>
      </w:pPr>
      <w:bookmarkStart w:id="102" w:name="_Ref194349215"/>
      <w:r w:rsidRPr="00350596">
        <w:rPr>
          <w:rFonts w:asciiTheme="minorHAnsi" w:hAnsiTheme="minorHAnsi"/>
          <w:bCs/>
          <w:snapToGrid w:val="0"/>
          <w:lang w:eastAsia="en-US"/>
        </w:rPr>
        <w:t>The PBAC advised that the dose assumptions (e.g. number of doses per patient per year) in the financial estimates should be the same as those applied in the cost-comparison</w:t>
      </w:r>
      <w:r w:rsidR="00C24DD6" w:rsidRPr="00350596">
        <w:rPr>
          <w:rFonts w:asciiTheme="minorHAnsi" w:hAnsiTheme="minorHAnsi"/>
          <w:bCs/>
          <w:snapToGrid w:val="0"/>
          <w:lang w:eastAsia="en-US"/>
        </w:rPr>
        <w:t xml:space="preserve"> (refer to paragraph </w:t>
      </w:r>
      <w:r w:rsidR="00C24DD6" w:rsidRPr="00350596">
        <w:rPr>
          <w:rFonts w:asciiTheme="minorHAnsi" w:hAnsiTheme="minorHAnsi"/>
          <w:bCs/>
          <w:snapToGrid w:val="0"/>
          <w:lang w:eastAsia="en-US"/>
        </w:rPr>
        <w:fldChar w:fldCharType="begin"/>
      </w:r>
      <w:r w:rsidR="00C24DD6" w:rsidRPr="00350596">
        <w:rPr>
          <w:rFonts w:asciiTheme="minorHAnsi" w:hAnsiTheme="minorHAnsi"/>
          <w:bCs/>
          <w:snapToGrid w:val="0"/>
          <w:lang w:eastAsia="en-US"/>
        </w:rPr>
        <w:instrText xml:space="preserve"> REF _Ref194930007 \r \h </w:instrText>
      </w:r>
      <w:r w:rsidR="00C24DD6" w:rsidRPr="00350596">
        <w:rPr>
          <w:rFonts w:asciiTheme="minorHAnsi" w:hAnsiTheme="minorHAnsi"/>
          <w:bCs/>
          <w:snapToGrid w:val="0"/>
          <w:lang w:eastAsia="en-US"/>
        </w:rPr>
      </w:r>
      <w:r w:rsidR="00C24DD6" w:rsidRPr="00350596">
        <w:rPr>
          <w:rFonts w:asciiTheme="minorHAnsi" w:hAnsiTheme="minorHAnsi"/>
          <w:bCs/>
          <w:snapToGrid w:val="0"/>
          <w:lang w:eastAsia="en-US"/>
        </w:rPr>
        <w:fldChar w:fldCharType="separate"/>
      </w:r>
      <w:r w:rsidR="002B16A5">
        <w:rPr>
          <w:rFonts w:asciiTheme="minorHAnsi" w:hAnsiTheme="minorHAnsi"/>
          <w:bCs/>
          <w:snapToGrid w:val="0"/>
          <w:lang w:eastAsia="en-US"/>
        </w:rPr>
        <w:t>8.24</w:t>
      </w:r>
      <w:r w:rsidR="00C24DD6" w:rsidRPr="00350596">
        <w:rPr>
          <w:rFonts w:asciiTheme="minorHAnsi" w:hAnsiTheme="minorHAnsi"/>
          <w:bCs/>
          <w:snapToGrid w:val="0"/>
          <w:lang w:eastAsia="en-US"/>
        </w:rPr>
        <w:fldChar w:fldCharType="end"/>
      </w:r>
      <w:r w:rsidR="00C24DD6" w:rsidRPr="00350596">
        <w:rPr>
          <w:rFonts w:asciiTheme="minorHAnsi" w:hAnsiTheme="minorHAnsi"/>
          <w:bCs/>
          <w:snapToGrid w:val="0"/>
          <w:lang w:eastAsia="en-US"/>
        </w:rPr>
        <w:t>)</w:t>
      </w:r>
      <w:r w:rsidRPr="00350596">
        <w:rPr>
          <w:rFonts w:asciiTheme="minorHAnsi" w:hAnsiTheme="minorHAnsi"/>
          <w:bCs/>
          <w:snapToGrid w:val="0"/>
          <w:lang w:eastAsia="en-US"/>
        </w:rPr>
        <w:t>.</w:t>
      </w:r>
      <w:bookmarkEnd w:id="102"/>
    </w:p>
    <w:p w14:paraId="746C1CCA" w14:textId="3AF33C10" w:rsidR="00416F90" w:rsidRPr="00350596" w:rsidRDefault="00416F90" w:rsidP="002100FC">
      <w:pPr>
        <w:pStyle w:val="COMexecsummnumbered"/>
        <w:rPr>
          <w:rFonts w:eastAsia="Times New Roman" w:cs="Arial"/>
          <w:bCs/>
          <w:snapToGrid w:val="0"/>
          <w:szCs w:val="24"/>
          <w:lang w:eastAsia="en-US"/>
        </w:rPr>
      </w:pPr>
      <w:r w:rsidRPr="00350596">
        <w:rPr>
          <w:rFonts w:eastAsia="Times New Roman" w:cs="Arial"/>
          <w:bCs/>
          <w:snapToGrid w:val="0"/>
          <w:szCs w:val="24"/>
          <w:lang w:eastAsia="en-US"/>
        </w:rPr>
        <w:t>The PBAC considered that any listing of the new gMG therapies would be associated with a substantial reduction in the utilisation of IVIg for gMG maintenance, given the lack of other treatment options but also acknowledging that a small proportion of patients cannot tolerate or access IVIg, or have ceased IVIg due to lack of response.</w:t>
      </w:r>
      <w:r w:rsidR="00D53C72">
        <w:rPr>
          <w:rFonts w:eastAsia="Times New Roman" w:cs="Arial"/>
          <w:bCs/>
          <w:snapToGrid w:val="0"/>
          <w:szCs w:val="24"/>
          <w:lang w:eastAsia="en-US"/>
        </w:rPr>
        <w:t xml:space="preserve"> </w:t>
      </w:r>
    </w:p>
    <w:p w14:paraId="11E1DD55" w14:textId="78BF8AC6"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noted that more complex approaches to estimating the financial impacts could be used (e.g. calculating utilisation in the bridging and refractory settings separately, taking stopping rules into account) but considered the simplified approach outlined above was </w:t>
      </w:r>
      <w:r w:rsidR="00C83990" w:rsidRPr="00350596">
        <w:rPr>
          <w:rFonts w:asciiTheme="minorHAnsi" w:hAnsiTheme="minorHAnsi"/>
          <w:bCs/>
          <w:snapToGrid w:val="0"/>
          <w:lang w:eastAsia="en-US"/>
        </w:rPr>
        <w:t xml:space="preserve">likely to provide more accurate forecasts </w:t>
      </w:r>
      <w:r w:rsidRPr="00350596">
        <w:rPr>
          <w:rFonts w:asciiTheme="minorHAnsi" w:hAnsiTheme="minorHAnsi"/>
          <w:bCs/>
          <w:snapToGrid w:val="0"/>
          <w:lang w:eastAsia="en-US"/>
        </w:rPr>
        <w:t>given the: lack of robust data to inform a more complex approach; and the intent of the restrictions to mimic the current use of IVIg in clinical practice (in terms of use across both the bridging and refractory settings, with clinicians regularly assessing the on-going need for continuing IVIg therapy including through treatment breaks).</w:t>
      </w:r>
    </w:p>
    <w:p w14:paraId="20F4C20C" w14:textId="47B4DC03"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lastRenderedPageBreak/>
        <w:t xml:space="preserve">The PBAC advised that a single RSA that includes all of the new therapies (in all settings) would be required to mitigate the risk of use outside the intended restriction. For the </w:t>
      </w:r>
      <w:r w:rsidR="008A34A5" w:rsidRPr="00350596">
        <w:rPr>
          <w:rFonts w:asciiTheme="minorHAnsi" w:hAnsiTheme="minorHAnsi"/>
          <w:bCs/>
          <w:snapToGrid w:val="0"/>
          <w:lang w:eastAsia="en-US"/>
        </w:rPr>
        <w:t>FcRn</w:t>
      </w:r>
      <w:r w:rsidRPr="00350596">
        <w:rPr>
          <w:rFonts w:asciiTheme="minorHAnsi" w:hAnsiTheme="minorHAnsi"/>
          <w:bCs/>
          <w:snapToGrid w:val="0"/>
          <w:lang w:eastAsia="en-US"/>
        </w:rPr>
        <w:t xml:space="preserve"> blockers, the RSA would also need to mitigate the risk of an increase in the frequency of cycles received over time. The PBAC advised that the risk of higher dosing frequency is less relevant for the complement inhibitors and thus these sponsors should not be adversely affected by more frequent </w:t>
      </w:r>
      <w:r w:rsidR="008A34A5" w:rsidRPr="00350596">
        <w:rPr>
          <w:rFonts w:asciiTheme="minorHAnsi" w:hAnsiTheme="minorHAnsi"/>
          <w:bCs/>
          <w:snapToGrid w:val="0"/>
          <w:lang w:eastAsia="en-US"/>
        </w:rPr>
        <w:t>FcRn</w:t>
      </w:r>
      <w:r w:rsidRPr="00350596">
        <w:rPr>
          <w:rFonts w:asciiTheme="minorHAnsi" w:hAnsiTheme="minorHAnsi"/>
          <w:bCs/>
          <w:snapToGrid w:val="0"/>
          <w:lang w:eastAsia="en-US"/>
        </w:rPr>
        <w:t xml:space="preserve"> blocker dosing. The PBAC advised that the Department and each sponsor should work to ensure the cost per patient does not exceed the estimates in the cost-comparison and the financials.</w:t>
      </w:r>
    </w:p>
    <w:p w14:paraId="7D43904A" w14:textId="2A725E40" w:rsidR="008631C7" w:rsidRPr="00350596" w:rsidRDefault="008631C7" w:rsidP="002100FC">
      <w:pPr>
        <w:pStyle w:val="COMexecsummnumbered"/>
        <w:widowControl w:val="0"/>
        <w:numPr>
          <w:ilvl w:val="1"/>
          <w:numId w:val="1"/>
        </w:numPr>
        <w:rPr>
          <w:bCs/>
          <w:snapToGrid w:val="0"/>
          <w:lang w:eastAsia="en-US"/>
        </w:rPr>
      </w:pPr>
      <w:bookmarkStart w:id="103" w:name="_Hlk194648330"/>
      <w:r w:rsidRPr="00350596">
        <w:t xml:space="preserve">The PBAC acknowledged </w:t>
      </w:r>
      <w:r w:rsidR="00D03709" w:rsidRPr="00350596">
        <w:t xml:space="preserve">the financial estimates as outlined in paragraphs </w:t>
      </w:r>
      <w:r w:rsidR="00D03709" w:rsidRPr="00350596">
        <w:rPr>
          <w:bCs/>
          <w:snapToGrid w:val="0"/>
          <w:lang w:eastAsia="en-US"/>
        </w:rPr>
        <w:fldChar w:fldCharType="begin"/>
      </w:r>
      <w:r w:rsidR="00D03709" w:rsidRPr="00350596">
        <w:rPr>
          <w:bCs/>
          <w:snapToGrid w:val="0"/>
          <w:lang w:eastAsia="en-US"/>
        </w:rPr>
        <w:instrText xml:space="preserve"> REF _Ref194349212 \r \h  \* MERGEFORMAT </w:instrText>
      </w:r>
      <w:r w:rsidR="00D03709" w:rsidRPr="00350596">
        <w:rPr>
          <w:bCs/>
          <w:snapToGrid w:val="0"/>
          <w:lang w:eastAsia="en-US"/>
        </w:rPr>
      </w:r>
      <w:r w:rsidR="00D03709" w:rsidRPr="00350596">
        <w:rPr>
          <w:bCs/>
          <w:snapToGrid w:val="0"/>
          <w:lang w:eastAsia="en-US"/>
        </w:rPr>
        <w:fldChar w:fldCharType="separate"/>
      </w:r>
      <w:r w:rsidR="002B16A5">
        <w:rPr>
          <w:bCs/>
          <w:snapToGrid w:val="0"/>
          <w:lang w:eastAsia="en-US"/>
        </w:rPr>
        <w:t>8.26</w:t>
      </w:r>
      <w:r w:rsidR="00D03709" w:rsidRPr="00350596">
        <w:rPr>
          <w:bCs/>
          <w:snapToGrid w:val="0"/>
          <w:lang w:eastAsia="en-US"/>
        </w:rPr>
        <w:fldChar w:fldCharType="end"/>
      </w:r>
      <w:r w:rsidR="00D03709" w:rsidRPr="00350596">
        <w:rPr>
          <w:bCs/>
          <w:snapToGrid w:val="0"/>
          <w:lang w:eastAsia="en-US"/>
        </w:rPr>
        <w:t xml:space="preserve"> to </w:t>
      </w:r>
      <w:r w:rsidR="00D03709" w:rsidRPr="00350596">
        <w:rPr>
          <w:bCs/>
          <w:snapToGrid w:val="0"/>
          <w:lang w:eastAsia="en-US"/>
        </w:rPr>
        <w:fldChar w:fldCharType="begin"/>
      </w:r>
      <w:r w:rsidR="00D03709" w:rsidRPr="00350596">
        <w:rPr>
          <w:bCs/>
          <w:snapToGrid w:val="0"/>
          <w:lang w:eastAsia="en-US"/>
        </w:rPr>
        <w:instrText xml:space="preserve"> REF _Ref194349215 \r \h  \* MERGEFORMAT </w:instrText>
      </w:r>
      <w:r w:rsidR="00D03709" w:rsidRPr="00350596">
        <w:rPr>
          <w:bCs/>
          <w:snapToGrid w:val="0"/>
          <w:lang w:eastAsia="en-US"/>
        </w:rPr>
      </w:r>
      <w:r w:rsidR="00D03709" w:rsidRPr="00350596">
        <w:rPr>
          <w:bCs/>
          <w:snapToGrid w:val="0"/>
          <w:lang w:eastAsia="en-US"/>
        </w:rPr>
        <w:fldChar w:fldCharType="separate"/>
      </w:r>
      <w:r w:rsidR="002B16A5">
        <w:rPr>
          <w:bCs/>
          <w:snapToGrid w:val="0"/>
          <w:lang w:eastAsia="en-US"/>
        </w:rPr>
        <w:t>8.30</w:t>
      </w:r>
      <w:r w:rsidR="00D03709" w:rsidRPr="00350596">
        <w:rPr>
          <w:bCs/>
          <w:snapToGrid w:val="0"/>
          <w:lang w:eastAsia="en-US"/>
        </w:rPr>
        <w:fldChar w:fldCharType="end"/>
      </w:r>
      <w:r w:rsidR="00D03709" w:rsidRPr="00350596">
        <w:t xml:space="preserve"> were associated with some uncertainty </w:t>
      </w:r>
      <w:r w:rsidRPr="00350596">
        <w:t xml:space="preserve">and considered that it may be reasonable for the risk of use outside the intended restriction to be managed through a </w:t>
      </w:r>
      <w:r w:rsidR="00823FDB" w:rsidRPr="002B16A5">
        <w:rPr>
          <w:color w:val="000000"/>
          <w:w w:val="15"/>
          <w:shd w:val="solid" w:color="000000" w:fill="000000"/>
          <w:fitText w:val="-20" w:id="-691795966"/>
          <w14:textFill>
            <w14:solidFill>
              <w14:srgbClr w14:val="000000">
                <w14:alpha w14:val="100000"/>
              </w14:srgbClr>
            </w14:solidFill>
          </w14:textFill>
        </w:rPr>
        <w:t>|</w:t>
      </w:r>
      <w:r w:rsidR="00D53C72" w:rsidRPr="002B16A5">
        <w:rPr>
          <w:color w:val="000000"/>
          <w:w w:val="15"/>
          <w:shd w:val="solid" w:color="000000" w:fill="000000"/>
          <w:fitText w:val="-20" w:id="-691795966"/>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6"/>
          <w14:textFill>
            <w14:solidFill>
              <w14:srgbClr w14:val="000000">
                <w14:alpha w14:val="100000"/>
              </w14:srgbClr>
            </w14:solidFill>
          </w14:textFill>
        </w:rPr>
        <w:t>|</w:t>
      </w:r>
      <w:r w:rsidRPr="00350596">
        <w:t xml:space="preserve"> RSA – with the </w:t>
      </w:r>
      <w:r w:rsidR="00823FDB" w:rsidRPr="002B16A5">
        <w:rPr>
          <w:color w:val="000000"/>
          <w:w w:val="15"/>
          <w:shd w:val="solid" w:color="000000" w:fill="000000"/>
          <w:fitText w:val="-20" w:id="-691795965"/>
          <w14:textFill>
            <w14:solidFill>
              <w14:srgbClr w14:val="000000">
                <w14:alpha w14:val="100000"/>
              </w14:srgbClr>
            </w14:solidFill>
          </w14:textFill>
        </w:rPr>
        <w:t>|</w:t>
      </w:r>
      <w:r w:rsidR="00D53C72" w:rsidRPr="002B16A5">
        <w:rPr>
          <w:color w:val="000000"/>
          <w:w w:val="15"/>
          <w:shd w:val="solid" w:color="000000" w:fill="000000"/>
          <w:fitText w:val="-20" w:id="-691795965"/>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5"/>
          <w14:textFill>
            <w14:solidFill>
              <w14:srgbClr w14:val="000000">
                <w14:alpha w14:val="100000"/>
              </w14:srgbClr>
            </w14:solidFill>
          </w14:textFill>
        </w:rPr>
        <w:t>|</w:t>
      </w:r>
      <w:r w:rsidR="00612D9F" w:rsidRPr="00612D9F">
        <w:t xml:space="preserve"> </w:t>
      </w:r>
      <w:r w:rsidR="00823FDB" w:rsidRPr="002B16A5">
        <w:rPr>
          <w:color w:val="000000"/>
          <w:w w:val="15"/>
          <w:shd w:val="solid" w:color="000000" w:fill="000000"/>
          <w:fitText w:val="-20" w:id="-691795964"/>
          <w14:textFill>
            <w14:solidFill>
              <w14:srgbClr w14:val="000000">
                <w14:alpha w14:val="100000"/>
              </w14:srgbClr>
            </w14:solidFill>
          </w14:textFill>
        </w:rPr>
        <w:t>|</w:t>
      </w:r>
      <w:r w:rsidR="00D53C72" w:rsidRPr="002B16A5">
        <w:rPr>
          <w:color w:val="000000"/>
          <w:w w:val="15"/>
          <w:shd w:val="solid" w:color="000000" w:fill="000000"/>
          <w:fitText w:val="-20" w:id="-691795964"/>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4"/>
          <w14:textFill>
            <w14:solidFill>
              <w14:srgbClr w14:val="000000">
                <w14:alpha w14:val="100000"/>
              </w14:srgbClr>
            </w14:solidFill>
          </w14:textFill>
        </w:rPr>
        <w:t>|</w:t>
      </w:r>
      <w:r w:rsidRPr="00350596">
        <w:t xml:space="preserve"> based on the financial estimates outlined by </w:t>
      </w:r>
      <w:r w:rsidR="00D03709" w:rsidRPr="00350596">
        <w:t xml:space="preserve">the </w:t>
      </w:r>
      <w:r w:rsidRPr="00350596">
        <w:t xml:space="preserve">PBAC </w:t>
      </w:r>
      <w:r w:rsidR="00D03709" w:rsidRPr="00350596">
        <w:t xml:space="preserve">(e.g. with the AChR+ proportion and uptake rates applied as outlined in paragraphs </w:t>
      </w:r>
      <w:r w:rsidR="00D03709" w:rsidRPr="00350596">
        <w:rPr>
          <w:bCs/>
          <w:snapToGrid w:val="0"/>
          <w:lang w:eastAsia="en-US"/>
        </w:rPr>
        <w:fldChar w:fldCharType="begin"/>
      </w:r>
      <w:r w:rsidR="00D03709" w:rsidRPr="00350596">
        <w:rPr>
          <w:bCs/>
          <w:snapToGrid w:val="0"/>
          <w:lang w:eastAsia="en-US"/>
        </w:rPr>
        <w:instrText xml:space="preserve"> REF _Ref194349212 \r \h  \* MERGEFORMAT </w:instrText>
      </w:r>
      <w:r w:rsidR="00D03709" w:rsidRPr="00350596">
        <w:rPr>
          <w:bCs/>
          <w:snapToGrid w:val="0"/>
          <w:lang w:eastAsia="en-US"/>
        </w:rPr>
      </w:r>
      <w:r w:rsidR="00D03709" w:rsidRPr="00350596">
        <w:rPr>
          <w:bCs/>
          <w:snapToGrid w:val="0"/>
          <w:lang w:eastAsia="en-US"/>
        </w:rPr>
        <w:fldChar w:fldCharType="separate"/>
      </w:r>
      <w:r w:rsidR="002B16A5">
        <w:rPr>
          <w:bCs/>
          <w:snapToGrid w:val="0"/>
          <w:lang w:eastAsia="en-US"/>
        </w:rPr>
        <w:t>8.26</w:t>
      </w:r>
      <w:r w:rsidR="00D03709" w:rsidRPr="00350596">
        <w:rPr>
          <w:bCs/>
          <w:snapToGrid w:val="0"/>
          <w:lang w:eastAsia="en-US"/>
        </w:rPr>
        <w:fldChar w:fldCharType="end"/>
      </w:r>
      <w:r w:rsidR="00D03709" w:rsidRPr="00350596">
        <w:rPr>
          <w:bCs/>
          <w:snapToGrid w:val="0"/>
          <w:lang w:eastAsia="en-US"/>
        </w:rPr>
        <w:t xml:space="preserve"> to </w:t>
      </w:r>
      <w:r w:rsidR="00D03709" w:rsidRPr="00350596">
        <w:rPr>
          <w:bCs/>
          <w:snapToGrid w:val="0"/>
          <w:lang w:eastAsia="en-US"/>
        </w:rPr>
        <w:fldChar w:fldCharType="begin"/>
      </w:r>
      <w:r w:rsidR="00D03709" w:rsidRPr="00350596">
        <w:rPr>
          <w:bCs/>
          <w:snapToGrid w:val="0"/>
          <w:lang w:eastAsia="en-US"/>
        </w:rPr>
        <w:instrText xml:space="preserve"> REF _Ref194349215 \r \h  \* MERGEFORMAT </w:instrText>
      </w:r>
      <w:r w:rsidR="00D03709" w:rsidRPr="00350596">
        <w:rPr>
          <w:bCs/>
          <w:snapToGrid w:val="0"/>
          <w:lang w:eastAsia="en-US"/>
        </w:rPr>
      </w:r>
      <w:r w:rsidR="00D03709" w:rsidRPr="00350596">
        <w:rPr>
          <w:bCs/>
          <w:snapToGrid w:val="0"/>
          <w:lang w:eastAsia="en-US"/>
        </w:rPr>
        <w:fldChar w:fldCharType="separate"/>
      </w:r>
      <w:r w:rsidR="002B16A5">
        <w:rPr>
          <w:bCs/>
          <w:snapToGrid w:val="0"/>
          <w:lang w:eastAsia="en-US"/>
        </w:rPr>
        <w:t>8.30</w:t>
      </w:r>
      <w:r w:rsidR="00D03709" w:rsidRPr="00350596">
        <w:rPr>
          <w:bCs/>
          <w:snapToGrid w:val="0"/>
          <w:lang w:eastAsia="en-US"/>
        </w:rPr>
        <w:fldChar w:fldCharType="end"/>
      </w:r>
      <w:r w:rsidR="00D03709" w:rsidRPr="00350596">
        <w:t xml:space="preserve"> and </w:t>
      </w:r>
      <w:r w:rsidR="00D03709" w:rsidRPr="00350596">
        <w:fldChar w:fldCharType="begin"/>
      </w:r>
      <w:r w:rsidR="00D03709" w:rsidRPr="00350596">
        <w:instrText xml:space="preserve"> REF _Ref193702983 \h </w:instrText>
      </w:r>
      <w:r w:rsidR="00D03709" w:rsidRPr="00350596">
        <w:fldChar w:fldCharType="separate"/>
      </w:r>
      <w:r w:rsidR="002B16A5" w:rsidRPr="00350596">
        <w:rPr>
          <w:szCs w:val="20"/>
        </w:rPr>
        <w:t xml:space="preserve">Table </w:t>
      </w:r>
      <w:r w:rsidR="002B16A5">
        <w:rPr>
          <w:noProof/>
          <w:szCs w:val="20"/>
        </w:rPr>
        <w:t>17</w:t>
      </w:r>
      <w:r w:rsidR="00D03709" w:rsidRPr="00350596">
        <w:fldChar w:fldCharType="end"/>
      </w:r>
      <w:r w:rsidR="00D03709" w:rsidRPr="00350596">
        <w:t xml:space="preserve">) </w:t>
      </w:r>
      <w:r w:rsidRPr="00350596">
        <w:t xml:space="preserve">with a rebate of less than </w:t>
      </w:r>
      <w:r w:rsidR="00823FDB" w:rsidRPr="002B16A5">
        <w:rPr>
          <w:color w:val="000000"/>
          <w:w w:val="15"/>
          <w:shd w:val="solid" w:color="000000" w:fill="000000"/>
          <w:fitText w:val="-20" w:id="-691795963"/>
          <w14:textFill>
            <w14:solidFill>
              <w14:srgbClr w14:val="000000">
                <w14:alpha w14:val="100000"/>
              </w14:srgbClr>
            </w14:solidFill>
          </w14:textFill>
        </w:rPr>
        <w:t>|</w:t>
      </w:r>
      <w:r w:rsidR="00D53C72" w:rsidRPr="002B16A5">
        <w:rPr>
          <w:color w:val="000000"/>
          <w:w w:val="15"/>
          <w:shd w:val="solid" w:color="000000" w:fill="000000"/>
          <w:fitText w:val="-20" w:id="-691795963"/>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3"/>
          <w14:textFill>
            <w14:solidFill>
              <w14:srgbClr w14:val="000000">
                <w14:alpha w14:val="100000"/>
              </w14:srgbClr>
            </w14:solidFill>
          </w14:textFill>
        </w:rPr>
        <w:t>|</w:t>
      </w:r>
      <w:r w:rsidRPr="00350596">
        <w:t xml:space="preserve">%, then a </w:t>
      </w:r>
      <w:r w:rsidR="00823FDB" w:rsidRPr="002B16A5">
        <w:rPr>
          <w:color w:val="000000"/>
          <w:w w:val="15"/>
          <w:shd w:val="solid" w:color="000000" w:fill="000000"/>
          <w:fitText w:val="-20" w:id="-691795962"/>
          <w14:textFill>
            <w14:solidFill>
              <w14:srgbClr w14:val="000000">
                <w14:alpha w14:val="100000"/>
              </w14:srgbClr>
            </w14:solidFill>
          </w14:textFill>
        </w:rPr>
        <w:t>|</w:t>
      </w:r>
      <w:r w:rsidR="00D53C72" w:rsidRPr="002B16A5">
        <w:rPr>
          <w:color w:val="000000"/>
          <w:w w:val="15"/>
          <w:shd w:val="solid" w:color="000000" w:fill="000000"/>
          <w:fitText w:val="-20" w:id="-691795962"/>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2"/>
          <w14:textFill>
            <w14:solidFill>
              <w14:srgbClr w14:val="000000">
                <w14:alpha w14:val="100000"/>
              </w14:srgbClr>
            </w14:solidFill>
          </w14:textFill>
        </w:rPr>
        <w:t>|</w:t>
      </w:r>
      <w:r w:rsidR="00612D9F" w:rsidRPr="00612D9F">
        <w:t xml:space="preserve"> </w:t>
      </w:r>
      <w:r w:rsidR="00823FDB" w:rsidRPr="002B16A5">
        <w:rPr>
          <w:color w:val="000000"/>
          <w:w w:val="15"/>
          <w:shd w:val="solid" w:color="000000" w:fill="000000"/>
          <w:fitText w:val="-20" w:id="-691795961"/>
          <w14:textFill>
            <w14:solidFill>
              <w14:srgbClr w14:val="000000">
                <w14:alpha w14:val="100000"/>
              </w14:srgbClr>
            </w14:solidFill>
          </w14:textFill>
        </w:rPr>
        <w:t>|</w:t>
      </w:r>
      <w:r w:rsidR="00D53C72" w:rsidRPr="002B16A5">
        <w:rPr>
          <w:color w:val="000000"/>
          <w:w w:val="15"/>
          <w:shd w:val="solid" w:color="000000" w:fill="000000"/>
          <w:fitText w:val="-20" w:id="-691795961"/>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1"/>
          <w14:textFill>
            <w14:solidFill>
              <w14:srgbClr w14:val="000000">
                <w14:alpha w14:val="100000"/>
              </w14:srgbClr>
            </w14:solidFill>
          </w14:textFill>
        </w:rPr>
        <w:t>|</w:t>
      </w:r>
      <w:r w:rsidRPr="00350596">
        <w:t xml:space="preserve"> based on the total number of patients using IVIg for maintenance gMG with a rebate of </w:t>
      </w:r>
      <w:r w:rsidR="00823FDB" w:rsidRPr="002B16A5">
        <w:rPr>
          <w:color w:val="000000"/>
          <w:w w:val="15"/>
          <w:shd w:val="solid" w:color="000000" w:fill="000000"/>
          <w:fitText w:val="-20" w:id="-691795960"/>
          <w14:textFill>
            <w14:solidFill>
              <w14:srgbClr w14:val="000000">
                <w14:alpha w14:val="100000"/>
              </w14:srgbClr>
            </w14:solidFill>
          </w14:textFill>
        </w:rPr>
        <w:t>|</w:t>
      </w:r>
      <w:r w:rsidR="00D53C72" w:rsidRPr="002B16A5">
        <w:rPr>
          <w:color w:val="000000"/>
          <w:w w:val="15"/>
          <w:shd w:val="solid" w:color="000000" w:fill="000000"/>
          <w:fitText w:val="-20" w:id="-691795960"/>
          <w14:textFill>
            <w14:solidFill>
              <w14:srgbClr w14:val="000000">
                <w14:alpha w14:val="100000"/>
              </w14:srgbClr>
            </w14:solidFill>
          </w14:textFill>
        </w:rPr>
        <w:t xml:space="preserve"> </w:t>
      </w:r>
      <w:r w:rsidR="00823FDB" w:rsidRPr="002B16A5">
        <w:rPr>
          <w:color w:val="000000"/>
          <w:spacing w:val="-61"/>
          <w:w w:val="15"/>
          <w:shd w:val="solid" w:color="000000" w:fill="000000"/>
          <w:fitText w:val="-20" w:id="-691795960"/>
          <w14:textFill>
            <w14:solidFill>
              <w14:srgbClr w14:val="000000">
                <w14:alpha w14:val="100000"/>
              </w14:srgbClr>
            </w14:solidFill>
          </w14:textFill>
        </w:rPr>
        <w:t>|</w:t>
      </w:r>
      <w:r w:rsidRPr="00350596">
        <w:t>%.</w:t>
      </w:r>
      <w:bookmarkEnd w:id="103"/>
    </w:p>
    <w:p w14:paraId="6C9F3FA3" w14:textId="673BCB0F"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advised that a utilisation review by DUSC should be conducted two years after listing of any new therapies, which should also assess whether the newer therapies have resulted in a reduction in IVIg use (noting this would require data from the </w:t>
      </w:r>
      <w:r w:rsidR="008351DF" w:rsidRPr="00350596">
        <w:rPr>
          <w:rFonts w:asciiTheme="minorHAnsi" w:hAnsiTheme="minorHAnsi"/>
          <w:bCs/>
          <w:snapToGrid w:val="0"/>
          <w:lang w:eastAsia="en-US"/>
        </w:rPr>
        <w:t>NBA</w:t>
      </w:r>
      <w:r w:rsidRPr="00350596">
        <w:rPr>
          <w:rFonts w:asciiTheme="minorHAnsi" w:hAnsiTheme="minorHAnsi"/>
          <w:bCs/>
          <w:snapToGrid w:val="0"/>
          <w:lang w:eastAsia="en-US"/>
        </w:rPr>
        <w:t>).</w:t>
      </w:r>
    </w:p>
    <w:p w14:paraId="6074D5CB" w14:textId="68E22986" w:rsidR="00927CFA"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 xml:space="preserve">The PBAC advised that </w:t>
      </w:r>
      <w:r w:rsidR="006309C7" w:rsidRPr="00350596">
        <w:rPr>
          <w:rFonts w:asciiTheme="minorHAnsi" w:hAnsiTheme="minorHAnsi"/>
          <w:bCs/>
          <w:snapToGrid w:val="0"/>
          <w:lang w:eastAsia="en-US"/>
        </w:rPr>
        <w:t xml:space="preserve">efgartigimod </w:t>
      </w:r>
      <w:r w:rsidRPr="00350596">
        <w:rPr>
          <w:rFonts w:asciiTheme="minorHAnsi" w:hAnsiTheme="minorHAnsi"/>
          <w:bCs/>
          <w:snapToGrid w:val="0"/>
          <w:lang w:eastAsia="en-US"/>
        </w:rPr>
        <w:t>is not suitable for prescribing by nurse practitioners.</w:t>
      </w:r>
    </w:p>
    <w:p w14:paraId="7134929A" w14:textId="7B4B0EF3" w:rsidR="0023321F" w:rsidRPr="00350596" w:rsidRDefault="0023321F" w:rsidP="002100FC">
      <w:pPr>
        <w:pStyle w:val="COMexecsummnumbered"/>
        <w:rPr>
          <w:rFonts w:eastAsia="Times New Roman" w:cs="Arial"/>
          <w:bCs/>
          <w:snapToGrid w:val="0"/>
          <w:szCs w:val="24"/>
          <w:lang w:eastAsia="en-US"/>
        </w:rPr>
      </w:pPr>
      <w:bookmarkStart w:id="104" w:name="_Hlk194998632"/>
      <w:r w:rsidRPr="00350596">
        <w:rPr>
          <w:rFonts w:eastAsia="Times New Roman" w:cs="Arial"/>
          <w:bCs/>
          <w:snapToGrid w:val="0"/>
          <w:szCs w:val="24"/>
          <w:lang w:eastAsia="en-US"/>
        </w:rPr>
        <w:t>Efgartigimod should be exempt from the Early Supply Rule as it does not be apply to Section 100 Highly Specialised Drug listings.</w:t>
      </w:r>
    </w:p>
    <w:p w14:paraId="59935D8A" w14:textId="77777777" w:rsidR="0023321F" w:rsidRPr="00350596" w:rsidRDefault="0023321F" w:rsidP="002100FC">
      <w:pPr>
        <w:pStyle w:val="COMexecsummnumbered"/>
        <w:widowControl w:val="0"/>
        <w:numPr>
          <w:ilvl w:val="1"/>
          <w:numId w:val="1"/>
        </w:numPr>
        <w:rPr>
          <w:bCs/>
          <w:snapToGrid w:val="0"/>
          <w:lang w:eastAsia="en-US"/>
        </w:rPr>
      </w:pPr>
      <w:r w:rsidRPr="00350596">
        <w:rPr>
          <w:rFonts w:eastAsia="Times New Roman" w:cs="Arial"/>
          <w:bCs/>
          <w:snapToGrid w:val="0"/>
          <w:szCs w:val="24"/>
          <w:lang w:eastAsia="en-US"/>
        </w:rPr>
        <w:t>The PBAC advised that efgartigimod should not be treated as interchangeable with any other drugs.</w:t>
      </w:r>
    </w:p>
    <w:bookmarkEnd w:id="104"/>
    <w:p w14:paraId="7D3AB365" w14:textId="74E6E95C" w:rsidR="00927CFA" w:rsidRPr="00350596" w:rsidRDefault="00927CFA" w:rsidP="002100FC">
      <w:pPr>
        <w:pStyle w:val="COMexecsummnumbered"/>
        <w:widowControl w:val="0"/>
        <w:numPr>
          <w:ilvl w:val="1"/>
          <w:numId w:val="1"/>
        </w:numPr>
        <w:rPr>
          <w:bCs/>
          <w:snapToGrid w:val="0"/>
          <w:lang w:eastAsia="en-US"/>
        </w:rPr>
      </w:pPr>
      <w:r w:rsidRPr="00350596">
        <w:rPr>
          <w:bCs/>
          <w:snapToGrid w:val="0"/>
          <w:lang w:eastAsia="en-US"/>
        </w:rPr>
        <w:t xml:space="preserve">The PBAC found that the criteria prescribed by the National Health (Pharmaceuticals and Vaccines – Cost Recovery) Regulations 2022 for Pricing Pathway A were not met. Specifically, the PBAC found that in the circumstances of its recommendation for </w:t>
      </w:r>
      <w:r w:rsidR="006309C7" w:rsidRPr="00350596">
        <w:rPr>
          <w:bCs/>
          <w:snapToGrid w:val="0"/>
          <w:lang w:eastAsia="en-US"/>
        </w:rPr>
        <w:t>efgartigimod</w:t>
      </w:r>
      <w:r w:rsidRPr="00350596">
        <w:rPr>
          <w:bCs/>
          <w:snapToGrid w:val="0"/>
          <w:lang w:eastAsia="en-US"/>
        </w:rPr>
        <w:t>:</w:t>
      </w:r>
    </w:p>
    <w:p w14:paraId="5001240C" w14:textId="77777777" w:rsidR="00927CFA" w:rsidRPr="00350596" w:rsidRDefault="00927CFA" w:rsidP="002100FC">
      <w:pPr>
        <w:widowControl w:val="0"/>
        <w:numPr>
          <w:ilvl w:val="1"/>
          <w:numId w:val="44"/>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The treatment is not expected to provide a substantial and clinically relevant improvement in efficacy, or reduction of toxicity, over IVIg;</w:t>
      </w:r>
    </w:p>
    <w:p w14:paraId="56D0D206" w14:textId="77777777" w:rsidR="00927CFA" w:rsidRPr="00350596" w:rsidRDefault="00927CFA" w:rsidP="002100FC">
      <w:pPr>
        <w:widowControl w:val="0"/>
        <w:numPr>
          <w:ilvl w:val="1"/>
          <w:numId w:val="44"/>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 xml:space="preserve">The treatment is not expected to address a high and urgent unmet clinical need because an alternative therapy (IVIg) is available; </w:t>
      </w:r>
    </w:p>
    <w:p w14:paraId="24161F13" w14:textId="77777777" w:rsidR="00927CFA" w:rsidRPr="00350596" w:rsidRDefault="00927CFA" w:rsidP="002100FC">
      <w:pPr>
        <w:widowControl w:val="0"/>
        <w:numPr>
          <w:ilvl w:val="1"/>
          <w:numId w:val="44"/>
        </w:numPr>
        <w:spacing w:before="120" w:after="120"/>
        <w:ind w:left="1134"/>
        <w:rPr>
          <w:rFonts w:asciiTheme="minorHAnsi" w:hAnsiTheme="minorHAnsi"/>
          <w:bCs/>
          <w:snapToGrid w:val="0"/>
          <w:lang w:eastAsia="en-US"/>
        </w:rPr>
      </w:pPr>
      <w:r w:rsidRPr="00350596">
        <w:rPr>
          <w:rFonts w:asciiTheme="minorHAnsi" w:hAnsiTheme="minorHAnsi"/>
          <w:bCs/>
          <w:snapToGrid w:val="0"/>
          <w:lang w:eastAsia="en-US"/>
        </w:rPr>
        <w:t xml:space="preserve">It was not necessary to make a finding in relation to whether it would be in the public interest for the subsequent pricing application to be progressed under Pricing Pathway A because one or more of the preceding tests had failed. </w:t>
      </w:r>
    </w:p>
    <w:p w14:paraId="4F3991BC" w14:textId="201A7CCD" w:rsidR="00CB7461" w:rsidRPr="00350596" w:rsidRDefault="00927CFA" w:rsidP="002100FC">
      <w:pPr>
        <w:widowControl w:val="0"/>
        <w:numPr>
          <w:ilvl w:val="1"/>
          <w:numId w:val="1"/>
        </w:numPr>
        <w:spacing w:before="120" w:after="120"/>
        <w:rPr>
          <w:rFonts w:asciiTheme="minorHAnsi" w:hAnsiTheme="minorHAnsi"/>
          <w:bCs/>
          <w:snapToGrid w:val="0"/>
          <w:lang w:eastAsia="en-US"/>
        </w:rPr>
      </w:pPr>
      <w:r w:rsidRPr="00350596">
        <w:rPr>
          <w:rFonts w:asciiTheme="minorHAnsi" w:hAnsiTheme="minorHAnsi"/>
          <w:bCs/>
          <w:snapToGrid w:val="0"/>
          <w:lang w:eastAsia="en-US"/>
        </w:rPr>
        <w:t>The PBAC noted that this submission is not eligible for an Independent Review as it received a positive recommendation.</w:t>
      </w:r>
      <w:r w:rsidR="00CB7461" w:rsidRPr="00350596">
        <w:rPr>
          <w:rFonts w:asciiTheme="minorHAnsi" w:hAnsiTheme="minorHAnsi"/>
          <w:bCs/>
          <w:snapToGrid w:val="0"/>
          <w:lang w:eastAsia="en-US"/>
        </w:rPr>
        <w:t xml:space="preserve"> </w:t>
      </w:r>
    </w:p>
    <w:p w14:paraId="7453896B" w14:textId="77777777" w:rsidR="00CB7461" w:rsidRPr="00350596" w:rsidRDefault="00CB7461" w:rsidP="00CB7461">
      <w:pPr>
        <w:spacing w:before="240"/>
        <w:rPr>
          <w:rFonts w:asciiTheme="minorHAnsi" w:hAnsiTheme="minorHAnsi"/>
          <w:b/>
          <w:bCs/>
          <w:snapToGrid w:val="0"/>
          <w:lang w:eastAsia="en-US"/>
        </w:rPr>
      </w:pPr>
      <w:r w:rsidRPr="00350596">
        <w:rPr>
          <w:rFonts w:asciiTheme="minorHAnsi" w:hAnsiTheme="minorHAnsi"/>
          <w:b/>
          <w:bCs/>
          <w:snapToGrid w:val="0"/>
          <w:lang w:eastAsia="en-US"/>
        </w:rPr>
        <w:lastRenderedPageBreak/>
        <w:t>Outcome:</w:t>
      </w:r>
    </w:p>
    <w:p w14:paraId="43CBB6B2" w14:textId="59D67740" w:rsidR="00CB7461" w:rsidRPr="00350596" w:rsidRDefault="00CB7461" w:rsidP="00CB7461">
      <w:pPr>
        <w:spacing w:after="120"/>
        <w:rPr>
          <w:rFonts w:asciiTheme="minorHAnsi" w:hAnsiTheme="minorHAnsi"/>
          <w:bCs/>
          <w:snapToGrid w:val="0"/>
          <w:lang w:eastAsia="en-US"/>
        </w:rPr>
      </w:pPr>
      <w:r w:rsidRPr="00350596">
        <w:rPr>
          <w:rFonts w:asciiTheme="minorHAnsi" w:hAnsiTheme="minorHAnsi"/>
          <w:bCs/>
          <w:snapToGrid w:val="0"/>
          <w:lang w:eastAsia="en-US"/>
        </w:rPr>
        <w:t xml:space="preserve">Recommended </w:t>
      </w:r>
    </w:p>
    <w:bookmarkEnd w:id="82"/>
    <w:p w14:paraId="3B4CDF2D" w14:textId="77777777" w:rsidR="00CB7461" w:rsidRPr="00350596" w:rsidRDefault="00CB7461" w:rsidP="00CB7461">
      <w:pPr>
        <w:keepNext/>
        <w:numPr>
          <w:ilvl w:val="0"/>
          <w:numId w:val="1"/>
        </w:numPr>
        <w:spacing w:before="240" w:after="120"/>
        <w:jc w:val="left"/>
        <w:outlineLvl w:val="0"/>
        <w:rPr>
          <w:rFonts w:asciiTheme="minorHAnsi" w:hAnsiTheme="minorHAnsi"/>
          <w:b/>
          <w:snapToGrid w:val="0"/>
          <w:sz w:val="32"/>
          <w:szCs w:val="32"/>
        </w:rPr>
      </w:pPr>
      <w:r w:rsidRPr="00350596">
        <w:rPr>
          <w:rFonts w:asciiTheme="minorHAnsi" w:hAnsiTheme="minorHAnsi"/>
          <w:b/>
          <w:snapToGrid w:val="0"/>
          <w:sz w:val="32"/>
          <w:szCs w:val="32"/>
        </w:rPr>
        <w:t>Recommended listing</w:t>
      </w:r>
    </w:p>
    <w:p w14:paraId="0C63FF3B" w14:textId="56CD777B" w:rsidR="00CB7461" w:rsidRPr="00350596" w:rsidRDefault="004576C8" w:rsidP="004100C7">
      <w:pPr>
        <w:widowControl w:val="0"/>
        <w:spacing w:after="120"/>
        <w:ind w:left="720"/>
        <w:contextualSpacing/>
        <w:jc w:val="left"/>
        <w:rPr>
          <w:rFonts w:asciiTheme="minorHAnsi" w:hAnsiTheme="minorHAnsi"/>
          <w:bCs/>
          <w:snapToGrid w:val="0"/>
          <w:lang w:eastAsia="en-US"/>
        </w:rPr>
      </w:pPr>
      <w:r w:rsidRPr="00350596">
        <w:rPr>
          <w:rFonts w:asciiTheme="minorHAnsi" w:hAnsiTheme="minorHAnsi"/>
          <w:bCs/>
          <w:snapToGrid w:val="0"/>
          <w:lang w:eastAsia="en-US"/>
        </w:rPr>
        <w:t>This restriction is in the process of being finalised (see point 8.4). The sponsor will be notified of the final restriction.</w:t>
      </w:r>
    </w:p>
    <w:p w14:paraId="6C167133" w14:textId="77777777" w:rsidR="00166F30" w:rsidRPr="00350596" w:rsidRDefault="00166F30" w:rsidP="00166F30">
      <w:pPr>
        <w:pStyle w:val="2-SectionHeading"/>
        <w:numPr>
          <w:ilvl w:val="0"/>
          <w:numId w:val="4"/>
        </w:numPr>
      </w:pPr>
      <w:r w:rsidRPr="00350596">
        <w:t>Context for Decision</w:t>
      </w:r>
    </w:p>
    <w:p w14:paraId="3401B4F4" w14:textId="77777777" w:rsidR="00166F30" w:rsidRPr="00350596" w:rsidRDefault="00166F30" w:rsidP="00166F30">
      <w:pPr>
        <w:spacing w:after="120"/>
        <w:ind w:left="720"/>
        <w:rPr>
          <w:rFonts w:asciiTheme="minorHAnsi" w:hAnsiTheme="minorHAnsi"/>
          <w:bCs/>
        </w:rPr>
      </w:pPr>
      <w:r w:rsidRPr="00350596">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87BF32" w14:textId="77777777" w:rsidR="00166F30" w:rsidRPr="00350596" w:rsidRDefault="00166F30" w:rsidP="00166F30">
      <w:pPr>
        <w:pStyle w:val="2-SectionHeading"/>
        <w:numPr>
          <w:ilvl w:val="0"/>
          <w:numId w:val="4"/>
        </w:numPr>
      </w:pPr>
      <w:r w:rsidRPr="00350596">
        <w:t>Sponsor’s Comment</w:t>
      </w:r>
    </w:p>
    <w:p w14:paraId="1937EB9C" w14:textId="4BFC045B" w:rsidR="00181C94" w:rsidRPr="00986A24" w:rsidRDefault="00350596" w:rsidP="00986A24">
      <w:pPr>
        <w:spacing w:after="120" w:line="276" w:lineRule="auto"/>
        <w:ind w:left="720"/>
        <w:rPr>
          <w:rFonts w:asciiTheme="minorHAnsi" w:eastAsiaTheme="minorHAnsi" w:hAnsiTheme="minorHAnsi"/>
          <w:bCs/>
          <w:szCs w:val="22"/>
          <w:lang w:eastAsia="en-US"/>
        </w:rPr>
      </w:pPr>
      <w:bookmarkStart w:id="105" w:name="_Hlk199492325"/>
      <w:r>
        <w:rPr>
          <w:rFonts w:asciiTheme="minorHAnsi" w:eastAsiaTheme="minorHAnsi" w:hAnsiTheme="minorHAnsi"/>
          <w:bCs/>
          <w:szCs w:val="22"/>
          <w:lang w:eastAsia="en-US"/>
        </w:rPr>
        <w:t>A</w:t>
      </w:r>
      <w:r w:rsidR="003E2BE9" w:rsidRPr="00350596">
        <w:rPr>
          <w:rFonts w:asciiTheme="minorHAnsi" w:eastAsiaTheme="minorHAnsi" w:hAnsiTheme="minorHAnsi"/>
          <w:bCs/>
          <w:szCs w:val="22"/>
          <w:lang w:eastAsia="en-US"/>
        </w:rPr>
        <w:t xml:space="preserve">rgenx is delighted that the PBAC recognises the high clinical need for new therapies to treat generalised myasthenia gravis (gMG), and welcomes the PBAC’s intent to list efgartigimod for the treatment of this condition. The PBAC is to be commended for its recognition of the significant impact that gMG can have on the quality of life of patients and their families, as outlined in the comments from patients, carers and clinicians. </w:t>
      </w:r>
      <w:r>
        <w:rPr>
          <w:rFonts w:asciiTheme="minorHAnsi" w:eastAsiaTheme="minorHAnsi" w:hAnsiTheme="minorHAnsi"/>
          <w:bCs/>
          <w:szCs w:val="22"/>
          <w:lang w:eastAsia="en-US"/>
        </w:rPr>
        <w:t>A</w:t>
      </w:r>
      <w:r w:rsidR="003E2BE9" w:rsidRPr="00350596">
        <w:rPr>
          <w:rFonts w:asciiTheme="minorHAnsi" w:eastAsiaTheme="minorHAnsi" w:hAnsiTheme="minorHAnsi"/>
          <w:bCs/>
          <w:szCs w:val="22"/>
          <w:lang w:eastAsia="en-US"/>
        </w:rPr>
        <w:t xml:space="preserve">rgenx is committed to improving the lives of patients and believes that efgartigimod will deliver </w:t>
      </w:r>
      <w:r w:rsidR="00FE4B8F" w:rsidRPr="00350596">
        <w:rPr>
          <w:rFonts w:asciiTheme="minorHAnsi" w:eastAsiaTheme="minorHAnsi" w:hAnsiTheme="minorHAnsi"/>
          <w:bCs/>
          <w:szCs w:val="22"/>
          <w:lang w:eastAsia="en-US"/>
        </w:rPr>
        <w:t xml:space="preserve">significant </w:t>
      </w:r>
      <w:r w:rsidR="003E2BE9" w:rsidRPr="00350596">
        <w:rPr>
          <w:rFonts w:asciiTheme="minorHAnsi" w:eastAsiaTheme="minorHAnsi" w:hAnsiTheme="minorHAnsi"/>
          <w:bCs/>
          <w:szCs w:val="22"/>
          <w:lang w:eastAsia="en-US"/>
        </w:rPr>
        <w:t xml:space="preserve">additional benefits over the current standard of care for gMG. For this reason, </w:t>
      </w:r>
      <w:r w:rsidR="00986A24">
        <w:rPr>
          <w:rFonts w:asciiTheme="minorHAnsi" w:eastAsiaTheme="minorHAnsi" w:hAnsiTheme="minorHAnsi"/>
          <w:bCs/>
          <w:szCs w:val="22"/>
          <w:lang w:eastAsia="en-US"/>
        </w:rPr>
        <w:t>A</w:t>
      </w:r>
      <w:r w:rsidR="003E2BE9" w:rsidRPr="00350596">
        <w:rPr>
          <w:rFonts w:asciiTheme="minorHAnsi" w:eastAsiaTheme="minorHAnsi" w:hAnsiTheme="minorHAnsi"/>
          <w:bCs/>
          <w:szCs w:val="22"/>
          <w:lang w:eastAsia="en-US"/>
        </w:rPr>
        <w:t xml:space="preserve">rgenx is disappointed that the PBAC’s recommendation doesn’t reflect the true value of efgartigimod and the company is unable to accept the conditions of the recommendation. Recognising the urgency to deliver life-changing immunology solutions to patients, </w:t>
      </w:r>
      <w:r w:rsidR="00986A24">
        <w:rPr>
          <w:rFonts w:asciiTheme="minorHAnsi" w:eastAsiaTheme="minorHAnsi" w:hAnsiTheme="minorHAnsi"/>
          <w:bCs/>
          <w:szCs w:val="22"/>
          <w:lang w:eastAsia="en-US"/>
        </w:rPr>
        <w:t>A</w:t>
      </w:r>
      <w:r w:rsidR="003E2BE9" w:rsidRPr="00350596">
        <w:rPr>
          <w:rFonts w:asciiTheme="minorHAnsi" w:eastAsiaTheme="minorHAnsi" w:hAnsiTheme="minorHAnsi"/>
          <w:bCs/>
          <w:szCs w:val="22"/>
          <w:lang w:eastAsia="en-US"/>
        </w:rPr>
        <w:t>rgenx is eager to work with the PBAC to co-create solutions to resolve this issue.</w:t>
      </w:r>
      <w:bookmarkEnd w:id="105"/>
    </w:p>
    <w:sectPr w:rsidR="00181C94" w:rsidRPr="00986A24" w:rsidSect="00F9003A">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906F" w14:textId="77777777" w:rsidR="00DB0FBB" w:rsidRPr="00350596" w:rsidRDefault="00DB0FBB" w:rsidP="00124A51">
      <w:r w:rsidRPr="00350596">
        <w:separator/>
      </w:r>
    </w:p>
    <w:p w14:paraId="7BF2B203" w14:textId="77777777" w:rsidR="00DB0FBB" w:rsidRPr="00350596" w:rsidRDefault="00DB0FBB"/>
    <w:p w14:paraId="28A40611" w14:textId="77777777" w:rsidR="00DB0FBB" w:rsidRPr="00350596" w:rsidRDefault="00DB0FBB"/>
    <w:p w14:paraId="37898016" w14:textId="77777777" w:rsidR="00DB0FBB" w:rsidRPr="00350596" w:rsidRDefault="00DB0FBB"/>
  </w:endnote>
  <w:endnote w:type="continuationSeparator" w:id="0">
    <w:p w14:paraId="70F2B118" w14:textId="77777777" w:rsidR="00DB0FBB" w:rsidRPr="00350596" w:rsidRDefault="00DB0FBB" w:rsidP="00124A51">
      <w:r w:rsidRPr="00350596">
        <w:continuationSeparator/>
      </w:r>
    </w:p>
    <w:p w14:paraId="2980E9BE" w14:textId="77777777" w:rsidR="00DB0FBB" w:rsidRPr="00350596" w:rsidRDefault="00DB0FBB"/>
    <w:p w14:paraId="5193F9F6" w14:textId="77777777" w:rsidR="00DB0FBB" w:rsidRPr="00350596" w:rsidRDefault="00DB0FBB"/>
    <w:p w14:paraId="34E92756" w14:textId="77777777" w:rsidR="00DB0FBB" w:rsidRPr="00350596" w:rsidRDefault="00DB0FBB"/>
  </w:endnote>
  <w:endnote w:type="continuationNotice" w:id="1">
    <w:p w14:paraId="0B358099" w14:textId="77777777" w:rsidR="00DB0FBB" w:rsidRPr="00350596" w:rsidRDefault="00DB0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0FF5" w14:textId="4A777380" w:rsidR="00823FDB" w:rsidRDefault="00070FA2">
    <w:pPr>
      <w:pStyle w:val="Footer"/>
    </w:pPr>
    <w:r>
      <w:rPr>
        <w:noProof/>
      </w:rPr>
      <mc:AlternateContent>
        <mc:Choice Requires="wps">
          <w:drawing>
            <wp:anchor distT="0" distB="0" distL="0" distR="0" simplePos="0" relativeHeight="251663365" behindDoc="0" locked="0" layoutInCell="1" allowOverlap="1" wp14:anchorId="6396C991" wp14:editId="59C0996B">
              <wp:simplePos x="635" y="635"/>
              <wp:positionH relativeFrom="page">
                <wp:align>center</wp:align>
              </wp:positionH>
              <wp:positionV relativeFrom="page">
                <wp:align>bottom</wp:align>
              </wp:positionV>
              <wp:extent cx="551815" cy="376555"/>
              <wp:effectExtent l="0" t="0" r="635" b="0"/>
              <wp:wrapNone/>
              <wp:docPr id="5023141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0BB99B" w14:textId="14DC20B0" w:rsidR="00070FA2" w:rsidRPr="00070FA2" w:rsidRDefault="00070FA2" w:rsidP="00070FA2">
                          <w:pPr>
                            <w:rPr>
                              <w:rFonts w:eastAsia="Calibri" w:cs="Calibri"/>
                              <w:noProof/>
                              <w:color w:val="FF0000"/>
                            </w:rPr>
                          </w:pPr>
                          <w:r w:rsidRPr="00070FA2">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6C99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80BB99B" w14:textId="14DC20B0" w:rsidR="00070FA2" w:rsidRPr="00070FA2" w:rsidRDefault="00070FA2" w:rsidP="00070FA2">
                    <w:pPr>
                      <w:rPr>
                        <w:rFonts w:eastAsia="Calibri" w:cs="Calibri"/>
                        <w:noProof/>
                        <w:color w:val="FF0000"/>
                      </w:rPr>
                    </w:pPr>
                    <w:r w:rsidRPr="00070FA2">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EB23" w14:textId="11DA6AB3" w:rsidR="009A38CB" w:rsidRPr="00350596" w:rsidRDefault="00070FA2" w:rsidP="00753B29">
    <w:pPr>
      <w:jc w:val="center"/>
    </w:pPr>
    <w:r>
      <w:rPr>
        <w:noProof/>
      </w:rPr>
      <mc:AlternateContent>
        <mc:Choice Requires="wps">
          <w:drawing>
            <wp:anchor distT="0" distB="0" distL="0" distR="0" simplePos="0" relativeHeight="251664389" behindDoc="0" locked="0" layoutInCell="1" allowOverlap="1" wp14:anchorId="033C22E2" wp14:editId="4A2DFAA1">
              <wp:simplePos x="635" y="635"/>
              <wp:positionH relativeFrom="page">
                <wp:align>center</wp:align>
              </wp:positionH>
              <wp:positionV relativeFrom="page">
                <wp:align>bottom</wp:align>
              </wp:positionV>
              <wp:extent cx="551815" cy="376555"/>
              <wp:effectExtent l="0" t="0" r="635" b="0"/>
              <wp:wrapNone/>
              <wp:docPr id="13486266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4F10AD" w14:textId="643F8C7F" w:rsidR="00070FA2" w:rsidRPr="00070FA2" w:rsidRDefault="00070FA2" w:rsidP="00070FA2">
                          <w:pPr>
                            <w:rPr>
                              <w:rFonts w:eastAsia="Calibri" w:cs="Calibri"/>
                              <w:noProof/>
                              <w:color w:val="FF0000"/>
                            </w:rPr>
                          </w:pPr>
                          <w:r w:rsidRPr="00070FA2">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C22E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04F10AD" w14:textId="643F8C7F" w:rsidR="00070FA2" w:rsidRPr="00070FA2" w:rsidRDefault="00070FA2" w:rsidP="00070FA2">
                    <w:pPr>
                      <w:rPr>
                        <w:rFonts w:eastAsia="Calibri" w:cs="Calibri"/>
                        <w:noProof/>
                        <w:color w:val="FF0000"/>
                      </w:rPr>
                    </w:pPr>
                    <w:r w:rsidRPr="00070FA2">
                      <w:rPr>
                        <w:rFonts w:eastAsia="Calibri" w:cs="Calibri"/>
                        <w:noProof/>
                        <w:color w:val="FF0000"/>
                      </w:rPr>
                      <w:t>OFFICIAL</w:t>
                    </w:r>
                  </w:p>
                </w:txbxContent>
              </v:textbox>
              <w10:wrap anchorx="page" anchory="page"/>
            </v:shape>
          </w:pict>
        </mc:Fallback>
      </mc:AlternateContent>
    </w:r>
  </w:p>
  <w:p w14:paraId="5ECB7CF2" w14:textId="72468602" w:rsidR="009A38CB" w:rsidRPr="00350596" w:rsidRDefault="002B16A5" w:rsidP="00753B29">
    <w:pPr>
      <w:jc w:val="center"/>
      <w:rPr>
        <w:b/>
        <w:bCs/>
      </w:rPr>
    </w:pPr>
    <w:sdt>
      <w:sdtPr>
        <w:rPr>
          <w:b/>
          <w:bCs/>
        </w:rPr>
        <w:id w:val="-485547076"/>
        <w:docPartObj>
          <w:docPartGallery w:val="Page Numbers (Bottom of Page)"/>
          <w:docPartUnique/>
        </w:docPartObj>
      </w:sdtPr>
      <w:sdtEndPr/>
      <w:sdtContent>
        <w:r w:rsidR="009A38CB" w:rsidRPr="00350596">
          <w:rPr>
            <w:b/>
            <w:bCs/>
          </w:rPr>
          <w:fldChar w:fldCharType="begin"/>
        </w:r>
        <w:r w:rsidR="009A38CB" w:rsidRPr="00350596">
          <w:rPr>
            <w:b/>
            <w:bCs/>
          </w:rPr>
          <w:instrText xml:space="preserve"> PAGE   \* MERGEFORMAT </w:instrText>
        </w:r>
        <w:r w:rsidR="009A38CB" w:rsidRPr="00350596">
          <w:rPr>
            <w:b/>
            <w:bCs/>
          </w:rPr>
          <w:fldChar w:fldCharType="separate"/>
        </w:r>
        <w:r w:rsidR="009A38CB" w:rsidRPr="00350596">
          <w:rPr>
            <w:b/>
            <w:bCs/>
          </w:rPr>
          <w:t>36</w:t>
        </w:r>
        <w:r w:rsidR="009A38CB" w:rsidRPr="00350596">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F442" w14:textId="552D6836" w:rsidR="00823FDB" w:rsidRDefault="00070FA2">
    <w:pPr>
      <w:pStyle w:val="Footer"/>
    </w:pPr>
    <w:r>
      <w:rPr>
        <w:noProof/>
      </w:rPr>
      <mc:AlternateContent>
        <mc:Choice Requires="wps">
          <w:drawing>
            <wp:anchor distT="0" distB="0" distL="0" distR="0" simplePos="0" relativeHeight="251662341" behindDoc="0" locked="0" layoutInCell="1" allowOverlap="1" wp14:anchorId="4A03D062" wp14:editId="082F9BA7">
              <wp:simplePos x="635" y="635"/>
              <wp:positionH relativeFrom="page">
                <wp:align>center</wp:align>
              </wp:positionH>
              <wp:positionV relativeFrom="page">
                <wp:align>bottom</wp:align>
              </wp:positionV>
              <wp:extent cx="551815" cy="376555"/>
              <wp:effectExtent l="0" t="0" r="635" b="0"/>
              <wp:wrapNone/>
              <wp:docPr id="143013024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221D48" w14:textId="79CA20EE" w:rsidR="00070FA2" w:rsidRPr="00070FA2" w:rsidRDefault="00070FA2" w:rsidP="00070FA2">
                          <w:pPr>
                            <w:rPr>
                              <w:rFonts w:eastAsia="Calibri" w:cs="Calibri"/>
                              <w:noProof/>
                              <w:color w:val="FF0000"/>
                            </w:rPr>
                          </w:pPr>
                          <w:r w:rsidRPr="00070FA2">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3D06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A221D48" w14:textId="79CA20EE" w:rsidR="00070FA2" w:rsidRPr="00070FA2" w:rsidRDefault="00070FA2" w:rsidP="00070FA2">
                    <w:pPr>
                      <w:rPr>
                        <w:rFonts w:eastAsia="Calibri" w:cs="Calibri"/>
                        <w:noProof/>
                        <w:color w:val="FF0000"/>
                      </w:rPr>
                    </w:pPr>
                    <w:r w:rsidRPr="00070FA2">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35E2" w14:textId="77777777" w:rsidR="00DB0FBB" w:rsidRPr="00350596" w:rsidRDefault="00DB0FBB" w:rsidP="00124A51">
      <w:r w:rsidRPr="00350596">
        <w:separator/>
      </w:r>
    </w:p>
  </w:footnote>
  <w:footnote w:type="continuationSeparator" w:id="0">
    <w:p w14:paraId="55EC3C0B" w14:textId="77777777" w:rsidR="00DB0FBB" w:rsidRPr="00350596" w:rsidRDefault="00DB0FBB" w:rsidP="00124A51">
      <w:r w:rsidRPr="00350596">
        <w:continuationSeparator/>
      </w:r>
    </w:p>
    <w:p w14:paraId="62C856B3" w14:textId="77777777" w:rsidR="00DB0FBB" w:rsidRPr="00350596" w:rsidRDefault="00DB0FBB"/>
    <w:p w14:paraId="3AB2EFAA" w14:textId="77777777" w:rsidR="00DB0FBB" w:rsidRPr="00350596" w:rsidRDefault="00DB0FBB"/>
    <w:p w14:paraId="7DA1100A" w14:textId="77777777" w:rsidR="00DB0FBB" w:rsidRPr="00350596" w:rsidRDefault="00DB0FBB"/>
  </w:footnote>
  <w:footnote w:type="continuationNotice" w:id="1">
    <w:p w14:paraId="13374EFE" w14:textId="77777777" w:rsidR="00DB0FBB" w:rsidRPr="00350596" w:rsidRDefault="00DB0FBB"/>
  </w:footnote>
  <w:footnote w:id="2">
    <w:p w14:paraId="092640F1" w14:textId="77777777" w:rsidR="00AF7C17" w:rsidRPr="00350596" w:rsidRDefault="00AF7C17" w:rsidP="00AF7C17">
      <w:pPr>
        <w:pStyle w:val="FootnoteText"/>
        <w:rPr>
          <w:rFonts w:ascii="Arial Narrow" w:hAnsi="Arial Narrow"/>
        </w:rPr>
      </w:pPr>
      <w:r w:rsidRPr="00350596">
        <w:rPr>
          <w:rStyle w:val="FootnoteReference"/>
        </w:rPr>
        <w:footnoteRef/>
      </w:r>
      <w:r w:rsidRPr="00350596">
        <w:t xml:space="preserve"> </w:t>
      </w:r>
      <w:r w:rsidRPr="00350596">
        <w:rPr>
          <w:rFonts w:ascii="Arial Narrow" w:hAnsi="Arial Narrow"/>
        </w:rPr>
        <w:t>Myasthenia Gravis Stakeholder Meeting (May 2024) Outcome Statement, Available at: https://www.pbs.gov.au/info/industry/listing/elements/pbac-meetings/stakeholder-meetings</w:t>
      </w:r>
    </w:p>
  </w:footnote>
  <w:footnote w:id="3">
    <w:p w14:paraId="1B961EE4" w14:textId="77777777" w:rsidR="00AF7C17" w:rsidRPr="00350596" w:rsidRDefault="00AF7C17" w:rsidP="00AF7C17">
      <w:pPr>
        <w:pStyle w:val="FootnoteText"/>
      </w:pPr>
      <w:r w:rsidRPr="00350596">
        <w:rPr>
          <w:rStyle w:val="FootnoteReference"/>
          <w:rFonts w:ascii="Arial Narrow" w:hAnsi="Arial Narrow"/>
        </w:rPr>
        <w:footnoteRef/>
      </w:r>
      <w:r w:rsidRPr="00350596">
        <w:rPr>
          <w:rFonts w:ascii="Arial Narrow" w:hAnsi="Arial Narrow"/>
        </w:rPr>
        <w:t xml:space="preserve"> Hehir, M.K., Burns, T.M., Alpers, J., Conaway, M.R., Sawa, M. and Sanders, D.B. (2010), Mycophenolate mofetil in AChR-antibody-positive myasthenia gravis: Outcomes in 102 patients†. Muscle Nerve, 41: 593-598. </w:t>
      </w:r>
      <w:hyperlink r:id="rId1" w:history="1">
        <w:r w:rsidRPr="00350596">
          <w:rPr>
            <w:rStyle w:val="Hyperlink"/>
            <w:rFonts w:ascii="Arial Narrow" w:hAnsi="Arial Narrow"/>
          </w:rPr>
          <w:t>https://doi.org/10.1002/mus.21640</w:t>
        </w:r>
      </w:hyperlink>
      <w:r w:rsidRPr="00350596">
        <w:rPr>
          <w:rFonts w:ascii="Arial Narrow" w:hAnsi="Arial Narrow"/>
        </w:rPr>
        <w:t>, Accessed at https://pubmed.ncbi.nlm.nih.gov/20405499/</w:t>
      </w:r>
    </w:p>
  </w:footnote>
  <w:footnote w:id="4">
    <w:p w14:paraId="692BD34A" w14:textId="77777777" w:rsidR="00AF7C17" w:rsidRPr="00350596" w:rsidRDefault="00AF7C17" w:rsidP="00AF7C17">
      <w:pPr>
        <w:pStyle w:val="FootnoteText"/>
        <w:rPr>
          <w:rFonts w:ascii="Arial Narrow" w:hAnsi="Arial Narrow"/>
        </w:rPr>
      </w:pPr>
      <w:r w:rsidRPr="00350596">
        <w:rPr>
          <w:rStyle w:val="FootnoteReference"/>
          <w:rFonts w:ascii="Arial Narrow" w:hAnsi="Arial Narrow"/>
        </w:rPr>
        <w:footnoteRef/>
      </w:r>
      <w:r w:rsidRPr="00350596">
        <w:rPr>
          <w:rFonts w:ascii="Arial Narrow" w:hAnsi="Arial Narrow"/>
        </w:rPr>
        <w:t xml:space="preserve"> Palace J, Newsom-Davis J, Lecky B. A randomized double-blind trial of prednisolone alone or with azathioprine in myasthenia gravis. Myasthenia Gravis Study Group. Neurology. 1998 Jun;50(6):1778-83. doi: 10.1212/wnl.50.6.1778. PMID: 9633727.</w:t>
      </w:r>
    </w:p>
  </w:footnote>
  <w:footnote w:id="5">
    <w:p w14:paraId="51559C24" w14:textId="77777777" w:rsidR="00AF7C17" w:rsidRPr="00350596" w:rsidRDefault="00AF7C17" w:rsidP="00AF7C17">
      <w:pPr>
        <w:pStyle w:val="FootnoteText"/>
        <w:rPr>
          <w:rFonts w:ascii="Arial Narrow" w:hAnsi="Arial Narrow"/>
        </w:rPr>
      </w:pPr>
      <w:r w:rsidRPr="00350596">
        <w:rPr>
          <w:rStyle w:val="FootnoteReference"/>
          <w:rFonts w:ascii="Arial Narrow" w:hAnsi="Arial Narrow"/>
        </w:rPr>
        <w:footnoteRef/>
      </w:r>
      <w:r w:rsidRPr="00350596">
        <w:rPr>
          <w:rFonts w:ascii="Arial Narrow" w:hAnsi="Arial Narrow"/>
        </w:rPr>
        <w:t xml:space="preserve"> Criteria for Clinical Use of Immunoglobulin in Australia, accessed at: </w:t>
      </w:r>
    </w:p>
    <w:p w14:paraId="5C53FE3F" w14:textId="77777777" w:rsidR="00AF7C17" w:rsidRPr="00350596" w:rsidRDefault="00AF7C17" w:rsidP="00AF7C17">
      <w:pPr>
        <w:pStyle w:val="FootnoteText"/>
      </w:pPr>
      <w:r w:rsidRPr="00350596">
        <w:rPr>
          <w:rFonts w:ascii="Arial Narrow" w:hAnsi="Arial Narrow"/>
        </w:rPr>
        <w:t xml:space="preserve"> https://www.criteria.blood.gov.au/MedicalCondition/View/2681</w:t>
      </w:r>
    </w:p>
  </w:footnote>
  <w:footnote w:id="6">
    <w:p w14:paraId="0F1B5D79" w14:textId="77777777" w:rsidR="00927CFA" w:rsidRDefault="00927CFA" w:rsidP="00927CFA">
      <w:pPr>
        <w:pStyle w:val="FootnoteText"/>
      </w:pPr>
      <w:r w:rsidRPr="00350596">
        <w:rPr>
          <w:rStyle w:val="FootnoteReference"/>
        </w:rPr>
        <w:footnoteRef/>
      </w:r>
      <w:r w:rsidRPr="00350596">
        <w:t xml:space="preserve"> Australian Product Information for Privigen and Intragam </w:t>
      </w:r>
      <w:hyperlink r:id="rId2" w:history="1">
        <w:r w:rsidRPr="00350596">
          <w:rPr>
            <w:rStyle w:val="Hyperlink"/>
          </w:rPr>
          <w:t>https://www.ebs.tga.gov.au/ebs/picmi/picmirepository.nsf/pdf?OpenAgent=&amp;id=CP-2020-PI-01935-1&amp;d=20250321172310101</w:t>
        </w:r>
      </w:hyperlink>
      <w:r w:rsidRPr="00350596">
        <w:t>; https://www.ebs.tga.gov.au/ebs/picmi/picmirepository.nsf/pdf?OpenAgent=&amp;id=CP-2014-PI-03087-1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D03" w14:textId="111B59E0" w:rsidR="00823FDB" w:rsidRDefault="00070FA2">
    <w:pPr>
      <w:pStyle w:val="Header"/>
    </w:pPr>
    <w:r>
      <w:rPr>
        <w:noProof/>
      </w:rPr>
      <mc:AlternateContent>
        <mc:Choice Requires="wps">
          <w:drawing>
            <wp:anchor distT="0" distB="0" distL="0" distR="0" simplePos="0" relativeHeight="251660293" behindDoc="0" locked="0" layoutInCell="1" allowOverlap="1" wp14:anchorId="6153A550" wp14:editId="17EB5BC5">
              <wp:simplePos x="635" y="635"/>
              <wp:positionH relativeFrom="page">
                <wp:align>center</wp:align>
              </wp:positionH>
              <wp:positionV relativeFrom="page">
                <wp:align>top</wp:align>
              </wp:positionV>
              <wp:extent cx="551815" cy="376555"/>
              <wp:effectExtent l="0" t="0" r="635" b="4445"/>
              <wp:wrapNone/>
              <wp:docPr id="11069722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C9944F" w14:textId="0C4B7BE2" w:rsidR="00070FA2" w:rsidRPr="00070FA2" w:rsidRDefault="00070FA2" w:rsidP="00070FA2">
                          <w:pPr>
                            <w:rPr>
                              <w:rFonts w:eastAsia="Calibri" w:cs="Calibri"/>
                              <w:noProof/>
                              <w:color w:val="FF0000"/>
                            </w:rPr>
                          </w:pPr>
                          <w:r w:rsidRPr="00070FA2">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3A55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CC9944F" w14:textId="0C4B7BE2" w:rsidR="00070FA2" w:rsidRPr="00070FA2" w:rsidRDefault="00070FA2" w:rsidP="00070FA2">
                    <w:pPr>
                      <w:rPr>
                        <w:rFonts w:eastAsia="Calibri" w:cs="Calibri"/>
                        <w:noProof/>
                        <w:color w:val="FF0000"/>
                      </w:rPr>
                    </w:pPr>
                    <w:r w:rsidRPr="00070FA2">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FE3B" w14:textId="2C6D2453" w:rsidR="009A38CB" w:rsidRPr="00350596" w:rsidRDefault="00070FA2" w:rsidP="007959EA">
    <w:pPr>
      <w:jc w:val="center"/>
      <w:rPr>
        <w:rFonts w:asciiTheme="minorHAnsi" w:hAnsiTheme="minorHAnsi"/>
        <w:i/>
        <w:color w:val="808080"/>
      </w:rPr>
    </w:pPr>
    <w:r>
      <w:rPr>
        <w:rFonts w:asciiTheme="minorHAnsi" w:hAnsiTheme="minorHAnsi"/>
        <w:i/>
        <w:noProof/>
        <w:color w:val="808080"/>
      </w:rPr>
      <mc:AlternateContent>
        <mc:Choice Requires="wps">
          <w:drawing>
            <wp:anchor distT="0" distB="0" distL="0" distR="0" simplePos="0" relativeHeight="251661317" behindDoc="0" locked="0" layoutInCell="1" allowOverlap="1" wp14:anchorId="72175872" wp14:editId="7C3CAE42">
              <wp:simplePos x="635" y="635"/>
              <wp:positionH relativeFrom="page">
                <wp:align>center</wp:align>
              </wp:positionH>
              <wp:positionV relativeFrom="page">
                <wp:align>top</wp:align>
              </wp:positionV>
              <wp:extent cx="551815" cy="376555"/>
              <wp:effectExtent l="0" t="0" r="635" b="4445"/>
              <wp:wrapNone/>
              <wp:docPr id="19601769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B94365" w14:textId="3E5B528F" w:rsidR="00070FA2" w:rsidRPr="00070FA2" w:rsidRDefault="00070FA2" w:rsidP="00070FA2">
                          <w:pPr>
                            <w:rPr>
                              <w:rFonts w:eastAsia="Calibri" w:cs="Calibri"/>
                              <w:noProof/>
                              <w:color w:val="FF0000"/>
                            </w:rPr>
                          </w:pPr>
                          <w:r w:rsidRPr="00070FA2">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7587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0B94365" w14:textId="3E5B528F" w:rsidR="00070FA2" w:rsidRPr="00070FA2" w:rsidRDefault="00070FA2" w:rsidP="00070FA2">
                    <w:pPr>
                      <w:rPr>
                        <w:rFonts w:eastAsia="Calibri" w:cs="Calibri"/>
                        <w:noProof/>
                        <w:color w:val="FF0000"/>
                      </w:rPr>
                    </w:pPr>
                    <w:r w:rsidRPr="00070FA2">
                      <w:rPr>
                        <w:rFonts w:eastAsia="Calibri" w:cs="Calibri"/>
                        <w:noProof/>
                        <w:color w:val="FF0000"/>
                      </w:rPr>
                      <w:t>OFFICIAL</w:t>
                    </w:r>
                  </w:p>
                </w:txbxContent>
              </v:textbox>
              <w10:wrap anchorx="page" anchory="page"/>
            </v:shape>
          </w:pict>
        </mc:Fallback>
      </mc:AlternateContent>
    </w:r>
    <w:r w:rsidR="00280074" w:rsidRPr="00350596">
      <w:rPr>
        <w:rFonts w:asciiTheme="minorHAnsi" w:hAnsiTheme="minorHAnsi"/>
        <w:i/>
        <w:color w:val="808080"/>
      </w:rPr>
      <w:t xml:space="preserve">Public Summary Document </w:t>
    </w:r>
    <w:r w:rsidR="00FC54E1" w:rsidRPr="00350596">
      <w:rPr>
        <w:rFonts w:asciiTheme="minorHAnsi" w:hAnsiTheme="minorHAnsi"/>
        <w:i/>
        <w:color w:val="808080"/>
      </w:rPr>
      <w:t xml:space="preserve">– </w:t>
    </w:r>
    <w:r w:rsidR="009A38CB" w:rsidRPr="00350596">
      <w:rPr>
        <w:rFonts w:asciiTheme="minorHAnsi" w:hAnsiTheme="minorHAnsi"/>
        <w:i/>
        <w:color w:val="808080"/>
      </w:rPr>
      <w:t>March 202</w:t>
    </w:r>
    <w:r w:rsidR="0016463E" w:rsidRPr="00350596">
      <w:rPr>
        <w:rFonts w:asciiTheme="minorHAnsi" w:hAnsiTheme="minorHAnsi"/>
        <w:i/>
        <w:color w:val="808080"/>
      </w:rPr>
      <w:t>5</w:t>
    </w:r>
    <w:r w:rsidR="009A38CB" w:rsidRPr="00350596">
      <w:rPr>
        <w:rFonts w:asciiTheme="minorHAnsi" w:hAnsiTheme="minorHAnsi"/>
        <w:i/>
        <w:color w:val="808080"/>
      </w:rPr>
      <w:t xml:space="preserve"> PBAC Meeting</w:t>
    </w:r>
  </w:p>
  <w:p w14:paraId="2E0CC183" w14:textId="77777777" w:rsidR="009A38CB" w:rsidRPr="00350596" w:rsidRDefault="009A38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198F" w14:textId="30171F74" w:rsidR="00823FDB" w:rsidRDefault="00070FA2">
    <w:pPr>
      <w:pStyle w:val="Header"/>
    </w:pPr>
    <w:r>
      <w:rPr>
        <w:noProof/>
      </w:rPr>
      <mc:AlternateContent>
        <mc:Choice Requires="wps">
          <w:drawing>
            <wp:anchor distT="0" distB="0" distL="0" distR="0" simplePos="0" relativeHeight="251659269" behindDoc="0" locked="0" layoutInCell="1" allowOverlap="1" wp14:anchorId="021E7DDC" wp14:editId="2C1E2AC8">
              <wp:simplePos x="635" y="635"/>
              <wp:positionH relativeFrom="page">
                <wp:align>center</wp:align>
              </wp:positionH>
              <wp:positionV relativeFrom="page">
                <wp:align>top</wp:align>
              </wp:positionV>
              <wp:extent cx="551815" cy="376555"/>
              <wp:effectExtent l="0" t="0" r="635" b="4445"/>
              <wp:wrapNone/>
              <wp:docPr id="12518117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D241C3" w14:textId="24319D79" w:rsidR="00070FA2" w:rsidRPr="00070FA2" w:rsidRDefault="00070FA2" w:rsidP="00070FA2">
                          <w:pPr>
                            <w:rPr>
                              <w:rFonts w:eastAsia="Calibri" w:cs="Calibri"/>
                              <w:noProof/>
                              <w:color w:val="FF0000"/>
                            </w:rPr>
                          </w:pPr>
                          <w:r w:rsidRPr="00070FA2">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E7DDC"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3D241C3" w14:textId="24319D79" w:rsidR="00070FA2" w:rsidRPr="00070FA2" w:rsidRDefault="00070FA2" w:rsidP="00070FA2">
                    <w:pPr>
                      <w:rPr>
                        <w:rFonts w:eastAsia="Calibri" w:cs="Calibri"/>
                        <w:noProof/>
                        <w:color w:val="FF0000"/>
                      </w:rPr>
                    </w:pPr>
                    <w:r w:rsidRPr="00070FA2">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3EC6F2"/>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60027C"/>
    <w:multiLevelType w:val="multilevel"/>
    <w:tmpl w:val="FE26927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1E6175"/>
    <w:multiLevelType w:val="multilevel"/>
    <w:tmpl w:val="FE26927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423AB5"/>
    <w:multiLevelType w:val="hybridMultilevel"/>
    <w:tmpl w:val="3CEA2D92"/>
    <w:lvl w:ilvl="0" w:tplc="E160CC04">
      <w:start w:val="2"/>
      <w:numFmt w:val="bullet"/>
      <w:lvlText w:val="-"/>
      <w:lvlJc w:val="left"/>
      <w:pPr>
        <w:ind w:left="1080" w:hanging="360"/>
      </w:pPr>
      <w:rPr>
        <w:rFonts w:ascii="Calibri" w:eastAsiaTheme="minorEastAsia"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BF2D70"/>
    <w:multiLevelType w:val="multilevel"/>
    <w:tmpl w:val="FE26927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1767DE"/>
    <w:multiLevelType w:val="hybridMultilevel"/>
    <w:tmpl w:val="03589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EE7AEA"/>
    <w:multiLevelType w:val="hybridMultilevel"/>
    <w:tmpl w:val="444CA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71D628D"/>
    <w:multiLevelType w:val="multilevel"/>
    <w:tmpl w:val="FE26927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219F8"/>
    <w:multiLevelType w:val="hybridMultilevel"/>
    <w:tmpl w:val="D78825C8"/>
    <w:lvl w:ilvl="0" w:tplc="C12898AE">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83032C"/>
    <w:multiLevelType w:val="hybridMultilevel"/>
    <w:tmpl w:val="B8C4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3513C5"/>
    <w:multiLevelType w:val="hybridMultilevel"/>
    <w:tmpl w:val="C1648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08530A"/>
    <w:multiLevelType w:val="hybridMultilevel"/>
    <w:tmpl w:val="8384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FAB8EED8"/>
    <w:lvl w:ilvl="0" w:tplc="8708BECA">
      <w:start w:val="1"/>
      <w:numFmt w:val="bullet"/>
      <w:pStyle w:val="COMexecsummbulletlis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459702CB"/>
    <w:multiLevelType w:val="multilevel"/>
    <w:tmpl w:val="FE26927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941D99"/>
    <w:multiLevelType w:val="hybridMultilevel"/>
    <w:tmpl w:val="4EF68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2D2DA6"/>
    <w:multiLevelType w:val="multilevel"/>
    <w:tmpl w:val="6B1EEE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099164C"/>
    <w:multiLevelType w:val="hybridMultilevel"/>
    <w:tmpl w:val="098802CC"/>
    <w:lvl w:ilvl="0" w:tplc="D8862BD6">
      <w:start w:val="4"/>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C33FA9"/>
    <w:multiLevelType w:val="hybridMultilevel"/>
    <w:tmpl w:val="5644CF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422EC2"/>
    <w:multiLevelType w:val="hybridMultilevel"/>
    <w:tmpl w:val="F752A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29"/>
  </w:num>
  <w:num w:numId="2" w16cid:durableId="917793048">
    <w:abstractNumId w:val="17"/>
  </w:num>
  <w:num w:numId="3" w16cid:durableId="9892165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839230">
    <w:abstractNumId w:val="29"/>
  </w:num>
  <w:num w:numId="5" w16cid:durableId="521091235">
    <w:abstractNumId w:val="0"/>
  </w:num>
  <w:num w:numId="6" w16cid:durableId="2123836775">
    <w:abstractNumId w:val="18"/>
  </w:num>
  <w:num w:numId="7" w16cid:durableId="690643893">
    <w:abstractNumId w:val="10"/>
  </w:num>
  <w:num w:numId="8" w16cid:durableId="126240624">
    <w:abstractNumId w:val="26"/>
  </w:num>
  <w:num w:numId="9" w16cid:durableId="772212157">
    <w:abstractNumId w:val="8"/>
  </w:num>
  <w:num w:numId="10" w16cid:durableId="1023479220">
    <w:abstractNumId w:val="14"/>
  </w:num>
  <w:num w:numId="11" w16cid:durableId="14855069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005167">
    <w:abstractNumId w:val="21"/>
  </w:num>
  <w:num w:numId="13" w16cid:durableId="408699874">
    <w:abstractNumId w:val="22"/>
  </w:num>
  <w:num w:numId="14" w16cid:durableId="1569418770">
    <w:abstractNumId w:val="6"/>
  </w:num>
  <w:num w:numId="15" w16cid:durableId="705176722">
    <w:abstractNumId w:val="2"/>
  </w:num>
  <w:num w:numId="16" w16cid:durableId="1926569401">
    <w:abstractNumId w:val="12"/>
  </w:num>
  <w:num w:numId="17" w16cid:durableId="1979457665">
    <w:abstractNumId w:val="15"/>
  </w:num>
  <w:num w:numId="18" w16cid:durableId="2038313566">
    <w:abstractNumId w:val="11"/>
  </w:num>
  <w:num w:numId="19" w16cid:durableId="129744317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997201">
    <w:abstractNumId w:val="27"/>
  </w:num>
  <w:num w:numId="21" w16cid:durableId="1491601864">
    <w:abstractNumId w:val="28"/>
  </w:num>
  <w:num w:numId="22" w16cid:durableId="1877427305">
    <w:abstractNumId w:val="23"/>
  </w:num>
  <w:num w:numId="23" w16cid:durableId="167208847">
    <w:abstractNumId w:val="29"/>
  </w:num>
  <w:num w:numId="24" w16cid:durableId="1470317207">
    <w:abstractNumId w:val="29"/>
  </w:num>
  <w:num w:numId="25" w16cid:durableId="178740441">
    <w:abstractNumId w:val="29"/>
  </w:num>
  <w:num w:numId="26" w16cid:durableId="1602490514">
    <w:abstractNumId w:val="25"/>
  </w:num>
  <w:num w:numId="27" w16cid:durableId="88937909">
    <w:abstractNumId w:val="29"/>
  </w:num>
  <w:num w:numId="28" w16cid:durableId="2041591744">
    <w:abstractNumId w:val="4"/>
  </w:num>
  <w:num w:numId="29" w16cid:durableId="369232351">
    <w:abstractNumId w:val="29"/>
  </w:num>
  <w:num w:numId="30" w16cid:durableId="1374422937">
    <w:abstractNumId w:val="29"/>
  </w:num>
  <w:num w:numId="31" w16cid:durableId="859586364">
    <w:abstractNumId w:val="29"/>
  </w:num>
  <w:num w:numId="32" w16cid:durableId="1059354521">
    <w:abstractNumId w:val="29"/>
  </w:num>
  <w:num w:numId="33" w16cid:durableId="110756567">
    <w:abstractNumId w:val="29"/>
  </w:num>
  <w:num w:numId="34" w16cid:durableId="1822504664">
    <w:abstractNumId w:val="29"/>
  </w:num>
  <w:num w:numId="35" w16cid:durableId="348220844">
    <w:abstractNumId w:val="29"/>
  </w:num>
  <w:num w:numId="36" w16cid:durableId="498428501">
    <w:abstractNumId w:val="30"/>
  </w:num>
  <w:num w:numId="37" w16cid:durableId="143206416">
    <w:abstractNumId w:val="16"/>
  </w:num>
  <w:num w:numId="38" w16cid:durableId="475532295">
    <w:abstractNumId w:val="7"/>
  </w:num>
  <w:num w:numId="39" w16cid:durableId="296952065">
    <w:abstractNumId w:val="20"/>
  </w:num>
  <w:num w:numId="40" w16cid:durableId="1381244082">
    <w:abstractNumId w:val="5"/>
  </w:num>
  <w:num w:numId="41" w16cid:durableId="69545604">
    <w:abstractNumId w:val="19"/>
  </w:num>
  <w:num w:numId="42" w16cid:durableId="604113860">
    <w:abstractNumId w:val="9"/>
  </w:num>
  <w:num w:numId="43" w16cid:durableId="208960893">
    <w:abstractNumId w:val="1"/>
  </w:num>
  <w:num w:numId="44" w16cid:durableId="1613442610">
    <w:abstractNumId w:val="3"/>
  </w:num>
  <w:num w:numId="45" w16cid:durableId="129972530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A9"/>
    <w:rsid w:val="00000228"/>
    <w:rsid w:val="00000456"/>
    <w:rsid w:val="00000574"/>
    <w:rsid w:val="000006FB"/>
    <w:rsid w:val="00000790"/>
    <w:rsid w:val="00000AFA"/>
    <w:rsid w:val="00000D25"/>
    <w:rsid w:val="00000E70"/>
    <w:rsid w:val="0000110B"/>
    <w:rsid w:val="00001341"/>
    <w:rsid w:val="000013DE"/>
    <w:rsid w:val="00001529"/>
    <w:rsid w:val="00001816"/>
    <w:rsid w:val="000018D9"/>
    <w:rsid w:val="000020DF"/>
    <w:rsid w:val="000023D9"/>
    <w:rsid w:val="000024A1"/>
    <w:rsid w:val="0000253B"/>
    <w:rsid w:val="00002ADD"/>
    <w:rsid w:val="00002D4B"/>
    <w:rsid w:val="000031D3"/>
    <w:rsid w:val="000032AE"/>
    <w:rsid w:val="000032C2"/>
    <w:rsid w:val="000032F0"/>
    <w:rsid w:val="0000333C"/>
    <w:rsid w:val="00003499"/>
    <w:rsid w:val="00003695"/>
    <w:rsid w:val="00003859"/>
    <w:rsid w:val="000039B7"/>
    <w:rsid w:val="00003C63"/>
    <w:rsid w:val="00003F49"/>
    <w:rsid w:val="00004342"/>
    <w:rsid w:val="00004395"/>
    <w:rsid w:val="00004613"/>
    <w:rsid w:val="0000491D"/>
    <w:rsid w:val="00004A32"/>
    <w:rsid w:val="00004BA1"/>
    <w:rsid w:val="00004DBF"/>
    <w:rsid w:val="00004F21"/>
    <w:rsid w:val="000056B9"/>
    <w:rsid w:val="00005914"/>
    <w:rsid w:val="00005A14"/>
    <w:rsid w:val="00005FB3"/>
    <w:rsid w:val="0000625C"/>
    <w:rsid w:val="0000639A"/>
    <w:rsid w:val="00006CA3"/>
    <w:rsid w:val="00006CB7"/>
    <w:rsid w:val="00006D0F"/>
    <w:rsid w:val="00007163"/>
    <w:rsid w:val="000071AC"/>
    <w:rsid w:val="000072F6"/>
    <w:rsid w:val="000075ED"/>
    <w:rsid w:val="0000795F"/>
    <w:rsid w:val="0000798F"/>
    <w:rsid w:val="00007A40"/>
    <w:rsid w:val="00007BDC"/>
    <w:rsid w:val="000100C1"/>
    <w:rsid w:val="00010433"/>
    <w:rsid w:val="000109ED"/>
    <w:rsid w:val="00011022"/>
    <w:rsid w:val="00011364"/>
    <w:rsid w:val="000117EF"/>
    <w:rsid w:val="0001184E"/>
    <w:rsid w:val="000122AD"/>
    <w:rsid w:val="000125E6"/>
    <w:rsid w:val="00012DD3"/>
    <w:rsid w:val="00013075"/>
    <w:rsid w:val="00013247"/>
    <w:rsid w:val="000134EF"/>
    <w:rsid w:val="000136F5"/>
    <w:rsid w:val="00013810"/>
    <w:rsid w:val="00013A7B"/>
    <w:rsid w:val="00013C9C"/>
    <w:rsid w:val="00013F3F"/>
    <w:rsid w:val="00014E47"/>
    <w:rsid w:val="000157F9"/>
    <w:rsid w:val="00015855"/>
    <w:rsid w:val="00015886"/>
    <w:rsid w:val="000158C4"/>
    <w:rsid w:val="00015E3A"/>
    <w:rsid w:val="00016003"/>
    <w:rsid w:val="0001612F"/>
    <w:rsid w:val="000162EF"/>
    <w:rsid w:val="00016680"/>
    <w:rsid w:val="0001674A"/>
    <w:rsid w:val="0001698B"/>
    <w:rsid w:val="000169BB"/>
    <w:rsid w:val="00016A51"/>
    <w:rsid w:val="00016AEB"/>
    <w:rsid w:val="00016BD3"/>
    <w:rsid w:val="00016CFB"/>
    <w:rsid w:val="00016F45"/>
    <w:rsid w:val="00017202"/>
    <w:rsid w:val="000172C2"/>
    <w:rsid w:val="0001731D"/>
    <w:rsid w:val="00017598"/>
    <w:rsid w:val="00017FB8"/>
    <w:rsid w:val="000201FB"/>
    <w:rsid w:val="00020520"/>
    <w:rsid w:val="000207C9"/>
    <w:rsid w:val="00020C46"/>
    <w:rsid w:val="00021123"/>
    <w:rsid w:val="000214BC"/>
    <w:rsid w:val="00021F5C"/>
    <w:rsid w:val="000220CD"/>
    <w:rsid w:val="000220DA"/>
    <w:rsid w:val="0002225F"/>
    <w:rsid w:val="000225EA"/>
    <w:rsid w:val="00022884"/>
    <w:rsid w:val="00022DD8"/>
    <w:rsid w:val="00022F7E"/>
    <w:rsid w:val="00023763"/>
    <w:rsid w:val="00023A68"/>
    <w:rsid w:val="000244B0"/>
    <w:rsid w:val="00024B5B"/>
    <w:rsid w:val="00024DE0"/>
    <w:rsid w:val="00024E69"/>
    <w:rsid w:val="00024EB5"/>
    <w:rsid w:val="0002517E"/>
    <w:rsid w:val="000251C1"/>
    <w:rsid w:val="00025893"/>
    <w:rsid w:val="000259E7"/>
    <w:rsid w:val="00026264"/>
    <w:rsid w:val="00026294"/>
    <w:rsid w:val="00026371"/>
    <w:rsid w:val="0002651C"/>
    <w:rsid w:val="0002663A"/>
    <w:rsid w:val="000267C3"/>
    <w:rsid w:val="00026879"/>
    <w:rsid w:val="00026BDA"/>
    <w:rsid w:val="00026C54"/>
    <w:rsid w:val="000274B8"/>
    <w:rsid w:val="0003008A"/>
    <w:rsid w:val="000300AF"/>
    <w:rsid w:val="00030B3E"/>
    <w:rsid w:val="00030C2E"/>
    <w:rsid w:val="000311A3"/>
    <w:rsid w:val="000311F5"/>
    <w:rsid w:val="0003185D"/>
    <w:rsid w:val="00031E2D"/>
    <w:rsid w:val="00031F81"/>
    <w:rsid w:val="0003278D"/>
    <w:rsid w:val="000327FF"/>
    <w:rsid w:val="00032AE1"/>
    <w:rsid w:val="00032B67"/>
    <w:rsid w:val="00032C7A"/>
    <w:rsid w:val="00032E33"/>
    <w:rsid w:val="00032E99"/>
    <w:rsid w:val="0003337F"/>
    <w:rsid w:val="00033466"/>
    <w:rsid w:val="00033598"/>
    <w:rsid w:val="00033863"/>
    <w:rsid w:val="000339F6"/>
    <w:rsid w:val="000339FE"/>
    <w:rsid w:val="00034379"/>
    <w:rsid w:val="00034568"/>
    <w:rsid w:val="00034C5E"/>
    <w:rsid w:val="00034E93"/>
    <w:rsid w:val="000351D5"/>
    <w:rsid w:val="0003537F"/>
    <w:rsid w:val="000353D7"/>
    <w:rsid w:val="000355AD"/>
    <w:rsid w:val="0003576F"/>
    <w:rsid w:val="0003589F"/>
    <w:rsid w:val="00035DC0"/>
    <w:rsid w:val="00036511"/>
    <w:rsid w:val="00036829"/>
    <w:rsid w:val="0003688A"/>
    <w:rsid w:val="000368FB"/>
    <w:rsid w:val="00036937"/>
    <w:rsid w:val="00036E8B"/>
    <w:rsid w:val="00037016"/>
    <w:rsid w:val="0003722F"/>
    <w:rsid w:val="00037345"/>
    <w:rsid w:val="000405D0"/>
    <w:rsid w:val="00040623"/>
    <w:rsid w:val="00040895"/>
    <w:rsid w:val="00040919"/>
    <w:rsid w:val="00040D7C"/>
    <w:rsid w:val="000410A0"/>
    <w:rsid w:val="000415E2"/>
    <w:rsid w:val="000417F7"/>
    <w:rsid w:val="00041AF8"/>
    <w:rsid w:val="00041E69"/>
    <w:rsid w:val="00041F4E"/>
    <w:rsid w:val="0004229A"/>
    <w:rsid w:val="00042411"/>
    <w:rsid w:val="00042C02"/>
    <w:rsid w:val="000434BA"/>
    <w:rsid w:val="0004356C"/>
    <w:rsid w:val="000435EE"/>
    <w:rsid w:val="00043636"/>
    <w:rsid w:val="000439C5"/>
    <w:rsid w:val="00043B84"/>
    <w:rsid w:val="00043BD1"/>
    <w:rsid w:val="00043C37"/>
    <w:rsid w:val="00043ECC"/>
    <w:rsid w:val="0004435F"/>
    <w:rsid w:val="000449B3"/>
    <w:rsid w:val="00044B6E"/>
    <w:rsid w:val="00044C0E"/>
    <w:rsid w:val="00044F49"/>
    <w:rsid w:val="00045017"/>
    <w:rsid w:val="0004501A"/>
    <w:rsid w:val="0004503F"/>
    <w:rsid w:val="0004504F"/>
    <w:rsid w:val="00045746"/>
    <w:rsid w:val="00045961"/>
    <w:rsid w:val="00045A2B"/>
    <w:rsid w:val="00045AC4"/>
    <w:rsid w:val="0004698F"/>
    <w:rsid w:val="000469C8"/>
    <w:rsid w:val="00046A33"/>
    <w:rsid w:val="00046C6C"/>
    <w:rsid w:val="00046D64"/>
    <w:rsid w:val="000470F3"/>
    <w:rsid w:val="000474E8"/>
    <w:rsid w:val="00047672"/>
    <w:rsid w:val="0004769A"/>
    <w:rsid w:val="000476CD"/>
    <w:rsid w:val="000477F9"/>
    <w:rsid w:val="00047A21"/>
    <w:rsid w:val="000500B2"/>
    <w:rsid w:val="00050398"/>
    <w:rsid w:val="0005043E"/>
    <w:rsid w:val="000507E2"/>
    <w:rsid w:val="00050869"/>
    <w:rsid w:val="000508C2"/>
    <w:rsid w:val="00050AA1"/>
    <w:rsid w:val="00050DC2"/>
    <w:rsid w:val="00051241"/>
    <w:rsid w:val="00051A5E"/>
    <w:rsid w:val="00051A64"/>
    <w:rsid w:val="00051B83"/>
    <w:rsid w:val="00051C62"/>
    <w:rsid w:val="00051CF2"/>
    <w:rsid w:val="000522FD"/>
    <w:rsid w:val="00052414"/>
    <w:rsid w:val="00052A10"/>
    <w:rsid w:val="00052A52"/>
    <w:rsid w:val="00052CCF"/>
    <w:rsid w:val="00052EDC"/>
    <w:rsid w:val="0005319A"/>
    <w:rsid w:val="000532A7"/>
    <w:rsid w:val="00053301"/>
    <w:rsid w:val="000534DF"/>
    <w:rsid w:val="000539D0"/>
    <w:rsid w:val="00053BC7"/>
    <w:rsid w:val="00053C12"/>
    <w:rsid w:val="00053D6D"/>
    <w:rsid w:val="00053DA5"/>
    <w:rsid w:val="00053F5D"/>
    <w:rsid w:val="0005408B"/>
    <w:rsid w:val="00054225"/>
    <w:rsid w:val="0005429C"/>
    <w:rsid w:val="000542A0"/>
    <w:rsid w:val="00054621"/>
    <w:rsid w:val="000546D7"/>
    <w:rsid w:val="00054A8D"/>
    <w:rsid w:val="00054C4A"/>
    <w:rsid w:val="00054F21"/>
    <w:rsid w:val="00055016"/>
    <w:rsid w:val="00055257"/>
    <w:rsid w:val="00055484"/>
    <w:rsid w:val="00055777"/>
    <w:rsid w:val="00055832"/>
    <w:rsid w:val="00055857"/>
    <w:rsid w:val="00055A15"/>
    <w:rsid w:val="00055B0A"/>
    <w:rsid w:val="00055E40"/>
    <w:rsid w:val="00055EC7"/>
    <w:rsid w:val="000561EE"/>
    <w:rsid w:val="00056AE2"/>
    <w:rsid w:val="00056B41"/>
    <w:rsid w:val="00056CA1"/>
    <w:rsid w:val="00056E97"/>
    <w:rsid w:val="00056ECF"/>
    <w:rsid w:val="00057535"/>
    <w:rsid w:val="00057C0F"/>
    <w:rsid w:val="00057F5F"/>
    <w:rsid w:val="00060347"/>
    <w:rsid w:val="000604DF"/>
    <w:rsid w:val="000604F9"/>
    <w:rsid w:val="00060B69"/>
    <w:rsid w:val="00060CFC"/>
    <w:rsid w:val="00060F1F"/>
    <w:rsid w:val="00060FB9"/>
    <w:rsid w:val="000616B8"/>
    <w:rsid w:val="000618FA"/>
    <w:rsid w:val="00061A93"/>
    <w:rsid w:val="00061D50"/>
    <w:rsid w:val="00061DA5"/>
    <w:rsid w:val="00062164"/>
    <w:rsid w:val="00062324"/>
    <w:rsid w:val="000623C5"/>
    <w:rsid w:val="00062445"/>
    <w:rsid w:val="00062524"/>
    <w:rsid w:val="00062732"/>
    <w:rsid w:val="00062BCF"/>
    <w:rsid w:val="00062C1F"/>
    <w:rsid w:val="000630CF"/>
    <w:rsid w:val="000636B3"/>
    <w:rsid w:val="00063873"/>
    <w:rsid w:val="0006387C"/>
    <w:rsid w:val="00063C11"/>
    <w:rsid w:val="00063DDB"/>
    <w:rsid w:val="00063E94"/>
    <w:rsid w:val="00064088"/>
    <w:rsid w:val="000644E2"/>
    <w:rsid w:val="00064707"/>
    <w:rsid w:val="00064A62"/>
    <w:rsid w:val="00064D64"/>
    <w:rsid w:val="000653B5"/>
    <w:rsid w:val="000653EA"/>
    <w:rsid w:val="00065571"/>
    <w:rsid w:val="0006576C"/>
    <w:rsid w:val="00065E71"/>
    <w:rsid w:val="00065FA0"/>
    <w:rsid w:val="000660F4"/>
    <w:rsid w:val="00066360"/>
    <w:rsid w:val="000663FD"/>
    <w:rsid w:val="00066510"/>
    <w:rsid w:val="00066761"/>
    <w:rsid w:val="000669FF"/>
    <w:rsid w:val="00066AF8"/>
    <w:rsid w:val="00066BE5"/>
    <w:rsid w:val="00066CE8"/>
    <w:rsid w:val="00066D38"/>
    <w:rsid w:val="00066F96"/>
    <w:rsid w:val="000670CE"/>
    <w:rsid w:val="00067757"/>
    <w:rsid w:val="000679B5"/>
    <w:rsid w:val="00067B56"/>
    <w:rsid w:val="00070229"/>
    <w:rsid w:val="000707F8"/>
    <w:rsid w:val="00070925"/>
    <w:rsid w:val="00070B63"/>
    <w:rsid w:val="00070BBA"/>
    <w:rsid w:val="00070D13"/>
    <w:rsid w:val="00070E7D"/>
    <w:rsid w:val="00070FA2"/>
    <w:rsid w:val="00070FAC"/>
    <w:rsid w:val="00070FD7"/>
    <w:rsid w:val="000711C7"/>
    <w:rsid w:val="00071248"/>
    <w:rsid w:val="0007194F"/>
    <w:rsid w:val="00071BB9"/>
    <w:rsid w:val="00071BBB"/>
    <w:rsid w:val="00071D0B"/>
    <w:rsid w:val="00071F5A"/>
    <w:rsid w:val="00071FA5"/>
    <w:rsid w:val="000720B9"/>
    <w:rsid w:val="00072598"/>
    <w:rsid w:val="0007272F"/>
    <w:rsid w:val="000728AB"/>
    <w:rsid w:val="00072ADD"/>
    <w:rsid w:val="00072CD9"/>
    <w:rsid w:val="00072D26"/>
    <w:rsid w:val="0007350B"/>
    <w:rsid w:val="000737F7"/>
    <w:rsid w:val="00073D8B"/>
    <w:rsid w:val="00073FA8"/>
    <w:rsid w:val="00073FCD"/>
    <w:rsid w:val="0007415F"/>
    <w:rsid w:val="00074209"/>
    <w:rsid w:val="00074413"/>
    <w:rsid w:val="00074537"/>
    <w:rsid w:val="000749BD"/>
    <w:rsid w:val="00074A86"/>
    <w:rsid w:val="00074BD2"/>
    <w:rsid w:val="0007519D"/>
    <w:rsid w:val="0007532C"/>
    <w:rsid w:val="0007555E"/>
    <w:rsid w:val="000755EC"/>
    <w:rsid w:val="0007569B"/>
    <w:rsid w:val="00075CF6"/>
    <w:rsid w:val="00075D5D"/>
    <w:rsid w:val="00075DDD"/>
    <w:rsid w:val="00075DE9"/>
    <w:rsid w:val="000760F4"/>
    <w:rsid w:val="00076148"/>
    <w:rsid w:val="000761E5"/>
    <w:rsid w:val="0007663E"/>
    <w:rsid w:val="0007672F"/>
    <w:rsid w:val="00076817"/>
    <w:rsid w:val="00076B26"/>
    <w:rsid w:val="00076B54"/>
    <w:rsid w:val="00077002"/>
    <w:rsid w:val="0007728C"/>
    <w:rsid w:val="000774F0"/>
    <w:rsid w:val="00077DBF"/>
    <w:rsid w:val="00077EBF"/>
    <w:rsid w:val="0008023F"/>
    <w:rsid w:val="00080576"/>
    <w:rsid w:val="000806C1"/>
    <w:rsid w:val="000808F5"/>
    <w:rsid w:val="00080909"/>
    <w:rsid w:val="00080AC6"/>
    <w:rsid w:val="00080ADB"/>
    <w:rsid w:val="00080E2B"/>
    <w:rsid w:val="000810E8"/>
    <w:rsid w:val="0008114E"/>
    <w:rsid w:val="000812CA"/>
    <w:rsid w:val="00081759"/>
    <w:rsid w:val="00081E63"/>
    <w:rsid w:val="00081F8E"/>
    <w:rsid w:val="00082057"/>
    <w:rsid w:val="00082282"/>
    <w:rsid w:val="0008236A"/>
    <w:rsid w:val="00082414"/>
    <w:rsid w:val="0008258D"/>
    <w:rsid w:val="00082A6F"/>
    <w:rsid w:val="00082C08"/>
    <w:rsid w:val="00082C5F"/>
    <w:rsid w:val="00083052"/>
    <w:rsid w:val="00083545"/>
    <w:rsid w:val="00083B39"/>
    <w:rsid w:val="00083BFE"/>
    <w:rsid w:val="00083CD9"/>
    <w:rsid w:val="00083E59"/>
    <w:rsid w:val="00083E99"/>
    <w:rsid w:val="00084209"/>
    <w:rsid w:val="000845FB"/>
    <w:rsid w:val="0008469B"/>
    <w:rsid w:val="00084883"/>
    <w:rsid w:val="00084B49"/>
    <w:rsid w:val="00084C6E"/>
    <w:rsid w:val="00084FA8"/>
    <w:rsid w:val="0008501E"/>
    <w:rsid w:val="000854DA"/>
    <w:rsid w:val="000856C5"/>
    <w:rsid w:val="0008580E"/>
    <w:rsid w:val="00085850"/>
    <w:rsid w:val="00085C31"/>
    <w:rsid w:val="00085D06"/>
    <w:rsid w:val="00085D26"/>
    <w:rsid w:val="00085EB1"/>
    <w:rsid w:val="00085ED4"/>
    <w:rsid w:val="000862BC"/>
    <w:rsid w:val="000862C4"/>
    <w:rsid w:val="000864C4"/>
    <w:rsid w:val="00086896"/>
    <w:rsid w:val="00086D8E"/>
    <w:rsid w:val="000871C5"/>
    <w:rsid w:val="0008756B"/>
    <w:rsid w:val="00087727"/>
    <w:rsid w:val="0008797A"/>
    <w:rsid w:val="000902D9"/>
    <w:rsid w:val="00090322"/>
    <w:rsid w:val="00090C2C"/>
    <w:rsid w:val="00090C2F"/>
    <w:rsid w:val="00090C7E"/>
    <w:rsid w:val="000910E6"/>
    <w:rsid w:val="000911AC"/>
    <w:rsid w:val="000911B9"/>
    <w:rsid w:val="00091203"/>
    <w:rsid w:val="0009131A"/>
    <w:rsid w:val="000914F0"/>
    <w:rsid w:val="00091878"/>
    <w:rsid w:val="00091A12"/>
    <w:rsid w:val="000921F1"/>
    <w:rsid w:val="000922D9"/>
    <w:rsid w:val="000925F6"/>
    <w:rsid w:val="00092600"/>
    <w:rsid w:val="0009262B"/>
    <w:rsid w:val="00092AB5"/>
    <w:rsid w:val="00092D15"/>
    <w:rsid w:val="00093062"/>
    <w:rsid w:val="00093123"/>
    <w:rsid w:val="00093310"/>
    <w:rsid w:val="00093498"/>
    <w:rsid w:val="00093911"/>
    <w:rsid w:val="00093930"/>
    <w:rsid w:val="00093A30"/>
    <w:rsid w:val="00093A6B"/>
    <w:rsid w:val="00093A7B"/>
    <w:rsid w:val="00093E9F"/>
    <w:rsid w:val="000941CE"/>
    <w:rsid w:val="00094292"/>
    <w:rsid w:val="0009445C"/>
    <w:rsid w:val="00094970"/>
    <w:rsid w:val="00094B35"/>
    <w:rsid w:val="00094BA9"/>
    <w:rsid w:val="00094D04"/>
    <w:rsid w:val="00094F15"/>
    <w:rsid w:val="00094F83"/>
    <w:rsid w:val="00094FDE"/>
    <w:rsid w:val="000950B9"/>
    <w:rsid w:val="00095117"/>
    <w:rsid w:val="00095200"/>
    <w:rsid w:val="0009526B"/>
    <w:rsid w:val="000954AA"/>
    <w:rsid w:val="000959F6"/>
    <w:rsid w:val="00095AE9"/>
    <w:rsid w:val="00095ECA"/>
    <w:rsid w:val="00095FE5"/>
    <w:rsid w:val="00096029"/>
    <w:rsid w:val="0009613C"/>
    <w:rsid w:val="00096284"/>
    <w:rsid w:val="000962BF"/>
    <w:rsid w:val="0009639A"/>
    <w:rsid w:val="0009672D"/>
    <w:rsid w:val="000967D0"/>
    <w:rsid w:val="00096858"/>
    <w:rsid w:val="00096884"/>
    <w:rsid w:val="00097130"/>
    <w:rsid w:val="00097456"/>
    <w:rsid w:val="000977C8"/>
    <w:rsid w:val="00097AB1"/>
    <w:rsid w:val="00097C48"/>
    <w:rsid w:val="00097CB9"/>
    <w:rsid w:val="000A0106"/>
    <w:rsid w:val="000A02E8"/>
    <w:rsid w:val="000A07A3"/>
    <w:rsid w:val="000A0821"/>
    <w:rsid w:val="000A0951"/>
    <w:rsid w:val="000A0C63"/>
    <w:rsid w:val="000A1425"/>
    <w:rsid w:val="000A14BA"/>
    <w:rsid w:val="000A150E"/>
    <w:rsid w:val="000A1668"/>
    <w:rsid w:val="000A180E"/>
    <w:rsid w:val="000A1A1B"/>
    <w:rsid w:val="000A1B27"/>
    <w:rsid w:val="000A1BC0"/>
    <w:rsid w:val="000A23A0"/>
    <w:rsid w:val="000A24D3"/>
    <w:rsid w:val="000A26D1"/>
    <w:rsid w:val="000A2A61"/>
    <w:rsid w:val="000A2C65"/>
    <w:rsid w:val="000A2F9E"/>
    <w:rsid w:val="000A3097"/>
    <w:rsid w:val="000A348D"/>
    <w:rsid w:val="000A34B9"/>
    <w:rsid w:val="000A34DE"/>
    <w:rsid w:val="000A356D"/>
    <w:rsid w:val="000A39EB"/>
    <w:rsid w:val="000A3E47"/>
    <w:rsid w:val="000A3ED3"/>
    <w:rsid w:val="000A403F"/>
    <w:rsid w:val="000A4132"/>
    <w:rsid w:val="000A464F"/>
    <w:rsid w:val="000A508F"/>
    <w:rsid w:val="000A511D"/>
    <w:rsid w:val="000A522B"/>
    <w:rsid w:val="000A5547"/>
    <w:rsid w:val="000A575B"/>
    <w:rsid w:val="000A588D"/>
    <w:rsid w:val="000A5E44"/>
    <w:rsid w:val="000A5E58"/>
    <w:rsid w:val="000A5EFB"/>
    <w:rsid w:val="000A5F3A"/>
    <w:rsid w:val="000A6039"/>
    <w:rsid w:val="000A669E"/>
    <w:rsid w:val="000A6D69"/>
    <w:rsid w:val="000A709C"/>
    <w:rsid w:val="000A7424"/>
    <w:rsid w:val="000A7453"/>
    <w:rsid w:val="000A76CB"/>
    <w:rsid w:val="000A7B18"/>
    <w:rsid w:val="000A7D08"/>
    <w:rsid w:val="000A7FBF"/>
    <w:rsid w:val="000A7FC8"/>
    <w:rsid w:val="000B0121"/>
    <w:rsid w:val="000B02D0"/>
    <w:rsid w:val="000B036E"/>
    <w:rsid w:val="000B0670"/>
    <w:rsid w:val="000B06A7"/>
    <w:rsid w:val="000B0827"/>
    <w:rsid w:val="000B0E05"/>
    <w:rsid w:val="000B0E75"/>
    <w:rsid w:val="000B11A4"/>
    <w:rsid w:val="000B1847"/>
    <w:rsid w:val="000B1A0C"/>
    <w:rsid w:val="000B1B3A"/>
    <w:rsid w:val="000B1F48"/>
    <w:rsid w:val="000B2B82"/>
    <w:rsid w:val="000B2DCB"/>
    <w:rsid w:val="000B2DDA"/>
    <w:rsid w:val="000B30B1"/>
    <w:rsid w:val="000B3A1B"/>
    <w:rsid w:val="000B3C7E"/>
    <w:rsid w:val="000B40A0"/>
    <w:rsid w:val="000B40A8"/>
    <w:rsid w:val="000B40B0"/>
    <w:rsid w:val="000B4227"/>
    <w:rsid w:val="000B4578"/>
    <w:rsid w:val="000B4666"/>
    <w:rsid w:val="000B4692"/>
    <w:rsid w:val="000B471E"/>
    <w:rsid w:val="000B48F2"/>
    <w:rsid w:val="000B49B1"/>
    <w:rsid w:val="000B49F8"/>
    <w:rsid w:val="000B4A81"/>
    <w:rsid w:val="000B4F82"/>
    <w:rsid w:val="000B50AB"/>
    <w:rsid w:val="000B5B87"/>
    <w:rsid w:val="000B5CE0"/>
    <w:rsid w:val="000B5F5B"/>
    <w:rsid w:val="000B624D"/>
    <w:rsid w:val="000B63C1"/>
    <w:rsid w:val="000B67F7"/>
    <w:rsid w:val="000B6C3C"/>
    <w:rsid w:val="000B6CAC"/>
    <w:rsid w:val="000B6DF4"/>
    <w:rsid w:val="000B6F89"/>
    <w:rsid w:val="000B712B"/>
    <w:rsid w:val="000B720D"/>
    <w:rsid w:val="000B735F"/>
    <w:rsid w:val="000B73DC"/>
    <w:rsid w:val="000B7612"/>
    <w:rsid w:val="000B78AE"/>
    <w:rsid w:val="000B7BDE"/>
    <w:rsid w:val="000C004C"/>
    <w:rsid w:val="000C02C9"/>
    <w:rsid w:val="000C0439"/>
    <w:rsid w:val="000C0555"/>
    <w:rsid w:val="000C0664"/>
    <w:rsid w:val="000C0942"/>
    <w:rsid w:val="000C0CDE"/>
    <w:rsid w:val="000C10DD"/>
    <w:rsid w:val="000C112E"/>
    <w:rsid w:val="000C13A2"/>
    <w:rsid w:val="000C1B37"/>
    <w:rsid w:val="000C1C82"/>
    <w:rsid w:val="000C1DA9"/>
    <w:rsid w:val="000C1E0F"/>
    <w:rsid w:val="000C20F1"/>
    <w:rsid w:val="000C2114"/>
    <w:rsid w:val="000C2D81"/>
    <w:rsid w:val="000C2DF4"/>
    <w:rsid w:val="000C3112"/>
    <w:rsid w:val="000C32D7"/>
    <w:rsid w:val="000C3380"/>
    <w:rsid w:val="000C385B"/>
    <w:rsid w:val="000C3972"/>
    <w:rsid w:val="000C3CD6"/>
    <w:rsid w:val="000C3D5A"/>
    <w:rsid w:val="000C3DEB"/>
    <w:rsid w:val="000C3DF9"/>
    <w:rsid w:val="000C3E74"/>
    <w:rsid w:val="000C40A1"/>
    <w:rsid w:val="000C41FE"/>
    <w:rsid w:val="000C4493"/>
    <w:rsid w:val="000C4A3F"/>
    <w:rsid w:val="000C4A88"/>
    <w:rsid w:val="000C4CF2"/>
    <w:rsid w:val="000C4FC5"/>
    <w:rsid w:val="000C5C0A"/>
    <w:rsid w:val="000C5C75"/>
    <w:rsid w:val="000C5CB9"/>
    <w:rsid w:val="000C5D0B"/>
    <w:rsid w:val="000C5D34"/>
    <w:rsid w:val="000C5D95"/>
    <w:rsid w:val="000C6188"/>
    <w:rsid w:val="000C649E"/>
    <w:rsid w:val="000C6713"/>
    <w:rsid w:val="000C6B08"/>
    <w:rsid w:val="000C747D"/>
    <w:rsid w:val="000C7FB3"/>
    <w:rsid w:val="000D01DE"/>
    <w:rsid w:val="000D034B"/>
    <w:rsid w:val="000D09AE"/>
    <w:rsid w:val="000D0C1B"/>
    <w:rsid w:val="000D0CCB"/>
    <w:rsid w:val="000D125A"/>
    <w:rsid w:val="000D1BFC"/>
    <w:rsid w:val="000D1D5D"/>
    <w:rsid w:val="000D21B2"/>
    <w:rsid w:val="000D22A9"/>
    <w:rsid w:val="000D22D2"/>
    <w:rsid w:val="000D243B"/>
    <w:rsid w:val="000D27F7"/>
    <w:rsid w:val="000D281A"/>
    <w:rsid w:val="000D2848"/>
    <w:rsid w:val="000D2CB2"/>
    <w:rsid w:val="000D2D87"/>
    <w:rsid w:val="000D2E23"/>
    <w:rsid w:val="000D326A"/>
    <w:rsid w:val="000D33D6"/>
    <w:rsid w:val="000D36AB"/>
    <w:rsid w:val="000D3BD0"/>
    <w:rsid w:val="000D3C18"/>
    <w:rsid w:val="000D3FDC"/>
    <w:rsid w:val="000D405D"/>
    <w:rsid w:val="000D4257"/>
    <w:rsid w:val="000D434F"/>
    <w:rsid w:val="000D455B"/>
    <w:rsid w:val="000D46CB"/>
    <w:rsid w:val="000D4A40"/>
    <w:rsid w:val="000D51B1"/>
    <w:rsid w:val="000D51FB"/>
    <w:rsid w:val="000D54D0"/>
    <w:rsid w:val="000D5530"/>
    <w:rsid w:val="000D5688"/>
    <w:rsid w:val="000D59A2"/>
    <w:rsid w:val="000D5BBF"/>
    <w:rsid w:val="000D5CF5"/>
    <w:rsid w:val="000D62AF"/>
    <w:rsid w:val="000D703E"/>
    <w:rsid w:val="000D72AA"/>
    <w:rsid w:val="000D7479"/>
    <w:rsid w:val="000D7836"/>
    <w:rsid w:val="000D7D12"/>
    <w:rsid w:val="000E0302"/>
    <w:rsid w:val="000E040B"/>
    <w:rsid w:val="000E0599"/>
    <w:rsid w:val="000E05B4"/>
    <w:rsid w:val="000E0640"/>
    <w:rsid w:val="000E0834"/>
    <w:rsid w:val="000E0DD0"/>
    <w:rsid w:val="000E131D"/>
    <w:rsid w:val="000E1357"/>
    <w:rsid w:val="000E135D"/>
    <w:rsid w:val="000E157F"/>
    <w:rsid w:val="000E16E2"/>
    <w:rsid w:val="000E1B87"/>
    <w:rsid w:val="000E1FBA"/>
    <w:rsid w:val="000E22B1"/>
    <w:rsid w:val="000E235C"/>
    <w:rsid w:val="000E261E"/>
    <w:rsid w:val="000E2AF6"/>
    <w:rsid w:val="000E2B6B"/>
    <w:rsid w:val="000E2EDB"/>
    <w:rsid w:val="000E2EFB"/>
    <w:rsid w:val="000E3079"/>
    <w:rsid w:val="000E3117"/>
    <w:rsid w:val="000E3180"/>
    <w:rsid w:val="000E32A1"/>
    <w:rsid w:val="000E3467"/>
    <w:rsid w:val="000E3806"/>
    <w:rsid w:val="000E38DA"/>
    <w:rsid w:val="000E3D2A"/>
    <w:rsid w:val="000E3FD7"/>
    <w:rsid w:val="000E4631"/>
    <w:rsid w:val="000E46A3"/>
    <w:rsid w:val="000E46A7"/>
    <w:rsid w:val="000E46C7"/>
    <w:rsid w:val="000E47F9"/>
    <w:rsid w:val="000E503B"/>
    <w:rsid w:val="000E5233"/>
    <w:rsid w:val="000E570F"/>
    <w:rsid w:val="000E57CE"/>
    <w:rsid w:val="000E583E"/>
    <w:rsid w:val="000E5CB9"/>
    <w:rsid w:val="000E5D03"/>
    <w:rsid w:val="000E5E13"/>
    <w:rsid w:val="000E6008"/>
    <w:rsid w:val="000E6476"/>
    <w:rsid w:val="000E6566"/>
    <w:rsid w:val="000E6795"/>
    <w:rsid w:val="000E69BC"/>
    <w:rsid w:val="000E6B47"/>
    <w:rsid w:val="000E6C86"/>
    <w:rsid w:val="000E7093"/>
    <w:rsid w:val="000E738A"/>
    <w:rsid w:val="000E77C8"/>
    <w:rsid w:val="000E79CD"/>
    <w:rsid w:val="000E7C2A"/>
    <w:rsid w:val="000E7E12"/>
    <w:rsid w:val="000F00AE"/>
    <w:rsid w:val="000F00BA"/>
    <w:rsid w:val="000F031A"/>
    <w:rsid w:val="000F0B8A"/>
    <w:rsid w:val="000F0C6A"/>
    <w:rsid w:val="000F0FFB"/>
    <w:rsid w:val="000F10D7"/>
    <w:rsid w:val="000F116B"/>
    <w:rsid w:val="000F1207"/>
    <w:rsid w:val="000F1499"/>
    <w:rsid w:val="000F19EE"/>
    <w:rsid w:val="000F1E23"/>
    <w:rsid w:val="000F2340"/>
    <w:rsid w:val="000F25B8"/>
    <w:rsid w:val="000F27BD"/>
    <w:rsid w:val="000F2EEB"/>
    <w:rsid w:val="000F316A"/>
    <w:rsid w:val="000F3185"/>
    <w:rsid w:val="000F36DA"/>
    <w:rsid w:val="000F36DC"/>
    <w:rsid w:val="000F370C"/>
    <w:rsid w:val="000F37F5"/>
    <w:rsid w:val="000F3AB4"/>
    <w:rsid w:val="000F3C74"/>
    <w:rsid w:val="000F3E6E"/>
    <w:rsid w:val="000F404F"/>
    <w:rsid w:val="000F41A7"/>
    <w:rsid w:val="000F4A4C"/>
    <w:rsid w:val="000F4BB8"/>
    <w:rsid w:val="000F4E4C"/>
    <w:rsid w:val="000F4EA9"/>
    <w:rsid w:val="000F4FA9"/>
    <w:rsid w:val="000F50D1"/>
    <w:rsid w:val="000F50D9"/>
    <w:rsid w:val="000F53FB"/>
    <w:rsid w:val="000F5629"/>
    <w:rsid w:val="000F57D7"/>
    <w:rsid w:val="000F5AA8"/>
    <w:rsid w:val="000F60FF"/>
    <w:rsid w:val="000F64D1"/>
    <w:rsid w:val="000F667A"/>
    <w:rsid w:val="000F6AF6"/>
    <w:rsid w:val="000F70BC"/>
    <w:rsid w:val="000F7127"/>
    <w:rsid w:val="000F75B8"/>
    <w:rsid w:val="000F7604"/>
    <w:rsid w:val="000F7ABD"/>
    <w:rsid w:val="000F7B54"/>
    <w:rsid w:val="000F7BB5"/>
    <w:rsid w:val="001000B3"/>
    <w:rsid w:val="001001BA"/>
    <w:rsid w:val="0010020A"/>
    <w:rsid w:val="00100538"/>
    <w:rsid w:val="0010081B"/>
    <w:rsid w:val="00100954"/>
    <w:rsid w:val="00100C13"/>
    <w:rsid w:val="00100E14"/>
    <w:rsid w:val="00100F8A"/>
    <w:rsid w:val="0010198D"/>
    <w:rsid w:val="00101B7B"/>
    <w:rsid w:val="00101E66"/>
    <w:rsid w:val="00101F6C"/>
    <w:rsid w:val="00101FA4"/>
    <w:rsid w:val="001022A6"/>
    <w:rsid w:val="00102AC7"/>
    <w:rsid w:val="00102AD8"/>
    <w:rsid w:val="001031B0"/>
    <w:rsid w:val="001032AF"/>
    <w:rsid w:val="0010349E"/>
    <w:rsid w:val="00103621"/>
    <w:rsid w:val="00103D7C"/>
    <w:rsid w:val="00103E08"/>
    <w:rsid w:val="001040FC"/>
    <w:rsid w:val="00104136"/>
    <w:rsid w:val="0010422C"/>
    <w:rsid w:val="0010452E"/>
    <w:rsid w:val="0010467E"/>
    <w:rsid w:val="00104A28"/>
    <w:rsid w:val="001052AB"/>
    <w:rsid w:val="00105325"/>
    <w:rsid w:val="00105570"/>
    <w:rsid w:val="00105A94"/>
    <w:rsid w:val="00105A98"/>
    <w:rsid w:val="00105AE2"/>
    <w:rsid w:val="00105DB3"/>
    <w:rsid w:val="00105FB5"/>
    <w:rsid w:val="001060C5"/>
    <w:rsid w:val="001060C6"/>
    <w:rsid w:val="0010615F"/>
    <w:rsid w:val="00106430"/>
    <w:rsid w:val="0010683B"/>
    <w:rsid w:val="0010687C"/>
    <w:rsid w:val="00106B80"/>
    <w:rsid w:val="00106D37"/>
    <w:rsid w:val="00106D3F"/>
    <w:rsid w:val="00106FA5"/>
    <w:rsid w:val="0010713B"/>
    <w:rsid w:val="001074AB"/>
    <w:rsid w:val="00107D74"/>
    <w:rsid w:val="0011030F"/>
    <w:rsid w:val="0011032E"/>
    <w:rsid w:val="00110431"/>
    <w:rsid w:val="0011050A"/>
    <w:rsid w:val="0011052D"/>
    <w:rsid w:val="00110701"/>
    <w:rsid w:val="00110C6B"/>
    <w:rsid w:val="00110C78"/>
    <w:rsid w:val="001110D6"/>
    <w:rsid w:val="001118A9"/>
    <w:rsid w:val="001118FE"/>
    <w:rsid w:val="00111EAA"/>
    <w:rsid w:val="00112032"/>
    <w:rsid w:val="00112275"/>
    <w:rsid w:val="001122F0"/>
    <w:rsid w:val="00112318"/>
    <w:rsid w:val="00112537"/>
    <w:rsid w:val="001125F6"/>
    <w:rsid w:val="00112A9B"/>
    <w:rsid w:val="00112AA1"/>
    <w:rsid w:val="00112E28"/>
    <w:rsid w:val="00113409"/>
    <w:rsid w:val="0011348B"/>
    <w:rsid w:val="001139FD"/>
    <w:rsid w:val="00113FD7"/>
    <w:rsid w:val="00114184"/>
    <w:rsid w:val="0011438E"/>
    <w:rsid w:val="00114614"/>
    <w:rsid w:val="00114DF5"/>
    <w:rsid w:val="0011539E"/>
    <w:rsid w:val="001158A7"/>
    <w:rsid w:val="001158C0"/>
    <w:rsid w:val="00115982"/>
    <w:rsid w:val="00115CC5"/>
    <w:rsid w:val="00115F60"/>
    <w:rsid w:val="00115FBB"/>
    <w:rsid w:val="0011652A"/>
    <w:rsid w:val="00116756"/>
    <w:rsid w:val="0011688A"/>
    <w:rsid w:val="00116A28"/>
    <w:rsid w:val="00116C03"/>
    <w:rsid w:val="00116C53"/>
    <w:rsid w:val="00116F4C"/>
    <w:rsid w:val="00117AE9"/>
    <w:rsid w:val="00117DDB"/>
    <w:rsid w:val="00120AB3"/>
    <w:rsid w:val="00120BA7"/>
    <w:rsid w:val="00120C3E"/>
    <w:rsid w:val="00120DA3"/>
    <w:rsid w:val="00120F40"/>
    <w:rsid w:val="0012127C"/>
    <w:rsid w:val="00121799"/>
    <w:rsid w:val="001219BA"/>
    <w:rsid w:val="00121AAF"/>
    <w:rsid w:val="00121BAB"/>
    <w:rsid w:val="001222FC"/>
    <w:rsid w:val="0012238D"/>
    <w:rsid w:val="001226CA"/>
    <w:rsid w:val="00122D91"/>
    <w:rsid w:val="00122F1E"/>
    <w:rsid w:val="001234F6"/>
    <w:rsid w:val="001236C9"/>
    <w:rsid w:val="00123902"/>
    <w:rsid w:val="00123A3B"/>
    <w:rsid w:val="00123AFA"/>
    <w:rsid w:val="00123B52"/>
    <w:rsid w:val="00123B79"/>
    <w:rsid w:val="00123C43"/>
    <w:rsid w:val="00123D3A"/>
    <w:rsid w:val="00124432"/>
    <w:rsid w:val="001245C8"/>
    <w:rsid w:val="00124730"/>
    <w:rsid w:val="00124A51"/>
    <w:rsid w:val="00124D05"/>
    <w:rsid w:val="00124D52"/>
    <w:rsid w:val="00124D86"/>
    <w:rsid w:val="00124EB0"/>
    <w:rsid w:val="00124EE2"/>
    <w:rsid w:val="0012518E"/>
    <w:rsid w:val="00125194"/>
    <w:rsid w:val="00125424"/>
    <w:rsid w:val="0012552E"/>
    <w:rsid w:val="00125761"/>
    <w:rsid w:val="001259BC"/>
    <w:rsid w:val="001261CF"/>
    <w:rsid w:val="00126423"/>
    <w:rsid w:val="00126621"/>
    <w:rsid w:val="00126B1D"/>
    <w:rsid w:val="00126C72"/>
    <w:rsid w:val="00126DAA"/>
    <w:rsid w:val="00126E43"/>
    <w:rsid w:val="00126EF8"/>
    <w:rsid w:val="00127256"/>
    <w:rsid w:val="001273B5"/>
    <w:rsid w:val="00127414"/>
    <w:rsid w:val="00127A26"/>
    <w:rsid w:val="00127AAB"/>
    <w:rsid w:val="00127BD0"/>
    <w:rsid w:val="00127D0E"/>
    <w:rsid w:val="001301E9"/>
    <w:rsid w:val="00130464"/>
    <w:rsid w:val="001304EF"/>
    <w:rsid w:val="001305AD"/>
    <w:rsid w:val="001306F5"/>
    <w:rsid w:val="00130D7B"/>
    <w:rsid w:val="00130E03"/>
    <w:rsid w:val="001310F2"/>
    <w:rsid w:val="001313D7"/>
    <w:rsid w:val="00131754"/>
    <w:rsid w:val="00131B49"/>
    <w:rsid w:val="00131C57"/>
    <w:rsid w:val="00131D82"/>
    <w:rsid w:val="00131F75"/>
    <w:rsid w:val="0013238D"/>
    <w:rsid w:val="001323D5"/>
    <w:rsid w:val="0013255D"/>
    <w:rsid w:val="00132973"/>
    <w:rsid w:val="00132B04"/>
    <w:rsid w:val="00132B22"/>
    <w:rsid w:val="00132DB3"/>
    <w:rsid w:val="00132F72"/>
    <w:rsid w:val="0013335F"/>
    <w:rsid w:val="001336B9"/>
    <w:rsid w:val="00133726"/>
    <w:rsid w:val="00133733"/>
    <w:rsid w:val="00133A39"/>
    <w:rsid w:val="00133D36"/>
    <w:rsid w:val="00133D41"/>
    <w:rsid w:val="001340DA"/>
    <w:rsid w:val="00134316"/>
    <w:rsid w:val="00134381"/>
    <w:rsid w:val="001348EC"/>
    <w:rsid w:val="00134939"/>
    <w:rsid w:val="00134CED"/>
    <w:rsid w:val="00134E14"/>
    <w:rsid w:val="00134E64"/>
    <w:rsid w:val="001353C8"/>
    <w:rsid w:val="0013571D"/>
    <w:rsid w:val="0013572F"/>
    <w:rsid w:val="001358A0"/>
    <w:rsid w:val="00135AAE"/>
    <w:rsid w:val="00135E5E"/>
    <w:rsid w:val="00135EE8"/>
    <w:rsid w:val="00135FBA"/>
    <w:rsid w:val="001360B7"/>
    <w:rsid w:val="00136F5A"/>
    <w:rsid w:val="00136FEC"/>
    <w:rsid w:val="0013717C"/>
    <w:rsid w:val="001372C9"/>
    <w:rsid w:val="00137370"/>
    <w:rsid w:val="00137492"/>
    <w:rsid w:val="001375FD"/>
    <w:rsid w:val="00137645"/>
    <w:rsid w:val="0013786D"/>
    <w:rsid w:val="00137E65"/>
    <w:rsid w:val="00137EB9"/>
    <w:rsid w:val="00137FDD"/>
    <w:rsid w:val="0014015A"/>
    <w:rsid w:val="00140276"/>
    <w:rsid w:val="00140E99"/>
    <w:rsid w:val="00141502"/>
    <w:rsid w:val="001415B8"/>
    <w:rsid w:val="0014205F"/>
    <w:rsid w:val="0014270B"/>
    <w:rsid w:val="00142E8B"/>
    <w:rsid w:val="001431C7"/>
    <w:rsid w:val="00143673"/>
    <w:rsid w:val="00143787"/>
    <w:rsid w:val="00143875"/>
    <w:rsid w:val="00143F15"/>
    <w:rsid w:val="00143F67"/>
    <w:rsid w:val="00143F99"/>
    <w:rsid w:val="001441A1"/>
    <w:rsid w:val="001446FC"/>
    <w:rsid w:val="0014471B"/>
    <w:rsid w:val="00145069"/>
    <w:rsid w:val="001450C2"/>
    <w:rsid w:val="00145234"/>
    <w:rsid w:val="00145361"/>
    <w:rsid w:val="00145540"/>
    <w:rsid w:val="00145699"/>
    <w:rsid w:val="001456B0"/>
    <w:rsid w:val="00145EFA"/>
    <w:rsid w:val="00146DE5"/>
    <w:rsid w:val="00147011"/>
    <w:rsid w:val="0014705F"/>
    <w:rsid w:val="001470F9"/>
    <w:rsid w:val="0014734F"/>
    <w:rsid w:val="00147418"/>
    <w:rsid w:val="00147458"/>
    <w:rsid w:val="001475B4"/>
    <w:rsid w:val="0014767B"/>
    <w:rsid w:val="00147773"/>
    <w:rsid w:val="001478A6"/>
    <w:rsid w:val="00147E2A"/>
    <w:rsid w:val="00147ECE"/>
    <w:rsid w:val="001501D9"/>
    <w:rsid w:val="001502B0"/>
    <w:rsid w:val="0015064E"/>
    <w:rsid w:val="00150C47"/>
    <w:rsid w:val="00150E43"/>
    <w:rsid w:val="00150E9F"/>
    <w:rsid w:val="00151B60"/>
    <w:rsid w:val="00151DC9"/>
    <w:rsid w:val="00152B79"/>
    <w:rsid w:val="00152BB0"/>
    <w:rsid w:val="00152F00"/>
    <w:rsid w:val="001531BF"/>
    <w:rsid w:val="00153245"/>
    <w:rsid w:val="0015336A"/>
    <w:rsid w:val="001536BB"/>
    <w:rsid w:val="00153AFD"/>
    <w:rsid w:val="00153CEF"/>
    <w:rsid w:val="001540F3"/>
    <w:rsid w:val="00154380"/>
    <w:rsid w:val="00154553"/>
    <w:rsid w:val="00154735"/>
    <w:rsid w:val="001547AB"/>
    <w:rsid w:val="001548C7"/>
    <w:rsid w:val="00154974"/>
    <w:rsid w:val="001549B6"/>
    <w:rsid w:val="00154CD4"/>
    <w:rsid w:val="00154E38"/>
    <w:rsid w:val="001552E4"/>
    <w:rsid w:val="001555B5"/>
    <w:rsid w:val="00155A16"/>
    <w:rsid w:val="00155E8E"/>
    <w:rsid w:val="0015603E"/>
    <w:rsid w:val="001560D8"/>
    <w:rsid w:val="00156181"/>
    <w:rsid w:val="00156296"/>
    <w:rsid w:val="001565D4"/>
    <w:rsid w:val="001566C4"/>
    <w:rsid w:val="001568A3"/>
    <w:rsid w:val="00156AE3"/>
    <w:rsid w:val="00156C27"/>
    <w:rsid w:val="00156F8F"/>
    <w:rsid w:val="00157130"/>
    <w:rsid w:val="0015751D"/>
    <w:rsid w:val="001576B1"/>
    <w:rsid w:val="0015791D"/>
    <w:rsid w:val="00157ADF"/>
    <w:rsid w:val="00157CA8"/>
    <w:rsid w:val="001600EC"/>
    <w:rsid w:val="0016018B"/>
    <w:rsid w:val="0016047B"/>
    <w:rsid w:val="001604AC"/>
    <w:rsid w:val="00160A4C"/>
    <w:rsid w:val="00160BA5"/>
    <w:rsid w:val="0016117F"/>
    <w:rsid w:val="00161211"/>
    <w:rsid w:val="001616F9"/>
    <w:rsid w:val="001617F0"/>
    <w:rsid w:val="00161A88"/>
    <w:rsid w:val="00161AA6"/>
    <w:rsid w:val="00161C79"/>
    <w:rsid w:val="00161E34"/>
    <w:rsid w:val="001621CE"/>
    <w:rsid w:val="00162292"/>
    <w:rsid w:val="00162464"/>
    <w:rsid w:val="00162646"/>
    <w:rsid w:val="0016275B"/>
    <w:rsid w:val="00162913"/>
    <w:rsid w:val="00162E05"/>
    <w:rsid w:val="0016311E"/>
    <w:rsid w:val="00163EF0"/>
    <w:rsid w:val="00163EFF"/>
    <w:rsid w:val="00163F66"/>
    <w:rsid w:val="001641F2"/>
    <w:rsid w:val="0016443E"/>
    <w:rsid w:val="00164564"/>
    <w:rsid w:val="0016463E"/>
    <w:rsid w:val="0016478E"/>
    <w:rsid w:val="00164DA6"/>
    <w:rsid w:val="00164E09"/>
    <w:rsid w:val="00164F99"/>
    <w:rsid w:val="0016565F"/>
    <w:rsid w:val="00165C42"/>
    <w:rsid w:val="00165E58"/>
    <w:rsid w:val="00165EC4"/>
    <w:rsid w:val="00165FA3"/>
    <w:rsid w:val="001661FB"/>
    <w:rsid w:val="0016685C"/>
    <w:rsid w:val="00166B10"/>
    <w:rsid w:val="00166C81"/>
    <w:rsid w:val="00166DD2"/>
    <w:rsid w:val="00166F30"/>
    <w:rsid w:val="001671A0"/>
    <w:rsid w:val="00167386"/>
    <w:rsid w:val="001674CE"/>
    <w:rsid w:val="0016767F"/>
    <w:rsid w:val="001678A9"/>
    <w:rsid w:val="001679E0"/>
    <w:rsid w:val="00167A42"/>
    <w:rsid w:val="00167E5F"/>
    <w:rsid w:val="001701E7"/>
    <w:rsid w:val="00170271"/>
    <w:rsid w:val="00170DCA"/>
    <w:rsid w:val="00170E6F"/>
    <w:rsid w:val="00171088"/>
    <w:rsid w:val="00171645"/>
    <w:rsid w:val="001718D6"/>
    <w:rsid w:val="001719BC"/>
    <w:rsid w:val="00171A13"/>
    <w:rsid w:val="00171A6F"/>
    <w:rsid w:val="00171B9E"/>
    <w:rsid w:val="0017239C"/>
    <w:rsid w:val="00172E5B"/>
    <w:rsid w:val="00172F64"/>
    <w:rsid w:val="00172F67"/>
    <w:rsid w:val="00173088"/>
    <w:rsid w:val="00173296"/>
    <w:rsid w:val="00173565"/>
    <w:rsid w:val="00173586"/>
    <w:rsid w:val="0017365A"/>
    <w:rsid w:val="001738EE"/>
    <w:rsid w:val="001739C3"/>
    <w:rsid w:val="00173B07"/>
    <w:rsid w:val="00173E88"/>
    <w:rsid w:val="00173F6F"/>
    <w:rsid w:val="00174765"/>
    <w:rsid w:val="00174D81"/>
    <w:rsid w:val="00175009"/>
    <w:rsid w:val="001751D5"/>
    <w:rsid w:val="001751FA"/>
    <w:rsid w:val="0017533A"/>
    <w:rsid w:val="001758A5"/>
    <w:rsid w:val="00175D90"/>
    <w:rsid w:val="00176579"/>
    <w:rsid w:val="00176599"/>
    <w:rsid w:val="001768AC"/>
    <w:rsid w:val="001769E6"/>
    <w:rsid w:val="00176CF5"/>
    <w:rsid w:val="00176ED5"/>
    <w:rsid w:val="001774CA"/>
    <w:rsid w:val="00177997"/>
    <w:rsid w:val="00177E74"/>
    <w:rsid w:val="00177F09"/>
    <w:rsid w:val="0018053C"/>
    <w:rsid w:val="0018070D"/>
    <w:rsid w:val="00180BCE"/>
    <w:rsid w:val="00180F27"/>
    <w:rsid w:val="001810D1"/>
    <w:rsid w:val="00181181"/>
    <w:rsid w:val="00181333"/>
    <w:rsid w:val="00181628"/>
    <w:rsid w:val="00181BFA"/>
    <w:rsid w:val="00181C10"/>
    <w:rsid w:val="00181C8A"/>
    <w:rsid w:val="00181C94"/>
    <w:rsid w:val="00181D9C"/>
    <w:rsid w:val="00181EA9"/>
    <w:rsid w:val="001820F0"/>
    <w:rsid w:val="00182382"/>
    <w:rsid w:val="001824BB"/>
    <w:rsid w:val="00182551"/>
    <w:rsid w:val="001825D5"/>
    <w:rsid w:val="00182CDB"/>
    <w:rsid w:val="00182D54"/>
    <w:rsid w:val="0018308B"/>
    <w:rsid w:val="001832CF"/>
    <w:rsid w:val="001837FF"/>
    <w:rsid w:val="00183B84"/>
    <w:rsid w:val="00183B9C"/>
    <w:rsid w:val="00183C09"/>
    <w:rsid w:val="00184025"/>
    <w:rsid w:val="00184162"/>
    <w:rsid w:val="001842F7"/>
    <w:rsid w:val="00184B0E"/>
    <w:rsid w:val="00184B41"/>
    <w:rsid w:val="00184CC8"/>
    <w:rsid w:val="00184EB5"/>
    <w:rsid w:val="00185289"/>
    <w:rsid w:val="0018566C"/>
    <w:rsid w:val="001856EF"/>
    <w:rsid w:val="0018598A"/>
    <w:rsid w:val="00185CCB"/>
    <w:rsid w:val="00186337"/>
    <w:rsid w:val="0018635E"/>
    <w:rsid w:val="00186429"/>
    <w:rsid w:val="001864E1"/>
    <w:rsid w:val="001869DC"/>
    <w:rsid w:val="00186EBE"/>
    <w:rsid w:val="00186EE9"/>
    <w:rsid w:val="0018752F"/>
    <w:rsid w:val="00187682"/>
    <w:rsid w:val="00187774"/>
    <w:rsid w:val="0018784A"/>
    <w:rsid w:val="00187A13"/>
    <w:rsid w:val="00187D19"/>
    <w:rsid w:val="00187E29"/>
    <w:rsid w:val="00187FBA"/>
    <w:rsid w:val="001900C6"/>
    <w:rsid w:val="00190252"/>
    <w:rsid w:val="0019064B"/>
    <w:rsid w:val="00190797"/>
    <w:rsid w:val="001909D7"/>
    <w:rsid w:val="00190DBE"/>
    <w:rsid w:val="00190DFC"/>
    <w:rsid w:val="0019159C"/>
    <w:rsid w:val="001915CD"/>
    <w:rsid w:val="00191621"/>
    <w:rsid w:val="00191759"/>
    <w:rsid w:val="00191A9E"/>
    <w:rsid w:val="00191C50"/>
    <w:rsid w:val="00191D36"/>
    <w:rsid w:val="00192259"/>
    <w:rsid w:val="001924AB"/>
    <w:rsid w:val="00192A25"/>
    <w:rsid w:val="00192C9C"/>
    <w:rsid w:val="00192D20"/>
    <w:rsid w:val="001931F8"/>
    <w:rsid w:val="00193591"/>
    <w:rsid w:val="00193838"/>
    <w:rsid w:val="00193890"/>
    <w:rsid w:val="00193982"/>
    <w:rsid w:val="00193A43"/>
    <w:rsid w:val="00193B12"/>
    <w:rsid w:val="00193B85"/>
    <w:rsid w:val="00193F6F"/>
    <w:rsid w:val="00194193"/>
    <w:rsid w:val="0019460B"/>
    <w:rsid w:val="00194863"/>
    <w:rsid w:val="00194AD8"/>
    <w:rsid w:val="00194C0E"/>
    <w:rsid w:val="00194DDF"/>
    <w:rsid w:val="00195137"/>
    <w:rsid w:val="00195222"/>
    <w:rsid w:val="00195452"/>
    <w:rsid w:val="00195682"/>
    <w:rsid w:val="00195747"/>
    <w:rsid w:val="001959C0"/>
    <w:rsid w:val="00195CA9"/>
    <w:rsid w:val="00195D90"/>
    <w:rsid w:val="0019658F"/>
    <w:rsid w:val="00196C9B"/>
    <w:rsid w:val="00196F86"/>
    <w:rsid w:val="00197113"/>
    <w:rsid w:val="001975D8"/>
    <w:rsid w:val="0019799C"/>
    <w:rsid w:val="00197C9A"/>
    <w:rsid w:val="00197E57"/>
    <w:rsid w:val="00197F7E"/>
    <w:rsid w:val="001A02A5"/>
    <w:rsid w:val="001A0770"/>
    <w:rsid w:val="001A07AB"/>
    <w:rsid w:val="001A08F1"/>
    <w:rsid w:val="001A09D7"/>
    <w:rsid w:val="001A0A5F"/>
    <w:rsid w:val="001A0B25"/>
    <w:rsid w:val="001A0B6B"/>
    <w:rsid w:val="001A0BD4"/>
    <w:rsid w:val="001A0CFF"/>
    <w:rsid w:val="001A0D4F"/>
    <w:rsid w:val="001A0EA4"/>
    <w:rsid w:val="001A12B5"/>
    <w:rsid w:val="001A12C4"/>
    <w:rsid w:val="001A178E"/>
    <w:rsid w:val="001A17E8"/>
    <w:rsid w:val="001A19F3"/>
    <w:rsid w:val="001A1CAF"/>
    <w:rsid w:val="001A26AA"/>
    <w:rsid w:val="001A2A45"/>
    <w:rsid w:val="001A2D87"/>
    <w:rsid w:val="001A30A8"/>
    <w:rsid w:val="001A3480"/>
    <w:rsid w:val="001A357F"/>
    <w:rsid w:val="001A43FA"/>
    <w:rsid w:val="001A442B"/>
    <w:rsid w:val="001A46C5"/>
    <w:rsid w:val="001A47C5"/>
    <w:rsid w:val="001A4954"/>
    <w:rsid w:val="001A4A70"/>
    <w:rsid w:val="001A4C8B"/>
    <w:rsid w:val="001A505E"/>
    <w:rsid w:val="001A59E9"/>
    <w:rsid w:val="001A59FB"/>
    <w:rsid w:val="001A5A43"/>
    <w:rsid w:val="001A5B10"/>
    <w:rsid w:val="001A5C8E"/>
    <w:rsid w:val="001A5E9E"/>
    <w:rsid w:val="001A618F"/>
    <w:rsid w:val="001A632D"/>
    <w:rsid w:val="001A6354"/>
    <w:rsid w:val="001A6366"/>
    <w:rsid w:val="001A674E"/>
    <w:rsid w:val="001A6F04"/>
    <w:rsid w:val="001A7326"/>
    <w:rsid w:val="001A7357"/>
    <w:rsid w:val="001A7AE8"/>
    <w:rsid w:val="001A7EA5"/>
    <w:rsid w:val="001B02F6"/>
    <w:rsid w:val="001B0426"/>
    <w:rsid w:val="001B0689"/>
    <w:rsid w:val="001B0699"/>
    <w:rsid w:val="001B0E50"/>
    <w:rsid w:val="001B0E70"/>
    <w:rsid w:val="001B104A"/>
    <w:rsid w:val="001B11D8"/>
    <w:rsid w:val="001B14E2"/>
    <w:rsid w:val="001B15EB"/>
    <w:rsid w:val="001B1857"/>
    <w:rsid w:val="001B1CBC"/>
    <w:rsid w:val="001B204E"/>
    <w:rsid w:val="001B232A"/>
    <w:rsid w:val="001B2365"/>
    <w:rsid w:val="001B2372"/>
    <w:rsid w:val="001B2403"/>
    <w:rsid w:val="001B2493"/>
    <w:rsid w:val="001B268A"/>
    <w:rsid w:val="001B26EF"/>
    <w:rsid w:val="001B2965"/>
    <w:rsid w:val="001B2BC8"/>
    <w:rsid w:val="001B312F"/>
    <w:rsid w:val="001B3443"/>
    <w:rsid w:val="001B35AF"/>
    <w:rsid w:val="001B3721"/>
    <w:rsid w:val="001B391F"/>
    <w:rsid w:val="001B3ED2"/>
    <w:rsid w:val="001B43A4"/>
    <w:rsid w:val="001B480C"/>
    <w:rsid w:val="001B4D20"/>
    <w:rsid w:val="001B523E"/>
    <w:rsid w:val="001B5394"/>
    <w:rsid w:val="001B5702"/>
    <w:rsid w:val="001B5750"/>
    <w:rsid w:val="001B58A1"/>
    <w:rsid w:val="001B5985"/>
    <w:rsid w:val="001B5B85"/>
    <w:rsid w:val="001B5E8F"/>
    <w:rsid w:val="001B643C"/>
    <w:rsid w:val="001B66F2"/>
    <w:rsid w:val="001B69CC"/>
    <w:rsid w:val="001B6A01"/>
    <w:rsid w:val="001B6D84"/>
    <w:rsid w:val="001B6FA2"/>
    <w:rsid w:val="001B6FC2"/>
    <w:rsid w:val="001B741D"/>
    <w:rsid w:val="001B7502"/>
    <w:rsid w:val="001B75CB"/>
    <w:rsid w:val="001B7A08"/>
    <w:rsid w:val="001B7BD1"/>
    <w:rsid w:val="001B7C37"/>
    <w:rsid w:val="001B7D0F"/>
    <w:rsid w:val="001B7F84"/>
    <w:rsid w:val="001C002E"/>
    <w:rsid w:val="001C070D"/>
    <w:rsid w:val="001C10DD"/>
    <w:rsid w:val="001C1247"/>
    <w:rsid w:val="001C14A3"/>
    <w:rsid w:val="001C17DA"/>
    <w:rsid w:val="001C1FF2"/>
    <w:rsid w:val="001C2050"/>
    <w:rsid w:val="001C2089"/>
    <w:rsid w:val="001C20E6"/>
    <w:rsid w:val="001C2117"/>
    <w:rsid w:val="001C2353"/>
    <w:rsid w:val="001C267A"/>
    <w:rsid w:val="001C2830"/>
    <w:rsid w:val="001C2A9B"/>
    <w:rsid w:val="001C2B83"/>
    <w:rsid w:val="001C3094"/>
    <w:rsid w:val="001C309A"/>
    <w:rsid w:val="001C30C9"/>
    <w:rsid w:val="001C3211"/>
    <w:rsid w:val="001C3284"/>
    <w:rsid w:val="001C32AD"/>
    <w:rsid w:val="001C35EC"/>
    <w:rsid w:val="001C369B"/>
    <w:rsid w:val="001C36D9"/>
    <w:rsid w:val="001C3705"/>
    <w:rsid w:val="001C398D"/>
    <w:rsid w:val="001C3B98"/>
    <w:rsid w:val="001C3CDF"/>
    <w:rsid w:val="001C3D15"/>
    <w:rsid w:val="001C3D73"/>
    <w:rsid w:val="001C3D90"/>
    <w:rsid w:val="001C3DD6"/>
    <w:rsid w:val="001C40FC"/>
    <w:rsid w:val="001C4299"/>
    <w:rsid w:val="001C4376"/>
    <w:rsid w:val="001C4874"/>
    <w:rsid w:val="001C4C76"/>
    <w:rsid w:val="001C4CAA"/>
    <w:rsid w:val="001C4F62"/>
    <w:rsid w:val="001C54D6"/>
    <w:rsid w:val="001C5AB2"/>
    <w:rsid w:val="001C5CCB"/>
    <w:rsid w:val="001C5F94"/>
    <w:rsid w:val="001C5FB5"/>
    <w:rsid w:val="001C6068"/>
    <w:rsid w:val="001C6189"/>
    <w:rsid w:val="001C6AC4"/>
    <w:rsid w:val="001C6E66"/>
    <w:rsid w:val="001C6E80"/>
    <w:rsid w:val="001C7227"/>
    <w:rsid w:val="001C75B6"/>
    <w:rsid w:val="001C7ACC"/>
    <w:rsid w:val="001D02EE"/>
    <w:rsid w:val="001D0435"/>
    <w:rsid w:val="001D06AC"/>
    <w:rsid w:val="001D0B23"/>
    <w:rsid w:val="001D0DB8"/>
    <w:rsid w:val="001D1100"/>
    <w:rsid w:val="001D1391"/>
    <w:rsid w:val="001D19D4"/>
    <w:rsid w:val="001D1B39"/>
    <w:rsid w:val="001D1BA1"/>
    <w:rsid w:val="001D1F3D"/>
    <w:rsid w:val="001D204D"/>
    <w:rsid w:val="001D20AE"/>
    <w:rsid w:val="001D253D"/>
    <w:rsid w:val="001D2558"/>
    <w:rsid w:val="001D25D7"/>
    <w:rsid w:val="001D26F0"/>
    <w:rsid w:val="001D27BC"/>
    <w:rsid w:val="001D2854"/>
    <w:rsid w:val="001D2ECC"/>
    <w:rsid w:val="001D3299"/>
    <w:rsid w:val="001D33AD"/>
    <w:rsid w:val="001D38AD"/>
    <w:rsid w:val="001D3CE7"/>
    <w:rsid w:val="001D3D12"/>
    <w:rsid w:val="001D3E9C"/>
    <w:rsid w:val="001D3EAD"/>
    <w:rsid w:val="001D3F86"/>
    <w:rsid w:val="001D44EA"/>
    <w:rsid w:val="001D491D"/>
    <w:rsid w:val="001D493E"/>
    <w:rsid w:val="001D49AC"/>
    <w:rsid w:val="001D4D0C"/>
    <w:rsid w:val="001D4EE0"/>
    <w:rsid w:val="001D4F67"/>
    <w:rsid w:val="001D5047"/>
    <w:rsid w:val="001D5093"/>
    <w:rsid w:val="001D50B2"/>
    <w:rsid w:val="001D5250"/>
    <w:rsid w:val="001D54F6"/>
    <w:rsid w:val="001D5526"/>
    <w:rsid w:val="001D57FB"/>
    <w:rsid w:val="001D5DF0"/>
    <w:rsid w:val="001D5E5C"/>
    <w:rsid w:val="001D605F"/>
    <w:rsid w:val="001D6149"/>
    <w:rsid w:val="001D69E0"/>
    <w:rsid w:val="001D6CCE"/>
    <w:rsid w:val="001D6FBF"/>
    <w:rsid w:val="001D70E2"/>
    <w:rsid w:val="001D71F4"/>
    <w:rsid w:val="001D7425"/>
    <w:rsid w:val="001D7506"/>
    <w:rsid w:val="001D7645"/>
    <w:rsid w:val="001D78F1"/>
    <w:rsid w:val="001D7B5A"/>
    <w:rsid w:val="001D7C2F"/>
    <w:rsid w:val="001D7DCA"/>
    <w:rsid w:val="001E004B"/>
    <w:rsid w:val="001E0053"/>
    <w:rsid w:val="001E0207"/>
    <w:rsid w:val="001E03E7"/>
    <w:rsid w:val="001E0423"/>
    <w:rsid w:val="001E0625"/>
    <w:rsid w:val="001E06EA"/>
    <w:rsid w:val="001E0781"/>
    <w:rsid w:val="001E08FE"/>
    <w:rsid w:val="001E09B3"/>
    <w:rsid w:val="001E0C1E"/>
    <w:rsid w:val="001E0ECB"/>
    <w:rsid w:val="001E1002"/>
    <w:rsid w:val="001E114B"/>
    <w:rsid w:val="001E12E5"/>
    <w:rsid w:val="001E141F"/>
    <w:rsid w:val="001E14F6"/>
    <w:rsid w:val="001E153E"/>
    <w:rsid w:val="001E1AD3"/>
    <w:rsid w:val="001E1C7D"/>
    <w:rsid w:val="001E1E86"/>
    <w:rsid w:val="001E2300"/>
    <w:rsid w:val="001E238E"/>
    <w:rsid w:val="001E23F4"/>
    <w:rsid w:val="001E2483"/>
    <w:rsid w:val="001E29A4"/>
    <w:rsid w:val="001E2B1E"/>
    <w:rsid w:val="001E2B75"/>
    <w:rsid w:val="001E2CFF"/>
    <w:rsid w:val="001E2D4A"/>
    <w:rsid w:val="001E2E96"/>
    <w:rsid w:val="001E2EB4"/>
    <w:rsid w:val="001E2F24"/>
    <w:rsid w:val="001E2FB3"/>
    <w:rsid w:val="001E30BC"/>
    <w:rsid w:val="001E30D4"/>
    <w:rsid w:val="001E31DF"/>
    <w:rsid w:val="001E32B3"/>
    <w:rsid w:val="001E3431"/>
    <w:rsid w:val="001E34DF"/>
    <w:rsid w:val="001E35DF"/>
    <w:rsid w:val="001E3AE8"/>
    <w:rsid w:val="001E3DD9"/>
    <w:rsid w:val="001E45E2"/>
    <w:rsid w:val="001E471E"/>
    <w:rsid w:val="001E515D"/>
    <w:rsid w:val="001E52EB"/>
    <w:rsid w:val="001E5660"/>
    <w:rsid w:val="001E5C03"/>
    <w:rsid w:val="001E61D2"/>
    <w:rsid w:val="001E6CD2"/>
    <w:rsid w:val="001E6E24"/>
    <w:rsid w:val="001E6EAC"/>
    <w:rsid w:val="001E6EAE"/>
    <w:rsid w:val="001E6EDC"/>
    <w:rsid w:val="001E71F5"/>
    <w:rsid w:val="001E72AB"/>
    <w:rsid w:val="001E72EF"/>
    <w:rsid w:val="001E740C"/>
    <w:rsid w:val="001E77F3"/>
    <w:rsid w:val="001E7A08"/>
    <w:rsid w:val="001E7BDD"/>
    <w:rsid w:val="001E7C41"/>
    <w:rsid w:val="001E7C78"/>
    <w:rsid w:val="001F01B4"/>
    <w:rsid w:val="001F05C8"/>
    <w:rsid w:val="001F0A4A"/>
    <w:rsid w:val="001F0C9B"/>
    <w:rsid w:val="001F0E85"/>
    <w:rsid w:val="001F1029"/>
    <w:rsid w:val="001F1235"/>
    <w:rsid w:val="001F1370"/>
    <w:rsid w:val="001F13BB"/>
    <w:rsid w:val="001F13CA"/>
    <w:rsid w:val="001F16EE"/>
    <w:rsid w:val="001F179D"/>
    <w:rsid w:val="001F1CB3"/>
    <w:rsid w:val="001F1F3C"/>
    <w:rsid w:val="001F23BA"/>
    <w:rsid w:val="001F26C9"/>
    <w:rsid w:val="001F27A3"/>
    <w:rsid w:val="001F2DA4"/>
    <w:rsid w:val="001F2E0D"/>
    <w:rsid w:val="001F2EF1"/>
    <w:rsid w:val="001F3075"/>
    <w:rsid w:val="001F33EE"/>
    <w:rsid w:val="001F38B5"/>
    <w:rsid w:val="001F3C8D"/>
    <w:rsid w:val="001F3F71"/>
    <w:rsid w:val="001F3FF1"/>
    <w:rsid w:val="001F4081"/>
    <w:rsid w:val="001F4614"/>
    <w:rsid w:val="001F4843"/>
    <w:rsid w:val="001F4A64"/>
    <w:rsid w:val="001F4C3F"/>
    <w:rsid w:val="001F4CF3"/>
    <w:rsid w:val="001F508E"/>
    <w:rsid w:val="001F50AB"/>
    <w:rsid w:val="001F5210"/>
    <w:rsid w:val="001F5326"/>
    <w:rsid w:val="001F569A"/>
    <w:rsid w:val="001F6177"/>
    <w:rsid w:val="001F661F"/>
    <w:rsid w:val="001F6B60"/>
    <w:rsid w:val="001F6E6B"/>
    <w:rsid w:val="001F71B7"/>
    <w:rsid w:val="001F722F"/>
    <w:rsid w:val="001F7339"/>
    <w:rsid w:val="001F7361"/>
    <w:rsid w:val="001F75FC"/>
    <w:rsid w:val="001F7AA5"/>
    <w:rsid w:val="001F7B78"/>
    <w:rsid w:val="001F7FCB"/>
    <w:rsid w:val="00200294"/>
    <w:rsid w:val="00200799"/>
    <w:rsid w:val="00200A4B"/>
    <w:rsid w:val="00200E3E"/>
    <w:rsid w:val="0020109C"/>
    <w:rsid w:val="002010CA"/>
    <w:rsid w:val="002011B0"/>
    <w:rsid w:val="00201801"/>
    <w:rsid w:val="00201923"/>
    <w:rsid w:val="00201B8A"/>
    <w:rsid w:val="00201BA9"/>
    <w:rsid w:val="00201BE0"/>
    <w:rsid w:val="0020200A"/>
    <w:rsid w:val="0020278B"/>
    <w:rsid w:val="0020284D"/>
    <w:rsid w:val="00202B0F"/>
    <w:rsid w:val="00202E3B"/>
    <w:rsid w:val="00202EA5"/>
    <w:rsid w:val="00202ECA"/>
    <w:rsid w:val="00202ED8"/>
    <w:rsid w:val="00202F85"/>
    <w:rsid w:val="0020302B"/>
    <w:rsid w:val="00203145"/>
    <w:rsid w:val="00203149"/>
    <w:rsid w:val="00203181"/>
    <w:rsid w:val="002035BE"/>
    <w:rsid w:val="00203783"/>
    <w:rsid w:val="0020385F"/>
    <w:rsid w:val="0020394B"/>
    <w:rsid w:val="00203C3C"/>
    <w:rsid w:val="00203DFC"/>
    <w:rsid w:val="00203E74"/>
    <w:rsid w:val="00203F00"/>
    <w:rsid w:val="002041E6"/>
    <w:rsid w:val="002043C4"/>
    <w:rsid w:val="00204433"/>
    <w:rsid w:val="00204BF0"/>
    <w:rsid w:val="00204F98"/>
    <w:rsid w:val="00205CC3"/>
    <w:rsid w:val="00206069"/>
    <w:rsid w:val="0020642E"/>
    <w:rsid w:val="002068A0"/>
    <w:rsid w:val="00206961"/>
    <w:rsid w:val="00206A43"/>
    <w:rsid w:val="00206A81"/>
    <w:rsid w:val="00206B7A"/>
    <w:rsid w:val="00206C0A"/>
    <w:rsid w:val="00206F76"/>
    <w:rsid w:val="00207021"/>
    <w:rsid w:val="0020732F"/>
    <w:rsid w:val="00207373"/>
    <w:rsid w:val="00207375"/>
    <w:rsid w:val="002073E2"/>
    <w:rsid w:val="00207539"/>
    <w:rsid w:val="002078D7"/>
    <w:rsid w:val="002078E8"/>
    <w:rsid w:val="002079C9"/>
    <w:rsid w:val="00207BF1"/>
    <w:rsid w:val="00207D00"/>
    <w:rsid w:val="00207E0A"/>
    <w:rsid w:val="00207E12"/>
    <w:rsid w:val="002100FC"/>
    <w:rsid w:val="002105C1"/>
    <w:rsid w:val="002108F2"/>
    <w:rsid w:val="00210B25"/>
    <w:rsid w:val="00210C49"/>
    <w:rsid w:val="00210D2B"/>
    <w:rsid w:val="00211053"/>
    <w:rsid w:val="00211120"/>
    <w:rsid w:val="0021118C"/>
    <w:rsid w:val="002113A9"/>
    <w:rsid w:val="002113BF"/>
    <w:rsid w:val="002116FD"/>
    <w:rsid w:val="00211801"/>
    <w:rsid w:val="00212453"/>
    <w:rsid w:val="0021264F"/>
    <w:rsid w:val="00212688"/>
    <w:rsid w:val="00212833"/>
    <w:rsid w:val="00212910"/>
    <w:rsid w:val="00212AAE"/>
    <w:rsid w:val="002130F5"/>
    <w:rsid w:val="002132CE"/>
    <w:rsid w:val="0021335A"/>
    <w:rsid w:val="002134AA"/>
    <w:rsid w:val="002135EC"/>
    <w:rsid w:val="00213EF5"/>
    <w:rsid w:val="00213EFF"/>
    <w:rsid w:val="00214750"/>
    <w:rsid w:val="00214B87"/>
    <w:rsid w:val="00214C2A"/>
    <w:rsid w:val="002152E1"/>
    <w:rsid w:val="002153D3"/>
    <w:rsid w:val="00215A4C"/>
    <w:rsid w:val="00215A95"/>
    <w:rsid w:val="00215DD4"/>
    <w:rsid w:val="002164ED"/>
    <w:rsid w:val="00216506"/>
    <w:rsid w:val="00216575"/>
    <w:rsid w:val="00216846"/>
    <w:rsid w:val="00216BF5"/>
    <w:rsid w:val="00216C5F"/>
    <w:rsid w:val="00216E1D"/>
    <w:rsid w:val="002170E0"/>
    <w:rsid w:val="002171F0"/>
    <w:rsid w:val="00217843"/>
    <w:rsid w:val="002178C2"/>
    <w:rsid w:val="0022004A"/>
    <w:rsid w:val="00220140"/>
    <w:rsid w:val="00220785"/>
    <w:rsid w:val="00220789"/>
    <w:rsid w:val="00220B6B"/>
    <w:rsid w:val="00220D03"/>
    <w:rsid w:val="002210D7"/>
    <w:rsid w:val="002213EA"/>
    <w:rsid w:val="0022143E"/>
    <w:rsid w:val="0022169D"/>
    <w:rsid w:val="002219BD"/>
    <w:rsid w:val="00221DCD"/>
    <w:rsid w:val="00222065"/>
    <w:rsid w:val="00222142"/>
    <w:rsid w:val="00222415"/>
    <w:rsid w:val="002226D8"/>
    <w:rsid w:val="00222AF2"/>
    <w:rsid w:val="00222C93"/>
    <w:rsid w:val="00222CDB"/>
    <w:rsid w:val="00222D21"/>
    <w:rsid w:val="00222E19"/>
    <w:rsid w:val="00222F8C"/>
    <w:rsid w:val="00223117"/>
    <w:rsid w:val="00223209"/>
    <w:rsid w:val="0022325A"/>
    <w:rsid w:val="002235F0"/>
    <w:rsid w:val="0022372A"/>
    <w:rsid w:val="002239D1"/>
    <w:rsid w:val="00223B49"/>
    <w:rsid w:val="00223D5A"/>
    <w:rsid w:val="00223ED8"/>
    <w:rsid w:val="00224059"/>
    <w:rsid w:val="00224094"/>
    <w:rsid w:val="002242BE"/>
    <w:rsid w:val="002243A0"/>
    <w:rsid w:val="002245C7"/>
    <w:rsid w:val="002249AC"/>
    <w:rsid w:val="00224D3C"/>
    <w:rsid w:val="00224D3F"/>
    <w:rsid w:val="00224DD4"/>
    <w:rsid w:val="00224FF0"/>
    <w:rsid w:val="00225078"/>
    <w:rsid w:val="00225118"/>
    <w:rsid w:val="0022538D"/>
    <w:rsid w:val="00225468"/>
    <w:rsid w:val="00225518"/>
    <w:rsid w:val="00225677"/>
    <w:rsid w:val="0022577B"/>
    <w:rsid w:val="00225A56"/>
    <w:rsid w:val="00225D3A"/>
    <w:rsid w:val="0022602B"/>
    <w:rsid w:val="00226137"/>
    <w:rsid w:val="00226434"/>
    <w:rsid w:val="002264AD"/>
    <w:rsid w:val="0022659F"/>
    <w:rsid w:val="00226959"/>
    <w:rsid w:val="00226D31"/>
    <w:rsid w:val="002271E1"/>
    <w:rsid w:val="00227322"/>
    <w:rsid w:val="002276CF"/>
    <w:rsid w:val="0022775A"/>
    <w:rsid w:val="00227898"/>
    <w:rsid w:val="002278A0"/>
    <w:rsid w:val="00227967"/>
    <w:rsid w:val="00227B9D"/>
    <w:rsid w:val="00227F64"/>
    <w:rsid w:val="0023006B"/>
    <w:rsid w:val="00230409"/>
    <w:rsid w:val="0023050D"/>
    <w:rsid w:val="00230686"/>
    <w:rsid w:val="002309CC"/>
    <w:rsid w:val="00230A39"/>
    <w:rsid w:val="00231405"/>
    <w:rsid w:val="00231597"/>
    <w:rsid w:val="0023178F"/>
    <w:rsid w:val="00231B12"/>
    <w:rsid w:val="00231BA9"/>
    <w:rsid w:val="0023209F"/>
    <w:rsid w:val="002320B3"/>
    <w:rsid w:val="00232CCD"/>
    <w:rsid w:val="00232FBF"/>
    <w:rsid w:val="002331C0"/>
    <w:rsid w:val="0023321F"/>
    <w:rsid w:val="00233307"/>
    <w:rsid w:val="00233406"/>
    <w:rsid w:val="0023389B"/>
    <w:rsid w:val="002338AD"/>
    <w:rsid w:val="00233C01"/>
    <w:rsid w:val="00233CB3"/>
    <w:rsid w:val="00233CCC"/>
    <w:rsid w:val="00233D04"/>
    <w:rsid w:val="00233E16"/>
    <w:rsid w:val="0023413C"/>
    <w:rsid w:val="0023432D"/>
    <w:rsid w:val="0023434D"/>
    <w:rsid w:val="002346F0"/>
    <w:rsid w:val="00234B75"/>
    <w:rsid w:val="00234DC8"/>
    <w:rsid w:val="002350A1"/>
    <w:rsid w:val="002350FF"/>
    <w:rsid w:val="002354FD"/>
    <w:rsid w:val="00235709"/>
    <w:rsid w:val="00235D22"/>
    <w:rsid w:val="00236172"/>
    <w:rsid w:val="0023629D"/>
    <w:rsid w:val="00236568"/>
    <w:rsid w:val="00236992"/>
    <w:rsid w:val="002369C0"/>
    <w:rsid w:val="00237255"/>
    <w:rsid w:val="00237279"/>
    <w:rsid w:val="00237506"/>
    <w:rsid w:val="002379D1"/>
    <w:rsid w:val="00237E4C"/>
    <w:rsid w:val="00237FA7"/>
    <w:rsid w:val="002403D2"/>
    <w:rsid w:val="0024070E"/>
    <w:rsid w:val="002407D9"/>
    <w:rsid w:val="0024087D"/>
    <w:rsid w:val="0024092D"/>
    <w:rsid w:val="00240E1E"/>
    <w:rsid w:val="002410D3"/>
    <w:rsid w:val="00241214"/>
    <w:rsid w:val="00241297"/>
    <w:rsid w:val="0024159C"/>
    <w:rsid w:val="0024193A"/>
    <w:rsid w:val="00241EE2"/>
    <w:rsid w:val="0024206D"/>
    <w:rsid w:val="0024249F"/>
    <w:rsid w:val="002424AF"/>
    <w:rsid w:val="0024271F"/>
    <w:rsid w:val="0024274C"/>
    <w:rsid w:val="002430F9"/>
    <w:rsid w:val="00243148"/>
    <w:rsid w:val="00243681"/>
    <w:rsid w:val="002439DC"/>
    <w:rsid w:val="002439DF"/>
    <w:rsid w:val="00243C14"/>
    <w:rsid w:val="00243D47"/>
    <w:rsid w:val="00243E15"/>
    <w:rsid w:val="00243F45"/>
    <w:rsid w:val="002441D2"/>
    <w:rsid w:val="0024436A"/>
    <w:rsid w:val="00244475"/>
    <w:rsid w:val="00244542"/>
    <w:rsid w:val="00244720"/>
    <w:rsid w:val="00244A83"/>
    <w:rsid w:val="00244DC8"/>
    <w:rsid w:val="002454C7"/>
    <w:rsid w:val="0024575D"/>
    <w:rsid w:val="002458BA"/>
    <w:rsid w:val="00245A90"/>
    <w:rsid w:val="00245A92"/>
    <w:rsid w:val="00245CE9"/>
    <w:rsid w:val="00245ED1"/>
    <w:rsid w:val="002461A5"/>
    <w:rsid w:val="0024636C"/>
    <w:rsid w:val="00246467"/>
    <w:rsid w:val="002466B2"/>
    <w:rsid w:val="00247291"/>
    <w:rsid w:val="00247446"/>
    <w:rsid w:val="002474F1"/>
    <w:rsid w:val="002476F1"/>
    <w:rsid w:val="00247925"/>
    <w:rsid w:val="00247963"/>
    <w:rsid w:val="00247AA1"/>
    <w:rsid w:val="00250345"/>
    <w:rsid w:val="002505AC"/>
    <w:rsid w:val="002507E4"/>
    <w:rsid w:val="00250807"/>
    <w:rsid w:val="0025087E"/>
    <w:rsid w:val="002509DA"/>
    <w:rsid w:val="00251006"/>
    <w:rsid w:val="0025101E"/>
    <w:rsid w:val="00251040"/>
    <w:rsid w:val="002510F0"/>
    <w:rsid w:val="002513C1"/>
    <w:rsid w:val="002517AD"/>
    <w:rsid w:val="002518DC"/>
    <w:rsid w:val="0025194C"/>
    <w:rsid w:val="00251AE5"/>
    <w:rsid w:val="00251BCA"/>
    <w:rsid w:val="00251C62"/>
    <w:rsid w:val="00251CEC"/>
    <w:rsid w:val="00251D34"/>
    <w:rsid w:val="00251F53"/>
    <w:rsid w:val="00252297"/>
    <w:rsid w:val="002524D5"/>
    <w:rsid w:val="002524F8"/>
    <w:rsid w:val="002529FF"/>
    <w:rsid w:val="00252AB9"/>
    <w:rsid w:val="00252C28"/>
    <w:rsid w:val="002532A8"/>
    <w:rsid w:val="0025346C"/>
    <w:rsid w:val="002534B4"/>
    <w:rsid w:val="0025361A"/>
    <w:rsid w:val="00253B1D"/>
    <w:rsid w:val="00253E05"/>
    <w:rsid w:val="00253FF0"/>
    <w:rsid w:val="00254080"/>
    <w:rsid w:val="002540ED"/>
    <w:rsid w:val="0025410F"/>
    <w:rsid w:val="00254375"/>
    <w:rsid w:val="00254487"/>
    <w:rsid w:val="00254906"/>
    <w:rsid w:val="00254AF4"/>
    <w:rsid w:val="00254BB6"/>
    <w:rsid w:val="00254DCF"/>
    <w:rsid w:val="00254EC9"/>
    <w:rsid w:val="0025514D"/>
    <w:rsid w:val="0025534B"/>
    <w:rsid w:val="002553D5"/>
    <w:rsid w:val="0025549A"/>
    <w:rsid w:val="002555A3"/>
    <w:rsid w:val="00255600"/>
    <w:rsid w:val="00255BB7"/>
    <w:rsid w:val="00255EA7"/>
    <w:rsid w:val="002560DA"/>
    <w:rsid w:val="0025619A"/>
    <w:rsid w:val="002562F1"/>
    <w:rsid w:val="00256B46"/>
    <w:rsid w:val="00256BFB"/>
    <w:rsid w:val="00256C61"/>
    <w:rsid w:val="00257137"/>
    <w:rsid w:val="0025721E"/>
    <w:rsid w:val="00257541"/>
    <w:rsid w:val="00257A39"/>
    <w:rsid w:val="00257AC4"/>
    <w:rsid w:val="00257BBE"/>
    <w:rsid w:val="00257DD2"/>
    <w:rsid w:val="00257E0F"/>
    <w:rsid w:val="002603F1"/>
    <w:rsid w:val="00260546"/>
    <w:rsid w:val="002606C8"/>
    <w:rsid w:val="00260E6D"/>
    <w:rsid w:val="00260FAE"/>
    <w:rsid w:val="00260FDC"/>
    <w:rsid w:val="0026170F"/>
    <w:rsid w:val="002618FA"/>
    <w:rsid w:val="0026194C"/>
    <w:rsid w:val="00261EB4"/>
    <w:rsid w:val="00261EEF"/>
    <w:rsid w:val="00261FE9"/>
    <w:rsid w:val="00262579"/>
    <w:rsid w:val="00262854"/>
    <w:rsid w:val="00262A1A"/>
    <w:rsid w:val="00262A87"/>
    <w:rsid w:val="00262C17"/>
    <w:rsid w:val="00262D59"/>
    <w:rsid w:val="00262DCD"/>
    <w:rsid w:val="00262FA1"/>
    <w:rsid w:val="00262FC1"/>
    <w:rsid w:val="00263247"/>
    <w:rsid w:val="002633BF"/>
    <w:rsid w:val="002636E4"/>
    <w:rsid w:val="0026377D"/>
    <w:rsid w:val="002638A2"/>
    <w:rsid w:val="00263BA3"/>
    <w:rsid w:val="002642F8"/>
    <w:rsid w:val="0026441B"/>
    <w:rsid w:val="002644BC"/>
    <w:rsid w:val="002645DF"/>
    <w:rsid w:val="00264606"/>
    <w:rsid w:val="0026490F"/>
    <w:rsid w:val="002649A0"/>
    <w:rsid w:val="00264D26"/>
    <w:rsid w:val="0026508B"/>
    <w:rsid w:val="002651CD"/>
    <w:rsid w:val="00265AEA"/>
    <w:rsid w:val="00266017"/>
    <w:rsid w:val="00266033"/>
    <w:rsid w:val="00266039"/>
    <w:rsid w:val="002662DD"/>
    <w:rsid w:val="002664CE"/>
    <w:rsid w:val="00266908"/>
    <w:rsid w:val="00266AD5"/>
    <w:rsid w:val="00266DBB"/>
    <w:rsid w:val="00267381"/>
    <w:rsid w:val="00267642"/>
    <w:rsid w:val="00267AEA"/>
    <w:rsid w:val="002700E6"/>
    <w:rsid w:val="00270C29"/>
    <w:rsid w:val="00270C45"/>
    <w:rsid w:val="00270D38"/>
    <w:rsid w:val="00270D85"/>
    <w:rsid w:val="00271421"/>
    <w:rsid w:val="002714E6"/>
    <w:rsid w:val="002716FC"/>
    <w:rsid w:val="0027187B"/>
    <w:rsid w:val="00271976"/>
    <w:rsid w:val="00271A28"/>
    <w:rsid w:val="00271DAF"/>
    <w:rsid w:val="00271FED"/>
    <w:rsid w:val="0027294B"/>
    <w:rsid w:val="00272A27"/>
    <w:rsid w:val="00272D56"/>
    <w:rsid w:val="00272E57"/>
    <w:rsid w:val="002734C3"/>
    <w:rsid w:val="00273666"/>
    <w:rsid w:val="002736C6"/>
    <w:rsid w:val="00273D71"/>
    <w:rsid w:val="00273EB4"/>
    <w:rsid w:val="00274095"/>
    <w:rsid w:val="00274214"/>
    <w:rsid w:val="0027455B"/>
    <w:rsid w:val="00274682"/>
    <w:rsid w:val="002747C8"/>
    <w:rsid w:val="002749BA"/>
    <w:rsid w:val="00274CC0"/>
    <w:rsid w:val="00274E0C"/>
    <w:rsid w:val="00274E44"/>
    <w:rsid w:val="002750B6"/>
    <w:rsid w:val="00275158"/>
    <w:rsid w:val="0027553F"/>
    <w:rsid w:val="00275619"/>
    <w:rsid w:val="00275701"/>
    <w:rsid w:val="0027571B"/>
    <w:rsid w:val="0027589E"/>
    <w:rsid w:val="00275C5A"/>
    <w:rsid w:val="00275E6D"/>
    <w:rsid w:val="00275F57"/>
    <w:rsid w:val="002761B3"/>
    <w:rsid w:val="00276656"/>
    <w:rsid w:val="00276E2B"/>
    <w:rsid w:val="002776E5"/>
    <w:rsid w:val="002778A5"/>
    <w:rsid w:val="002779DB"/>
    <w:rsid w:val="00277AA7"/>
    <w:rsid w:val="00277B1E"/>
    <w:rsid w:val="00277E6A"/>
    <w:rsid w:val="00280074"/>
    <w:rsid w:val="0028013E"/>
    <w:rsid w:val="00280148"/>
    <w:rsid w:val="00280267"/>
    <w:rsid w:val="0028038F"/>
    <w:rsid w:val="002805B4"/>
    <w:rsid w:val="002806AC"/>
    <w:rsid w:val="002808AE"/>
    <w:rsid w:val="00280AE8"/>
    <w:rsid w:val="00280EE3"/>
    <w:rsid w:val="00281014"/>
    <w:rsid w:val="002810A4"/>
    <w:rsid w:val="002812CE"/>
    <w:rsid w:val="002814CE"/>
    <w:rsid w:val="0028177F"/>
    <w:rsid w:val="00281ECA"/>
    <w:rsid w:val="0028221B"/>
    <w:rsid w:val="00282661"/>
    <w:rsid w:val="00282682"/>
    <w:rsid w:val="002826EC"/>
    <w:rsid w:val="002829B3"/>
    <w:rsid w:val="00282A1A"/>
    <w:rsid w:val="00282A7E"/>
    <w:rsid w:val="00282DA1"/>
    <w:rsid w:val="00283270"/>
    <w:rsid w:val="00283346"/>
    <w:rsid w:val="00283391"/>
    <w:rsid w:val="00283460"/>
    <w:rsid w:val="00283696"/>
    <w:rsid w:val="00283B94"/>
    <w:rsid w:val="00283E04"/>
    <w:rsid w:val="00283EC1"/>
    <w:rsid w:val="00283F63"/>
    <w:rsid w:val="00284139"/>
    <w:rsid w:val="0028427B"/>
    <w:rsid w:val="002844D8"/>
    <w:rsid w:val="00284771"/>
    <w:rsid w:val="00284F71"/>
    <w:rsid w:val="002850B3"/>
    <w:rsid w:val="00285176"/>
    <w:rsid w:val="0028522C"/>
    <w:rsid w:val="00285389"/>
    <w:rsid w:val="002853C4"/>
    <w:rsid w:val="002856B8"/>
    <w:rsid w:val="002856E1"/>
    <w:rsid w:val="0028598C"/>
    <w:rsid w:val="00285ADB"/>
    <w:rsid w:val="00285BCE"/>
    <w:rsid w:val="00285DC7"/>
    <w:rsid w:val="00286564"/>
    <w:rsid w:val="0028661A"/>
    <w:rsid w:val="0028665D"/>
    <w:rsid w:val="00286CBF"/>
    <w:rsid w:val="00286D7C"/>
    <w:rsid w:val="002876FA"/>
    <w:rsid w:val="00287751"/>
    <w:rsid w:val="00287923"/>
    <w:rsid w:val="002879F0"/>
    <w:rsid w:val="00287BEA"/>
    <w:rsid w:val="0029006D"/>
    <w:rsid w:val="002901AF"/>
    <w:rsid w:val="002901F5"/>
    <w:rsid w:val="0029069F"/>
    <w:rsid w:val="002907E1"/>
    <w:rsid w:val="00290BB3"/>
    <w:rsid w:val="00291311"/>
    <w:rsid w:val="0029175D"/>
    <w:rsid w:val="002919B1"/>
    <w:rsid w:val="00292028"/>
    <w:rsid w:val="00292358"/>
    <w:rsid w:val="0029242B"/>
    <w:rsid w:val="00292641"/>
    <w:rsid w:val="00292867"/>
    <w:rsid w:val="00292A30"/>
    <w:rsid w:val="00292D20"/>
    <w:rsid w:val="00292FF2"/>
    <w:rsid w:val="00293E0D"/>
    <w:rsid w:val="00293E9A"/>
    <w:rsid w:val="00294325"/>
    <w:rsid w:val="002943D1"/>
    <w:rsid w:val="00294445"/>
    <w:rsid w:val="002944CF"/>
    <w:rsid w:val="002948A5"/>
    <w:rsid w:val="00294AE9"/>
    <w:rsid w:val="00294DB0"/>
    <w:rsid w:val="00294E5F"/>
    <w:rsid w:val="00294FE2"/>
    <w:rsid w:val="002955AD"/>
    <w:rsid w:val="0029583E"/>
    <w:rsid w:val="00295BBC"/>
    <w:rsid w:val="00295BC9"/>
    <w:rsid w:val="00295D39"/>
    <w:rsid w:val="00295E91"/>
    <w:rsid w:val="002962C5"/>
    <w:rsid w:val="00296441"/>
    <w:rsid w:val="002965D7"/>
    <w:rsid w:val="00296911"/>
    <w:rsid w:val="00296C56"/>
    <w:rsid w:val="00296D5A"/>
    <w:rsid w:val="00296EAE"/>
    <w:rsid w:val="002971ED"/>
    <w:rsid w:val="002977B3"/>
    <w:rsid w:val="00297936"/>
    <w:rsid w:val="00297C68"/>
    <w:rsid w:val="00297E02"/>
    <w:rsid w:val="002A011D"/>
    <w:rsid w:val="002A04EF"/>
    <w:rsid w:val="002A05AB"/>
    <w:rsid w:val="002A07FD"/>
    <w:rsid w:val="002A0B84"/>
    <w:rsid w:val="002A0BDB"/>
    <w:rsid w:val="002A0F3A"/>
    <w:rsid w:val="002A13B8"/>
    <w:rsid w:val="002A14AB"/>
    <w:rsid w:val="002A16F2"/>
    <w:rsid w:val="002A1812"/>
    <w:rsid w:val="002A1A9D"/>
    <w:rsid w:val="002A1DBC"/>
    <w:rsid w:val="002A1F82"/>
    <w:rsid w:val="002A252E"/>
    <w:rsid w:val="002A25F5"/>
    <w:rsid w:val="002A2674"/>
    <w:rsid w:val="002A2ADE"/>
    <w:rsid w:val="002A2B01"/>
    <w:rsid w:val="002A2E85"/>
    <w:rsid w:val="002A2F50"/>
    <w:rsid w:val="002A2FF4"/>
    <w:rsid w:val="002A34F7"/>
    <w:rsid w:val="002A353D"/>
    <w:rsid w:val="002A3739"/>
    <w:rsid w:val="002A375F"/>
    <w:rsid w:val="002A37D0"/>
    <w:rsid w:val="002A3BE9"/>
    <w:rsid w:val="002A3ED1"/>
    <w:rsid w:val="002A3F47"/>
    <w:rsid w:val="002A4014"/>
    <w:rsid w:val="002A401F"/>
    <w:rsid w:val="002A47AC"/>
    <w:rsid w:val="002A48D8"/>
    <w:rsid w:val="002A5255"/>
    <w:rsid w:val="002A54F8"/>
    <w:rsid w:val="002A5505"/>
    <w:rsid w:val="002A566E"/>
    <w:rsid w:val="002A5955"/>
    <w:rsid w:val="002A5AA0"/>
    <w:rsid w:val="002A5C0B"/>
    <w:rsid w:val="002A60D8"/>
    <w:rsid w:val="002A610E"/>
    <w:rsid w:val="002A614F"/>
    <w:rsid w:val="002A61AC"/>
    <w:rsid w:val="002A61F8"/>
    <w:rsid w:val="002A6219"/>
    <w:rsid w:val="002A662F"/>
    <w:rsid w:val="002A66B5"/>
    <w:rsid w:val="002A6990"/>
    <w:rsid w:val="002A6C57"/>
    <w:rsid w:val="002A7000"/>
    <w:rsid w:val="002A7234"/>
    <w:rsid w:val="002A7328"/>
    <w:rsid w:val="002A749E"/>
    <w:rsid w:val="002A7800"/>
    <w:rsid w:val="002A78A7"/>
    <w:rsid w:val="002A7943"/>
    <w:rsid w:val="002A7CFA"/>
    <w:rsid w:val="002A7E24"/>
    <w:rsid w:val="002A7F0B"/>
    <w:rsid w:val="002B0089"/>
    <w:rsid w:val="002B00A4"/>
    <w:rsid w:val="002B021B"/>
    <w:rsid w:val="002B033F"/>
    <w:rsid w:val="002B052F"/>
    <w:rsid w:val="002B05A1"/>
    <w:rsid w:val="002B092C"/>
    <w:rsid w:val="002B09A4"/>
    <w:rsid w:val="002B0A5C"/>
    <w:rsid w:val="002B14FF"/>
    <w:rsid w:val="002B1573"/>
    <w:rsid w:val="002B16A5"/>
    <w:rsid w:val="002B1C1F"/>
    <w:rsid w:val="002B1D69"/>
    <w:rsid w:val="002B2153"/>
    <w:rsid w:val="002B2318"/>
    <w:rsid w:val="002B2320"/>
    <w:rsid w:val="002B26BB"/>
    <w:rsid w:val="002B2E11"/>
    <w:rsid w:val="002B2F7D"/>
    <w:rsid w:val="002B377E"/>
    <w:rsid w:val="002B3FB4"/>
    <w:rsid w:val="002B4217"/>
    <w:rsid w:val="002B432F"/>
    <w:rsid w:val="002B4D1B"/>
    <w:rsid w:val="002B4DF4"/>
    <w:rsid w:val="002B5108"/>
    <w:rsid w:val="002B5452"/>
    <w:rsid w:val="002B554B"/>
    <w:rsid w:val="002B56A9"/>
    <w:rsid w:val="002B594C"/>
    <w:rsid w:val="002B5B42"/>
    <w:rsid w:val="002B5C6F"/>
    <w:rsid w:val="002B5DD1"/>
    <w:rsid w:val="002B626F"/>
    <w:rsid w:val="002B62B3"/>
    <w:rsid w:val="002B6754"/>
    <w:rsid w:val="002B68D1"/>
    <w:rsid w:val="002B6CCE"/>
    <w:rsid w:val="002B6DAF"/>
    <w:rsid w:val="002B6F6B"/>
    <w:rsid w:val="002B7235"/>
    <w:rsid w:val="002B79C1"/>
    <w:rsid w:val="002B7F26"/>
    <w:rsid w:val="002B7FE4"/>
    <w:rsid w:val="002C018D"/>
    <w:rsid w:val="002C01AC"/>
    <w:rsid w:val="002C0568"/>
    <w:rsid w:val="002C081D"/>
    <w:rsid w:val="002C0873"/>
    <w:rsid w:val="002C09B4"/>
    <w:rsid w:val="002C09EC"/>
    <w:rsid w:val="002C0A07"/>
    <w:rsid w:val="002C11B8"/>
    <w:rsid w:val="002C1390"/>
    <w:rsid w:val="002C166A"/>
    <w:rsid w:val="002C1686"/>
    <w:rsid w:val="002C178F"/>
    <w:rsid w:val="002C17DC"/>
    <w:rsid w:val="002C19B1"/>
    <w:rsid w:val="002C1F4C"/>
    <w:rsid w:val="002C1FF7"/>
    <w:rsid w:val="002C20D8"/>
    <w:rsid w:val="002C2510"/>
    <w:rsid w:val="002C2589"/>
    <w:rsid w:val="002C2775"/>
    <w:rsid w:val="002C27C1"/>
    <w:rsid w:val="002C28F1"/>
    <w:rsid w:val="002C36C6"/>
    <w:rsid w:val="002C36E3"/>
    <w:rsid w:val="002C3C52"/>
    <w:rsid w:val="002C3CB5"/>
    <w:rsid w:val="002C429C"/>
    <w:rsid w:val="002C45AC"/>
    <w:rsid w:val="002C467D"/>
    <w:rsid w:val="002C48D9"/>
    <w:rsid w:val="002C4912"/>
    <w:rsid w:val="002C4AD0"/>
    <w:rsid w:val="002C4AF7"/>
    <w:rsid w:val="002C4E2F"/>
    <w:rsid w:val="002C502B"/>
    <w:rsid w:val="002C5099"/>
    <w:rsid w:val="002C52D4"/>
    <w:rsid w:val="002C562B"/>
    <w:rsid w:val="002C5889"/>
    <w:rsid w:val="002C61DF"/>
    <w:rsid w:val="002C67B6"/>
    <w:rsid w:val="002C6AB9"/>
    <w:rsid w:val="002C6D7A"/>
    <w:rsid w:val="002C71CE"/>
    <w:rsid w:val="002C7235"/>
    <w:rsid w:val="002C74FB"/>
    <w:rsid w:val="002C771B"/>
    <w:rsid w:val="002C7B47"/>
    <w:rsid w:val="002C7EE0"/>
    <w:rsid w:val="002D034F"/>
    <w:rsid w:val="002D043F"/>
    <w:rsid w:val="002D08F8"/>
    <w:rsid w:val="002D0C2A"/>
    <w:rsid w:val="002D0CDC"/>
    <w:rsid w:val="002D1515"/>
    <w:rsid w:val="002D1836"/>
    <w:rsid w:val="002D194A"/>
    <w:rsid w:val="002D19F1"/>
    <w:rsid w:val="002D1BCD"/>
    <w:rsid w:val="002D1EA9"/>
    <w:rsid w:val="002D1EE9"/>
    <w:rsid w:val="002D219A"/>
    <w:rsid w:val="002D2211"/>
    <w:rsid w:val="002D22C4"/>
    <w:rsid w:val="002D2B02"/>
    <w:rsid w:val="002D2FA1"/>
    <w:rsid w:val="002D3145"/>
    <w:rsid w:val="002D33F1"/>
    <w:rsid w:val="002D38C7"/>
    <w:rsid w:val="002D3BDF"/>
    <w:rsid w:val="002D4079"/>
    <w:rsid w:val="002D4555"/>
    <w:rsid w:val="002D45B9"/>
    <w:rsid w:val="002D4759"/>
    <w:rsid w:val="002D4B05"/>
    <w:rsid w:val="002D4C1F"/>
    <w:rsid w:val="002D4C86"/>
    <w:rsid w:val="002D4E3E"/>
    <w:rsid w:val="002D50C3"/>
    <w:rsid w:val="002D5194"/>
    <w:rsid w:val="002D53D4"/>
    <w:rsid w:val="002D557F"/>
    <w:rsid w:val="002D577C"/>
    <w:rsid w:val="002D5942"/>
    <w:rsid w:val="002D6009"/>
    <w:rsid w:val="002D60A1"/>
    <w:rsid w:val="002D6866"/>
    <w:rsid w:val="002D6A24"/>
    <w:rsid w:val="002D6E27"/>
    <w:rsid w:val="002D720B"/>
    <w:rsid w:val="002D7404"/>
    <w:rsid w:val="002D757A"/>
    <w:rsid w:val="002D7832"/>
    <w:rsid w:val="002D7B14"/>
    <w:rsid w:val="002D7EAF"/>
    <w:rsid w:val="002E000F"/>
    <w:rsid w:val="002E06B0"/>
    <w:rsid w:val="002E075F"/>
    <w:rsid w:val="002E0AC6"/>
    <w:rsid w:val="002E0B0B"/>
    <w:rsid w:val="002E0FFE"/>
    <w:rsid w:val="002E1071"/>
    <w:rsid w:val="002E11B8"/>
    <w:rsid w:val="002E14CD"/>
    <w:rsid w:val="002E158F"/>
    <w:rsid w:val="002E15B9"/>
    <w:rsid w:val="002E1613"/>
    <w:rsid w:val="002E1874"/>
    <w:rsid w:val="002E1901"/>
    <w:rsid w:val="002E1952"/>
    <w:rsid w:val="002E2158"/>
    <w:rsid w:val="002E23A8"/>
    <w:rsid w:val="002E2676"/>
    <w:rsid w:val="002E272B"/>
    <w:rsid w:val="002E2A7B"/>
    <w:rsid w:val="002E2EAD"/>
    <w:rsid w:val="002E2F95"/>
    <w:rsid w:val="002E3138"/>
    <w:rsid w:val="002E34F6"/>
    <w:rsid w:val="002E3B96"/>
    <w:rsid w:val="002E3F02"/>
    <w:rsid w:val="002E3F10"/>
    <w:rsid w:val="002E40E6"/>
    <w:rsid w:val="002E4220"/>
    <w:rsid w:val="002E4367"/>
    <w:rsid w:val="002E44E2"/>
    <w:rsid w:val="002E462F"/>
    <w:rsid w:val="002E4E67"/>
    <w:rsid w:val="002E4F02"/>
    <w:rsid w:val="002E5213"/>
    <w:rsid w:val="002E59C9"/>
    <w:rsid w:val="002E5A50"/>
    <w:rsid w:val="002E6457"/>
    <w:rsid w:val="002E6510"/>
    <w:rsid w:val="002E6B8B"/>
    <w:rsid w:val="002E6CFD"/>
    <w:rsid w:val="002E6D3F"/>
    <w:rsid w:val="002E6DCF"/>
    <w:rsid w:val="002E7722"/>
    <w:rsid w:val="002E7951"/>
    <w:rsid w:val="002F0009"/>
    <w:rsid w:val="002F04EE"/>
    <w:rsid w:val="002F0693"/>
    <w:rsid w:val="002F07BA"/>
    <w:rsid w:val="002F0AF8"/>
    <w:rsid w:val="002F0C8C"/>
    <w:rsid w:val="002F0DA9"/>
    <w:rsid w:val="002F0DD3"/>
    <w:rsid w:val="002F0F7A"/>
    <w:rsid w:val="002F100A"/>
    <w:rsid w:val="002F1014"/>
    <w:rsid w:val="002F1370"/>
    <w:rsid w:val="002F17AE"/>
    <w:rsid w:val="002F1824"/>
    <w:rsid w:val="002F19ED"/>
    <w:rsid w:val="002F1E3B"/>
    <w:rsid w:val="002F1EB0"/>
    <w:rsid w:val="002F2101"/>
    <w:rsid w:val="002F216E"/>
    <w:rsid w:val="002F237E"/>
    <w:rsid w:val="002F23E7"/>
    <w:rsid w:val="002F2513"/>
    <w:rsid w:val="002F258A"/>
    <w:rsid w:val="002F2AB6"/>
    <w:rsid w:val="002F2AD7"/>
    <w:rsid w:val="002F2C9C"/>
    <w:rsid w:val="002F2DC9"/>
    <w:rsid w:val="002F300C"/>
    <w:rsid w:val="002F3060"/>
    <w:rsid w:val="002F324A"/>
    <w:rsid w:val="002F32F3"/>
    <w:rsid w:val="002F339E"/>
    <w:rsid w:val="002F3409"/>
    <w:rsid w:val="002F38C7"/>
    <w:rsid w:val="002F39B3"/>
    <w:rsid w:val="002F3C46"/>
    <w:rsid w:val="002F3DF3"/>
    <w:rsid w:val="002F413F"/>
    <w:rsid w:val="002F47F8"/>
    <w:rsid w:val="002F4B58"/>
    <w:rsid w:val="002F4C1D"/>
    <w:rsid w:val="002F5795"/>
    <w:rsid w:val="002F5ABD"/>
    <w:rsid w:val="002F5AD3"/>
    <w:rsid w:val="002F620F"/>
    <w:rsid w:val="002F643C"/>
    <w:rsid w:val="002F65A8"/>
    <w:rsid w:val="002F6900"/>
    <w:rsid w:val="002F6AFF"/>
    <w:rsid w:val="002F6B4C"/>
    <w:rsid w:val="002F7030"/>
    <w:rsid w:val="002F70A6"/>
    <w:rsid w:val="002F71C0"/>
    <w:rsid w:val="002F72A0"/>
    <w:rsid w:val="002F74F1"/>
    <w:rsid w:val="002F7AC3"/>
    <w:rsid w:val="002F7B41"/>
    <w:rsid w:val="002F7BEA"/>
    <w:rsid w:val="002F7E11"/>
    <w:rsid w:val="002F7ED8"/>
    <w:rsid w:val="003000BE"/>
    <w:rsid w:val="00300191"/>
    <w:rsid w:val="003003F5"/>
    <w:rsid w:val="00300429"/>
    <w:rsid w:val="003008B4"/>
    <w:rsid w:val="00300923"/>
    <w:rsid w:val="0030099B"/>
    <w:rsid w:val="00300F94"/>
    <w:rsid w:val="00301017"/>
    <w:rsid w:val="0030134B"/>
    <w:rsid w:val="0030154D"/>
    <w:rsid w:val="0030155F"/>
    <w:rsid w:val="0030165D"/>
    <w:rsid w:val="00301AE9"/>
    <w:rsid w:val="00301E8C"/>
    <w:rsid w:val="00301EF4"/>
    <w:rsid w:val="00301F26"/>
    <w:rsid w:val="00301F47"/>
    <w:rsid w:val="00302779"/>
    <w:rsid w:val="00302969"/>
    <w:rsid w:val="00302A46"/>
    <w:rsid w:val="00302D87"/>
    <w:rsid w:val="003030DC"/>
    <w:rsid w:val="0030321A"/>
    <w:rsid w:val="0030378F"/>
    <w:rsid w:val="00303B24"/>
    <w:rsid w:val="00303B7F"/>
    <w:rsid w:val="00304555"/>
    <w:rsid w:val="0030476E"/>
    <w:rsid w:val="00304B71"/>
    <w:rsid w:val="00304D40"/>
    <w:rsid w:val="003052C0"/>
    <w:rsid w:val="0030534D"/>
    <w:rsid w:val="003053F5"/>
    <w:rsid w:val="0030549D"/>
    <w:rsid w:val="0030552F"/>
    <w:rsid w:val="00305690"/>
    <w:rsid w:val="003056D1"/>
    <w:rsid w:val="0030587B"/>
    <w:rsid w:val="00305BFA"/>
    <w:rsid w:val="00306005"/>
    <w:rsid w:val="00306515"/>
    <w:rsid w:val="00306668"/>
    <w:rsid w:val="00306924"/>
    <w:rsid w:val="00306C77"/>
    <w:rsid w:val="00306D98"/>
    <w:rsid w:val="003070F0"/>
    <w:rsid w:val="00307127"/>
    <w:rsid w:val="00307323"/>
    <w:rsid w:val="00307551"/>
    <w:rsid w:val="00307560"/>
    <w:rsid w:val="0030786C"/>
    <w:rsid w:val="00307AFD"/>
    <w:rsid w:val="00307C52"/>
    <w:rsid w:val="00310050"/>
    <w:rsid w:val="00310171"/>
    <w:rsid w:val="0031031A"/>
    <w:rsid w:val="0031049F"/>
    <w:rsid w:val="00310981"/>
    <w:rsid w:val="00310EBF"/>
    <w:rsid w:val="0031111A"/>
    <w:rsid w:val="00311330"/>
    <w:rsid w:val="00311952"/>
    <w:rsid w:val="00311D7A"/>
    <w:rsid w:val="00311D9B"/>
    <w:rsid w:val="00311F74"/>
    <w:rsid w:val="003122C7"/>
    <w:rsid w:val="003124D9"/>
    <w:rsid w:val="00312594"/>
    <w:rsid w:val="003131EB"/>
    <w:rsid w:val="00313482"/>
    <w:rsid w:val="00313A77"/>
    <w:rsid w:val="00313BF6"/>
    <w:rsid w:val="00313CD7"/>
    <w:rsid w:val="00313DCE"/>
    <w:rsid w:val="00313E03"/>
    <w:rsid w:val="00313F41"/>
    <w:rsid w:val="00313F98"/>
    <w:rsid w:val="00313FB0"/>
    <w:rsid w:val="00314014"/>
    <w:rsid w:val="003140CE"/>
    <w:rsid w:val="003143D0"/>
    <w:rsid w:val="003150B4"/>
    <w:rsid w:val="00315364"/>
    <w:rsid w:val="00315498"/>
    <w:rsid w:val="00315533"/>
    <w:rsid w:val="00315C3E"/>
    <w:rsid w:val="00315D37"/>
    <w:rsid w:val="003160AF"/>
    <w:rsid w:val="00316374"/>
    <w:rsid w:val="00316474"/>
    <w:rsid w:val="00316503"/>
    <w:rsid w:val="003166F7"/>
    <w:rsid w:val="003173C7"/>
    <w:rsid w:val="0031745B"/>
    <w:rsid w:val="0031769E"/>
    <w:rsid w:val="003178C9"/>
    <w:rsid w:val="00317CD2"/>
    <w:rsid w:val="00317E04"/>
    <w:rsid w:val="00317F51"/>
    <w:rsid w:val="0032007C"/>
    <w:rsid w:val="00320A2C"/>
    <w:rsid w:val="00320BDD"/>
    <w:rsid w:val="00320FE0"/>
    <w:rsid w:val="003212B4"/>
    <w:rsid w:val="003214C0"/>
    <w:rsid w:val="003216AB"/>
    <w:rsid w:val="00321A32"/>
    <w:rsid w:val="00321AA9"/>
    <w:rsid w:val="00321E07"/>
    <w:rsid w:val="00321F30"/>
    <w:rsid w:val="00321F81"/>
    <w:rsid w:val="00322107"/>
    <w:rsid w:val="003221C7"/>
    <w:rsid w:val="00322355"/>
    <w:rsid w:val="003227F3"/>
    <w:rsid w:val="00322828"/>
    <w:rsid w:val="00322846"/>
    <w:rsid w:val="00322D08"/>
    <w:rsid w:val="00322E5D"/>
    <w:rsid w:val="00322E69"/>
    <w:rsid w:val="00322F51"/>
    <w:rsid w:val="003230C4"/>
    <w:rsid w:val="00323146"/>
    <w:rsid w:val="003233A7"/>
    <w:rsid w:val="00323B23"/>
    <w:rsid w:val="003240C4"/>
    <w:rsid w:val="003240E7"/>
    <w:rsid w:val="00324533"/>
    <w:rsid w:val="00324775"/>
    <w:rsid w:val="003248BC"/>
    <w:rsid w:val="00324CE5"/>
    <w:rsid w:val="00325A50"/>
    <w:rsid w:val="00325AC8"/>
    <w:rsid w:val="00325B3B"/>
    <w:rsid w:val="00325BB8"/>
    <w:rsid w:val="00325D75"/>
    <w:rsid w:val="00325E4E"/>
    <w:rsid w:val="003264B2"/>
    <w:rsid w:val="003266A8"/>
    <w:rsid w:val="00326881"/>
    <w:rsid w:val="00326DA7"/>
    <w:rsid w:val="00326DAC"/>
    <w:rsid w:val="00326E5E"/>
    <w:rsid w:val="003270E4"/>
    <w:rsid w:val="003271A7"/>
    <w:rsid w:val="003271FE"/>
    <w:rsid w:val="003274D3"/>
    <w:rsid w:val="00327CCE"/>
    <w:rsid w:val="003303A5"/>
    <w:rsid w:val="003304B9"/>
    <w:rsid w:val="00330572"/>
    <w:rsid w:val="00330807"/>
    <w:rsid w:val="0033083B"/>
    <w:rsid w:val="00330DAA"/>
    <w:rsid w:val="00330F5C"/>
    <w:rsid w:val="003313C4"/>
    <w:rsid w:val="00331404"/>
    <w:rsid w:val="003314E6"/>
    <w:rsid w:val="00331741"/>
    <w:rsid w:val="00331DC9"/>
    <w:rsid w:val="00332228"/>
    <w:rsid w:val="0033232C"/>
    <w:rsid w:val="003323EA"/>
    <w:rsid w:val="00332749"/>
    <w:rsid w:val="0033275B"/>
    <w:rsid w:val="00332D5D"/>
    <w:rsid w:val="00332F07"/>
    <w:rsid w:val="00333013"/>
    <w:rsid w:val="003330D6"/>
    <w:rsid w:val="0033317F"/>
    <w:rsid w:val="0033323A"/>
    <w:rsid w:val="0033324C"/>
    <w:rsid w:val="003332F5"/>
    <w:rsid w:val="00333392"/>
    <w:rsid w:val="003335E8"/>
    <w:rsid w:val="003339FD"/>
    <w:rsid w:val="00333D27"/>
    <w:rsid w:val="003342B1"/>
    <w:rsid w:val="003345E8"/>
    <w:rsid w:val="0033470E"/>
    <w:rsid w:val="00334AC0"/>
    <w:rsid w:val="00334B1C"/>
    <w:rsid w:val="00334B67"/>
    <w:rsid w:val="00334E96"/>
    <w:rsid w:val="0033531A"/>
    <w:rsid w:val="0033569A"/>
    <w:rsid w:val="003356C0"/>
    <w:rsid w:val="00335A28"/>
    <w:rsid w:val="00335F1E"/>
    <w:rsid w:val="00336175"/>
    <w:rsid w:val="003366C9"/>
    <w:rsid w:val="00336A77"/>
    <w:rsid w:val="00336ABE"/>
    <w:rsid w:val="00336AC9"/>
    <w:rsid w:val="00336BE1"/>
    <w:rsid w:val="00336F51"/>
    <w:rsid w:val="00336F54"/>
    <w:rsid w:val="003371B0"/>
    <w:rsid w:val="0033724D"/>
    <w:rsid w:val="00337276"/>
    <w:rsid w:val="003372A0"/>
    <w:rsid w:val="003372A6"/>
    <w:rsid w:val="00337371"/>
    <w:rsid w:val="003374C4"/>
    <w:rsid w:val="0033792A"/>
    <w:rsid w:val="00337EAF"/>
    <w:rsid w:val="003407E3"/>
    <w:rsid w:val="00340C06"/>
    <w:rsid w:val="00340DF1"/>
    <w:rsid w:val="00340E80"/>
    <w:rsid w:val="00340F4B"/>
    <w:rsid w:val="0034144B"/>
    <w:rsid w:val="003415A8"/>
    <w:rsid w:val="0034171C"/>
    <w:rsid w:val="003417E3"/>
    <w:rsid w:val="00341AA6"/>
    <w:rsid w:val="003421E7"/>
    <w:rsid w:val="0034254C"/>
    <w:rsid w:val="00342A63"/>
    <w:rsid w:val="00342BC2"/>
    <w:rsid w:val="0034311A"/>
    <w:rsid w:val="00343726"/>
    <w:rsid w:val="003438A6"/>
    <w:rsid w:val="00343CA9"/>
    <w:rsid w:val="00343D56"/>
    <w:rsid w:val="00344086"/>
    <w:rsid w:val="003441E2"/>
    <w:rsid w:val="003442F3"/>
    <w:rsid w:val="0034438F"/>
    <w:rsid w:val="003443D5"/>
    <w:rsid w:val="003445FF"/>
    <w:rsid w:val="00344B9A"/>
    <w:rsid w:val="00344CC9"/>
    <w:rsid w:val="00345047"/>
    <w:rsid w:val="0034576B"/>
    <w:rsid w:val="0034590B"/>
    <w:rsid w:val="00345BFE"/>
    <w:rsid w:val="00345CC1"/>
    <w:rsid w:val="00346001"/>
    <w:rsid w:val="0034616D"/>
    <w:rsid w:val="003461A3"/>
    <w:rsid w:val="00346505"/>
    <w:rsid w:val="003465FC"/>
    <w:rsid w:val="0034690C"/>
    <w:rsid w:val="00346AB5"/>
    <w:rsid w:val="00346BE7"/>
    <w:rsid w:val="00346C22"/>
    <w:rsid w:val="00346DEB"/>
    <w:rsid w:val="00346F77"/>
    <w:rsid w:val="0034702D"/>
    <w:rsid w:val="0034726D"/>
    <w:rsid w:val="00347437"/>
    <w:rsid w:val="00347958"/>
    <w:rsid w:val="00347A3F"/>
    <w:rsid w:val="00347A61"/>
    <w:rsid w:val="00347AF7"/>
    <w:rsid w:val="00347C70"/>
    <w:rsid w:val="00350372"/>
    <w:rsid w:val="00350437"/>
    <w:rsid w:val="003504FA"/>
    <w:rsid w:val="0035054A"/>
    <w:rsid w:val="00350596"/>
    <w:rsid w:val="0035066A"/>
    <w:rsid w:val="003508BD"/>
    <w:rsid w:val="00350981"/>
    <w:rsid w:val="003510FF"/>
    <w:rsid w:val="003511D7"/>
    <w:rsid w:val="00351652"/>
    <w:rsid w:val="003517F9"/>
    <w:rsid w:val="00351BA9"/>
    <w:rsid w:val="00352147"/>
    <w:rsid w:val="00352736"/>
    <w:rsid w:val="00352991"/>
    <w:rsid w:val="003534F7"/>
    <w:rsid w:val="00353D89"/>
    <w:rsid w:val="00353DC5"/>
    <w:rsid w:val="00353F13"/>
    <w:rsid w:val="00354191"/>
    <w:rsid w:val="0035465C"/>
    <w:rsid w:val="003546A2"/>
    <w:rsid w:val="003546E6"/>
    <w:rsid w:val="00354A41"/>
    <w:rsid w:val="00354E3B"/>
    <w:rsid w:val="00354EB4"/>
    <w:rsid w:val="00354F64"/>
    <w:rsid w:val="00354F80"/>
    <w:rsid w:val="00355B42"/>
    <w:rsid w:val="00355BA0"/>
    <w:rsid w:val="00356031"/>
    <w:rsid w:val="0035611C"/>
    <w:rsid w:val="0035620E"/>
    <w:rsid w:val="00356258"/>
    <w:rsid w:val="00356535"/>
    <w:rsid w:val="003568BF"/>
    <w:rsid w:val="00356AF6"/>
    <w:rsid w:val="00356FF0"/>
    <w:rsid w:val="0035726A"/>
    <w:rsid w:val="00357374"/>
    <w:rsid w:val="003574F9"/>
    <w:rsid w:val="003575BE"/>
    <w:rsid w:val="00357722"/>
    <w:rsid w:val="0035795C"/>
    <w:rsid w:val="00357D49"/>
    <w:rsid w:val="00357DB9"/>
    <w:rsid w:val="0036007A"/>
    <w:rsid w:val="00360154"/>
    <w:rsid w:val="003602AE"/>
    <w:rsid w:val="00360308"/>
    <w:rsid w:val="00360345"/>
    <w:rsid w:val="0036057F"/>
    <w:rsid w:val="003606DB"/>
    <w:rsid w:val="00360757"/>
    <w:rsid w:val="003613BF"/>
    <w:rsid w:val="00361463"/>
    <w:rsid w:val="003614B0"/>
    <w:rsid w:val="00361A05"/>
    <w:rsid w:val="00361A25"/>
    <w:rsid w:val="00361E69"/>
    <w:rsid w:val="00361F17"/>
    <w:rsid w:val="003624BB"/>
    <w:rsid w:val="003624C4"/>
    <w:rsid w:val="0036258A"/>
    <w:rsid w:val="003625D9"/>
    <w:rsid w:val="00362658"/>
    <w:rsid w:val="00362F7F"/>
    <w:rsid w:val="00363024"/>
    <w:rsid w:val="003632C5"/>
    <w:rsid w:val="003637DD"/>
    <w:rsid w:val="0036381C"/>
    <w:rsid w:val="0036384E"/>
    <w:rsid w:val="00363B00"/>
    <w:rsid w:val="00363BBD"/>
    <w:rsid w:val="00363C0E"/>
    <w:rsid w:val="00363E12"/>
    <w:rsid w:val="00363E65"/>
    <w:rsid w:val="00363FD8"/>
    <w:rsid w:val="00364172"/>
    <w:rsid w:val="00364CBE"/>
    <w:rsid w:val="003654AC"/>
    <w:rsid w:val="00366162"/>
    <w:rsid w:val="00366290"/>
    <w:rsid w:val="003668CA"/>
    <w:rsid w:val="00366A5F"/>
    <w:rsid w:val="00366BBF"/>
    <w:rsid w:val="00366D0B"/>
    <w:rsid w:val="003671C7"/>
    <w:rsid w:val="00367376"/>
    <w:rsid w:val="003674D1"/>
    <w:rsid w:val="00367EC1"/>
    <w:rsid w:val="0037005F"/>
    <w:rsid w:val="00370272"/>
    <w:rsid w:val="00370319"/>
    <w:rsid w:val="003704F3"/>
    <w:rsid w:val="003705DC"/>
    <w:rsid w:val="0037087F"/>
    <w:rsid w:val="003708AD"/>
    <w:rsid w:val="003710CF"/>
    <w:rsid w:val="0037182D"/>
    <w:rsid w:val="00371933"/>
    <w:rsid w:val="00371C0F"/>
    <w:rsid w:val="00371FDF"/>
    <w:rsid w:val="00372218"/>
    <w:rsid w:val="00372AD3"/>
    <w:rsid w:val="00372F6B"/>
    <w:rsid w:val="00373084"/>
    <w:rsid w:val="00373384"/>
    <w:rsid w:val="0037358A"/>
    <w:rsid w:val="003737AC"/>
    <w:rsid w:val="00373990"/>
    <w:rsid w:val="00373A53"/>
    <w:rsid w:val="00373BED"/>
    <w:rsid w:val="00373D55"/>
    <w:rsid w:val="003742F5"/>
    <w:rsid w:val="003746EA"/>
    <w:rsid w:val="003746FE"/>
    <w:rsid w:val="00374907"/>
    <w:rsid w:val="003750F6"/>
    <w:rsid w:val="0037514B"/>
    <w:rsid w:val="0037534A"/>
    <w:rsid w:val="0037538A"/>
    <w:rsid w:val="003754BD"/>
    <w:rsid w:val="00375A6A"/>
    <w:rsid w:val="00375CBE"/>
    <w:rsid w:val="003760FC"/>
    <w:rsid w:val="00376197"/>
    <w:rsid w:val="003761D7"/>
    <w:rsid w:val="00376289"/>
    <w:rsid w:val="00376302"/>
    <w:rsid w:val="003763EA"/>
    <w:rsid w:val="0037641B"/>
    <w:rsid w:val="0037651E"/>
    <w:rsid w:val="00376FE3"/>
    <w:rsid w:val="003771D5"/>
    <w:rsid w:val="003778D1"/>
    <w:rsid w:val="00377A43"/>
    <w:rsid w:val="00377BED"/>
    <w:rsid w:val="00377C03"/>
    <w:rsid w:val="00377C9D"/>
    <w:rsid w:val="00377D1F"/>
    <w:rsid w:val="003808D5"/>
    <w:rsid w:val="00380F49"/>
    <w:rsid w:val="00380F5D"/>
    <w:rsid w:val="0038125A"/>
    <w:rsid w:val="0038128E"/>
    <w:rsid w:val="0038130F"/>
    <w:rsid w:val="00381347"/>
    <w:rsid w:val="003813BE"/>
    <w:rsid w:val="00381B32"/>
    <w:rsid w:val="00381D21"/>
    <w:rsid w:val="00381F93"/>
    <w:rsid w:val="00382A05"/>
    <w:rsid w:val="00382CE2"/>
    <w:rsid w:val="00382E5F"/>
    <w:rsid w:val="00382EE8"/>
    <w:rsid w:val="00383271"/>
    <w:rsid w:val="00383356"/>
    <w:rsid w:val="0038365C"/>
    <w:rsid w:val="0038369B"/>
    <w:rsid w:val="00383970"/>
    <w:rsid w:val="00383B19"/>
    <w:rsid w:val="00383B78"/>
    <w:rsid w:val="00383BE6"/>
    <w:rsid w:val="00383C43"/>
    <w:rsid w:val="00384181"/>
    <w:rsid w:val="00384262"/>
    <w:rsid w:val="0038435F"/>
    <w:rsid w:val="0038466C"/>
    <w:rsid w:val="003846BF"/>
    <w:rsid w:val="00384C1A"/>
    <w:rsid w:val="00384C3F"/>
    <w:rsid w:val="00384D4A"/>
    <w:rsid w:val="00384F0A"/>
    <w:rsid w:val="00384F1A"/>
    <w:rsid w:val="00385137"/>
    <w:rsid w:val="003852BC"/>
    <w:rsid w:val="003853F8"/>
    <w:rsid w:val="00385A9D"/>
    <w:rsid w:val="00385C1D"/>
    <w:rsid w:val="003860EB"/>
    <w:rsid w:val="0038614B"/>
    <w:rsid w:val="003862AF"/>
    <w:rsid w:val="003862D3"/>
    <w:rsid w:val="0038632A"/>
    <w:rsid w:val="0038668E"/>
    <w:rsid w:val="00386E10"/>
    <w:rsid w:val="00387121"/>
    <w:rsid w:val="00387406"/>
    <w:rsid w:val="003874E6"/>
    <w:rsid w:val="003874FC"/>
    <w:rsid w:val="0038756C"/>
    <w:rsid w:val="00387859"/>
    <w:rsid w:val="003878F3"/>
    <w:rsid w:val="00390264"/>
    <w:rsid w:val="003902B1"/>
    <w:rsid w:val="00390368"/>
    <w:rsid w:val="00390400"/>
    <w:rsid w:val="003906BE"/>
    <w:rsid w:val="003907FD"/>
    <w:rsid w:val="00391098"/>
    <w:rsid w:val="003911BE"/>
    <w:rsid w:val="003913FB"/>
    <w:rsid w:val="0039179C"/>
    <w:rsid w:val="003923F7"/>
    <w:rsid w:val="00392429"/>
    <w:rsid w:val="003924FA"/>
    <w:rsid w:val="00392D2F"/>
    <w:rsid w:val="00392FA6"/>
    <w:rsid w:val="003932CF"/>
    <w:rsid w:val="003934AF"/>
    <w:rsid w:val="003935D8"/>
    <w:rsid w:val="003935E9"/>
    <w:rsid w:val="00393722"/>
    <w:rsid w:val="00393AE7"/>
    <w:rsid w:val="00393DF9"/>
    <w:rsid w:val="00393F81"/>
    <w:rsid w:val="0039426A"/>
    <w:rsid w:val="0039444F"/>
    <w:rsid w:val="003944BD"/>
    <w:rsid w:val="00394532"/>
    <w:rsid w:val="00394606"/>
    <w:rsid w:val="003946AA"/>
    <w:rsid w:val="00394949"/>
    <w:rsid w:val="003949A1"/>
    <w:rsid w:val="00394BF4"/>
    <w:rsid w:val="00394C94"/>
    <w:rsid w:val="00395198"/>
    <w:rsid w:val="003955EB"/>
    <w:rsid w:val="00395708"/>
    <w:rsid w:val="0039587F"/>
    <w:rsid w:val="00395BB5"/>
    <w:rsid w:val="0039606F"/>
    <w:rsid w:val="00396896"/>
    <w:rsid w:val="00396A8E"/>
    <w:rsid w:val="00396C47"/>
    <w:rsid w:val="00396FD0"/>
    <w:rsid w:val="003972E6"/>
    <w:rsid w:val="00397946"/>
    <w:rsid w:val="00397B09"/>
    <w:rsid w:val="00397D7B"/>
    <w:rsid w:val="003A0072"/>
    <w:rsid w:val="003A00A4"/>
    <w:rsid w:val="003A00F3"/>
    <w:rsid w:val="003A039D"/>
    <w:rsid w:val="003A0556"/>
    <w:rsid w:val="003A069A"/>
    <w:rsid w:val="003A06B5"/>
    <w:rsid w:val="003A0C84"/>
    <w:rsid w:val="003A0DC4"/>
    <w:rsid w:val="003A0FC6"/>
    <w:rsid w:val="003A1000"/>
    <w:rsid w:val="003A10D8"/>
    <w:rsid w:val="003A1183"/>
    <w:rsid w:val="003A1299"/>
    <w:rsid w:val="003A145C"/>
    <w:rsid w:val="003A1866"/>
    <w:rsid w:val="003A1980"/>
    <w:rsid w:val="003A1A19"/>
    <w:rsid w:val="003A1A7A"/>
    <w:rsid w:val="003A1B37"/>
    <w:rsid w:val="003A1B9F"/>
    <w:rsid w:val="003A1CE9"/>
    <w:rsid w:val="003A20AE"/>
    <w:rsid w:val="003A2209"/>
    <w:rsid w:val="003A221A"/>
    <w:rsid w:val="003A2392"/>
    <w:rsid w:val="003A256F"/>
    <w:rsid w:val="003A2601"/>
    <w:rsid w:val="003A2831"/>
    <w:rsid w:val="003A29B8"/>
    <w:rsid w:val="003A2B21"/>
    <w:rsid w:val="003A2C5C"/>
    <w:rsid w:val="003A2D6E"/>
    <w:rsid w:val="003A31A8"/>
    <w:rsid w:val="003A32FB"/>
    <w:rsid w:val="003A3306"/>
    <w:rsid w:val="003A368A"/>
    <w:rsid w:val="003A36A8"/>
    <w:rsid w:val="003A3A51"/>
    <w:rsid w:val="003A3BEF"/>
    <w:rsid w:val="003A3CB6"/>
    <w:rsid w:val="003A3D09"/>
    <w:rsid w:val="003A3E0D"/>
    <w:rsid w:val="003A3E92"/>
    <w:rsid w:val="003A3ED1"/>
    <w:rsid w:val="003A3F6C"/>
    <w:rsid w:val="003A40AC"/>
    <w:rsid w:val="003A424E"/>
    <w:rsid w:val="003A44DB"/>
    <w:rsid w:val="003A4665"/>
    <w:rsid w:val="003A474D"/>
    <w:rsid w:val="003A4C14"/>
    <w:rsid w:val="003A56E4"/>
    <w:rsid w:val="003A5BE6"/>
    <w:rsid w:val="003A637E"/>
    <w:rsid w:val="003A6B11"/>
    <w:rsid w:val="003A6B13"/>
    <w:rsid w:val="003A6D01"/>
    <w:rsid w:val="003A7393"/>
    <w:rsid w:val="003A7DCA"/>
    <w:rsid w:val="003A7E00"/>
    <w:rsid w:val="003B012F"/>
    <w:rsid w:val="003B0452"/>
    <w:rsid w:val="003B0506"/>
    <w:rsid w:val="003B0570"/>
    <w:rsid w:val="003B1083"/>
    <w:rsid w:val="003B10CF"/>
    <w:rsid w:val="003B120D"/>
    <w:rsid w:val="003B142B"/>
    <w:rsid w:val="003B1603"/>
    <w:rsid w:val="003B1685"/>
    <w:rsid w:val="003B253C"/>
    <w:rsid w:val="003B2F2A"/>
    <w:rsid w:val="003B31A6"/>
    <w:rsid w:val="003B32B3"/>
    <w:rsid w:val="003B3393"/>
    <w:rsid w:val="003B3855"/>
    <w:rsid w:val="003B3879"/>
    <w:rsid w:val="003B3971"/>
    <w:rsid w:val="003B3C50"/>
    <w:rsid w:val="003B4013"/>
    <w:rsid w:val="003B4197"/>
    <w:rsid w:val="003B431A"/>
    <w:rsid w:val="003B46B8"/>
    <w:rsid w:val="003B48BD"/>
    <w:rsid w:val="003B4CE3"/>
    <w:rsid w:val="003B4DC4"/>
    <w:rsid w:val="003B513A"/>
    <w:rsid w:val="003B5213"/>
    <w:rsid w:val="003B55D1"/>
    <w:rsid w:val="003B5892"/>
    <w:rsid w:val="003B5B0A"/>
    <w:rsid w:val="003B5B61"/>
    <w:rsid w:val="003B5D39"/>
    <w:rsid w:val="003B5F4B"/>
    <w:rsid w:val="003B61B1"/>
    <w:rsid w:val="003B6526"/>
    <w:rsid w:val="003B6873"/>
    <w:rsid w:val="003B6C6A"/>
    <w:rsid w:val="003B6D2E"/>
    <w:rsid w:val="003B6E85"/>
    <w:rsid w:val="003B72DB"/>
    <w:rsid w:val="003B798A"/>
    <w:rsid w:val="003C040A"/>
    <w:rsid w:val="003C0447"/>
    <w:rsid w:val="003C04FF"/>
    <w:rsid w:val="003C0E87"/>
    <w:rsid w:val="003C0F5C"/>
    <w:rsid w:val="003C112A"/>
    <w:rsid w:val="003C14B0"/>
    <w:rsid w:val="003C1654"/>
    <w:rsid w:val="003C1933"/>
    <w:rsid w:val="003C1CAE"/>
    <w:rsid w:val="003C20E4"/>
    <w:rsid w:val="003C225A"/>
    <w:rsid w:val="003C26C6"/>
    <w:rsid w:val="003C3042"/>
    <w:rsid w:val="003C3276"/>
    <w:rsid w:val="003C33C1"/>
    <w:rsid w:val="003C35DE"/>
    <w:rsid w:val="003C3AB3"/>
    <w:rsid w:val="003C3EAE"/>
    <w:rsid w:val="003C4379"/>
    <w:rsid w:val="003C437B"/>
    <w:rsid w:val="003C4927"/>
    <w:rsid w:val="003C4AC6"/>
    <w:rsid w:val="003C4E7B"/>
    <w:rsid w:val="003C4FCD"/>
    <w:rsid w:val="003C5014"/>
    <w:rsid w:val="003C516F"/>
    <w:rsid w:val="003C51E8"/>
    <w:rsid w:val="003C5232"/>
    <w:rsid w:val="003C5355"/>
    <w:rsid w:val="003C54CB"/>
    <w:rsid w:val="003C5542"/>
    <w:rsid w:val="003C5679"/>
    <w:rsid w:val="003C56B5"/>
    <w:rsid w:val="003C5798"/>
    <w:rsid w:val="003C57A3"/>
    <w:rsid w:val="003C5990"/>
    <w:rsid w:val="003C5C90"/>
    <w:rsid w:val="003C647E"/>
    <w:rsid w:val="003C649D"/>
    <w:rsid w:val="003C6A6F"/>
    <w:rsid w:val="003C6AE3"/>
    <w:rsid w:val="003C6D3E"/>
    <w:rsid w:val="003C6ED3"/>
    <w:rsid w:val="003C7551"/>
    <w:rsid w:val="003C7C15"/>
    <w:rsid w:val="003C7D19"/>
    <w:rsid w:val="003C7D2F"/>
    <w:rsid w:val="003D0084"/>
    <w:rsid w:val="003D01DC"/>
    <w:rsid w:val="003D068C"/>
    <w:rsid w:val="003D070D"/>
    <w:rsid w:val="003D0753"/>
    <w:rsid w:val="003D0825"/>
    <w:rsid w:val="003D0C5A"/>
    <w:rsid w:val="003D0D05"/>
    <w:rsid w:val="003D0EFD"/>
    <w:rsid w:val="003D163A"/>
    <w:rsid w:val="003D16EA"/>
    <w:rsid w:val="003D174C"/>
    <w:rsid w:val="003D1828"/>
    <w:rsid w:val="003D1983"/>
    <w:rsid w:val="003D1DE4"/>
    <w:rsid w:val="003D1E9A"/>
    <w:rsid w:val="003D1F04"/>
    <w:rsid w:val="003D1F14"/>
    <w:rsid w:val="003D20B9"/>
    <w:rsid w:val="003D21F2"/>
    <w:rsid w:val="003D2422"/>
    <w:rsid w:val="003D243D"/>
    <w:rsid w:val="003D2A89"/>
    <w:rsid w:val="003D3185"/>
    <w:rsid w:val="003D38D9"/>
    <w:rsid w:val="003D39A1"/>
    <w:rsid w:val="003D3FBF"/>
    <w:rsid w:val="003D40AE"/>
    <w:rsid w:val="003D4348"/>
    <w:rsid w:val="003D478F"/>
    <w:rsid w:val="003D4873"/>
    <w:rsid w:val="003D4882"/>
    <w:rsid w:val="003D4A30"/>
    <w:rsid w:val="003D4E0B"/>
    <w:rsid w:val="003D4E9E"/>
    <w:rsid w:val="003D5268"/>
    <w:rsid w:val="003D5690"/>
    <w:rsid w:val="003D5AA4"/>
    <w:rsid w:val="003D5DE7"/>
    <w:rsid w:val="003D5E57"/>
    <w:rsid w:val="003D6137"/>
    <w:rsid w:val="003D62D3"/>
    <w:rsid w:val="003D6330"/>
    <w:rsid w:val="003D63E2"/>
    <w:rsid w:val="003D6581"/>
    <w:rsid w:val="003D671D"/>
    <w:rsid w:val="003D6851"/>
    <w:rsid w:val="003D6AC9"/>
    <w:rsid w:val="003D6EC4"/>
    <w:rsid w:val="003D6F3B"/>
    <w:rsid w:val="003D7452"/>
    <w:rsid w:val="003D7714"/>
    <w:rsid w:val="003D79BB"/>
    <w:rsid w:val="003D7C98"/>
    <w:rsid w:val="003D7D9D"/>
    <w:rsid w:val="003E0353"/>
    <w:rsid w:val="003E039D"/>
    <w:rsid w:val="003E0543"/>
    <w:rsid w:val="003E0557"/>
    <w:rsid w:val="003E0650"/>
    <w:rsid w:val="003E0792"/>
    <w:rsid w:val="003E09F3"/>
    <w:rsid w:val="003E09FA"/>
    <w:rsid w:val="003E0B53"/>
    <w:rsid w:val="003E0CBE"/>
    <w:rsid w:val="003E106B"/>
    <w:rsid w:val="003E1588"/>
    <w:rsid w:val="003E15C9"/>
    <w:rsid w:val="003E162D"/>
    <w:rsid w:val="003E1946"/>
    <w:rsid w:val="003E2041"/>
    <w:rsid w:val="003E248F"/>
    <w:rsid w:val="003E288F"/>
    <w:rsid w:val="003E2984"/>
    <w:rsid w:val="003E2BE9"/>
    <w:rsid w:val="003E2D8F"/>
    <w:rsid w:val="003E33D7"/>
    <w:rsid w:val="003E373D"/>
    <w:rsid w:val="003E3914"/>
    <w:rsid w:val="003E3E35"/>
    <w:rsid w:val="003E451D"/>
    <w:rsid w:val="003E451E"/>
    <w:rsid w:val="003E4708"/>
    <w:rsid w:val="003E4C62"/>
    <w:rsid w:val="003E4CA1"/>
    <w:rsid w:val="003E4EAA"/>
    <w:rsid w:val="003E54AE"/>
    <w:rsid w:val="003E54D0"/>
    <w:rsid w:val="003E5603"/>
    <w:rsid w:val="003E5674"/>
    <w:rsid w:val="003E5700"/>
    <w:rsid w:val="003E5AA0"/>
    <w:rsid w:val="003E5BE7"/>
    <w:rsid w:val="003E63BF"/>
    <w:rsid w:val="003E6484"/>
    <w:rsid w:val="003E6821"/>
    <w:rsid w:val="003E68DF"/>
    <w:rsid w:val="003E6916"/>
    <w:rsid w:val="003E69A4"/>
    <w:rsid w:val="003E6B49"/>
    <w:rsid w:val="003E6DC9"/>
    <w:rsid w:val="003E6E01"/>
    <w:rsid w:val="003E6E81"/>
    <w:rsid w:val="003E6F4C"/>
    <w:rsid w:val="003E6FE8"/>
    <w:rsid w:val="003E7455"/>
    <w:rsid w:val="003E749E"/>
    <w:rsid w:val="003E7742"/>
    <w:rsid w:val="003F0435"/>
    <w:rsid w:val="003F0499"/>
    <w:rsid w:val="003F04E7"/>
    <w:rsid w:val="003F0655"/>
    <w:rsid w:val="003F0A15"/>
    <w:rsid w:val="003F0ABA"/>
    <w:rsid w:val="003F0DAB"/>
    <w:rsid w:val="003F1212"/>
    <w:rsid w:val="003F1572"/>
    <w:rsid w:val="003F1732"/>
    <w:rsid w:val="003F207C"/>
    <w:rsid w:val="003F2B7E"/>
    <w:rsid w:val="003F2BE9"/>
    <w:rsid w:val="003F2C21"/>
    <w:rsid w:val="003F2E42"/>
    <w:rsid w:val="003F33E7"/>
    <w:rsid w:val="003F36CC"/>
    <w:rsid w:val="003F3D2A"/>
    <w:rsid w:val="003F4156"/>
    <w:rsid w:val="003F451E"/>
    <w:rsid w:val="003F4715"/>
    <w:rsid w:val="003F4B92"/>
    <w:rsid w:val="003F5162"/>
    <w:rsid w:val="003F5197"/>
    <w:rsid w:val="003F521A"/>
    <w:rsid w:val="003F536F"/>
    <w:rsid w:val="003F5629"/>
    <w:rsid w:val="003F56DF"/>
    <w:rsid w:val="003F585A"/>
    <w:rsid w:val="003F592E"/>
    <w:rsid w:val="003F5ADF"/>
    <w:rsid w:val="003F5BD9"/>
    <w:rsid w:val="003F5FDE"/>
    <w:rsid w:val="003F61AF"/>
    <w:rsid w:val="003F69C6"/>
    <w:rsid w:val="003F6B52"/>
    <w:rsid w:val="003F6C66"/>
    <w:rsid w:val="003F6F24"/>
    <w:rsid w:val="003F7029"/>
    <w:rsid w:val="003F707A"/>
    <w:rsid w:val="003F71E6"/>
    <w:rsid w:val="003F71F1"/>
    <w:rsid w:val="003F7448"/>
    <w:rsid w:val="003F756F"/>
    <w:rsid w:val="003F7BA9"/>
    <w:rsid w:val="003F7D3E"/>
    <w:rsid w:val="003F7EDE"/>
    <w:rsid w:val="003F7F35"/>
    <w:rsid w:val="004001F6"/>
    <w:rsid w:val="004008ED"/>
    <w:rsid w:val="004009FC"/>
    <w:rsid w:val="00400B29"/>
    <w:rsid w:val="00400E76"/>
    <w:rsid w:val="00401053"/>
    <w:rsid w:val="0040108D"/>
    <w:rsid w:val="00401446"/>
    <w:rsid w:val="004014B1"/>
    <w:rsid w:val="004014C4"/>
    <w:rsid w:val="004015C2"/>
    <w:rsid w:val="00401A63"/>
    <w:rsid w:val="00401A8C"/>
    <w:rsid w:val="00401F70"/>
    <w:rsid w:val="00402286"/>
    <w:rsid w:val="004024A2"/>
    <w:rsid w:val="004025BC"/>
    <w:rsid w:val="00402652"/>
    <w:rsid w:val="00402731"/>
    <w:rsid w:val="00402812"/>
    <w:rsid w:val="004028FF"/>
    <w:rsid w:val="00402A4A"/>
    <w:rsid w:val="0040301A"/>
    <w:rsid w:val="004031CC"/>
    <w:rsid w:val="00403BAF"/>
    <w:rsid w:val="00403EC6"/>
    <w:rsid w:val="00403EDE"/>
    <w:rsid w:val="0040410D"/>
    <w:rsid w:val="004043AE"/>
    <w:rsid w:val="00404586"/>
    <w:rsid w:val="0040504B"/>
    <w:rsid w:val="0040508C"/>
    <w:rsid w:val="0040521C"/>
    <w:rsid w:val="0040575F"/>
    <w:rsid w:val="004059F4"/>
    <w:rsid w:val="00405D6F"/>
    <w:rsid w:val="00405E2F"/>
    <w:rsid w:val="004064CD"/>
    <w:rsid w:val="004067D2"/>
    <w:rsid w:val="00406B5E"/>
    <w:rsid w:val="00406BD0"/>
    <w:rsid w:val="00406EA8"/>
    <w:rsid w:val="0040708B"/>
    <w:rsid w:val="00407347"/>
    <w:rsid w:val="004074A1"/>
    <w:rsid w:val="00407557"/>
    <w:rsid w:val="00407A8C"/>
    <w:rsid w:val="00407FE5"/>
    <w:rsid w:val="00410074"/>
    <w:rsid w:val="0041008D"/>
    <w:rsid w:val="004100C7"/>
    <w:rsid w:val="004101B0"/>
    <w:rsid w:val="00410326"/>
    <w:rsid w:val="004103D7"/>
    <w:rsid w:val="00410708"/>
    <w:rsid w:val="00410E7B"/>
    <w:rsid w:val="00410EC7"/>
    <w:rsid w:val="00411700"/>
    <w:rsid w:val="00411B39"/>
    <w:rsid w:val="00411C78"/>
    <w:rsid w:val="0041236B"/>
    <w:rsid w:val="0041267E"/>
    <w:rsid w:val="0041278C"/>
    <w:rsid w:val="004127A7"/>
    <w:rsid w:val="004127C5"/>
    <w:rsid w:val="0041284B"/>
    <w:rsid w:val="00412872"/>
    <w:rsid w:val="00412F36"/>
    <w:rsid w:val="00412F90"/>
    <w:rsid w:val="004132C3"/>
    <w:rsid w:val="00413609"/>
    <w:rsid w:val="00413A1E"/>
    <w:rsid w:val="00413B01"/>
    <w:rsid w:val="00413E1E"/>
    <w:rsid w:val="00414074"/>
    <w:rsid w:val="004141A1"/>
    <w:rsid w:val="00414476"/>
    <w:rsid w:val="004144E3"/>
    <w:rsid w:val="00414502"/>
    <w:rsid w:val="00414943"/>
    <w:rsid w:val="00414A67"/>
    <w:rsid w:val="00414BEB"/>
    <w:rsid w:val="00414C2E"/>
    <w:rsid w:val="00414CC6"/>
    <w:rsid w:val="00414CFE"/>
    <w:rsid w:val="00414DE0"/>
    <w:rsid w:val="00414F24"/>
    <w:rsid w:val="004151CF"/>
    <w:rsid w:val="00415715"/>
    <w:rsid w:val="004157B2"/>
    <w:rsid w:val="00416364"/>
    <w:rsid w:val="004163F8"/>
    <w:rsid w:val="00416787"/>
    <w:rsid w:val="00416E3F"/>
    <w:rsid w:val="00416F90"/>
    <w:rsid w:val="0041725C"/>
    <w:rsid w:val="00417384"/>
    <w:rsid w:val="00417482"/>
    <w:rsid w:val="004175F0"/>
    <w:rsid w:val="00417CCC"/>
    <w:rsid w:val="00417D41"/>
    <w:rsid w:val="00417F19"/>
    <w:rsid w:val="0042047F"/>
    <w:rsid w:val="00420824"/>
    <w:rsid w:val="00420AA6"/>
    <w:rsid w:val="00420AF7"/>
    <w:rsid w:val="00420B46"/>
    <w:rsid w:val="00420B9F"/>
    <w:rsid w:val="00420C8E"/>
    <w:rsid w:val="0042103B"/>
    <w:rsid w:val="00421456"/>
    <w:rsid w:val="00421485"/>
    <w:rsid w:val="00421615"/>
    <w:rsid w:val="0042192C"/>
    <w:rsid w:val="0042198D"/>
    <w:rsid w:val="00421A7D"/>
    <w:rsid w:val="00421BD0"/>
    <w:rsid w:val="00421C65"/>
    <w:rsid w:val="00421EA7"/>
    <w:rsid w:val="0042212A"/>
    <w:rsid w:val="00422260"/>
    <w:rsid w:val="004225AC"/>
    <w:rsid w:val="00422ABC"/>
    <w:rsid w:val="00422ED8"/>
    <w:rsid w:val="00423004"/>
    <w:rsid w:val="004230B6"/>
    <w:rsid w:val="00423388"/>
    <w:rsid w:val="00423670"/>
    <w:rsid w:val="00423672"/>
    <w:rsid w:val="0042382B"/>
    <w:rsid w:val="004239A5"/>
    <w:rsid w:val="00423A7B"/>
    <w:rsid w:val="00423B7C"/>
    <w:rsid w:val="00423BA9"/>
    <w:rsid w:val="00423D91"/>
    <w:rsid w:val="00423D9A"/>
    <w:rsid w:val="00423DAC"/>
    <w:rsid w:val="00423F1B"/>
    <w:rsid w:val="0042413F"/>
    <w:rsid w:val="00424207"/>
    <w:rsid w:val="004242AA"/>
    <w:rsid w:val="00424348"/>
    <w:rsid w:val="004243B8"/>
    <w:rsid w:val="00424519"/>
    <w:rsid w:val="0042481A"/>
    <w:rsid w:val="00424845"/>
    <w:rsid w:val="00424C5B"/>
    <w:rsid w:val="00425214"/>
    <w:rsid w:val="0042550F"/>
    <w:rsid w:val="004256F5"/>
    <w:rsid w:val="00425E56"/>
    <w:rsid w:val="00426194"/>
    <w:rsid w:val="004263A7"/>
    <w:rsid w:val="004263F9"/>
    <w:rsid w:val="00426537"/>
    <w:rsid w:val="004265A3"/>
    <w:rsid w:val="00427626"/>
    <w:rsid w:val="004277A1"/>
    <w:rsid w:val="00427D53"/>
    <w:rsid w:val="00430217"/>
    <w:rsid w:val="00430575"/>
    <w:rsid w:val="00430695"/>
    <w:rsid w:val="00430D09"/>
    <w:rsid w:val="00430F86"/>
    <w:rsid w:val="00430F91"/>
    <w:rsid w:val="0043147F"/>
    <w:rsid w:val="0043159D"/>
    <w:rsid w:val="004315A6"/>
    <w:rsid w:val="004318EA"/>
    <w:rsid w:val="004319F8"/>
    <w:rsid w:val="00431D32"/>
    <w:rsid w:val="00431E55"/>
    <w:rsid w:val="00431FCA"/>
    <w:rsid w:val="004321F6"/>
    <w:rsid w:val="0043237F"/>
    <w:rsid w:val="004324D5"/>
    <w:rsid w:val="004325BA"/>
    <w:rsid w:val="00432614"/>
    <w:rsid w:val="00432844"/>
    <w:rsid w:val="004329F2"/>
    <w:rsid w:val="00432AF9"/>
    <w:rsid w:val="00432DEA"/>
    <w:rsid w:val="00432EED"/>
    <w:rsid w:val="00433044"/>
    <w:rsid w:val="00433471"/>
    <w:rsid w:val="00433764"/>
    <w:rsid w:val="00434088"/>
    <w:rsid w:val="004343CF"/>
    <w:rsid w:val="00434953"/>
    <w:rsid w:val="00434C44"/>
    <w:rsid w:val="00434FD5"/>
    <w:rsid w:val="00435337"/>
    <w:rsid w:val="00435A48"/>
    <w:rsid w:val="00435AD3"/>
    <w:rsid w:val="00435BC6"/>
    <w:rsid w:val="00435D89"/>
    <w:rsid w:val="00435F6E"/>
    <w:rsid w:val="00436139"/>
    <w:rsid w:val="00436150"/>
    <w:rsid w:val="00436215"/>
    <w:rsid w:val="004366F7"/>
    <w:rsid w:val="0043676E"/>
    <w:rsid w:val="00436D98"/>
    <w:rsid w:val="00437465"/>
    <w:rsid w:val="004374F3"/>
    <w:rsid w:val="004375B9"/>
    <w:rsid w:val="004378A3"/>
    <w:rsid w:val="00437974"/>
    <w:rsid w:val="00437CF8"/>
    <w:rsid w:val="00437F08"/>
    <w:rsid w:val="00440243"/>
    <w:rsid w:val="004402A4"/>
    <w:rsid w:val="00440321"/>
    <w:rsid w:val="004404A4"/>
    <w:rsid w:val="00440653"/>
    <w:rsid w:val="00440C47"/>
    <w:rsid w:val="00440E26"/>
    <w:rsid w:val="00440E50"/>
    <w:rsid w:val="004413D0"/>
    <w:rsid w:val="00441783"/>
    <w:rsid w:val="004417DF"/>
    <w:rsid w:val="004417E0"/>
    <w:rsid w:val="00441896"/>
    <w:rsid w:val="00441C05"/>
    <w:rsid w:val="00441DEA"/>
    <w:rsid w:val="00442343"/>
    <w:rsid w:val="00442516"/>
    <w:rsid w:val="00442522"/>
    <w:rsid w:val="00442621"/>
    <w:rsid w:val="004428D0"/>
    <w:rsid w:val="00442ADB"/>
    <w:rsid w:val="00442EA0"/>
    <w:rsid w:val="004431AB"/>
    <w:rsid w:val="00443383"/>
    <w:rsid w:val="00443425"/>
    <w:rsid w:val="00443581"/>
    <w:rsid w:val="004437F5"/>
    <w:rsid w:val="00443982"/>
    <w:rsid w:val="00443B8B"/>
    <w:rsid w:val="00443DD9"/>
    <w:rsid w:val="00444069"/>
    <w:rsid w:val="00444185"/>
    <w:rsid w:val="004443A7"/>
    <w:rsid w:val="0044442C"/>
    <w:rsid w:val="0044516D"/>
    <w:rsid w:val="004451F8"/>
    <w:rsid w:val="00445303"/>
    <w:rsid w:val="0044531F"/>
    <w:rsid w:val="00445392"/>
    <w:rsid w:val="004456EC"/>
    <w:rsid w:val="00445860"/>
    <w:rsid w:val="00445941"/>
    <w:rsid w:val="004459F1"/>
    <w:rsid w:val="004463C4"/>
    <w:rsid w:val="004464DC"/>
    <w:rsid w:val="004464EB"/>
    <w:rsid w:val="00446944"/>
    <w:rsid w:val="00446A39"/>
    <w:rsid w:val="00446AD0"/>
    <w:rsid w:val="00446CF4"/>
    <w:rsid w:val="00446D0B"/>
    <w:rsid w:val="00447388"/>
    <w:rsid w:val="004473FB"/>
    <w:rsid w:val="004474C0"/>
    <w:rsid w:val="0044768F"/>
    <w:rsid w:val="00447A14"/>
    <w:rsid w:val="00447A7E"/>
    <w:rsid w:val="00447D26"/>
    <w:rsid w:val="00447D28"/>
    <w:rsid w:val="00447DCB"/>
    <w:rsid w:val="00447DFC"/>
    <w:rsid w:val="004503C7"/>
    <w:rsid w:val="00450442"/>
    <w:rsid w:val="004505AB"/>
    <w:rsid w:val="004506E2"/>
    <w:rsid w:val="004506E7"/>
    <w:rsid w:val="0045075E"/>
    <w:rsid w:val="00450770"/>
    <w:rsid w:val="00450E11"/>
    <w:rsid w:val="0045123E"/>
    <w:rsid w:val="00451394"/>
    <w:rsid w:val="0045140E"/>
    <w:rsid w:val="004514BA"/>
    <w:rsid w:val="004515A1"/>
    <w:rsid w:val="00451A52"/>
    <w:rsid w:val="004525E0"/>
    <w:rsid w:val="0045268D"/>
    <w:rsid w:val="00452D05"/>
    <w:rsid w:val="00452FEB"/>
    <w:rsid w:val="004532D5"/>
    <w:rsid w:val="004534F8"/>
    <w:rsid w:val="00453B31"/>
    <w:rsid w:val="00453CC9"/>
    <w:rsid w:val="00453FB5"/>
    <w:rsid w:val="00454177"/>
    <w:rsid w:val="004542E3"/>
    <w:rsid w:val="00454686"/>
    <w:rsid w:val="00454919"/>
    <w:rsid w:val="004549CE"/>
    <w:rsid w:val="00454A20"/>
    <w:rsid w:val="00454AF7"/>
    <w:rsid w:val="00454B5B"/>
    <w:rsid w:val="0045509C"/>
    <w:rsid w:val="004552F9"/>
    <w:rsid w:val="004553D6"/>
    <w:rsid w:val="0045542A"/>
    <w:rsid w:val="00455C0C"/>
    <w:rsid w:val="00455D45"/>
    <w:rsid w:val="00455E41"/>
    <w:rsid w:val="00455FA7"/>
    <w:rsid w:val="004563F0"/>
    <w:rsid w:val="004572F4"/>
    <w:rsid w:val="00457427"/>
    <w:rsid w:val="00457589"/>
    <w:rsid w:val="004576C8"/>
    <w:rsid w:val="0045784C"/>
    <w:rsid w:val="00457D85"/>
    <w:rsid w:val="0046002B"/>
    <w:rsid w:val="00460216"/>
    <w:rsid w:val="00460242"/>
    <w:rsid w:val="004602CF"/>
    <w:rsid w:val="00460608"/>
    <w:rsid w:val="00460687"/>
    <w:rsid w:val="004608B4"/>
    <w:rsid w:val="00460B28"/>
    <w:rsid w:val="00460D51"/>
    <w:rsid w:val="00460D85"/>
    <w:rsid w:val="00461660"/>
    <w:rsid w:val="00461822"/>
    <w:rsid w:val="00462108"/>
    <w:rsid w:val="00462741"/>
    <w:rsid w:val="00462DEE"/>
    <w:rsid w:val="00462E7F"/>
    <w:rsid w:val="0046324D"/>
    <w:rsid w:val="00463403"/>
    <w:rsid w:val="00463700"/>
    <w:rsid w:val="00463750"/>
    <w:rsid w:val="00464456"/>
    <w:rsid w:val="0046446F"/>
    <w:rsid w:val="00464595"/>
    <w:rsid w:val="00464A03"/>
    <w:rsid w:val="00464E3E"/>
    <w:rsid w:val="00464F07"/>
    <w:rsid w:val="00464F4B"/>
    <w:rsid w:val="00464F65"/>
    <w:rsid w:val="00464FA6"/>
    <w:rsid w:val="00465070"/>
    <w:rsid w:val="0046524F"/>
    <w:rsid w:val="0046551A"/>
    <w:rsid w:val="004658B5"/>
    <w:rsid w:val="004658D4"/>
    <w:rsid w:val="00465A9E"/>
    <w:rsid w:val="00465B1E"/>
    <w:rsid w:val="00465C18"/>
    <w:rsid w:val="00465E12"/>
    <w:rsid w:val="00465ED6"/>
    <w:rsid w:val="0046608F"/>
    <w:rsid w:val="00466385"/>
    <w:rsid w:val="00466684"/>
    <w:rsid w:val="00466873"/>
    <w:rsid w:val="004668A7"/>
    <w:rsid w:val="004668CC"/>
    <w:rsid w:val="00466947"/>
    <w:rsid w:val="00466CC3"/>
    <w:rsid w:val="00466DA4"/>
    <w:rsid w:val="004677D6"/>
    <w:rsid w:val="00467963"/>
    <w:rsid w:val="004679CD"/>
    <w:rsid w:val="00467A5F"/>
    <w:rsid w:val="00467CD3"/>
    <w:rsid w:val="00467D0A"/>
    <w:rsid w:val="00467ECE"/>
    <w:rsid w:val="00470090"/>
    <w:rsid w:val="00470442"/>
    <w:rsid w:val="0047052F"/>
    <w:rsid w:val="00470647"/>
    <w:rsid w:val="004707BF"/>
    <w:rsid w:val="0047097E"/>
    <w:rsid w:val="00470B53"/>
    <w:rsid w:val="00470BEA"/>
    <w:rsid w:val="0047133B"/>
    <w:rsid w:val="0047137E"/>
    <w:rsid w:val="004713BA"/>
    <w:rsid w:val="004715B8"/>
    <w:rsid w:val="004715C4"/>
    <w:rsid w:val="00471834"/>
    <w:rsid w:val="00471D41"/>
    <w:rsid w:val="00471EA5"/>
    <w:rsid w:val="00472154"/>
    <w:rsid w:val="004721F3"/>
    <w:rsid w:val="004722DF"/>
    <w:rsid w:val="004723C1"/>
    <w:rsid w:val="0047246A"/>
    <w:rsid w:val="00472547"/>
    <w:rsid w:val="0047260D"/>
    <w:rsid w:val="0047265B"/>
    <w:rsid w:val="00472A79"/>
    <w:rsid w:val="00472ACC"/>
    <w:rsid w:val="00472D04"/>
    <w:rsid w:val="00472FDE"/>
    <w:rsid w:val="0047301D"/>
    <w:rsid w:val="004733F0"/>
    <w:rsid w:val="0047390B"/>
    <w:rsid w:val="00473968"/>
    <w:rsid w:val="00473A15"/>
    <w:rsid w:val="00473DC8"/>
    <w:rsid w:val="00473F19"/>
    <w:rsid w:val="00473F94"/>
    <w:rsid w:val="004744A6"/>
    <w:rsid w:val="0047457E"/>
    <w:rsid w:val="004745CD"/>
    <w:rsid w:val="00474D2A"/>
    <w:rsid w:val="00474E98"/>
    <w:rsid w:val="00474F66"/>
    <w:rsid w:val="00475231"/>
    <w:rsid w:val="004753FD"/>
    <w:rsid w:val="00475806"/>
    <w:rsid w:val="00475BF0"/>
    <w:rsid w:val="00475E22"/>
    <w:rsid w:val="00475E67"/>
    <w:rsid w:val="00476150"/>
    <w:rsid w:val="0047616A"/>
    <w:rsid w:val="00476195"/>
    <w:rsid w:val="004761E2"/>
    <w:rsid w:val="004762BA"/>
    <w:rsid w:val="00476A45"/>
    <w:rsid w:val="00476B19"/>
    <w:rsid w:val="00476E30"/>
    <w:rsid w:val="00476E7B"/>
    <w:rsid w:val="004771BF"/>
    <w:rsid w:val="004773BE"/>
    <w:rsid w:val="004774E7"/>
    <w:rsid w:val="004776AB"/>
    <w:rsid w:val="00477723"/>
    <w:rsid w:val="004778E1"/>
    <w:rsid w:val="00477A0E"/>
    <w:rsid w:val="00477ADF"/>
    <w:rsid w:val="0048010D"/>
    <w:rsid w:val="0048088E"/>
    <w:rsid w:val="00480950"/>
    <w:rsid w:val="00480F24"/>
    <w:rsid w:val="00480F2B"/>
    <w:rsid w:val="004811AC"/>
    <w:rsid w:val="004812BD"/>
    <w:rsid w:val="00481502"/>
    <w:rsid w:val="00481761"/>
    <w:rsid w:val="00481B70"/>
    <w:rsid w:val="00481F2D"/>
    <w:rsid w:val="00481F6B"/>
    <w:rsid w:val="00482183"/>
    <w:rsid w:val="00482720"/>
    <w:rsid w:val="00482F34"/>
    <w:rsid w:val="00483390"/>
    <w:rsid w:val="004835E7"/>
    <w:rsid w:val="0048390A"/>
    <w:rsid w:val="00483A5B"/>
    <w:rsid w:val="00483BE4"/>
    <w:rsid w:val="00483CFF"/>
    <w:rsid w:val="00484499"/>
    <w:rsid w:val="0048483A"/>
    <w:rsid w:val="00484AC7"/>
    <w:rsid w:val="00484C4D"/>
    <w:rsid w:val="00484E5D"/>
    <w:rsid w:val="00484EDE"/>
    <w:rsid w:val="004853B2"/>
    <w:rsid w:val="004859E1"/>
    <w:rsid w:val="00485DA6"/>
    <w:rsid w:val="00485EEE"/>
    <w:rsid w:val="00486332"/>
    <w:rsid w:val="00486680"/>
    <w:rsid w:val="004867E2"/>
    <w:rsid w:val="00486B5C"/>
    <w:rsid w:val="00486BB5"/>
    <w:rsid w:val="00487498"/>
    <w:rsid w:val="00487501"/>
    <w:rsid w:val="00487583"/>
    <w:rsid w:val="004875F5"/>
    <w:rsid w:val="00487927"/>
    <w:rsid w:val="00487A06"/>
    <w:rsid w:val="00487A9C"/>
    <w:rsid w:val="00487C30"/>
    <w:rsid w:val="00487CE6"/>
    <w:rsid w:val="00487F9E"/>
    <w:rsid w:val="004905FF"/>
    <w:rsid w:val="0049064E"/>
    <w:rsid w:val="00490B17"/>
    <w:rsid w:val="00490C80"/>
    <w:rsid w:val="004912AE"/>
    <w:rsid w:val="004913AD"/>
    <w:rsid w:val="0049144F"/>
    <w:rsid w:val="0049181E"/>
    <w:rsid w:val="00491878"/>
    <w:rsid w:val="00491B26"/>
    <w:rsid w:val="00491B3A"/>
    <w:rsid w:val="00491CA9"/>
    <w:rsid w:val="00492059"/>
    <w:rsid w:val="0049218E"/>
    <w:rsid w:val="0049280D"/>
    <w:rsid w:val="004928CD"/>
    <w:rsid w:val="00492B28"/>
    <w:rsid w:val="00492CFD"/>
    <w:rsid w:val="00492F4A"/>
    <w:rsid w:val="0049342E"/>
    <w:rsid w:val="00493863"/>
    <w:rsid w:val="00493DEF"/>
    <w:rsid w:val="00494207"/>
    <w:rsid w:val="0049475F"/>
    <w:rsid w:val="00494952"/>
    <w:rsid w:val="00494994"/>
    <w:rsid w:val="00494D2A"/>
    <w:rsid w:val="00494D63"/>
    <w:rsid w:val="00494D7A"/>
    <w:rsid w:val="00494DD5"/>
    <w:rsid w:val="00494FAF"/>
    <w:rsid w:val="0049546F"/>
    <w:rsid w:val="00495A5A"/>
    <w:rsid w:val="00495BB8"/>
    <w:rsid w:val="00495E50"/>
    <w:rsid w:val="004962C9"/>
    <w:rsid w:val="004962D2"/>
    <w:rsid w:val="0049633E"/>
    <w:rsid w:val="00496456"/>
    <w:rsid w:val="004964F2"/>
    <w:rsid w:val="00496675"/>
    <w:rsid w:val="0049757F"/>
    <w:rsid w:val="00497B96"/>
    <w:rsid w:val="00497BD0"/>
    <w:rsid w:val="004A01E8"/>
    <w:rsid w:val="004A05F5"/>
    <w:rsid w:val="004A0845"/>
    <w:rsid w:val="004A0AB6"/>
    <w:rsid w:val="004A0DA1"/>
    <w:rsid w:val="004A0F85"/>
    <w:rsid w:val="004A0FFB"/>
    <w:rsid w:val="004A1168"/>
    <w:rsid w:val="004A1222"/>
    <w:rsid w:val="004A13D6"/>
    <w:rsid w:val="004A16AC"/>
    <w:rsid w:val="004A16D4"/>
    <w:rsid w:val="004A16D6"/>
    <w:rsid w:val="004A1737"/>
    <w:rsid w:val="004A1800"/>
    <w:rsid w:val="004A1FBF"/>
    <w:rsid w:val="004A1FC0"/>
    <w:rsid w:val="004A24E6"/>
    <w:rsid w:val="004A250A"/>
    <w:rsid w:val="004A2AA7"/>
    <w:rsid w:val="004A30C5"/>
    <w:rsid w:val="004A33EC"/>
    <w:rsid w:val="004A34B1"/>
    <w:rsid w:val="004A35CD"/>
    <w:rsid w:val="004A38DE"/>
    <w:rsid w:val="004A423A"/>
    <w:rsid w:val="004A42B4"/>
    <w:rsid w:val="004A4754"/>
    <w:rsid w:val="004A4D59"/>
    <w:rsid w:val="004A4D8B"/>
    <w:rsid w:val="004A4DDA"/>
    <w:rsid w:val="004A52C4"/>
    <w:rsid w:val="004A52E9"/>
    <w:rsid w:val="004A550C"/>
    <w:rsid w:val="004A5E4A"/>
    <w:rsid w:val="004A6040"/>
    <w:rsid w:val="004A61AE"/>
    <w:rsid w:val="004A6255"/>
    <w:rsid w:val="004A62E5"/>
    <w:rsid w:val="004A6597"/>
    <w:rsid w:val="004A6747"/>
    <w:rsid w:val="004A674B"/>
    <w:rsid w:val="004A6A03"/>
    <w:rsid w:val="004A6F88"/>
    <w:rsid w:val="004A7085"/>
    <w:rsid w:val="004A70D3"/>
    <w:rsid w:val="004A7506"/>
    <w:rsid w:val="004A7529"/>
    <w:rsid w:val="004A75E6"/>
    <w:rsid w:val="004A77C7"/>
    <w:rsid w:val="004A7848"/>
    <w:rsid w:val="004A78CD"/>
    <w:rsid w:val="004A791D"/>
    <w:rsid w:val="004A793B"/>
    <w:rsid w:val="004A79E3"/>
    <w:rsid w:val="004B00FC"/>
    <w:rsid w:val="004B01A0"/>
    <w:rsid w:val="004B03DB"/>
    <w:rsid w:val="004B07AA"/>
    <w:rsid w:val="004B08A6"/>
    <w:rsid w:val="004B0EDB"/>
    <w:rsid w:val="004B116E"/>
    <w:rsid w:val="004B11A3"/>
    <w:rsid w:val="004B11F0"/>
    <w:rsid w:val="004B130C"/>
    <w:rsid w:val="004B146E"/>
    <w:rsid w:val="004B15E2"/>
    <w:rsid w:val="004B1870"/>
    <w:rsid w:val="004B191E"/>
    <w:rsid w:val="004B1A73"/>
    <w:rsid w:val="004B1CB4"/>
    <w:rsid w:val="004B1F7E"/>
    <w:rsid w:val="004B20D3"/>
    <w:rsid w:val="004B22A5"/>
    <w:rsid w:val="004B22FD"/>
    <w:rsid w:val="004B2509"/>
    <w:rsid w:val="004B2A7E"/>
    <w:rsid w:val="004B2F18"/>
    <w:rsid w:val="004B339E"/>
    <w:rsid w:val="004B3561"/>
    <w:rsid w:val="004B3770"/>
    <w:rsid w:val="004B3C47"/>
    <w:rsid w:val="004B3CCA"/>
    <w:rsid w:val="004B3D6E"/>
    <w:rsid w:val="004B3DDB"/>
    <w:rsid w:val="004B3F50"/>
    <w:rsid w:val="004B41EE"/>
    <w:rsid w:val="004B44FD"/>
    <w:rsid w:val="004B467F"/>
    <w:rsid w:val="004B4DD5"/>
    <w:rsid w:val="004B55AD"/>
    <w:rsid w:val="004B56E7"/>
    <w:rsid w:val="004B5988"/>
    <w:rsid w:val="004B598C"/>
    <w:rsid w:val="004B5A2F"/>
    <w:rsid w:val="004B5C3D"/>
    <w:rsid w:val="004B5CFC"/>
    <w:rsid w:val="004B5D90"/>
    <w:rsid w:val="004B5F73"/>
    <w:rsid w:val="004B6A78"/>
    <w:rsid w:val="004B6BC6"/>
    <w:rsid w:val="004B6BD7"/>
    <w:rsid w:val="004B6F79"/>
    <w:rsid w:val="004B6FA7"/>
    <w:rsid w:val="004B7492"/>
    <w:rsid w:val="004B756D"/>
    <w:rsid w:val="004B7579"/>
    <w:rsid w:val="004B774D"/>
    <w:rsid w:val="004B77B0"/>
    <w:rsid w:val="004B7A3D"/>
    <w:rsid w:val="004B7C5B"/>
    <w:rsid w:val="004B7E37"/>
    <w:rsid w:val="004B7E69"/>
    <w:rsid w:val="004C0074"/>
    <w:rsid w:val="004C00D4"/>
    <w:rsid w:val="004C0282"/>
    <w:rsid w:val="004C0370"/>
    <w:rsid w:val="004C0C54"/>
    <w:rsid w:val="004C0C61"/>
    <w:rsid w:val="004C0DE2"/>
    <w:rsid w:val="004C0FD4"/>
    <w:rsid w:val="004C171D"/>
    <w:rsid w:val="004C179B"/>
    <w:rsid w:val="004C1C79"/>
    <w:rsid w:val="004C1F46"/>
    <w:rsid w:val="004C21C0"/>
    <w:rsid w:val="004C267C"/>
    <w:rsid w:val="004C27DB"/>
    <w:rsid w:val="004C2851"/>
    <w:rsid w:val="004C2AC2"/>
    <w:rsid w:val="004C2B53"/>
    <w:rsid w:val="004C2E94"/>
    <w:rsid w:val="004C2EAB"/>
    <w:rsid w:val="004C2FAE"/>
    <w:rsid w:val="004C30CF"/>
    <w:rsid w:val="004C3144"/>
    <w:rsid w:val="004C3149"/>
    <w:rsid w:val="004C343A"/>
    <w:rsid w:val="004C35CF"/>
    <w:rsid w:val="004C3A6F"/>
    <w:rsid w:val="004C3B02"/>
    <w:rsid w:val="004C4431"/>
    <w:rsid w:val="004C4526"/>
    <w:rsid w:val="004C45D4"/>
    <w:rsid w:val="004C46DB"/>
    <w:rsid w:val="004C4893"/>
    <w:rsid w:val="004C490F"/>
    <w:rsid w:val="004C4AED"/>
    <w:rsid w:val="004C4DE2"/>
    <w:rsid w:val="004C512C"/>
    <w:rsid w:val="004C535E"/>
    <w:rsid w:val="004C5A87"/>
    <w:rsid w:val="004C5B8B"/>
    <w:rsid w:val="004C5E36"/>
    <w:rsid w:val="004C6144"/>
    <w:rsid w:val="004C6182"/>
    <w:rsid w:val="004C61ED"/>
    <w:rsid w:val="004C61EF"/>
    <w:rsid w:val="004C6351"/>
    <w:rsid w:val="004C67E6"/>
    <w:rsid w:val="004C6A86"/>
    <w:rsid w:val="004C7410"/>
    <w:rsid w:val="004C76E0"/>
    <w:rsid w:val="004C7751"/>
    <w:rsid w:val="004C791C"/>
    <w:rsid w:val="004C7ACD"/>
    <w:rsid w:val="004C7E80"/>
    <w:rsid w:val="004D0640"/>
    <w:rsid w:val="004D1186"/>
    <w:rsid w:val="004D1399"/>
    <w:rsid w:val="004D1432"/>
    <w:rsid w:val="004D16EF"/>
    <w:rsid w:val="004D18F0"/>
    <w:rsid w:val="004D1947"/>
    <w:rsid w:val="004D1CC0"/>
    <w:rsid w:val="004D1D01"/>
    <w:rsid w:val="004D1F11"/>
    <w:rsid w:val="004D22B5"/>
    <w:rsid w:val="004D24E5"/>
    <w:rsid w:val="004D2697"/>
    <w:rsid w:val="004D27B0"/>
    <w:rsid w:val="004D2C2D"/>
    <w:rsid w:val="004D2C5F"/>
    <w:rsid w:val="004D2DA8"/>
    <w:rsid w:val="004D2F45"/>
    <w:rsid w:val="004D3792"/>
    <w:rsid w:val="004D41A0"/>
    <w:rsid w:val="004D42B6"/>
    <w:rsid w:val="004D440E"/>
    <w:rsid w:val="004D48F1"/>
    <w:rsid w:val="004D4D30"/>
    <w:rsid w:val="004D6218"/>
    <w:rsid w:val="004D69AB"/>
    <w:rsid w:val="004D69B5"/>
    <w:rsid w:val="004D6E8E"/>
    <w:rsid w:val="004D7227"/>
    <w:rsid w:val="004D726E"/>
    <w:rsid w:val="004D72B0"/>
    <w:rsid w:val="004D7713"/>
    <w:rsid w:val="004D77E5"/>
    <w:rsid w:val="004D7A04"/>
    <w:rsid w:val="004D7B5E"/>
    <w:rsid w:val="004D7E07"/>
    <w:rsid w:val="004E0A18"/>
    <w:rsid w:val="004E0AE0"/>
    <w:rsid w:val="004E0B47"/>
    <w:rsid w:val="004E0E7F"/>
    <w:rsid w:val="004E0E88"/>
    <w:rsid w:val="004E0EB8"/>
    <w:rsid w:val="004E10C5"/>
    <w:rsid w:val="004E1160"/>
    <w:rsid w:val="004E1289"/>
    <w:rsid w:val="004E1546"/>
    <w:rsid w:val="004E18E9"/>
    <w:rsid w:val="004E1B93"/>
    <w:rsid w:val="004E1F38"/>
    <w:rsid w:val="004E2016"/>
    <w:rsid w:val="004E20A2"/>
    <w:rsid w:val="004E2276"/>
    <w:rsid w:val="004E2A76"/>
    <w:rsid w:val="004E2ADC"/>
    <w:rsid w:val="004E2CCA"/>
    <w:rsid w:val="004E2EAF"/>
    <w:rsid w:val="004E2F9A"/>
    <w:rsid w:val="004E31A8"/>
    <w:rsid w:val="004E33E4"/>
    <w:rsid w:val="004E3ADE"/>
    <w:rsid w:val="004E40AE"/>
    <w:rsid w:val="004E424A"/>
    <w:rsid w:val="004E4323"/>
    <w:rsid w:val="004E43B2"/>
    <w:rsid w:val="004E4671"/>
    <w:rsid w:val="004E481A"/>
    <w:rsid w:val="004E4EEA"/>
    <w:rsid w:val="004E4FE7"/>
    <w:rsid w:val="004E522D"/>
    <w:rsid w:val="004E5694"/>
    <w:rsid w:val="004E5A68"/>
    <w:rsid w:val="004E5AD3"/>
    <w:rsid w:val="004E628D"/>
    <w:rsid w:val="004E6547"/>
    <w:rsid w:val="004E6875"/>
    <w:rsid w:val="004E6B27"/>
    <w:rsid w:val="004E6BD2"/>
    <w:rsid w:val="004E6D4E"/>
    <w:rsid w:val="004E6F4F"/>
    <w:rsid w:val="004E7413"/>
    <w:rsid w:val="004E7422"/>
    <w:rsid w:val="004E75D0"/>
    <w:rsid w:val="004E798D"/>
    <w:rsid w:val="004E7BEB"/>
    <w:rsid w:val="004F0088"/>
    <w:rsid w:val="004F0422"/>
    <w:rsid w:val="004F0455"/>
    <w:rsid w:val="004F136E"/>
    <w:rsid w:val="004F1916"/>
    <w:rsid w:val="004F1A90"/>
    <w:rsid w:val="004F1D02"/>
    <w:rsid w:val="004F1DB7"/>
    <w:rsid w:val="004F1E25"/>
    <w:rsid w:val="004F1E73"/>
    <w:rsid w:val="004F2431"/>
    <w:rsid w:val="004F2556"/>
    <w:rsid w:val="004F2623"/>
    <w:rsid w:val="004F2679"/>
    <w:rsid w:val="004F2AC6"/>
    <w:rsid w:val="004F2F21"/>
    <w:rsid w:val="004F2F51"/>
    <w:rsid w:val="004F32F6"/>
    <w:rsid w:val="004F366C"/>
    <w:rsid w:val="004F3A89"/>
    <w:rsid w:val="004F3B54"/>
    <w:rsid w:val="004F3D60"/>
    <w:rsid w:val="004F3DE5"/>
    <w:rsid w:val="004F4216"/>
    <w:rsid w:val="004F45F0"/>
    <w:rsid w:val="004F4681"/>
    <w:rsid w:val="004F4765"/>
    <w:rsid w:val="004F4788"/>
    <w:rsid w:val="004F4E75"/>
    <w:rsid w:val="004F4E82"/>
    <w:rsid w:val="004F4F99"/>
    <w:rsid w:val="004F53B3"/>
    <w:rsid w:val="004F5432"/>
    <w:rsid w:val="004F556C"/>
    <w:rsid w:val="004F56FC"/>
    <w:rsid w:val="004F5C7D"/>
    <w:rsid w:val="004F6401"/>
    <w:rsid w:val="004F6583"/>
    <w:rsid w:val="004F6913"/>
    <w:rsid w:val="004F6977"/>
    <w:rsid w:val="004F6A45"/>
    <w:rsid w:val="004F6F3B"/>
    <w:rsid w:val="004F7683"/>
    <w:rsid w:val="004F7865"/>
    <w:rsid w:val="005002F7"/>
    <w:rsid w:val="0050057E"/>
    <w:rsid w:val="005008B3"/>
    <w:rsid w:val="00500AA9"/>
    <w:rsid w:val="00501221"/>
    <w:rsid w:val="005012B0"/>
    <w:rsid w:val="00501314"/>
    <w:rsid w:val="00501331"/>
    <w:rsid w:val="0050170E"/>
    <w:rsid w:val="0050174E"/>
    <w:rsid w:val="005017B2"/>
    <w:rsid w:val="00501854"/>
    <w:rsid w:val="00501BDA"/>
    <w:rsid w:val="00501EC8"/>
    <w:rsid w:val="0050200B"/>
    <w:rsid w:val="00502097"/>
    <w:rsid w:val="00502135"/>
    <w:rsid w:val="0050219B"/>
    <w:rsid w:val="00502455"/>
    <w:rsid w:val="005029A5"/>
    <w:rsid w:val="00502B9E"/>
    <w:rsid w:val="00502BF2"/>
    <w:rsid w:val="00503150"/>
    <w:rsid w:val="005034CA"/>
    <w:rsid w:val="0050376E"/>
    <w:rsid w:val="00503953"/>
    <w:rsid w:val="00503DA1"/>
    <w:rsid w:val="00503F17"/>
    <w:rsid w:val="00503F3A"/>
    <w:rsid w:val="005041B1"/>
    <w:rsid w:val="00504204"/>
    <w:rsid w:val="00504558"/>
    <w:rsid w:val="0050485C"/>
    <w:rsid w:val="00504948"/>
    <w:rsid w:val="00504A64"/>
    <w:rsid w:val="00504EBC"/>
    <w:rsid w:val="005050E9"/>
    <w:rsid w:val="00505770"/>
    <w:rsid w:val="00505979"/>
    <w:rsid w:val="00505C37"/>
    <w:rsid w:val="00505D4E"/>
    <w:rsid w:val="00505D5A"/>
    <w:rsid w:val="00506928"/>
    <w:rsid w:val="00506A84"/>
    <w:rsid w:val="00506AFE"/>
    <w:rsid w:val="005071A6"/>
    <w:rsid w:val="005071C8"/>
    <w:rsid w:val="00507354"/>
    <w:rsid w:val="0050739E"/>
    <w:rsid w:val="0050758C"/>
    <w:rsid w:val="005075F6"/>
    <w:rsid w:val="00507684"/>
    <w:rsid w:val="00507786"/>
    <w:rsid w:val="005077BC"/>
    <w:rsid w:val="005077EF"/>
    <w:rsid w:val="0050781E"/>
    <w:rsid w:val="00507B05"/>
    <w:rsid w:val="00510303"/>
    <w:rsid w:val="0051074B"/>
    <w:rsid w:val="00510762"/>
    <w:rsid w:val="00510979"/>
    <w:rsid w:val="00510997"/>
    <w:rsid w:val="00510F4A"/>
    <w:rsid w:val="00511032"/>
    <w:rsid w:val="0051127A"/>
    <w:rsid w:val="00511432"/>
    <w:rsid w:val="00511A5F"/>
    <w:rsid w:val="00511AD5"/>
    <w:rsid w:val="00511DC7"/>
    <w:rsid w:val="00511E27"/>
    <w:rsid w:val="00512279"/>
    <w:rsid w:val="0051261B"/>
    <w:rsid w:val="005128D3"/>
    <w:rsid w:val="00512D4E"/>
    <w:rsid w:val="0051358C"/>
    <w:rsid w:val="005139C0"/>
    <w:rsid w:val="00513A51"/>
    <w:rsid w:val="00513EB2"/>
    <w:rsid w:val="00514264"/>
    <w:rsid w:val="005142C5"/>
    <w:rsid w:val="00514691"/>
    <w:rsid w:val="005149F6"/>
    <w:rsid w:val="00514C20"/>
    <w:rsid w:val="00514D38"/>
    <w:rsid w:val="00514F0B"/>
    <w:rsid w:val="0051501B"/>
    <w:rsid w:val="005152B5"/>
    <w:rsid w:val="005153D3"/>
    <w:rsid w:val="005156ED"/>
    <w:rsid w:val="00515886"/>
    <w:rsid w:val="00515903"/>
    <w:rsid w:val="00515D02"/>
    <w:rsid w:val="0051607B"/>
    <w:rsid w:val="0051686C"/>
    <w:rsid w:val="005168DA"/>
    <w:rsid w:val="00516B6A"/>
    <w:rsid w:val="00516FF0"/>
    <w:rsid w:val="00517114"/>
    <w:rsid w:val="005174AC"/>
    <w:rsid w:val="0051754A"/>
    <w:rsid w:val="0051762E"/>
    <w:rsid w:val="00517A02"/>
    <w:rsid w:val="00517D5B"/>
    <w:rsid w:val="00520031"/>
    <w:rsid w:val="00520099"/>
    <w:rsid w:val="005201D7"/>
    <w:rsid w:val="005203D8"/>
    <w:rsid w:val="005204C8"/>
    <w:rsid w:val="00520C77"/>
    <w:rsid w:val="00521222"/>
    <w:rsid w:val="0052123C"/>
    <w:rsid w:val="00521248"/>
    <w:rsid w:val="005212E8"/>
    <w:rsid w:val="00521319"/>
    <w:rsid w:val="00521541"/>
    <w:rsid w:val="005215C0"/>
    <w:rsid w:val="005215CB"/>
    <w:rsid w:val="005218F0"/>
    <w:rsid w:val="00521E2C"/>
    <w:rsid w:val="005220D0"/>
    <w:rsid w:val="005223A4"/>
    <w:rsid w:val="005228B4"/>
    <w:rsid w:val="00522938"/>
    <w:rsid w:val="00522BC8"/>
    <w:rsid w:val="0052313D"/>
    <w:rsid w:val="00523386"/>
    <w:rsid w:val="005234EB"/>
    <w:rsid w:val="0052351C"/>
    <w:rsid w:val="00523860"/>
    <w:rsid w:val="005238DF"/>
    <w:rsid w:val="00523C28"/>
    <w:rsid w:val="00523D49"/>
    <w:rsid w:val="00523DDE"/>
    <w:rsid w:val="00524031"/>
    <w:rsid w:val="005240B8"/>
    <w:rsid w:val="00524165"/>
    <w:rsid w:val="00524258"/>
    <w:rsid w:val="005246C5"/>
    <w:rsid w:val="005247CC"/>
    <w:rsid w:val="00525090"/>
    <w:rsid w:val="00525365"/>
    <w:rsid w:val="00525756"/>
    <w:rsid w:val="00525781"/>
    <w:rsid w:val="00525CA7"/>
    <w:rsid w:val="00525EC8"/>
    <w:rsid w:val="00526057"/>
    <w:rsid w:val="00526256"/>
    <w:rsid w:val="005263A6"/>
    <w:rsid w:val="00526AEA"/>
    <w:rsid w:val="00526BF0"/>
    <w:rsid w:val="00526CD1"/>
    <w:rsid w:val="00526E61"/>
    <w:rsid w:val="0052702D"/>
    <w:rsid w:val="0052708A"/>
    <w:rsid w:val="0052752C"/>
    <w:rsid w:val="005303A8"/>
    <w:rsid w:val="00530953"/>
    <w:rsid w:val="00530A29"/>
    <w:rsid w:val="00530CA4"/>
    <w:rsid w:val="00530D4E"/>
    <w:rsid w:val="0053176B"/>
    <w:rsid w:val="0053177C"/>
    <w:rsid w:val="005318F9"/>
    <w:rsid w:val="00531C7C"/>
    <w:rsid w:val="00531DB6"/>
    <w:rsid w:val="00531FD7"/>
    <w:rsid w:val="00532398"/>
    <w:rsid w:val="00532762"/>
    <w:rsid w:val="005327E5"/>
    <w:rsid w:val="0053294F"/>
    <w:rsid w:val="00532D76"/>
    <w:rsid w:val="00532E54"/>
    <w:rsid w:val="00532F08"/>
    <w:rsid w:val="00532F71"/>
    <w:rsid w:val="0053301F"/>
    <w:rsid w:val="00533116"/>
    <w:rsid w:val="0053315D"/>
    <w:rsid w:val="005333F2"/>
    <w:rsid w:val="00533AAA"/>
    <w:rsid w:val="00533C74"/>
    <w:rsid w:val="00533F39"/>
    <w:rsid w:val="00534018"/>
    <w:rsid w:val="00534138"/>
    <w:rsid w:val="005341B3"/>
    <w:rsid w:val="00534214"/>
    <w:rsid w:val="005344BA"/>
    <w:rsid w:val="00534779"/>
    <w:rsid w:val="00534910"/>
    <w:rsid w:val="00534BFA"/>
    <w:rsid w:val="005351AA"/>
    <w:rsid w:val="005352F2"/>
    <w:rsid w:val="00535554"/>
    <w:rsid w:val="0053563E"/>
    <w:rsid w:val="005357E6"/>
    <w:rsid w:val="00535D55"/>
    <w:rsid w:val="00536256"/>
    <w:rsid w:val="00536272"/>
    <w:rsid w:val="0053644A"/>
    <w:rsid w:val="005369D1"/>
    <w:rsid w:val="00536EC1"/>
    <w:rsid w:val="00536F42"/>
    <w:rsid w:val="00537182"/>
    <w:rsid w:val="0053729B"/>
    <w:rsid w:val="005374EC"/>
    <w:rsid w:val="005376DB"/>
    <w:rsid w:val="005378A1"/>
    <w:rsid w:val="0053799C"/>
    <w:rsid w:val="005404B5"/>
    <w:rsid w:val="00540CC6"/>
    <w:rsid w:val="005410C5"/>
    <w:rsid w:val="00541226"/>
    <w:rsid w:val="0054191B"/>
    <w:rsid w:val="005419C4"/>
    <w:rsid w:val="00541AF7"/>
    <w:rsid w:val="00541C9B"/>
    <w:rsid w:val="00541EDD"/>
    <w:rsid w:val="00542016"/>
    <w:rsid w:val="005420A6"/>
    <w:rsid w:val="00542743"/>
    <w:rsid w:val="00542953"/>
    <w:rsid w:val="00542C2D"/>
    <w:rsid w:val="00542E69"/>
    <w:rsid w:val="0054354B"/>
    <w:rsid w:val="00543A1A"/>
    <w:rsid w:val="00543AB5"/>
    <w:rsid w:val="00543D2C"/>
    <w:rsid w:val="00543E49"/>
    <w:rsid w:val="00544373"/>
    <w:rsid w:val="005444BA"/>
    <w:rsid w:val="00545237"/>
    <w:rsid w:val="005453B3"/>
    <w:rsid w:val="005456E3"/>
    <w:rsid w:val="005457AF"/>
    <w:rsid w:val="00545A87"/>
    <w:rsid w:val="00545B1F"/>
    <w:rsid w:val="00545F97"/>
    <w:rsid w:val="00546061"/>
    <w:rsid w:val="00546069"/>
    <w:rsid w:val="00546381"/>
    <w:rsid w:val="005465A8"/>
    <w:rsid w:val="005465ED"/>
    <w:rsid w:val="00546613"/>
    <w:rsid w:val="0054679A"/>
    <w:rsid w:val="005469B9"/>
    <w:rsid w:val="00546AFB"/>
    <w:rsid w:val="00546ED5"/>
    <w:rsid w:val="00546FA1"/>
    <w:rsid w:val="00547303"/>
    <w:rsid w:val="005473F4"/>
    <w:rsid w:val="00547443"/>
    <w:rsid w:val="005478BD"/>
    <w:rsid w:val="00547921"/>
    <w:rsid w:val="005479E3"/>
    <w:rsid w:val="00547C03"/>
    <w:rsid w:val="00547C8B"/>
    <w:rsid w:val="005505D0"/>
    <w:rsid w:val="0055060F"/>
    <w:rsid w:val="00550621"/>
    <w:rsid w:val="00550B86"/>
    <w:rsid w:val="00550DB7"/>
    <w:rsid w:val="00550E0E"/>
    <w:rsid w:val="0055125A"/>
    <w:rsid w:val="005518C6"/>
    <w:rsid w:val="00551917"/>
    <w:rsid w:val="00551950"/>
    <w:rsid w:val="00551985"/>
    <w:rsid w:val="00551A97"/>
    <w:rsid w:val="00551AA8"/>
    <w:rsid w:val="0055206E"/>
    <w:rsid w:val="005524F7"/>
    <w:rsid w:val="00552924"/>
    <w:rsid w:val="00552A33"/>
    <w:rsid w:val="00552B43"/>
    <w:rsid w:val="00552BD3"/>
    <w:rsid w:val="00552F2D"/>
    <w:rsid w:val="00553280"/>
    <w:rsid w:val="005532A0"/>
    <w:rsid w:val="0055332F"/>
    <w:rsid w:val="00553961"/>
    <w:rsid w:val="00553A00"/>
    <w:rsid w:val="00553BC3"/>
    <w:rsid w:val="00553C64"/>
    <w:rsid w:val="00553C9E"/>
    <w:rsid w:val="00553E4B"/>
    <w:rsid w:val="005540DF"/>
    <w:rsid w:val="005542D2"/>
    <w:rsid w:val="00554570"/>
    <w:rsid w:val="00554719"/>
    <w:rsid w:val="00554AAB"/>
    <w:rsid w:val="00554CAF"/>
    <w:rsid w:val="00555109"/>
    <w:rsid w:val="00555925"/>
    <w:rsid w:val="005563A8"/>
    <w:rsid w:val="005567CF"/>
    <w:rsid w:val="005569DC"/>
    <w:rsid w:val="00556B35"/>
    <w:rsid w:val="00556C5D"/>
    <w:rsid w:val="00556C8E"/>
    <w:rsid w:val="0055706C"/>
    <w:rsid w:val="00557196"/>
    <w:rsid w:val="00557305"/>
    <w:rsid w:val="0055741A"/>
    <w:rsid w:val="0055744E"/>
    <w:rsid w:val="005574B8"/>
    <w:rsid w:val="00557561"/>
    <w:rsid w:val="005575DB"/>
    <w:rsid w:val="005576EF"/>
    <w:rsid w:val="00557F94"/>
    <w:rsid w:val="00560361"/>
    <w:rsid w:val="00560432"/>
    <w:rsid w:val="005608B2"/>
    <w:rsid w:val="00560933"/>
    <w:rsid w:val="00560DB1"/>
    <w:rsid w:val="005611B7"/>
    <w:rsid w:val="00561384"/>
    <w:rsid w:val="005613A6"/>
    <w:rsid w:val="005618D4"/>
    <w:rsid w:val="0056256C"/>
    <w:rsid w:val="0056273B"/>
    <w:rsid w:val="00562829"/>
    <w:rsid w:val="005630E5"/>
    <w:rsid w:val="005633D3"/>
    <w:rsid w:val="00563407"/>
    <w:rsid w:val="005636A8"/>
    <w:rsid w:val="00563775"/>
    <w:rsid w:val="005637F9"/>
    <w:rsid w:val="0056381D"/>
    <w:rsid w:val="005639C8"/>
    <w:rsid w:val="00563C6A"/>
    <w:rsid w:val="00563F0A"/>
    <w:rsid w:val="00564867"/>
    <w:rsid w:val="00564FD8"/>
    <w:rsid w:val="0056500C"/>
    <w:rsid w:val="00565336"/>
    <w:rsid w:val="0056585C"/>
    <w:rsid w:val="00565ADD"/>
    <w:rsid w:val="00565C79"/>
    <w:rsid w:val="00565DF0"/>
    <w:rsid w:val="005663E9"/>
    <w:rsid w:val="0056662C"/>
    <w:rsid w:val="0056696F"/>
    <w:rsid w:val="005669D3"/>
    <w:rsid w:val="00566CA8"/>
    <w:rsid w:val="00567094"/>
    <w:rsid w:val="005670E8"/>
    <w:rsid w:val="005671B7"/>
    <w:rsid w:val="0056734B"/>
    <w:rsid w:val="0056735C"/>
    <w:rsid w:val="0056739D"/>
    <w:rsid w:val="00567566"/>
    <w:rsid w:val="005675F5"/>
    <w:rsid w:val="00570073"/>
    <w:rsid w:val="00570197"/>
    <w:rsid w:val="00570237"/>
    <w:rsid w:val="00570282"/>
    <w:rsid w:val="00570363"/>
    <w:rsid w:val="005703D1"/>
    <w:rsid w:val="0057086B"/>
    <w:rsid w:val="00570C7D"/>
    <w:rsid w:val="00570E0C"/>
    <w:rsid w:val="00570F31"/>
    <w:rsid w:val="00570F8A"/>
    <w:rsid w:val="00571C72"/>
    <w:rsid w:val="00571F73"/>
    <w:rsid w:val="00572269"/>
    <w:rsid w:val="00572354"/>
    <w:rsid w:val="0057244A"/>
    <w:rsid w:val="005725DA"/>
    <w:rsid w:val="0057262A"/>
    <w:rsid w:val="005729B1"/>
    <w:rsid w:val="00572A8F"/>
    <w:rsid w:val="00572B4A"/>
    <w:rsid w:val="00572C59"/>
    <w:rsid w:val="00572D7C"/>
    <w:rsid w:val="00572DEE"/>
    <w:rsid w:val="00572F26"/>
    <w:rsid w:val="0057314D"/>
    <w:rsid w:val="00573294"/>
    <w:rsid w:val="0057368A"/>
    <w:rsid w:val="00573954"/>
    <w:rsid w:val="00573A09"/>
    <w:rsid w:val="00573BEE"/>
    <w:rsid w:val="00573C2F"/>
    <w:rsid w:val="00574523"/>
    <w:rsid w:val="005747E6"/>
    <w:rsid w:val="005750C5"/>
    <w:rsid w:val="00575193"/>
    <w:rsid w:val="005752DE"/>
    <w:rsid w:val="00575304"/>
    <w:rsid w:val="00575387"/>
    <w:rsid w:val="00575686"/>
    <w:rsid w:val="00575AEE"/>
    <w:rsid w:val="00575CC9"/>
    <w:rsid w:val="00575D32"/>
    <w:rsid w:val="00575D60"/>
    <w:rsid w:val="00575D8D"/>
    <w:rsid w:val="00575E73"/>
    <w:rsid w:val="00576972"/>
    <w:rsid w:val="00576A79"/>
    <w:rsid w:val="00576C4F"/>
    <w:rsid w:val="00576D7D"/>
    <w:rsid w:val="00576D95"/>
    <w:rsid w:val="00576E53"/>
    <w:rsid w:val="00577248"/>
    <w:rsid w:val="00577E8E"/>
    <w:rsid w:val="00577FC9"/>
    <w:rsid w:val="0058033E"/>
    <w:rsid w:val="00580697"/>
    <w:rsid w:val="0058075B"/>
    <w:rsid w:val="00580BEF"/>
    <w:rsid w:val="00580E6C"/>
    <w:rsid w:val="00581189"/>
    <w:rsid w:val="00581E78"/>
    <w:rsid w:val="00581EB2"/>
    <w:rsid w:val="005821DA"/>
    <w:rsid w:val="00582479"/>
    <w:rsid w:val="005826D3"/>
    <w:rsid w:val="0058314D"/>
    <w:rsid w:val="0058319E"/>
    <w:rsid w:val="0058333D"/>
    <w:rsid w:val="0058338C"/>
    <w:rsid w:val="0058339F"/>
    <w:rsid w:val="00583422"/>
    <w:rsid w:val="00583558"/>
    <w:rsid w:val="00583699"/>
    <w:rsid w:val="005836DD"/>
    <w:rsid w:val="00583E60"/>
    <w:rsid w:val="00583F2B"/>
    <w:rsid w:val="00584311"/>
    <w:rsid w:val="00584351"/>
    <w:rsid w:val="005845B7"/>
    <w:rsid w:val="005845DA"/>
    <w:rsid w:val="00584D3B"/>
    <w:rsid w:val="0058510D"/>
    <w:rsid w:val="005857BF"/>
    <w:rsid w:val="00585B71"/>
    <w:rsid w:val="00585B9E"/>
    <w:rsid w:val="00585CDD"/>
    <w:rsid w:val="00585FD9"/>
    <w:rsid w:val="005861BD"/>
    <w:rsid w:val="005861E3"/>
    <w:rsid w:val="005864C6"/>
    <w:rsid w:val="0058658A"/>
    <w:rsid w:val="00586755"/>
    <w:rsid w:val="0058677D"/>
    <w:rsid w:val="005867DF"/>
    <w:rsid w:val="0058691E"/>
    <w:rsid w:val="00586FAD"/>
    <w:rsid w:val="00587058"/>
    <w:rsid w:val="00587163"/>
    <w:rsid w:val="00587350"/>
    <w:rsid w:val="00587853"/>
    <w:rsid w:val="00587AF0"/>
    <w:rsid w:val="00587EDE"/>
    <w:rsid w:val="00587FF0"/>
    <w:rsid w:val="00590165"/>
    <w:rsid w:val="005903EC"/>
    <w:rsid w:val="005907B2"/>
    <w:rsid w:val="00590D7C"/>
    <w:rsid w:val="005915C4"/>
    <w:rsid w:val="00591957"/>
    <w:rsid w:val="00591AF6"/>
    <w:rsid w:val="0059209A"/>
    <w:rsid w:val="005924C1"/>
    <w:rsid w:val="0059253B"/>
    <w:rsid w:val="00592C88"/>
    <w:rsid w:val="00592FD6"/>
    <w:rsid w:val="0059316B"/>
    <w:rsid w:val="00593745"/>
    <w:rsid w:val="00593923"/>
    <w:rsid w:val="00593AC4"/>
    <w:rsid w:val="00593EF4"/>
    <w:rsid w:val="00594239"/>
    <w:rsid w:val="00594287"/>
    <w:rsid w:val="00594A5B"/>
    <w:rsid w:val="00594B0A"/>
    <w:rsid w:val="0059590E"/>
    <w:rsid w:val="00595D8D"/>
    <w:rsid w:val="00595D9B"/>
    <w:rsid w:val="005961EB"/>
    <w:rsid w:val="0059635C"/>
    <w:rsid w:val="00596503"/>
    <w:rsid w:val="005969C2"/>
    <w:rsid w:val="00596DA9"/>
    <w:rsid w:val="00597095"/>
    <w:rsid w:val="00597341"/>
    <w:rsid w:val="0059763E"/>
    <w:rsid w:val="00597A83"/>
    <w:rsid w:val="00597BF9"/>
    <w:rsid w:val="00597CA5"/>
    <w:rsid w:val="00597FEE"/>
    <w:rsid w:val="005A0487"/>
    <w:rsid w:val="005A08B6"/>
    <w:rsid w:val="005A0A43"/>
    <w:rsid w:val="005A0AEA"/>
    <w:rsid w:val="005A0C11"/>
    <w:rsid w:val="005A0D47"/>
    <w:rsid w:val="005A10D7"/>
    <w:rsid w:val="005A1EDE"/>
    <w:rsid w:val="005A26C2"/>
    <w:rsid w:val="005A26C3"/>
    <w:rsid w:val="005A309A"/>
    <w:rsid w:val="005A3237"/>
    <w:rsid w:val="005A365F"/>
    <w:rsid w:val="005A373D"/>
    <w:rsid w:val="005A381E"/>
    <w:rsid w:val="005A3A11"/>
    <w:rsid w:val="005A3C82"/>
    <w:rsid w:val="005A416B"/>
    <w:rsid w:val="005A4A79"/>
    <w:rsid w:val="005A4D24"/>
    <w:rsid w:val="005A4D46"/>
    <w:rsid w:val="005A4FD7"/>
    <w:rsid w:val="005A500C"/>
    <w:rsid w:val="005A5A79"/>
    <w:rsid w:val="005A65F0"/>
    <w:rsid w:val="005A68F1"/>
    <w:rsid w:val="005A6F12"/>
    <w:rsid w:val="005A708B"/>
    <w:rsid w:val="005A7090"/>
    <w:rsid w:val="005A7293"/>
    <w:rsid w:val="005A7316"/>
    <w:rsid w:val="005A76CC"/>
    <w:rsid w:val="005A7B0D"/>
    <w:rsid w:val="005A7DBB"/>
    <w:rsid w:val="005B018F"/>
    <w:rsid w:val="005B08F5"/>
    <w:rsid w:val="005B0A0A"/>
    <w:rsid w:val="005B0A83"/>
    <w:rsid w:val="005B0B06"/>
    <w:rsid w:val="005B0B4B"/>
    <w:rsid w:val="005B0B58"/>
    <w:rsid w:val="005B0C22"/>
    <w:rsid w:val="005B0D5D"/>
    <w:rsid w:val="005B0E27"/>
    <w:rsid w:val="005B0E29"/>
    <w:rsid w:val="005B0E7B"/>
    <w:rsid w:val="005B102B"/>
    <w:rsid w:val="005B1722"/>
    <w:rsid w:val="005B1A94"/>
    <w:rsid w:val="005B1B28"/>
    <w:rsid w:val="005B1E05"/>
    <w:rsid w:val="005B1EB7"/>
    <w:rsid w:val="005B2112"/>
    <w:rsid w:val="005B2196"/>
    <w:rsid w:val="005B21BB"/>
    <w:rsid w:val="005B29E3"/>
    <w:rsid w:val="005B33AB"/>
    <w:rsid w:val="005B3634"/>
    <w:rsid w:val="005B39D2"/>
    <w:rsid w:val="005B3D23"/>
    <w:rsid w:val="005B3E4E"/>
    <w:rsid w:val="005B3F06"/>
    <w:rsid w:val="005B4137"/>
    <w:rsid w:val="005B44D0"/>
    <w:rsid w:val="005B472E"/>
    <w:rsid w:val="005B4E53"/>
    <w:rsid w:val="005B553D"/>
    <w:rsid w:val="005B5555"/>
    <w:rsid w:val="005B5701"/>
    <w:rsid w:val="005B5857"/>
    <w:rsid w:val="005B5B23"/>
    <w:rsid w:val="005B5C99"/>
    <w:rsid w:val="005B6032"/>
    <w:rsid w:val="005B6235"/>
    <w:rsid w:val="005B64A1"/>
    <w:rsid w:val="005B6843"/>
    <w:rsid w:val="005B68A1"/>
    <w:rsid w:val="005B6905"/>
    <w:rsid w:val="005B6AF5"/>
    <w:rsid w:val="005B75D6"/>
    <w:rsid w:val="005B760C"/>
    <w:rsid w:val="005B7681"/>
    <w:rsid w:val="005B7A52"/>
    <w:rsid w:val="005B7CBD"/>
    <w:rsid w:val="005B7F63"/>
    <w:rsid w:val="005C14C8"/>
    <w:rsid w:val="005C17D8"/>
    <w:rsid w:val="005C19C4"/>
    <w:rsid w:val="005C1B83"/>
    <w:rsid w:val="005C1FDB"/>
    <w:rsid w:val="005C2071"/>
    <w:rsid w:val="005C24B0"/>
    <w:rsid w:val="005C25FF"/>
    <w:rsid w:val="005C276D"/>
    <w:rsid w:val="005C283B"/>
    <w:rsid w:val="005C29A8"/>
    <w:rsid w:val="005C2D55"/>
    <w:rsid w:val="005C30BE"/>
    <w:rsid w:val="005C3296"/>
    <w:rsid w:val="005C346B"/>
    <w:rsid w:val="005C377A"/>
    <w:rsid w:val="005C414F"/>
    <w:rsid w:val="005C417D"/>
    <w:rsid w:val="005C4725"/>
    <w:rsid w:val="005C47FF"/>
    <w:rsid w:val="005C4882"/>
    <w:rsid w:val="005C495D"/>
    <w:rsid w:val="005C4B68"/>
    <w:rsid w:val="005C53D9"/>
    <w:rsid w:val="005C54F2"/>
    <w:rsid w:val="005C5ABC"/>
    <w:rsid w:val="005C5AEC"/>
    <w:rsid w:val="005C5D04"/>
    <w:rsid w:val="005C61B0"/>
    <w:rsid w:val="005C6658"/>
    <w:rsid w:val="005C67B4"/>
    <w:rsid w:val="005C6C8B"/>
    <w:rsid w:val="005C6CE8"/>
    <w:rsid w:val="005C724A"/>
    <w:rsid w:val="005C73CD"/>
    <w:rsid w:val="005C75A9"/>
    <w:rsid w:val="005C7664"/>
    <w:rsid w:val="005C79DF"/>
    <w:rsid w:val="005C79EA"/>
    <w:rsid w:val="005C7B59"/>
    <w:rsid w:val="005C7C7F"/>
    <w:rsid w:val="005C7EF2"/>
    <w:rsid w:val="005D044D"/>
    <w:rsid w:val="005D0480"/>
    <w:rsid w:val="005D05BC"/>
    <w:rsid w:val="005D05D7"/>
    <w:rsid w:val="005D07EC"/>
    <w:rsid w:val="005D09C7"/>
    <w:rsid w:val="005D0ABC"/>
    <w:rsid w:val="005D0ABD"/>
    <w:rsid w:val="005D0B70"/>
    <w:rsid w:val="005D0D05"/>
    <w:rsid w:val="005D0E66"/>
    <w:rsid w:val="005D11A0"/>
    <w:rsid w:val="005D1764"/>
    <w:rsid w:val="005D1894"/>
    <w:rsid w:val="005D18AD"/>
    <w:rsid w:val="005D1C25"/>
    <w:rsid w:val="005D1CE3"/>
    <w:rsid w:val="005D1EB5"/>
    <w:rsid w:val="005D213F"/>
    <w:rsid w:val="005D2630"/>
    <w:rsid w:val="005D26B4"/>
    <w:rsid w:val="005D2AF7"/>
    <w:rsid w:val="005D2DD4"/>
    <w:rsid w:val="005D3434"/>
    <w:rsid w:val="005D36A9"/>
    <w:rsid w:val="005D3798"/>
    <w:rsid w:val="005D487C"/>
    <w:rsid w:val="005D489B"/>
    <w:rsid w:val="005D4BDF"/>
    <w:rsid w:val="005D4D20"/>
    <w:rsid w:val="005D510C"/>
    <w:rsid w:val="005D5120"/>
    <w:rsid w:val="005D5921"/>
    <w:rsid w:val="005D5A2B"/>
    <w:rsid w:val="005D5C1B"/>
    <w:rsid w:val="005D61E8"/>
    <w:rsid w:val="005D627A"/>
    <w:rsid w:val="005D64E3"/>
    <w:rsid w:val="005D68E0"/>
    <w:rsid w:val="005D6A24"/>
    <w:rsid w:val="005D6BB8"/>
    <w:rsid w:val="005D6CCB"/>
    <w:rsid w:val="005D6D1B"/>
    <w:rsid w:val="005D6D53"/>
    <w:rsid w:val="005D729F"/>
    <w:rsid w:val="005D72C8"/>
    <w:rsid w:val="005D72FD"/>
    <w:rsid w:val="005D7615"/>
    <w:rsid w:val="005E02B1"/>
    <w:rsid w:val="005E032F"/>
    <w:rsid w:val="005E04B2"/>
    <w:rsid w:val="005E04F8"/>
    <w:rsid w:val="005E0572"/>
    <w:rsid w:val="005E0D97"/>
    <w:rsid w:val="005E0F29"/>
    <w:rsid w:val="005E101E"/>
    <w:rsid w:val="005E102B"/>
    <w:rsid w:val="005E10A7"/>
    <w:rsid w:val="005E1995"/>
    <w:rsid w:val="005E1B23"/>
    <w:rsid w:val="005E1B9E"/>
    <w:rsid w:val="005E20B3"/>
    <w:rsid w:val="005E2827"/>
    <w:rsid w:val="005E2A4E"/>
    <w:rsid w:val="005E2AAD"/>
    <w:rsid w:val="005E2E70"/>
    <w:rsid w:val="005E3010"/>
    <w:rsid w:val="005E30E0"/>
    <w:rsid w:val="005E3131"/>
    <w:rsid w:val="005E356A"/>
    <w:rsid w:val="005E3753"/>
    <w:rsid w:val="005E37A7"/>
    <w:rsid w:val="005E3DF7"/>
    <w:rsid w:val="005E4059"/>
    <w:rsid w:val="005E4526"/>
    <w:rsid w:val="005E486E"/>
    <w:rsid w:val="005E4B7B"/>
    <w:rsid w:val="005E4CC0"/>
    <w:rsid w:val="005E4E73"/>
    <w:rsid w:val="005E51CD"/>
    <w:rsid w:val="005E52CB"/>
    <w:rsid w:val="005E564B"/>
    <w:rsid w:val="005E57BB"/>
    <w:rsid w:val="005E5956"/>
    <w:rsid w:val="005E5A2C"/>
    <w:rsid w:val="005E5EEA"/>
    <w:rsid w:val="005E6121"/>
    <w:rsid w:val="005E62DF"/>
    <w:rsid w:val="005E64AA"/>
    <w:rsid w:val="005E69F2"/>
    <w:rsid w:val="005E6CBC"/>
    <w:rsid w:val="005E70CC"/>
    <w:rsid w:val="005E72FF"/>
    <w:rsid w:val="005E73C0"/>
    <w:rsid w:val="005E7472"/>
    <w:rsid w:val="005E7B7F"/>
    <w:rsid w:val="005E7CBF"/>
    <w:rsid w:val="005E7CE1"/>
    <w:rsid w:val="005F07ED"/>
    <w:rsid w:val="005F090B"/>
    <w:rsid w:val="005F0C85"/>
    <w:rsid w:val="005F1394"/>
    <w:rsid w:val="005F1440"/>
    <w:rsid w:val="005F1ACC"/>
    <w:rsid w:val="005F1C0D"/>
    <w:rsid w:val="005F2332"/>
    <w:rsid w:val="005F24D2"/>
    <w:rsid w:val="005F2706"/>
    <w:rsid w:val="005F27E5"/>
    <w:rsid w:val="005F28B7"/>
    <w:rsid w:val="005F2A6A"/>
    <w:rsid w:val="005F2D40"/>
    <w:rsid w:val="005F2FAF"/>
    <w:rsid w:val="005F310E"/>
    <w:rsid w:val="005F3321"/>
    <w:rsid w:val="005F39E4"/>
    <w:rsid w:val="005F3C59"/>
    <w:rsid w:val="005F3CB2"/>
    <w:rsid w:val="005F4029"/>
    <w:rsid w:val="005F428F"/>
    <w:rsid w:val="005F4D07"/>
    <w:rsid w:val="005F4DC7"/>
    <w:rsid w:val="005F4DEC"/>
    <w:rsid w:val="005F5BEF"/>
    <w:rsid w:val="005F5FC8"/>
    <w:rsid w:val="005F6529"/>
    <w:rsid w:val="005F65BC"/>
    <w:rsid w:val="005F6A15"/>
    <w:rsid w:val="005F6A8F"/>
    <w:rsid w:val="005F6BB7"/>
    <w:rsid w:val="005F6FDA"/>
    <w:rsid w:val="005F71D3"/>
    <w:rsid w:val="005F7237"/>
    <w:rsid w:val="005F72AE"/>
    <w:rsid w:val="005F7588"/>
    <w:rsid w:val="005F7B44"/>
    <w:rsid w:val="006002D9"/>
    <w:rsid w:val="006008B4"/>
    <w:rsid w:val="006009B4"/>
    <w:rsid w:val="00600A36"/>
    <w:rsid w:val="00600E47"/>
    <w:rsid w:val="00600F7F"/>
    <w:rsid w:val="0060143D"/>
    <w:rsid w:val="00601BBA"/>
    <w:rsid w:val="006021A3"/>
    <w:rsid w:val="0060226D"/>
    <w:rsid w:val="00602726"/>
    <w:rsid w:val="00602784"/>
    <w:rsid w:val="006028D3"/>
    <w:rsid w:val="006029ED"/>
    <w:rsid w:val="0060343B"/>
    <w:rsid w:val="006036E5"/>
    <w:rsid w:val="00603849"/>
    <w:rsid w:val="00603AB3"/>
    <w:rsid w:val="00603D4C"/>
    <w:rsid w:val="00603DB9"/>
    <w:rsid w:val="00603E76"/>
    <w:rsid w:val="00604AE2"/>
    <w:rsid w:val="00604E42"/>
    <w:rsid w:val="00604F30"/>
    <w:rsid w:val="00604F7A"/>
    <w:rsid w:val="00605287"/>
    <w:rsid w:val="006052D1"/>
    <w:rsid w:val="006053E5"/>
    <w:rsid w:val="00605BA8"/>
    <w:rsid w:val="0060676B"/>
    <w:rsid w:val="00606775"/>
    <w:rsid w:val="00606ADB"/>
    <w:rsid w:val="00606FBA"/>
    <w:rsid w:val="006072E0"/>
    <w:rsid w:val="00607339"/>
    <w:rsid w:val="00607669"/>
    <w:rsid w:val="006076F4"/>
    <w:rsid w:val="0060778F"/>
    <w:rsid w:val="00607A9D"/>
    <w:rsid w:val="00607AFD"/>
    <w:rsid w:val="00607D5B"/>
    <w:rsid w:val="00607EB0"/>
    <w:rsid w:val="00607F93"/>
    <w:rsid w:val="0061070B"/>
    <w:rsid w:val="0061096E"/>
    <w:rsid w:val="00610B90"/>
    <w:rsid w:val="00610EF2"/>
    <w:rsid w:val="00610FAE"/>
    <w:rsid w:val="006112B9"/>
    <w:rsid w:val="00611AC5"/>
    <w:rsid w:val="00611B12"/>
    <w:rsid w:val="00611B53"/>
    <w:rsid w:val="00612566"/>
    <w:rsid w:val="00612D9F"/>
    <w:rsid w:val="00612F97"/>
    <w:rsid w:val="00612FA1"/>
    <w:rsid w:val="006130A9"/>
    <w:rsid w:val="0061345D"/>
    <w:rsid w:val="0061369F"/>
    <w:rsid w:val="00613855"/>
    <w:rsid w:val="006139BA"/>
    <w:rsid w:val="006139D5"/>
    <w:rsid w:val="00613BF1"/>
    <w:rsid w:val="00613D11"/>
    <w:rsid w:val="00613DC9"/>
    <w:rsid w:val="00613F48"/>
    <w:rsid w:val="00614371"/>
    <w:rsid w:val="0061449D"/>
    <w:rsid w:val="006146FE"/>
    <w:rsid w:val="00614B66"/>
    <w:rsid w:val="00614E90"/>
    <w:rsid w:val="00615023"/>
    <w:rsid w:val="006153F0"/>
    <w:rsid w:val="0061540A"/>
    <w:rsid w:val="0061549B"/>
    <w:rsid w:val="00615769"/>
    <w:rsid w:val="00615CFA"/>
    <w:rsid w:val="00616213"/>
    <w:rsid w:val="00616634"/>
    <w:rsid w:val="00616802"/>
    <w:rsid w:val="00616DA0"/>
    <w:rsid w:val="00616DAF"/>
    <w:rsid w:val="00616F9C"/>
    <w:rsid w:val="00617164"/>
    <w:rsid w:val="0061721F"/>
    <w:rsid w:val="0061769E"/>
    <w:rsid w:val="00617A4D"/>
    <w:rsid w:val="00617BA2"/>
    <w:rsid w:val="00617C08"/>
    <w:rsid w:val="00617CFE"/>
    <w:rsid w:val="00617E12"/>
    <w:rsid w:val="00617FF0"/>
    <w:rsid w:val="00620038"/>
    <w:rsid w:val="006202ED"/>
    <w:rsid w:val="00620337"/>
    <w:rsid w:val="00620475"/>
    <w:rsid w:val="006204DA"/>
    <w:rsid w:val="0062059E"/>
    <w:rsid w:val="0062074D"/>
    <w:rsid w:val="006209A2"/>
    <w:rsid w:val="00620C25"/>
    <w:rsid w:val="00620F0B"/>
    <w:rsid w:val="00620F52"/>
    <w:rsid w:val="00621402"/>
    <w:rsid w:val="00621477"/>
    <w:rsid w:val="0062158C"/>
    <w:rsid w:val="00621ADA"/>
    <w:rsid w:val="00621B33"/>
    <w:rsid w:val="00621E82"/>
    <w:rsid w:val="00621ECE"/>
    <w:rsid w:val="00622119"/>
    <w:rsid w:val="0062236D"/>
    <w:rsid w:val="00622394"/>
    <w:rsid w:val="0062243C"/>
    <w:rsid w:val="00622514"/>
    <w:rsid w:val="00622528"/>
    <w:rsid w:val="006225AD"/>
    <w:rsid w:val="00622752"/>
    <w:rsid w:val="00622B9D"/>
    <w:rsid w:val="0062326D"/>
    <w:rsid w:val="006233F0"/>
    <w:rsid w:val="006236E4"/>
    <w:rsid w:val="00623789"/>
    <w:rsid w:val="006237A0"/>
    <w:rsid w:val="0062397C"/>
    <w:rsid w:val="00623B92"/>
    <w:rsid w:val="00623D79"/>
    <w:rsid w:val="00623F7B"/>
    <w:rsid w:val="00624081"/>
    <w:rsid w:val="006240CA"/>
    <w:rsid w:val="006244DF"/>
    <w:rsid w:val="0062479D"/>
    <w:rsid w:val="00624A70"/>
    <w:rsid w:val="00624BD4"/>
    <w:rsid w:val="00625206"/>
    <w:rsid w:val="0062568F"/>
    <w:rsid w:val="006256F8"/>
    <w:rsid w:val="00625AFA"/>
    <w:rsid w:val="00625DF6"/>
    <w:rsid w:val="0062615D"/>
    <w:rsid w:val="006263DB"/>
    <w:rsid w:val="006264BB"/>
    <w:rsid w:val="00626545"/>
    <w:rsid w:val="0062670F"/>
    <w:rsid w:val="00627522"/>
    <w:rsid w:val="006278E6"/>
    <w:rsid w:val="00627B5F"/>
    <w:rsid w:val="00627F56"/>
    <w:rsid w:val="00627FA0"/>
    <w:rsid w:val="00627FAB"/>
    <w:rsid w:val="00627FB8"/>
    <w:rsid w:val="0063013E"/>
    <w:rsid w:val="006301CE"/>
    <w:rsid w:val="006304A2"/>
    <w:rsid w:val="006304CF"/>
    <w:rsid w:val="00630732"/>
    <w:rsid w:val="006309C7"/>
    <w:rsid w:val="00630BEC"/>
    <w:rsid w:val="0063135B"/>
    <w:rsid w:val="00631503"/>
    <w:rsid w:val="0063158F"/>
    <w:rsid w:val="0063159A"/>
    <w:rsid w:val="0063190B"/>
    <w:rsid w:val="00631933"/>
    <w:rsid w:val="00631D6B"/>
    <w:rsid w:val="00632183"/>
    <w:rsid w:val="00632191"/>
    <w:rsid w:val="00632DCB"/>
    <w:rsid w:val="0063309F"/>
    <w:rsid w:val="006330A1"/>
    <w:rsid w:val="006331BF"/>
    <w:rsid w:val="00633C1D"/>
    <w:rsid w:val="0063448A"/>
    <w:rsid w:val="0063479F"/>
    <w:rsid w:val="0063481D"/>
    <w:rsid w:val="00634894"/>
    <w:rsid w:val="00634981"/>
    <w:rsid w:val="00634D3D"/>
    <w:rsid w:val="00634D99"/>
    <w:rsid w:val="006351C5"/>
    <w:rsid w:val="006352FD"/>
    <w:rsid w:val="006353F0"/>
    <w:rsid w:val="0063545E"/>
    <w:rsid w:val="006354C4"/>
    <w:rsid w:val="0063559F"/>
    <w:rsid w:val="006357B5"/>
    <w:rsid w:val="00635D64"/>
    <w:rsid w:val="00636029"/>
    <w:rsid w:val="006364A1"/>
    <w:rsid w:val="0063678E"/>
    <w:rsid w:val="006370B1"/>
    <w:rsid w:val="0063713B"/>
    <w:rsid w:val="006377EF"/>
    <w:rsid w:val="00637935"/>
    <w:rsid w:val="00637BFD"/>
    <w:rsid w:val="00637C5C"/>
    <w:rsid w:val="00640322"/>
    <w:rsid w:val="0064034E"/>
    <w:rsid w:val="00640518"/>
    <w:rsid w:val="00640649"/>
    <w:rsid w:val="00640919"/>
    <w:rsid w:val="00640A4A"/>
    <w:rsid w:val="00640B7F"/>
    <w:rsid w:val="00640BDD"/>
    <w:rsid w:val="00640E68"/>
    <w:rsid w:val="00640ECD"/>
    <w:rsid w:val="006410A1"/>
    <w:rsid w:val="0064112C"/>
    <w:rsid w:val="006412CE"/>
    <w:rsid w:val="006413BF"/>
    <w:rsid w:val="00641808"/>
    <w:rsid w:val="00641A7C"/>
    <w:rsid w:val="00641C4E"/>
    <w:rsid w:val="00641FB3"/>
    <w:rsid w:val="006425E3"/>
    <w:rsid w:val="00642612"/>
    <w:rsid w:val="0064278D"/>
    <w:rsid w:val="00642790"/>
    <w:rsid w:val="006427A3"/>
    <w:rsid w:val="0064311F"/>
    <w:rsid w:val="0064313C"/>
    <w:rsid w:val="0064337D"/>
    <w:rsid w:val="0064339C"/>
    <w:rsid w:val="006434F7"/>
    <w:rsid w:val="0064352E"/>
    <w:rsid w:val="006437EE"/>
    <w:rsid w:val="00643AB2"/>
    <w:rsid w:val="00643F9C"/>
    <w:rsid w:val="006441C5"/>
    <w:rsid w:val="00644274"/>
    <w:rsid w:val="006442F6"/>
    <w:rsid w:val="0064434C"/>
    <w:rsid w:val="006447BD"/>
    <w:rsid w:val="006447C4"/>
    <w:rsid w:val="00644849"/>
    <w:rsid w:val="00644D1D"/>
    <w:rsid w:val="00644FC9"/>
    <w:rsid w:val="00645786"/>
    <w:rsid w:val="006458ED"/>
    <w:rsid w:val="00646141"/>
    <w:rsid w:val="0064615E"/>
    <w:rsid w:val="0064660E"/>
    <w:rsid w:val="006467AA"/>
    <w:rsid w:val="00646CC3"/>
    <w:rsid w:val="00646F34"/>
    <w:rsid w:val="006471CC"/>
    <w:rsid w:val="006472FE"/>
    <w:rsid w:val="00647428"/>
    <w:rsid w:val="006479FC"/>
    <w:rsid w:val="00647A29"/>
    <w:rsid w:val="00647A32"/>
    <w:rsid w:val="00647A61"/>
    <w:rsid w:val="00647B05"/>
    <w:rsid w:val="00647BE0"/>
    <w:rsid w:val="00647C24"/>
    <w:rsid w:val="00647D33"/>
    <w:rsid w:val="0065079F"/>
    <w:rsid w:val="00650A74"/>
    <w:rsid w:val="00650AB3"/>
    <w:rsid w:val="006516AE"/>
    <w:rsid w:val="0065175D"/>
    <w:rsid w:val="006517A0"/>
    <w:rsid w:val="00651D6A"/>
    <w:rsid w:val="00651FFF"/>
    <w:rsid w:val="0065216F"/>
    <w:rsid w:val="0065245D"/>
    <w:rsid w:val="006525AC"/>
    <w:rsid w:val="006529D8"/>
    <w:rsid w:val="00652A28"/>
    <w:rsid w:val="00652AEC"/>
    <w:rsid w:val="00653491"/>
    <w:rsid w:val="0065379F"/>
    <w:rsid w:val="00653BFA"/>
    <w:rsid w:val="00653F26"/>
    <w:rsid w:val="00653FBD"/>
    <w:rsid w:val="006540FD"/>
    <w:rsid w:val="0065476E"/>
    <w:rsid w:val="00654770"/>
    <w:rsid w:val="006549C7"/>
    <w:rsid w:val="00654D95"/>
    <w:rsid w:val="006552DF"/>
    <w:rsid w:val="00655724"/>
    <w:rsid w:val="00655AAA"/>
    <w:rsid w:val="00655C39"/>
    <w:rsid w:val="00655FDE"/>
    <w:rsid w:val="00656188"/>
    <w:rsid w:val="00656425"/>
    <w:rsid w:val="00656830"/>
    <w:rsid w:val="00656EC6"/>
    <w:rsid w:val="00656EFA"/>
    <w:rsid w:val="00656F1A"/>
    <w:rsid w:val="0065715A"/>
    <w:rsid w:val="00657721"/>
    <w:rsid w:val="00657AB0"/>
    <w:rsid w:val="006602AD"/>
    <w:rsid w:val="006604BA"/>
    <w:rsid w:val="00660BA2"/>
    <w:rsid w:val="00660CB5"/>
    <w:rsid w:val="00660CF8"/>
    <w:rsid w:val="00660D38"/>
    <w:rsid w:val="006610F1"/>
    <w:rsid w:val="0066112E"/>
    <w:rsid w:val="0066147C"/>
    <w:rsid w:val="0066154A"/>
    <w:rsid w:val="006617FC"/>
    <w:rsid w:val="00661C6B"/>
    <w:rsid w:val="00661F5A"/>
    <w:rsid w:val="00662135"/>
    <w:rsid w:val="006621AB"/>
    <w:rsid w:val="00662756"/>
    <w:rsid w:val="0066275A"/>
    <w:rsid w:val="00662D3E"/>
    <w:rsid w:val="0066303B"/>
    <w:rsid w:val="006630C8"/>
    <w:rsid w:val="006631F7"/>
    <w:rsid w:val="00663409"/>
    <w:rsid w:val="00663A91"/>
    <w:rsid w:val="00663AA8"/>
    <w:rsid w:val="00663AD8"/>
    <w:rsid w:val="00663C3F"/>
    <w:rsid w:val="00663C90"/>
    <w:rsid w:val="00663F02"/>
    <w:rsid w:val="00663FCF"/>
    <w:rsid w:val="00664894"/>
    <w:rsid w:val="00664927"/>
    <w:rsid w:val="00664E76"/>
    <w:rsid w:val="00665056"/>
    <w:rsid w:val="006653A7"/>
    <w:rsid w:val="0066564D"/>
    <w:rsid w:val="00665775"/>
    <w:rsid w:val="00665817"/>
    <w:rsid w:val="00665A77"/>
    <w:rsid w:val="00666BC5"/>
    <w:rsid w:val="00666C98"/>
    <w:rsid w:val="00666F1A"/>
    <w:rsid w:val="00666F55"/>
    <w:rsid w:val="00667372"/>
    <w:rsid w:val="00667774"/>
    <w:rsid w:val="00667B46"/>
    <w:rsid w:val="00667BBD"/>
    <w:rsid w:val="00667BE3"/>
    <w:rsid w:val="006703E9"/>
    <w:rsid w:val="006708E3"/>
    <w:rsid w:val="00670914"/>
    <w:rsid w:val="00670B40"/>
    <w:rsid w:val="00670B6D"/>
    <w:rsid w:val="00670C60"/>
    <w:rsid w:val="00670D52"/>
    <w:rsid w:val="00670E2A"/>
    <w:rsid w:val="00670F4B"/>
    <w:rsid w:val="00671004"/>
    <w:rsid w:val="006710A2"/>
    <w:rsid w:val="00671632"/>
    <w:rsid w:val="006717DA"/>
    <w:rsid w:val="00671961"/>
    <w:rsid w:val="006719DD"/>
    <w:rsid w:val="00671AF4"/>
    <w:rsid w:val="00671C2F"/>
    <w:rsid w:val="00671CF9"/>
    <w:rsid w:val="00672292"/>
    <w:rsid w:val="00672646"/>
    <w:rsid w:val="0067290A"/>
    <w:rsid w:val="006733D3"/>
    <w:rsid w:val="00673451"/>
    <w:rsid w:val="006734F6"/>
    <w:rsid w:val="00673560"/>
    <w:rsid w:val="0067360F"/>
    <w:rsid w:val="00673640"/>
    <w:rsid w:val="0067393C"/>
    <w:rsid w:val="00673D05"/>
    <w:rsid w:val="006740BA"/>
    <w:rsid w:val="006743DB"/>
    <w:rsid w:val="00674456"/>
    <w:rsid w:val="006746B7"/>
    <w:rsid w:val="00674AE9"/>
    <w:rsid w:val="00674E42"/>
    <w:rsid w:val="00674E76"/>
    <w:rsid w:val="006752F4"/>
    <w:rsid w:val="00675512"/>
    <w:rsid w:val="00675524"/>
    <w:rsid w:val="006756F0"/>
    <w:rsid w:val="00675776"/>
    <w:rsid w:val="006758C1"/>
    <w:rsid w:val="00675C40"/>
    <w:rsid w:val="00675D58"/>
    <w:rsid w:val="00675DA0"/>
    <w:rsid w:val="00675F07"/>
    <w:rsid w:val="00676563"/>
    <w:rsid w:val="006766F0"/>
    <w:rsid w:val="00676790"/>
    <w:rsid w:val="0067704D"/>
    <w:rsid w:val="006772E5"/>
    <w:rsid w:val="006774B6"/>
    <w:rsid w:val="00677549"/>
    <w:rsid w:val="00677594"/>
    <w:rsid w:val="006775C5"/>
    <w:rsid w:val="0067785C"/>
    <w:rsid w:val="006805B5"/>
    <w:rsid w:val="00680B69"/>
    <w:rsid w:val="006810A1"/>
    <w:rsid w:val="006813F8"/>
    <w:rsid w:val="00681870"/>
    <w:rsid w:val="00681C2E"/>
    <w:rsid w:val="00682112"/>
    <w:rsid w:val="00682316"/>
    <w:rsid w:val="006824C3"/>
    <w:rsid w:val="00682568"/>
    <w:rsid w:val="0068267C"/>
    <w:rsid w:val="00682ADE"/>
    <w:rsid w:val="00682B10"/>
    <w:rsid w:val="00682BA6"/>
    <w:rsid w:val="00682EE7"/>
    <w:rsid w:val="00682FC9"/>
    <w:rsid w:val="0068317D"/>
    <w:rsid w:val="006831F3"/>
    <w:rsid w:val="00683393"/>
    <w:rsid w:val="00683972"/>
    <w:rsid w:val="00683E5C"/>
    <w:rsid w:val="00683F07"/>
    <w:rsid w:val="0068430F"/>
    <w:rsid w:val="006843A9"/>
    <w:rsid w:val="00684C20"/>
    <w:rsid w:val="00685192"/>
    <w:rsid w:val="00685432"/>
    <w:rsid w:val="00685606"/>
    <w:rsid w:val="00685AAC"/>
    <w:rsid w:val="00685BD1"/>
    <w:rsid w:val="00685D1A"/>
    <w:rsid w:val="00685F80"/>
    <w:rsid w:val="00686057"/>
    <w:rsid w:val="006866ED"/>
    <w:rsid w:val="006867E7"/>
    <w:rsid w:val="00686957"/>
    <w:rsid w:val="006869DE"/>
    <w:rsid w:val="00686F10"/>
    <w:rsid w:val="006872BA"/>
    <w:rsid w:val="006875FF"/>
    <w:rsid w:val="00687678"/>
    <w:rsid w:val="006877E8"/>
    <w:rsid w:val="0068798A"/>
    <w:rsid w:val="00687ABE"/>
    <w:rsid w:val="00687C54"/>
    <w:rsid w:val="00690795"/>
    <w:rsid w:val="0069083C"/>
    <w:rsid w:val="00690D76"/>
    <w:rsid w:val="006913E8"/>
    <w:rsid w:val="00691648"/>
    <w:rsid w:val="006917D7"/>
    <w:rsid w:val="006917E5"/>
    <w:rsid w:val="00691884"/>
    <w:rsid w:val="00691C89"/>
    <w:rsid w:val="00691D06"/>
    <w:rsid w:val="00691F1D"/>
    <w:rsid w:val="00691F94"/>
    <w:rsid w:val="00692AEE"/>
    <w:rsid w:val="00692E14"/>
    <w:rsid w:val="00692E5A"/>
    <w:rsid w:val="00693088"/>
    <w:rsid w:val="006931A3"/>
    <w:rsid w:val="006931E2"/>
    <w:rsid w:val="00693473"/>
    <w:rsid w:val="0069391A"/>
    <w:rsid w:val="00693EC4"/>
    <w:rsid w:val="00694042"/>
    <w:rsid w:val="00694293"/>
    <w:rsid w:val="00694334"/>
    <w:rsid w:val="0069434C"/>
    <w:rsid w:val="006943A1"/>
    <w:rsid w:val="0069454C"/>
    <w:rsid w:val="00694A9B"/>
    <w:rsid w:val="00694BE0"/>
    <w:rsid w:val="00694D48"/>
    <w:rsid w:val="00694F28"/>
    <w:rsid w:val="00694F44"/>
    <w:rsid w:val="00695085"/>
    <w:rsid w:val="0069533A"/>
    <w:rsid w:val="00695387"/>
    <w:rsid w:val="006953FE"/>
    <w:rsid w:val="006958E1"/>
    <w:rsid w:val="00695DEF"/>
    <w:rsid w:val="00696096"/>
    <w:rsid w:val="006963A5"/>
    <w:rsid w:val="00696442"/>
    <w:rsid w:val="0069671E"/>
    <w:rsid w:val="00696D41"/>
    <w:rsid w:val="00696EF9"/>
    <w:rsid w:val="00696F51"/>
    <w:rsid w:val="00697258"/>
    <w:rsid w:val="00697381"/>
    <w:rsid w:val="00697492"/>
    <w:rsid w:val="00697670"/>
    <w:rsid w:val="0069772D"/>
    <w:rsid w:val="006977B0"/>
    <w:rsid w:val="0069784E"/>
    <w:rsid w:val="00697932"/>
    <w:rsid w:val="006979A5"/>
    <w:rsid w:val="00697A3A"/>
    <w:rsid w:val="00697A3C"/>
    <w:rsid w:val="00697A4A"/>
    <w:rsid w:val="00697B4C"/>
    <w:rsid w:val="00697C5F"/>
    <w:rsid w:val="00697E8D"/>
    <w:rsid w:val="006A016F"/>
    <w:rsid w:val="006A01F0"/>
    <w:rsid w:val="006A02FE"/>
    <w:rsid w:val="006A03C5"/>
    <w:rsid w:val="006A0896"/>
    <w:rsid w:val="006A093D"/>
    <w:rsid w:val="006A0A48"/>
    <w:rsid w:val="006A0DF3"/>
    <w:rsid w:val="006A0DF7"/>
    <w:rsid w:val="006A0FC2"/>
    <w:rsid w:val="006A128B"/>
    <w:rsid w:val="006A1401"/>
    <w:rsid w:val="006A169D"/>
    <w:rsid w:val="006A1786"/>
    <w:rsid w:val="006A1B11"/>
    <w:rsid w:val="006A1B37"/>
    <w:rsid w:val="006A20F5"/>
    <w:rsid w:val="006A21A4"/>
    <w:rsid w:val="006A22F0"/>
    <w:rsid w:val="006A2438"/>
    <w:rsid w:val="006A29FC"/>
    <w:rsid w:val="006A2C19"/>
    <w:rsid w:val="006A2F70"/>
    <w:rsid w:val="006A332C"/>
    <w:rsid w:val="006A3479"/>
    <w:rsid w:val="006A357C"/>
    <w:rsid w:val="006A368E"/>
    <w:rsid w:val="006A3737"/>
    <w:rsid w:val="006A3758"/>
    <w:rsid w:val="006A3E60"/>
    <w:rsid w:val="006A3E8E"/>
    <w:rsid w:val="006A4321"/>
    <w:rsid w:val="006A4382"/>
    <w:rsid w:val="006A43D9"/>
    <w:rsid w:val="006A4739"/>
    <w:rsid w:val="006A4753"/>
    <w:rsid w:val="006A47E6"/>
    <w:rsid w:val="006A4ABD"/>
    <w:rsid w:val="006A4AE5"/>
    <w:rsid w:val="006A4C32"/>
    <w:rsid w:val="006A4DCB"/>
    <w:rsid w:val="006A5684"/>
    <w:rsid w:val="006A5B87"/>
    <w:rsid w:val="006A5D5B"/>
    <w:rsid w:val="006A6060"/>
    <w:rsid w:val="006A623F"/>
    <w:rsid w:val="006A6B44"/>
    <w:rsid w:val="006A6B99"/>
    <w:rsid w:val="006A6CCB"/>
    <w:rsid w:val="006A6EDF"/>
    <w:rsid w:val="006A70E8"/>
    <w:rsid w:val="006A75A8"/>
    <w:rsid w:val="006A7689"/>
    <w:rsid w:val="006A771C"/>
    <w:rsid w:val="006A77F7"/>
    <w:rsid w:val="006A7BE2"/>
    <w:rsid w:val="006A7E5F"/>
    <w:rsid w:val="006B00E5"/>
    <w:rsid w:val="006B0137"/>
    <w:rsid w:val="006B01D2"/>
    <w:rsid w:val="006B0454"/>
    <w:rsid w:val="006B0870"/>
    <w:rsid w:val="006B09B5"/>
    <w:rsid w:val="006B0F3F"/>
    <w:rsid w:val="006B10F3"/>
    <w:rsid w:val="006B144A"/>
    <w:rsid w:val="006B19BC"/>
    <w:rsid w:val="006B1AA7"/>
    <w:rsid w:val="006B1AFD"/>
    <w:rsid w:val="006B240F"/>
    <w:rsid w:val="006B2577"/>
    <w:rsid w:val="006B261B"/>
    <w:rsid w:val="006B2701"/>
    <w:rsid w:val="006B28B0"/>
    <w:rsid w:val="006B2C90"/>
    <w:rsid w:val="006B3035"/>
    <w:rsid w:val="006B3212"/>
    <w:rsid w:val="006B34FB"/>
    <w:rsid w:val="006B35E6"/>
    <w:rsid w:val="006B36A3"/>
    <w:rsid w:val="006B3946"/>
    <w:rsid w:val="006B39E9"/>
    <w:rsid w:val="006B3A94"/>
    <w:rsid w:val="006B3FC3"/>
    <w:rsid w:val="006B4164"/>
    <w:rsid w:val="006B4528"/>
    <w:rsid w:val="006B4657"/>
    <w:rsid w:val="006B465A"/>
    <w:rsid w:val="006B4719"/>
    <w:rsid w:val="006B47BD"/>
    <w:rsid w:val="006B483B"/>
    <w:rsid w:val="006B4A24"/>
    <w:rsid w:val="006B4A7C"/>
    <w:rsid w:val="006B5194"/>
    <w:rsid w:val="006B564A"/>
    <w:rsid w:val="006B57E7"/>
    <w:rsid w:val="006B5DB9"/>
    <w:rsid w:val="006B5FC8"/>
    <w:rsid w:val="006B640B"/>
    <w:rsid w:val="006B6594"/>
    <w:rsid w:val="006B65B5"/>
    <w:rsid w:val="006B6629"/>
    <w:rsid w:val="006B6B11"/>
    <w:rsid w:val="006B6D24"/>
    <w:rsid w:val="006B6DD0"/>
    <w:rsid w:val="006B6E03"/>
    <w:rsid w:val="006B6E8B"/>
    <w:rsid w:val="006B6EE9"/>
    <w:rsid w:val="006B6F69"/>
    <w:rsid w:val="006B7024"/>
    <w:rsid w:val="006B70DF"/>
    <w:rsid w:val="006B7227"/>
    <w:rsid w:val="006B7243"/>
    <w:rsid w:val="006B748E"/>
    <w:rsid w:val="006B78FE"/>
    <w:rsid w:val="006B7906"/>
    <w:rsid w:val="006B7B21"/>
    <w:rsid w:val="006B7E2A"/>
    <w:rsid w:val="006C0399"/>
    <w:rsid w:val="006C0577"/>
    <w:rsid w:val="006C0712"/>
    <w:rsid w:val="006C09BF"/>
    <w:rsid w:val="006C09F1"/>
    <w:rsid w:val="006C0C4C"/>
    <w:rsid w:val="006C1137"/>
    <w:rsid w:val="006C11F2"/>
    <w:rsid w:val="006C1208"/>
    <w:rsid w:val="006C1467"/>
    <w:rsid w:val="006C15D5"/>
    <w:rsid w:val="006C1626"/>
    <w:rsid w:val="006C1C84"/>
    <w:rsid w:val="006C1D48"/>
    <w:rsid w:val="006C20FF"/>
    <w:rsid w:val="006C2301"/>
    <w:rsid w:val="006C254B"/>
    <w:rsid w:val="006C262A"/>
    <w:rsid w:val="006C2644"/>
    <w:rsid w:val="006C295E"/>
    <w:rsid w:val="006C2A8E"/>
    <w:rsid w:val="006C2C3B"/>
    <w:rsid w:val="006C2DEB"/>
    <w:rsid w:val="006C3031"/>
    <w:rsid w:val="006C3223"/>
    <w:rsid w:val="006C3255"/>
    <w:rsid w:val="006C3325"/>
    <w:rsid w:val="006C342D"/>
    <w:rsid w:val="006C3964"/>
    <w:rsid w:val="006C3C92"/>
    <w:rsid w:val="006C3D1F"/>
    <w:rsid w:val="006C3F26"/>
    <w:rsid w:val="006C4013"/>
    <w:rsid w:val="006C43E3"/>
    <w:rsid w:val="006C44EF"/>
    <w:rsid w:val="006C4524"/>
    <w:rsid w:val="006C45A9"/>
    <w:rsid w:val="006C46A6"/>
    <w:rsid w:val="006C48A7"/>
    <w:rsid w:val="006C4A63"/>
    <w:rsid w:val="006C4C17"/>
    <w:rsid w:val="006C4CF6"/>
    <w:rsid w:val="006C4F44"/>
    <w:rsid w:val="006C5350"/>
    <w:rsid w:val="006C5873"/>
    <w:rsid w:val="006C58BE"/>
    <w:rsid w:val="006C5DCD"/>
    <w:rsid w:val="006C6E15"/>
    <w:rsid w:val="006C76A5"/>
    <w:rsid w:val="006C76ED"/>
    <w:rsid w:val="006C7735"/>
    <w:rsid w:val="006C78A6"/>
    <w:rsid w:val="006D03C5"/>
    <w:rsid w:val="006D03DB"/>
    <w:rsid w:val="006D053E"/>
    <w:rsid w:val="006D0770"/>
    <w:rsid w:val="006D0AA0"/>
    <w:rsid w:val="006D0B6B"/>
    <w:rsid w:val="006D0B99"/>
    <w:rsid w:val="006D0D17"/>
    <w:rsid w:val="006D13A3"/>
    <w:rsid w:val="006D1757"/>
    <w:rsid w:val="006D1934"/>
    <w:rsid w:val="006D1A2E"/>
    <w:rsid w:val="006D1DC1"/>
    <w:rsid w:val="006D1DDF"/>
    <w:rsid w:val="006D1E1C"/>
    <w:rsid w:val="006D2214"/>
    <w:rsid w:val="006D2C7F"/>
    <w:rsid w:val="006D2E1B"/>
    <w:rsid w:val="006D34A4"/>
    <w:rsid w:val="006D389C"/>
    <w:rsid w:val="006D3A49"/>
    <w:rsid w:val="006D3C7D"/>
    <w:rsid w:val="006D3DD2"/>
    <w:rsid w:val="006D3DE4"/>
    <w:rsid w:val="006D4391"/>
    <w:rsid w:val="006D4659"/>
    <w:rsid w:val="006D4663"/>
    <w:rsid w:val="006D46C8"/>
    <w:rsid w:val="006D49B0"/>
    <w:rsid w:val="006D4B5A"/>
    <w:rsid w:val="006D4FCB"/>
    <w:rsid w:val="006D514D"/>
    <w:rsid w:val="006D5253"/>
    <w:rsid w:val="006D5268"/>
    <w:rsid w:val="006D554B"/>
    <w:rsid w:val="006D56F3"/>
    <w:rsid w:val="006D5D5F"/>
    <w:rsid w:val="006D602F"/>
    <w:rsid w:val="006D6061"/>
    <w:rsid w:val="006D6863"/>
    <w:rsid w:val="006D68FB"/>
    <w:rsid w:val="006D6B5A"/>
    <w:rsid w:val="006D6D97"/>
    <w:rsid w:val="006D70C3"/>
    <w:rsid w:val="006D78B4"/>
    <w:rsid w:val="006D7CDA"/>
    <w:rsid w:val="006D7D66"/>
    <w:rsid w:val="006D7ED5"/>
    <w:rsid w:val="006D7F6E"/>
    <w:rsid w:val="006E076D"/>
    <w:rsid w:val="006E0823"/>
    <w:rsid w:val="006E1329"/>
    <w:rsid w:val="006E13D2"/>
    <w:rsid w:val="006E1852"/>
    <w:rsid w:val="006E1B6C"/>
    <w:rsid w:val="006E2635"/>
    <w:rsid w:val="006E26C2"/>
    <w:rsid w:val="006E2868"/>
    <w:rsid w:val="006E2AD9"/>
    <w:rsid w:val="006E31C7"/>
    <w:rsid w:val="006E321B"/>
    <w:rsid w:val="006E346D"/>
    <w:rsid w:val="006E34DC"/>
    <w:rsid w:val="006E3896"/>
    <w:rsid w:val="006E3CE7"/>
    <w:rsid w:val="006E3F3E"/>
    <w:rsid w:val="006E4008"/>
    <w:rsid w:val="006E4122"/>
    <w:rsid w:val="006E469D"/>
    <w:rsid w:val="006E46EC"/>
    <w:rsid w:val="006E4A18"/>
    <w:rsid w:val="006E4D34"/>
    <w:rsid w:val="006E5200"/>
    <w:rsid w:val="006E5231"/>
    <w:rsid w:val="006E5FC3"/>
    <w:rsid w:val="006E636C"/>
    <w:rsid w:val="006E6738"/>
    <w:rsid w:val="006E6AE6"/>
    <w:rsid w:val="006E6B52"/>
    <w:rsid w:val="006E6B7A"/>
    <w:rsid w:val="006E6D00"/>
    <w:rsid w:val="006E760E"/>
    <w:rsid w:val="006E76BC"/>
    <w:rsid w:val="006E78EA"/>
    <w:rsid w:val="006F0077"/>
    <w:rsid w:val="006F0128"/>
    <w:rsid w:val="006F01B6"/>
    <w:rsid w:val="006F027F"/>
    <w:rsid w:val="006F04A3"/>
    <w:rsid w:val="006F04FD"/>
    <w:rsid w:val="006F0685"/>
    <w:rsid w:val="006F0817"/>
    <w:rsid w:val="006F0E05"/>
    <w:rsid w:val="006F11CC"/>
    <w:rsid w:val="006F140A"/>
    <w:rsid w:val="006F158E"/>
    <w:rsid w:val="006F1694"/>
    <w:rsid w:val="006F16C9"/>
    <w:rsid w:val="006F16EB"/>
    <w:rsid w:val="006F1848"/>
    <w:rsid w:val="006F1946"/>
    <w:rsid w:val="006F228B"/>
    <w:rsid w:val="006F230C"/>
    <w:rsid w:val="006F2693"/>
    <w:rsid w:val="006F291F"/>
    <w:rsid w:val="006F293D"/>
    <w:rsid w:val="006F2F76"/>
    <w:rsid w:val="006F306C"/>
    <w:rsid w:val="006F30F3"/>
    <w:rsid w:val="006F4480"/>
    <w:rsid w:val="006F4730"/>
    <w:rsid w:val="006F4AD3"/>
    <w:rsid w:val="006F4BFF"/>
    <w:rsid w:val="006F4DA1"/>
    <w:rsid w:val="006F51A2"/>
    <w:rsid w:val="006F5234"/>
    <w:rsid w:val="006F5299"/>
    <w:rsid w:val="006F54CA"/>
    <w:rsid w:val="006F54DD"/>
    <w:rsid w:val="006F5918"/>
    <w:rsid w:val="006F5BAA"/>
    <w:rsid w:val="006F5E77"/>
    <w:rsid w:val="006F5E88"/>
    <w:rsid w:val="006F5EA0"/>
    <w:rsid w:val="006F6135"/>
    <w:rsid w:val="006F61DF"/>
    <w:rsid w:val="006F633A"/>
    <w:rsid w:val="006F635C"/>
    <w:rsid w:val="006F63A5"/>
    <w:rsid w:val="006F6C9A"/>
    <w:rsid w:val="006F722C"/>
    <w:rsid w:val="006F72F0"/>
    <w:rsid w:val="006F73A7"/>
    <w:rsid w:val="006F77C5"/>
    <w:rsid w:val="006F79ED"/>
    <w:rsid w:val="006F7AAF"/>
    <w:rsid w:val="006F7CF8"/>
    <w:rsid w:val="00700419"/>
    <w:rsid w:val="007005FE"/>
    <w:rsid w:val="00700A63"/>
    <w:rsid w:val="00700A67"/>
    <w:rsid w:val="007011C0"/>
    <w:rsid w:val="0070142B"/>
    <w:rsid w:val="00701514"/>
    <w:rsid w:val="007017FB"/>
    <w:rsid w:val="00701895"/>
    <w:rsid w:val="007019A8"/>
    <w:rsid w:val="00701A24"/>
    <w:rsid w:val="00701CC7"/>
    <w:rsid w:val="00701DDE"/>
    <w:rsid w:val="00701DF6"/>
    <w:rsid w:val="00701E32"/>
    <w:rsid w:val="00701E3A"/>
    <w:rsid w:val="0070233C"/>
    <w:rsid w:val="0070276E"/>
    <w:rsid w:val="007027FD"/>
    <w:rsid w:val="00702C22"/>
    <w:rsid w:val="00702E38"/>
    <w:rsid w:val="00702F8F"/>
    <w:rsid w:val="00703931"/>
    <w:rsid w:val="00703A2D"/>
    <w:rsid w:val="00703DE8"/>
    <w:rsid w:val="00703FFA"/>
    <w:rsid w:val="00704139"/>
    <w:rsid w:val="007042E5"/>
    <w:rsid w:val="00704383"/>
    <w:rsid w:val="007049E0"/>
    <w:rsid w:val="00704D9C"/>
    <w:rsid w:val="00704EF3"/>
    <w:rsid w:val="007057DB"/>
    <w:rsid w:val="00705DB3"/>
    <w:rsid w:val="00705ED4"/>
    <w:rsid w:val="00706047"/>
    <w:rsid w:val="007062E5"/>
    <w:rsid w:val="00706354"/>
    <w:rsid w:val="007063E1"/>
    <w:rsid w:val="0070645F"/>
    <w:rsid w:val="00706504"/>
    <w:rsid w:val="00706B3C"/>
    <w:rsid w:val="00706B7F"/>
    <w:rsid w:val="00706CD9"/>
    <w:rsid w:val="00706DDC"/>
    <w:rsid w:val="0070715D"/>
    <w:rsid w:val="007072FC"/>
    <w:rsid w:val="007073DA"/>
    <w:rsid w:val="007075B1"/>
    <w:rsid w:val="00707704"/>
    <w:rsid w:val="007079FC"/>
    <w:rsid w:val="00707D64"/>
    <w:rsid w:val="00707FD4"/>
    <w:rsid w:val="00710009"/>
    <w:rsid w:val="00710069"/>
    <w:rsid w:val="00710173"/>
    <w:rsid w:val="00710360"/>
    <w:rsid w:val="00710519"/>
    <w:rsid w:val="00710752"/>
    <w:rsid w:val="007108AC"/>
    <w:rsid w:val="007108B5"/>
    <w:rsid w:val="0071093F"/>
    <w:rsid w:val="00710EA4"/>
    <w:rsid w:val="00711296"/>
    <w:rsid w:val="00711550"/>
    <w:rsid w:val="00711799"/>
    <w:rsid w:val="00711A36"/>
    <w:rsid w:val="00711DEB"/>
    <w:rsid w:val="00711F98"/>
    <w:rsid w:val="00712470"/>
    <w:rsid w:val="007125D3"/>
    <w:rsid w:val="007126F5"/>
    <w:rsid w:val="00712E0C"/>
    <w:rsid w:val="00712E66"/>
    <w:rsid w:val="00713661"/>
    <w:rsid w:val="0071368B"/>
    <w:rsid w:val="00713B11"/>
    <w:rsid w:val="00713E3D"/>
    <w:rsid w:val="007142D0"/>
    <w:rsid w:val="00714491"/>
    <w:rsid w:val="00714C26"/>
    <w:rsid w:val="00714E35"/>
    <w:rsid w:val="0071529C"/>
    <w:rsid w:val="00715338"/>
    <w:rsid w:val="007156A5"/>
    <w:rsid w:val="0071588A"/>
    <w:rsid w:val="00716069"/>
    <w:rsid w:val="007162BA"/>
    <w:rsid w:val="007163C0"/>
    <w:rsid w:val="0071653A"/>
    <w:rsid w:val="00716707"/>
    <w:rsid w:val="00716AD2"/>
    <w:rsid w:val="00716B8A"/>
    <w:rsid w:val="00716FF7"/>
    <w:rsid w:val="007170DA"/>
    <w:rsid w:val="0071711F"/>
    <w:rsid w:val="0071713F"/>
    <w:rsid w:val="007171B6"/>
    <w:rsid w:val="007172AD"/>
    <w:rsid w:val="007173C5"/>
    <w:rsid w:val="00717546"/>
    <w:rsid w:val="007176CF"/>
    <w:rsid w:val="00717760"/>
    <w:rsid w:val="00717D82"/>
    <w:rsid w:val="00717F53"/>
    <w:rsid w:val="00717F84"/>
    <w:rsid w:val="007203DE"/>
    <w:rsid w:val="0072054B"/>
    <w:rsid w:val="00720801"/>
    <w:rsid w:val="00720C84"/>
    <w:rsid w:val="00722172"/>
    <w:rsid w:val="007221D7"/>
    <w:rsid w:val="0072273F"/>
    <w:rsid w:val="007227A3"/>
    <w:rsid w:val="007227AA"/>
    <w:rsid w:val="007228C0"/>
    <w:rsid w:val="00722B1B"/>
    <w:rsid w:val="00722D41"/>
    <w:rsid w:val="007232F1"/>
    <w:rsid w:val="0072335A"/>
    <w:rsid w:val="0072351C"/>
    <w:rsid w:val="00723AB0"/>
    <w:rsid w:val="00723DCD"/>
    <w:rsid w:val="00723EB1"/>
    <w:rsid w:val="0072416F"/>
    <w:rsid w:val="007241DF"/>
    <w:rsid w:val="00724273"/>
    <w:rsid w:val="007248D5"/>
    <w:rsid w:val="0072496C"/>
    <w:rsid w:val="00724985"/>
    <w:rsid w:val="00724BBE"/>
    <w:rsid w:val="0072508E"/>
    <w:rsid w:val="0072576D"/>
    <w:rsid w:val="007259EC"/>
    <w:rsid w:val="00725A1E"/>
    <w:rsid w:val="00725D28"/>
    <w:rsid w:val="00725F00"/>
    <w:rsid w:val="007264F5"/>
    <w:rsid w:val="0072689F"/>
    <w:rsid w:val="00726B6A"/>
    <w:rsid w:val="00726C12"/>
    <w:rsid w:val="00726CC5"/>
    <w:rsid w:val="007274B8"/>
    <w:rsid w:val="007277DD"/>
    <w:rsid w:val="00727C94"/>
    <w:rsid w:val="007300AC"/>
    <w:rsid w:val="00730194"/>
    <w:rsid w:val="007306EB"/>
    <w:rsid w:val="007307C1"/>
    <w:rsid w:val="0073086F"/>
    <w:rsid w:val="00730B67"/>
    <w:rsid w:val="00730BB6"/>
    <w:rsid w:val="00731867"/>
    <w:rsid w:val="00731B0A"/>
    <w:rsid w:val="00731EAE"/>
    <w:rsid w:val="00732286"/>
    <w:rsid w:val="00732890"/>
    <w:rsid w:val="007328B8"/>
    <w:rsid w:val="00732DA9"/>
    <w:rsid w:val="00733073"/>
    <w:rsid w:val="00733118"/>
    <w:rsid w:val="007333E7"/>
    <w:rsid w:val="00733668"/>
    <w:rsid w:val="007336D1"/>
    <w:rsid w:val="00733946"/>
    <w:rsid w:val="007342E6"/>
    <w:rsid w:val="00734463"/>
    <w:rsid w:val="007346E1"/>
    <w:rsid w:val="00734799"/>
    <w:rsid w:val="007349CE"/>
    <w:rsid w:val="00734A34"/>
    <w:rsid w:val="00734BA8"/>
    <w:rsid w:val="00734D87"/>
    <w:rsid w:val="00734D92"/>
    <w:rsid w:val="00734F29"/>
    <w:rsid w:val="00735033"/>
    <w:rsid w:val="00735328"/>
    <w:rsid w:val="007355AE"/>
    <w:rsid w:val="0073571A"/>
    <w:rsid w:val="007357E3"/>
    <w:rsid w:val="007358E3"/>
    <w:rsid w:val="00735988"/>
    <w:rsid w:val="00735CEA"/>
    <w:rsid w:val="00735E3C"/>
    <w:rsid w:val="007366C6"/>
    <w:rsid w:val="00736710"/>
    <w:rsid w:val="0073680E"/>
    <w:rsid w:val="00736837"/>
    <w:rsid w:val="0073685B"/>
    <w:rsid w:val="00736A15"/>
    <w:rsid w:val="00736A35"/>
    <w:rsid w:val="00736AA4"/>
    <w:rsid w:val="00736E3F"/>
    <w:rsid w:val="00736F6D"/>
    <w:rsid w:val="007372C9"/>
    <w:rsid w:val="0073796B"/>
    <w:rsid w:val="00737B88"/>
    <w:rsid w:val="00737FB0"/>
    <w:rsid w:val="007400A5"/>
    <w:rsid w:val="00740153"/>
    <w:rsid w:val="00740507"/>
    <w:rsid w:val="00740595"/>
    <w:rsid w:val="00740708"/>
    <w:rsid w:val="00740A5F"/>
    <w:rsid w:val="00740FFD"/>
    <w:rsid w:val="00741085"/>
    <w:rsid w:val="00741817"/>
    <w:rsid w:val="00741841"/>
    <w:rsid w:val="00741C43"/>
    <w:rsid w:val="00742003"/>
    <w:rsid w:val="0074204B"/>
    <w:rsid w:val="0074230F"/>
    <w:rsid w:val="007424DA"/>
    <w:rsid w:val="007425E8"/>
    <w:rsid w:val="0074273A"/>
    <w:rsid w:val="0074289A"/>
    <w:rsid w:val="00742BA6"/>
    <w:rsid w:val="00742C9A"/>
    <w:rsid w:val="00743302"/>
    <w:rsid w:val="00743651"/>
    <w:rsid w:val="00743BD9"/>
    <w:rsid w:val="00743C19"/>
    <w:rsid w:val="00743C68"/>
    <w:rsid w:val="00744704"/>
    <w:rsid w:val="007449BF"/>
    <w:rsid w:val="0074511B"/>
    <w:rsid w:val="0074536D"/>
    <w:rsid w:val="00745636"/>
    <w:rsid w:val="007456A4"/>
    <w:rsid w:val="007459FE"/>
    <w:rsid w:val="00745BB5"/>
    <w:rsid w:val="00745BE7"/>
    <w:rsid w:val="00745F18"/>
    <w:rsid w:val="0074607B"/>
    <w:rsid w:val="007462DA"/>
    <w:rsid w:val="007463FE"/>
    <w:rsid w:val="00746428"/>
    <w:rsid w:val="0074660B"/>
    <w:rsid w:val="0074695B"/>
    <w:rsid w:val="00746BC0"/>
    <w:rsid w:val="00746C75"/>
    <w:rsid w:val="00746DF8"/>
    <w:rsid w:val="00746FA9"/>
    <w:rsid w:val="00747015"/>
    <w:rsid w:val="0074731B"/>
    <w:rsid w:val="0074772C"/>
    <w:rsid w:val="0074776E"/>
    <w:rsid w:val="0074792A"/>
    <w:rsid w:val="00747B9D"/>
    <w:rsid w:val="00747C87"/>
    <w:rsid w:val="007501C5"/>
    <w:rsid w:val="00750834"/>
    <w:rsid w:val="007508DD"/>
    <w:rsid w:val="00750E9A"/>
    <w:rsid w:val="00750F92"/>
    <w:rsid w:val="007510B4"/>
    <w:rsid w:val="00751268"/>
    <w:rsid w:val="007515C8"/>
    <w:rsid w:val="00751711"/>
    <w:rsid w:val="00751813"/>
    <w:rsid w:val="0075198B"/>
    <w:rsid w:val="00751BC7"/>
    <w:rsid w:val="00751C28"/>
    <w:rsid w:val="00751D75"/>
    <w:rsid w:val="00751EE7"/>
    <w:rsid w:val="00751FD5"/>
    <w:rsid w:val="00752142"/>
    <w:rsid w:val="0075220C"/>
    <w:rsid w:val="007522CA"/>
    <w:rsid w:val="007523C3"/>
    <w:rsid w:val="007523F9"/>
    <w:rsid w:val="00752470"/>
    <w:rsid w:val="00752528"/>
    <w:rsid w:val="00752656"/>
    <w:rsid w:val="00752712"/>
    <w:rsid w:val="00752728"/>
    <w:rsid w:val="00752765"/>
    <w:rsid w:val="00752AA8"/>
    <w:rsid w:val="00752F92"/>
    <w:rsid w:val="0075302C"/>
    <w:rsid w:val="0075357E"/>
    <w:rsid w:val="0075376F"/>
    <w:rsid w:val="007537A4"/>
    <w:rsid w:val="007538C5"/>
    <w:rsid w:val="00753B29"/>
    <w:rsid w:val="00753CBB"/>
    <w:rsid w:val="00753F2C"/>
    <w:rsid w:val="0075402A"/>
    <w:rsid w:val="00754454"/>
    <w:rsid w:val="0075468A"/>
    <w:rsid w:val="00754797"/>
    <w:rsid w:val="007549E0"/>
    <w:rsid w:val="00754CD3"/>
    <w:rsid w:val="00755314"/>
    <w:rsid w:val="0075546F"/>
    <w:rsid w:val="007554E8"/>
    <w:rsid w:val="00755AF6"/>
    <w:rsid w:val="00755C04"/>
    <w:rsid w:val="00755CA3"/>
    <w:rsid w:val="00755E6F"/>
    <w:rsid w:val="00755E8D"/>
    <w:rsid w:val="00755EBA"/>
    <w:rsid w:val="00755F4E"/>
    <w:rsid w:val="0075631D"/>
    <w:rsid w:val="00756797"/>
    <w:rsid w:val="007569EF"/>
    <w:rsid w:val="00756A8D"/>
    <w:rsid w:val="00756AC1"/>
    <w:rsid w:val="00756F4D"/>
    <w:rsid w:val="0075706D"/>
    <w:rsid w:val="007571A9"/>
    <w:rsid w:val="00757360"/>
    <w:rsid w:val="007573E8"/>
    <w:rsid w:val="0075760E"/>
    <w:rsid w:val="00757782"/>
    <w:rsid w:val="007579CB"/>
    <w:rsid w:val="00757CD2"/>
    <w:rsid w:val="00757E2D"/>
    <w:rsid w:val="00757FDC"/>
    <w:rsid w:val="007600EC"/>
    <w:rsid w:val="007602FD"/>
    <w:rsid w:val="007604F5"/>
    <w:rsid w:val="00760813"/>
    <w:rsid w:val="00760824"/>
    <w:rsid w:val="00760862"/>
    <w:rsid w:val="00760C4E"/>
    <w:rsid w:val="00760F9E"/>
    <w:rsid w:val="00761356"/>
    <w:rsid w:val="007616E6"/>
    <w:rsid w:val="00761A16"/>
    <w:rsid w:val="00762069"/>
    <w:rsid w:val="007620B8"/>
    <w:rsid w:val="00762325"/>
    <w:rsid w:val="00762621"/>
    <w:rsid w:val="00762732"/>
    <w:rsid w:val="0076278C"/>
    <w:rsid w:val="007627BE"/>
    <w:rsid w:val="0076284E"/>
    <w:rsid w:val="00762865"/>
    <w:rsid w:val="0076298F"/>
    <w:rsid w:val="00762B1E"/>
    <w:rsid w:val="00762EF4"/>
    <w:rsid w:val="007631E9"/>
    <w:rsid w:val="00763203"/>
    <w:rsid w:val="00763702"/>
    <w:rsid w:val="00764038"/>
    <w:rsid w:val="00764229"/>
    <w:rsid w:val="007644BC"/>
    <w:rsid w:val="00764518"/>
    <w:rsid w:val="0076466E"/>
    <w:rsid w:val="00764728"/>
    <w:rsid w:val="00764A4C"/>
    <w:rsid w:val="00764EF4"/>
    <w:rsid w:val="00764F03"/>
    <w:rsid w:val="00764F15"/>
    <w:rsid w:val="007650BD"/>
    <w:rsid w:val="007651F0"/>
    <w:rsid w:val="007652B0"/>
    <w:rsid w:val="0076542D"/>
    <w:rsid w:val="007654BC"/>
    <w:rsid w:val="0076559D"/>
    <w:rsid w:val="007655A4"/>
    <w:rsid w:val="0076564C"/>
    <w:rsid w:val="00765731"/>
    <w:rsid w:val="00765B1A"/>
    <w:rsid w:val="00765DC1"/>
    <w:rsid w:val="00766035"/>
    <w:rsid w:val="00766727"/>
    <w:rsid w:val="007668F6"/>
    <w:rsid w:val="00766934"/>
    <w:rsid w:val="00766940"/>
    <w:rsid w:val="0076697F"/>
    <w:rsid w:val="00766C44"/>
    <w:rsid w:val="00766E37"/>
    <w:rsid w:val="0076739E"/>
    <w:rsid w:val="0076744B"/>
    <w:rsid w:val="007706E4"/>
    <w:rsid w:val="00770722"/>
    <w:rsid w:val="0077075C"/>
    <w:rsid w:val="00770CFA"/>
    <w:rsid w:val="0077106F"/>
    <w:rsid w:val="0077132A"/>
    <w:rsid w:val="007716A3"/>
    <w:rsid w:val="00771D90"/>
    <w:rsid w:val="00771F39"/>
    <w:rsid w:val="0077204C"/>
    <w:rsid w:val="007721F5"/>
    <w:rsid w:val="00772307"/>
    <w:rsid w:val="0077287E"/>
    <w:rsid w:val="00772935"/>
    <w:rsid w:val="00772A32"/>
    <w:rsid w:val="00773077"/>
    <w:rsid w:val="00773314"/>
    <w:rsid w:val="0077366B"/>
    <w:rsid w:val="00773CEC"/>
    <w:rsid w:val="0077413E"/>
    <w:rsid w:val="007745B8"/>
    <w:rsid w:val="00774637"/>
    <w:rsid w:val="00774686"/>
    <w:rsid w:val="0077495B"/>
    <w:rsid w:val="00774C14"/>
    <w:rsid w:val="00774CA5"/>
    <w:rsid w:val="00774CD1"/>
    <w:rsid w:val="00774CD6"/>
    <w:rsid w:val="00774D34"/>
    <w:rsid w:val="00774D5E"/>
    <w:rsid w:val="00774DD1"/>
    <w:rsid w:val="00774E8C"/>
    <w:rsid w:val="00774FA3"/>
    <w:rsid w:val="00775251"/>
    <w:rsid w:val="007755D5"/>
    <w:rsid w:val="007758F3"/>
    <w:rsid w:val="00775A89"/>
    <w:rsid w:val="00775D7F"/>
    <w:rsid w:val="00776193"/>
    <w:rsid w:val="00776A29"/>
    <w:rsid w:val="00776F7F"/>
    <w:rsid w:val="007771AF"/>
    <w:rsid w:val="007771CD"/>
    <w:rsid w:val="007772EC"/>
    <w:rsid w:val="00777335"/>
    <w:rsid w:val="00777698"/>
    <w:rsid w:val="00777931"/>
    <w:rsid w:val="00777B42"/>
    <w:rsid w:val="00777EBD"/>
    <w:rsid w:val="00780124"/>
    <w:rsid w:val="00780217"/>
    <w:rsid w:val="007805B1"/>
    <w:rsid w:val="00780764"/>
    <w:rsid w:val="00780BBA"/>
    <w:rsid w:val="00780F1B"/>
    <w:rsid w:val="007812B5"/>
    <w:rsid w:val="0078167B"/>
    <w:rsid w:val="00781AB6"/>
    <w:rsid w:val="00781BCF"/>
    <w:rsid w:val="00781F6A"/>
    <w:rsid w:val="007821EB"/>
    <w:rsid w:val="00782243"/>
    <w:rsid w:val="00782252"/>
    <w:rsid w:val="007826C4"/>
    <w:rsid w:val="00782BE9"/>
    <w:rsid w:val="00782DB9"/>
    <w:rsid w:val="007830DC"/>
    <w:rsid w:val="007831ED"/>
    <w:rsid w:val="007839EE"/>
    <w:rsid w:val="007840B2"/>
    <w:rsid w:val="007843F2"/>
    <w:rsid w:val="007846FA"/>
    <w:rsid w:val="00784974"/>
    <w:rsid w:val="0078499A"/>
    <w:rsid w:val="007850E7"/>
    <w:rsid w:val="0078519A"/>
    <w:rsid w:val="00785369"/>
    <w:rsid w:val="007855CC"/>
    <w:rsid w:val="00785834"/>
    <w:rsid w:val="00785A9F"/>
    <w:rsid w:val="00785B08"/>
    <w:rsid w:val="00785D40"/>
    <w:rsid w:val="00785D8F"/>
    <w:rsid w:val="00785DDC"/>
    <w:rsid w:val="00785E8F"/>
    <w:rsid w:val="00785FAB"/>
    <w:rsid w:val="00785FDE"/>
    <w:rsid w:val="00786080"/>
    <w:rsid w:val="007861ED"/>
    <w:rsid w:val="0078661C"/>
    <w:rsid w:val="00786A94"/>
    <w:rsid w:val="00786D89"/>
    <w:rsid w:val="00786ED2"/>
    <w:rsid w:val="00787093"/>
    <w:rsid w:val="007872D1"/>
    <w:rsid w:val="007872F8"/>
    <w:rsid w:val="007874FC"/>
    <w:rsid w:val="007876B9"/>
    <w:rsid w:val="00787956"/>
    <w:rsid w:val="00787D7F"/>
    <w:rsid w:val="0079021D"/>
    <w:rsid w:val="0079051B"/>
    <w:rsid w:val="00790671"/>
    <w:rsid w:val="00790736"/>
    <w:rsid w:val="007907EF"/>
    <w:rsid w:val="00790948"/>
    <w:rsid w:val="00790957"/>
    <w:rsid w:val="00790A27"/>
    <w:rsid w:val="00790F41"/>
    <w:rsid w:val="00790FC4"/>
    <w:rsid w:val="00790FF9"/>
    <w:rsid w:val="00791021"/>
    <w:rsid w:val="0079104F"/>
    <w:rsid w:val="007910A8"/>
    <w:rsid w:val="00791664"/>
    <w:rsid w:val="0079172B"/>
    <w:rsid w:val="007917C0"/>
    <w:rsid w:val="00791B1C"/>
    <w:rsid w:val="00791B1D"/>
    <w:rsid w:val="00791D1F"/>
    <w:rsid w:val="007921B4"/>
    <w:rsid w:val="007923FF"/>
    <w:rsid w:val="007924EE"/>
    <w:rsid w:val="007925DF"/>
    <w:rsid w:val="007925F1"/>
    <w:rsid w:val="0079299D"/>
    <w:rsid w:val="00792F34"/>
    <w:rsid w:val="00792FA7"/>
    <w:rsid w:val="00793E88"/>
    <w:rsid w:val="00793F23"/>
    <w:rsid w:val="007941CC"/>
    <w:rsid w:val="00794924"/>
    <w:rsid w:val="00794A06"/>
    <w:rsid w:val="00794FE1"/>
    <w:rsid w:val="00795182"/>
    <w:rsid w:val="007955FC"/>
    <w:rsid w:val="007957B2"/>
    <w:rsid w:val="007959EA"/>
    <w:rsid w:val="00795B1C"/>
    <w:rsid w:val="0079603E"/>
    <w:rsid w:val="00796582"/>
    <w:rsid w:val="00796805"/>
    <w:rsid w:val="007968DF"/>
    <w:rsid w:val="00796940"/>
    <w:rsid w:val="00796E7E"/>
    <w:rsid w:val="00796FAB"/>
    <w:rsid w:val="007972FD"/>
    <w:rsid w:val="00797364"/>
    <w:rsid w:val="007973FB"/>
    <w:rsid w:val="00797471"/>
    <w:rsid w:val="007977E9"/>
    <w:rsid w:val="00797A6E"/>
    <w:rsid w:val="007A005D"/>
    <w:rsid w:val="007A014B"/>
    <w:rsid w:val="007A01CE"/>
    <w:rsid w:val="007A029A"/>
    <w:rsid w:val="007A061C"/>
    <w:rsid w:val="007A06C7"/>
    <w:rsid w:val="007A089B"/>
    <w:rsid w:val="007A08AA"/>
    <w:rsid w:val="007A0930"/>
    <w:rsid w:val="007A0A12"/>
    <w:rsid w:val="007A0AB8"/>
    <w:rsid w:val="007A0D68"/>
    <w:rsid w:val="007A0DEC"/>
    <w:rsid w:val="007A0F5C"/>
    <w:rsid w:val="007A0F6D"/>
    <w:rsid w:val="007A132D"/>
    <w:rsid w:val="007A1345"/>
    <w:rsid w:val="007A1426"/>
    <w:rsid w:val="007A16A2"/>
    <w:rsid w:val="007A19D1"/>
    <w:rsid w:val="007A1A30"/>
    <w:rsid w:val="007A1BD4"/>
    <w:rsid w:val="007A2234"/>
    <w:rsid w:val="007A271D"/>
    <w:rsid w:val="007A2DDB"/>
    <w:rsid w:val="007A3087"/>
    <w:rsid w:val="007A3107"/>
    <w:rsid w:val="007A3130"/>
    <w:rsid w:val="007A32FF"/>
    <w:rsid w:val="007A34F7"/>
    <w:rsid w:val="007A3579"/>
    <w:rsid w:val="007A37D8"/>
    <w:rsid w:val="007A3887"/>
    <w:rsid w:val="007A3A35"/>
    <w:rsid w:val="007A3BC9"/>
    <w:rsid w:val="007A3CFC"/>
    <w:rsid w:val="007A3F95"/>
    <w:rsid w:val="007A3FFE"/>
    <w:rsid w:val="007A45C5"/>
    <w:rsid w:val="007A4650"/>
    <w:rsid w:val="007A5F0F"/>
    <w:rsid w:val="007A5F63"/>
    <w:rsid w:val="007A615D"/>
    <w:rsid w:val="007A633B"/>
    <w:rsid w:val="007A6657"/>
    <w:rsid w:val="007A680A"/>
    <w:rsid w:val="007A6BE7"/>
    <w:rsid w:val="007A6CCC"/>
    <w:rsid w:val="007A6DD0"/>
    <w:rsid w:val="007A70BA"/>
    <w:rsid w:val="007A71A1"/>
    <w:rsid w:val="007A75DD"/>
    <w:rsid w:val="007A76F4"/>
    <w:rsid w:val="007A79C8"/>
    <w:rsid w:val="007A7B74"/>
    <w:rsid w:val="007A7BFB"/>
    <w:rsid w:val="007A7E90"/>
    <w:rsid w:val="007A7EC8"/>
    <w:rsid w:val="007B0357"/>
    <w:rsid w:val="007B0559"/>
    <w:rsid w:val="007B0B3D"/>
    <w:rsid w:val="007B0D68"/>
    <w:rsid w:val="007B1482"/>
    <w:rsid w:val="007B1799"/>
    <w:rsid w:val="007B1BA8"/>
    <w:rsid w:val="007B1E36"/>
    <w:rsid w:val="007B201C"/>
    <w:rsid w:val="007B2351"/>
    <w:rsid w:val="007B251D"/>
    <w:rsid w:val="007B2650"/>
    <w:rsid w:val="007B26D8"/>
    <w:rsid w:val="007B27AD"/>
    <w:rsid w:val="007B28F6"/>
    <w:rsid w:val="007B292E"/>
    <w:rsid w:val="007B2CD4"/>
    <w:rsid w:val="007B2CE8"/>
    <w:rsid w:val="007B3053"/>
    <w:rsid w:val="007B325C"/>
    <w:rsid w:val="007B32C6"/>
    <w:rsid w:val="007B34BB"/>
    <w:rsid w:val="007B3533"/>
    <w:rsid w:val="007B3574"/>
    <w:rsid w:val="007B3A89"/>
    <w:rsid w:val="007B3C7C"/>
    <w:rsid w:val="007B415F"/>
    <w:rsid w:val="007B42E2"/>
    <w:rsid w:val="007B4755"/>
    <w:rsid w:val="007B4758"/>
    <w:rsid w:val="007B47A7"/>
    <w:rsid w:val="007B47E6"/>
    <w:rsid w:val="007B4F58"/>
    <w:rsid w:val="007B4FEE"/>
    <w:rsid w:val="007B526A"/>
    <w:rsid w:val="007B528D"/>
    <w:rsid w:val="007B52B6"/>
    <w:rsid w:val="007B583F"/>
    <w:rsid w:val="007B5E00"/>
    <w:rsid w:val="007B5EC3"/>
    <w:rsid w:val="007B6265"/>
    <w:rsid w:val="007B6324"/>
    <w:rsid w:val="007B63CA"/>
    <w:rsid w:val="007B65CA"/>
    <w:rsid w:val="007B6D07"/>
    <w:rsid w:val="007B6E74"/>
    <w:rsid w:val="007B6FA5"/>
    <w:rsid w:val="007B7121"/>
    <w:rsid w:val="007B763D"/>
    <w:rsid w:val="007B77D1"/>
    <w:rsid w:val="007B7953"/>
    <w:rsid w:val="007B7963"/>
    <w:rsid w:val="007C07C7"/>
    <w:rsid w:val="007C09C2"/>
    <w:rsid w:val="007C0C4A"/>
    <w:rsid w:val="007C0CAB"/>
    <w:rsid w:val="007C0E91"/>
    <w:rsid w:val="007C12CC"/>
    <w:rsid w:val="007C1378"/>
    <w:rsid w:val="007C161F"/>
    <w:rsid w:val="007C16BD"/>
    <w:rsid w:val="007C17CF"/>
    <w:rsid w:val="007C1AF2"/>
    <w:rsid w:val="007C1CD9"/>
    <w:rsid w:val="007C1CFE"/>
    <w:rsid w:val="007C1E05"/>
    <w:rsid w:val="007C208A"/>
    <w:rsid w:val="007C210D"/>
    <w:rsid w:val="007C249D"/>
    <w:rsid w:val="007C26CB"/>
    <w:rsid w:val="007C2BC4"/>
    <w:rsid w:val="007C31CB"/>
    <w:rsid w:val="007C31D9"/>
    <w:rsid w:val="007C31DF"/>
    <w:rsid w:val="007C32EF"/>
    <w:rsid w:val="007C353D"/>
    <w:rsid w:val="007C361D"/>
    <w:rsid w:val="007C3708"/>
    <w:rsid w:val="007C385F"/>
    <w:rsid w:val="007C3C64"/>
    <w:rsid w:val="007C3D48"/>
    <w:rsid w:val="007C426E"/>
    <w:rsid w:val="007C4579"/>
    <w:rsid w:val="007C4B84"/>
    <w:rsid w:val="007C4E22"/>
    <w:rsid w:val="007C4EB2"/>
    <w:rsid w:val="007C54C0"/>
    <w:rsid w:val="007C5C7B"/>
    <w:rsid w:val="007C60DF"/>
    <w:rsid w:val="007C6270"/>
    <w:rsid w:val="007C62CA"/>
    <w:rsid w:val="007C69B5"/>
    <w:rsid w:val="007C6AB1"/>
    <w:rsid w:val="007C6B9C"/>
    <w:rsid w:val="007C6C9A"/>
    <w:rsid w:val="007C703A"/>
    <w:rsid w:val="007C70FF"/>
    <w:rsid w:val="007C76CE"/>
    <w:rsid w:val="007C76E8"/>
    <w:rsid w:val="007C7720"/>
    <w:rsid w:val="007C7939"/>
    <w:rsid w:val="007C7B33"/>
    <w:rsid w:val="007C7C25"/>
    <w:rsid w:val="007C7E5B"/>
    <w:rsid w:val="007D004F"/>
    <w:rsid w:val="007D035F"/>
    <w:rsid w:val="007D04C6"/>
    <w:rsid w:val="007D064C"/>
    <w:rsid w:val="007D06B2"/>
    <w:rsid w:val="007D06F6"/>
    <w:rsid w:val="007D0721"/>
    <w:rsid w:val="007D0B38"/>
    <w:rsid w:val="007D0C46"/>
    <w:rsid w:val="007D0C7E"/>
    <w:rsid w:val="007D0CC1"/>
    <w:rsid w:val="007D133D"/>
    <w:rsid w:val="007D1537"/>
    <w:rsid w:val="007D15CF"/>
    <w:rsid w:val="007D1A08"/>
    <w:rsid w:val="007D1FAF"/>
    <w:rsid w:val="007D2007"/>
    <w:rsid w:val="007D2245"/>
    <w:rsid w:val="007D28E3"/>
    <w:rsid w:val="007D2929"/>
    <w:rsid w:val="007D2CC1"/>
    <w:rsid w:val="007D2CFE"/>
    <w:rsid w:val="007D2D58"/>
    <w:rsid w:val="007D2D68"/>
    <w:rsid w:val="007D3083"/>
    <w:rsid w:val="007D33A1"/>
    <w:rsid w:val="007D33CF"/>
    <w:rsid w:val="007D3864"/>
    <w:rsid w:val="007D39B1"/>
    <w:rsid w:val="007D3B18"/>
    <w:rsid w:val="007D3BA3"/>
    <w:rsid w:val="007D3CB2"/>
    <w:rsid w:val="007D3F68"/>
    <w:rsid w:val="007D4616"/>
    <w:rsid w:val="007D4CE5"/>
    <w:rsid w:val="007D4DF2"/>
    <w:rsid w:val="007D4FEE"/>
    <w:rsid w:val="007D51F6"/>
    <w:rsid w:val="007D5205"/>
    <w:rsid w:val="007D5440"/>
    <w:rsid w:val="007D547D"/>
    <w:rsid w:val="007D557C"/>
    <w:rsid w:val="007D5659"/>
    <w:rsid w:val="007D5735"/>
    <w:rsid w:val="007D5D5D"/>
    <w:rsid w:val="007D6099"/>
    <w:rsid w:val="007D649B"/>
    <w:rsid w:val="007D669A"/>
    <w:rsid w:val="007D68E2"/>
    <w:rsid w:val="007D6943"/>
    <w:rsid w:val="007D69EB"/>
    <w:rsid w:val="007D6F83"/>
    <w:rsid w:val="007D737F"/>
    <w:rsid w:val="007D79ED"/>
    <w:rsid w:val="007D7A65"/>
    <w:rsid w:val="007E01B4"/>
    <w:rsid w:val="007E025D"/>
    <w:rsid w:val="007E0286"/>
    <w:rsid w:val="007E04B5"/>
    <w:rsid w:val="007E050F"/>
    <w:rsid w:val="007E0F31"/>
    <w:rsid w:val="007E128F"/>
    <w:rsid w:val="007E19C3"/>
    <w:rsid w:val="007E1BE3"/>
    <w:rsid w:val="007E256B"/>
    <w:rsid w:val="007E25CD"/>
    <w:rsid w:val="007E284D"/>
    <w:rsid w:val="007E2BE5"/>
    <w:rsid w:val="007E2D3B"/>
    <w:rsid w:val="007E2DF0"/>
    <w:rsid w:val="007E30A8"/>
    <w:rsid w:val="007E310A"/>
    <w:rsid w:val="007E3199"/>
    <w:rsid w:val="007E3236"/>
    <w:rsid w:val="007E3C41"/>
    <w:rsid w:val="007E3EFF"/>
    <w:rsid w:val="007E4887"/>
    <w:rsid w:val="007E4B03"/>
    <w:rsid w:val="007E51D5"/>
    <w:rsid w:val="007E51D8"/>
    <w:rsid w:val="007E5338"/>
    <w:rsid w:val="007E5723"/>
    <w:rsid w:val="007E5B5D"/>
    <w:rsid w:val="007E5C49"/>
    <w:rsid w:val="007E5C64"/>
    <w:rsid w:val="007E5E81"/>
    <w:rsid w:val="007E5F30"/>
    <w:rsid w:val="007E61B6"/>
    <w:rsid w:val="007E61EF"/>
    <w:rsid w:val="007E6726"/>
    <w:rsid w:val="007E67D2"/>
    <w:rsid w:val="007E6808"/>
    <w:rsid w:val="007E69E1"/>
    <w:rsid w:val="007E6F0B"/>
    <w:rsid w:val="007E72B0"/>
    <w:rsid w:val="007E78D8"/>
    <w:rsid w:val="007E79B2"/>
    <w:rsid w:val="007E79BC"/>
    <w:rsid w:val="007E7A5D"/>
    <w:rsid w:val="007E7EF3"/>
    <w:rsid w:val="007F055E"/>
    <w:rsid w:val="007F0679"/>
    <w:rsid w:val="007F09F8"/>
    <w:rsid w:val="007F0BD7"/>
    <w:rsid w:val="007F1017"/>
    <w:rsid w:val="007F1286"/>
    <w:rsid w:val="007F149D"/>
    <w:rsid w:val="007F1B4F"/>
    <w:rsid w:val="007F1CDA"/>
    <w:rsid w:val="007F2369"/>
    <w:rsid w:val="007F23DB"/>
    <w:rsid w:val="007F24C9"/>
    <w:rsid w:val="007F2989"/>
    <w:rsid w:val="007F2A05"/>
    <w:rsid w:val="007F2A96"/>
    <w:rsid w:val="007F2ABC"/>
    <w:rsid w:val="007F2F9E"/>
    <w:rsid w:val="007F374C"/>
    <w:rsid w:val="007F383F"/>
    <w:rsid w:val="007F3C91"/>
    <w:rsid w:val="007F4A3F"/>
    <w:rsid w:val="007F4A61"/>
    <w:rsid w:val="007F4D23"/>
    <w:rsid w:val="007F521A"/>
    <w:rsid w:val="007F5255"/>
    <w:rsid w:val="007F56CC"/>
    <w:rsid w:val="007F57C1"/>
    <w:rsid w:val="007F5E93"/>
    <w:rsid w:val="007F5F2A"/>
    <w:rsid w:val="007F61C2"/>
    <w:rsid w:val="007F631A"/>
    <w:rsid w:val="007F6A83"/>
    <w:rsid w:val="007F7866"/>
    <w:rsid w:val="007F7EC8"/>
    <w:rsid w:val="007F7F9B"/>
    <w:rsid w:val="008002CC"/>
    <w:rsid w:val="00800303"/>
    <w:rsid w:val="00800485"/>
    <w:rsid w:val="0080058D"/>
    <w:rsid w:val="008007F5"/>
    <w:rsid w:val="008009B1"/>
    <w:rsid w:val="00800A8E"/>
    <w:rsid w:val="00800D8A"/>
    <w:rsid w:val="0080104D"/>
    <w:rsid w:val="0080114C"/>
    <w:rsid w:val="008014F7"/>
    <w:rsid w:val="00801577"/>
    <w:rsid w:val="00801E29"/>
    <w:rsid w:val="00802074"/>
    <w:rsid w:val="00802359"/>
    <w:rsid w:val="008024D0"/>
    <w:rsid w:val="008028FA"/>
    <w:rsid w:val="00802FD2"/>
    <w:rsid w:val="008037C2"/>
    <w:rsid w:val="008044EA"/>
    <w:rsid w:val="00804844"/>
    <w:rsid w:val="00804AF9"/>
    <w:rsid w:val="008050B0"/>
    <w:rsid w:val="00805142"/>
    <w:rsid w:val="00805200"/>
    <w:rsid w:val="008054A1"/>
    <w:rsid w:val="0080566B"/>
    <w:rsid w:val="0080595E"/>
    <w:rsid w:val="008059A6"/>
    <w:rsid w:val="00805FCE"/>
    <w:rsid w:val="00806017"/>
    <w:rsid w:val="0080651A"/>
    <w:rsid w:val="008068FF"/>
    <w:rsid w:val="0080692C"/>
    <w:rsid w:val="00806CF5"/>
    <w:rsid w:val="00806D2F"/>
    <w:rsid w:val="00806D52"/>
    <w:rsid w:val="008072C7"/>
    <w:rsid w:val="008074E2"/>
    <w:rsid w:val="008075A8"/>
    <w:rsid w:val="008077BC"/>
    <w:rsid w:val="008078EC"/>
    <w:rsid w:val="00807A8B"/>
    <w:rsid w:val="00807D4F"/>
    <w:rsid w:val="008100B1"/>
    <w:rsid w:val="008100D7"/>
    <w:rsid w:val="00810608"/>
    <w:rsid w:val="008108E4"/>
    <w:rsid w:val="00810E88"/>
    <w:rsid w:val="00811383"/>
    <w:rsid w:val="00812149"/>
    <w:rsid w:val="00812173"/>
    <w:rsid w:val="008121AE"/>
    <w:rsid w:val="00812358"/>
    <w:rsid w:val="008128C5"/>
    <w:rsid w:val="0081293B"/>
    <w:rsid w:val="00812B49"/>
    <w:rsid w:val="00812CAC"/>
    <w:rsid w:val="00812EAB"/>
    <w:rsid w:val="00812EE7"/>
    <w:rsid w:val="00812F29"/>
    <w:rsid w:val="00813003"/>
    <w:rsid w:val="0081338B"/>
    <w:rsid w:val="008133F2"/>
    <w:rsid w:val="00813C2A"/>
    <w:rsid w:val="00813CE8"/>
    <w:rsid w:val="00813EA8"/>
    <w:rsid w:val="00814526"/>
    <w:rsid w:val="00814B3C"/>
    <w:rsid w:val="00814C65"/>
    <w:rsid w:val="00814E51"/>
    <w:rsid w:val="00814F10"/>
    <w:rsid w:val="00814F6D"/>
    <w:rsid w:val="0081541D"/>
    <w:rsid w:val="008154FF"/>
    <w:rsid w:val="008158BC"/>
    <w:rsid w:val="00815C3F"/>
    <w:rsid w:val="00816054"/>
    <w:rsid w:val="008160B1"/>
    <w:rsid w:val="0081616D"/>
    <w:rsid w:val="008162DD"/>
    <w:rsid w:val="00816361"/>
    <w:rsid w:val="00816610"/>
    <w:rsid w:val="00816620"/>
    <w:rsid w:val="008166EF"/>
    <w:rsid w:val="0081688E"/>
    <w:rsid w:val="00816C18"/>
    <w:rsid w:val="00816FEF"/>
    <w:rsid w:val="00817057"/>
    <w:rsid w:val="00817304"/>
    <w:rsid w:val="0081735D"/>
    <w:rsid w:val="008173B3"/>
    <w:rsid w:val="00817A33"/>
    <w:rsid w:val="00817B33"/>
    <w:rsid w:val="00817BD2"/>
    <w:rsid w:val="00817E72"/>
    <w:rsid w:val="008201C0"/>
    <w:rsid w:val="00820323"/>
    <w:rsid w:val="00820582"/>
    <w:rsid w:val="00820A8C"/>
    <w:rsid w:val="00820C00"/>
    <w:rsid w:val="008212C2"/>
    <w:rsid w:val="00821462"/>
    <w:rsid w:val="0082152E"/>
    <w:rsid w:val="008215FB"/>
    <w:rsid w:val="008216FA"/>
    <w:rsid w:val="008217E7"/>
    <w:rsid w:val="00821899"/>
    <w:rsid w:val="0082195C"/>
    <w:rsid w:val="00821C0E"/>
    <w:rsid w:val="00821C68"/>
    <w:rsid w:val="00821C97"/>
    <w:rsid w:val="00821D2B"/>
    <w:rsid w:val="00821E52"/>
    <w:rsid w:val="008220CC"/>
    <w:rsid w:val="008220CE"/>
    <w:rsid w:val="008220FE"/>
    <w:rsid w:val="008224A2"/>
    <w:rsid w:val="00822602"/>
    <w:rsid w:val="008226BE"/>
    <w:rsid w:val="008228DE"/>
    <w:rsid w:val="00822FDD"/>
    <w:rsid w:val="00823067"/>
    <w:rsid w:val="008230B2"/>
    <w:rsid w:val="00823174"/>
    <w:rsid w:val="0082326A"/>
    <w:rsid w:val="008232D7"/>
    <w:rsid w:val="00823831"/>
    <w:rsid w:val="0082390F"/>
    <w:rsid w:val="008239A7"/>
    <w:rsid w:val="00823FBC"/>
    <w:rsid w:val="00823FDB"/>
    <w:rsid w:val="00823FE0"/>
    <w:rsid w:val="00824342"/>
    <w:rsid w:val="008243FB"/>
    <w:rsid w:val="00824BC2"/>
    <w:rsid w:val="00825045"/>
    <w:rsid w:val="00825751"/>
    <w:rsid w:val="008258BD"/>
    <w:rsid w:val="00825941"/>
    <w:rsid w:val="00825F27"/>
    <w:rsid w:val="00825FA5"/>
    <w:rsid w:val="00825FF4"/>
    <w:rsid w:val="00826072"/>
    <w:rsid w:val="008264EB"/>
    <w:rsid w:val="00826863"/>
    <w:rsid w:val="008268CE"/>
    <w:rsid w:val="00826A20"/>
    <w:rsid w:val="00826AE1"/>
    <w:rsid w:val="00827061"/>
    <w:rsid w:val="0082726B"/>
    <w:rsid w:val="0082792D"/>
    <w:rsid w:val="00827C20"/>
    <w:rsid w:val="00827C23"/>
    <w:rsid w:val="00830054"/>
    <w:rsid w:val="008303A4"/>
    <w:rsid w:val="0083065D"/>
    <w:rsid w:val="008308C2"/>
    <w:rsid w:val="00830B82"/>
    <w:rsid w:val="00830CB3"/>
    <w:rsid w:val="00830CDC"/>
    <w:rsid w:val="0083114C"/>
    <w:rsid w:val="00831196"/>
    <w:rsid w:val="0083128F"/>
    <w:rsid w:val="00831546"/>
    <w:rsid w:val="008315E7"/>
    <w:rsid w:val="008316AF"/>
    <w:rsid w:val="008319E4"/>
    <w:rsid w:val="008319F0"/>
    <w:rsid w:val="00831D7D"/>
    <w:rsid w:val="008324CC"/>
    <w:rsid w:val="0083273F"/>
    <w:rsid w:val="00832797"/>
    <w:rsid w:val="008329C0"/>
    <w:rsid w:val="008329F3"/>
    <w:rsid w:val="00832EA4"/>
    <w:rsid w:val="008331C7"/>
    <w:rsid w:val="0083322B"/>
    <w:rsid w:val="00833B05"/>
    <w:rsid w:val="00833BCC"/>
    <w:rsid w:val="00834739"/>
    <w:rsid w:val="0083487C"/>
    <w:rsid w:val="00835045"/>
    <w:rsid w:val="008350B1"/>
    <w:rsid w:val="008350F3"/>
    <w:rsid w:val="00835102"/>
    <w:rsid w:val="008351DF"/>
    <w:rsid w:val="00835211"/>
    <w:rsid w:val="00835465"/>
    <w:rsid w:val="008354AA"/>
    <w:rsid w:val="0083552D"/>
    <w:rsid w:val="00835590"/>
    <w:rsid w:val="00835645"/>
    <w:rsid w:val="008356BC"/>
    <w:rsid w:val="00835B93"/>
    <w:rsid w:val="00835BEC"/>
    <w:rsid w:val="00835C19"/>
    <w:rsid w:val="00835C86"/>
    <w:rsid w:val="00835CEC"/>
    <w:rsid w:val="00835E81"/>
    <w:rsid w:val="00835F84"/>
    <w:rsid w:val="0083621D"/>
    <w:rsid w:val="008362B4"/>
    <w:rsid w:val="00836461"/>
    <w:rsid w:val="0083694B"/>
    <w:rsid w:val="00836E57"/>
    <w:rsid w:val="00837383"/>
    <w:rsid w:val="0083790A"/>
    <w:rsid w:val="00837AEA"/>
    <w:rsid w:val="00837B16"/>
    <w:rsid w:val="00840563"/>
    <w:rsid w:val="00840884"/>
    <w:rsid w:val="00840BF7"/>
    <w:rsid w:val="00840CA2"/>
    <w:rsid w:val="00840F44"/>
    <w:rsid w:val="00841012"/>
    <w:rsid w:val="00841053"/>
    <w:rsid w:val="00841659"/>
    <w:rsid w:val="0084170C"/>
    <w:rsid w:val="00841D55"/>
    <w:rsid w:val="00841F0B"/>
    <w:rsid w:val="0084205C"/>
    <w:rsid w:val="0084209E"/>
    <w:rsid w:val="00842318"/>
    <w:rsid w:val="0084241B"/>
    <w:rsid w:val="00842680"/>
    <w:rsid w:val="00842751"/>
    <w:rsid w:val="00842768"/>
    <w:rsid w:val="008431B7"/>
    <w:rsid w:val="00843341"/>
    <w:rsid w:val="00843470"/>
    <w:rsid w:val="0084374F"/>
    <w:rsid w:val="00843790"/>
    <w:rsid w:val="008438A0"/>
    <w:rsid w:val="00843DEC"/>
    <w:rsid w:val="00844016"/>
    <w:rsid w:val="008441FA"/>
    <w:rsid w:val="00844296"/>
    <w:rsid w:val="0084463B"/>
    <w:rsid w:val="008449C7"/>
    <w:rsid w:val="00844A22"/>
    <w:rsid w:val="00844A25"/>
    <w:rsid w:val="00844BEE"/>
    <w:rsid w:val="008450E6"/>
    <w:rsid w:val="00845250"/>
    <w:rsid w:val="00845279"/>
    <w:rsid w:val="00845293"/>
    <w:rsid w:val="008456F2"/>
    <w:rsid w:val="0084595E"/>
    <w:rsid w:val="00845A58"/>
    <w:rsid w:val="008460D6"/>
    <w:rsid w:val="008462BB"/>
    <w:rsid w:val="0084657D"/>
    <w:rsid w:val="00846660"/>
    <w:rsid w:val="00846B6C"/>
    <w:rsid w:val="00847035"/>
    <w:rsid w:val="0084703F"/>
    <w:rsid w:val="00847703"/>
    <w:rsid w:val="00847740"/>
    <w:rsid w:val="00847DF5"/>
    <w:rsid w:val="00850314"/>
    <w:rsid w:val="0085034B"/>
    <w:rsid w:val="0085086B"/>
    <w:rsid w:val="00850885"/>
    <w:rsid w:val="008508BF"/>
    <w:rsid w:val="00850E41"/>
    <w:rsid w:val="00851012"/>
    <w:rsid w:val="008512E8"/>
    <w:rsid w:val="008517FE"/>
    <w:rsid w:val="00851801"/>
    <w:rsid w:val="00851802"/>
    <w:rsid w:val="00852637"/>
    <w:rsid w:val="008528E6"/>
    <w:rsid w:val="008528EB"/>
    <w:rsid w:val="00852B2D"/>
    <w:rsid w:val="00852BFD"/>
    <w:rsid w:val="00852C84"/>
    <w:rsid w:val="00852CF0"/>
    <w:rsid w:val="00852E60"/>
    <w:rsid w:val="0085309D"/>
    <w:rsid w:val="008530C2"/>
    <w:rsid w:val="0085316C"/>
    <w:rsid w:val="00853177"/>
    <w:rsid w:val="008534AA"/>
    <w:rsid w:val="00853805"/>
    <w:rsid w:val="00853A41"/>
    <w:rsid w:val="00853CDD"/>
    <w:rsid w:val="00853D1F"/>
    <w:rsid w:val="0085420E"/>
    <w:rsid w:val="00854211"/>
    <w:rsid w:val="0085464F"/>
    <w:rsid w:val="008547EA"/>
    <w:rsid w:val="00854817"/>
    <w:rsid w:val="00855849"/>
    <w:rsid w:val="008559EB"/>
    <w:rsid w:val="00855AE5"/>
    <w:rsid w:val="00855DD2"/>
    <w:rsid w:val="00855E0E"/>
    <w:rsid w:val="00855EBB"/>
    <w:rsid w:val="00856022"/>
    <w:rsid w:val="00856893"/>
    <w:rsid w:val="00856897"/>
    <w:rsid w:val="00856930"/>
    <w:rsid w:val="00856E9A"/>
    <w:rsid w:val="00856F1D"/>
    <w:rsid w:val="0085711E"/>
    <w:rsid w:val="008573B9"/>
    <w:rsid w:val="0085778C"/>
    <w:rsid w:val="008579CB"/>
    <w:rsid w:val="00857CAD"/>
    <w:rsid w:val="00857D2E"/>
    <w:rsid w:val="00857D71"/>
    <w:rsid w:val="00857E09"/>
    <w:rsid w:val="00857FF8"/>
    <w:rsid w:val="0086020B"/>
    <w:rsid w:val="0086049A"/>
    <w:rsid w:val="0086065E"/>
    <w:rsid w:val="0086075D"/>
    <w:rsid w:val="0086076F"/>
    <w:rsid w:val="00860B34"/>
    <w:rsid w:val="00860D8E"/>
    <w:rsid w:val="00861055"/>
    <w:rsid w:val="008611E2"/>
    <w:rsid w:val="00861613"/>
    <w:rsid w:val="0086174F"/>
    <w:rsid w:val="00861CAC"/>
    <w:rsid w:val="00862241"/>
    <w:rsid w:val="008622B4"/>
    <w:rsid w:val="00862502"/>
    <w:rsid w:val="00862644"/>
    <w:rsid w:val="00862645"/>
    <w:rsid w:val="00862CC1"/>
    <w:rsid w:val="00862EF6"/>
    <w:rsid w:val="008631C7"/>
    <w:rsid w:val="008631F2"/>
    <w:rsid w:val="00863217"/>
    <w:rsid w:val="00864128"/>
    <w:rsid w:val="008641DB"/>
    <w:rsid w:val="008641FE"/>
    <w:rsid w:val="00864293"/>
    <w:rsid w:val="008642A4"/>
    <w:rsid w:val="008642A7"/>
    <w:rsid w:val="00864397"/>
    <w:rsid w:val="008648D6"/>
    <w:rsid w:val="00864B66"/>
    <w:rsid w:val="00864EB6"/>
    <w:rsid w:val="00865234"/>
    <w:rsid w:val="0086534C"/>
    <w:rsid w:val="00865626"/>
    <w:rsid w:val="00865665"/>
    <w:rsid w:val="00865798"/>
    <w:rsid w:val="00865964"/>
    <w:rsid w:val="008660D4"/>
    <w:rsid w:val="00866CD9"/>
    <w:rsid w:val="00866D73"/>
    <w:rsid w:val="00866DB8"/>
    <w:rsid w:val="00866E0F"/>
    <w:rsid w:val="00866FFD"/>
    <w:rsid w:val="00867112"/>
    <w:rsid w:val="008671A9"/>
    <w:rsid w:val="008674BD"/>
    <w:rsid w:val="008678B1"/>
    <w:rsid w:val="00867CC8"/>
    <w:rsid w:val="00867CD0"/>
    <w:rsid w:val="00867D73"/>
    <w:rsid w:val="008701C9"/>
    <w:rsid w:val="0087091A"/>
    <w:rsid w:val="00870BA6"/>
    <w:rsid w:val="00870F5F"/>
    <w:rsid w:val="00871448"/>
    <w:rsid w:val="008717C1"/>
    <w:rsid w:val="00871D00"/>
    <w:rsid w:val="00871E15"/>
    <w:rsid w:val="00871F05"/>
    <w:rsid w:val="00871FA9"/>
    <w:rsid w:val="008725CB"/>
    <w:rsid w:val="008727B1"/>
    <w:rsid w:val="008728E9"/>
    <w:rsid w:val="00872AE5"/>
    <w:rsid w:val="00872EE3"/>
    <w:rsid w:val="00873002"/>
    <w:rsid w:val="00873393"/>
    <w:rsid w:val="00873422"/>
    <w:rsid w:val="00873916"/>
    <w:rsid w:val="00873B9A"/>
    <w:rsid w:val="00873D68"/>
    <w:rsid w:val="00874013"/>
    <w:rsid w:val="0087404B"/>
    <w:rsid w:val="00874589"/>
    <w:rsid w:val="008745EC"/>
    <w:rsid w:val="00874630"/>
    <w:rsid w:val="00874658"/>
    <w:rsid w:val="008748F2"/>
    <w:rsid w:val="00874B32"/>
    <w:rsid w:val="00875014"/>
    <w:rsid w:val="008752DB"/>
    <w:rsid w:val="008753DF"/>
    <w:rsid w:val="00875D23"/>
    <w:rsid w:val="008761BA"/>
    <w:rsid w:val="0087626E"/>
    <w:rsid w:val="008762F4"/>
    <w:rsid w:val="008765B3"/>
    <w:rsid w:val="00876A16"/>
    <w:rsid w:val="00876A9F"/>
    <w:rsid w:val="00876B23"/>
    <w:rsid w:val="00876BFB"/>
    <w:rsid w:val="00877129"/>
    <w:rsid w:val="00877144"/>
    <w:rsid w:val="0087775B"/>
    <w:rsid w:val="00877A8A"/>
    <w:rsid w:val="00877DDE"/>
    <w:rsid w:val="00877FF8"/>
    <w:rsid w:val="00880227"/>
    <w:rsid w:val="00880897"/>
    <w:rsid w:val="00880DAE"/>
    <w:rsid w:val="00880F49"/>
    <w:rsid w:val="00881503"/>
    <w:rsid w:val="008816E2"/>
    <w:rsid w:val="00881B1D"/>
    <w:rsid w:val="00881C8A"/>
    <w:rsid w:val="00881E2D"/>
    <w:rsid w:val="0088226D"/>
    <w:rsid w:val="008827F3"/>
    <w:rsid w:val="0088286F"/>
    <w:rsid w:val="00882874"/>
    <w:rsid w:val="00882AB9"/>
    <w:rsid w:val="00882CB0"/>
    <w:rsid w:val="00882D54"/>
    <w:rsid w:val="00882DA9"/>
    <w:rsid w:val="00882E3C"/>
    <w:rsid w:val="00882E53"/>
    <w:rsid w:val="0088308A"/>
    <w:rsid w:val="00883524"/>
    <w:rsid w:val="00883787"/>
    <w:rsid w:val="00883A79"/>
    <w:rsid w:val="00884088"/>
    <w:rsid w:val="00884187"/>
    <w:rsid w:val="00884383"/>
    <w:rsid w:val="00884452"/>
    <w:rsid w:val="008845D9"/>
    <w:rsid w:val="008847A9"/>
    <w:rsid w:val="00884CCA"/>
    <w:rsid w:val="00884DB4"/>
    <w:rsid w:val="00884FEE"/>
    <w:rsid w:val="008854E2"/>
    <w:rsid w:val="008855E4"/>
    <w:rsid w:val="00885DA6"/>
    <w:rsid w:val="00885EAD"/>
    <w:rsid w:val="008866B5"/>
    <w:rsid w:val="0088695E"/>
    <w:rsid w:val="00886B1B"/>
    <w:rsid w:val="00886CD2"/>
    <w:rsid w:val="00886D6D"/>
    <w:rsid w:val="00887217"/>
    <w:rsid w:val="008879A8"/>
    <w:rsid w:val="00887CF7"/>
    <w:rsid w:val="00887FFB"/>
    <w:rsid w:val="00890137"/>
    <w:rsid w:val="00890140"/>
    <w:rsid w:val="00890269"/>
    <w:rsid w:val="00890386"/>
    <w:rsid w:val="0089042A"/>
    <w:rsid w:val="00890536"/>
    <w:rsid w:val="00890584"/>
    <w:rsid w:val="008906A8"/>
    <w:rsid w:val="008908E2"/>
    <w:rsid w:val="00890917"/>
    <w:rsid w:val="008910F3"/>
    <w:rsid w:val="008911E4"/>
    <w:rsid w:val="00891472"/>
    <w:rsid w:val="00891976"/>
    <w:rsid w:val="00891ADF"/>
    <w:rsid w:val="00891CBD"/>
    <w:rsid w:val="00891E6F"/>
    <w:rsid w:val="00892033"/>
    <w:rsid w:val="008921D6"/>
    <w:rsid w:val="0089275D"/>
    <w:rsid w:val="008928F2"/>
    <w:rsid w:val="00892933"/>
    <w:rsid w:val="0089299F"/>
    <w:rsid w:val="008929E4"/>
    <w:rsid w:val="00892A36"/>
    <w:rsid w:val="00892B2F"/>
    <w:rsid w:val="00893239"/>
    <w:rsid w:val="00893464"/>
    <w:rsid w:val="0089356F"/>
    <w:rsid w:val="008936E0"/>
    <w:rsid w:val="0089373F"/>
    <w:rsid w:val="00893A2D"/>
    <w:rsid w:val="00894165"/>
    <w:rsid w:val="0089420E"/>
    <w:rsid w:val="00894489"/>
    <w:rsid w:val="008945E9"/>
    <w:rsid w:val="0089477C"/>
    <w:rsid w:val="00894CD6"/>
    <w:rsid w:val="00894D6C"/>
    <w:rsid w:val="00894E6E"/>
    <w:rsid w:val="00894E9E"/>
    <w:rsid w:val="0089589A"/>
    <w:rsid w:val="00895A09"/>
    <w:rsid w:val="00895C06"/>
    <w:rsid w:val="00896008"/>
    <w:rsid w:val="00896185"/>
    <w:rsid w:val="008963A5"/>
    <w:rsid w:val="008963D0"/>
    <w:rsid w:val="00896897"/>
    <w:rsid w:val="00896C41"/>
    <w:rsid w:val="00896D5D"/>
    <w:rsid w:val="00896F9D"/>
    <w:rsid w:val="008970E2"/>
    <w:rsid w:val="008971D5"/>
    <w:rsid w:val="00897287"/>
    <w:rsid w:val="00897499"/>
    <w:rsid w:val="00897660"/>
    <w:rsid w:val="00897767"/>
    <w:rsid w:val="00897B31"/>
    <w:rsid w:val="00897D56"/>
    <w:rsid w:val="008A0092"/>
    <w:rsid w:val="008A0270"/>
    <w:rsid w:val="008A088D"/>
    <w:rsid w:val="008A0915"/>
    <w:rsid w:val="008A134A"/>
    <w:rsid w:val="008A139B"/>
    <w:rsid w:val="008A1540"/>
    <w:rsid w:val="008A1566"/>
    <w:rsid w:val="008A1F68"/>
    <w:rsid w:val="008A25CF"/>
    <w:rsid w:val="008A2972"/>
    <w:rsid w:val="008A2E5C"/>
    <w:rsid w:val="008A2F77"/>
    <w:rsid w:val="008A3010"/>
    <w:rsid w:val="008A3158"/>
    <w:rsid w:val="008A32F5"/>
    <w:rsid w:val="008A3363"/>
    <w:rsid w:val="008A3371"/>
    <w:rsid w:val="008A34A5"/>
    <w:rsid w:val="008A3C3E"/>
    <w:rsid w:val="008A3DD0"/>
    <w:rsid w:val="008A3EB3"/>
    <w:rsid w:val="008A3FE7"/>
    <w:rsid w:val="008A4053"/>
    <w:rsid w:val="008A4088"/>
    <w:rsid w:val="008A4C7F"/>
    <w:rsid w:val="008A52D3"/>
    <w:rsid w:val="008A56BD"/>
    <w:rsid w:val="008A59F2"/>
    <w:rsid w:val="008A5E9F"/>
    <w:rsid w:val="008A6292"/>
    <w:rsid w:val="008A65FB"/>
    <w:rsid w:val="008A661D"/>
    <w:rsid w:val="008A6A11"/>
    <w:rsid w:val="008A6A7D"/>
    <w:rsid w:val="008A6F18"/>
    <w:rsid w:val="008A7083"/>
    <w:rsid w:val="008A7127"/>
    <w:rsid w:val="008A740B"/>
    <w:rsid w:val="008A745F"/>
    <w:rsid w:val="008A7508"/>
    <w:rsid w:val="008A79DE"/>
    <w:rsid w:val="008B00FC"/>
    <w:rsid w:val="008B0218"/>
    <w:rsid w:val="008B07C4"/>
    <w:rsid w:val="008B0869"/>
    <w:rsid w:val="008B0A19"/>
    <w:rsid w:val="008B0AAF"/>
    <w:rsid w:val="008B0E1B"/>
    <w:rsid w:val="008B0FB8"/>
    <w:rsid w:val="008B1069"/>
    <w:rsid w:val="008B1077"/>
    <w:rsid w:val="008B1397"/>
    <w:rsid w:val="008B140F"/>
    <w:rsid w:val="008B164E"/>
    <w:rsid w:val="008B1757"/>
    <w:rsid w:val="008B1C33"/>
    <w:rsid w:val="008B1EC0"/>
    <w:rsid w:val="008B2558"/>
    <w:rsid w:val="008B2579"/>
    <w:rsid w:val="008B2666"/>
    <w:rsid w:val="008B2A7F"/>
    <w:rsid w:val="008B2F6F"/>
    <w:rsid w:val="008B2FEA"/>
    <w:rsid w:val="008B3086"/>
    <w:rsid w:val="008B30AE"/>
    <w:rsid w:val="008B3678"/>
    <w:rsid w:val="008B36CB"/>
    <w:rsid w:val="008B3739"/>
    <w:rsid w:val="008B3892"/>
    <w:rsid w:val="008B39FB"/>
    <w:rsid w:val="008B3DF8"/>
    <w:rsid w:val="008B4842"/>
    <w:rsid w:val="008B4998"/>
    <w:rsid w:val="008B4B6F"/>
    <w:rsid w:val="008B50DD"/>
    <w:rsid w:val="008B51AC"/>
    <w:rsid w:val="008B51CA"/>
    <w:rsid w:val="008B52C4"/>
    <w:rsid w:val="008B54B2"/>
    <w:rsid w:val="008B5B8C"/>
    <w:rsid w:val="008B5C68"/>
    <w:rsid w:val="008B5C87"/>
    <w:rsid w:val="008B6398"/>
    <w:rsid w:val="008B6751"/>
    <w:rsid w:val="008B675B"/>
    <w:rsid w:val="008B6A0A"/>
    <w:rsid w:val="008B6AD4"/>
    <w:rsid w:val="008B6B15"/>
    <w:rsid w:val="008B6BA9"/>
    <w:rsid w:val="008B6DA4"/>
    <w:rsid w:val="008B6F4F"/>
    <w:rsid w:val="008B7559"/>
    <w:rsid w:val="008B775F"/>
    <w:rsid w:val="008B7776"/>
    <w:rsid w:val="008B7992"/>
    <w:rsid w:val="008B7B27"/>
    <w:rsid w:val="008B7BC3"/>
    <w:rsid w:val="008B7CB6"/>
    <w:rsid w:val="008B7D7E"/>
    <w:rsid w:val="008B7EC1"/>
    <w:rsid w:val="008C0211"/>
    <w:rsid w:val="008C028B"/>
    <w:rsid w:val="008C0700"/>
    <w:rsid w:val="008C07F2"/>
    <w:rsid w:val="008C0CE7"/>
    <w:rsid w:val="008C1206"/>
    <w:rsid w:val="008C1349"/>
    <w:rsid w:val="008C14EA"/>
    <w:rsid w:val="008C17DB"/>
    <w:rsid w:val="008C198F"/>
    <w:rsid w:val="008C1C54"/>
    <w:rsid w:val="008C1D50"/>
    <w:rsid w:val="008C2183"/>
    <w:rsid w:val="008C2218"/>
    <w:rsid w:val="008C22FE"/>
    <w:rsid w:val="008C2653"/>
    <w:rsid w:val="008C2713"/>
    <w:rsid w:val="008C2969"/>
    <w:rsid w:val="008C2F61"/>
    <w:rsid w:val="008C348D"/>
    <w:rsid w:val="008C360C"/>
    <w:rsid w:val="008C3762"/>
    <w:rsid w:val="008C3878"/>
    <w:rsid w:val="008C3884"/>
    <w:rsid w:val="008C38DB"/>
    <w:rsid w:val="008C3B78"/>
    <w:rsid w:val="008C3FAB"/>
    <w:rsid w:val="008C4014"/>
    <w:rsid w:val="008C41A7"/>
    <w:rsid w:val="008C41AD"/>
    <w:rsid w:val="008C493F"/>
    <w:rsid w:val="008C4C66"/>
    <w:rsid w:val="008C4FD2"/>
    <w:rsid w:val="008C4FF4"/>
    <w:rsid w:val="008C533F"/>
    <w:rsid w:val="008C5610"/>
    <w:rsid w:val="008C5739"/>
    <w:rsid w:val="008C579B"/>
    <w:rsid w:val="008C649F"/>
    <w:rsid w:val="008C6A34"/>
    <w:rsid w:val="008C6A4F"/>
    <w:rsid w:val="008C6BDF"/>
    <w:rsid w:val="008C6C03"/>
    <w:rsid w:val="008C6E5A"/>
    <w:rsid w:val="008C6FDB"/>
    <w:rsid w:val="008C6FFF"/>
    <w:rsid w:val="008C7282"/>
    <w:rsid w:val="008C7796"/>
    <w:rsid w:val="008C7944"/>
    <w:rsid w:val="008C7ECB"/>
    <w:rsid w:val="008C7F38"/>
    <w:rsid w:val="008C7FFC"/>
    <w:rsid w:val="008D033B"/>
    <w:rsid w:val="008D0883"/>
    <w:rsid w:val="008D0E06"/>
    <w:rsid w:val="008D0E86"/>
    <w:rsid w:val="008D13E9"/>
    <w:rsid w:val="008D1449"/>
    <w:rsid w:val="008D1820"/>
    <w:rsid w:val="008D1865"/>
    <w:rsid w:val="008D1E55"/>
    <w:rsid w:val="008D26A2"/>
    <w:rsid w:val="008D2D8A"/>
    <w:rsid w:val="008D2EF8"/>
    <w:rsid w:val="008D3315"/>
    <w:rsid w:val="008D37DE"/>
    <w:rsid w:val="008D39BE"/>
    <w:rsid w:val="008D3B58"/>
    <w:rsid w:val="008D3B86"/>
    <w:rsid w:val="008D43FD"/>
    <w:rsid w:val="008D44C7"/>
    <w:rsid w:val="008D4755"/>
    <w:rsid w:val="008D4C3D"/>
    <w:rsid w:val="008D4FF2"/>
    <w:rsid w:val="008D5225"/>
    <w:rsid w:val="008D5404"/>
    <w:rsid w:val="008D54F3"/>
    <w:rsid w:val="008D5652"/>
    <w:rsid w:val="008D5797"/>
    <w:rsid w:val="008D5A92"/>
    <w:rsid w:val="008D5E44"/>
    <w:rsid w:val="008D6624"/>
    <w:rsid w:val="008D6925"/>
    <w:rsid w:val="008D6A88"/>
    <w:rsid w:val="008D6B04"/>
    <w:rsid w:val="008D6BCC"/>
    <w:rsid w:val="008D6D23"/>
    <w:rsid w:val="008D720A"/>
    <w:rsid w:val="008D743C"/>
    <w:rsid w:val="008D74AE"/>
    <w:rsid w:val="008D75AC"/>
    <w:rsid w:val="008D7E73"/>
    <w:rsid w:val="008E0066"/>
    <w:rsid w:val="008E00F0"/>
    <w:rsid w:val="008E015A"/>
    <w:rsid w:val="008E02D0"/>
    <w:rsid w:val="008E09AB"/>
    <w:rsid w:val="008E0D3C"/>
    <w:rsid w:val="008E0E7B"/>
    <w:rsid w:val="008E16BD"/>
    <w:rsid w:val="008E1811"/>
    <w:rsid w:val="008E1B9E"/>
    <w:rsid w:val="008E1F0F"/>
    <w:rsid w:val="008E2424"/>
    <w:rsid w:val="008E27FB"/>
    <w:rsid w:val="008E2AF8"/>
    <w:rsid w:val="008E36B3"/>
    <w:rsid w:val="008E3735"/>
    <w:rsid w:val="008E3989"/>
    <w:rsid w:val="008E3D6E"/>
    <w:rsid w:val="008E3E9A"/>
    <w:rsid w:val="008E3FFE"/>
    <w:rsid w:val="008E43C8"/>
    <w:rsid w:val="008E485B"/>
    <w:rsid w:val="008E49BC"/>
    <w:rsid w:val="008E4F36"/>
    <w:rsid w:val="008E5024"/>
    <w:rsid w:val="008E5174"/>
    <w:rsid w:val="008E51E2"/>
    <w:rsid w:val="008E5213"/>
    <w:rsid w:val="008E5406"/>
    <w:rsid w:val="008E548A"/>
    <w:rsid w:val="008E55AB"/>
    <w:rsid w:val="008E5851"/>
    <w:rsid w:val="008E5E98"/>
    <w:rsid w:val="008E5F39"/>
    <w:rsid w:val="008E6660"/>
    <w:rsid w:val="008E6E9A"/>
    <w:rsid w:val="008E6F54"/>
    <w:rsid w:val="008E7391"/>
    <w:rsid w:val="008E7432"/>
    <w:rsid w:val="008E7569"/>
    <w:rsid w:val="008E75EC"/>
    <w:rsid w:val="008E7780"/>
    <w:rsid w:val="008E7B0E"/>
    <w:rsid w:val="008E7D7A"/>
    <w:rsid w:val="008E7E86"/>
    <w:rsid w:val="008F044C"/>
    <w:rsid w:val="008F0741"/>
    <w:rsid w:val="008F0947"/>
    <w:rsid w:val="008F0C7C"/>
    <w:rsid w:val="008F0EB8"/>
    <w:rsid w:val="008F10BC"/>
    <w:rsid w:val="008F10D3"/>
    <w:rsid w:val="008F120A"/>
    <w:rsid w:val="008F12A8"/>
    <w:rsid w:val="008F139A"/>
    <w:rsid w:val="008F157F"/>
    <w:rsid w:val="008F1666"/>
    <w:rsid w:val="008F1CA6"/>
    <w:rsid w:val="008F1EAA"/>
    <w:rsid w:val="008F1ED8"/>
    <w:rsid w:val="008F2272"/>
    <w:rsid w:val="008F230F"/>
    <w:rsid w:val="008F2437"/>
    <w:rsid w:val="008F25CF"/>
    <w:rsid w:val="008F270B"/>
    <w:rsid w:val="008F27E0"/>
    <w:rsid w:val="008F287A"/>
    <w:rsid w:val="008F2BE3"/>
    <w:rsid w:val="008F2D3B"/>
    <w:rsid w:val="008F2D85"/>
    <w:rsid w:val="008F2D92"/>
    <w:rsid w:val="008F3694"/>
    <w:rsid w:val="008F37F8"/>
    <w:rsid w:val="008F384E"/>
    <w:rsid w:val="008F3BFA"/>
    <w:rsid w:val="008F3D99"/>
    <w:rsid w:val="008F3DC3"/>
    <w:rsid w:val="008F430B"/>
    <w:rsid w:val="008F48EB"/>
    <w:rsid w:val="008F4F0B"/>
    <w:rsid w:val="008F4FED"/>
    <w:rsid w:val="008F523B"/>
    <w:rsid w:val="008F55AA"/>
    <w:rsid w:val="008F5639"/>
    <w:rsid w:val="008F5A78"/>
    <w:rsid w:val="008F5D65"/>
    <w:rsid w:val="008F6247"/>
    <w:rsid w:val="008F6613"/>
    <w:rsid w:val="008F6701"/>
    <w:rsid w:val="008F6A12"/>
    <w:rsid w:val="008F6B78"/>
    <w:rsid w:val="008F724E"/>
    <w:rsid w:val="008F73D7"/>
    <w:rsid w:val="008F7A5E"/>
    <w:rsid w:val="008F7C7A"/>
    <w:rsid w:val="0090040F"/>
    <w:rsid w:val="00900479"/>
    <w:rsid w:val="009004F2"/>
    <w:rsid w:val="0090051B"/>
    <w:rsid w:val="009005A2"/>
    <w:rsid w:val="00900A71"/>
    <w:rsid w:val="00900DD7"/>
    <w:rsid w:val="00901BA8"/>
    <w:rsid w:val="00901D46"/>
    <w:rsid w:val="00901FA4"/>
    <w:rsid w:val="009020D8"/>
    <w:rsid w:val="009021E8"/>
    <w:rsid w:val="0090258B"/>
    <w:rsid w:val="009025A6"/>
    <w:rsid w:val="00902AEA"/>
    <w:rsid w:val="00903079"/>
    <w:rsid w:val="0090313A"/>
    <w:rsid w:val="0090344F"/>
    <w:rsid w:val="00903735"/>
    <w:rsid w:val="00903D48"/>
    <w:rsid w:val="00903DC0"/>
    <w:rsid w:val="00904019"/>
    <w:rsid w:val="00904093"/>
    <w:rsid w:val="00904096"/>
    <w:rsid w:val="009046C4"/>
    <w:rsid w:val="00904A87"/>
    <w:rsid w:val="00904B90"/>
    <w:rsid w:val="00904DA1"/>
    <w:rsid w:val="009050F7"/>
    <w:rsid w:val="009055DF"/>
    <w:rsid w:val="0090584C"/>
    <w:rsid w:val="00905C0E"/>
    <w:rsid w:val="00905FB2"/>
    <w:rsid w:val="00905FE1"/>
    <w:rsid w:val="00906295"/>
    <w:rsid w:val="009062A5"/>
    <w:rsid w:val="0090662B"/>
    <w:rsid w:val="00906A66"/>
    <w:rsid w:val="00906C25"/>
    <w:rsid w:val="00906D56"/>
    <w:rsid w:val="00906D8F"/>
    <w:rsid w:val="00907203"/>
    <w:rsid w:val="0090722F"/>
    <w:rsid w:val="00907515"/>
    <w:rsid w:val="00907584"/>
    <w:rsid w:val="00907614"/>
    <w:rsid w:val="00907699"/>
    <w:rsid w:val="00907957"/>
    <w:rsid w:val="00907A0C"/>
    <w:rsid w:val="00907EF9"/>
    <w:rsid w:val="00910115"/>
    <w:rsid w:val="00910139"/>
    <w:rsid w:val="00910201"/>
    <w:rsid w:val="0091022C"/>
    <w:rsid w:val="009103A9"/>
    <w:rsid w:val="0091054A"/>
    <w:rsid w:val="009105CA"/>
    <w:rsid w:val="00910743"/>
    <w:rsid w:val="009108F6"/>
    <w:rsid w:val="00910FA7"/>
    <w:rsid w:val="00911057"/>
    <w:rsid w:val="00911272"/>
    <w:rsid w:val="00911339"/>
    <w:rsid w:val="00911461"/>
    <w:rsid w:val="0091148E"/>
    <w:rsid w:val="009116DB"/>
    <w:rsid w:val="00911905"/>
    <w:rsid w:val="00911989"/>
    <w:rsid w:val="00911A07"/>
    <w:rsid w:val="00911DC5"/>
    <w:rsid w:val="0091249F"/>
    <w:rsid w:val="009135D6"/>
    <w:rsid w:val="00913786"/>
    <w:rsid w:val="00913DD6"/>
    <w:rsid w:val="00914325"/>
    <w:rsid w:val="009145BE"/>
    <w:rsid w:val="009146A1"/>
    <w:rsid w:val="009146A3"/>
    <w:rsid w:val="00914762"/>
    <w:rsid w:val="00914C77"/>
    <w:rsid w:val="009150A5"/>
    <w:rsid w:val="009150C2"/>
    <w:rsid w:val="0091514C"/>
    <w:rsid w:val="009151B9"/>
    <w:rsid w:val="00915226"/>
    <w:rsid w:val="00915443"/>
    <w:rsid w:val="009158B0"/>
    <w:rsid w:val="00915BE4"/>
    <w:rsid w:val="00916533"/>
    <w:rsid w:val="00916734"/>
    <w:rsid w:val="00916FF5"/>
    <w:rsid w:val="0091737D"/>
    <w:rsid w:val="00917456"/>
    <w:rsid w:val="00917625"/>
    <w:rsid w:val="00917AF5"/>
    <w:rsid w:val="00917CA4"/>
    <w:rsid w:val="00917DD7"/>
    <w:rsid w:val="00917EC0"/>
    <w:rsid w:val="00917F85"/>
    <w:rsid w:val="00920086"/>
    <w:rsid w:val="009202FF"/>
    <w:rsid w:val="00920355"/>
    <w:rsid w:val="009206B7"/>
    <w:rsid w:val="009207B3"/>
    <w:rsid w:val="00920CB9"/>
    <w:rsid w:val="0092131C"/>
    <w:rsid w:val="00921334"/>
    <w:rsid w:val="009215E4"/>
    <w:rsid w:val="00921ACB"/>
    <w:rsid w:val="00921B78"/>
    <w:rsid w:val="00921E59"/>
    <w:rsid w:val="009222B4"/>
    <w:rsid w:val="009227C1"/>
    <w:rsid w:val="009228F4"/>
    <w:rsid w:val="00922DE5"/>
    <w:rsid w:val="0092343B"/>
    <w:rsid w:val="0092369B"/>
    <w:rsid w:val="009239B5"/>
    <w:rsid w:val="00923BE9"/>
    <w:rsid w:val="00923C80"/>
    <w:rsid w:val="00923D2E"/>
    <w:rsid w:val="00923FD7"/>
    <w:rsid w:val="0092420C"/>
    <w:rsid w:val="00924A5A"/>
    <w:rsid w:val="00924ADD"/>
    <w:rsid w:val="00924D85"/>
    <w:rsid w:val="00924E52"/>
    <w:rsid w:val="00925525"/>
    <w:rsid w:val="00925607"/>
    <w:rsid w:val="00925743"/>
    <w:rsid w:val="00925AE4"/>
    <w:rsid w:val="00925B3F"/>
    <w:rsid w:val="00925B80"/>
    <w:rsid w:val="00925E99"/>
    <w:rsid w:val="00925EC5"/>
    <w:rsid w:val="00925F09"/>
    <w:rsid w:val="00925FDB"/>
    <w:rsid w:val="00926650"/>
    <w:rsid w:val="00926956"/>
    <w:rsid w:val="00926C77"/>
    <w:rsid w:val="00926D8B"/>
    <w:rsid w:val="009275E8"/>
    <w:rsid w:val="009276B0"/>
    <w:rsid w:val="009276B6"/>
    <w:rsid w:val="00927CFA"/>
    <w:rsid w:val="00927DFF"/>
    <w:rsid w:val="009303F7"/>
    <w:rsid w:val="00930847"/>
    <w:rsid w:val="0093192E"/>
    <w:rsid w:val="00931BE2"/>
    <w:rsid w:val="00931FDD"/>
    <w:rsid w:val="00931FE4"/>
    <w:rsid w:val="00932156"/>
    <w:rsid w:val="0093229A"/>
    <w:rsid w:val="00932B2B"/>
    <w:rsid w:val="0093312D"/>
    <w:rsid w:val="00933391"/>
    <w:rsid w:val="009338FE"/>
    <w:rsid w:val="00933B46"/>
    <w:rsid w:val="00933CC0"/>
    <w:rsid w:val="00933FB3"/>
    <w:rsid w:val="00934150"/>
    <w:rsid w:val="00934988"/>
    <w:rsid w:val="00934D00"/>
    <w:rsid w:val="00935194"/>
    <w:rsid w:val="00935225"/>
    <w:rsid w:val="00935349"/>
    <w:rsid w:val="0093535A"/>
    <w:rsid w:val="0093538D"/>
    <w:rsid w:val="00935B02"/>
    <w:rsid w:val="00935F48"/>
    <w:rsid w:val="0093629B"/>
    <w:rsid w:val="00936406"/>
    <w:rsid w:val="00936569"/>
    <w:rsid w:val="009367B1"/>
    <w:rsid w:val="00936D3C"/>
    <w:rsid w:val="00936DA3"/>
    <w:rsid w:val="00937089"/>
    <w:rsid w:val="009370FB"/>
    <w:rsid w:val="009378EA"/>
    <w:rsid w:val="00937936"/>
    <w:rsid w:val="009379B9"/>
    <w:rsid w:val="00937B43"/>
    <w:rsid w:val="00937D4D"/>
    <w:rsid w:val="009402D2"/>
    <w:rsid w:val="009406F4"/>
    <w:rsid w:val="0094076F"/>
    <w:rsid w:val="00940B42"/>
    <w:rsid w:val="00940F53"/>
    <w:rsid w:val="0094135F"/>
    <w:rsid w:val="00941376"/>
    <w:rsid w:val="009414E2"/>
    <w:rsid w:val="0094163B"/>
    <w:rsid w:val="0094173F"/>
    <w:rsid w:val="0094187A"/>
    <w:rsid w:val="00941973"/>
    <w:rsid w:val="00941D66"/>
    <w:rsid w:val="00941DA3"/>
    <w:rsid w:val="00942559"/>
    <w:rsid w:val="00942760"/>
    <w:rsid w:val="00942A5E"/>
    <w:rsid w:val="0094326B"/>
    <w:rsid w:val="00943493"/>
    <w:rsid w:val="00943790"/>
    <w:rsid w:val="00943942"/>
    <w:rsid w:val="00944055"/>
    <w:rsid w:val="009442CE"/>
    <w:rsid w:val="009442F6"/>
    <w:rsid w:val="00944344"/>
    <w:rsid w:val="00944822"/>
    <w:rsid w:val="00944A43"/>
    <w:rsid w:val="00944F8A"/>
    <w:rsid w:val="00945000"/>
    <w:rsid w:val="0094514E"/>
    <w:rsid w:val="009452C4"/>
    <w:rsid w:val="00945527"/>
    <w:rsid w:val="009458D7"/>
    <w:rsid w:val="0094592E"/>
    <w:rsid w:val="00945BA4"/>
    <w:rsid w:val="00945EB6"/>
    <w:rsid w:val="00945FC2"/>
    <w:rsid w:val="0094631D"/>
    <w:rsid w:val="0094637A"/>
    <w:rsid w:val="009468E8"/>
    <w:rsid w:val="00946957"/>
    <w:rsid w:val="00946DF0"/>
    <w:rsid w:val="00946E99"/>
    <w:rsid w:val="009470BA"/>
    <w:rsid w:val="009473C9"/>
    <w:rsid w:val="00947C0E"/>
    <w:rsid w:val="0095010B"/>
    <w:rsid w:val="0095022E"/>
    <w:rsid w:val="009502F2"/>
    <w:rsid w:val="0095067E"/>
    <w:rsid w:val="00950782"/>
    <w:rsid w:val="00950DA2"/>
    <w:rsid w:val="00950F73"/>
    <w:rsid w:val="009510A2"/>
    <w:rsid w:val="0095112E"/>
    <w:rsid w:val="00951216"/>
    <w:rsid w:val="009512E8"/>
    <w:rsid w:val="0095145F"/>
    <w:rsid w:val="00951873"/>
    <w:rsid w:val="0095189D"/>
    <w:rsid w:val="00951914"/>
    <w:rsid w:val="00951A7C"/>
    <w:rsid w:val="00951DBE"/>
    <w:rsid w:val="00951E57"/>
    <w:rsid w:val="00951E5D"/>
    <w:rsid w:val="00952692"/>
    <w:rsid w:val="009526F8"/>
    <w:rsid w:val="009529CD"/>
    <w:rsid w:val="00952DC1"/>
    <w:rsid w:val="00953257"/>
    <w:rsid w:val="009532ED"/>
    <w:rsid w:val="009537A3"/>
    <w:rsid w:val="00953A0C"/>
    <w:rsid w:val="00953B4C"/>
    <w:rsid w:val="00953B9B"/>
    <w:rsid w:val="009540A1"/>
    <w:rsid w:val="00954675"/>
    <w:rsid w:val="0095474C"/>
    <w:rsid w:val="00954914"/>
    <w:rsid w:val="00954C03"/>
    <w:rsid w:val="00954D81"/>
    <w:rsid w:val="0095513B"/>
    <w:rsid w:val="009551DB"/>
    <w:rsid w:val="0095526B"/>
    <w:rsid w:val="009554AB"/>
    <w:rsid w:val="0095560E"/>
    <w:rsid w:val="00955693"/>
    <w:rsid w:val="00955BEC"/>
    <w:rsid w:val="00955DDB"/>
    <w:rsid w:val="009563A2"/>
    <w:rsid w:val="009564DB"/>
    <w:rsid w:val="0095688D"/>
    <w:rsid w:val="00956C02"/>
    <w:rsid w:val="00956CF5"/>
    <w:rsid w:val="00956E61"/>
    <w:rsid w:val="0095732F"/>
    <w:rsid w:val="0095743F"/>
    <w:rsid w:val="00957D92"/>
    <w:rsid w:val="00957F95"/>
    <w:rsid w:val="00957FE5"/>
    <w:rsid w:val="009604AD"/>
    <w:rsid w:val="00960579"/>
    <w:rsid w:val="00960B77"/>
    <w:rsid w:val="00960C95"/>
    <w:rsid w:val="0096109B"/>
    <w:rsid w:val="009615B6"/>
    <w:rsid w:val="009615D3"/>
    <w:rsid w:val="00961D2F"/>
    <w:rsid w:val="00961D3A"/>
    <w:rsid w:val="00961FD0"/>
    <w:rsid w:val="00961FF9"/>
    <w:rsid w:val="00962073"/>
    <w:rsid w:val="00962C25"/>
    <w:rsid w:val="00962CB9"/>
    <w:rsid w:val="00962D8E"/>
    <w:rsid w:val="00962ECE"/>
    <w:rsid w:val="009633FC"/>
    <w:rsid w:val="00963533"/>
    <w:rsid w:val="009635BE"/>
    <w:rsid w:val="009639AB"/>
    <w:rsid w:val="009639B8"/>
    <w:rsid w:val="00963BA3"/>
    <w:rsid w:val="00963BDE"/>
    <w:rsid w:val="00963C55"/>
    <w:rsid w:val="00963C57"/>
    <w:rsid w:val="00964312"/>
    <w:rsid w:val="00964873"/>
    <w:rsid w:val="00964886"/>
    <w:rsid w:val="0096494F"/>
    <w:rsid w:val="00964D4A"/>
    <w:rsid w:val="009651EF"/>
    <w:rsid w:val="00965800"/>
    <w:rsid w:val="00965812"/>
    <w:rsid w:val="009658DD"/>
    <w:rsid w:val="00965B8A"/>
    <w:rsid w:val="00966BC8"/>
    <w:rsid w:val="00966E9F"/>
    <w:rsid w:val="009671C8"/>
    <w:rsid w:val="0096743F"/>
    <w:rsid w:val="009676BB"/>
    <w:rsid w:val="009677DB"/>
    <w:rsid w:val="0096782F"/>
    <w:rsid w:val="00967DB1"/>
    <w:rsid w:val="00970169"/>
    <w:rsid w:val="0097023E"/>
    <w:rsid w:val="00970668"/>
    <w:rsid w:val="0097071F"/>
    <w:rsid w:val="009709A5"/>
    <w:rsid w:val="00970A2F"/>
    <w:rsid w:val="00970D22"/>
    <w:rsid w:val="00970E92"/>
    <w:rsid w:val="00971289"/>
    <w:rsid w:val="009712EC"/>
    <w:rsid w:val="00971362"/>
    <w:rsid w:val="0097149D"/>
    <w:rsid w:val="009716AA"/>
    <w:rsid w:val="009717AC"/>
    <w:rsid w:val="00971A2F"/>
    <w:rsid w:val="00971C2C"/>
    <w:rsid w:val="00971C6A"/>
    <w:rsid w:val="0097238A"/>
    <w:rsid w:val="00972456"/>
    <w:rsid w:val="00972462"/>
    <w:rsid w:val="00972663"/>
    <w:rsid w:val="00972853"/>
    <w:rsid w:val="00972A94"/>
    <w:rsid w:val="00972BA3"/>
    <w:rsid w:val="009739E1"/>
    <w:rsid w:val="00974A50"/>
    <w:rsid w:val="00974C81"/>
    <w:rsid w:val="009751C1"/>
    <w:rsid w:val="00975312"/>
    <w:rsid w:val="00975352"/>
    <w:rsid w:val="00975759"/>
    <w:rsid w:val="00975F0A"/>
    <w:rsid w:val="009760C4"/>
    <w:rsid w:val="009762A4"/>
    <w:rsid w:val="009763A4"/>
    <w:rsid w:val="009763DA"/>
    <w:rsid w:val="00976402"/>
    <w:rsid w:val="009764E5"/>
    <w:rsid w:val="009766D5"/>
    <w:rsid w:val="009767C1"/>
    <w:rsid w:val="009767FF"/>
    <w:rsid w:val="009769E8"/>
    <w:rsid w:val="00977029"/>
    <w:rsid w:val="0097714D"/>
    <w:rsid w:val="00977181"/>
    <w:rsid w:val="009776FF"/>
    <w:rsid w:val="00977EFB"/>
    <w:rsid w:val="00980077"/>
    <w:rsid w:val="0098029F"/>
    <w:rsid w:val="00980335"/>
    <w:rsid w:val="009806C8"/>
    <w:rsid w:val="00980818"/>
    <w:rsid w:val="00980DB0"/>
    <w:rsid w:val="009811F1"/>
    <w:rsid w:val="009815C8"/>
    <w:rsid w:val="00981707"/>
    <w:rsid w:val="0098181F"/>
    <w:rsid w:val="0098204C"/>
    <w:rsid w:val="00982529"/>
    <w:rsid w:val="00982577"/>
    <w:rsid w:val="0098262F"/>
    <w:rsid w:val="0098268B"/>
    <w:rsid w:val="009826CA"/>
    <w:rsid w:val="0098277D"/>
    <w:rsid w:val="0098287D"/>
    <w:rsid w:val="00982BBA"/>
    <w:rsid w:val="00982C82"/>
    <w:rsid w:val="00982E20"/>
    <w:rsid w:val="009834E2"/>
    <w:rsid w:val="00983780"/>
    <w:rsid w:val="009837F0"/>
    <w:rsid w:val="00983E57"/>
    <w:rsid w:val="00983EF4"/>
    <w:rsid w:val="00984346"/>
    <w:rsid w:val="00984363"/>
    <w:rsid w:val="009845C9"/>
    <w:rsid w:val="00984D01"/>
    <w:rsid w:val="0098506E"/>
    <w:rsid w:val="00985271"/>
    <w:rsid w:val="00985339"/>
    <w:rsid w:val="00985380"/>
    <w:rsid w:val="009857E7"/>
    <w:rsid w:val="009858A0"/>
    <w:rsid w:val="0098599E"/>
    <w:rsid w:val="00985CCF"/>
    <w:rsid w:val="00985D1E"/>
    <w:rsid w:val="00985D73"/>
    <w:rsid w:val="00985DB7"/>
    <w:rsid w:val="00985DD2"/>
    <w:rsid w:val="00985DE2"/>
    <w:rsid w:val="00985F4F"/>
    <w:rsid w:val="00986194"/>
    <w:rsid w:val="00986655"/>
    <w:rsid w:val="00986706"/>
    <w:rsid w:val="0098675D"/>
    <w:rsid w:val="00986A24"/>
    <w:rsid w:val="009870D3"/>
    <w:rsid w:val="009873ED"/>
    <w:rsid w:val="009878EC"/>
    <w:rsid w:val="00987BA4"/>
    <w:rsid w:val="00987BC5"/>
    <w:rsid w:val="00987CFC"/>
    <w:rsid w:val="00987E2C"/>
    <w:rsid w:val="00990206"/>
    <w:rsid w:val="009905A3"/>
    <w:rsid w:val="009909B2"/>
    <w:rsid w:val="00990CE4"/>
    <w:rsid w:val="00991455"/>
    <w:rsid w:val="00991534"/>
    <w:rsid w:val="00991677"/>
    <w:rsid w:val="009917B4"/>
    <w:rsid w:val="00991927"/>
    <w:rsid w:val="009919F1"/>
    <w:rsid w:val="00991BD5"/>
    <w:rsid w:val="00991D06"/>
    <w:rsid w:val="00991EFA"/>
    <w:rsid w:val="00992443"/>
    <w:rsid w:val="009926E0"/>
    <w:rsid w:val="00992AF4"/>
    <w:rsid w:val="00992CC6"/>
    <w:rsid w:val="00993313"/>
    <w:rsid w:val="00993595"/>
    <w:rsid w:val="0099370D"/>
    <w:rsid w:val="00993C43"/>
    <w:rsid w:val="00993E25"/>
    <w:rsid w:val="00994346"/>
    <w:rsid w:val="00994415"/>
    <w:rsid w:val="0099451E"/>
    <w:rsid w:val="00994CB0"/>
    <w:rsid w:val="00994F4F"/>
    <w:rsid w:val="00994F6A"/>
    <w:rsid w:val="00995097"/>
    <w:rsid w:val="00995409"/>
    <w:rsid w:val="0099548A"/>
    <w:rsid w:val="00995696"/>
    <w:rsid w:val="00995A46"/>
    <w:rsid w:val="0099608B"/>
    <w:rsid w:val="009960C3"/>
    <w:rsid w:val="0099683D"/>
    <w:rsid w:val="00996B1A"/>
    <w:rsid w:val="00996EA5"/>
    <w:rsid w:val="009971F1"/>
    <w:rsid w:val="00997297"/>
    <w:rsid w:val="00997396"/>
    <w:rsid w:val="009973AE"/>
    <w:rsid w:val="00997475"/>
    <w:rsid w:val="0099751A"/>
    <w:rsid w:val="009975EB"/>
    <w:rsid w:val="0099760C"/>
    <w:rsid w:val="009977AF"/>
    <w:rsid w:val="00997A57"/>
    <w:rsid w:val="00997F74"/>
    <w:rsid w:val="009A0E5A"/>
    <w:rsid w:val="009A18F6"/>
    <w:rsid w:val="009A1F28"/>
    <w:rsid w:val="009A20B6"/>
    <w:rsid w:val="009A20E2"/>
    <w:rsid w:val="009A21FC"/>
    <w:rsid w:val="009A2761"/>
    <w:rsid w:val="009A2BE0"/>
    <w:rsid w:val="009A2DCC"/>
    <w:rsid w:val="009A32A2"/>
    <w:rsid w:val="009A33A4"/>
    <w:rsid w:val="009A33E9"/>
    <w:rsid w:val="009A34BD"/>
    <w:rsid w:val="009A36FA"/>
    <w:rsid w:val="009A38CB"/>
    <w:rsid w:val="009A3DEC"/>
    <w:rsid w:val="009A3EC8"/>
    <w:rsid w:val="009A4063"/>
    <w:rsid w:val="009A416D"/>
    <w:rsid w:val="009A46A4"/>
    <w:rsid w:val="009A4F41"/>
    <w:rsid w:val="009A50B5"/>
    <w:rsid w:val="009A50CA"/>
    <w:rsid w:val="009A53A6"/>
    <w:rsid w:val="009A5896"/>
    <w:rsid w:val="009A59AF"/>
    <w:rsid w:val="009A59D7"/>
    <w:rsid w:val="009A5ABC"/>
    <w:rsid w:val="009A5AF4"/>
    <w:rsid w:val="009A5C59"/>
    <w:rsid w:val="009A5E09"/>
    <w:rsid w:val="009A5F34"/>
    <w:rsid w:val="009A65CA"/>
    <w:rsid w:val="009A6786"/>
    <w:rsid w:val="009A6878"/>
    <w:rsid w:val="009A6C20"/>
    <w:rsid w:val="009A73B5"/>
    <w:rsid w:val="009A7A85"/>
    <w:rsid w:val="009A7B9E"/>
    <w:rsid w:val="009A7C76"/>
    <w:rsid w:val="009A7CB3"/>
    <w:rsid w:val="009A7CDC"/>
    <w:rsid w:val="009A7D95"/>
    <w:rsid w:val="009A7F10"/>
    <w:rsid w:val="009B002E"/>
    <w:rsid w:val="009B024A"/>
    <w:rsid w:val="009B0363"/>
    <w:rsid w:val="009B0682"/>
    <w:rsid w:val="009B0960"/>
    <w:rsid w:val="009B0E63"/>
    <w:rsid w:val="009B0E7F"/>
    <w:rsid w:val="009B1078"/>
    <w:rsid w:val="009B16D1"/>
    <w:rsid w:val="009B20D5"/>
    <w:rsid w:val="009B222F"/>
    <w:rsid w:val="009B225C"/>
    <w:rsid w:val="009B2665"/>
    <w:rsid w:val="009B32C7"/>
    <w:rsid w:val="009B3736"/>
    <w:rsid w:val="009B39EF"/>
    <w:rsid w:val="009B3B21"/>
    <w:rsid w:val="009B3D2D"/>
    <w:rsid w:val="009B3E26"/>
    <w:rsid w:val="009B4587"/>
    <w:rsid w:val="009B4972"/>
    <w:rsid w:val="009B4E2C"/>
    <w:rsid w:val="009B5080"/>
    <w:rsid w:val="009B5162"/>
    <w:rsid w:val="009B53C8"/>
    <w:rsid w:val="009B557D"/>
    <w:rsid w:val="009B55ED"/>
    <w:rsid w:val="009B56AC"/>
    <w:rsid w:val="009B59E8"/>
    <w:rsid w:val="009B6084"/>
    <w:rsid w:val="009B60F4"/>
    <w:rsid w:val="009B640D"/>
    <w:rsid w:val="009B645A"/>
    <w:rsid w:val="009B6A08"/>
    <w:rsid w:val="009B7293"/>
    <w:rsid w:val="009B7491"/>
    <w:rsid w:val="009B75EA"/>
    <w:rsid w:val="009B7640"/>
    <w:rsid w:val="009B7CD1"/>
    <w:rsid w:val="009B7D50"/>
    <w:rsid w:val="009B7DE5"/>
    <w:rsid w:val="009B7FB0"/>
    <w:rsid w:val="009C05B6"/>
    <w:rsid w:val="009C07D1"/>
    <w:rsid w:val="009C0810"/>
    <w:rsid w:val="009C0854"/>
    <w:rsid w:val="009C0CFE"/>
    <w:rsid w:val="009C0E9E"/>
    <w:rsid w:val="009C1271"/>
    <w:rsid w:val="009C1397"/>
    <w:rsid w:val="009C14E4"/>
    <w:rsid w:val="009C1679"/>
    <w:rsid w:val="009C18CF"/>
    <w:rsid w:val="009C19A4"/>
    <w:rsid w:val="009C1BBE"/>
    <w:rsid w:val="009C2016"/>
    <w:rsid w:val="009C20FA"/>
    <w:rsid w:val="009C257E"/>
    <w:rsid w:val="009C2989"/>
    <w:rsid w:val="009C2D40"/>
    <w:rsid w:val="009C2DC7"/>
    <w:rsid w:val="009C2E53"/>
    <w:rsid w:val="009C3706"/>
    <w:rsid w:val="009C395E"/>
    <w:rsid w:val="009C3A3A"/>
    <w:rsid w:val="009C3C8C"/>
    <w:rsid w:val="009C407B"/>
    <w:rsid w:val="009C426B"/>
    <w:rsid w:val="009C4AFE"/>
    <w:rsid w:val="009C4BC6"/>
    <w:rsid w:val="009C4D72"/>
    <w:rsid w:val="009C549A"/>
    <w:rsid w:val="009C5730"/>
    <w:rsid w:val="009C574A"/>
    <w:rsid w:val="009C59C3"/>
    <w:rsid w:val="009C5A1E"/>
    <w:rsid w:val="009C5A39"/>
    <w:rsid w:val="009C5A8E"/>
    <w:rsid w:val="009C5AC0"/>
    <w:rsid w:val="009C5C9D"/>
    <w:rsid w:val="009C5E67"/>
    <w:rsid w:val="009C62AA"/>
    <w:rsid w:val="009C6611"/>
    <w:rsid w:val="009C6AA7"/>
    <w:rsid w:val="009C6CEA"/>
    <w:rsid w:val="009C6D01"/>
    <w:rsid w:val="009C6D65"/>
    <w:rsid w:val="009C6D8C"/>
    <w:rsid w:val="009C6DA0"/>
    <w:rsid w:val="009C6F2E"/>
    <w:rsid w:val="009C7241"/>
    <w:rsid w:val="009C7326"/>
    <w:rsid w:val="009C77E3"/>
    <w:rsid w:val="009C7832"/>
    <w:rsid w:val="009C78D1"/>
    <w:rsid w:val="009C7997"/>
    <w:rsid w:val="009C7A50"/>
    <w:rsid w:val="009C7B85"/>
    <w:rsid w:val="009C7DAF"/>
    <w:rsid w:val="009D00FF"/>
    <w:rsid w:val="009D0254"/>
    <w:rsid w:val="009D02F9"/>
    <w:rsid w:val="009D05B4"/>
    <w:rsid w:val="009D05D4"/>
    <w:rsid w:val="009D08CB"/>
    <w:rsid w:val="009D0E01"/>
    <w:rsid w:val="009D12D8"/>
    <w:rsid w:val="009D17C5"/>
    <w:rsid w:val="009D1A64"/>
    <w:rsid w:val="009D1AC4"/>
    <w:rsid w:val="009D1B4E"/>
    <w:rsid w:val="009D1CF1"/>
    <w:rsid w:val="009D21A5"/>
    <w:rsid w:val="009D21EC"/>
    <w:rsid w:val="009D24A2"/>
    <w:rsid w:val="009D2BE2"/>
    <w:rsid w:val="009D303C"/>
    <w:rsid w:val="009D3353"/>
    <w:rsid w:val="009D33B6"/>
    <w:rsid w:val="009D3664"/>
    <w:rsid w:val="009D3B3B"/>
    <w:rsid w:val="009D3D94"/>
    <w:rsid w:val="009D3DAE"/>
    <w:rsid w:val="009D3F38"/>
    <w:rsid w:val="009D41F1"/>
    <w:rsid w:val="009D44FA"/>
    <w:rsid w:val="009D4501"/>
    <w:rsid w:val="009D4560"/>
    <w:rsid w:val="009D464E"/>
    <w:rsid w:val="009D4A5A"/>
    <w:rsid w:val="009D54B6"/>
    <w:rsid w:val="009D566F"/>
    <w:rsid w:val="009D5900"/>
    <w:rsid w:val="009D5983"/>
    <w:rsid w:val="009D5B91"/>
    <w:rsid w:val="009D5BA6"/>
    <w:rsid w:val="009D5E67"/>
    <w:rsid w:val="009D5EE4"/>
    <w:rsid w:val="009D5F50"/>
    <w:rsid w:val="009D5FD8"/>
    <w:rsid w:val="009D6143"/>
    <w:rsid w:val="009D6360"/>
    <w:rsid w:val="009D68AB"/>
    <w:rsid w:val="009D6D82"/>
    <w:rsid w:val="009D6E24"/>
    <w:rsid w:val="009D7240"/>
    <w:rsid w:val="009D7424"/>
    <w:rsid w:val="009D75D8"/>
    <w:rsid w:val="009D792E"/>
    <w:rsid w:val="009D7DDD"/>
    <w:rsid w:val="009D7E01"/>
    <w:rsid w:val="009D7EA8"/>
    <w:rsid w:val="009E01BD"/>
    <w:rsid w:val="009E0A57"/>
    <w:rsid w:val="009E0B8D"/>
    <w:rsid w:val="009E0DFE"/>
    <w:rsid w:val="009E0E84"/>
    <w:rsid w:val="009E126D"/>
    <w:rsid w:val="009E1299"/>
    <w:rsid w:val="009E13CD"/>
    <w:rsid w:val="009E15D1"/>
    <w:rsid w:val="009E1890"/>
    <w:rsid w:val="009E1A73"/>
    <w:rsid w:val="009E1CE0"/>
    <w:rsid w:val="009E1FDF"/>
    <w:rsid w:val="009E23DF"/>
    <w:rsid w:val="009E2473"/>
    <w:rsid w:val="009E2521"/>
    <w:rsid w:val="009E27AC"/>
    <w:rsid w:val="009E2A5B"/>
    <w:rsid w:val="009E2CD6"/>
    <w:rsid w:val="009E3005"/>
    <w:rsid w:val="009E31EE"/>
    <w:rsid w:val="009E31F6"/>
    <w:rsid w:val="009E37A8"/>
    <w:rsid w:val="009E3DA8"/>
    <w:rsid w:val="009E4031"/>
    <w:rsid w:val="009E4201"/>
    <w:rsid w:val="009E47AC"/>
    <w:rsid w:val="009E481F"/>
    <w:rsid w:val="009E4A09"/>
    <w:rsid w:val="009E4C07"/>
    <w:rsid w:val="009E4E04"/>
    <w:rsid w:val="009E4EE8"/>
    <w:rsid w:val="009E4F45"/>
    <w:rsid w:val="009E51CA"/>
    <w:rsid w:val="009E51E3"/>
    <w:rsid w:val="009E53D0"/>
    <w:rsid w:val="009E5745"/>
    <w:rsid w:val="009E5960"/>
    <w:rsid w:val="009E5F45"/>
    <w:rsid w:val="009E5F6E"/>
    <w:rsid w:val="009E62C9"/>
    <w:rsid w:val="009E65AE"/>
    <w:rsid w:val="009E68B5"/>
    <w:rsid w:val="009E6D83"/>
    <w:rsid w:val="009E6DCD"/>
    <w:rsid w:val="009E6EEF"/>
    <w:rsid w:val="009E74CF"/>
    <w:rsid w:val="009E7509"/>
    <w:rsid w:val="009E75AA"/>
    <w:rsid w:val="009E75FC"/>
    <w:rsid w:val="009E7690"/>
    <w:rsid w:val="009E7755"/>
    <w:rsid w:val="009E777F"/>
    <w:rsid w:val="009E7A21"/>
    <w:rsid w:val="009E7B4D"/>
    <w:rsid w:val="009E7F21"/>
    <w:rsid w:val="009E7F5E"/>
    <w:rsid w:val="009F0543"/>
    <w:rsid w:val="009F063A"/>
    <w:rsid w:val="009F0870"/>
    <w:rsid w:val="009F0B43"/>
    <w:rsid w:val="009F0C5B"/>
    <w:rsid w:val="009F0D54"/>
    <w:rsid w:val="009F0DDC"/>
    <w:rsid w:val="009F0E08"/>
    <w:rsid w:val="009F0E74"/>
    <w:rsid w:val="009F0F0B"/>
    <w:rsid w:val="009F0F0D"/>
    <w:rsid w:val="009F103C"/>
    <w:rsid w:val="009F14B4"/>
    <w:rsid w:val="009F1852"/>
    <w:rsid w:val="009F1C4F"/>
    <w:rsid w:val="009F1EA0"/>
    <w:rsid w:val="009F1F52"/>
    <w:rsid w:val="009F22B8"/>
    <w:rsid w:val="009F27B7"/>
    <w:rsid w:val="009F28C8"/>
    <w:rsid w:val="009F2B6B"/>
    <w:rsid w:val="009F2B8B"/>
    <w:rsid w:val="009F2EEB"/>
    <w:rsid w:val="009F31D7"/>
    <w:rsid w:val="009F31E6"/>
    <w:rsid w:val="009F330F"/>
    <w:rsid w:val="009F35F7"/>
    <w:rsid w:val="009F3B2C"/>
    <w:rsid w:val="009F3C76"/>
    <w:rsid w:val="009F4A9A"/>
    <w:rsid w:val="009F4C32"/>
    <w:rsid w:val="009F4F62"/>
    <w:rsid w:val="009F50B2"/>
    <w:rsid w:val="009F512D"/>
    <w:rsid w:val="009F51F0"/>
    <w:rsid w:val="009F5637"/>
    <w:rsid w:val="009F5BD2"/>
    <w:rsid w:val="009F5FC6"/>
    <w:rsid w:val="009F6057"/>
    <w:rsid w:val="009F6120"/>
    <w:rsid w:val="009F6176"/>
    <w:rsid w:val="009F6511"/>
    <w:rsid w:val="009F6514"/>
    <w:rsid w:val="009F6705"/>
    <w:rsid w:val="009F6756"/>
    <w:rsid w:val="009F6806"/>
    <w:rsid w:val="009F6AEB"/>
    <w:rsid w:val="009F71F7"/>
    <w:rsid w:val="009F73ED"/>
    <w:rsid w:val="009F7A0E"/>
    <w:rsid w:val="009F7A41"/>
    <w:rsid w:val="009F7C0C"/>
    <w:rsid w:val="00A004B2"/>
    <w:rsid w:val="00A0098F"/>
    <w:rsid w:val="00A00A77"/>
    <w:rsid w:val="00A00D76"/>
    <w:rsid w:val="00A00D85"/>
    <w:rsid w:val="00A01184"/>
    <w:rsid w:val="00A012FA"/>
    <w:rsid w:val="00A01449"/>
    <w:rsid w:val="00A015C6"/>
    <w:rsid w:val="00A016B2"/>
    <w:rsid w:val="00A0170C"/>
    <w:rsid w:val="00A01D27"/>
    <w:rsid w:val="00A0285C"/>
    <w:rsid w:val="00A02A4F"/>
    <w:rsid w:val="00A02AD0"/>
    <w:rsid w:val="00A02B72"/>
    <w:rsid w:val="00A02C27"/>
    <w:rsid w:val="00A02DEB"/>
    <w:rsid w:val="00A02E43"/>
    <w:rsid w:val="00A02FE1"/>
    <w:rsid w:val="00A030F7"/>
    <w:rsid w:val="00A03321"/>
    <w:rsid w:val="00A033DA"/>
    <w:rsid w:val="00A035B5"/>
    <w:rsid w:val="00A0368D"/>
    <w:rsid w:val="00A037C2"/>
    <w:rsid w:val="00A03D43"/>
    <w:rsid w:val="00A03D6B"/>
    <w:rsid w:val="00A04219"/>
    <w:rsid w:val="00A04333"/>
    <w:rsid w:val="00A04380"/>
    <w:rsid w:val="00A044F0"/>
    <w:rsid w:val="00A04786"/>
    <w:rsid w:val="00A049E7"/>
    <w:rsid w:val="00A04A76"/>
    <w:rsid w:val="00A04B16"/>
    <w:rsid w:val="00A051E3"/>
    <w:rsid w:val="00A05200"/>
    <w:rsid w:val="00A05294"/>
    <w:rsid w:val="00A05346"/>
    <w:rsid w:val="00A05472"/>
    <w:rsid w:val="00A05BE4"/>
    <w:rsid w:val="00A05BEF"/>
    <w:rsid w:val="00A05C32"/>
    <w:rsid w:val="00A05EA7"/>
    <w:rsid w:val="00A06027"/>
    <w:rsid w:val="00A0602A"/>
    <w:rsid w:val="00A0648C"/>
    <w:rsid w:val="00A064B9"/>
    <w:rsid w:val="00A0653F"/>
    <w:rsid w:val="00A066C0"/>
    <w:rsid w:val="00A0677F"/>
    <w:rsid w:val="00A06A5E"/>
    <w:rsid w:val="00A06B0C"/>
    <w:rsid w:val="00A06E7C"/>
    <w:rsid w:val="00A06FEF"/>
    <w:rsid w:val="00A07238"/>
    <w:rsid w:val="00A07296"/>
    <w:rsid w:val="00A07D2F"/>
    <w:rsid w:val="00A10061"/>
    <w:rsid w:val="00A100C5"/>
    <w:rsid w:val="00A106F9"/>
    <w:rsid w:val="00A1071B"/>
    <w:rsid w:val="00A10966"/>
    <w:rsid w:val="00A10B85"/>
    <w:rsid w:val="00A10C9C"/>
    <w:rsid w:val="00A10DE1"/>
    <w:rsid w:val="00A10ECF"/>
    <w:rsid w:val="00A110A5"/>
    <w:rsid w:val="00A110E4"/>
    <w:rsid w:val="00A11379"/>
    <w:rsid w:val="00A11626"/>
    <w:rsid w:val="00A118DD"/>
    <w:rsid w:val="00A11B0A"/>
    <w:rsid w:val="00A11C8B"/>
    <w:rsid w:val="00A11CD0"/>
    <w:rsid w:val="00A11EDC"/>
    <w:rsid w:val="00A1217F"/>
    <w:rsid w:val="00A122BF"/>
    <w:rsid w:val="00A1275C"/>
    <w:rsid w:val="00A12787"/>
    <w:rsid w:val="00A12CF1"/>
    <w:rsid w:val="00A12D5F"/>
    <w:rsid w:val="00A12D8F"/>
    <w:rsid w:val="00A1300E"/>
    <w:rsid w:val="00A1366E"/>
    <w:rsid w:val="00A1387E"/>
    <w:rsid w:val="00A13948"/>
    <w:rsid w:val="00A1396A"/>
    <w:rsid w:val="00A13B75"/>
    <w:rsid w:val="00A14094"/>
    <w:rsid w:val="00A14900"/>
    <w:rsid w:val="00A14CCA"/>
    <w:rsid w:val="00A1521C"/>
    <w:rsid w:val="00A154CB"/>
    <w:rsid w:val="00A1555B"/>
    <w:rsid w:val="00A155C5"/>
    <w:rsid w:val="00A15847"/>
    <w:rsid w:val="00A15A08"/>
    <w:rsid w:val="00A161D3"/>
    <w:rsid w:val="00A1620E"/>
    <w:rsid w:val="00A162D0"/>
    <w:rsid w:val="00A16ACA"/>
    <w:rsid w:val="00A16AD8"/>
    <w:rsid w:val="00A16E24"/>
    <w:rsid w:val="00A170A9"/>
    <w:rsid w:val="00A176E3"/>
    <w:rsid w:val="00A178CF"/>
    <w:rsid w:val="00A17A79"/>
    <w:rsid w:val="00A17C47"/>
    <w:rsid w:val="00A2021E"/>
    <w:rsid w:val="00A21819"/>
    <w:rsid w:val="00A21B03"/>
    <w:rsid w:val="00A21C95"/>
    <w:rsid w:val="00A21CF3"/>
    <w:rsid w:val="00A22556"/>
    <w:rsid w:val="00A227CB"/>
    <w:rsid w:val="00A228CB"/>
    <w:rsid w:val="00A22CD0"/>
    <w:rsid w:val="00A22CFA"/>
    <w:rsid w:val="00A23239"/>
    <w:rsid w:val="00A23610"/>
    <w:rsid w:val="00A237A1"/>
    <w:rsid w:val="00A23C15"/>
    <w:rsid w:val="00A23DA2"/>
    <w:rsid w:val="00A2418F"/>
    <w:rsid w:val="00A242B7"/>
    <w:rsid w:val="00A2470C"/>
    <w:rsid w:val="00A24813"/>
    <w:rsid w:val="00A2482B"/>
    <w:rsid w:val="00A24B04"/>
    <w:rsid w:val="00A24E30"/>
    <w:rsid w:val="00A24E5C"/>
    <w:rsid w:val="00A24FBA"/>
    <w:rsid w:val="00A25108"/>
    <w:rsid w:val="00A25514"/>
    <w:rsid w:val="00A255A9"/>
    <w:rsid w:val="00A25735"/>
    <w:rsid w:val="00A25BF4"/>
    <w:rsid w:val="00A25FD5"/>
    <w:rsid w:val="00A2608E"/>
    <w:rsid w:val="00A26423"/>
    <w:rsid w:val="00A264E8"/>
    <w:rsid w:val="00A26A3B"/>
    <w:rsid w:val="00A27475"/>
    <w:rsid w:val="00A27A51"/>
    <w:rsid w:val="00A27AEC"/>
    <w:rsid w:val="00A27C3E"/>
    <w:rsid w:val="00A30524"/>
    <w:rsid w:val="00A30658"/>
    <w:rsid w:val="00A306D1"/>
    <w:rsid w:val="00A30A02"/>
    <w:rsid w:val="00A31006"/>
    <w:rsid w:val="00A311EA"/>
    <w:rsid w:val="00A31339"/>
    <w:rsid w:val="00A3156C"/>
    <w:rsid w:val="00A31EAD"/>
    <w:rsid w:val="00A320DB"/>
    <w:rsid w:val="00A3214B"/>
    <w:rsid w:val="00A3221E"/>
    <w:rsid w:val="00A32596"/>
    <w:rsid w:val="00A3264D"/>
    <w:rsid w:val="00A3267E"/>
    <w:rsid w:val="00A32858"/>
    <w:rsid w:val="00A33259"/>
    <w:rsid w:val="00A33649"/>
    <w:rsid w:val="00A33746"/>
    <w:rsid w:val="00A33B7E"/>
    <w:rsid w:val="00A33FE5"/>
    <w:rsid w:val="00A345F8"/>
    <w:rsid w:val="00A348E3"/>
    <w:rsid w:val="00A35186"/>
    <w:rsid w:val="00A351D0"/>
    <w:rsid w:val="00A351E8"/>
    <w:rsid w:val="00A3547A"/>
    <w:rsid w:val="00A3590E"/>
    <w:rsid w:val="00A3597A"/>
    <w:rsid w:val="00A35D16"/>
    <w:rsid w:val="00A3612E"/>
    <w:rsid w:val="00A3641D"/>
    <w:rsid w:val="00A36595"/>
    <w:rsid w:val="00A36A09"/>
    <w:rsid w:val="00A36A9B"/>
    <w:rsid w:val="00A36B0D"/>
    <w:rsid w:val="00A372FE"/>
    <w:rsid w:val="00A377F6"/>
    <w:rsid w:val="00A3784D"/>
    <w:rsid w:val="00A37AA2"/>
    <w:rsid w:val="00A37BCD"/>
    <w:rsid w:val="00A40110"/>
    <w:rsid w:val="00A40164"/>
    <w:rsid w:val="00A404CD"/>
    <w:rsid w:val="00A4063D"/>
    <w:rsid w:val="00A407B2"/>
    <w:rsid w:val="00A40F85"/>
    <w:rsid w:val="00A4128D"/>
    <w:rsid w:val="00A41689"/>
    <w:rsid w:val="00A417E9"/>
    <w:rsid w:val="00A41D5D"/>
    <w:rsid w:val="00A41DB7"/>
    <w:rsid w:val="00A423A4"/>
    <w:rsid w:val="00A42592"/>
    <w:rsid w:val="00A42914"/>
    <w:rsid w:val="00A42A91"/>
    <w:rsid w:val="00A42AF2"/>
    <w:rsid w:val="00A42C00"/>
    <w:rsid w:val="00A42C46"/>
    <w:rsid w:val="00A42F48"/>
    <w:rsid w:val="00A4306E"/>
    <w:rsid w:val="00A43427"/>
    <w:rsid w:val="00A435AA"/>
    <w:rsid w:val="00A437A6"/>
    <w:rsid w:val="00A43805"/>
    <w:rsid w:val="00A43C59"/>
    <w:rsid w:val="00A43D03"/>
    <w:rsid w:val="00A43F37"/>
    <w:rsid w:val="00A43F70"/>
    <w:rsid w:val="00A44124"/>
    <w:rsid w:val="00A4414D"/>
    <w:rsid w:val="00A4416E"/>
    <w:rsid w:val="00A445BE"/>
    <w:rsid w:val="00A44738"/>
    <w:rsid w:val="00A44B2F"/>
    <w:rsid w:val="00A44B44"/>
    <w:rsid w:val="00A44D8A"/>
    <w:rsid w:val="00A44DB3"/>
    <w:rsid w:val="00A4516F"/>
    <w:rsid w:val="00A451B6"/>
    <w:rsid w:val="00A45217"/>
    <w:rsid w:val="00A455B6"/>
    <w:rsid w:val="00A458B5"/>
    <w:rsid w:val="00A45988"/>
    <w:rsid w:val="00A459D5"/>
    <w:rsid w:val="00A45CA8"/>
    <w:rsid w:val="00A460CB"/>
    <w:rsid w:val="00A4620F"/>
    <w:rsid w:val="00A465AB"/>
    <w:rsid w:val="00A4670E"/>
    <w:rsid w:val="00A469CD"/>
    <w:rsid w:val="00A46E6F"/>
    <w:rsid w:val="00A46FD7"/>
    <w:rsid w:val="00A47637"/>
    <w:rsid w:val="00A47E12"/>
    <w:rsid w:val="00A5089F"/>
    <w:rsid w:val="00A50A40"/>
    <w:rsid w:val="00A50DB8"/>
    <w:rsid w:val="00A50E80"/>
    <w:rsid w:val="00A50ECD"/>
    <w:rsid w:val="00A51131"/>
    <w:rsid w:val="00A51535"/>
    <w:rsid w:val="00A51691"/>
    <w:rsid w:val="00A51781"/>
    <w:rsid w:val="00A518F3"/>
    <w:rsid w:val="00A51C91"/>
    <w:rsid w:val="00A51DA8"/>
    <w:rsid w:val="00A52729"/>
    <w:rsid w:val="00A527DC"/>
    <w:rsid w:val="00A52A08"/>
    <w:rsid w:val="00A52E2E"/>
    <w:rsid w:val="00A52EA2"/>
    <w:rsid w:val="00A53091"/>
    <w:rsid w:val="00A5332F"/>
    <w:rsid w:val="00A53675"/>
    <w:rsid w:val="00A53767"/>
    <w:rsid w:val="00A53A16"/>
    <w:rsid w:val="00A53C1E"/>
    <w:rsid w:val="00A53C2E"/>
    <w:rsid w:val="00A53D24"/>
    <w:rsid w:val="00A53F02"/>
    <w:rsid w:val="00A542C5"/>
    <w:rsid w:val="00A54331"/>
    <w:rsid w:val="00A5453B"/>
    <w:rsid w:val="00A547C8"/>
    <w:rsid w:val="00A54C28"/>
    <w:rsid w:val="00A552B2"/>
    <w:rsid w:val="00A5539C"/>
    <w:rsid w:val="00A553E5"/>
    <w:rsid w:val="00A5614F"/>
    <w:rsid w:val="00A56317"/>
    <w:rsid w:val="00A56342"/>
    <w:rsid w:val="00A564D7"/>
    <w:rsid w:val="00A56543"/>
    <w:rsid w:val="00A5655A"/>
    <w:rsid w:val="00A56B6A"/>
    <w:rsid w:val="00A570BD"/>
    <w:rsid w:val="00A574B1"/>
    <w:rsid w:val="00A575B9"/>
    <w:rsid w:val="00A578DC"/>
    <w:rsid w:val="00A57A5D"/>
    <w:rsid w:val="00A57A95"/>
    <w:rsid w:val="00A57C71"/>
    <w:rsid w:val="00A57D92"/>
    <w:rsid w:val="00A57DEB"/>
    <w:rsid w:val="00A57E28"/>
    <w:rsid w:val="00A57E89"/>
    <w:rsid w:val="00A57FEA"/>
    <w:rsid w:val="00A6019F"/>
    <w:rsid w:val="00A6045A"/>
    <w:rsid w:val="00A60836"/>
    <w:rsid w:val="00A610F4"/>
    <w:rsid w:val="00A6113D"/>
    <w:rsid w:val="00A6130D"/>
    <w:rsid w:val="00A61599"/>
    <w:rsid w:val="00A61762"/>
    <w:rsid w:val="00A6183C"/>
    <w:rsid w:val="00A618BA"/>
    <w:rsid w:val="00A61DFC"/>
    <w:rsid w:val="00A6232A"/>
    <w:rsid w:val="00A62611"/>
    <w:rsid w:val="00A6267A"/>
    <w:rsid w:val="00A62845"/>
    <w:rsid w:val="00A62AD5"/>
    <w:rsid w:val="00A631AC"/>
    <w:rsid w:val="00A631EF"/>
    <w:rsid w:val="00A63409"/>
    <w:rsid w:val="00A63450"/>
    <w:rsid w:val="00A6365A"/>
    <w:rsid w:val="00A63820"/>
    <w:rsid w:val="00A640E2"/>
    <w:rsid w:val="00A645E8"/>
    <w:rsid w:val="00A64C11"/>
    <w:rsid w:val="00A64CE7"/>
    <w:rsid w:val="00A64D65"/>
    <w:rsid w:val="00A64D6A"/>
    <w:rsid w:val="00A64F46"/>
    <w:rsid w:val="00A651CD"/>
    <w:rsid w:val="00A653CF"/>
    <w:rsid w:val="00A656ED"/>
    <w:rsid w:val="00A657A6"/>
    <w:rsid w:val="00A658E9"/>
    <w:rsid w:val="00A6609C"/>
    <w:rsid w:val="00A660F8"/>
    <w:rsid w:val="00A663B1"/>
    <w:rsid w:val="00A66883"/>
    <w:rsid w:val="00A66963"/>
    <w:rsid w:val="00A66E75"/>
    <w:rsid w:val="00A671CC"/>
    <w:rsid w:val="00A6725B"/>
    <w:rsid w:val="00A6752B"/>
    <w:rsid w:val="00A675A3"/>
    <w:rsid w:val="00A67931"/>
    <w:rsid w:val="00A679A7"/>
    <w:rsid w:val="00A679F1"/>
    <w:rsid w:val="00A67AB2"/>
    <w:rsid w:val="00A67C4F"/>
    <w:rsid w:val="00A70519"/>
    <w:rsid w:val="00A705DD"/>
    <w:rsid w:val="00A70605"/>
    <w:rsid w:val="00A706AF"/>
    <w:rsid w:val="00A709E8"/>
    <w:rsid w:val="00A70E77"/>
    <w:rsid w:val="00A7143C"/>
    <w:rsid w:val="00A7153C"/>
    <w:rsid w:val="00A71B9A"/>
    <w:rsid w:val="00A72143"/>
    <w:rsid w:val="00A721C5"/>
    <w:rsid w:val="00A72329"/>
    <w:rsid w:val="00A727D2"/>
    <w:rsid w:val="00A72B4C"/>
    <w:rsid w:val="00A72CC7"/>
    <w:rsid w:val="00A72F23"/>
    <w:rsid w:val="00A73134"/>
    <w:rsid w:val="00A7334F"/>
    <w:rsid w:val="00A7342E"/>
    <w:rsid w:val="00A735BB"/>
    <w:rsid w:val="00A73644"/>
    <w:rsid w:val="00A7365A"/>
    <w:rsid w:val="00A73850"/>
    <w:rsid w:val="00A73C8B"/>
    <w:rsid w:val="00A73D69"/>
    <w:rsid w:val="00A73E6E"/>
    <w:rsid w:val="00A73EB6"/>
    <w:rsid w:val="00A74178"/>
    <w:rsid w:val="00A741DF"/>
    <w:rsid w:val="00A743A1"/>
    <w:rsid w:val="00A746B4"/>
    <w:rsid w:val="00A74E7A"/>
    <w:rsid w:val="00A7556C"/>
    <w:rsid w:val="00A7566E"/>
    <w:rsid w:val="00A757F8"/>
    <w:rsid w:val="00A75962"/>
    <w:rsid w:val="00A75EB3"/>
    <w:rsid w:val="00A75F61"/>
    <w:rsid w:val="00A76001"/>
    <w:rsid w:val="00A76058"/>
    <w:rsid w:val="00A76068"/>
    <w:rsid w:val="00A76131"/>
    <w:rsid w:val="00A7663E"/>
    <w:rsid w:val="00A76A17"/>
    <w:rsid w:val="00A76A2E"/>
    <w:rsid w:val="00A76B70"/>
    <w:rsid w:val="00A76C50"/>
    <w:rsid w:val="00A777B2"/>
    <w:rsid w:val="00A77C05"/>
    <w:rsid w:val="00A77CEA"/>
    <w:rsid w:val="00A77FB8"/>
    <w:rsid w:val="00A8042B"/>
    <w:rsid w:val="00A80894"/>
    <w:rsid w:val="00A80C82"/>
    <w:rsid w:val="00A80E3A"/>
    <w:rsid w:val="00A81932"/>
    <w:rsid w:val="00A819CA"/>
    <w:rsid w:val="00A81B97"/>
    <w:rsid w:val="00A82303"/>
    <w:rsid w:val="00A823DF"/>
    <w:rsid w:val="00A825D4"/>
    <w:rsid w:val="00A8267C"/>
    <w:rsid w:val="00A8268B"/>
    <w:rsid w:val="00A828F6"/>
    <w:rsid w:val="00A82AC2"/>
    <w:rsid w:val="00A82B73"/>
    <w:rsid w:val="00A82BEA"/>
    <w:rsid w:val="00A82D60"/>
    <w:rsid w:val="00A82F8D"/>
    <w:rsid w:val="00A831A9"/>
    <w:rsid w:val="00A834E5"/>
    <w:rsid w:val="00A8357D"/>
    <w:rsid w:val="00A8364E"/>
    <w:rsid w:val="00A8394A"/>
    <w:rsid w:val="00A83B06"/>
    <w:rsid w:val="00A83E13"/>
    <w:rsid w:val="00A83E22"/>
    <w:rsid w:val="00A842FA"/>
    <w:rsid w:val="00A84CF8"/>
    <w:rsid w:val="00A84D00"/>
    <w:rsid w:val="00A84FEA"/>
    <w:rsid w:val="00A85053"/>
    <w:rsid w:val="00A852BC"/>
    <w:rsid w:val="00A85896"/>
    <w:rsid w:val="00A858FC"/>
    <w:rsid w:val="00A85AE5"/>
    <w:rsid w:val="00A85BBF"/>
    <w:rsid w:val="00A85ED9"/>
    <w:rsid w:val="00A8638E"/>
    <w:rsid w:val="00A86A1C"/>
    <w:rsid w:val="00A86E8B"/>
    <w:rsid w:val="00A87164"/>
    <w:rsid w:val="00A871A9"/>
    <w:rsid w:val="00A872B4"/>
    <w:rsid w:val="00A874CE"/>
    <w:rsid w:val="00A87CCA"/>
    <w:rsid w:val="00A87EB7"/>
    <w:rsid w:val="00A909E4"/>
    <w:rsid w:val="00A90C31"/>
    <w:rsid w:val="00A91028"/>
    <w:rsid w:val="00A91454"/>
    <w:rsid w:val="00A9163D"/>
    <w:rsid w:val="00A91757"/>
    <w:rsid w:val="00A9180F"/>
    <w:rsid w:val="00A91A36"/>
    <w:rsid w:val="00A91AB6"/>
    <w:rsid w:val="00A91B2F"/>
    <w:rsid w:val="00A91E0A"/>
    <w:rsid w:val="00A921F4"/>
    <w:rsid w:val="00A9237C"/>
    <w:rsid w:val="00A924DB"/>
    <w:rsid w:val="00A92549"/>
    <w:rsid w:val="00A929A0"/>
    <w:rsid w:val="00A92AAD"/>
    <w:rsid w:val="00A92AD6"/>
    <w:rsid w:val="00A92DCB"/>
    <w:rsid w:val="00A93072"/>
    <w:rsid w:val="00A931CC"/>
    <w:rsid w:val="00A938BD"/>
    <w:rsid w:val="00A93953"/>
    <w:rsid w:val="00A93B7D"/>
    <w:rsid w:val="00A93E85"/>
    <w:rsid w:val="00A94381"/>
    <w:rsid w:val="00A94584"/>
    <w:rsid w:val="00A94A94"/>
    <w:rsid w:val="00A94D33"/>
    <w:rsid w:val="00A954F9"/>
    <w:rsid w:val="00A9567B"/>
    <w:rsid w:val="00A95868"/>
    <w:rsid w:val="00A959D8"/>
    <w:rsid w:val="00A95B6F"/>
    <w:rsid w:val="00A95E02"/>
    <w:rsid w:val="00A960FD"/>
    <w:rsid w:val="00A96315"/>
    <w:rsid w:val="00A96423"/>
    <w:rsid w:val="00A9645F"/>
    <w:rsid w:val="00A96662"/>
    <w:rsid w:val="00A967EB"/>
    <w:rsid w:val="00A96F6D"/>
    <w:rsid w:val="00A96F8F"/>
    <w:rsid w:val="00A97263"/>
    <w:rsid w:val="00A97749"/>
    <w:rsid w:val="00A979E4"/>
    <w:rsid w:val="00AA0000"/>
    <w:rsid w:val="00AA036C"/>
    <w:rsid w:val="00AA0418"/>
    <w:rsid w:val="00AA053C"/>
    <w:rsid w:val="00AA056C"/>
    <w:rsid w:val="00AA0629"/>
    <w:rsid w:val="00AA06E5"/>
    <w:rsid w:val="00AA0C21"/>
    <w:rsid w:val="00AA0D61"/>
    <w:rsid w:val="00AA0F40"/>
    <w:rsid w:val="00AA0FB7"/>
    <w:rsid w:val="00AA0FFC"/>
    <w:rsid w:val="00AA113D"/>
    <w:rsid w:val="00AA11C3"/>
    <w:rsid w:val="00AA12DF"/>
    <w:rsid w:val="00AA1743"/>
    <w:rsid w:val="00AA192F"/>
    <w:rsid w:val="00AA1C10"/>
    <w:rsid w:val="00AA1E05"/>
    <w:rsid w:val="00AA1FDB"/>
    <w:rsid w:val="00AA2A3A"/>
    <w:rsid w:val="00AA2BA8"/>
    <w:rsid w:val="00AA2C48"/>
    <w:rsid w:val="00AA2EE4"/>
    <w:rsid w:val="00AA309B"/>
    <w:rsid w:val="00AA319E"/>
    <w:rsid w:val="00AA35CB"/>
    <w:rsid w:val="00AA36B2"/>
    <w:rsid w:val="00AA377F"/>
    <w:rsid w:val="00AA38FF"/>
    <w:rsid w:val="00AA395E"/>
    <w:rsid w:val="00AA3BC3"/>
    <w:rsid w:val="00AA3C34"/>
    <w:rsid w:val="00AA3D06"/>
    <w:rsid w:val="00AA444D"/>
    <w:rsid w:val="00AA45B1"/>
    <w:rsid w:val="00AA45B8"/>
    <w:rsid w:val="00AA46B0"/>
    <w:rsid w:val="00AA4724"/>
    <w:rsid w:val="00AA490C"/>
    <w:rsid w:val="00AA4932"/>
    <w:rsid w:val="00AA4B9A"/>
    <w:rsid w:val="00AA52B1"/>
    <w:rsid w:val="00AA5775"/>
    <w:rsid w:val="00AA59B0"/>
    <w:rsid w:val="00AA5BAD"/>
    <w:rsid w:val="00AA5C0E"/>
    <w:rsid w:val="00AA5CAA"/>
    <w:rsid w:val="00AA5F02"/>
    <w:rsid w:val="00AA63EF"/>
    <w:rsid w:val="00AA6415"/>
    <w:rsid w:val="00AA650D"/>
    <w:rsid w:val="00AA6BD5"/>
    <w:rsid w:val="00AA6BD8"/>
    <w:rsid w:val="00AA6C7D"/>
    <w:rsid w:val="00AA748E"/>
    <w:rsid w:val="00AA74C2"/>
    <w:rsid w:val="00AA77B1"/>
    <w:rsid w:val="00AA7902"/>
    <w:rsid w:val="00AA7F16"/>
    <w:rsid w:val="00AA7F76"/>
    <w:rsid w:val="00AA7FD6"/>
    <w:rsid w:val="00AB035C"/>
    <w:rsid w:val="00AB042A"/>
    <w:rsid w:val="00AB0898"/>
    <w:rsid w:val="00AB0AA9"/>
    <w:rsid w:val="00AB0EC3"/>
    <w:rsid w:val="00AB11AD"/>
    <w:rsid w:val="00AB1344"/>
    <w:rsid w:val="00AB156B"/>
    <w:rsid w:val="00AB19EF"/>
    <w:rsid w:val="00AB1F01"/>
    <w:rsid w:val="00AB200B"/>
    <w:rsid w:val="00AB2379"/>
    <w:rsid w:val="00AB23CE"/>
    <w:rsid w:val="00AB2495"/>
    <w:rsid w:val="00AB24C0"/>
    <w:rsid w:val="00AB2863"/>
    <w:rsid w:val="00AB28FE"/>
    <w:rsid w:val="00AB2912"/>
    <w:rsid w:val="00AB2D34"/>
    <w:rsid w:val="00AB2E20"/>
    <w:rsid w:val="00AB3430"/>
    <w:rsid w:val="00AB349D"/>
    <w:rsid w:val="00AB351F"/>
    <w:rsid w:val="00AB37B9"/>
    <w:rsid w:val="00AB4243"/>
    <w:rsid w:val="00AB44F1"/>
    <w:rsid w:val="00AB47D5"/>
    <w:rsid w:val="00AB4AD1"/>
    <w:rsid w:val="00AB4C04"/>
    <w:rsid w:val="00AB4C48"/>
    <w:rsid w:val="00AB4E9F"/>
    <w:rsid w:val="00AB4F8D"/>
    <w:rsid w:val="00AB5087"/>
    <w:rsid w:val="00AB523A"/>
    <w:rsid w:val="00AB5367"/>
    <w:rsid w:val="00AB53F0"/>
    <w:rsid w:val="00AB5410"/>
    <w:rsid w:val="00AB5436"/>
    <w:rsid w:val="00AB55C4"/>
    <w:rsid w:val="00AB5708"/>
    <w:rsid w:val="00AB59F6"/>
    <w:rsid w:val="00AB5E07"/>
    <w:rsid w:val="00AB6520"/>
    <w:rsid w:val="00AB68DB"/>
    <w:rsid w:val="00AB6994"/>
    <w:rsid w:val="00AB71FB"/>
    <w:rsid w:val="00AB72A0"/>
    <w:rsid w:val="00AB7594"/>
    <w:rsid w:val="00AB774D"/>
    <w:rsid w:val="00AB77BB"/>
    <w:rsid w:val="00AB7A0B"/>
    <w:rsid w:val="00AB7CB9"/>
    <w:rsid w:val="00AB7CFA"/>
    <w:rsid w:val="00AB7D7F"/>
    <w:rsid w:val="00AB7ED7"/>
    <w:rsid w:val="00AC00F8"/>
    <w:rsid w:val="00AC0814"/>
    <w:rsid w:val="00AC091D"/>
    <w:rsid w:val="00AC0962"/>
    <w:rsid w:val="00AC0B44"/>
    <w:rsid w:val="00AC0C03"/>
    <w:rsid w:val="00AC0C10"/>
    <w:rsid w:val="00AC0C77"/>
    <w:rsid w:val="00AC0CA4"/>
    <w:rsid w:val="00AC0FA6"/>
    <w:rsid w:val="00AC10ED"/>
    <w:rsid w:val="00AC1127"/>
    <w:rsid w:val="00AC13D1"/>
    <w:rsid w:val="00AC140E"/>
    <w:rsid w:val="00AC16B1"/>
    <w:rsid w:val="00AC181B"/>
    <w:rsid w:val="00AC19AC"/>
    <w:rsid w:val="00AC1DBB"/>
    <w:rsid w:val="00AC1F40"/>
    <w:rsid w:val="00AC201E"/>
    <w:rsid w:val="00AC2041"/>
    <w:rsid w:val="00AC2079"/>
    <w:rsid w:val="00AC253E"/>
    <w:rsid w:val="00AC26A2"/>
    <w:rsid w:val="00AC2874"/>
    <w:rsid w:val="00AC2A2B"/>
    <w:rsid w:val="00AC2D0A"/>
    <w:rsid w:val="00AC3255"/>
    <w:rsid w:val="00AC33C6"/>
    <w:rsid w:val="00AC3464"/>
    <w:rsid w:val="00AC355E"/>
    <w:rsid w:val="00AC3C3F"/>
    <w:rsid w:val="00AC3CFE"/>
    <w:rsid w:val="00AC5146"/>
    <w:rsid w:val="00AC56A9"/>
    <w:rsid w:val="00AC56AA"/>
    <w:rsid w:val="00AC5719"/>
    <w:rsid w:val="00AC5B42"/>
    <w:rsid w:val="00AC5B48"/>
    <w:rsid w:val="00AC5F9C"/>
    <w:rsid w:val="00AC635E"/>
    <w:rsid w:val="00AC6660"/>
    <w:rsid w:val="00AC6772"/>
    <w:rsid w:val="00AC6DBD"/>
    <w:rsid w:val="00AC6E48"/>
    <w:rsid w:val="00AC6E6E"/>
    <w:rsid w:val="00AC6EA0"/>
    <w:rsid w:val="00AC713F"/>
    <w:rsid w:val="00AC716E"/>
    <w:rsid w:val="00AC725F"/>
    <w:rsid w:val="00AC77F1"/>
    <w:rsid w:val="00AD082A"/>
    <w:rsid w:val="00AD0CFE"/>
    <w:rsid w:val="00AD0F7A"/>
    <w:rsid w:val="00AD1450"/>
    <w:rsid w:val="00AD154D"/>
    <w:rsid w:val="00AD15E8"/>
    <w:rsid w:val="00AD1B9B"/>
    <w:rsid w:val="00AD1D4F"/>
    <w:rsid w:val="00AD2117"/>
    <w:rsid w:val="00AD265F"/>
    <w:rsid w:val="00AD2B96"/>
    <w:rsid w:val="00AD2BB5"/>
    <w:rsid w:val="00AD2FE6"/>
    <w:rsid w:val="00AD3124"/>
    <w:rsid w:val="00AD32BD"/>
    <w:rsid w:val="00AD32D5"/>
    <w:rsid w:val="00AD3394"/>
    <w:rsid w:val="00AD344D"/>
    <w:rsid w:val="00AD356D"/>
    <w:rsid w:val="00AD39FE"/>
    <w:rsid w:val="00AD416F"/>
    <w:rsid w:val="00AD4322"/>
    <w:rsid w:val="00AD462C"/>
    <w:rsid w:val="00AD472B"/>
    <w:rsid w:val="00AD485F"/>
    <w:rsid w:val="00AD4955"/>
    <w:rsid w:val="00AD495F"/>
    <w:rsid w:val="00AD4C3A"/>
    <w:rsid w:val="00AD4C45"/>
    <w:rsid w:val="00AD5107"/>
    <w:rsid w:val="00AD52E2"/>
    <w:rsid w:val="00AD5392"/>
    <w:rsid w:val="00AD54F8"/>
    <w:rsid w:val="00AD5669"/>
    <w:rsid w:val="00AD5771"/>
    <w:rsid w:val="00AD5776"/>
    <w:rsid w:val="00AD5E83"/>
    <w:rsid w:val="00AD6502"/>
    <w:rsid w:val="00AD652E"/>
    <w:rsid w:val="00AD65AD"/>
    <w:rsid w:val="00AD670E"/>
    <w:rsid w:val="00AD678E"/>
    <w:rsid w:val="00AD69D1"/>
    <w:rsid w:val="00AD6C91"/>
    <w:rsid w:val="00AD6C99"/>
    <w:rsid w:val="00AD6E14"/>
    <w:rsid w:val="00AD6FD0"/>
    <w:rsid w:val="00AD7026"/>
    <w:rsid w:val="00AD73B0"/>
    <w:rsid w:val="00AD7A2B"/>
    <w:rsid w:val="00AD7C5E"/>
    <w:rsid w:val="00AE0092"/>
    <w:rsid w:val="00AE04E2"/>
    <w:rsid w:val="00AE05F3"/>
    <w:rsid w:val="00AE0695"/>
    <w:rsid w:val="00AE07B9"/>
    <w:rsid w:val="00AE0856"/>
    <w:rsid w:val="00AE0A43"/>
    <w:rsid w:val="00AE0B20"/>
    <w:rsid w:val="00AE13D0"/>
    <w:rsid w:val="00AE18EE"/>
    <w:rsid w:val="00AE1A94"/>
    <w:rsid w:val="00AE1C1B"/>
    <w:rsid w:val="00AE2685"/>
    <w:rsid w:val="00AE28AE"/>
    <w:rsid w:val="00AE2B37"/>
    <w:rsid w:val="00AE2BD6"/>
    <w:rsid w:val="00AE2DF5"/>
    <w:rsid w:val="00AE33E2"/>
    <w:rsid w:val="00AE3864"/>
    <w:rsid w:val="00AE39F6"/>
    <w:rsid w:val="00AE3A04"/>
    <w:rsid w:val="00AE3B27"/>
    <w:rsid w:val="00AE3B49"/>
    <w:rsid w:val="00AE3C76"/>
    <w:rsid w:val="00AE3D41"/>
    <w:rsid w:val="00AE3E1D"/>
    <w:rsid w:val="00AE3E7E"/>
    <w:rsid w:val="00AE44C9"/>
    <w:rsid w:val="00AE4525"/>
    <w:rsid w:val="00AE489A"/>
    <w:rsid w:val="00AE4B6B"/>
    <w:rsid w:val="00AE4C26"/>
    <w:rsid w:val="00AE4F2A"/>
    <w:rsid w:val="00AE4F73"/>
    <w:rsid w:val="00AE5224"/>
    <w:rsid w:val="00AE5574"/>
    <w:rsid w:val="00AE570B"/>
    <w:rsid w:val="00AE579F"/>
    <w:rsid w:val="00AE5988"/>
    <w:rsid w:val="00AE5CA9"/>
    <w:rsid w:val="00AE5D74"/>
    <w:rsid w:val="00AE62A1"/>
    <w:rsid w:val="00AE6409"/>
    <w:rsid w:val="00AE681D"/>
    <w:rsid w:val="00AE6906"/>
    <w:rsid w:val="00AE6A0E"/>
    <w:rsid w:val="00AE6AC0"/>
    <w:rsid w:val="00AE6B31"/>
    <w:rsid w:val="00AE6DF5"/>
    <w:rsid w:val="00AE6DFF"/>
    <w:rsid w:val="00AE6E7E"/>
    <w:rsid w:val="00AE704B"/>
    <w:rsid w:val="00AE7350"/>
    <w:rsid w:val="00AE7400"/>
    <w:rsid w:val="00AE7831"/>
    <w:rsid w:val="00AE7907"/>
    <w:rsid w:val="00AE7E53"/>
    <w:rsid w:val="00AE7F16"/>
    <w:rsid w:val="00AF01A0"/>
    <w:rsid w:val="00AF0288"/>
    <w:rsid w:val="00AF06D5"/>
    <w:rsid w:val="00AF0F12"/>
    <w:rsid w:val="00AF1315"/>
    <w:rsid w:val="00AF13CE"/>
    <w:rsid w:val="00AF14B5"/>
    <w:rsid w:val="00AF16D0"/>
    <w:rsid w:val="00AF1956"/>
    <w:rsid w:val="00AF196F"/>
    <w:rsid w:val="00AF19BF"/>
    <w:rsid w:val="00AF2040"/>
    <w:rsid w:val="00AF2264"/>
    <w:rsid w:val="00AF29E3"/>
    <w:rsid w:val="00AF2C7C"/>
    <w:rsid w:val="00AF2DC3"/>
    <w:rsid w:val="00AF2DCE"/>
    <w:rsid w:val="00AF2E07"/>
    <w:rsid w:val="00AF2E67"/>
    <w:rsid w:val="00AF3152"/>
    <w:rsid w:val="00AF31DD"/>
    <w:rsid w:val="00AF33C0"/>
    <w:rsid w:val="00AF38A3"/>
    <w:rsid w:val="00AF3B9E"/>
    <w:rsid w:val="00AF3FB6"/>
    <w:rsid w:val="00AF41DE"/>
    <w:rsid w:val="00AF4224"/>
    <w:rsid w:val="00AF4246"/>
    <w:rsid w:val="00AF4662"/>
    <w:rsid w:val="00AF469B"/>
    <w:rsid w:val="00AF4905"/>
    <w:rsid w:val="00AF4C34"/>
    <w:rsid w:val="00AF4FEC"/>
    <w:rsid w:val="00AF5A32"/>
    <w:rsid w:val="00AF5A61"/>
    <w:rsid w:val="00AF5B60"/>
    <w:rsid w:val="00AF5DC4"/>
    <w:rsid w:val="00AF5EF5"/>
    <w:rsid w:val="00AF5F39"/>
    <w:rsid w:val="00AF623E"/>
    <w:rsid w:val="00AF699E"/>
    <w:rsid w:val="00AF6D58"/>
    <w:rsid w:val="00AF788F"/>
    <w:rsid w:val="00AF79EE"/>
    <w:rsid w:val="00AF7C17"/>
    <w:rsid w:val="00AF7C28"/>
    <w:rsid w:val="00AF7F63"/>
    <w:rsid w:val="00B002C7"/>
    <w:rsid w:val="00B008E6"/>
    <w:rsid w:val="00B00A22"/>
    <w:rsid w:val="00B011B8"/>
    <w:rsid w:val="00B01309"/>
    <w:rsid w:val="00B018B6"/>
    <w:rsid w:val="00B01B75"/>
    <w:rsid w:val="00B0242C"/>
    <w:rsid w:val="00B026F2"/>
    <w:rsid w:val="00B02828"/>
    <w:rsid w:val="00B028A8"/>
    <w:rsid w:val="00B032FE"/>
    <w:rsid w:val="00B03379"/>
    <w:rsid w:val="00B03398"/>
    <w:rsid w:val="00B033D3"/>
    <w:rsid w:val="00B033E5"/>
    <w:rsid w:val="00B034AF"/>
    <w:rsid w:val="00B0354F"/>
    <w:rsid w:val="00B03875"/>
    <w:rsid w:val="00B03A63"/>
    <w:rsid w:val="00B03F0C"/>
    <w:rsid w:val="00B041C3"/>
    <w:rsid w:val="00B04644"/>
    <w:rsid w:val="00B04791"/>
    <w:rsid w:val="00B0485A"/>
    <w:rsid w:val="00B048D9"/>
    <w:rsid w:val="00B04EB7"/>
    <w:rsid w:val="00B04F90"/>
    <w:rsid w:val="00B04FAB"/>
    <w:rsid w:val="00B054A4"/>
    <w:rsid w:val="00B05533"/>
    <w:rsid w:val="00B057B8"/>
    <w:rsid w:val="00B059C2"/>
    <w:rsid w:val="00B059C4"/>
    <w:rsid w:val="00B05AFA"/>
    <w:rsid w:val="00B05E9A"/>
    <w:rsid w:val="00B067C6"/>
    <w:rsid w:val="00B06A53"/>
    <w:rsid w:val="00B06EC3"/>
    <w:rsid w:val="00B06FED"/>
    <w:rsid w:val="00B079DA"/>
    <w:rsid w:val="00B07B27"/>
    <w:rsid w:val="00B07C97"/>
    <w:rsid w:val="00B10020"/>
    <w:rsid w:val="00B100FB"/>
    <w:rsid w:val="00B1013D"/>
    <w:rsid w:val="00B1060F"/>
    <w:rsid w:val="00B10657"/>
    <w:rsid w:val="00B10EDE"/>
    <w:rsid w:val="00B11143"/>
    <w:rsid w:val="00B115BE"/>
    <w:rsid w:val="00B117D8"/>
    <w:rsid w:val="00B11B91"/>
    <w:rsid w:val="00B11BE7"/>
    <w:rsid w:val="00B11DC4"/>
    <w:rsid w:val="00B11F72"/>
    <w:rsid w:val="00B12088"/>
    <w:rsid w:val="00B120E2"/>
    <w:rsid w:val="00B122FF"/>
    <w:rsid w:val="00B125D6"/>
    <w:rsid w:val="00B12698"/>
    <w:rsid w:val="00B12765"/>
    <w:rsid w:val="00B129A4"/>
    <w:rsid w:val="00B12A34"/>
    <w:rsid w:val="00B12F61"/>
    <w:rsid w:val="00B1312E"/>
    <w:rsid w:val="00B13759"/>
    <w:rsid w:val="00B13D3E"/>
    <w:rsid w:val="00B141F2"/>
    <w:rsid w:val="00B142C7"/>
    <w:rsid w:val="00B1454A"/>
    <w:rsid w:val="00B148E0"/>
    <w:rsid w:val="00B14CCF"/>
    <w:rsid w:val="00B14E3F"/>
    <w:rsid w:val="00B14E79"/>
    <w:rsid w:val="00B14EAD"/>
    <w:rsid w:val="00B1512C"/>
    <w:rsid w:val="00B15185"/>
    <w:rsid w:val="00B1562A"/>
    <w:rsid w:val="00B15753"/>
    <w:rsid w:val="00B157D2"/>
    <w:rsid w:val="00B15820"/>
    <w:rsid w:val="00B15F4F"/>
    <w:rsid w:val="00B15FF3"/>
    <w:rsid w:val="00B1692C"/>
    <w:rsid w:val="00B16A89"/>
    <w:rsid w:val="00B16D2F"/>
    <w:rsid w:val="00B16EEC"/>
    <w:rsid w:val="00B16F63"/>
    <w:rsid w:val="00B173C6"/>
    <w:rsid w:val="00B175AA"/>
    <w:rsid w:val="00B1793D"/>
    <w:rsid w:val="00B17E1E"/>
    <w:rsid w:val="00B20011"/>
    <w:rsid w:val="00B201A4"/>
    <w:rsid w:val="00B201D1"/>
    <w:rsid w:val="00B2087E"/>
    <w:rsid w:val="00B20C7A"/>
    <w:rsid w:val="00B20CA4"/>
    <w:rsid w:val="00B20D1E"/>
    <w:rsid w:val="00B20FD5"/>
    <w:rsid w:val="00B210B9"/>
    <w:rsid w:val="00B21138"/>
    <w:rsid w:val="00B21369"/>
    <w:rsid w:val="00B213A6"/>
    <w:rsid w:val="00B21751"/>
    <w:rsid w:val="00B21CC3"/>
    <w:rsid w:val="00B21CD8"/>
    <w:rsid w:val="00B22118"/>
    <w:rsid w:val="00B2244D"/>
    <w:rsid w:val="00B22502"/>
    <w:rsid w:val="00B2281E"/>
    <w:rsid w:val="00B235B0"/>
    <w:rsid w:val="00B23E33"/>
    <w:rsid w:val="00B23E91"/>
    <w:rsid w:val="00B240E6"/>
    <w:rsid w:val="00B24499"/>
    <w:rsid w:val="00B24572"/>
    <w:rsid w:val="00B24B59"/>
    <w:rsid w:val="00B24DF6"/>
    <w:rsid w:val="00B25069"/>
    <w:rsid w:val="00B250BA"/>
    <w:rsid w:val="00B254F8"/>
    <w:rsid w:val="00B25703"/>
    <w:rsid w:val="00B25722"/>
    <w:rsid w:val="00B25725"/>
    <w:rsid w:val="00B2580D"/>
    <w:rsid w:val="00B25C94"/>
    <w:rsid w:val="00B25CDC"/>
    <w:rsid w:val="00B265D8"/>
    <w:rsid w:val="00B266C9"/>
    <w:rsid w:val="00B26755"/>
    <w:rsid w:val="00B26D57"/>
    <w:rsid w:val="00B26D73"/>
    <w:rsid w:val="00B270C0"/>
    <w:rsid w:val="00B273C3"/>
    <w:rsid w:val="00B274E3"/>
    <w:rsid w:val="00B275FB"/>
    <w:rsid w:val="00B27783"/>
    <w:rsid w:val="00B27A61"/>
    <w:rsid w:val="00B30862"/>
    <w:rsid w:val="00B30A7F"/>
    <w:rsid w:val="00B30B87"/>
    <w:rsid w:val="00B30E2C"/>
    <w:rsid w:val="00B31072"/>
    <w:rsid w:val="00B3143B"/>
    <w:rsid w:val="00B3196C"/>
    <w:rsid w:val="00B31BF7"/>
    <w:rsid w:val="00B32023"/>
    <w:rsid w:val="00B324CB"/>
    <w:rsid w:val="00B32656"/>
    <w:rsid w:val="00B32DEC"/>
    <w:rsid w:val="00B3344E"/>
    <w:rsid w:val="00B3347F"/>
    <w:rsid w:val="00B334F0"/>
    <w:rsid w:val="00B3455F"/>
    <w:rsid w:val="00B34996"/>
    <w:rsid w:val="00B34997"/>
    <w:rsid w:val="00B34A05"/>
    <w:rsid w:val="00B34A92"/>
    <w:rsid w:val="00B34B99"/>
    <w:rsid w:val="00B34CE3"/>
    <w:rsid w:val="00B34DE1"/>
    <w:rsid w:val="00B34FE2"/>
    <w:rsid w:val="00B35166"/>
    <w:rsid w:val="00B357D8"/>
    <w:rsid w:val="00B35887"/>
    <w:rsid w:val="00B35D9D"/>
    <w:rsid w:val="00B35E9B"/>
    <w:rsid w:val="00B360F4"/>
    <w:rsid w:val="00B36376"/>
    <w:rsid w:val="00B365C8"/>
    <w:rsid w:val="00B36A00"/>
    <w:rsid w:val="00B375F9"/>
    <w:rsid w:val="00B37785"/>
    <w:rsid w:val="00B3792B"/>
    <w:rsid w:val="00B37BA2"/>
    <w:rsid w:val="00B37BAD"/>
    <w:rsid w:val="00B37BFC"/>
    <w:rsid w:val="00B37E1A"/>
    <w:rsid w:val="00B40090"/>
    <w:rsid w:val="00B401C9"/>
    <w:rsid w:val="00B40358"/>
    <w:rsid w:val="00B403AD"/>
    <w:rsid w:val="00B40537"/>
    <w:rsid w:val="00B4059F"/>
    <w:rsid w:val="00B406BB"/>
    <w:rsid w:val="00B40AB6"/>
    <w:rsid w:val="00B40D3C"/>
    <w:rsid w:val="00B40D5A"/>
    <w:rsid w:val="00B41142"/>
    <w:rsid w:val="00B41614"/>
    <w:rsid w:val="00B4207E"/>
    <w:rsid w:val="00B4226F"/>
    <w:rsid w:val="00B4247E"/>
    <w:rsid w:val="00B42562"/>
    <w:rsid w:val="00B42851"/>
    <w:rsid w:val="00B42ACE"/>
    <w:rsid w:val="00B42D30"/>
    <w:rsid w:val="00B42E0A"/>
    <w:rsid w:val="00B42F80"/>
    <w:rsid w:val="00B4329C"/>
    <w:rsid w:val="00B433B2"/>
    <w:rsid w:val="00B435CB"/>
    <w:rsid w:val="00B43840"/>
    <w:rsid w:val="00B43956"/>
    <w:rsid w:val="00B43AEB"/>
    <w:rsid w:val="00B43B5F"/>
    <w:rsid w:val="00B43B90"/>
    <w:rsid w:val="00B43DFC"/>
    <w:rsid w:val="00B43E1B"/>
    <w:rsid w:val="00B43E24"/>
    <w:rsid w:val="00B446BC"/>
    <w:rsid w:val="00B44B3A"/>
    <w:rsid w:val="00B44D4E"/>
    <w:rsid w:val="00B44DC2"/>
    <w:rsid w:val="00B4531F"/>
    <w:rsid w:val="00B45447"/>
    <w:rsid w:val="00B4566C"/>
    <w:rsid w:val="00B45998"/>
    <w:rsid w:val="00B45AE6"/>
    <w:rsid w:val="00B45B0A"/>
    <w:rsid w:val="00B45C28"/>
    <w:rsid w:val="00B4623F"/>
    <w:rsid w:val="00B4644C"/>
    <w:rsid w:val="00B465EC"/>
    <w:rsid w:val="00B466EA"/>
    <w:rsid w:val="00B46C43"/>
    <w:rsid w:val="00B46CFB"/>
    <w:rsid w:val="00B46DB5"/>
    <w:rsid w:val="00B46F68"/>
    <w:rsid w:val="00B47047"/>
    <w:rsid w:val="00B4705B"/>
    <w:rsid w:val="00B47311"/>
    <w:rsid w:val="00B47A3A"/>
    <w:rsid w:val="00B47ECA"/>
    <w:rsid w:val="00B500D6"/>
    <w:rsid w:val="00B50166"/>
    <w:rsid w:val="00B50432"/>
    <w:rsid w:val="00B505C8"/>
    <w:rsid w:val="00B5063F"/>
    <w:rsid w:val="00B506E7"/>
    <w:rsid w:val="00B507F1"/>
    <w:rsid w:val="00B50B05"/>
    <w:rsid w:val="00B50DB8"/>
    <w:rsid w:val="00B50F7F"/>
    <w:rsid w:val="00B51031"/>
    <w:rsid w:val="00B5153E"/>
    <w:rsid w:val="00B516B2"/>
    <w:rsid w:val="00B5173E"/>
    <w:rsid w:val="00B517F6"/>
    <w:rsid w:val="00B51B3F"/>
    <w:rsid w:val="00B51C1E"/>
    <w:rsid w:val="00B5220A"/>
    <w:rsid w:val="00B52467"/>
    <w:rsid w:val="00B52616"/>
    <w:rsid w:val="00B526A2"/>
    <w:rsid w:val="00B5278E"/>
    <w:rsid w:val="00B52BF5"/>
    <w:rsid w:val="00B52C58"/>
    <w:rsid w:val="00B53198"/>
    <w:rsid w:val="00B532F6"/>
    <w:rsid w:val="00B53654"/>
    <w:rsid w:val="00B53905"/>
    <w:rsid w:val="00B53BA0"/>
    <w:rsid w:val="00B53C08"/>
    <w:rsid w:val="00B53C49"/>
    <w:rsid w:val="00B540C6"/>
    <w:rsid w:val="00B54135"/>
    <w:rsid w:val="00B546DB"/>
    <w:rsid w:val="00B548BF"/>
    <w:rsid w:val="00B54A29"/>
    <w:rsid w:val="00B54B5B"/>
    <w:rsid w:val="00B55135"/>
    <w:rsid w:val="00B5524B"/>
    <w:rsid w:val="00B55566"/>
    <w:rsid w:val="00B555DD"/>
    <w:rsid w:val="00B5562E"/>
    <w:rsid w:val="00B5574C"/>
    <w:rsid w:val="00B55862"/>
    <w:rsid w:val="00B55D65"/>
    <w:rsid w:val="00B56305"/>
    <w:rsid w:val="00B563E9"/>
    <w:rsid w:val="00B5689C"/>
    <w:rsid w:val="00B569CE"/>
    <w:rsid w:val="00B56AD5"/>
    <w:rsid w:val="00B56BE8"/>
    <w:rsid w:val="00B56DFB"/>
    <w:rsid w:val="00B57000"/>
    <w:rsid w:val="00B571C8"/>
    <w:rsid w:val="00B57375"/>
    <w:rsid w:val="00B57C22"/>
    <w:rsid w:val="00B57D55"/>
    <w:rsid w:val="00B60089"/>
    <w:rsid w:val="00B6016D"/>
    <w:rsid w:val="00B601D5"/>
    <w:rsid w:val="00B60401"/>
    <w:rsid w:val="00B6048B"/>
    <w:rsid w:val="00B6067A"/>
    <w:rsid w:val="00B60939"/>
    <w:rsid w:val="00B60AFD"/>
    <w:rsid w:val="00B60CE3"/>
    <w:rsid w:val="00B60D7F"/>
    <w:rsid w:val="00B60E36"/>
    <w:rsid w:val="00B61132"/>
    <w:rsid w:val="00B611F7"/>
    <w:rsid w:val="00B61328"/>
    <w:rsid w:val="00B61375"/>
    <w:rsid w:val="00B615CC"/>
    <w:rsid w:val="00B6182D"/>
    <w:rsid w:val="00B618A8"/>
    <w:rsid w:val="00B618F8"/>
    <w:rsid w:val="00B6190B"/>
    <w:rsid w:val="00B6192A"/>
    <w:rsid w:val="00B61B21"/>
    <w:rsid w:val="00B61B4F"/>
    <w:rsid w:val="00B6231A"/>
    <w:rsid w:val="00B623BE"/>
    <w:rsid w:val="00B6254D"/>
    <w:rsid w:val="00B62715"/>
    <w:rsid w:val="00B62C66"/>
    <w:rsid w:val="00B62C95"/>
    <w:rsid w:val="00B62E04"/>
    <w:rsid w:val="00B62F78"/>
    <w:rsid w:val="00B6342E"/>
    <w:rsid w:val="00B634F2"/>
    <w:rsid w:val="00B6360C"/>
    <w:rsid w:val="00B636FA"/>
    <w:rsid w:val="00B63843"/>
    <w:rsid w:val="00B6390A"/>
    <w:rsid w:val="00B639D3"/>
    <w:rsid w:val="00B639DA"/>
    <w:rsid w:val="00B63A3F"/>
    <w:rsid w:val="00B63CFD"/>
    <w:rsid w:val="00B63D0B"/>
    <w:rsid w:val="00B63DE7"/>
    <w:rsid w:val="00B63F7C"/>
    <w:rsid w:val="00B64107"/>
    <w:rsid w:val="00B64656"/>
    <w:rsid w:val="00B649EF"/>
    <w:rsid w:val="00B64A00"/>
    <w:rsid w:val="00B64BDA"/>
    <w:rsid w:val="00B64DCF"/>
    <w:rsid w:val="00B64FCA"/>
    <w:rsid w:val="00B651B7"/>
    <w:rsid w:val="00B65611"/>
    <w:rsid w:val="00B65978"/>
    <w:rsid w:val="00B6646A"/>
    <w:rsid w:val="00B669B3"/>
    <w:rsid w:val="00B66C58"/>
    <w:rsid w:val="00B66E65"/>
    <w:rsid w:val="00B674F7"/>
    <w:rsid w:val="00B6766C"/>
    <w:rsid w:val="00B6779A"/>
    <w:rsid w:val="00B677B8"/>
    <w:rsid w:val="00B67D16"/>
    <w:rsid w:val="00B67DE8"/>
    <w:rsid w:val="00B7006B"/>
    <w:rsid w:val="00B70233"/>
    <w:rsid w:val="00B705E4"/>
    <w:rsid w:val="00B70E5D"/>
    <w:rsid w:val="00B70E8E"/>
    <w:rsid w:val="00B70F1D"/>
    <w:rsid w:val="00B714BE"/>
    <w:rsid w:val="00B7188A"/>
    <w:rsid w:val="00B71A6F"/>
    <w:rsid w:val="00B71F6C"/>
    <w:rsid w:val="00B722E3"/>
    <w:rsid w:val="00B724E2"/>
    <w:rsid w:val="00B7286B"/>
    <w:rsid w:val="00B72C68"/>
    <w:rsid w:val="00B73139"/>
    <w:rsid w:val="00B731CD"/>
    <w:rsid w:val="00B7324D"/>
    <w:rsid w:val="00B73539"/>
    <w:rsid w:val="00B73B23"/>
    <w:rsid w:val="00B74275"/>
    <w:rsid w:val="00B744A9"/>
    <w:rsid w:val="00B74502"/>
    <w:rsid w:val="00B748F9"/>
    <w:rsid w:val="00B74DFC"/>
    <w:rsid w:val="00B74F2A"/>
    <w:rsid w:val="00B750FF"/>
    <w:rsid w:val="00B7532D"/>
    <w:rsid w:val="00B75408"/>
    <w:rsid w:val="00B75762"/>
    <w:rsid w:val="00B7595E"/>
    <w:rsid w:val="00B75965"/>
    <w:rsid w:val="00B759AF"/>
    <w:rsid w:val="00B759DC"/>
    <w:rsid w:val="00B759EB"/>
    <w:rsid w:val="00B75A11"/>
    <w:rsid w:val="00B75B7D"/>
    <w:rsid w:val="00B75D76"/>
    <w:rsid w:val="00B75EC0"/>
    <w:rsid w:val="00B76193"/>
    <w:rsid w:val="00B76258"/>
    <w:rsid w:val="00B76C92"/>
    <w:rsid w:val="00B77362"/>
    <w:rsid w:val="00B7760E"/>
    <w:rsid w:val="00B77AE1"/>
    <w:rsid w:val="00B77C1D"/>
    <w:rsid w:val="00B800EF"/>
    <w:rsid w:val="00B80416"/>
    <w:rsid w:val="00B8042C"/>
    <w:rsid w:val="00B8048F"/>
    <w:rsid w:val="00B8061C"/>
    <w:rsid w:val="00B80975"/>
    <w:rsid w:val="00B80C18"/>
    <w:rsid w:val="00B80CD1"/>
    <w:rsid w:val="00B80EB7"/>
    <w:rsid w:val="00B80EFD"/>
    <w:rsid w:val="00B81095"/>
    <w:rsid w:val="00B810DF"/>
    <w:rsid w:val="00B8113D"/>
    <w:rsid w:val="00B815FC"/>
    <w:rsid w:val="00B816B0"/>
    <w:rsid w:val="00B818A4"/>
    <w:rsid w:val="00B81B50"/>
    <w:rsid w:val="00B81C19"/>
    <w:rsid w:val="00B82197"/>
    <w:rsid w:val="00B82EC6"/>
    <w:rsid w:val="00B83119"/>
    <w:rsid w:val="00B83491"/>
    <w:rsid w:val="00B834E8"/>
    <w:rsid w:val="00B83739"/>
    <w:rsid w:val="00B83A6F"/>
    <w:rsid w:val="00B83ACC"/>
    <w:rsid w:val="00B83E50"/>
    <w:rsid w:val="00B84117"/>
    <w:rsid w:val="00B84179"/>
    <w:rsid w:val="00B841B1"/>
    <w:rsid w:val="00B8469F"/>
    <w:rsid w:val="00B8478E"/>
    <w:rsid w:val="00B84832"/>
    <w:rsid w:val="00B8486F"/>
    <w:rsid w:val="00B8494E"/>
    <w:rsid w:val="00B8495C"/>
    <w:rsid w:val="00B84A89"/>
    <w:rsid w:val="00B84ADB"/>
    <w:rsid w:val="00B84ECC"/>
    <w:rsid w:val="00B858F0"/>
    <w:rsid w:val="00B85AA2"/>
    <w:rsid w:val="00B85E7C"/>
    <w:rsid w:val="00B86002"/>
    <w:rsid w:val="00B8615B"/>
    <w:rsid w:val="00B86334"/>
    <w:rsid w:val="00B86427"/>
    <w:rsid w:val="00B8649C"/>
    <w:rsid w:val="00B8667E"/>
    <w:rsid w:val="00B866E9"/>
    <w:rsid w:val="00B867C3"/>
    <w:rsid w:val="00B86955"/>
    <w:rsid w:val="00B8695D"/>
    <w:rsid w:val="00B869F4"/>
    <w:rsid w:val="00B86B0D"/>
    <w:rsid w:val="00B86E35"/>
    <w:rsid w:val="00B86F34"/>
    <w:rsid w:val="00B87A7E"/>
    <w:rsid w:val="00B87DBA"/>
    <w:rsid w:val="00B87F0A"/>
    <w:rsid w:val="00B87F22"/>
    <w:rsid w:val="00B9067A"/>
    <w:rsid w:val="00B90EAE"/>
    <w:rsid w:val="00B90EC6"/>
    <w:rsid w:val="00B9100C"/>
    <w:rsid w:val="00B91B3B"/>
    <w:rsid w:val="00B91C95"/>
    <w:rsid w:val="00B91D9B"/>
    <w:rsid w:val="00B91E32"/>
    <w:rsid w:val="00B92205"/>
    <w:rsid w:val="00B92234"/>
    <w:rsid w:val="00B9253A"/>
    <w:rsid w:val="00B9277E"/>
    <w:rsid w:val="00B9283F"/>
    <w:rsid w:val="00B929D1"/>
    <w:rsid w:val="00B92D0B"/>
    <w:rsid w:val="00B92D22"/>
    <w:rsid w:val="00B92D33"/>
    <w:rsid w:val="00B93003"/>
    <w:rsid w:val="00B932BB"/>
    <w:rsid w:val="00B93562"/>
    <w:rsid w:val="00B93DB8"/>
    <w:rsid w:val="00B94206"/>
    <w:rsid w:val="00B9445D"/>
    <w:rsid w:val="00B94513"/>
    <w:rsid w:val="00B9453D"/>
    <w:rsid w:val="00B94945"/>
    <w:rsid w:val="00B949C0"/>
    <w:rsid w:val="00B94C8D"/>
    <w:rsid w:val="00B94DD6"/>
    <w:rsid w:val="00B94DEE"/>
    <w:rsid w:val="00B94EDE"/>
    <w:rsid w:val="00B9555A"/>
    <w:rsid w:val="00B9566A"/>
    <w:rsid w:val="00B956A2"/>
    <w:rsid w:val="00B958EF"/>
    <w:rsid w:val="00B95A50"/>
    <w:rsid w:val="00B95C8E"/>
    <w:rsid w:val="00B962D0"/>
    <w:rsid w:val="00B966C5"/>
    <w:rsid w:val="00B9721B"/>
    <w:rsid w:val="00B9739E"/>
    <w:rsid w:val="00B973D9"/>
    <w:rsid w:val="00B97C80"/>
    <w:rsid w:val="00B97F7E"/>
    <w:rsid w:val="00BA0092"/>
    <w:rsid w:val="00BA03E7"/>
    <w:rsid w:val="00BA0463"/>
    <w:rsid w:val="00BA04B7"/>
    <w:rsid w:val="00BA07B3"/>
    <w:rsid w:val="00BA0931"/>
    <w:rsid w:val="00BA09DB"/>
    <w:rsid w:val="00BA09EF"/>
    <w:rsid w:val="00BA0A95"/>
    <w:rsid w:val="00BA0AFE"/>
    <w:rsid w:val="00BA143D"/>
    <w:rsid w:val="00BA1634"/>
    <w:rsid w:val="00BA1904"/>
    <w:rsid w:val="00BA26B6"/>
    <w:rsid w:val="00BA29EB"/>
    <w:rsid w:val="00BA2BBA"/>
    <w:rsid w:val="00BA30BC"/>
    <w:rsid w:val="00BA30D1"/>
    <w:rsid w:val="00BA3101"/>
    <w:rsid w:val="00BA3147"/>
    <w:rsid w:val="00BA322D"/>
    <w:rsid w:val="00BA341D"/>
    <w:rsid w:val="00BA3425"/>
    <w:rsid w:val="00BA36DC"/>
    <w:rsid w:val="00BA3856"/>
    <w:rsid w:val="00BA3916"/>
    <w:rsid w:val="00BA3A0E"/>
    <w:rsid w:val="00BA4556"/>
    <w:rsid w:val="00BA45A2"/>
    <w:rsid w:val="00BA46B6"/>
    <w:rsid w:val="00BA4E48"/>
    <w:rsid w:val="00BA4F51"/>
    <w:rsid w:val="00BA538E"/>
    <w:rsid w:val="00BA5F2D"/>
    <w:rsid w:val="00BA6158"/>
    <w:rsid w:val="00BA629B"/>
    <w:rsid w:val="00BA63FA"/>
    <w:rsid w:val="00BA693B"/>
    <w:rsid w:val="00BA6A84"/>
    <w:rsid w:val="00BA72CE"/>
    <w:rsid w:val="00BA7386"/>
    <w:rsid w:val="00BA73F1"/>
    <w:rsid w:val="00BA74FC"/>
    <w:rsid w:val="00BA7774"/>
    <w:rsid w:val="00BA7964"/>
    <w:rsid w:val="00BA7983"/>
    <w:rsid w:val="00BA7B69"/>
    <w:rsid w:val="00BB0001"/>
    <w:rsid w:val="00BB00B3"/>
    <w:rsid w:val="00BB0412"/>
    <w:rsid w:val="00BB044B"/>
    <w:rsid w:val="00BB0481"/>
    <w:rsid w:val="00BB062A"/>
    <w:rsid w:val="00BB081D"/>
    <w:rsid w:val="00BB0BDD"/>
    <w:rsid w:val="00BB1142"/>
    <w:rsid w:val="00BB176C"/>
    <w:rsid w:val="00BB1925"/>
    <w:rsid w:val="00BB197A"/>
    <w:rsid w:val="00BB1C7E"/>
    <w:rsid w:val="00BB1E33"/>
    <w:rsid w:val="00BB2234"/>
    <w:rsid w:val="00BB234E"/>
    <w:rsid w:val="00BB2587"/>
    <w:rsid w:val="00BB27C0"/>
    <w:rsid w:val="00BB281A"/>
    <w:rsid w:val="00BB2A73"/>
    <w:rsid w:val="00BB2AC2"/>
    <w:rsid w:val="00BB2BC1"/>
    <w:rsid w:val="00BB2E3D"/>
    <w:rsid w:val="00BB32F4"/>
    <w:rsid w:val="00BB33CB"/>
    <w:rsid w:val="00BB3A45"/>
    <w:rsid w:val="00BB3B30"/>
    <w:rsid w:val="00BB4321"/>
    <w:rsid w:val="00BB477C"/>
    <w:rsid w:val="00BB4A94"/>
    <w:rsid w:val="00BB4ACC"/>
    <w:rsid w:val="00BB4B8F"/>
    <w:rsid w:val="00BB4BFA"/>
    <w:rsid w:val="00BB4D09"/>
    <w:rsid w:val="00BB4E39"/>
    <w:rsid w:val="00BB53F2"/>
    <w:rsid w:val="00BB551A"/>
    <w:rsid w:val="00BB5987"/>
    <w:rsid w:val="00BB5F6E"/>
    <w:rsid w:val="00BB6311"/>
    <w:rsid w:val="00BB6325"/>
    <w:rsid w:val="00BB6634"/>
    <w:rsid w:val="00BB6725"/>
    <w:rsid w:val="00BB6799"/>
    <w:rsid w:val="00BB6871"/>
    <w:rsid w:val="00BB6872"/>
    <w:rsid w:val="00BB6920"/>
    <w:rsid w:val="00BB6956"/>
    <w:rsid w:val="00BB6FF4"/>
    <w:rsid w:val="00BB703E"/>
    <w:rsid w:val="00BB732D"/>
    <w:rsid w:val="00BB733E"/>
    <w:rsid w:val="00BB7405"/>
    <w:rsid w:val="00BB7855"/>
    <w:rsid w:val="00BB7B08"/>
    <w:rsid w:val="00BB7C9D"/>
    <w:rsid w:val="00BB7E88"/>
    <w:rsid w:val="00BC0007"/>
    <w:rsid w:val="00BC059C"/>
    <w:rsid w:val="00BC05C2"/>
    <w:rsid w:val="00BC0716"/>
    <w:rsid w:val="00BC077A"/>
    <w:rsid w:val="00BC0E26"/>
    <w:rsid w:val="00BC13F5"/>
    <w:rsid w:val="00BC16F1"/>
    <w:rsid w:val="00BC1A93"/>
    <w:rsid w:val="00BC1AFD"/>
    <w:rsid w:val="00BC1B8F"/>
    <w:rsid w:val="00BC1B9C"/>
    <w:rsid w:val="00BC1E1B"/>
    <w:rsid w:val="00BC27B4"/>
    <w:rsid w:val="00BC2FFD"/>
    <w:rsid w:val="00BC33B6"/>
    <w:rsid w:val="00BC35D4"/>
    <w:rsid w:val="00BC3631"/>
    <w:rsid w:val="00BC39E6"/>
    <w:rsid w:val="00BC3C47"/>
    <w:rsid w:val="00BC4992"/>
    <w:rsid w:val="00BC4C2C"/>
    <w:rsid w:val="00BC4DE4"/>
    <w:rsid w:val="00BC5076"/>
    <w:rsid w:val="00BC520F"/>
    <w:rsid w:val="00BC5324"/>
    <w:rsid w:val="00BC53F0"/>
    <w:rsid w:val="00BC5474"/>
    <w:rsid w:val="00BC58A1"/>
    <w:rsid w:val="00BC591F"/>
    <w:rsid w:val="00BC5AA3"/>
    <w:rsid w:val="00BC5FC1"/>
    <w:rsid w:val="00BC60E4"/>
    <w:rsid w:val="00BC636B"/>
    <w:rsid w:val="00BC69EB"/>
    <w:rsid w:val="00BC6AEF"/>
    <w:rsid w:val="00BC6C79"/>
    <w:rsid w:val="00BC6DB3"/>
    <w:rsid w:val="00BC6E51"/>
    <w:rsid w:val="00BC6E9E"/>
    <w:rsid w:val="00BC6F31"/>
    <w:rsid w:val="00BC729E"/>
    <w:rsid w:val="00BC7314"/>
    <w:rsid w:val="00BC7693"/>
    <w:rsid w:val="00BC7D6D"/>
    <w:rsid w:val="00BC7E3A"/>
    <w:rsid w:val="00BC7F0F"/>
    <w:rsid w:val="00BD0187"/>
    <w:rsid w:val="00BD0391"/>
    <w:rsid w:val="00BD0392"/>
    <w:rsid w:val="00BD0C48"/>
    <w:rsid w:val="00BD0E92"/>
    <w:rsid w:val="00BD0ECB"/>
    <w:rsid w:val="00BD1414"/>
    <w:rsid w:val="00BD197A"/>
    <w:rsid w:val="00BD1E8D"/>
    <w:rsid w:val="00BD1F8A"/>
    <w:rsid w:val="00BD2108"/>
    <w:rsid w:val="00BD247C"/>
    <w:rsid w:val="00BD25EC"/>
    <w:rsid w:val="00BD2604"/>
    <w:rsid w:val="00BD2606"/>
    <w:rsid w:val="00BD26C6"/>
    <w:rsid w:val="00BD27CB"/>
    <w:rsid w:val="00BD2853"/>
    <w:rsid w:val="00BD2934"/>
    <w:rsid w:val="00BD2EC0"/>
    <w:rsid w:val="00BD2F15"/>
    <w:rsid w:val="00BD3029"/>
    <w:rsid w:val="00BD3161"/>
    <w:rsid w:val="00BD32BD"/>
    <w:rsid w:val="00BD3AF2"/>
    <w:rsid w:val="00BD3B99"/>
    <w:rsid w:val="00BD3BEB"/>
    <w:rsid w:val="00BD3C84"/>
    <w:rsid w:val="00BD3D2D"/>
    <w:rsid w:val="00BD41A7"/>
    <w:rsid w:val="00BD4C4E"/>
    <w:rsid w:val="00BD4C64"/>
    <w:rsid w:val="00BD4E10"/>
    <w:rsid w:val="00BD4E6A"/>
    <w:rsid w:val="00BD524A"/>
    <w:rsid w:val="00BD53E8"/>
    <w:rsid w:val="00BD57B8"/>
    <w:rsid w:val="00BD5F11"/>
    <w:rsid w:val="00BD617F"/>
    <w:rsid w:val="00BD61B5"/>
    <w:rsid w:val="00BD6241"/>
    <w:rsid w:val="00BD6521"/>
    <w:rsid w:val="00BD66F5"/>
    <w:rsid w:val="00BD67C7"/>
    <w:rsid w:val="00BD68A3"/>
    <w:rsid w:val="00BD6938"/>
    <w:rsid w:val="00BD6C45"/>
    <w:rsid w:val="00BD6CF3"/>
    <w:rsid w:val="00BD6D8D"/>
    <w:rsid w:val="00BD6DB5"/>
    <w:rsid w:val="00BD6FD6"/>
    <w:rsid w:val="00BD6FF1"/>
    <w:rsid w:val="00BD7548"/>
    <w:rsid w:val="00BD7AB9"/>
    <w:rsid w:val="00BD7E15"/>
    <w:rsid w:val="00BD7E69"/>
    <w:rsid w:val="00BD7F72"/>
    <w:rsid w:val="00BE0281"/>
    <w:rsid w:val="00BE0581"/>
    <w:rsid w:val="00BE05B2"/>
    <w:rsid w:val="00BE08A8"/>
    <w:rsid w:val="00BE0969"/>
    <w:rsid w:val="00BE0BA3"/>
    <w:rsid w:val="00BE0C94"/>
    <w:rsid w:val="00BE0E51"/>
    <w:rsid w:val="00BE0ECA"/>
    <w:rsid w:val="00BE10AB"/>
    <w:rsid w:val="00BE14BC"/>
    <w:rsid w:val="00BE1558"/>
    <w:rsid w:val="00BE186E"/>
    <w:rsid w:val="00BE1BE7"/>
    <w:rsid w:val="00BE1F31"/>
    <w:rsid w:val="00BE20C7"/>
    <w:rsid w:val="00BE217C"/>
    <w:rsid w:val="00BE2180"/>
    <w:rsid w:val="00BE21F2"/>
    <w:rsid w:val="00BE22AE"/>
    <w:rsid w:val="00BE244D"/>
    <w:rsid w:val="00BE24CF"/>
    <w:rsid w:val="00BE27AD"/>
    <w:rsid w:val="00BE2C94"/>
    <w:rsid w:val="00BE3315"/>
    <w:rsid w:val="00BE3705"/>
    <w:rsid w:val="00BE371E"/>
    <w:rsid w:val="00BE3979"/>
    <w:rsid w:val="00BE397E"/>
    <w:rsid w:val="00BE3C3B"/>
    <w:rsid w:val="00BE3CB8"/>
    <w:rsid w:val="00BE3DED"/>
    <w:rsid w:val="00BE4185"/>
    <w:rsid w:val="00BE425B"/>
    <w:rsid w:val="00BE4275"/>
    <w:rsid w:val="00BE4334"/>
    <w:rsid w:val="00BE46BF"/>
    <w:rsid w:val="00BE4717"/>
    <w:rsid w:val="00BE48EA"/>
    <w:rsid w:val="00BE4BED"/>
    <w:rsid w:val="00BE4DFF"/>
    <w:rsid w:val="00BE4E3B"/>
    <w:rsid w:val="00BE4FEB"/>
    <w:rsid w:val="00BE501C"/>
    <w:rsid w:val="00BE5231"/>
    <w:rsid w:val="00BE527D"/>
    <w:rsid w:val="00BE5871"/>
    <w:rsid w:val="00BE5A5C"/>
    <w:rsid w:val="00BE61CB"/>
    <w:rsid w:val="00BE68B6"/>
    <w:rsid w:val="00BE68FF"/>
    <w:rsid w:val="00BE69BE"/>
    <w:rsid w:val="00BE6AC9"/>
    <w:rsid w:val="00BE6F14"/>
    <w:rsid w:val="00BE741C"/>
    <w:rsid w:val="00BE7565"/>
    <w:rsid w:val="00BE7A93"/>
    <w:rsid w:val="00BE7C38"/>
    <w:rsid w:val="00BE7CF6"/>
    <w:rsid w:val="00BE7E07"/>
    <w:rsid w:val="00BF001F"/>
    <w:rsid w:val="00BF06AE"/>
    <w:rsid w:val="00BF0719"/>
    <w:rsid w:val="00BF084E"/>
    <w:rsid w:val="00BF08CE"/>
    <w:rsid w:val="00BF0E32"/>
    <w:rsid w:val="00BF0F95"/>
    <w:rsid w:val="00BF120B"/>
    <w:rsid w:val="00BF1234"/>
    <w:rsid w:val="00BF1274"/>
    <w:rsid w:val="00BF17A7"/>
    <w:rsid w:val="00BF19CB"/>
    <w:rsid w:val="00BF1FF5"/>
    <w:rsid w:val="00BF2174"/>
    <w:rsid w:val="00BF2433"/>
    <w:rsid w:val="00BF2531"/>
    <w:rsid w:val="00BF2D0F"/>
    <w:rsid w:val="00BF2DD4"/>
    <w:rsid w:val="00BF2E6E"/>
    <w:rsid w:val="00BF2E84"/>
    <w:rsid w:val="00BF31B1"/>
    <w:rsid w:val="00BF33D0"/>
    <w:rsid w:val="00BF33D9"/>
    <w:rsid w:val="00BF36CB"/>
    <w:rsid w:val="00BF3763"/>
    <w:rsid w:val="00BF3772"/>
    <w:rsid w:val="00BF3C7B"/>
    <w:rsid w:val="00BF435B"/>
    <w:rsid w:val="00BF4509"/>
    <w:rsid w:val="00BF4DD8"/>
    <w:rsid w:val="00BF4E9C"/>
    <w:rsid w:val="00BF5002"/>
    <w:rsid w:val="00BF52BE"/>
    <w:rsid w:val="00BF5727"/>
    <w:rsid w:val="00BF5A11"/>
    <w:rsid w:val="00BF5A4D"/>
    <w:rsid w:val="00BF5A56"/>
    <w:rsid w:val="00BF5A94"/>
    <w:rsid w:val="00BF5F6F"/>
    <w:rsid w:val="00BF61C9"/>
    <w:rsid w:val="00BF6201"/>
    <w:rsid w:val="00BF6C53"/>
    <w:rsid w:val="00BF6C94"/>
    <w:rsid w:val="00BF72CF"/>
    <w:rsid w:val="00BF76E0"/>
    <w:rsid w:val="00BF7754"/>
    <w:rsid w:val="00BF77E2"/>
    <w:rsid w:val="00BF7856"/>
    <w:rsid w:val="00BF7A44"/>
    <w:rsid w:val="00BF7B80"/>
    <w:rsid w:val="00C000A8"/>
    <w:rsid w:val="00C00109"/>
    <w:rsid w:val="00C00154"/>
    <w:rsid w:val="00C0026C"/>
    <w:rsid w:val="00C003AF"/>
    <w:rsid w:val="00C00424"/>
    <w:rsid w:val="00C005C3"/>
    <w:rsid w:val="00C005CD"/>
    <w:rsid w:val="00C0090E"/>
    <w:rsid w:val="00C00927"/>
    <w:rsid w:val="00C00BB0"/>
    <w:rsid w:val="00C013C5"/>
    <w:rsid w:val="00C015A9"/>
    <w:rsid w:val="00C016B1"/>
    <w:rsid w:val="00C01F33"/>
    <w:rsid w:val="00C01F44"/>
    <w:rsid w:val="00C0230F"/>
    <w:rsid w:val="00C0236A"/>
    <w:rsid w:val="00C02384"/>
    <w:rsid w:val="00C0298C"/>
    <w:rsid w:val="00C02A4A"/>
    <w:rsid w:val="00C02A9A"/>
    <w:rsid w:val="00C02E06"/>
    <w:rsid w:val="00C032FA"/>
    <w:rsid w:val="00C035B4"/>
    <w:rsid w:val="00C0369A"/>
    <w:rsid w:val="00C036B3"/>
    <w:rsid w:val="00C0375E"/>
    <w:rsid w:val="00C0390E"/>
    <w:rsid w:val="00C039C1"/>
    <w:rsid w:val="00C03CB9"/>
    <w:rsid w:val="00C03FD2"/>
    <w:rsid w:val="00C04073"/>
    <w:rsid w:val="00C0415D"/>
    <w:rsid w:val="00C0429E"/>
    <w:rsid w:val="00C045E0"/>
    <w:rsid w:val="00C0466F"/>
    <w:rsid w:val="00C04BA1"/>
    <w:rsid w:val="00C04DAC"/>
    <w:rsid w:val="00C04FA8"/>
    <w:rsid w:val="00C05099"/>
    <w:rsid w:val="00C0527D"/>
    <w:rsid w:val="00C057FC"/>
    <w:rsid w:val="00C05910"/>
    <w:rsid w:val="00C061C2"/>
    <w:rsid w:val="00C06265"/>
    <w:rsid w:val="00C06460"/>
    <w:rsid w:val="00C0702F"/>
    <w:rsid w:val="00C073F7"/>
    <w:rsid w:val="00C079EB"/>
    <w:rsid w:val="00C07CF6"/>
    <w:rsid w:val="00C1087A"/>
    <w:rsid w:val="00C108E8"/>
    <w:rsid w:val="00C10B37"/>
    <w:rsid w:val="00C10BA7"/>
    <w:rsid w:val="00C10DAE"/>
    <w:rsid w:val="00C11074"/>
    <w:rsid w:val="00C113AC"/>
    <w:rsid w:val="00C115DA"/>
    <w:rsid w:val="00C1179F"/>
    <w:rsid w:val="00C118F9"/>
    <w:rsid w:val="00C1194B"/>
    <w:rsid w:val="00C11D91"/>
    <w:rsid w:val="00C12138"/>
    <w:rsid w:val="00C12278"/>
    <w:rsid w:val="00C1276A"/>
    <w:rsid w:val="00C127B9"/>
    <w:rsid w:val="00C128FA"/>
    <w:rsid w:val="00C12AE5"/>
    <w:rsid w:val="00C12BA4"/>
    <w:rsid w:val="00C12C14"/>
    <w:rsid w:val="00C12D6E"/>
    <w:rsid w:val="00C133E5"/>
    <w:rsid w:val="00C13B12"/>
    <w:rsid w:val="00C13B8A"/>
    <w:rsid w:val="00C13BE2"/>
    <w:rsid w:val="00C13C43"/>
    <w:rsid w:val="00C13C46"/>
    <w:rsid w:val="00C13FBB"/>
    <w:rsid w:val="00C140F6"/>
    <w:rsid w:val="00C141A0"/>
    <w:rsid w:val="00C1447A"/>
    <w:rsid w:val="00C14B2A"/>
    <w:rsid w:val="00C14B3B"/>
    <w:rsid w:val="00C14BBF"/>
    <w:rsid w:val="00C14BC0"/>
    <w:rsid w:val="00C14E1F"/>
    <w:rsid w:val="00C1505A"/>
    <w:rsid w:val="00C152F5"/>
    <w:rsid w:val="00C1588F"/>
    <w:rsid w:val="00C159AF"/>
    <w:rsid w:val="00C15AED"/>
    <w:rsid w:val="00C15F04"/>
    <w:rsid w:val="00C16161"/>
    <w:rsid w:val="00C162C6"/>
    <w:rsid w:val="00C1665E"/>
    <w:rsid w:val="00C16BD2"/>
    <w:rsid w:val="00C16C27"/>
    <w:rsid w:val="00C16E72"/>
    <w:rsid w:val="00C170A7"/>
    <w:rsid w:val="00C17269"/>
    <w:rsid w:val="00C1741A"/>
    <w:rsid w:val="00C179B3"/>
    <w:rsid w:val="00C17A37"/>
    <w:rsid w:val="00C17BD8"/>
    <w:rsid w:val="00C17E3F"/>
    <w:rsid w:val="00C200AA"/>
    <w:rsid w:val="00C2011E"/>
    <w:rsid w:val="00C20164"/>
    <w:rsid w:val="00C203F1"/>
    <w:rsid w:val="00C20812"/>
    <w:rsid w:val="00C20CF3"/>
    <w:rsid w:val="00C21131"/>
    <w:rsid w:val="00C21212"/>
    <w:rsid w:val="00C213D5"/>
    <w:rsid w:val="00C2146C"/>
    <w:rsid w:val="00C21559"/>
    <w:rsid w:val="00C2174F"/>
    <w:rsid w:val="00C21812"/>
    <w:rsid w:val="00C21920"/>
    <w:rsid w:val="00C21CA5"/>
    <w:rsid w:val="00C21DC1"/>
    <w:rsid w:val="00C21F94"/>
    <w:rsid w:val="00C220D2"/>
    <w:rsid w:val="00C22138"/>
    <w:rsid w:val="00C226B2"/>
    <w:rsid w:val="00C227D0"/>
    <w:rsid w:val="00C22C3C"/>
    <w:rsid w:val="00C231E1"/>
    <w:rsid w:val="00C23653"/>
    <w:rsid w:val="00C237ED"/>
    <w:rsid w:val="00C2387A"/>
    <w:rsid w:val="00C23B86"/>
    <w:rsid w:val="00C23CBF"/>
    <w:rsid w:val="00C23CC2"/>
    <w:rsid w:val="00C23E25"/>
    <w:rsid w:val="00C23E85"/>
    <w:rsid w:val="00C2422C"/>
    <w:rsid w:val="00C24481"/>
    <w:rsid w:val="00C244A6"/>
    <w:rsid w:val="00C24632"/>
    <w:rsid w:val="00C2469E"/>
    <w:rsid w:val="00C2484F"/>
    <w:rsid w:val="00C24A50"/>
    <w:rsid w:val="00C24CD9"/>
    <w:rsid w:val="00C24D08"/>
    <w:rsid w:val="00C24DD6"/>
    <w:rsid w:val="00C251F3"/>
    <w:rsid w:val="00C25418"/>
    <w:rsid w:val="00C258A1"/>
    <w:rsid w:val="00C25A8B"/>
    <w:rsid w:val="00C25D9C"/>
    <w:rsid w:val="00C25E44"/>
    <w:rsid w:val="00C26A0A"/>
    <w:rsid w:val="00C26A17"/>
    <w:rsid w:val="00C275ED"/>
    <w:rsid w:val="00C2768C"/>
    <w:rsid w:val="00C2778B"/>
    <w:rsid w:val="00C27986"/>
    <w:rsid w:val="00C27AAA"/>
    <w:rsid w:val="00C27E35"/>
    <w:rsid w:val="00C27E8C"/>
    <w:rsid w:val="00C30229"/>
    <w:rsid w:val="00C30526"/>
    <w:rsid w:val="00C30630"/>
    <w:rsid w:val="00C307A1"/>
    <w:rsid w:val="00C30B57"/>
    <w:rsid w:val="00C30E0E"/>
    <w:rsid w:val="00C30F21"/>
    <w:rsid w:val="00C31145"/>
    <w:rsid w:val="00C314DE"/>
    <w:rsid w:val="00C31649"/>
    <w:rsid w:val="00C316BD"/>
    <w:rsid w:val="00C316E1"/>
    <w:rsid w:val="00C3192C"/>
    <w:rsid w:val="00C319D5"/>
    <w:rsid w:val="00C31AE5"/>
    <w:rsid w:val="00C326C2"/>
    <w:rsid w:val="00C32886"/>
    <w:rsid w:val="00C32CFF"/>
    <w:rsid w:val="00C33079"/>
    <w:rsid w:val="00C33095"/>
    <w:rsid w:val="00C331E3"/>
    <w:rsid w:val="00C331E5"/>
    <w:rsid w:val="00C33311"/>
    <w:rsid w:val="00C3340A"/>
    <w:rsid w:val="00C33484"/>
    <w:rsid w:val="00C336BE"/>
    <w:rsid w:val="00C33854"/>
    <w:rsid w:val="00C33895"/>
    <w:rsid w:val="00C33B2D"/>
    <w:rsid w:val="00C3404F"/>
    <w:rsid w:val="00C3434C"/>
    <w:rsid w:val="00C34C63"/>
    <w:rsid w:val="00C34FDC"/>
    <w:rsid w:val="00C35553"/>
    <w:rsid w:val="00C35A8B"/>
    <w:rsid w:val="00C35C5D"/>
    <w:rsid w:val="00C36B12"/>
    <w:rsid w:val="00C36D45"/>
    <w:rsid w:val="00C370AB"/>
    <w:rsid w:val="00C371E1"/>
    <w:rsid w:val="00C372C6"/>
    <w:rsid w:val="00C37F6D"/>
    <w:rsid w:val="00C37FD8"/>
    <w:rsid w:val="00C40297"/>
    <w:rsid w:val="00C40385"/>
    <w:rsid w:val="00C40582"/>
    <w:rsid w:val="00C407B6"/>
    <w:rsid w:val="00C40816"/>
    <w:rsid w:val="00C40EC6"/>
    <w:rsid w:val="00C412E3"/>
    <w:rsid w:val="00C416D7"/>
    <w:rsid w:val="00C41768"/>
    <w:rsid w:val="00C417E2"/>
    <w:rsid w:val="00C419C3"/>
    <w:rsid w:val="00C41A79"/>
    <w:rsid w:val="00C41ED0"/>
    <w:rsid w:val="00C41EE2"/>
    <w:rsid w:val="00C4236D"/>
    <w:rsid w:val="00C4248A"/>
    <w:rsid w:val="00C425B5"/>
    <w:rsid w:val="00C426DF"/>
    <w:rsid w:val="00C42737"/>
    <w:rsid w:val="00C42B08"/>
    <w:rsid w:val="00C42C71"/>
    <w:rsid w:val="00C42DD0"/>
    <w:rsid w:val="00C43C96"/>
    <w:rsid w:val="00C43CC3"/>
    <w:rsid w:val="00C44041"/>
    <w:rsid w:val="00C441DA"/>
    <w:rsid w:val="00C444E0"/>
    <w:rsid w:val="00C4460C"/>
    <w:rsid w:val="00C44839"/>
    <w:rsid w:val="00C448D5"/>
    <w:rsid w:val="00C44984"/>
    <w:rsid w:val="00C44A57"/>
    <w:rsid w:val="00C44DCD"/>
    <w:rsid w:val="00C45109"/>
    <w:rsid w:val="00C45351"/>
    <w:rsid w:val="00C45605"/>
    <w:rsid w:val="00C45B4C"/>
    <w:rsid w:val="00C45CC7"/>
    <w:rsid w:val="00C45F5E"/>
    <w:rsid w:val="00C46213"/>
    <w:rsid w:val="00C4694C"/>
    <w:rsid w:val="00C46A88"/>
    <w:rsid w:val="00C46D4C"/>
    <w:rsid w:val="00C46D7F"/>
    <w:rsid w:val="00C46EA2"/>
    <w:rsid w:val="00C46F94"/>
    <w:rsid w:val="00C474AB"/>
    <w:rsid w:val="00C474DB"/>
    <w:rsid w:val="00C475AA"/>
    <w:rsid w:val="00C4783B"/>
    <w:rsid w:val="00C47A2F"/>
    <w:rsid w:val="00C47CBE"/>
    <w:rsid w:val="00C47DE8"/>
    <w:rsid w:val="00C501F1"/>
    <w:rsid w:val="00C502CD"/>
    <w:rsid w:val="00C502DE"/>
    <w:rsid w:val="00C506E5"/>
    <w:rsid w:val="00C509D6"/>
    <w:rsid w:val="00C50C9D"/>
    <w:rsid w:val="00C51554"/>
    <w:rsid w:val="00C516C5"/>
    <w:rsid w:val="00C52026"/>
    <w:rsid w:val="00C527C7"/>
    <w:rsid w:val="00C529E7"/>
    <w:rsid w:val="00C52CD1"/>
    <w:rsid w:val="00C52D23"/>
    <w:rsid w:val="00C53C98"/>
    <w:rsid w:val="00C53F18"/>
    <w:rsid w:val="00C54208"/>
    <w:rsid w:val="00C54251"/>
    <w:rsid w:val="00C542A3"/>
    <w:rsid w:val="00C5459E"/>
    <w:rsid w:val="00C54963"/>
    <w:rsid w:val="00C54D97"/>
    <w:rsid w:val="00C54E44"/>
    <w:rsid w:val="00C55212"/>
    <w:rsid w:val="00C554D0"/>
    <w:rsid w:val="00C557EE"/>
    <w:rsid w:val="00C55A69"/>
    <w:rsid w:val="00C55AC8"/>
    <w:rsid w:val="00C55D20"/>
    <w:rsid w:val="00C5602B"/>
    <w:rsid w:val="00C5646B"/>
    <w:rsid w:val="00C568D7"/>
    <w:rsid w:val="00C56928"/>
    <w:rsid w:val="00C56F86"/>
    <w:rsid w:val="00C56FCF"/>
    <w:rsid w:val="00C5701D"/>
    <w:rsid w:val="00C57271"/>
    <w:rsid w:val="00C5728D"/>
    <w:rsid w:val="00C572D6"/>
    <w:rsid w:val="00C572E1"/>
    <w:rsid w:val="00C572F6"/>
    <w:rsid w:val="00C572F7"/>
    <w:rsid w:val="00C57324"/>
    <w:rsid w:val="00C5743D"/>
    <w:rsid w:val="00C5764B"/>
    <w:rsid w:val="00C57741"/>
    <w:rsid w:val="00C57B6C"/>
    <w:rsid w:val="00C57CDA"/>
    <w:rsid w:val="00C57E8F"/>
    <w:rsid w:val="00C57F5B"/>
    <w:rsid w:val="00C601AC"/>
    <w:rsid w:val="00C601D1"/>
    <w:rsid w:val="00C603A8"/>
    <w:rsid w:val="00C605AD"/>
    <w:rsid w:val="00C60BD7"/>
    <w:rsid w:val="00C612B8"/>
    <w:rsid w:val="00C616CF"/>
    <w:rsid w:val="00C61949"/>
    <w:rsid w:val="00C61A59"/>
    <w:rsid w:val="00C6234C"/>
    <w:rsid w:val="00C62566"/>
    <w:rsid w:val="00C628A6"/>
    <w:rsid w:val="00C63780"/>
    <w:rsid w:val="00C63A4B"/>
    <w:rsid w:val="00C63CEC"/>
    <w:rsid w:val="00C63D42"/>
    <w:rsid w:val="00C64002"/>
    <w:rsid w:val="00C64039"/>
    <w:rsid w:val="00C64344"/>
    <w:rsid w:val="00C64A17"/>
    <w:rsid w:val="00C65108"/>
    <w:rsid w:val="00C65141"/>
    <w:rsid w:val="00C65209"/>
    <w:rsid w:val="00C65576"/>
    <w:rsid w:val="00C65DC3"/>
    <w:rsid w:val="00C66165"/>
    <w:rsid w:val="00C66663"/>
    <w:rsid w:val="00C6686D"/>
    <w:rsid w:val="00C66877"/>
    <w:rsid w:val="00C668C7"/>
    <w:rsid w:val="00C66FBE"/>
    <w:rsid w:val="00C67395"/>
    <w:rsid w:val="00C67B93"/>
    <w:rsid w:val="00C67ED0"/>
    <w:rsid w:val="00C70029"/>
    <w:rsid w:val="00C70097"/>
    <w:rsid w:val="00C705ED"/>
    <w:rsid w:val="00C7060A"/>
    <w:rsid w:val="00C70835"/>
    <w:rsid w:val="00C70873"/>
    <w:rsid w:val="00C7091D"/>
    <w:rsid w:val="00C70A0C"/>
    <w:rsid w:val="00C70D51"/>
    <w:rsid w:val="00C70E6C"/>
    <w:rsid w:val="00C7135B"/>
    <w:rsid w:val="00C7151A"/>
    <w:rsid w:val="00C717E3"/>
    <w:rsid w:val="00C717F9"/>
    <w:rsid w:val="00C71860"/>
    <w:rsid w:val="00C71C6F"/>
    <w:rsid w:val="00C71F60"/>
    <w:rsid w:val="00C72241"/>
    <w:rsid w:val="00C72356"/>
    <w:rsid w:val="00C72473"/>
    <w:rsid w:val="00C72578"/>
    <w:rsid w:val="00C726B8"/>
    <w:rsid w:val="00C72E29"/>
    <w:rsid w:val="00C72E47"/>
    <w:rsid w:val="00C733F7"/>
    <w:rsid w:val="00C739CC"/>
    <w:rsid w:val="00C73BF4"/>
    <w:rsid w:val="00C73F96"/>
    <w:rsid w:val="00C74059"/>
    <w:rsid w:val="00C74A45"/>
    <w:rsid w:val="00C74EBC"/>
    <w:rsid w:val="00C75097"/>
    <w:rsid w:val="00C750C8"/>
    <w:rsid w:val="00C7523E"/>
    <w:rsid w:val="00C75570"/>
    <w:rsid w:val="00C7560F"/>
    <w:rsid w:val="00C75842"/>
    <w:rsid w:val="00C75D01"/>
    <w:rsid w:val="00C75DC8"/>
    <w:rsid w:val="00C7669D"/>
    <w:rsid w:val="00C76E0E"/>
    <w:rsid w:val="00C76FC8"/>
    <w:rsid w:val="00C77108"/>
    <w:rsid w:val="00C7747E"/>
    <w:rsid w:val="00C77516"/>
    <w:rsid w:val="00C7751E"/>
    <w:rsid w:val="00C776D0"/>
    <w:rsid w:val="00C777C2"/>
    <w:rsid w:val="00C779D4"/>
    <w:rsid w:val="00C77AC4"/>
    <w:rsid w:val="00C77B16"/>
    <w:rsid w:val="00C77C0D"/>
    <w:rsid w:val="00C77D4B"/>
    <w:rsid w:val="00C77EF0"/>
    <w:rsid w:val="00C80068"/>
    <w:rsid w:val="00C8049A"/>
    <w:rsid w:val="00C804CA"/>
    <w:rsid w:val="00C80A0E"/>
    <w:rsid w:val="00C80AC8"/>
    <w:rsid w:val="00C81079"/>
    <w:rsid w:val="00C81160"/>
    <w:rsid w:val="00C81490"/>
    <w:rsid w:val="00C8153D"/>
    <w:rsid w:val="00C81593"/>
    <w:rsid w:val="00C817A3"/>
    <w:rsid w:val="00C81A88"/>
    <w:rsid w:val="00C81CC2"/>
    <w:rsid w:val="00C81CF4"/>
    <w:rsid w:val="00C81EA2"/>
    <w:rsid w:val="00C82039"/>
    <w:rsid w:val="00C820BC"/>
    <w:rsid w:val="00C8213F"/>
    <w:rsid w:val="00C82205"/>
    <w:rsid w:val="00C82664"/>
    <w:rsid w:val="00C826FC"/>
    <w:rsid w:val="00C82928"/>
    <w:rsid w:val="00C82AB1"/>
    <w:rsid w:val="00C82E05"/>
    <w:rsid w:val="00C82F6D"/>
    <w:rsid w:val="00C8303F"/>
    <w:rsid w:val="00C83270"/>
    <w:rsid w:val="00C83436"/>
    <w:rsid w:val="00C83441"/>
    <w:rsid w:val="00C834A3"/>
    <w:rsid w:val="00C838C3"/>
    <w:rsid w:val="00C838FF"/>
    <w:rsid w:val="00C83990"/>
    <w:rsid w:val="00C83A99"/>
    <w:rsid w:val="00C83E30"/>
    <w:rsid w:val="00C840A5"/>
    <w:rsid w:val="00C841CA"/>
    <w:rsid w:val="00C844E8"/>
    <w:rsid w:val="00C84512"/>
    <w:rsid w:val="00C846A9"/>
    <w:rsid w:val="00C84F6C"/>
    <w:rsid w:val="00C85154"/>
    <w:rsid w:val="00C85282"/>
    <w:rsid w:val="00C853BB"/>
    <w:rsid w:val="00C855D2"/>
    <w:rsid w:val="00C85A70"/>
    <w:rsid w:val="00C85C3C"/>
    <w:rsid w:val="00C85D2E"/>
    <w:rsid w:val="00C86299"/>
    <w:rsid w:val="00C8653C"/>
    <w:rsid w:val="00C86640"/>
    <w:rsid w:val="00C8676E"/>
    <w:rsid w:val="00C86944"/>
    <w:rsid w:val="00C86A74"/>
    <w:rsid w:val="00C87048"/>
    <w:rsid w:val="00C871F8"/>
    <w:rsid w:val="00C8797A"/>
    <w:rsid w:val="00C879E3"/>
    <w:rsid w:val="00C87C2D"/>
    <w:rsid w:val="00C87D89"/>
    <w:rsid w:val="00C900B8"/>
    <w:rsid w:val="00C90197"/>
    <w:rsid w:val="00C903E4"/>
    <w:rsid w:val="00C904FC"/>
    <w:rsid w:val="00C905C4"/>
    <w:rsid w:val="00C909BF"/>
    <w:rsid w:val="00C90C71"/>
    <w:rsid w:val="00C90EF9"/>
    <w:rsid w:val="00C91341"/>
    <w:rsid w:val="00C91C87"/>
    <w:rsid w:val="00C91D46"/>
    <w:rsid w:val="00C91F95"/>
    <w:rsid w:val="00C91FD1"/>
    <w:rsid w:val="00C9228D"/>
    <w:rsid w:val="00C927F3"/>
    <w:rsid w:val="00C92830"/>
    <w:rsid w:val="00C92881"/>
    <w:rsid w:val="00C92A3A"/>
    <w:rsid w:val="00C92BE4"/>
    <w:rsid w:val="00C92F06"/>
    <w:rsid w:val="00C92F1D"/>
    <w:rsid w:val="00C931AB"/>
    <w:rsid w:val="00C931CF"/>
    <w:rsid w:val="00C932C2"/>
    <w:rsid w:val="00C93492"/>
    <w:rsid w:val="00C935FA"/>
    <w:rsid w:val="00C93624"/>
    <w:rsid w:val="00C938CF"/>
    <w:rsid w:val="00C93B9E"/>
    <w:rsid w:val="00C93C13"/>
    <w:rsid w:val="00C94053"/>
    <w:rsid w:val="00C942FB"/>
    <w:rsid w:val="00C945A1"/>
    <w:rsid w:val="00C94669"/>
    <w:rsid w:val="00C94744"/>
    <w:rsid w:val="00C94D8F"/>
    <w:rsid w:val="00C94F47"/>
    <w:rsid w:val="00C95708"/>
    <w:rsid w:val="00C9589B"/>
    <w:rsid w:val="00C95B1D"/>
    <w:rsid w:val="00C96101"/>
    <w:rsid w:val="00C9624D"/>
    <w:rsid w:val="00C9633C"/>
    <w:rsid w:val="00C963BE"/>
    <w:rsid w:val="00C9655C"/>
    <w:rsid w:val="00C965F0"/>
    <w:rsid w:val="00C966FD"/>
    <w:rsid w:val="00C969DA"/>
    <w:rsid w:val="00C96DF8"/>
    <w:rsid w:val="00C96F49"/>
    <w:rsid w:val="00C97027"/>
    <w:rsid w:val="00C9737C"/>
    <w:rsid w:val="00C97AF1"/>
    <w:rsid w:val="00C97C93"/>
    <w:rsid w:val="00CA02A6"/>
    <w:rsid w:val="00CA0428"/>
    <w:rsid w:val="00CA0CD2"/>
    <w:rsid w:val="00CA0D9E"/>
    <w:rsid w:val="00CA1222"/>
    <w:rsid w:val="00CA1256"/>
    <w:rsid w:val="00CA12FC"/>
    <w:rsid w:val="00CA1518"/>
    <w:rsid w:val="00CA168F"/>
    <w:rsid w:val="00CA169E"/>
    <w:rsid w:val="00CA16AA"/>
    <w:rsid w:val="00CA1868"/>
    <w:rsid w:val="00CA1B9C"/>
    <w:rsid w:val="00CA1C6A"/>
    <w:rsid w:val="00CA21FB"/>
    <w:rsid w:val="00CA251C"/>
    <w:rsid w:val="00CA25AD"/>
    <w:rsid w:val="00CA26F8"/>
    <w:rsid w:val="00CA297B"/>
    <w:rsid w:val="00CA2C77"/>
    <w:rsid w:val="00CA2E76"/>
    <w:rsid w:val="00CA2E8C"/>
    <w:rsid w:val="00CA32B5"/>
    <w:rsid w:val="00CA3312"/>
    <w:rsid w:val="00CA3959"/>
    <w:rsid w:val="00CA413E"/>
    <w:rsid w:val="00CA4243"/>
    <w:rsid w:val="00CA436E"/>
    <w:rsid w:val="00CA444F"/>
    <w:rsid w:val="00CA4508"/>
    <w:rsid w:val="00CA472D"/>
    <w:rsid w:val="00CA477A"/>
    <w:rsid w:val="00CA4DE5"/>
    <w:rsid w:val="00CA4F4C"/>
    <w:rsid w:val="00CA5245"/>
    <w:rsid w:val="00CA534C"/>
    <w:rsid w:val="00CA57FB"/>
    <w:rsid w:val="00CA5980"/>
    <w:rsid w:val="00CA5F50"/>
    <w:rsid w:val="00CA62FE"/>
    <w:rsid w:val="00CA66A2"/>
    <w:rsid w:val="00CA70EE"/>
    <w:rsid w:val="00CA71F4"/>
    <w:rsid w:val="00CA7914"/>
    <w:rsid w:val="00CA7A9F"/>
    <w:rsid w:val="00CA7B09"/>
    <w:rsid w:val="00CA7EB4"/>
    <w:rsid w:val="00CA7EEC"/>
    <w:rsid w:val="00CB021F"/>
    <w:rsid w:val="00CB0290"/>
    <w:rsid w:val="00CB0326"/>
    <w:rsid w:val="00CB0367"/>
    <w:rsid w:val="00CB0606"/>
    <w:rsid w:val="00CB12A5"/>
    <w:rsid w:val="00CB1344"/>
    <w:rsid w:val="00CB1CAC"/>
    <w:rsid w:val="00CB1D77"/>
    <w:rsid w:val="00CB1E6D"/>
    <w:rsid w:val="00CB1F40"/>
    <w:rsid w:val="00CB217E"/>
    <w:rsid w:val="00CB2743"/>
    <w:rsid w:val="00CB294C"/>
    <w:rsid w:val="00CB2C34"/>
    <w:rsid w:val="00CB2C72"/>
    <w:rsid w:val="00CB2D26"/>
    <w:rsid w:val="00CB2F2A"/>
    <w:rsid w:val="00CB33B0"/>
    <w:rsid w:val="00CB3AD9"/>
    <w:rsid w:val="00CB4436"/>
    <w:rsid w:val="00CB47C4"/>
    <w:rsid w:val="00CB4FEA"/>
    <w:rsid w:val="00CB5137"/>
    <w:rsid w:val="00CB5B1A"/>
    <w:rsid w:val="00CB5C19"/>
    <w:rsid w:val="00CB5C59"/>
    <w:rsid w:val="00CB5EB8"/>
    <w:rsid w:val="00CB5FCD"/>
    <w:rsid w:val="00CB6004"/>
    <w:rsid w:val="00CB63FA"/>
    <w:rsid w:val="00CB66B3"/>
    <w:rsid w:val="00CB66BF"/>
    <w:rsid w:val="00CB6A77"/>
    <w:rsid w:val="00CB6B22"/>
    <w:rsid w:val="00CB6BC2"/>
    <w:rsid w:val="00CB6D87"/>
    <w:rsid w:val="00CB6E02"/>
    <w:rsid w:val="00CB6ED6"/>
    <w:rsid w:val="00CB7176"/>
    <w:rsid w:val="00CB73A9"/>
    <w:rsid w:val="00CB7461"/>
    <w:rsid w:val="00CB749D"/>
    <w:rsid w:val="00CB780B"/>
    <w:rsid w:val="00CB793C"/>
    <w:rsid w:val="00CB7D85"/>
    <w:rsid w:val="00CB7D9D"/>
    <w:rsid w:val="00CB7F5F"/>
    <w:rsid w:val="00CC0354"/>
    <w:rsid w:val="00CC0553"/>
    <w:rsid w:val="00CC116D"/>
    <w:rsid w:val="00CC11F2"/>
    <w:rsid w:val="00CC125F"/>
    <w:rsid w:val="00CC143C"/>
    <w:rsid w:val="00CC1B39"/>
    <w:rsid w:val="00CC1BFA"/>
    <w:rsid w:val="00CC1E2F"/>
    <w:rsid w:val="00CC2156"/>
    <w:rsid w:val="00CC2453"/>
    <w:rsid w:val="00CC2618"/>
    <w:rsid w:val="00CC2A41"/>
    <w:rsid w:val="00CC2E2C"/>
    <w:rsid w:val="00CC2E9F"/>
    <w:rsid w:val="00CC303D"/>
    <w:rsid w:val="00CC333B"/>
    <w:rsid w:val="00CC33BB"/>
    <w:rsid w:val="00CC35EA"/>
    <w:rsid w:val="00CC3684"/>
    <w:rsid w:val="00CC37D7"/>
    <w:rsid w:val="00CC3848"/>
    <w:rsid w:val="00CC3C0C"/>
    <w:rsid w:val="00CC3D76"/>
    <w:rsid w:val="00CC42B8"/>
    <w:rsid w:val="00CC484B"/>
    <w:rsid w:val="00CC48A9"/>
    <w:rsid w:val="00CC495D"/>
    <w:rsid w:val="00CC4E66"/>
    <w:rsid w:val="00CC52E5"/>
    <w:rsid w:val="00CC53C8"/>
    <w:rsid w:val="00CC58EC"/>
    <w:rsid w:val="00CC5B7D"/>
    <w:rsid w:val="00CC5C87"/>
    <w:rsid w:val="00CC65B0"/>
    <w:rsid w:val="00CC6752"/>
    <w:rsid w:val="00CC6813"/>
    <w:rsid w:val="00CC68F3"/>
    <w:rsid w:val="00CC691B"/>
    <w:rsid w:val="00CC6D5E"/>
    <w:rsid w:val="00CC6DA0"/>
    <w:rsid w:val="00CC6DD2"/>
    <w:rsid w:val="00CC70B1"/>
    <w:rsid w:val="00CC72AC"/>
    <w:rsid w:val="00CC73B3"/>
    <w:rsid w:val="00CC76EC"/>
    <w:rsid w:val="00CC7A33"/>
    <w:rsid w:val="00CC7A70"/>
    <w:rsid w:val="00CC7C14"/>
    <w:rsid w:val="00CD009E"/>
    <w:rsid w:val="00CD0200"/>
    <w:rsid w:val="00CD0331"/>
    <w:rsid w:val="00CD0F9D"/>
    <w:rsid w:val="00CD1600"/>
    <w:rsid w:val="00CD1847"/>
    <w:rsid w:val="00CD1A04"/>
    <w:rsid w:val="00CD1D6E"/>
    <w:rsid w:val="00CD2506"/>
    <w:rsid w:val="00CD26FE"/>
    <w:rsid w:val="00CD271B"/>
    <w:rsid w:val="00CD27FE"/>
    <w:rsid w:val="00CD2AAC"/>
    <w:rsid w:val="00CD2ABA"/>
    <w:rsid w:val="00CD2D3A"/>
    <w:rsid w:val="00CD2EA2"/>
    <w:rsid w:val="00CD30BA"/>
    <w:rsid w:val="00CD3EF0"/>
    <w:rsid w:val="00CD3F35"/>
    <w:rsid w:val="00CD3F77"/>
    <w:rsid w:val="00CD4080"/>
    <w:rsid w:val="00CD4303"/>
    <w:rsid w:val="00CD43D0"/>
    <w:rsid w:val="00CD47C5"/>
    <w:rsid w:val="00CD48DF"/>
    <w:rsid w:val="00CD4D45"/>
    <w:rsid w:val="00CD4D4C"/>
    <w:rsid w:val="00CD4E44"/>
    <w:rsid w:val="00CD5190"/>
    <w:rsid w:val="00CD51D9"/>
    <w:rsid w:val="00CD551B"/>
    <w:rsid w:val="00CD556F"/>
    <w:rsid w:val="00CD5658"/>
    <w:rsid w:val="00CD5F31"/>
    <w:rsid w:val="00CD646E"/>
    <w:rsid w:val="00CD6494"/>
    <w:rsid w:val="00CD6ADC"/>
    <w:rsid w:val="00CD6B28"/>
    <w:rsid w:val="00CD6F53"/>
    <w:rsid w:val="00CD7030"/>
    <w:rsid w:val="00CD7193"/>
    <w:rsid w:val="00CD75BA"/>
    <w:rsid w:val="00CD7707"/>
    <w:rsid w:val="00CD7C05"/>
    <w:rsid w:val="00CD7C3B"/>
    <w:rsid w:val="00CD7D45"/>
    <w:rsid w:val="00CE001B"/>
    <w:rsid w:val="00CE06B1"/>
    <w:rsid w:val="00CE0AC6"/>
    <w:rsid w:val="00CE0E3E"/>
    <w:rsid w:val="00CE1169"/>
    <w:rsid w:val="00CE12F5"/>
    <w:rsid w:val="00CE15EC"/>
    <w:rsid w:val="00CE1BCB"/>
    <w:rsid w:val="00CE1C34"/>
    <w:rsid w:val="00CE1CD1"/>
    <w:rsid w:val="00CE2589"/>
    <w:rsid w:val="00CE26BC"/>
    <w:rsid w:val="00CE26C3"/>
    <w:rsid w:val="00CE2903"/>
    <w:rsid w:val="00CE295A"/>
    <w:rsid w:val="00CE3317"/>
    <w:rsid w:val="00CE3405"/>
    <w:rsid w:val="00CE38C8"/>
    <w:rsid w:val="00CE3999"/>
    <w:rsid w:val="00CE3B58"/>
    <w:rsid w:val="00CE46AA"/>
    <w:rsid w:val="00CE46B4"/>
    <w:rsid w:val="00CE4734"/>
    <w:rsid w:val="00CE4B27"/>
    <w:rsid w:val="00CE4E55"/>
    <w:rsid w:val="00CE524F"/>
    <w:rsid w:val="00CE58CC"/>
    <w:rsid w:val="00CE592A"/>
    <w:rsid w:val="00CE5EE4"/>
    <w:rsid w:val="00CE613D"/>
    <w:rsid w:val="00CE6177"/>
    <w:rsid w:val="00CE61BA"/>
    <w:rsid w:val="00CE6274"/>
    <w:rsid w:val="00CE6460"/>
    <w:rsid w:val="00CE6869"/>
    <w:rsid w:val="00CE6900"/>
    <w:rsid w:val="00CE698A"/>
    <w:rsid w:val="00CE6B59"/>
    <w:rsid w:val="00CE713B"/>
    <w:rsid w:val="00CE73E3"/>
    <w:rsid w:val="00CE74A3"/>
    <w:rsid w:val="00CE75DE"/>
    <w:rsid w:val="00CE76A1"/>
    <w:rsid w:val="00CE7730"/>
    <w:rsid w:val="00CE77B6"/>
    <w:rsid w:val="00CE7FB3"/>
    <w:rsid w:val="00CF001C"/>
    <w:rsid w:val="00CF05C3"/>
    <w:rsid w:val="00CF0A8F"/>
    <w:rsid w:val="00CF0B01"/>
    <w:rsid w:val="00CF0E5E"/>
    <w:rsid w:val="00CF0F6C"/>
    <w:rsid w:val="00CF13E1"/>
    <w:rsid w:val="00CF15B8"/>
    <w:rsid w:val="00CF15C3"/>
    <w:rsid w:val="00CF16E4"/>
    <w:rsid w:val="00CF1D04"/>
    <w:rsid w:val="00CF1DCF"/>
    <w:rsid w:val="00CF1EC7"/>
    <w:rsid w:val="00CF1FEE"/>
    <w:rsid w:val="00CF212E"/>
    <w:rsid w:val="00CF216C"/>
    <w:rsid w:val="00CF2408"/>
    <w:rsid w:val="00CF2672"/>
    <w:rsid w:val="00CF2B8D"/>
    <w:rsid w:val="00CF2D5E"/>
    <w:rsid w:val="00CF2D7A"/>
    <w:rsid w:val="00CF2E0D"/>
    <w:rsid w:val="00CF3529"/>
    <w:rsid w:val="00CF354E"/>
    <w:rsid w:val="00CF3835"/>
    <w:rsid w:val="00CF3A1B"/>
    <w:rsid w:val="00CF4564"/>
    <w:rsid w:val="00CF456B"/>
    <w:rsid w:val="00CF4584"/>
    <w:rsid w:val="00CF45E0"/>
    <w:rsid w:val="00CF462D"/>
    <w:rsid w:val="00CF4EC1"/>
    <w:rsid w:val="00CF4EC8"/>
    <w:rsid w:val="00CF4F37"/>
    <w:rsid w:val="00CF4FB2"/>
    <w:rsid w:val="00CF515E"/>
    <w:rsid w:val="00CF52A1"/>
    <w:rsid w:val="00CF53B7"/>
    <w:rsid w:val="00CF55E4"/>
    <w:rsid w:val="00CF5A22"/>
    <w:rsid w:val="00CF5FD0"/>
    <w:rsid w:val="00CF6205"/>
    <w:rsid w:val="00CF6393"/>
    <w:rsid w:val="00CF64C6"/>
    <w:rsid w:val="00CF672B"/>
    <w:rsid w:val="00CF6846"/>
    <w:rsid w:val="00CF68B9"/>
    <w:rsid w:val="00CF6AC1"/>
    <w:rsid w:val="00CF6BD7"/>
    <w:rsid w:val="00CF6E0B"/>
    <w:rsid w:val="00CF6E4A"/>
    <w:rsid w:val="00CF6ECF"/>
    <w:rsid w:val="00CF708A"/>
    <w:rsid w:val="00CF721B"/>
    <w:rsid w:val="00CF7451"/>
    <w:rsid w:val="00CF7924"/>
    <w:rsid w:val="00CF7953"/>
    <w:rsid w:val="00CF7AB3"/>
    <w:rsid w:val="00CF7F01"/>
    <w:rsid w:val="00D005C5"/>
    <w:rsid w:val="00D00623"/>
    <w:rsid w:val="00D006B6"/>
    <w:rsid w:val="00D00B02"/>
    <w:rsid w:val="00D00B6D"/>
    <w:rsid w:val="00D00D0B"/>
    <w:rsid w:val="00D00E79"/>
    <w:rsid w:val="00D00FEC"/>
    <w:rsid w:val="00D01446"/>
    <w:rsid w:val="00D01556"/>
    <w:rsid w:val="00D0161D"/>
    <w:rsid w:val="00D01906"/>
    <w:rsid w:val="00D01AB5"/>
    <w:rsid w:val="00D01B46"/>
    <w:rsid w:val="00D01B96"/>
    <w:rsid w:val="00D01D83"/>
    <w:rsid w:val="00D01DED"/>
    <w:rsid w:val="00D01FFE"/>
    <w:rsid w:val="00D0262E"/>
    <w:rsid w:val="00D027F7"/>
    <w:rsid w:val="00D02919"/>
    <w:rsid w:val="00D02BE4"/>
    <w:rsid w:val="00D03183"/>
    <w:rsid w:val="00D03478"/>
    <w:rsid w:val="00D034D4"/>
    <w:rsid w:val="00D03619"/>
    <w:rsid w:val="00D03679"/>
    <w:rsid w:val="00D03709"/>
    <w:rsid w:val="00D03EFB"/>
    <w:rsid w:val="00D03F85"/>
    <w:rsid w:val="00D048DB"/>
    <w:rsid w:val="00D04E60"/>
    <w:rsid w:val="00D04FCA"/>
    <w:rsid w:val="00D0506F"/>
    <w:rsid w:val="00D05252"/>
    <w:rsid w:val="00D0526C"/>
    <w:rsid w:val="00D05345"/>
    <w:rsid w:val="00D05BBD"/>
    <w:rsid w:val="00D05C60"/>
    <w:rsid w:val="00D05D0F"/>
    <w:rsid w:val="00D05E3D"/>
    <w:rsid w:val="00D05E6C"/>
    <w:rsid w:val="00D05ECE"/>
    <w:rsid w:val="00D06042"/>
    <w:rsid w:val="00D06087"/>
    <w:rsid w:val="00D06139"/>
    <w:rsid w:val="00D0640D"/>
    <w:rsid w:val="00D06655"/>
    <w:rsid w:val="00D066FB"/>
    <w:rsid w:val="00D0676C"/>
    <w:rsid w:val="00D06AB8"/>
    <w:rsid w:val="00D06C46"/>
    <w:rsid w:val="00D06F66"/>
    <w:rsid w:val="00D06FA8"/>
    <w:rsid w:val="00D0713D"/>
    <w:rsid w:val="00D076BA"/>
    <w:rsid w:val="00D07800"/>
    <w:rsid w:val="00D07A15"/>
    <w:rsid w:val="00D07AA4"/>
    <w:rsid w:val="00D1017B"/>
    <w:rsid w:val="00D10419"/>
    <w:rsid w:val="00D10A48"/>
    <w:rsid w:val="00D10D41"/>
    <w:rsid w:val="00D10E0C"/>
    <w:rsid w:val="00D10F27"/>
    <w:rsid w:val="00D10FC2"/>
    <w:rsid w:val="00D11029"/>
    <w:rsid w:val="00D1104A"/>
    <w:rsid w:val="00D110BD"/>
    <w:rsid w:val="00D11163"/>
    <w:rsid w:val="00D11407"/>
    <w:rsid w:val="00D11C6C"/>
    <w:rsid w:val="00D11EDB"/>
    <w:rsid w:val="00D12437"/>
    <w:rsid w:val="00D12626"/>
    <w:rsid w:val="00D12729"/>
    <w:rsid w:val="00D12892"/>
    <w:rsid w:val="00D12E13"/>
    <w:rsid w:val="00D1324E"/>
    <w:rsid w:val="00D13675"/>
    <w:rsid w:val="00D13870"/>
    <w:rsid w:val="00D1392C"/>
    <w:rsid w:val="00D13971"/>
    <w:rsid w:val="00D13EAC"/>
    <w:rsid w:val="00D141E1"/>
    <w:rsid w:val="00D14285"/>
    <w:rsid w:val="00D14352"/>
    <w:rsid w:val="00D146AD"/>
    <w:rsid w:val="00D14BEF"/>
    <w:rsid w:val="00D15314"/>
    <w:rsid w:val="00D153F4"/>
    <w:rsid w:val="00D157F4"/>
    <w:rsid w:val="00D15B29"/>
    <w:rsid w:val="00D15B48"/>
    <w:rsid w:val="00D15D09"/>
    <w:rsid w:val="00D163D1"/>
    <w:rsid w:val="00D16521"/>
    <w:rsid w:val="00D16AE9"/>
    <w:rsid w:val="00D16DB5"/>
    <w:rsid w:val="00D16F93"/>
    <w:rsid w:val="00D170BB"/>
    <w:rsid w:val="00D1726B"/>
    <w:rsid w:val="00D175CC"/>
    <w:rsid w:val="00D1777F"/>
    <w:rsid w:val="00D17A25"/>
    <w:rsid w:val="00D17A3B"/>
    <w:rsid w:val="00D17A54"/>
    <w:rsid w:val="00D17D33"/>
    <w:rsid w:val="00D17D6C"/>
    <w:rsid w:val="00D17EF6"/>
    <w:rsid w:val="00D17FB7"/>
    <w:rsid w:val="00D202FD"/>
    <w:rsid w:val="00D20F56"/>
    <w:rsid w:val="00D21071"/>
    <w:rsid w:val="00D212FE"/>
    <w:rsid w:val="00D21403"/>
    <w:rsid w:val="00D214A0"/>
    <w:rsid w:val="00D2155B"/>
    <w:rsid w:val="00D218EE"/>
    <w:rsid w:val="00D21BBA"/>
    <w:rsid w:val="00D21E0E"/>
    <w:rsid w:val="00D21E95"/>
    <w:rsid w:val="00D21F76"/>
    <w:rsid w:val="00D2207B"/>
    <w:rsid w:val="00D2253D"/>
    <w:rsid w:val="00D2266C"/>
    <w:rsid w:val="00D22862"/>
    <w:rsid w:val="00D228B1"/>
    <w:rsid w:val="00D22A56"/>
    <w:rsid w:val="00D22C2E"/>
    <w:rsid w:val="00D22C79"/>
    <w:rsid w:val="00D232D7"/>
    <w:rsid w:val="00D2385F"/>
    <w:rsid w:val="00D2395F"/>
    <w:rsid w:val="00D23A63"/>
    <w:rsid w:val="00D23D11"/>
    <w:rsid w:val="00D23ED7"/>
    <w:rsid w:val="00D2412E"/>
    <w:rsid w:val="00D241CA"/>
    <w:rsid w:val="00D243D5"/>
    <w:rsid w:val="00D244B6"/>
    <w:rsid w:val="00D2461D"/>
    <w:rsid w:val="00D24A4E"/>
    <w:rsid w:val="00D24BBC"/>
    <w:rsid w:val="00D24C47"/>
    <w:rsid w:val="00D250C2"/>
    <w:rsid w:val="00D25807"/>
    <w:rsid w:val="00D25AC6"/>
    <w:rsid w:val="00D25D24"/>
    <w:rsid w:val="00D25FE0"/>
    <w:rsid w:val="00D26048"/>
    <w:rsid w:val="00D2655D"/>
    <w:rsid w:val="00D26A15"/>
    <w:rsid w:val="00D26E99"/>
    <w:rsid w:val="00D2712A"/>
    <w:rsid w:val="00D27236"/>
    <w:rsid w:val="00D27524"/>
    <w:rsid w:val="00D2754D"/>
    <w:rsid w:val="00D27572"/>
    <w:rsid w:val="00D27AC0"/>
    <w:rsid w:val="00D27B27"/>
    <w:rsid w:val="00D27BCA"/>
    <w:rsid w:val="00D27BED"/>
    <w:rsid w:val="00D27C82"/>
    <w:rsid w:val="00D27E9D"/>
    <w:rsid w:val="00D27FB3"/>
    <w:rsid w:val="00D304F0"/>
    <w:rsid w:val="00D307DA"/>
    <w:rsid w:val="00D30D5B"/>
    <w:rsid w:val="00D30E85"/>
    <w:rsid w:val="00D312A2"/>
    <w:rsid w:val="00D314ED"/>
    <w:rsid w:val="00D31877"/>
    <w:rsid w:val="00D318E1"/>
    <w:rsid w:val="00D319A7"/>
    <w:rsid w:val="00D31B46"/>
    <w:rsid w:val="00D31D91"/>
    <w:rsid w:val="00D32042"/>
    <w:rsid w:val="00D325A3"/>
    <w:rsid w:val="00D3290D"/>
    <w:rsid w:val="00D3299A"/>
    <w:rsid w:val="00D329C3"/>
    <w:rsid w:val="00D32B3B"/>
    <w:rsid w:val="00D32DDE"/>
    <w:rsid w:val="00D33BE9"/>
    <w:rsid w:val="00D33CA8"/>
    <w:rsid w:val="00D33CC0"/>
    <w:rsid w:val="00D33EC0"/>
    <w:rsid w:val="00D33F93"/>
    <w:rsid w:val="00D341E6"/>
    <w:rsid w:val="00D3428D"/>
    <w:rsid w:val="00D34333"/>
    <w:rsid w:val="00D34343"/>
    <w:rsid w:val="00D34418"/>
    <w:rsid w:val="00D34836"/>
    <w:rsid w:val="00D34982"/>
    <w:rsid w:val="00D34E7F"/>
    <w:rsid w:val="00D34EF2"/>
    <w:rsid w:val="00D34F25"/>
    <w:rsid w:val="00D35082"/>
    <w:rsid w:val="00D3548D"/>
    <w:rsid w:val="00D35505"/>
    <w:rsid w:val="00D357FF"/>
    <w:rsid w:val="00D35952"/>
    <w:rsid w:val="00D35A93"/>
    <w:rsid w:val="00D3613C"/>
    <w:rsid w:val="00D36154"/>
    <w:rsid w:val="00D366ED"/>
    <w:rsid w:val="00D36DBD"/>
    <w:rsid w:val="00D36F7C"/>
    <w:rsid w:val="00D3700C"/>
    <w:rsid w:val="00D3701D"/>
    <w:rsid w:val="00D3708F"/>
    <w:rsid w:val="00D374AA"/>
    <w:rsid w:val="00D3762A"/>
    <w:rsid w:val="00D37815"/>
    <w:rsid w:val="00D3790A"/>
    <w:rsid w:val="00D37E54"/>
    <w:rsid w:val="00D37EED"/>
    <w:rsid w:val="00D4074E"/>
    <w:rsid w:val="00D40789"/>
    <w:rsid w:val="00D407A7"/>
    <w:rsid w:val="00D4086A"/>
    <w:rsid w:val="00D40C96"/>
    <w:rsid w:val="00D41048"/>
    <w:rsid w:val="00D411B0"/>
    <w:rsid w:val="00D41BCA"/>
    <w:rsid w:val="00D4204E"/>
    <w:rsid w:val="00D42492"/>
    <w:rsid w:val="00D424C7"/>
    <w:rsid w:val="00D424E3"/>
    <w:rsid w:val="00D425E4"/>
    <w:rsid w:val="00D426B9"/>
    <w:rsid w:val="00D42784"/>
    <w:rsid w:val="00D42812"/>
    <w:rsid w:val="00D42A1B"/>
    <w:rsid w:val="00D42A38"/>
    <w:rsid w:val="00D42AD2"/>
    <w:rsid w:val="00D42E9C"/>
    <w:rsid w:val="00D432BD"/>
    <w:rsid w:val="00D43B2A"/>
    <w:rsid w:val="00D43CF1"/>
    <w:rsid w:val="00D43D83"/>
    <w:rsid w:val="00D43DB2"/>
    <w:rsid w:val="00D440E4"/>
    <w:rsid w:val="00D44145"/>
    <w:rsid w:val="00D44387"/>
    <w:rsid w:val="00D4474D"/>
    <w:rsid w:val="00D44B6F"/>
    <w:rsid w:val="00D44C60"/>
    <w:rsid w:val="00D4554C"/>
    <w:rsid w:val="00D456D7"/>
    <w:rsid w:val="00D45B80"/>
    <w:rsid w:val="00D465A9"/>
    <w:rsid w:val="00D465E0"/>
    <w:rsid w:val="00D46635"/>
    <w:rsid w:val="00D4665D"/>
    <w:rsid w:val="00D4684C"/>
    <w:rsid w:val="00D46B2B"/>
    <w:rsid w:val="00D46C2B"/>
    <w:rsid w:val="00D46D81"/>
    <w:rsid w:val="00D470BE"/>
    <w:rsid w:val="00D47575"/>
    <w:rsid w:val="00D4785F"/>
    <w:rsid w:val="00D47A06"/>
    <w:rsid w:val="00D47A50"/>
    <w:rsid w:val="00D47D07"/>
    <w:rsid w:val="00D47E63"/>
    <w:rsid w:val="00D50119"/>
    <w:rsid w:val="00D50492"/>
    <w:rsid w:val="00D507D6"/>
    <w:rsid w:val="00D50EB1"/>
    <w:rsid w:val="00D50EF9"/>
    <w:rsid w:val="00D51378"/>
    <w:rsid w:val="00D518C5"/>
    <w:rsid w:val="00D51C00"/>
    <w:rsid w:val="00D51CA4"/>
    <w:rsid w:val="00D51E11"/>
    <w:rsid w:val="00D51E59"/>
    <w:rsid w:val="00D521CF"/>
    <w:rsid w:val="00D5234F"/>
    <w:rsid w:val="00D5243B"/>
    <w:rsid w:val="00D5280C"/>
    <w:rsid w:val="00D52A2D"/>
    <w:rsid w:val="00D52ADE"/>
    <w:rsid w:val="00D52CB7"/>
    <w:rsid w:val="00D52E9F"/>
    <w:rsid w:val="00D5306C"/>
    <w:rsid w:val="00D531A9"/>
    <w:rsid w:val="00D531EB"/>
    <w:rsid w:val="00D5335D"/>
    <w:rsid w:val="00D533EC"/>
    <w:rsid w:val="00D5365C"/>
    <w:rsid w:val="00D536F0"/>
    <w:rsid w:val="00D53A7B"/>
    <w:rsid w:val="00D53C72"/>
    <w:rsid w:val="00D53D18"/>
    <w:rsid w:val="00D540D4"/>
    <w:rsid w:val="00D547C6"/>
    <w:rsid w:val="00D54C64"/>
    <w:rsid w:val="00D54D48"/>
    <w:rsid w:val="00D55292"/>
    <w:rsid w:val="00D55369"/>
    <w:rsid w:val="00D5540D"/>
    <w:rsid w:val="00D55A19"/>
    <w:rsid w:val="00D55B93"/>
    <w:rsid w:val="00D56096"/>
    <w:rsid w:val="00D56409"/>
    <w:rsid w:val="00D56A95"/>
    <w:rsid w:val="00D56BCA"/>
    <w:rsid w:val="00D56C89"/>
    <w:rsid w:val="00D56E9E"/>
    <w:rsid w:val="00D57657"/>
    <w:rsid w:val="00D577B7"/>
    <w:rsid w:val="00D57D19"/>
    <w:rsid w:val="00D60459"/>
    <w:rsid w:val="00D605B7"/>
    <w:rsid w:val="00D605F9"/>
    <w:rsid w:val="00D6076E"/>
    <w:rsid w:val="00D6085E"/>
    <w:rsid w:val="00D6087E"/>
    <w:rsid w:val="00D60A62"/>
    <w:rsid w:val="00D611FC"/>
    <w:rsid w:val="00D611FF"/>
    <w:rsid w:val="00D6181C"/>
    <w:rsid w:val="00D618C7"/>
    <w:rsid w:val="00D61D51"/>
    <w:rsid w:val="00D61E8A"/>
    <w:rsid w:val="00D62474"/>
    <w:rsid w:val="00D62528"/>
    <w:rsid w:val="00D62A01"/>
    <w:rsid w:val="00D62A7B"/>
    <w:rsid w:val="00D62B4A"/>
    <w:rsid w:val="00D62CAF"/>
    <w:rsid w:val="00D634BB"/>
    <w:rsid w:val="00D6373A"/>
    <w:rsid w:val="00D63D1D"/>
    <w:rsid w:val="00D64849"/>
    <w:rsid w:val="00D64C53"/>
    <w:rsid w:val="00D64D56"/>
    <w:rsid w:val="00D64DD2"/>
    <w:rsid w:val="00D65204"/>
    <w:rsid w:val="00D655C3"/>
    <w:rsid w:val="00D655CB"/>
    <w:rsid w:val="00D65AED"/>
    <w:rsid w:val="00D65C18"/>
    <w:rsid w:val="00D65E12"/>
    <w:rsid w:val="00D665ED"/>
    <w:rsid w:val="00D66A81"/>
    <w:rsid w:val="00D66B21"/>
    <w:rsid w:val="00D670C3"/>
    <w:rsid w:val="00D6715A"/>
    <w:rsid w:val="00D671DF"/>
    <w:rsid w:val="00D67748"/>
    <w:rsid w:val="00D6776B"/>
    <w:rsid w:val="00D67DB4"/>
    <w:rsid w:val="00D704E4"/>
    <w:rsid w:val="00D706BF"/>
    <w:rsid w:val="00D7087B"/>
    <w:rsid w:val="00D70EC6"/>
    <w:rsid w:val="00D70F16"/>
    <w:rsid w:val="00D71038"/>
    <w:rsid w:val="00D71416"/>
    <w:rsid w:val="00D714FD"/>
    <w:rsid w:val="00D7152D"/>
    <w:rsid w:val="00D7223D"/>
    <w:rsid w:val="00D72617"/>
    <w:rsid w:val="00D72926"/>
    <w:rsid w:val="00D72CD1"/>
    <w:rsid w:val="00D72F57"/>
    <w:rsid w:val="00D72FA1"/>
    <w:rsid w:val="00D733B5"/>
    <w:rsid w:val="00D73F2A"/>
    <w:rsid w:val="00D74109"/>
    <w:rsid w:val="00D74A1A"/>
    <w:rsid w:val="00D74D99"/>
    <w:rsid w:val="00D74E52"/>
    <w:rsid w:val="00D7517D"/>
    <w:rsid w:val="00D751D6"/>
    <w:rsid w:val="00D751EF"/>
    <w:rsid w:val="00D754E2"/>
    <w:rsid w:val="00D75573"/>
    <w:rsid w:val="00D757CF"/>
    <w:rsid w:val="00D75989"/>
    <w:rsid w:val="00D75A06"/>
    <w:rsid w:val="00D75F50"/>
    <w:rsid w:val="00D76245"/>
    <w:rsid w:val="00D76A44"/>
    <w:rsid w:val="00D76A6C"/>
    <w:rsid w:val="00D76DF0"/>
    <w:rsid w:val="00D7737F"/>
    <w:rsid w:val="00D7749C"/>
    <w:rsid w:val="00D7766F"/>
    <w:rsid w:val="00D778D2"/>
    <w:rsid w:val="00D77926"/>
    <w:rsid w:val="00D779CD"/>
    <w:rsid w:val="00D77EB2"/>
    <w:rsid w:val="00D8000C"/>
    <w:rsid w:val="00D8030C"/>
    <w:rsid w:val="00D80571"/>
    <w:rsid w:val="00D8087D"/>
    <w:rsid w:val="00D80BCC"/>
    <w:rsid w:val="00D80C44"/>
    <w:rsid w:val="00D80E2B"/>
    <w:rsid w:val="00D8104B"/>
    <w:rsid w:val="00D814A9"/>
    <w:rsid w:val="00D815EF"/>
    <w:rsid w:val="00D81755"/>
    <w:rsid w:val="00D81814"/>
    <w:rsid w:val="00D81949"/>
    <w:rsid w:val="00D81F26"/>
    <w:rsid w:val="00D822E2"/>
    <w:rsid w:val="00D824B5"/>
    <w:rsid w:val="00D82511"/>
    <w:rsid w:val="00D825B2"/>
    <w:rsid w:val="00D82920"/>
    <w:rsid w:val="00D82B95"/>
    <w:rsid w:val="00D82BCA"/>
    <w:rsid w:val="00D8307D"/>
    <w:rsid w:val="00D8368A"/>
    <w:rsid w:val="00D838D5"/>
    <w:rsid w:val="00D83AB4"/>
    <w:rsid w:val="00D83ABC"/>
    <w:rsid w:val="00D83F8A"/>
    <w:rsid w:val="00D843F2"/>
    <w:rsid w:val="00D845EB"/>
    <w:rsid w:val="00D84873"/>
    <w:rsid w:val="00D84886"/>
    <w:rsid w:val="00D84E4A"/>
    <w:rsid w:val="00D85010"/>
    <w:rsid w:val="00D85077"/>
    <w:rsid w:val="00D850F7"/>
    <w:rsid w:val="00D854BE"/>
    <w:rsid w:val="00D8550F"/>
    <w:rsid w:val="00D855C2"/>
    <w:rsid w:val="00D85605"/>
    <w:rsid w:val="00D8582B"/>
    <w:rsid w:val="00D8599D"/>
    <w:rsid w:val="00D86124"/>
    <w:rsid w:val="00D86231"/>
    <w:rsid w:val="00D8626B"/>
    <w:rsid w:val="00D8632E"/>
    <w:rsid w:val="00D86800"/>
    <w:rsid w:val="00D868E7"/>
    <w:rsid w:val="00D87433"/>
    <w:rsid w:val="00D8758A"/>
    <w:rsid w:val="00D87E2D"/>
    <w:rsid w:val="00D90781"/>
    <w:rsid w:val="00D90E15"/>
    <w:rsid w:val="00D90F13"/>
    <w:rsid w:val="00D91221"/>
    <w:rsid w:val="00D912AB"/>
    <w:rsid w:val="00D918C5"/>
    <w:rsid w:val="00D91923"/>
    <w:rsid w:val="00D919CB"/>
    <w:rsid w:val="00D91AC8"/>
    <w:rsid w:val="00D91B83"/>
    <w:rsid w:val="00D91BB4"/>
    <w:rsid w:val="00D91E41"/>
    <w:rsid w:val="00D92C50"/>
    <w:rsid w:val="00D92D9D"/>
    <w:rsid w:val="00D92EC2"/>
    <w:rsid w:val="00D92FF5"/>
    <w:rsid w:val="00D934FD"/>
    <w:rsid w:val="00D93753"/>
    <w:rsid w:val="00D939D2"/>
    <w:rsid w:val="00D93A61"/>
    <w:rsid w:val="00D93AD6"/>
    <w:rsid w:val="00D93B01"/>
    <w:rsid w:val="00D93DDA"/>
    <w:rsid w:val="00D93E90"/>
    <w:rsid w:val="00D9419B"/>
    <w:rsid w:val="00D946DD"/>
    <w:rsid w:val="00D95934"/>
    <w:rsid w:val="00D95E97"/>
    <w:rsid w:val="00D95EC0"/>
    <w:rsid w:val="00D96329"/>
    <w:rsid w:val="00D963A2"/>
    <w:rsid w:val="00D9688B"/>
    <w:rsid w:val="00D96991"/>
    <w:rsid w:val="00D96BC9"/>
    <w:rsid w:val="00D96CF2"/>
    <w:rsid w:val="00D96FCB"/>
    <w:rsid w:val="00D97140"/>
    <w:rsid w:val="00D9755B"/>
    <w:rsid w:val="00D97A0A"/>
    <w:rsid w:val="00DA0250"/>
    <w:rsid w:val="00DA09E5"/>
    <w:rsid w:val="00DA0AC4"/>
    <w:rsid w:val="00DA13EB"/>
    <w:rsid w:val="00DA1A20"/>
    <w:rsid w:val="00DA1A31"/>
    <w:rsid w:val="00DA1BF2"/>
    <w:rsid w:val="00DA1F39"/>
    <w:rsid w:val="00DA1FC4"/>
    <w:rsid w:val="00DA21D2"/>
    <w:rsid w:val="00DA21E4"/>
    <w:rsid w:val="00DA2FAB"/>
    <w:rsid w:val="00DA3167"/>
    <w:rsid w:val="00DA3B63"/>
    <w:rsid w:val="00DA3F85"/>
    <w:rsid w:val="00DA4071"/>
    <w:rsid w:val="00DA4457"/>
    <w:rsid w:val="00DA4756"/>
    <w:rsid w:val="00DA4852"/>
    <w:rsid w:val="00DA4C6B"/>
    <w:rsid w:val="00DA4D52"/>
    <w:rsid w:val="00DA4DC3"/>
    <w:rsid w:val="00DA5456"/>
    <w:rsid w:val="00DA5816"/>
    <w:rsid w:val="00DA5B41"/>
    <w:rsid w:val="00DA5C7C"/>
    <w:rsid w:val="00DA6027"/>
    <w:rsid w:val="00DA60F8"/>
    <w:rsid w:val="00DA613E"/>
    <w:rsid w:val="00DA6233"/>
    <w:rsid w:val="00DA64E6"/>
    <w:rsid w:val="00DA6724"/>
    <w:rsid w:val="00DA67F0"/>
    <w:rsid w:val="00DA6958"/>
    <w:rsid w:val="00DA6A09"/>
    <w:rsid w:val="00DA6A71"/>
    <w:rsid w:val="00DA7014"/>
    <w:rsid w:val="00DA723D"/>
    <w:rsid w:val="00DA7718"/>
    <w:rsid w:val="00DA7747"/>
    <w:rsid w:val="00DA77A5"/>
    <w:rsid w:val="00DA7A22"/>
    <w:rsid w:val="00DA7FD7"/>
    <w:rsid w:val="00DB004A"/>
    <w:rsid w:val="00DB0482"/>
    <w:rsid w:val="00DB05E9"/>
    <w:rsid w:val="00DB0E36"/>
    <w:rsid w:val="00DB0FBB"/>
    <w:rsid w:val="00DB13B9"/>
    <w:rsid w:val="00DB1804"/>
    <w:rsid w:val="00DB1D4A"/>
    <w:rsid w:val="00DB211A"/>
    <w:rsid w:val="00DB21BC"/>
    <w:rsid w:val="00DB22D5"/>
    <w:rsid w:val="00DB230B"/>
    <w:rsid w:val="00DB2719"/>
    <w:rsid w:val="00DB2723"/>
    <w:rsid w:val="00DB28F7"/>
    <w:rsid w:val="00DB29EE"/>
    <w:rsid w:val="00DB2B4E"/>
    <w:rsid w:val="00DB2CF1"/>
    <w:rsid w:val="00DB2E6B"/>
    <w:rsid w:val="00DB327B"/>
    <w:rsid w:val="00DB32E7"/>
    <w:rsid w:val="00DB38AF"/>
    <w:rsid w:val="00DB3B02"/>
    <w:rsid w:val="00DB3DBF"/>
    <w:rsid w:val="00DB41A4"/>
    <w:rsid w:val="00DB450B"/>
    <w:rsid w:val="00DB484D"/>
    <w:rsid w:val="00DB484F"/>
    <w:rsid w:val="00DB4A4E"/>
    <w:rsid w:val="00DB4CEE"/>
    <w:rsid w:val="00DB4E90"/>
    <w:rsid w:val="00DB5030"/>
    <w:rsid w:val="00DB5182"/>
    <w:rsid w:val="00DB5952"/>
    <w:rsid w:val="00DB5C91"/>
    <w:rsid w:val="00DB5DA6"/>
    <w:rsid w:val="00DB6176"/>
    <w:rsid w:val="00DB6470"/>
    <w:rsid w:val="00DB6600"/>
    <w:rsid w:val="00DB6C0A"/>
    <w:rsid w:val="00DB6E46"/>
    <w:rsid w:val="00DB72BB"/>
    <w:rsid w:val="00DB72C6"/>
    <w:rsid w:val="00DB7472"/>
    <w:rsid w:val="00DB7603"/>
    <w:rsid w:val="00DB7686"/>
    <w:rsid w:val="00DB7929"/>
    <w:rsid w:val="00DB7945"/>
    <w:rsid w:val="00DB7FA1"/>
    <w:rsid w:val="00DC04F6"/>
    <w:rsid w:val="00DC0576"/>
    <w:rsid w:val="00DC0690"/>
    <w:rsid w:val="00DC091E"/>
    <w:rsid w:val="00DC099A"/>
    <w:rsid w:val="00DC0DFE"/>
    <w:rsid w:val="00DC0E55"/>
    <w:rsid w:val="00DC0EBD"/>
    <w:rsid w:val="00DC0EFC"/>
    <w:rsid w:val="00DC107A"/>
    <w:rsid w:val="00DC1094"/>
    <w:rsid w:val="00DC12D8"/>
    <w:rsid w:val="00DC17CA"/>
    <w:rsid w:val="00DC1D65"/>
    <w:rsid w:val="00DC2092"/>
    <w:rsid w:val="00DC22AF"/>
    <w:rsid w:val="00DC23DE"/>
    <w:rsid w:val="00DC2B04"/>
    <w:rsid w:val="00DC2D31"/>
    <w:rsid w:val="00DC3044"/>
    <w:rsid w:val="00DC3437"/>
    <w:rsid w:val="00DC34C4"/>
    <w:rsid w:val="00DC3657"/>
    <w:rsid w:val="00DC3957"/>
    <w:rsid w:val="00DC3BAA"/>
    <w:rsid w:val="00DC3C57"/>
    <w:rsid w:val="00DC4738"/>
    <w:rsid w:val="00DC5021"/>
    <w:rsid w:val="00DC5501"/>
    <w:rsid w:val="00DC5574"/>
    <w:rsid w:val="00DC58F7"/>
    <w:rsid w:val="00DC5DE4"/>
    <w:rsid w:val="00DC5E39"/>
    <w:rsid w:val="00DC616C"/>
    <w:rsid w:val="00DC64D6"/>
    <w:rsid w:val="00DC66AB"/>
    <w:rsid w:val="00DC681A"/>
    <w:rsid w:val="00DC69A8"/>
    <w:rsid w:val="00DC6A6D"/>
    <w:rsid w:val="00DC6D0B"/>
    <w:rsid w:val="00DC6D8A"/>
    <w:rsid w:val="00DC6DC4"/>
    <w:rsid w:val="00DC7154"/>
    <w:rsid w:val="00DC7492"/>
    <w:rsid w:val="00DC756D"/>
    <w:rsid w:val="00DC7E8A"/>
    <w:rsid w:val="00DD015A"/>
    <w:rsid w:val="00DD025D"/>
    <w:rsid w:val="00DD0287"/>
    <w:rsid w:val="00DD0308"/>
    <w:rsid w:val="00DD084C"/>
    <w:rsid w:val="00DD085F"/>
    <w:rsid w:val="00DD0AE1"/>
    <w:rsid w:val="00DD0F78"/>
    <w:rsid w:val="00DD11D9"/>
    <w:rsid w:val="00DD1264"/>
    <w:rsid w:val="00DD1357"/>
    <w:rsid w:val="00DD158D"/>
    <w:rsid w:val="00DD16AC"/>
    <w:rsid w:val="00DD1AD3"/>
    <w:rsid w:val="00DD1DF4"/>
    <w:rsid w:val="00DD21DD"/>
    <w:rsid w:val="00DD273C"/>
    <w:rsid w:val="00DD31D4"/>
    <w:rsid w:val="00DD3240"/>
    <w:rsid w:val="00DD3430"/>
    <w:rsid w:val="00DD346D"/>
    <w:rsid w:val="00DD35DF"/>
    <w:rsid w:val="00DD35F1"/>
    <w:rsid w:val="00DD360A"/>
    <w:rsid w:val="00DD3C49"/>
    <w:rsid w:val="00DD3EDE"/>
    <w:rsid w:val="00DD3F0F"/>
    <w:rsid w:val="00DD3F28"/>
    <w:rsid w:val="00DD3FBF"/>
    <w:rsid w:val="00DD416E"/>
    <w:rsid w:val="00DD41F4"/>
    <w:rsid w:val="00DD4446"/>
    <w:rsid w:val="00DD447B"/>
    <w:rsid w:val="00DD4537"/>
    <w:rsid w:val="00DD4577"/>
    <w:rsid w:val="00DD4772"/>
    <w:rsid w:val="00DD47A6"/>
    <w:rsid w:val="00DD4AF3"/>
    <w:rsid w:val="00DD4BC3"/>
    <w:rsid w:val="00DD4E15"/>
    <w:rsid w:val="00DD5014"/>
    <w:rsid w:val="00DD5131"/>
    <w:rsid w:val="00DD564C"/>
    <w:rsid w:val="00DD5772"/>
    <w:rsid w:val="00DD57FF"/>
    <w:rsid w:val="00DD5CD8"/>
    <w:rsid w:val="00DD5E88"/>
    <w:rsid w:val="00DD6322"/>
    <w:rsid w:val="00DD6715"/>
    <w:rsid w:val="00DD684E"/>
    <w:rsid w:val="00DD69A0"/>
    <w:rsid w:val="00DD6AB2"/>
    <w:rsid w:val="00DD6D32"/>
    <w:rsid w:val="00DD7080"/>
    <w:rsid w:val="00DD75B4"/>
    <w:rsid w:val="00DD7608"/>
    <w:rsid w:val="00DE0013"/>
    <w:rsid w:val="00DE0165"/>
    <w:rsid w:val="00DE0328"/>
    <w:rsid w:val="00DE0344"/>
    <w:rsid w:val="00DE0483"/>
    <w:rsid w:val="00DE0712"/>
    <w:rsid w:val="00DE0747"/>
    <w:rsid w:val="00DE0C5A"/>
    <w:rsid w:val="00DE0DD5"/>
    <w:rsid w:val="00DE0EBE"/>
    <w:rsid w:val="00DE108F"/>
    <w:rsid w:val="00DE1301"/>
    <w:rsid w:val="00DE13F3"/>
    <w:rsid w:val="00DE168A"/>
    <w:rsid w:val="00DE1834"/>
    <w:rsid w:val="00DE1D2A"/>
    <w:rsid w:val="00DE1E8D"/>
    <w:rsid w:val="00DE2304"/>
    <w:rsid w:val="00DE2369"/>
    <w:rsid w:val="00DE276C"/>
    <w:rsid w:val="00DE2C00"/>
    <w:rsid w:val="00DE2C23"/>
    <w:rsid w:val="00DE2EA7"/>
    <w:rsid w:val="00DE3138"/>
    <w:rsid w:val="00DE31A2"/>
    <w:rsid w:val="00DE324F"/>
    <w:rsid w:val="00DE3316"/>
    <w:rsid w:val="00DE349D"/>
    <w:rsid w:val="00DE37F8"/>
    <w:rsid w:val="00DE38D6"/>
    <w:rsid w:val="00DE3EC3"/>
    <w:rsid w:val="00DE4273"/>
    <w:rsid w:val="00DE427E"/>
    <w:rsid w:val="00DE4328"/>
    <w:rsid w:val="00DE43B3"/>
    <w:rsid w:val="00DE486B"/>
    <w:rsid w:val="00DE4B9B"/>
    <w:rsid w:val="00DE4E03"/>
    <w:rsid w:val="00DE4E85"/>
    <w:rsid w:val="00DE4FCB"/>
    <w:rsid w:val="00DE5113"/>
    <w:rsid w:val="00DE52CC"/>
    <w:rsid w:val="00DE531D"/>
    <w:rsid w:val="00DE55E3"/>
    <w:rsid w:val="00DE5D07"/>
    <w:rsid w:val="00DE5DDE"/>
    <w:rsid w:val="00DE636B"/>
    <w:rsid w:val="00DE6377"/>
    <w:rsid w:val="00DE64A7"/>
    <w:rsid w:val="00DE66E6"/>
    <w:rsid w:val="00DE6762"/>
    <w:rsid w:val="00DE682C"/>
    <w:rsid w:val="00DE69B0"/>
    <w:rsid w:val="00DE6ADE"/>
    <w:rsid w:val="00DE7123"/>
    <w:rsid w:val="00DE72A7"/>
    <w:rsid w:val="00DE7832"/>
    <w:rsid w:val="00DE79EF"/>
    <w:rsid w:val="00DE7BF6"/>
    <w:rsid w:val="00DF0038"/>
    <w:rsid w:val="00DF04FC"/>
    <w:rsid w:val="00DF0B69"/>
    <w:rsid w:val="00DF1283"/>
    <w:rsid w:val="00DF130A"/>
    <w:rsid w:val="00DF1631"/>
    <w:rsid w:val="00DF18FC"/>
    <w:rsid w:val="00DF1967"/>
    <w:rsid w:val="00DF2189"/>
    <w:rsid w:val="00DF21EF"/>
    <w:rsid w:val="00DF2D28"/>
    <w:rsid w:val="00DF3163"/>
    <w:rsid w:val="00DF3525"/>
    <w:rsid w:val="00DF359B"/>
    <w:rsid w:val="00DF3BCB"/>
    <w:rsid w:val="00DF3C26"/>
    <w:rsid w:val="00DF418C"/>
    <w:rsid w:val="00DF41AB"/>
    <w:rsid w:val="00DF4461"/>
    <w:rsid w:val="00DF4471"/>
    <w:rsid w:val="00DF459B"/>
    <w:rsid w:val="00DF46D5"/>
    <w:rsid w:val="00DF4B94"/>
    <w:rsid w:val="00DF4D94"/>
    <w:rsid w:val="00DF4E69"/>
    <w:rsid w:val="00DF55BA"/>
    <w:rsid w:val="00DF5759"/>
    <w:rsid w:val="00DF5A2F"/>
    <w:rsid w:val="00DF5D2B"/>
    <w:rsid w:val="00DF5EE9"/>
    <w:rsid w:val="00DF62B9"/>
    <w:rsid w:val="00DF6341"/>
    <w:rsid w:val="00DF6349"/>
    <w:rsid w:val="00DF6FF5"/>
    <w:rsid w:val="00DF7429"/>
    <w:rsid w:val="00DF775F"/>
    <w:rsid w:val="00DF778C"/>
    <w:rsid w:val="00DF77F6"/>
    <w:rsid w:val="00DF7860"/>
    <w:rsid w:val="00DF7E47"/>
    <w:rsid w:val="00DF7EFB"/>
    <w:rsid w:val="00E00057"/>
    <w:rsid w:val="00E001D9"/>
    <w:rsid w:val="00E002ED"/>
    <w:rsid w:val="00E004D1"/>
    <w:rsid w:val="00E00E8E"/>
    <w:rsid w:val="00E012B6"/>
    <w:rsid w:val="00E01A6F"/>
    <w:rsid w:val="00E01B77"/>
    <w:rsid w:val="00E01C94"/>
    <w:rsid w:val="00E01CA6"/>
    <w:rsid w:val="00E0205F"/>
    <w:rsid w:val="00E027DA"/>
    <w:rsid w:val="00E0291F"/>
    <w:rsid w:val="00E029F4"/>
    <w:rsid w:val="00E02C82"/>
    <w:rsid w:val="00E02EB7"/>
    <w:rsid w:val="00E031CA"/>
    <w:rsid w:val="00E031FA"/>
    <w:rsid w:val="00E033FB"/>
    <w:rsid w:val="00E03858"/>
    <w:rsid w:val="00E03936"/>
    <w:rsid w:val="00E039F7"/>
    <w:rsid w:val="00E03BE4"/>
    <w:rsid w:val="00E03C58"/>
    <w:rsid w:val="00E03D22"/>
    <w:rsid w:val="00E03D92"/>
    <w:rsid w:val="00E040FA"/>
    <w:rsid w:val="00E0425A"/>
    <w:rsid w:val="00E043BC"/>
    <w:rsid w:val="00E04768"/>
    <w:rsid w:val="00E048CA"/>
    <w:rsid w:val="00E04D6E"/>
    <w:rsid w:val="00E0506E"/>
    <w:rsid w:val="00E054E6"/>
    <w:rsid w:val="00E05630"/>
    <w:rsid w:val="00E05C01"/>
    <w:rsid w:val="00E06041"/>
    <w:rsid w:val="00E06408"/>
    <w:rsid w:val="00E065A5"/>
    <w:rsid w:val="00E06B72"/>
    <w:rsid w:val="00E06B74"/>
    <w:rsid w:val="00E06D07"/>
    <w:rsid w:val="00E06D2E"/>
    <w:rsid w:val="00E06DBB"/>
    <w:rsid w:val="00E06FBA"/>
    <w:rsid w:val="00E078B3"/>
    <w:rsid w:val="00E07A17"/>
    <w:rsid w:val="00E07CCA"/>
    <w:rsid w:val="00E07FFC"/>
    <w:rsid w:val="00E10094"/>
    <w:rsid w:val="00E10149"/>
    <w:rsid w:val="00E102D5"/>
    <w:rsid w:val="00E10D1A"/>
    <w:rsid w:val="00E10D72"/>
    <w:rsid w:val="00E10E9A"/>
    <w:rsid w:val="00E10EF0"/>
    <w:rsid w:val="00E110A2"/>
    <w:rsid w:val="00E112F0"/>
    <w:rsid w:val="00E11340"/>
    <w:rsid w:val="00E11DCC"/>
    <w:rsid w:val="00E11E39"/>
    <w:rsid w:val="00E11FAF"/>
    <w:rsid w:val="00E1220A"/>
    <w:rsid w:val="00E122A1"/>
    <w:rsid w:val="00E125E1"/>
    <w:rsid w:val="00E12F2D"/>
    <w:rsid w:val="00E13067"/>
    <w:rsid w:val="00E133C8"/>
    <w:rsid w:val="00E13973"/>
    <w:rsid w:val="00E13AF2"/>
    <w:rsid w:val="00E13BBD"/>
    <w:rsid w:val="00E145AE"/>
    <w:rsid w:val="00E14693"/>
    <w:rsid w:val="00E15189"/>
    <w:rsid w:val="00E157B9"/>
    <w:rsid w:val="00E157D1"/>
    <w:rsid w:val="00E160FB"/>
    <w:rsid w:val="00E16372"/>
    <w:rsid w:val="00E1642B"/>
    <w:rsid w:val="00E16546"/>
    <w:rsid w:val="00E16981"/>
    <w:rsid w:val="00E16AD8"/>
    <w:rsid w:val="00E16AF5"/>
    <w:rsid w:val="00E16B6C"/>
    <w:rsid w:val="00E17023"/>
    <w:rsid w:val="00E1706C"/>
    <w:rsid w:val="00E17854"/>
    <w:rsid w:val="00E17A35"/>
    <w:rsid w:val="00E17D38"/>
    <w:rsid w:val="00E17D9B"/>
    <w:rsid w:val="00E17FFA"/>
    <w:rsid w:val="00E20090"/>
    <w:rsid w:val="00E203B8"/>
    <w:rsid w:val="00E203D1"/>
    <w:rsid w:val="00E2040A"/>
    <w:rsid w:val="00E20540"/>
    <w:rsid w:val="00E20572"/>
    <w:rsid w:val="00E2065F"/>
    <w:rsid w:val="00E206EC"/>
    <w:rsid w:val="00E20BFE"/>
    <w:rsid w:val="00E20E4D"/>
    <w:rsid w:val="00E20ED6"/>
    <w:rsid w:val="00E210BA"/>
    <w:rsid w:val="00E2120D"/>
    <w:rsid w:val="00E21358"/>
    <w:rsid w:val="00E2142A"/>
    <w:rsid w:val="00E21531"/>
    <w:rsid w:val="00E217C7"/>
    <w:rsid w:val="00E218FC"/>
    <w:rsid w:val="00E21BE8"/>
    <w:rsid w:val="00E21CAF"/>
    <w:rsid w:val="00E21DDB"/>
    <w:rsid w:val="00E21E7E"/>
    <w:rsid w:val="00E2249B"/>
    <w:rsid w:val="00E22641"/>
    <w:rsid w:val="00E2291C"/>
    <w:rsid w:val="00E229CD"/>
    <w:rsid w:val="00E22A0D"/>
    <w:rsid w:val="00E22CA5"/>
    <w:rsid w:val="00E2309E"/>
    <w:rsid w:val="00E2338D"/>
    <w:rsid w:val="00E234E0"/>
    <w:rsid w:val="00E23A9C"/>
    <w:rsid w:val="00E24100"/>
    <w:rsid w:val="00E244F6"/>
    <w:rsid w:val="00E24781"/>
    <w:rsid w:val="00E24C48"/>
    <w:rsid w:val="00E25271"/>
    <w:rsid w:val="00E25289"/>
    <w:rsid w:val="00E252F3"/>
    <w:rsid w:val="00E2567F"/>
    <w:rsid w:val="00E256A0"/>
    <w:rsid w:val="00E257C0"/>
    <w:rsid w:val="00E258D8"/>
    <w:rsid w:val="00E258DB"/>
    <w:rsid w:val="00E25EBA"/>
    <w:rsid w:val="00E25F93"/>
    <w:rsid w:val="00E26309"/>
    <w:rsid w:val="00E2656E"/>
    <w:rsid w:val="00E26632"/>
    <w:rsid w:val="00E26951"/>
    <w:rsid w:val="00E26970"/>
    <w:rsid w:val="00E26A7B"/>
    <w:rsid w:val="00E271F0"/>
    <w:rsid w:val="00E276B1"/>
    <w:rsid w:val="00E27703"/>
    <w:rsid w:val="00E2771E"/>
    <w:rsid w:val="00E2776E"/>
    <w:rsid w:val="00E277DD"/>
    <w:rsid w:val="00E27808"/>
    <w:rsid w:val="00E27BEB"/>
    <w:rsid w:val="00E27D85"/>
    <w:rsid w:val="00E27F50"/>
    <w:rsid w:val="00E306CC"/>
    <w:rsid w:val="00E30766"/>
    <w:rsid w:val="00E30B9B"/>
    <w:rsid w:val="00E30C41"/>
    <w:rsid w:val="00E30F1F"/>
    <w:rsid w:val="00E31002"/>
    <w:rsid w:val="00E31095"/>
    <w:rsid w:val="00E311EF"/>
    <w:rsid w:val="00E31252"/>
    <w:rsid w:val="00E3125B"/>
    <w:rsid w:val="00E312FA"/>
    <w:rsid w:val="00E3138E"/>
    <w:rsid w:val="00E314C1"/>
    <w:rsid w:val="00E31D67"/>
    <w:rsid w:val="00E320C0"/>
    <w:rsid w:val="00E32177"/>
    <w:rsid w:val="00E32180"/>
    <w:rsid w:val="00E322FC"/>
    <w:rsid w:val="00E32472"/>
    <w:rsid w:val="00E325C7"/>
    <w:rsid w:val="00E3267F"/>
    <w:rsid w:val="00E32770"/>
    <w:rsid w:val="00E328CC"/>
    <w:rsid w:val="00E328FF"/>
    <w:rsid w:val="00E32A38"/>
    <w:rsid w:val="00E32E1E"/>
    <w:rsid w:val="00E32F63"/>
    <w:rsid w:val="00E33194"/>
    <w:rsid w:val="00E3334A"/>
    <w:rsid w:val="00E33384"/>
    <w:rsid w:val="00E3377C"/>
    <w:rsid w:val="00E337DB"/>
    <w:rsid w:val="00E33855"/>
    <w:rsid w:val="00E339F3"/>
    <w:rsid w:val="00E33ADD"/>
    <w:rsid w:val="00E33BF4"/>
    <w:rsid w:val="00E33D16"/>
    <w:rsid w:val="00E33D1A"/>
    <w:rsid w:val="00E34296"/>
    <w:rsid w:val="00E34948"/>
    <w:rsid w:val="00E353C6"/>
    <w:rsid w:val="00E35501"/>
    <w:rsid w:val="00E3577E"/>
    <w:rsid w:val="00E3581F"/>
    <w:rsid w:val="00E35966"/>
    <w:rsid w:val="00E36320"/>
    <w:rsid w:val="00E365C9"/>
    <w:rsid w:val="00E36932"/>
    <w:rsid w:val="00E370AB"/>
    <w:rsid w:val="00E37536"/>
    <w:rsid w:val="00E37569"/>
    <w:rsid w:val="00E375FB"/>
    <w:rsid w:val="00E376C1"/>
    <w:rsid w:val="00E378AB"/>
    <w:rsid w:val="00E37949"/>
    <w:rsid w:val="00E37B3F"/>
    <w:rsid w:val="00E37DD2"/>
    <w:rsid w:val="00E40082"/>
    <w:rsid w:val="00E401B2"/>
    <w:rsid w:val="00E402EA"/>
    <w:rsid w:val="00E40317"/>
    <w:rsid w:val="00E409B0"/>
    <w:rsid w:val="00E40B7A"/>
    <w:rsid w:val="00E40CB1"/>
    <w:rsid w:val="00E40DA8"/>
    <w:rsid w:val="00E40DD9"/>
    <w:rsid w:val="00E41192"/>
    <w:rsid w:val="00E4143A"/>
    <w:rsid w:val="00E41463"/>
    <w:rsid w:val="00E4196A"/>
    <w:rsid w:val="00E41E30"/>
    <w:rsid w:val="00E42117"/>
    <w:rsid w:val="00E42794"/>
    <w:rsid w:val="00E427C4"/>
    <w:rsid w:val="00E42992"/>
    <w:rsid w:val="00E42AD8"/>
    <w:rsid w:val="00E42EFB"/>
    <w:rsid w:val="00E42F37"/>
    <w:rsid w:val="00E42F73"/>
    <w:rsid w:val="00E43059"/>
    <w:rsid w:val="00E4329D"/>
    <w:rsid w:val="00E43549"/>
    <w:rsid w:val="00E43905"/>
    <w:rsid w:val="00E43982"/>
    <w:rsid w:val="00E43D70"/>
    <w:rsid w:val="00E43F2D"/>
    <w:rsid w:val="00E444F8"/>
    <w:rsid w:val="00E4470B"/>
    <w:rsid w:val="00E448DE"/>
    <w:rsid w:val="00E44999"/>
    <w:rsid w:val="00E44CA7"/>
    <w:rsid w:val="00E453AF"/>
    <w:rsid w:val="00E45542"/>
    <w:rsid w:val="00E459FE"/>
    <w:rsid w:val="00E45A3F"/>
    <w:rsid w:val="00E45AC2"/>
    <w:rsid w:val="00E45E46"/>
    <w:rsid w:val="00E4613A"/>
    <w:rsid w:val="00E466F3"/>
    <w:rsid w:val="00E46E12"/>
    <w:rsid w:val="00E46EB8"/>
    <w:rsid w:val="00E470D9"/>
    <w:rsid w:val="00E47B2C"/>
    <w:rsid w:val="00E47B37"/>
    <w:rsid w:val="00E47C2A"/>
    <w:rsid w:val="00E47DB4"/>
    <w:rsid w:val="00E50084"/>
    <w:rsid w:val="00E5016A"/>
    <w:rsid w:val="00E501CE"/>
    <w:rsid w:val="00E505BE"/>
    <w:rsid w:val="00E50761"/>
    <w:rsid w:val="00E507D2"/>
    <w:rsid w:val="00E50BDA"/>
    <w:rsid w:val="00E50BF1"/>
    <w:rsid w:val="00E50D56"/>
    <w:rsid w:val="00E5129A"/>
    <w:rsid w:val="00E51560"/>
    <w:rsid w:val="00E51603"/>
    <w:rsid w:val="00E51821"/>
    <w:rsid w:val="00E51ADD"/>
    <w:rsid w:val="00E52367"/>
    <w:rsid w:val="00E52C3F"/>
    <w:rsid w:val="00E52D28"/>
    <w:rsid w:val="00E52ECB"/>
    <w:rsid w:val="00E52EF8"/>
    <w:rsid w:val="00E52F24"/>
    <w:rsid w:val="00E53857"/>
    <w:rsid w:val="00E538CA"/>
    <w:rsid w:val="00E53AF4"/>
    <w:rsid w:val="00E53E24"/>
    <w:rsid w:val="00E53E2C"/>
    <w:rsid w:val="00E53E76"/>
    <w:rsid w:val="00E53FC8"/>
    <w:rsid w:val="00E54120"/>
    <w:rsid w:val="00E54347"/>
    <w:rsid w:val="00E54504"/>
    <w:rsid w:val="00E546DF"/>
    <w:rsid w:val="00E5485E"/>
    <w:rsid w:val="00E548A5"/>
    <w:rsid w:val="00E54987"/>
    <w:rsid w:val="00E549B2"/>
    <w:rsid w:val="00E54C8A"/>
    <w:rsid w:val="00E54DDE"/>
    <w:rsid w:val="00E54EB3"/>
    <w:rsid w:val="00E55363"/>
    <w:rsid w:val="00E55424"/>
    <w:rsid w:val="00E55688"/>
    <w:rsid w:val="00E55823"/>
    <w:rsid w:val="00E55915"/>
    <w:rsid w:val="00E55BB5"/>
    <w:rsid w:val="00E55D0A"/>
    <w:rsid w:val="00E55D8D"/>
    <w:rsid w:val="00E55DBB"/>
    <w:rsid w:val="00E56242"/>
    <w:rsid w:val="00E5638E"/>
    <w:rsid w:val="00E56600"/>
    <w:rsid w:val="00E5694F"/>
    <w:rsid w:val="00E5738E"/>
    <w:rsid w:val="00E573D8"/>
    <w:rsid w:val="00E578DF"/>
    <w:rsid w:val="00E57904"/>
    <w:rsid w:val="00E57BDC"/>
    <w:rsid w:val="00E57CBF"/>
    <w:rsid w:val="00E57E04"/>
    <w:rsid w:val="00E6026D"/>
    <w:rsid w:val="00E60270"/>
    <w:rsid w:val="00E602BC"/>
    <w:rsid w:val="00E60719"/>
    <w:rsid w:val="00E60925"/>
    <w:rsid w:val="00E60983"/>
    <w:rsid w:val="00E60A0E"/>
    <w:rsid w:val="00E60C57"/>
    <w:rsid w:val="00E60D12"/>
    <w:rsid w:val="00E60EB6"/>
    <w:rsid w:val="00E6111F"/>
    <w:rsid w:val="00E611DF"/>
    <w:rsid w:val="00E614C1"/>
    <w:rsid w:val="00E614CD"/>
    <w:rsid w:val="00E614E8"/>
    <w:rsid w:val="00E61655"/>
    <w:rsid w:val="00E61781"/>
    <w:rsid w:val="00E61C23"/>
    <w:rsid w:val="00E61D03"/>
    <w:rsid w:val="00E6202C"/>
    <w:rsid w:val="00E6266D"/>
    <w:rsid w:val="00E628FA"/>
    <w:rsid w:val="00E6298A"/>
    <w:rsid w:val="00E62A60"/>
    <w:rsid w:val="00E62C45"/>
    <w:rsid w:val="00E6305C"/>
    <w:rsid w:val="00E637C7"/>
    <w:rsid w:val="00E63987"/>
    <w:rsid w:val="00E63BDA"/>
    <w:rsid w:val="00E63CB8"/>
    <w:rsid w:val="00E63E47"/>
    <w:rsid w:val="00E6446C"/>
    <w:rsid w:val="00E648B7"/>
    <w:rsid w:val="00E64B24"/>
    <w:rsid w:val="00E6500C"/>
    <w:rsid w:val="00E659B6"/>
    <w:rsid w:val="00E65A45"/>
    <w:rsid w:val="00E65DE1"/>
    <w:rsid w:val="00E65E79"/>
    <w:rsid w:val="00E65FFC"/>
    <w:rsid w:val="00E6654F"/>
    <w:rsid w:val="00E66917"/>
    <w:rsid w:val="00E66A73"/>
    <w:rsid w:val="00E66B5A"/>
    <w:rsid w:val="00E66BA2"/>
    <w:rsid w:val="00E66EAD"/>
    <w:rsid w:val="00E67308"/>
    <w:rsid w:val="00E67373"/>
    <w:rsid w:val="00E67416"/>
    <w:rsid w:val="00E67542"/>
    <w:rsid w:val="00E67ECF"/>
    <w:rsid w:val="00E7014A"/>
    <w:rsid w:val="00E705DB"/>
    <w:rsid w:val="00E7080B"/>
    <w:rsid w:val="00E708C2"/>
    <w:rsid w:val="00E70B9D"/>
    <w:rsid w:val="00E70CC2"/>
    <w:rsid w:val="00E70D3B"/>
    <w:rsid w:val="00E710F7"/>
    <w:rsid w:val="00E7178F"/>
    <w:rsid w:val="00E718B6"/>
    <w:rsid w:val="00E719AE"/>
    <w:rsid w:val="00E71AD1"/>
    <w:rsid w:val="00E72012"/>
    <w:rsid w:val="00E720B0"/>
    <w:rsid w:val="00E7214B"/>
    <w:rsid w:val="00E722EC"/>
    <w:rsid w:val="00E723BA"/>
    <w:rsid w:val="00E7287A"/>
    <w:rsid w:val="00E72B5B"/>
    <w:rsid w:val="00E72C50"/>
    <w:rsid w:val="00E72E1F"/>
    <w:rsid w:val="00E730C9"/>
    <w:rsid w:val="00E73581"/>
    <w:rsid w:val="00E73B9E"/>
    <w:rsid w:val="00E73BF1"/>
    <w:rsid w:val="00E73DCA"/>
    <w:rsid w:val="00E7403F"/>
    <w:rsid w:val="00E74376"/>
    <w:rsid w:val="00E74DCA"/>
    <w:rsid w:val="00E75A4F"/>
    <w:rsid w:val="00E75AAC"/>
    <w:rsid w:val="00E75DB9"/>
    <w:rsid w:val="00E75E27"/>
    <w:rsid w:val="00E75FF6"/>
    <w:rsid w:val="00E7608A"/>
    <w:rsid w:val="00E760C5"/>
    <w:rsid w:val="00E7647B"/>
    <w:rsid w:val="00E764FE"/>
    <w:rsid w:val="00E765D9"/>
    <w:rsid w:val="00E76982"/>
    <w:rsid w:val="00E769BE"/>
    <w:rsid w:val="00E76AE5"/>
    <w:rsid w:val="00E76CB5"/>
    <w:rsid w:val="00E76E69"/>
    <w:rsid w:val="00E77026"/>
    <w:rsid w:val="00E77066"/>
    <w:rsid w:val="00E770E0"/>
    <w:rsid w:val="00E7725B"/>
    <w:rsid w:val="00E77406"/>
    <w:rsid w:val="00E774EB"/>
    <w:rsid w:val="00E775D4"/>
    <w:rsid w:val="00E800A9"/>
    <w:rsid w:val="00E801EA"/>
    <w:rsid w:val="00E80358"/>
    <w:rsid w:val="00E8047C"/>
    <w:rsid w:val="00E806D0"/>
    <w:rsid w:val="00E81174"/>
    <w:rsid w:val="00E815DA"/>
    <w:rsid w:val="00E81AF8"/>
    <w:rsid w:val="00E81D3C"/>
    <w:rsid w:val="00E81DBB"/>
    <w:rsid w:val="00E81E38"/>
    <w:rsid w:val="00E81E96"/>
    <w:rsid w:val="00E81F18"/>
    <w:rsid w:val="00E821C6"/>
    <w:rsid w:val="00E82402"/>
    <w:rsid w:val="00E8245F"/>
    <w:rsid w:val="00E82665"/>
    <w:rsid w:val="00E826D0"/>
    <w:rsid w:val="00E82ADE"/>
    <w:rsid w:val="00E82AE1"/>
    <w:rsid w:val="00E82BB5"/>
    <w:rsid w:val="00E82EC2"/>
    <w:rsid w:val="00E833F7"/>
    <w:rsid w:val="00E83BDF"/>
    <w:rsid w:val="00E83DC9"/>
    <w:rsid w:val="00E83F00"/>
    <w:rsid w:val="00E83FA2"/>
    <w:rsid w:val="00E843FB"/>
    <w:rsid w:val="00E844E7"/>
    <w:rsid w:val="00E847DC"/>
    <w:rsid w:val="00E8483A"/>
    <w:rsid w:val="00E848D2"/>
    <w:rsid w:val="00E84AB1"/>
    <w:rsid w:val="00E84C65"/>
    <w:rsid w:val="00E85107"/>
    <w:rsid w:val="00E85AAF"/>
    <w:rsid w:val="00E85FF1"/>
    <w:rsid w:val="00E86270"/>
    <w:rsid w:val="00E86FCC"/>
    <w:rsid w:val="00E87273"/>
    <w:rsid w:val="00E874C8"/>
    <w:rsid w:val="00E87559"/>
    <w:rsid w:val="00E8771F"/>
    <w:rsid w:val="00E879B5"/>
    <w:rsid w:val="00E87A1D"/>
    <w:rsid w:val="00E87AE6"/>
    <w:rsid w:val="00E87CC9"/>
    <w:rsid w:val="00E9058B"/>
    <w:rsid w:val="00E9066F"/>
    <w:rsid w:val="00E906E1"/>
    <w:rsid w:val="00E90702"/>
    <w:rsid w:val="00E9094A"/>
    <w:rsid w:val="00E90A02"/>
    <w:rsid w:val="00E90BFA"/>
    <w:rsid w:val="00E90D3B"/>
    <w:rsid w:val="00E90F57"/>
    <w:rsid w:val="00E912D9"/>
    <w:rsid w:val="00E914CF"/>
    <w:rsid w:val="00E91BED"/>
    <w:rsid w:val="00E91C16"/>
    <w:rsid w:val="00E91D35"/>
    <w:rsid w:val="00E92140"/>
    <w:rsid w:val="00E9231B"/>
    <w:rsid w:val="00E9247C"/>
    <w:rsid w:val="00E92505"/>
    <w:rsid w:val="00E926A5"/>
    <w:rsid w:val="00E930AB"/>
    <w:rsid w:val="00E9362D"/>
    <w:rsid w:val="00E93823"/>
    <w:rsid w:val="00E9394B"/>
    <w:rsid w:val="00E9397C"/>
    <w:rsid w:val="00E93AC3"/>
    <w:rsid w:val="00E94401"/>
    <w:rsid w:val="00E945E6"/>
    <w:rsid w:val="00E945FA"/>
    <w:rsid w:val="00E947CD"/>
    <w:rsid w:val="00E948AB"/>
    <w:rsid w:val="00E94B9A"/>
    <w:rsid w:val="00E95344"/>
    <w:rsid w:val="00E9556D"/>
    <w:rsid w:val="00E9562F"/>
    <w:rsid w:val="00E958C3"/>
    <w:rsid w:val="00E959A9"/>
    <w:rsid w:val="00E95A23"/>
    <w:rsid w:val="00E95AC7"/>
    <w:rsid w:val="00E95B4B"/>
    <w:rsid w:val="00E95BFE"/>
    <w:rsid w:val="00E95CA1"/>
    <w:rsid w:val="00E95D43"/>
    <w:rsid w:val="00E95D4E"/>
    <w:rsid w:val="00E962CC"/>
    <w:rsid w:val="00E96B37"/>
    <w:rsid w:val="00E96EF3"/>
    <w:rsid w:val="00E97461"/>
    <w:rsid w:val="00E97838"/>
    <w:rsid w:val="00E97899"/>
    <w:rsid w:val="00E979BB"/>
    <w:rsid w:val="00EA05C9"/>
    <w:rsid w:val="00EA07C6"/>
    <w:rsid w:val="00EA0807"/>
    <w:rsid w:val="00EA0AD0"/>
    <w:rsid w:val="00EA0CFC"/>
    <w:rsid w:val="00EA0E68"/>
    <w:rsid w:val="00EA0F85"/>
    <w:rsid w:val="00EA102D"/>
    <w:rsid w:val="00EA14AB"/>
    <w:rsid w:val="00EA15E5"/>
    <w:rsid w:val="00EA1604"/>
    <w:rsid w:val="00EA17C3"/>
    <w:rsid w:val="00EA1863"/>
    <w:rsid w:val="00EA1E27"/>
    <w:rsid w:val="00EA23C3"/>
    <w:rsid w:val="00EA2535"/>
    <w:rsid w:val="00EA2734"/>
    <w:rsid w:val="00EA27B6"/>
    <w:rsid w:val="00EA2A42"/>
    <w:rsid w:val="00EA2CAA"/>
    <w:rsid w:val="00EA2D57"/>
    <w:rsid w:val="00EA30AD"/>
    <w:rsid w:val="00EA34A4"/>
    <w:rsid w:val="00EA37E2"/>
    <w:rsid w:val="00EA3864"/>
    <w:rsid w:val="00EA3B2F"/>
    <w:rsid w:val="00EA3D84"/>
    <w:rsid w:val="00EA414F"/>
    <w:rsid w:val="00EA462F"/>
    <w:rsid w:val="00EA47B6"/>
    <w:rsid w:val="00EA494A"/>
    <w:rsid w:val="00EA4DB8"/>
    <w:rsid w:val="00EA4FD6"/>
    <w:rsid w:val="00EA5175"/>
    <w:rsid w:val="00EA55E8"/>
    <w:rsid w:val="00EA5D6B"/>
    <w:rsid w:val="00EA638F"/>
    <w:rsid w:val="00EA6827"/>
    <w:rsid w:val="00EA69F1"/>
    <w:rsid w:val="00EA71FC"/>
    <w:rsid w:val="00EA77A5"/>
    <w:rsid w:val="00EA79BE"/>
    <w:rsid w:val="00EA7B7B"/>
    <w:rsid w:val="00EA7CBB"/>
    <w:rsid w:val="00EA7F1C"/>
    <w:rsid w:val="00EB0126"/>
    <w:rsid w:val="00EB037A"/>
    <w:rsid w:val="00EB053F"/>
    <w:rsid w:val="00EB0587"/>
    <w:rsid w:val="00EB077E"/>
    <w:rsid w:val="00EB0BD1"/>
    <w:rsid w:val="00EB0C6E"/>
    <w:rsid w:val="00EB0F46"/>
    <w:rsid w:val="00EB11EA"/>
    <w:rsid w:val="00EB155F"/>
    <w:rsid w:val="00EB15B6"/>
    <w:rsid w:val="00EB1607"/>
    <w:rsid w:val="00EB1690"/>
    <w:rsid w:val="00EB16FA"/>
    <w:rsid w:val="00EB1DA5"/>
    <w:rsid w:val="00EB28DE"/>
    <w:rsid w:val="00EB2B7B"/>
    <w:rsid w:val="00EB2F2D"/>
    <w:rsid w:val="00EB2F47"/>
    <w:rsid w:val="00EB33AC"/>
    <w:rsid w:val="00EB33BD"/>
    <w:rsid w:val="00EB375B"/>
    <w:rsid w:val="00EB3C67"/>
    <w:rsid w:val="00EB3CEE"/>
    <w:rsid w:val="00EB3D06"/>
    <w:rsid w:val="00EB3D16"/>
    <w:rsid w:val="00EB44E8"/>
    <w:rsid w:val="00EB4686"/>
    <w:rsid w:val="00EB4916"/>
    <w:rsid w:val="00EB4C51"/>
    <w:rsid w:val="00EB4CD5"/>
    <w:rsid w:val="00EB4F41"/>
    <w:rsid w:val="00EB51A8"/>
    <w:rsid w:val="00EB558D"/>
    <w:rsid w:val="00EB56B2"/>
    <w:rsid w:val="00EB5D6D"/>
    <w:rsid w:val="00EB6127"/>
    <w:rsid w:val="00EB660A"/>
    <w:rsid w:val="00EB6707"/>
    <w:rsid w:val="00EB6851"/>
    <w:rsid w:val="00EB74DB"/>
    <w:rsid w:val="00EB75AC"/>
    <w:rsid w:val="00EB75E6"/>
    <w:rsid w:val="00EB7649"/>
    <w:rsid w:val="00EB7B4E"/>
    <w:rsid w:val="00EB7D8B"/>
    <w:rsid w:val="00EB7E9E"/>
    <w:rsid w:val="00EC00C9"/>
    <w:rsid w:val="00EC044B"/>
    <w:rsid w:val="00EC052B"/>
    <w:rsid w:val="00EC0DD9"/>
    <w:rsid w:val="00EC0E5D"/>
    <w:rsid w:val="00EC0FE2"/>
    <w:rsid w:val="00EC147E"/>
    <w:rsid w:val="00EC14BD"/>
    <w:rsid w:val="00EC173A"/>
    <w:rsid w:val="00EC18F5"/>
    <w:rsid w:val="00EC2362"/>
    <w:rsid w:val="00EC2649"/>
    <w:rsid w:val="00EC31A7"/>
    <w:rsid w:val="00EC31ED"/>
    <w:rsid w:val="00EC356A"/>
    <w:rsid w:val="00EC3938"/>
    <w:rsid w:val="00EC3A08"/>
    <w:rsid w:val="00EC3E71"/>
    <w:rsid w:val="00EC3FBB"/>
    <w:rsid w:val="00EC4980"/>
    <w:rsid w:val="00EC4A2E"/>
    <w:rsid w:val="00EC4C4F"/>
    <w:rsid w:val="00EC52AE"/>
    <w:rsid w:val="00EC52E4"/>
    <w:rsid w:val="00EC5336"/>
    <w:rsid w:val="00EC5373"/>
    <w:rsid w:val="00EC5836"/>
    <w:rsid w:val="00EC599E"/>
    <w:rsid w:val="00EC5A13"/>
    <w:rsid w:val="00EC5D84"/>
    <w:rsid w:val="00EC5E48"/>
    <w:rsid w:val="00EC5EA4"/>
    <w:rsid w:val="00EC6185"/>
    <w:rsid w:val="00EC62F6"/>
    <w:rsid w:val="00EC64B6"/>
    <w:rsid w:val="00EC688C"/>
    <w:rsid w:val="00EC6B1F"/>
    <w:rsid w:val="00EC6C79"/>
    <w:rsid w:val="00EC6D9E"/>
    <w:rsid w:val="00EC71C2"/>
    <w:rsid w:val="00EC7253"/>
    <w:rsid w:val="00EC72B1"/>
    <w:rsid w:val="00EC732C"/>
    <w:rsid w:val="00EC7799"/>
    <w:rsid w:val="00EC77AF"/>
    <w:rsid w:val="00EC7B69"/>
    <w:rsid w:val="00EC7F7F"/>
    <w:rsid w:val="00ED005C"/>
    <w:rsid w:val="00ED0AE4"/>
    <w:rsid w:val="00ED0BF4"/>
    <w:rsid w:val="00ED0C93"/>
    <w:rsid w:val="00ED0CBB"/>
    <w:rsid w:val="00ED1278"/>
    <w:rsid w:val="00ED12D3"/>
    <w:rsid w:val="00ED12E3"/>
    <w:rsid w:val="00ED16FC"/>
    <w:rsid w:val="00ED174D"/>
    <w:rsid w:val="00ED174F"/>
    <w:rsid w:val="00ED1AFB"/>
    <w:rsid w:val="00ED1CC7"/>
    <w:rsid w:val="00ED1DE6"/>
    <w:rsid w:val="00ED219B"/>
    <w:rsid w:val="00ED2263"/>
    <w:rsid w:val="00ED235C"/>
    <w:rsid w:val="00ED23D3"/>
    <w:rsid w:val="00ED2A44"/>
    <w:rsid w:val="00ED2E66"/>
    <w:rsid w:val="00ED3455"/>
    <w:rsid w:val="00ED3B69"/>
    <w:rsid w:val="00ED3E91"/>
    <w:rsid w:val="00ED4578"/>
    <w:rsid w:val="00ED45D4"/>
    <w:rsid w:val="00ED488C"/>
    <w:rsid w:val="00ED4924"/>
    <w:rsid w:val="00ED4947"/>
    <w:rsid w:val="00ED49D9"/>
    <w:rsid w:val="00ED4B04"/>
    <w:rsid w:val="00ED4EF3"/>
    <w:rsid w:val="00ED50DF"/>
    <w:rsid w:val="00ED51EC"/>
    <w:rsid w:val="00ED55EB"/>
    <w:rsid w:val="00ED57EA"/>
    <w:rsid w:val="00ED5BD4"/>
    <w:rsid w:val="00ED5C2E"/>
    <w:rsid w:val="00ED5FE4"/>
    <w:rsid w:val="00ED62A7"/>
    <w:rsid w:val="00ED6513"/>
    <w:rsid w:val="00ED664D"/>
    <w:rsid w:val="00ED684B"/>
    <w:rsid w:val="00ED6FD1"/>
    <w:rsid w:val="00ED70FF"/>
    <w:rsid w:val="00ED725B"/>
    <w:rsid w:val="00ED72EB"/>
    <w:rsid w:val="00ED7689"/>
    <w:rsid w:val="00ED7806"/>
    <w:rsid w:val="00ED792A"/>
    <w:rsid w:val="00ED7A64"/>
    <w:rsid w:val="00EE023E"/>
    <w:rsid w:val="00EE0363"/>
    <w:rsid w:val="00EE03B8"/>
    <w:rsid w:val="00EE07D3"/>
    <w:rsid w:val="00EE0817"/>
    <w:rsid w:val="00EE0CC3"/>
    <w:rsid w:val="00EE0D30"/>
    <w:rsid w:val="00EE1996"/>
    <w:rsid w:val="00EE1C01"/>
    <w:rsid w:val="00EE1D69"/>
    <w:rsid w:val="00EE1E15"/>
    <w:rsid w:val="00EE2053"/>
    <w:rsid w:val="00EE2208"/>
    <w:rsid w:val="00EE22AF"/>
    <w:rsid w:val="00EE2374"/>
    <w:rsid w:val="00EE275B"/>
    <w:rsid w:val="00EE2D61"/>
    <w:rsid w:val="00EE2D8E"/>
    <w:rsid w:val="00EE2E80"/>
    <w:rsid w:val="00EE381E"/>
    <w:rsid w:val="00EE3968"/>
    <w:rsid w:val="00EE3CAE"/>
    <w:rsid w:val="00EE3CE7"/>
    <w:rsid w:val="00EE3FE1"/>
    <w:rsid w:val="00EE42A9"/>
    <w:rsid w:val="00EE4990"/>
    <w:rsid w:val="00EE4A57"/>
    <w:rsid w:val="00EE4BA6"/>
    <w:rsid w:val="00EE4F0F"/>
    <w:rsid w:val="00EE5060"/>
    <w:rsid w:val="00EE515A"/>
    <w:rsid w:val="00EE519D"/>
    <w:rsid w:val="00EE51CD"/>
    <w:rsid w:val="00EE55CE"/>
    <w:rsid w:val="00EE57A7"/>
    <w:rsid w:val="00EE5AF7"/>
    <w:rsid w:val="00EE5CC8"/>
    <w:rsid w:val="00EE5CF4"/>
    <w:rsid w:val="00EE5E4A"/>
    <w:rsid w:val="00EE649F"/>
    <w:rsid w:val="00EE654D"/>
    <w:rsid w:val="00EE6737"/>
    <w:rsid w:val="00EE6977"/>
    <w:rsid w:val="00EE6BF1"/>
    <w:rsid w:val="00EE7086"/>
    <w:rsid w:val="00EE716B"/>
    <w:rsid w:val="00EE7183"/>
    <w:rsid w:val="00EE76C2"/>
    <w:rsid w:val="00EE7F3D"/>
    <w:rsid w:val="00EF0171"/>
    <w:rsid w:val="00EF0382"/>
    <w:rsid w:val="00EF0473"/>
    <w:rsid w:val="00EF0CEE"/>
    <w:rsid w:val="00EF0D89"/>
    <w:rsid w:val="00EF143F"/>
    <w:rsid w:val="00EF186A"/>
    <w:rsid w:val="00EF1942"/>
    <w:rsid w:val="00EF1AC7"/>
    <w:rsid w:val="00EF1B25"/>
    <w:rsid w:val="00EF1DA0"/>
    <w:rsid w:val="00EF1F5D"/>
    <w:rsid w:val="00EF20B3"/>
    <w:rsid w:val="00EF2F32"/>
    <w:rsid w:val="00EF33B7"/>
    <w:rsid w:val="00EF34B7"/>
    <w:rsid w:val="00EF360B"/>
    <w:rsid w:val="00EF3D00"/>
    <w:rsid w:val="00EF3DA8"/>
    <w:rsid w:val="00EF3E86"/>
    <w:rsid w:val="00EF3EEC"/>
    <w:rsid w:val="00EF422F"/>
    <w:rsid w:val="00EF4747"/>
    <w:rsid w:val="00EF476A"/>
    <w:rsid w:val="00EF4928"/>
    <w:rsid w:val="00EF4BF8"/>
    <w:rsid w:val="00EF585C"/>
    <w:rsid w:val="00EF5887"/>
    <w:rsid w:val="00EF59CB"/>
    <w:rsid w:val="00EF5A0D"/>
    <w:rsid w:val="00EF5BD7"/>
    <w:rsid w:val="00EF5D07"/>
    <w:rsid w:val="00EF629D"/>
    <w:rsid w:val="00EF650D"/>
    <w:rsid w:val="00EF6CB3"/>
    <w:rsid w:val="00EF6CF9"/>
    <w:rsid w:val="00EF6F63"/>
    <w:rsid w:val="00EF72DB"/>
    <w:rsid w:val="00EF72F3"/>
    <w:rsid w:val="00EF7766"/>
    <w:rsid w:val="00EF781E"/>
    <w:rsid w:val="00EF7973"/>
    <w:rsid w:val="00EF7F57"/>
    <w:rsid w:val="00F00014"/>
    <w:rsid w:val="00F00123"/>
    <w:rsid w:val="00F002E8"/>
    <w:rsid w:val="00F0082D"/>
    <w:rsid w:val="00F0087B"/>
    <w:rsid w:val="00F00BEA"/>
    <w:rsid w:val="00F00C7E"/>
    <w:rsid w:val="00F013DD"/>
    <w:rsid w:val="00F014AC"/>
    <w:rsid w:val="00F01778"/>
    <w:rsid w:val="00F01D91"/>
    <w:rsid w:val="00F02195"/>
    <w:rsid w:val="00F021C3"/>
    <w:rsid w:val="00F02253"/>
    <w:rsid w:val="00F02458"/>
    <w:rsid w:val="00F02487"/>
    <w:rsid w:val="00F03687"/>
    <w:rsid w:val="00F03767"/>
    <w:rsid w:val="00F03883"/>
    <w:rsid w:val="00F038A8"/>
    <w:rsid w:val="00F03B09"/>
    <w:rsid w:val="00F03C2E"/>
    <w:rsid w:val="00F03CEE"/>
    <w:rsid w:val="00F03EF9"/>
    <w:rsid w:val="00F03FBB"/>
    <w:rsid w:val="00F040DA"/>
    <w:rsid w:val="00F0416B"/>
    <w:rsid w:val="00F0451A"/>
    <w:rsid w:val="00F047C3"/>
    <w:rsid w:val="00F04948"/>
    <w:rsid w:val="00F04A66"/>
    <w:rsid w:val="00F04B4B"/>
    <w:rsid w:val="00F04D28"/>
    <w:rsid w:val="00F05018"/>
    <w:rsid w:val="00F05029"/>
    <w:rsid w:val="00F0503D"/>
    <w:rsid w:val="00F05141"/>
    <w:rsid w:val="00F0516C"/>
    <w:rsid w:val="00F0522D"/>
    <w:rsid w:val="00F055B2"/>
    <w:rsid w:val="00F0581E"/>
    <w:rsid w:val="00F05B2D"/>
    <w:rsid w:val="00F05BF0"/>
    <w:rsid w:val="00F05FFE"/>
    <w:rsid w:val="00F065F9"/>
    <w:rsid w:val="00F06642"/>
    <w:rsid w:val="00F06791"/>
    <w:rsid w:val="00F067A2"/>
    <w:rsid w:val="00F067C0"/>
    <w:rsid w:val="00F06A1C"/>
    <w:rsid w:val="00F06D86"/>
    <w:rsid w:val="00F06D8D"/>
    <w:rsid w:val="00F06F8E"/>
    <w:rsid w:val="00F077B1"/>
    <w:rsid w:val="00F07932"/>
    <w:rsid w:val="00F07A63"/>
    <w:rsid w:val="00F07B9E"/>
    <w:rsid w:val="00F07E40"/>
    <w:rsid w:val="00F10326"/>
    <w:rsid w:val="00F10648"/>
    <w:rsid w:val="00F1078D"/>
    <w:rsid w:val="00F10D15"/>
    <w:rsid w:val="00F10D69"/>
    <w:rsid w:val="00F10F81"/>
    <w:rsid w:val="00F110FE"/>
    <w:rsid w:val="00F1116F"/>
    <w:rsid w:val="00F111B8"/>
    <w:rsid w:val="00F11414"/>
    <w:rsid w:val="00F1141F"/>
    <w:rsid w:val="00F117BD"/>
    <w:rsid w:val="00F119C9"/>
    <w:rsid w:val="00F11C29"/>
    <w:rsid w:val="00F120F2"/>
    <w:rsid w:val="00F12188"/>
    <w:rsid w:val="00F1263A"/>
    <w:rsid w:val="00F12985"/>
    <w:rsid w:val="00F1328E"/>
    <w:rsid w:val="00F13550"/>
    <w:rsid w:val="00F139C5"/>
    <w:rsid w:val="00F13B5F"/>
    <w:rsid w:val="00F13BCE"/>
    <w:rsid w:val="00F140A0"/>
    <w:rsid w:val="00F144BA"/>
    <w:rsid w:val="00F14A7E"/>
    <w:rsid w:val="00F14E49"/>
    <w:rsid w:val="00F14EF1"/>
    <w:rsid w:val="00F1502D"/>
    <w:rsid w:val="00F15359"/>
    <w:rsid w:val="00F156AB"/>
    <w:rsid w:val="00F156D8"/>
    <w:rsid w:val="00F15843"/>
    <w:rsid w:val="00F1596D"/>
    <w:rsid w:val="00F15B77"/>
    <w:rsid w:val="00F162D0"/>
    <w:rsid w:val="00F1648B"/>
    <w:rsid w:val="00F1652B"/>
    <w:rsid w:val="00F165F9"/>
    <w:rsid w:val="00F16674"/>
    <w:rsid w:val="00F1685B"/>
    <w:rsid w:val="00F16C5A"/>
    <w:rsid w:val="00F16D47"/>
    <w:rsid w:val="00F16F59"/>
    <w:rsid w:val="00F172E9"/>
    <w:rsid w:val="00F17581"/>
    <w:rsid w:val="00F17B3E"/>
    <w:rsid w:val="00F17E50"/>
    <w:rsid w:val="00F2016D"/>
    <w:rsid w:val="00F2076C"/>
    <w:rsid w:val="00F2099C"/>
    <w:rsid w:val="00F20A57"/>
    <w:rsid w:val="00F20D4F"/>
    <w:rsid w:val="00F2109B"/>
    <w:rsid w:val="00F21236"/>
    <w:rsid w:val="00F21292"/>
    <w:rsid w:val="00F21620"/>
    <w:rsid w:val="00F216E3"/>
    <w:rsid w:val="00F221C1"/>
    <w:rsid w:val="00F22698"/>
    <w:rsid w:val="00F2279F"/>
    <w:rsid w:val="00F22818"/>
    <w:rsid w:val="00F22E69"/>
    <w:rsid w:val="00F2306B"/>
    <w:rsid w:val="00F23410"/>
    <w:rsid w:val="00F2398F"/>
    <w:rsid w:val="00F239DF"/>
    <w:rsid w:val="00F23B71"/>
    <w:rsid w:val="00F240E3"/>
    <w:rsid w:val="00F2410E"/>
    <w:rsid w:val="00F241E1"/>
    <w:rsid w:val="00F24205"/>
    <w:rsid w:val="00F24251"/>
    <w:rsid w:val="00F242AA"/>
    <w:rsid w:val="00F24395"/>
    <w:rsid w:val="00F243F0"/>
    <w:rsid w:val="00F2470F"/>
    <w:rsid w:val="00F24793"/>
    <w:rsid w:val="00F24837"/>
    <w:rsid w:val="00F24B0E"/>
    <w:rsid w:val="00F24DAD"/>
    <w:rsid w:val="00F2517F"/>
    <w:rsid w:val="00F251EA"/>
    <w:rsid w:val="00F2528D"/>
    <w:rsid w:val="00F255BC"/>
    <w:rsid w:val="00F25634"/>
    <w:rsid w:val="00F25741"/>
    <w:rsid w:val="00F2575F"/>
    <w:rsid w:val="00F25779"/>
    <w:rsid w:val="00F25897"/>
    <w:rsid w:val="00F2597F"/>
    <w:rsid w:val="00F259FD"/>
    <w:rsid w:val="00F26179"/>
    <w:rsid w:val="00F26353"/>
    <w:rsid w:val="00F26789"/>
    <w:rsid w:val="00F26A31"/>
    <w:rsid w:val="00F26EF6"/>
    <w:rsid w:val="00F27565"/>
    <w:rsid w:val="00F276EB"/>
    <w:rsid w:val="00F277DB"/>
    <w:rsid w:val="00F277EC"/>
    <w:rsid w:val="00F27841"/>
    <w:rsid w:val="00F27B85"/>
    <w:rsid w:val="00F27C87"/>
    <w:rsid w:val="00F27EAA"/>
    <w:rsid w:val="00F27EB6"/>
    <w:rsid w:val="00F302DC"/>
    <w:rsid w:val="00F303AC"/>
    <w:rsid w:val="00F3081A"/>
    <w:rsid w:val="00F30851"/>
    <w:rsid w:val="00F308D1"/>
    <w:rsid w:val="00F30C0F"/>
    <w:rsid w:val="00F30DAA"/>
    <w:rsid w:val="00F310D4"/>
    <w:rsid w:val="00F310DE"/>
    <w:rsid w:val="00F311E9"/>
    <w:rsid w:val="00F31483"/>
    <w:rsid w:val="00F31700"/>
    <w:rsid w:val="00F31739"/>
    <w:rsid w:val="00F318C6"/>
    <w:rsid w:val="00F318DB"/>
    <w:rsid w:val="00F31C07"/>
    <w:rsid w:val="00F31D2F"/>
    <w:rsid w:val="00F31D5A"/>
    <w:rsid w:val="00F324AF"/>
    <w:rsid w:val="00F3272D"/>
    <w:rsid w:val="00F32776"/>
    <w:rsid w:val="00F3297A"/>
    <w:rsid w:val="00F32A78"/>
    <w:rsid w:val="00F32F78"/>
    <w:rsid w:val="00F331F0"/>
    <w:rsid w:val="00F334AB"/>
    <w:rsid w:val="00F33587"/>
    <w:rsid w:val="00F33975"/>
    <w:rsid w:val="00F33C8E"/>
    <w:rsid w:val="00F33D63"/>
    <w:rsid w:val="00F33DC2"/>
    <w:rsid w:val="00F33DE9"/>
    <w:rsid w:val="00F33EFD"/>
    <w:rsid w:val="00F33FF2"/>
    <w:rsid w:val="00F3499C"/>
    <w:rsid w:val="00F354A9"/>
    <w:rsid w:val="00F354D7"/>
    <w:rsid w:val="00F35606"/>
    <w:rsid w:val="00F35616"/>
    <w:rsid w:val="00F359A6"/>
    <w:rsid w:val="00F35A5C"/>
    <w:rsid w:val="00F35B0B"/>
    <w:rsid w:val="00F35E6D"/>
    <w:rsid w:val="00F36061"/>
    <w:rsid w:val="00F360AB"/>
    <w:rsid w:val="00F3619A"/>
    <w:rsid w:val="00F3677E"/>
    <w:rsid w:val="00F36A5F"/>
    <w:rsid w:val="00F36C01"/>
    <w:rsid w:val="00F36DF4"/>
    <w:rsid w:val="00F36F07"/>
    <w:rsid w:val="00F36F2D"/>
    <w:rsid w:val="00F37815"/>
    <w:rsid w:val="00F37841"/>
    <w:rsid w:val="00F37D96"/>
    <w:rsid w:val="00F37DFF"/>
    <w:rsid w:val="00F37EBA"/>
    <w:rsid w:val="00F4029D"/>
    <w:rsid w:val="00F40741"/>
    <w:rsid w:val="00F40A40"/>
    <w:rsid w:val="00F40AAA"/>
    <w:rsid w:val="00F40B5B"/>
    <w:rsid w:val="00F40B5C"/>
    <w:rsid w:val="00F40BA7"/>
    <w:rsid w:val="00F40D8A"/>
    <w:rsid w:val="00F40F18"/>
    <w:rsid w:val="00F40F49"/>
    <w:rsid w:val="00F40F9D"/>
    <w:rsid w:val="00F41226"/>
    <w:rsid w:val="00F4147B"/>
    <w:rsid w:val="00F41743"/>
    <w:rsid w:val="00F41915"/>
    <w:rsid w:val="00F41AA2"/>
    <w:rsid w:val="00F41ACD"/>
    <w:rsid w:val="00F41D15"/>
    <w:rsid w:val="00F41D84"/>
    <w:rsid w:val="00F41E36"/>
    <w:rsid w:val="00F4276F"/>
    <w:rsid w:val="00F42B05"/>
    <w:rsid w:val="00F42B20"/>
    <w:rsid w:val="00F42CA8"/>
    <w:rsid w:val="00F42CFB"/>
    <w:rsid w:val="00F42DA3"/>
    <w:rsid w:val="00F43163"/>
    <w:rsid w:val="00F438B9"/>
    <w:rsid w:val="00F439EF"/>
    <w:rsid w:val="00F43AB4"/>
    <w:rsid w:val="00F43DC8"/>
    <w:rsid w:val="00F44069"/>
    <w:rsid w:val="00F44262"/>
    <w:rsid w:val="00F44553"/>
    <w:rsid w:val="00F445AF"/>
    <w:rsid w:val="00F445EB"/>
    <w:rsid w:val="00F44D26"/>
    <w:rsid w:val="00F44E2F"/>
    <w:rsid w:val="00F4589F"/>
    <w:rsid w:val="00F45974"/>
    <w:rsid w:val="00F45EFE"/>
    <w:rsid w:val="00F45F52"/>
    <w:rsid w:val="00F465F5"/>
    <w:rsid w:val="00F46CB6"/>
    <w:rsid w:val="00F46D72"/>
    <w:rsid w:val="00F46DE6"/>
    <w:rsid w:val="00F46E34"/>
    <w:rsid w:val="00F47058"/>
    <w:rsid w:val="00F472D6"/>
    <w:rsid w:val="00F4756D"/>
    <w:rsid w:val="00F479E5"/>
    <w:rsid w:val="00F47CBF"/>
    <w:rsid w:val="00F47DE8"/>
    <w:rsid w:val="00F5023D"/>
    <w:rsid w:val="00F505FD"/>
    <w:rsid w:val="00F509F7"/>
    <w:rsid w:val="00F50E07"/>
    <w:rsid w:val="00F50F3E"/>
    <w:rsid w:val="00F5132E"/>
    <w:rsid w:val="00F51D8E"/>
    <w:rsid w:val="00F51DD3"/>
    <w:rsid w:val="00F524EE"/>
    <w:rsid w:val="00F527AC"/>
    <w:rsid w:val="00F529BA"/>
    <w:rsid w:val="00F533DF"/>
    <w:rsid w:val="00F5359B"/>
    <w:rsid w:val="00F53B76"/>
    <w:rsid w:val="00F53BC2"/>
    <w:rsid w:val="00F53C53"/>
    <w:rsid w:val="00F53D5B"/>
    <w:rsid w:val="00F53E38"/>
    <w:rsid w:val="00F53E8C"/>
    <w:rsid w:val="00F542C1"/>
    <w:rsid w:val="00F54902"/>
    <w:rsid w:val="00F54AA2"/>
    <w:rsid w:val="00F550E3"/>
    <w:rsid w:val="00F5544C"/>
    <w:rsid w:val="00F5583E"/>
    <w:rsid w:val="00F558F1"/>
    <w:rsid w:val="00F55E37"/>
    <w:rsid w:val="00F55E73"/>
    <w:rsid w:val="00F55EDA"/>
    <w:rsid w:val="00F55F85"/>
    <w:rsid w:val="00F5690E"/>
    <w:rsid w:val="00F56C80"/>
    <w:rsid w:val="00F56D38"/>
    <w:rsid w:val="00F56E55"/>
    <w:rsid w:val="00F56F37"/>
    <w:rsid w:val="00F575DD"/>
    <w:rsid w:val="00F57695"/>
    <w:rsid w:val="00F577C8"/>
    <w:rsid w:val="00F577DB"/>
    <w:rsid w:val="00F57914"/>
    <w:rsid w:val="00F60092"/>
    <w:rsid w:val="00F602A6"/>
    <w:rsid w:val="00F6045E"/>
    <w:rsid w:val="00F606BA"/>
    <w:rsid w:val="00F60739"/>
    <w:rsid w:val="00F6076B"/>
    <w:rsid w:val="00F60773"/>
    <w:rsid w:val="00F6109F"/>
    <w:rsid w:val="00F610C3"/>
    <w:rsid w:val="00F612A3"/>
    <w:rsid w:val="00F61A9D"/>
    <w:rsid w:val="00F61C18"/>
    <w:rsid w:val="00F61C61"/>
    <w:rsid w:val="00F61E3B"/>
    <w:rsid w:val="00F61E76"/>
    <w:rsid w:val="00F61FE8"/>
    <w:rsid w:val="00F62365"/>
    <w:rsid w:val="00F6260E"/>
    <w:rsid w:val="00F62B13"/>
    <w:rsid w:val="00F62B3C"/>
    <w:rsid w:val="00F63053"/>
    <w:rsid w:val="00F630A5"/>
    <w:rsid w:val="00F63221"/>
    <w:rsid w:val="00F63523"/>
    <w:rsid w:val="00F6362A"/>
    <w:rsid w:val="00F63887"/>
    <w:rsid w:val="00F63A07"/>
    <w:rsid w:val="00F63BCD"/>
    <w:rsid w:val="00F63CF1"/>
    <w:rsid w:val="00F63D5B"/>
    <w:rsid w:val="00F63D7E"/>
    <w:rsid w:val="00F63DD3"/>
    <w:rsid w:val="00F63EF1"/>
    <w:rsid w:val="00F63F14"/>
    <w:rsid w:val="00F640CE"/>
    <w:rsid w:val="00F6411C"/>
    <w:rsid w:val="00F64179"/>
    <w:rsid w:val="00F64417"/>
    <w:rsid w:val="00F644F3"/>
    <w:rsid w:val="00F64803"/>
    <w:rsid w:val="00F64B85"/>
    <w:rsid w:val="00F64CE4"/>
    <w:rsid w:val="00F64FA6"/>
    <w:rsid w:val="00F64FF2"/>
    <w:rsid w:val="00F65017"/>
    <w:rsid w:val="00F6523B"/>
    <w:rsid w:val="00F65433"/>
    <w:rsid w:val="00F6551B"/>
    <w:rsid w:val="00F659D6"/>
    <w:rsid w:val="00F65AA3"/>
    <w:rsid w:val="00F65CE8"/>
    <w:rsid w:val="00F65F4B"/>
    <w:rsid w:val="00F66378"/>
    <w:rsid w:val="00F665EE"/>
    <w:rsid w:val="00F666F0"/>
    <w:rsid w:val="00F66F90"/>
    <w:rsid w:val="00F67153"/>
    <w:rsid w:val="00F67242"/>
    <w:rsid w:val="00F67567"/>
    <w:rsid w:val="00F67730"/>
    <w:rsid w:val="00F67A69"/>
    <w:rsid w:val="00F67AAB"/>
    <w:rsid w:val="00F67FBB"/>
    <w:rsid w:val="00F70130"/>
    <w:rsid w:val="00F709A3"/>
    <w:rsid w:val="00F70BFF"/>
    <w:rsid w:val="00F70C3E"/>
    <w:rsid w:val="00F70C9D"/>
    <w:rsid w:val="00F71273"/>
    <w:rsid w:val="00F713C1"/>
    <w:rsid w:val="00F714B1"/>
    <w:rsid w:val="00F716F7"/>
    <w:rsid w:val="00F717D9"/>
    <w:rsid w:val="00F71928"/>
    <w:rsid w:val="00F72232"/>
    <w:rsid w:val="00F726B6"/>
    <w:rsid w:val="00F726DE"/>
    <w:rsid w:val="00F7292E"/>
    <w:rsid w:val="00F72C70"/>
    <w:rsid w:val="00F73061"/>
    <w:rsid w:val="00F730AB"/>
    <w:rsid w:val="00F730DC"/>
    <w:rsid w:val="00F73752"/>
    <w:rsid w:val="00F73A03"/>
    <w:rsid w:val="00F73C29"/>
    <w:rsid w:val="00F73E08"/>
    <w:rsid w:val="00F740A7"/>
    <w:rsid w:val="00F74561"/>
    <w:rsid w:val="00F74629"/>
    <w:rsid w:val="00F74CD9"/>
    <w:rsid w:val="00F74F20"/>
    <w:rsid w:val="00F754F4"/>
    <w:rsid w:val="00F7566C"/>
    <w:rsid w:val="00F75738"/>
    <w:rsid w:val="00F757D5"/>
    <w:rsid w:val="00F75807"/>
    <w:rsid w:val="00F758F4"/>
    <w:rsid w:val="00F75B2C"/>
    <w:rsid w:val="00F75E6C"/>
    <w:rsid w:val="00F75F0A"/>
    <w:rsid w:val="00F75FB4"/>
    <w:rsid w:val="00F765C2"/>
    <w:rsid w:val="00F765F6"/>
    <w:rsid w:val="00F7663B"/>
    <w:rsid w:val="00F7685E"/>
    <w:rsid w:val="00F76D24"/>
    <w:rsid w:val="00F76D8F"/>
    <w:rsid w:val="00F76ED6"/>
    <w:rsid w:val="00F76F87"/>
    <w:rsid w:val="00F77311"/>
    <w:rsid w:val="00F77408"/>
    <w:rsid w:val="00F77546"/>
    <w:rsid w:val="00F7765E"/>
    <w:rsid w:val="00F7791F"/>
    <w:rsid w:val="00F77AB9"/>
    <w:rsid w:val="00F77BEC"/>
    <w:rsid w:val="00F77F8B"/>
    <w:rsid w:val="00F80A2E"/>
    <w:rsid w:val="00F80A7B"/>
    <w:rsid w:val="00F80E5D"/>
    <w:rsid w:val="00F80FE4"/>
    <w:rsid w:val="00F81198"/>
    <w:rsid w:val="00F81261"/>
    <w:rsid w:val="00F81441"/>
    <w:rsid w:val="00F8167A"/>
    <w:rsid w:val="00F81A6C"/>
    <w:rsid w:val="00F81DC9"/>
    <w:rsid w:val="00F81E1D"/>
    <w:rsid w:val="00F81E78"/>
    <w:rsid w:val="00F820E5"/>
    <w:rsid w:val="00F8238D"/>
    <w:rsid w:val="00F828E6"/>
    <w:rsid w:val="00F829AF"/>
    <w:rsid w:val="00F82A1E"/>
    <w:rsid w:val="00F82A44"/>
    <w:rsid w:val="00F82C73"/>
    <w:rsid w:val="00F82CA0"/>
    <w:rsid w:val="00F83204"/>
    <w:rsid w:val="00F833A1"/>
    <w:rsid w:val="00F83916"/>
    <w:rsid w:val="00F8392D"/>
    <w:rsid w:val="00F83ED1"/>
    <w:rsid w:val="00F83F94"/>
    <w:rsid w:val="00F84022"/>
    <w:rsid w:val="00F84E10"/>
    <w:rsid w:val="00F84F0B"/>
    <w:rsid w:val="00F84F0C"/>
    <w:rsid w:val="00F84F15"/>
    <w:rsid w:val="00F851CE"/>
    <w:rsid w:val="00F85448"/>
    <w:rsid w:val="00F855E5"/>
    <w:rsid w:val="00F8580E"/>
    <w:rsid w:val="00F85869"/>
    <w:rsid w:val="00F85B17"/>
    <w:rsid w:val="00F85CFA"/>
    <w:rsid w:val="00F85D17"/>
    <w:rsid w:val="00F85E1F"/>
    <w:rsid w:val="00F86424"/>
    <w:rsid w:val="00F86520"/>
    <w:rsid w:val="00F8679C"/>
    <w:rsid w:val="00F868BF"/>
    <w:rsid w:val="00F868E9"/>
    <w:rsid w:val="00F869EA"/>
    <w:rsid w:val="00F86AD4"/>
    <w:rsid w:val="00F86BB7"/>
    <w:rsid w:val="00F86C8F"/>
    <w:rsid w:val="00F86FE4"/>
    <w:rsid w:val="00F8746D"/>
    <w:rsid w:val="00F875FC"/>
    <w:rsid w:val="00F8762E"/>
    <w:rsid w:val="00F87DFA"/>
    <w:rsid w:val="00F87E72"/>
    <w:rsid w:val="00F9003A"/>
    <w:rsid w:val="00F90331"/>
    <w:rsid w:val="00F903D6"/>
    <w:rsid w:val="00F9092E"/>
    <w:rsid w:val="00F909E1"/>
    <w:rsid w:val="00F90A8D"/>
    <w:rsid w:val="00F90ACC"/>
    <w:rsid w:val="00F90F5A"/>
    <w:rsid w:val="00F911D0"/>
    <w:rsid w:val="00F91219"/>
    <w:rsid w:val="00F9124A"/>
    <w:rsid w:val="00F912B1"/>
    <w:rsid w:val="00F914F0"/>
    <w:rsid w:val="00F9164B"/>
    <w:rsid w:val="00F91A72"/>
    <w:rsid w:val="00F91A75"/>
    <w:rsid w:val="00F92213"/>
    <w:rsid w:val="00F92444"/>
    <w:rsid w:val="00F93109"/>
    <w:rsid w:val="00F9324B"/>
    <w:rsid w:val="00F9385E"/>
    <w:rsid w:val="00F9393E"/>
    <w:rsid w:val="00F93A43"/>
    <w:rsid w:val="00F93A77"/>
    <w:rsid w:val="00F93AE4"/>
    <w:rsid w:val="00F93C66"/>
    <w:rsid w:val="00F945B3"/>
    <w:rsid w:val="00F9478E"/>
    <w:rsid w:val="00F94942"/>
    <w:rsid w:val="00F94C84"/>
    <w:rsid w:val="00F94DE1"/>
    <w:rsid w:val="00F94E04"/>
    <w:rsid w:val="00F94EB1"/>
    <w:rsid w:val="00F94FA6"/>
    <w:rsid w:val="00F954E1"/>
    <w:rsid w:val="00F956CC"/>
    <w:rsid w:val="00F95924"/>
    <w:rsid w:val="00F967F9"/>
    <w:rsid w:val="00F96AA0"/>
    <w:rsid w:val="00F96B9A"/>
    <w:rsid w:val="00F96BD8"/>
    <w:rsid w:val="00F96E03"/>
    <w:rsid w:val="00F96FD0"/>
    <w:rsid w:val="00F96FFD"/>
    <w:rsid w:val="00F970C7"/>
    <w:rsid w:val="00F974A3"/>
    <w:rsid w:val="00F97999"/>
    <w:rsid w:val="00F97A78"/>
    <w:rsid w:val="00F97CE6"/>
    <w:rsid w:val="00FA031A"/>
    <w:rsid w:val="00FA050D"/>
    <w:rsid w:val="00FA073C"/>
    <w:rsid w:val="00FA07FB"/>
    <w:rsid w:val="00FA09D9"/>
    <w:rsid w:val="00FA0B20"/>
    <w:rsid w:val="00FA0FF0"/>
    <w:rsid w:val="00FA12C8"/>
    <w:rsid w:val="00FA1934"/>
    <w:rsid w:val="00FA1974"/>
    <w:rsid w:val="00FA19C8"/>
    <w:rsid w:val="00FA1A01"/>
    <w:rsid w:val="00FA1C42"/>
    <w:rsid w:val="00FA1D31"/>
    <w:rsid w:val="00FA1E4B"/>
    <w:rsid w:val="00FA1E9D"/>
    <w:rsid w:val="00FA1F68"/>
    <w:rsid w:val="00FA1F82"/>
    <w:rsid w:val="00FA1FC2"/>
    <w:rsid w:val="00FA20E0"/>
    <w:rsid w:val="00FA211C"/>
    <w:rsid w:val="00FA230F"/>
    <w:rsid w:val="00FA24E7"/>
    <w:rsid w:val="00FA2932"/>
    <w:rsid w:val="00FA296A"/>
    <w:rsid w:val="00FA2D7F"/>
    <w:rsid w:val="00FA310F"/>
    <w:rsid w:val="00FA3351"/>
    <w:rsid w:val="00FA37BF"/>
    <w:rsid w:val="00FA3B08"/>
    <w:rsid w:val="00FA3E96"/>
    <w:rsid w:val="00FA3F4B"/>
    <w:rsid w:val="00FA404E"/>
    <w:rsid w:val="00FA418B"/>
    <w:rsid w:val="00FA419F"/>
    <w:rsid w:val="00FA4465"/>
    <w:rsid w:val="00FA459B"/>
    <w:rsid w:val="00FA4886"/>
    <w:rsid w:val="00FA4BFC"/>
    <w:rsid w:val="00FA517F"/>
    <w:rsid w:val="00FA5335"/>
    <w:rsid w:val="00FA5D9B"/>
    <w:rsid w:val="00FA5EE6"/>
    <w:rsid w:val="00FA5FB1"/>
    <w:rsid w:val="00FA5FD0"/>
    <w:rsid w:val="00FA60D7"/>
    <w:rsid w:val="00FA6143"/>
    <w:rsid w:val="00FA6775"/>
    <w:rsid w:val="00FA6A69"/>
    <w:rsid w:val="00FA6D5F"/>
    <w:rsid w:val="00FA6E3A"/>
    <w:rsid w:val="00FA7006"/>
    <w:rsid w:val="00FA744F"/>
    <w:rsid w:val="00FA756F"/>
    <w:rsid w:val="00FA7765"/>
    <w:rsid w:val="00FA78AD"/>
    <w:rsid w:val="00FA7956"/>
    <w:rsid w:val="00FA7A3C"/>
    <w:rsid w:val="00FA7EF4"/>
    <w:rsid w:val="00FA7F5A"/>
    <w:rsid w:val="00FB02E5"/>
    <w:rsid w:val="00FB05A3"/>
    <w:rsid w:val="00FB0600"/>
    <w:rsid w:val="00FB0824"/>
    <w:rsid w:val="00FB0B51"/>
    <w:rsid w:val="00FB0C75"/>
    <w:rsid w:val="00FB0EC2"/>
    <w:rsid w:val="00FB0F4A"/>
    <w:rsid w:val="00FB0FEE"/>
    <w:rsid w:val="00FB1060"/>
    <w:rsid w:val="00FB167D"/>
    <w:rsid w:val="00FB1848"/>
    <w:rsid w:val="00FB19AB"/>
    <w:rsid w:val="00FB1B48"/>
    <w:rsid w:val="00FB1BEC"/>
    <w:rsid w:val="00FB1DEC"/>
    <w:rsid w:val="00FB1F7D"/>
    <w:rsid w:val="00FB2042"/>
    <w:rsid w:val="00FB2374"/>
    <w:rsid w:val="00FB263C"/>
    <w:rsid w:val="00FB2658"/>
    <w:rsid w:val="00FB28A2"/>
    <w:rsid w:val="00FB2929"/>
    <w:rsid w:val="00FB2FCB"/>
    <w:rsid w:val="00FB305B"/>
    <w:rsid w:val="00FB3223"/>
    <w:rsid w:val="00FB3318"/>
    <w:rsid w:val="00FB37FC"/>
    <w:rsid w:val="00FB3812"/>
    <w:rsid w:val="00FB3845"/>
    <w:rsid w:val="00FB3970"/>
    <w:rsid w:val="00FB39AA"/>
    <w:rsid w:val="00FB3D81"/>
    <w:rsid w:val="00FB3E9D"/>
    <w:rsid w:val="00FB42EF"/>
    <w:rsid w:val="00FB442E"/>
    <w:rsid w:val="00FB4547"/>
    <w:rsid w:val="00FB4B54"/>
    <w:rsid w:val="00FB4C9C"/>
    <w:rsid w:val="00FB4F11"/>
    <w:rsid w:val="00FB4FB8"/>
    <w:rsid w:val="00FB4FD3"/>
    <w:rsid w:val="00FB5240"/>
    <w:rsid w:val="00FB5314"/>
    <w:rsid w:val="00FB5796"/>
    <w:rsid w:val="00FB5811"/>
    <w:rsid w:val="00FB5A02"/>
    <w:rsid w:val="00FB5BE7"/>
    <w:rsid w:val="00FB5E8B"/>
    <w:rsid w:val="00FB5F24"/>
    <w:rsid w:val="00FB5F5F"/>
    <w:rsid w:val="00FB5F6D"/>
    <w:rsid w:val="00FB6303"/>
    <w:rsid w:val="00FB6D5F"/>
    <w:rsid w:val="00FB6DD0"/>
    <w:rsid w:val="00FB6F09"/>
    <w:rsid w:val="00FB7169"/>
    <w:rsid w:val="00FB7520"/>
    <w:rsid w:val="00FB7843"/>
    <w:rsid w:val="00FB7B78"/>
    <w:rsid w:val="00FB7C3F"/>
    <w:rsid w:val="00FB7C55"/>
    <w:rsid w:val="00FB7FD0"/>
    <w:rsid w:val="00FC00CC"/>
    <w:rsid w:val="00FC045C"/>
    <w:rsid w:val="00FC0D3C"/>
    <w:rsid w:val="00FC0FCE"/>
    <w:rsid w:val="00FC1074"/>
    <w:rsid w:val="00FC12DB"/>
    <w:rsid w:val="00FC16AC"/>
    <w:rsid w:val="00FC1713"/>
    <w:rsid w:val="00FC1884"/>
    <w:rsid w:val="00FC1E97"/>
    <w:rsid w:val="00FC2153"/>
    <w:rsid w:val="00FC238B"/>
    <w:rsid w:val="00FC248E"/>
    <w:rsid w:val="00FC258E"/>
    <w:rsid w:val="00FC270B"/>
    <w:rsid w:val="00FC2DA2"/>
    <w:rsid w:val="00FC30F6"/>
    <w:rsid w:val="00FC371D"/>
    <w:rsid w:val="00FC376D"/>
    <w:rsid w:val="00FC3DF1"/>
    <w:rsid w:val="00FC4179"/>
    <w:rsid w:val="00FC4213"/>
    <w:rsid w:val="00FC4A3F"/>
    <w:rsid w:val="00FC4D10"/>
    <w:rsid w:val="00FC4EF8"/>
    <w:rsid w:val="00FC54AF"/>
    <w:rsid w:val="00FC54E1"/>
    <w:rsid w:val="00FC5F0B"/>
    <w:rsid w:val="00FC5FA0"/>
    <w:rsid w:val="00FC610F"/>
    <w:rsid w:val="00FC6178"/>
    <w:rsid w:val="00FC6679"/>
    <w:rsid w:val="00FC692C"/>
    <w:rsid w:val="00FC692E"/>
    <w:rsid w:val="00FC6A56"/>
    <w:rsid w:val="00FC6CD5"/>
    <w:rsid w:val="00FC6D3D"/>
    <w:rsid w:val="00FC7662"/>
    <w:rsid w:val="00FC7919"/>
    <w:rsid w:val="00FC7DD9"/>
    <w:rsid w:val="00FC7DDF"/>
    <w:rsid w:val="00FD0081"/>
    <w:rsid w:val="00FD00E9"/>
    <w:rsid w:val="00FD08C5"/>
    <w:rsid w:val="00FD091A"/>
    <w:rsid w:val="00FD096F"/>
    <w:rsid w:val="00FD0A66"/>
    <w:rsid w:val="00FD0D58"/>
    <w:rsid w:val="00FD0DC4"/>
    <w:rsid w:val="00FD10C9"/>
    <w:rsid w:val="00FD1455"/>
    <w:rsid w:val="00FD1942"/>
    <w:rsid w:val="00FD19B0"/>
    <w:rsid w:val="00FD19C5"/>
    <w:rsid w:val="00FD1A20"/>
    <w:rsid w:val="00FD1EBE"/>
    <w:rsid w:val="00FD1F23"/>
    <w:rsid w:val="00FD1F68"/>
    <w:rsid w:val="00FD2100"/>
    <w:rsid w:val="00FD2604"/>
    <w:rsid w:val="00FD2D86"/>
    <w:rsid w:val="00FD2EE3"/>
    <w:rsid w:val="00FD2F5F"/>
    <w:rsid w:val="00FD31A5"/>
    <w:rsid w:val="00FD31F4"/>
    <w:rsid w:val="00FD3233"/>
    <w:rsid w:val="00FD367D"/>
    <w:rsid w:val="00FD38C4"/>
    <w:rsid w:val="00FD3F60"/>
    <w:rsid w:val="00FD4327"/>
    <w:rsid w:val="00FD436C"/>
    <w:rsid w:val="00FD442C"/>
    <w:rsid w:val="00FD446D"/>
    <w:rsid w:val="00FD4736"/>
    <w:rsid w:val="00FD49BC"/>
    <w:rsid w:val="00FD4B35"/>
    <w:rsid w:val="00FD4F2C"/>
    <w:rsid w:val="00FD5856"/>
    <w:rsid w:val="00FD5AF2"/>
    <w:rsid w:val="00FD5CF9"/>
    <w:rsid w:val="00FD629B"/>
    <w:rsid w:val="00FD6394"/>
    <w:rsid w:val="00FD6E80"/>
    <w:rsid w:val="00FD744E"/>
    <w:rsid w:val="00FD755F"/>
    <w:rsid w:val="00FD77A0"/>
    <w:rsid w:val="00FD7F20"/>
    <w:rsid w:val="00FE0048"/>
    <w:rsid w:val="00FE00B1"/>
    <w:rsid w:val="00FE02B7"/>
    <w:rsid w:val="00FE031E"/>
    <w:rsid w:val="00FE03DB"/>
    <w:rsid w:val="00FE041A"/>
    <w:rsid w:val="00FE0600"/>
    <w:rsid w:val="00FE0826"/>
    <w:rsid w:val="00FE0E6C"/>
    <w:rsid w:val="00FE1493"/>
    <w:rsid w:val="00FE16D1"/>
    <w:rsid w:val="00FE17AF"/>
    <w:rsid w:val="00FE1865"/>
    <w:rsid w:val="00FE18B2"/>
    <w:rsid w:val="00FE1AC0"/>
    <w:rsid w:val="00FE1CDC"/>
    <w:rsid w:val="00FE1DF4"/>
    <w:rsid w:val="00FE1E62"/>
    <w:rsid w:val="00FE1F9F"/>
    <w:rsid w:val="00FE2319"/>
    <w:rsid w:val="00FE2375"/>
    <w:rsid w:val="00FE23E3"/>
    <w:rsid w:val="00FE2624"/>
    <w:rsid w:val="00FE288D"/>
    <w:rsid w:val="00FE2AAD"/>
    <w:rsid w:val="00FE2F34"/>
    <w:rsid w:val="00FE313E"/>
    <w:rsid w:val="00FE3597"/>
    <w:rsid w:val="00FE35AD"/>
    <w:rsid w:val="00FE3758"/>
    <w:rsid w:val="00FE3C5B"/>
    <w:rsid w:val="00FE42F6"/>
    <w:rsid w:val="00FE444A"/>
    <w:rsid w:val="00FE45F1"/>
    <w:rsid w:val="00FE4695"/>
    <w:rsid w:val="00FE48B3"/>
    <w:rsid w:val="00FE4B8F"/>
    <w:rsid w:val="00FE4C14"/>
    <w:rsid w:val="00FE51C3"/>
    <w:rsid w:val="00FE51D0"/>
    <w:rsid w:val="00FE5564"/>
    <w:rsid w:val="00FE5575"/>
    <w:rsid w:val="00FE55E0"/>
    <w:rsid w:val="00FE5621"/>
    <w:rsid w:val="00FE5749"/>
    <w:rsid w:val="00FE5C74"/>
    <w:rsid w:val="00FE628A"/>
    <w:rsid w:val="00FE63B7"/>
    <w:rsid w:val="00FE6400"/>
    <w:rsid w:val="00FE6580"/>
    <w:rsid w:val="00FE65F5"/>
    <w:rsid w:val="00FE6728"/>
    <w:rsid w:val="00FE6FA3"/>
    <w:rsid w:val="00FE70A0"/>
    <w:rsid w:val="00FE70C3"/>
    <w:rsid w:val="00FE7156"/>
    <w:rsid w:val="00FE72E5"/>
    <w:rsid w:val="00FE7494"/>
    <w:rsid w:val="00FE75AC"/>
    <w:rsid w:val="00FE75FD"/>
    <w:rsid w:val="00FE78F8"/>
    <w:rsid w:val="00FF01ED"/>
    <w:rsid w:val="00FF04CB"/>
    <w:rsid w:val="00FF0AD9"/>
    <w:rsid w:val="00FF0BDB"/>
    <w:rsid w:val="00FF0D82"/>
    <w:rsid w:val="00FF1361"/>
    <w:rsid w:val="00FF13C0"/>
    <w:rsid w:val="00FF1532"/>
    <w:rsid w:val="00FF1A8B"/>
    <w:rsid w:val="00FF2207"/>
    <w:rsid w:val="00FF2A8F"/>
    <w:rsid w:val="00FF2AD9"/>
    <w:rsid w:val="00FF2BBE"/>
    <w:rsid w:val="00FF32B8"/>
    <w:rsid w:val="00FF32D1"/>
    <w:rsid w:val="00FF34A5"/>
    <w:rsid w:val="00FF359F"/>
    <w:rsid w:val="00FF3602"/>
    <w:rsid w:val="00FF3A1A"/>
    <w:rsid w:val="00FF3AF7"/>
    <w:rsid w:val="00FF3CFA"/>
    <w:rsid w:val="00FF3DCF"/>
    <w:rsid w:val="00FF3E4C"/>
    <w:rsid w:val="00FF3ECD"/>
    <w:rsid w:val="00FF3F5B"/>
    <w:rsid w:val="00FF404D"/>
    <w:rsid w:val="00FF42F8"/>
    <w:rsid w:val="00FF492C"/>
    <w:rsid w:val="00FF4A21"/>
    <w:rsid w:val="00FF4F6A"/>
    <w:rsid w:val="00FF560D"/>
    <w:rsid w:val="00FF56C6"/>
    <w:rsid w:val="00FF56F0"/>
    <w:rsid w:val="00FF5AA3"/>
    <w:rsid w:val="00FF5AD8"/>
    <w:rsid w:val="00FF5EE2"/>
    <w:rsid w:val="00FF65AE"/>
    <w:rsid w:val="00FF6714"/>
    <w:rsid w:val="00FF676E"/>
    <w:rsid w:val="00FF6B0C"/>
    <w:rsid w:val="00FF6E4A"/>
    <w:rsid w:val="00FF6FDB"/>
    <w:rsid w:val="00FF7112"/>
    <w:rsid w:val="00FF71B2"/>
    <w:rsid w:val="00FF7AF9"/>
    <w:rsid w:val="00FF7DE1"/>
    <w:rsid w:val="4D5A19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62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basedOn w:val="Normal"/>
    <w:link w:val="HeaderChar"/>
    <w:qFormat/>
    <w:rsid w:val="00A51C91"/>
    <w:pPr>
      <w:keepNext/>
      <w:tabs>
        <w:tab w:val="center" w:pos="4513"/>
        <w:tab w:val="right" w:pos="9026"/>
      </w:tabs>
      <w:jc w:val="center"/>
    </w:pPr>
    <w:rPr>
      <w:i/>
      <w:iCs/>
    </w:rPr>
  </w:style>
  <w:style w:type="character" w:customStyle="1" w:styleId="HeaderChar">
    <w:name w:val="Header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Tabellengitternetz 9pt,PBAC table,HTAtableplain,new style,Dossier table,Section 3- footnotes,Summary Table,MSD Table Grid,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autoRedefine/>
    <w:qFormat/>
    <w:rsid w:val="003F7EDE"/>
    <w:pPr>
      <w:keepLines/>
      <w:widowControl w:val="0"/>
    </w:pPr>
    <w:rPr>
      <w:rFonts w:ascii="Arial Narrow" w:eastAsiaTheme="majorEastAsia" w:hAnsi="Arial Narrow" w:cstheme="majorBidi"/>
      <w:bCs/>
      <w:i/>
      <w:i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4"/>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6D13A3"/>
    <w:pPr>
      <w:numPr>
        <w:ilvl w:val="1"/>
        <w:numId w:val="4"/>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6D13A3"/>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3F7EDE"/>
    <w:rPr>
      <w:rFonts w:ascii="Arial Narrow" w:eastAsiaTheme="majorEastAsia" w:hAnsi="Arial Narrow" w:cstheme="majorBidi"/>
      <w:bCs/>
      <w:i/>
      <w:i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5"/>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6"/>
      </w:numPr>
      <w:spacing w:after="1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7"/>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2F2DC9"/>
    <w:pPr>
      <w:keepNext/>
      <w:spacing w:after="120"/>
      <w:outlineLvl w:val="2"/>
    </w:pPr>
    <w:rPr>
      <w:b/>
      <w:iCs/>
      <w:sz w:val="28"/>
    </w:rPr>
  </w:style>
  <w:style w:type="character" w:customStyle="1" w:styleId="COMH3Char">
    <w:name w:val="COM H3 Char"/>
    <w:basedOn w:val="DefaultParagraphFont"/>
    <w:link w:val="COMH3"/>
    <w:rsid w:val="002F2DC9"/>
    <w:rPr>
      <w:rFonts w:ascii="Calibri" w:hAnsi="Calibri" w:cs="Arial"/>
      <w:b/>
      <w:iCs/>
      <w:sz w:val="28"/>
      <w:szCs w:val="24"/>
    </w:rPr>
  </w:style>
  <w:style w:type="paragraph" w:customStyle="1" w:styleId="COMH4">
    <w:name w:val="COM H4"/>
    <w:basedOn w:val="Normal"/>
    <w:link w:val="COMH4Char"/>
    <w:qFormat/>
    <w:rsid w:val="002F2DC9"/>
    <w:pPr>
      <w:keepNext/>
      <w:spacing w:after="120"/>
      <w:outlineLvl w:val="3"/>
    </w:pPr>
    <w:rPr>
      <w:b/>
      <w:i/>
    </w:rPr>
  </w:style>
  <w:style w:type="character" w:customStyle="1" w:styleId="COMH4Char">
    <w:name w:val="COM H4 Char"/>
    <w:basedOn w:val="DefaultParagraphFont"/>
    <w:link w:val="COMH4"/>
    <w:rsid w:val="002F2DC9"/>
    <w:rPr>
      <w:rFonts w:ascii="Calibri" w:hAnsi="Calibri" w:cs="Arial"/>
      <w:b/>
      <w:i/>
      <w:sz w:val="24"/>
      <w:szCs w:val="24"/>
    </w:rPr>
  </w:style>
  <w:style w:type="paragraph" w:customStyle="1" w:styleId="COMTablefooter">
    <w:name w:val="COM Table footer"/>
    <w:basedOn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character" w:styleId="CommentReference">
    <w:name w:val="annotation reference"/>
    <w:aliases w:val="Table Title,References"/>
    <w:basedOn w:val="DefaultParagraphFont"/>
    <w:uiPriority w:val="99"/>
    <w:unhideWhenUsed/>
    <w:qFormat/>
    <w:rsid w:val="00DF7429"/>
    <w:rPr>
      <w:sz w:val="16"/>
      <w:szCs w:val="16"/>
    </w:rPr>
  </w:style>
  <w:style w:type="paragraph" w:styleId="CommentText">
    <w:name w:val="annotation text"/>
    <w:basedOn w:val="Normal"/>
    <w:link w:val="CommentTextChar"/>
    <w:uiPriority w:val="99"/>
    <w:unhideWhenUsed/>
    <w:rsid w:val="00DF7429"/>
    <w:rPr>
      <w:sz w:val="20"/>
      <w:szCs w:val="20"/>
    </w:rPr>
  </w:style>
  <w:style w:type="character" w:customStyle="1" w:styleId="CommentTextChar">
    <w:name w:val="Comment Text Char"/>
    <w:basedOn w:val="DefaultParagraphFont"/>
    <w:link w:val="CommentText"/>
    <w:uiPriority w:val="99"/>
    <w:rsid w:val="00DF7429"/>
    <w:rPr>
      <w:rFonts w:ascii="Calibri" w:hAnsi="Calibri" w:cs="Arial"/>
    </w:rPr>
  </w:style>
  <w:style w:type="paragraph" w:styleId="CommentSubject">
    <w:name w:val="annotation subject"/>
    <w:basedOn w:val="CommentText"/>
    <w:next w:val="CommentText"/>
    <w:link w:val="CommentSubjectChar"/>
    <w:semiHidden/>
    <w:unhideWhenUsed/>
    <w:rsid w:val="00DF7429"/>
    <w:rPr>
      <w:b/>
      <w:bCs/>
    </w:rPr>
  </w:style>
  <w:style w:type="character" w:customStyle="1" w:styleId="CommentSubjectChar">
    <w:name w:val="Comment Subject Char"/>
    <w:basedOn w:val="CommentTextChar"/>
    <w:link w:val="CommentSubject"/>
    <w:semiHidden/>
    <w:rsid w:val="00DF7429"/>
    <w:rPr>
      <w:rFonts w:ascii="Calibri" w:hAnsi="Calibri" w:cs="Arial"/>
      <w:b/>
      <w:bCs/>
    </w:rPr>
  </w:style>
  <w:style w:type="paragraph" w:styleId="TOC6">
    <w:name w:val="toc 6"/>
    <w:basedOn w:val="Normal"/>
    <w:next w:val="Normal"/>
    <w:autoRedefine/>
    <w:uiPriority w:val="39"/>
    <w:unhideWhenUsed/>
    <w:rsid w:val="00BD66F5"/>
    <w:pPr>
      <w:spacing w:after="100" w:line="259" w:lineRule="auto"/>
      <w:ind w:left="1100"/>
      <w:jc w:val="left"/>
    </w:pPr>
    <w:rPr>
      <w:rFonts w:asciiTheme="minorHAnsi" w:eastAsiaTheme="minorEastAsia" w:hAnsiTheme="minorHAnsi" w:cstheme="minorBidi"/>
      <w:sz w:val="22"/>
      <w:szCs w:val="22"/>
    </w:rPr>
  </w:style>
  <w:style w:type="paragraph" w:customStyle="1" w:styleId="Tabletext0">
    <w:name w:val="Table text"/>
    <w:basedOn w:val="Normal"/>
    <w:link w:val="TabletextChar0"/>
    <w:uiPriority w:val="2"/>
    <w:qFormat/>
    <w:rsid w:val="00BD66F5"/>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BD66F5"/>
    <w:rPr>
      <w:rFonts w:ascii="Arial Narrow" w:hAnsi="Arial Narrow"/>
      <w:szCs w:val="22"/>
      <w:lang w:eastAsia="en-US"/>
    </w:rPr>
  </w:style>
  <w:style w:type="paragraph" w:customStyle="1" w:styleId="TableFigureFooter">
    <w:name w:val="Table/Figure Footer"/>
    <w:basedOn w:val="Normal"/>
    <w:link w:val="TableFigureFooterChar"/>
    <w:qFormat/>
    <w:rsid w:val="00F41D84"/>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41D84"/>
    <w:rPr>
      <w:rFonts w:ascii="Arial Narrow" w:hAnsi="Arial Narrow" w:cs="Arial"/>
      <w:snapToGrid w:val="0"/>
      <w:sz w:val="18"/>
      <w:szCs w:val="22"/>
    </w:rPr>
  </w:style>
  <w:style w:type="paragraph" w:customStyle="1" w:styleId="TableHeading">
    <w:name w:val="Table Heading"/>
    <w:basedOn w:val="Normal"/>
    <w:link w:val="TableHeadingChar"/>
    <w:qFormat/>
    <w:rsid w:val="00F41D84"/>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F41D84"/>
    <w:rPr>
      <w:rFonts w:ascii="Arial Narrow" w:eastAsiaTheme="minorHAnsi" w:hAnsi="Arial Narrow" w:cstheme="minorBidi"/>
      <w:b/>
      <w:szCs w:val="22"/>
      <w:lang w:eastAsia="en-US"/>
    </w:rPr>
  </w:style>
  <w:style w:type="paragraph" w:styleId="Footer">
    <w:name w:val="footer"/>
    <w:basedOn w:val="Normal"/>
    <w:link w:val="FooterChar"/>
    <w:uiPriority w:val="99"/>
    <w:unhideWhenUsed/>
    <w:rsid w:val="009A73B5"/>
    <w:pPr>
      <w:tabs>
        <w:tab w:val="center" w:pos="4513"/>
        <w:tab w:val="right" w:pos="9026"/>
      </w:tabs>
    </w:pPr>
  </w:style>
  <w:style w:type="character" w:customStyle="1" w:styleId="FooterChar">
    <w:name w:val="Footer Char"/>
    <w:basedOn w:val="DefaultParagraphFont"/>
    <w:link w:val="Footer"/>
    <w:uiPriority w:val="99"/>
    <w:rsid w:val="009A73B5"/>
    <w:rPr>
      <w:rFonts w:ascii="Calibri" w:hAnsi="Calibri" w:cs="Arial"/>
      <w:sz w:val="24"/>
      <w:szCs w:val="24"/>
    </w:rPr>
  </w:style>
  <w:style w:type="paragraph" w:customStyle="1" w:styleId="Tableheadingrow">
    <w:name w:val="Table heading row"/>
    <w:qFormat/>
    <w:rsid w:val="0095513B"/>
    <w:pPr>
      <w:keepNext/>
    </w:pPr>
    <w:rPr>
      <w:rFonts w:ascii="Arial Narrow" w:eastAsiaTheme="majorEastAsia" w:hAnsi="Arial Narrow"/>
      <w:b/>
      <w:szCs w:val="24"/>
      <w:lang w:val="en-US"/>
    </w:rPr>
  </w:style>
  <w:style w:type="paragraph" w:styleId="TOC5">
    <w:name w:val="toc 5"/>
    <w:basedOn w:val="Normal"/>
    <w:next w:val="Normal"/>
    <w:autoRedefine/>
    <w:uiPriority w:val="39"/>
    <w:unhideWhenUsed/>
    <w:rsid w:val="006B7024"/>
    <w:pPr>
      <w:spacing w:after="100" w:line="259" w:lineRule="auto"/>
      <w:ind w:left="880"/>
      <w:jc w:val="left"/>
    </w:pPr>
    <w:rPr>
      <w:rFonts w:asciiTheme="minorHAnsi" w:eastAsiaTheme="minorEastAsia" w:hAnsiTheme="minorHAnsi" w:cstheme="minorBidi"/>
      <w:sz w:val="22"/>
      <w:szCs w:val="22"/>
    </w:rPr>
  </w:style>
  <w:style w:type="table" w:customStyle="1" w:styleId="Submissionstandard">
    <w:name w:val="Submission standard"/>
    <w:uiPriority w:val="99"/>
    <w:qFormat/>
    <w:rsid w:val="008B3678"/>
    <w:rPr>
      <w:rFonts w:ascii="Arial Narrow" w:hAnsi="Arial Narrow"/>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Segoe UI" w:hAnsi="Segoe UI" w:cs="Times New Roman"/>
        <w:b/>
        <w:sz w:val="20"/>
      </w:rPr>
      <w:tblPr/>
      <w:tcPr>
        <w:shd w:val="clear" w:color="auto" w:fill="BFBFBF"/>
      </w:tcPr>
    </w:tblStylePr>
  </w:style>
  <w:style w:type="paragraph" w:customStyle="1" w:styleId="TableParagraph">
    <w:name w:val="Table Paragraph"/>
    <w:basedOn w:val="Normal"/>
    <w:uiPriority w:val="1"/>
    <w:qFormat/>
    <w:rsid w:val="002164ED"/>
    <w:pPr>
      <w:widowControl w:val="0"/>
      <w:autoSpaceDE w:val="0"/>
      <w:autoSpaceDN w:val="0"/>
      <w:spacing w:before="61"/>
      <w:ind w:left="67"/>
      <w:jc w:val="left"/>
    </w:pPr>
    <w:rPr>
      <w:rFonts w:ascii="Times New Roman" w:hAnsi="Times New Roman" w:cs="Times New Roman"/>
      <w:sz w:val="22"/>
      <w:szCs w:val="22"/>
      <w:lang w:val="en-US" w:eastAsia="en-US"/>
    </w:rPr>
  </w:style>
  <w:style w:type="paragraph" w:styleId="ListParagraph">
    <w:name w:val="List Paragraph"/>
    <w:basedOn w:val="Normal"/>
    <w:uiPriority w:val="34"/>
    <w:qFormat/>
    <w:rsid w:val="00F2398F"/>
    <w:pPr>
      <w:ind w:left="720"/>
      <w:contextualSpacing/>
    </w:pPr>
    <w:rPr>
      <w14:ligatures w14:val="standardContextual"/>
    </w:rPr>
  </w:style>
  <w:style w:type="paragraph" w:styleId="Caption">
    <w:name w:val="caption"/>
    <w:aliases w:val="Caption Char1,Caption Char Char,Caption Char1 Char Char,Caption Char Char Char Char, Char Char Char Char Char,Caption Char Char1,Char Char Char Char Char,wcp_Caption,Légende_Legend,Alexion Caption,Bayer Caption,Table Caption,Caption-FUSA,c,c-,12"/>
    <w:basedOn w:val="COMTableheadingrow"/>
    <w:next w:val="Normal"/>
    <w:link w:val="CaptionChar"/>
    <w:unhideWhenUsed/>
    <w:qFormat/>
    <w:rsid w:val="00703931"/>
  </w:style>
  <w:style w:type="paragraph" w:styleId="NoSpacing">
    <w:name w:val="No Spacing"/>
    <w:rsid w:val="00546FA1"/>
    <w:pPr>
      <w:jc w:val="both"/>
    </w:pPr>
    <w:rPr>
      <w:rFonts w:ascii="Arial" w:eastAsiaTheme="minorHAnsi" w:hAnsi="Arial" w:cstheme="minorBidi"/>
      <w:szCs w:val="22"/>
      <w:lang w:val="en-US" w:eastAsia="en-US"/>
      <w14:ligatures w14:val="standardContextual"/>
    </w:rPr>
  </w:style>
  <w:style w:type="table" w:customStyle="1" w:styleId="C-Table">
    <w:name w:val="C-Table"/>
    <w:basedOn w:val="TableNormal"/>
    <w:rsid w:val="00546FA1"/>
    <w:rPr>
      <w:lang w:val="en-US" w:eastAsia="en-US"/>
      <w14:ligatures w14:val="standardContextu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table" w:customStyle="1" w:styleId="MonurolTableStyle">
    <w:name w:val="Monurol Table Style"/>
    <w:basedOn w:val="TableNormal"/>
    <w:rsid w:val="00E031FA"/>
    <w:rPr>
      <w:lang w:val="en-US" w:eastAsia="en-US"/>
      <w14:ligatures w14:val="standardContextual"/>
    </w:rPr>
    <w:tblPr/>
  </w:style>
  <w:style w:type="table" w:customStyle="1" w:styleId="TableGrid2">
    <w:name w:val="Table Grid2"/>
    <w:basedOn w:val="TableNormal"/>
    <w:next w:val="TableGrid"/>
    <w:uiPriority w:val="39"/>
    <w:rsid w:val="009A38CB"/>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E11"/>
    <w:pPr>
      <w:autoSpaceDE w:val="0"/>
      <w:autoSpaceDN w:val="0"/>
      <w:adjustRightInd w:val="0"/>
    </w:pPr>
    <w:rPr>
      <w:rFonts w:ascii="Arial" w:eastAsiaTheme="minorHAnsi" w:hAnsi="Arial" w:cs="Arial"/>
      <w:color w:val="000000"/>
      <w:sz w:val="24"/>
      <w:szCs w:val="24"/>
      <w:lang w:eastAsia="en-US"/>
    </w:rPr>
  </w:style>
  <w:style w:type="character" w:customStyle="1" w:styleId="normaltextrun">
    <w:name w:val="normaltextrun"/>
    <w:basedOn w:val="DefaultParagraphFont"/>
    <w:rsid w:val="00450E11"/>
  </w:style>
  <w:style w:type="paragraph" w:styleId="FootnoteText">
    <w:name w:val="footnote text"/>
    <w:basedOn w:val="Normal"/>
    <w:link w:val="FootnoteTextChar"/>
    <w:unhideWhenUsed/>
    <w:rsid w:val="0085034B"/>
    <w:rPr>
      <w:sz w:val="20"/>
      <w:szCs w:val="20"/>
    </w:rPr>
  </w:style>
  <w:style w:type="character" w:customStyle="1" w:styleId="FootnoteTextChar">
    <w:name w:val="Footnote Text Char"/>
    <w:basedOn w:val="DefaultParagraphFont"/>
    <w:link w:val="FootnoteText"/>
    <w:rsid w:val="0085034B"/>
    <w:rPr>
      <w:rFonts w:ascii="Calibri" w:hAnsi="Calibri" w:cs="Arial"/>
    </w:rPr>
  </w:style>
  <w:style w:type="character" w:styleId="FootnoteReference">
    <w:name w:val="footnote reference"/>
    <w:basedOn w:val="DefaultParagraphFont"/>
    <w:semiHidden/>
    <w:unhideWhenUsed/>
    <w:rsid w:val="0085034B"/>
    <w:rPr>
      <w:vertAlign w:val="superscript"/>
    </w:rPr>
  </w:style>
  <w:style w:type="character" w:styleId="UnresolvedMention">
    <w:name w:val="Unresolved Mention"/>
    <w:basedOn w:val="DefaultParagraphFont"/>
    <w:uiPriority w:val="99"/>
    <w:unhideWhenUsed/>
    <w:rsid w:val="0085034B"/>
    <w:rPr>
      <w:color w:val="605E5C"/>
      <w:shd w:val="clear" w:color="auto" w:fill="E1DFDD"/>
    </w:rPr>
  </w:style>
  <w:style w:type="numbering" w:customStyle="1" w:styleId="SectionBii1">
    <w:name w:val="Section Bii1"/>
    <w:uiPriority w:val="99"/>
    <w:rsid w:val="00D03478"/>
  </w:style>
  <w:style w:type="paragraph" w:customStyle="1" w:styleId="3-SubsectionHeading">
    <w:name w:val="3-Subsection Heading"/>
    <w:basedOn w:val="Heading2"/>
    <w:next w:val="Normal"/>
    <w:link w:val="3-SubsectionHeadingChar"/>
    <w:qFormat/>
    <w:rsid w:val="007C1378"/>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C1378"/>
    <w:rPr>
      <w:rFonts w:asciiTheme="minorHAnsi" w:eastAsiaTheme="majorEastAsia" w:hAnsiTheme="minorHAnsi" w:cstheme="majorBidi"/>
      <w:b/>
      <w:i/>
      <w:spacing w:val="5"/>
      <w:kern w:val="28"/>
      <w:sz w:val="28"/>
      <w:szCs w:val="36"/>
      <w:lang w:eastAsia="en-US"/>
    </w:rPr>
  </w:style>
  <w:style w:type="character" w:customStyle="1" w:styleId="CaptionChar">
    <w:name w:val="Caption Char"/>
    <w:aliases w:val="Caption Char1 Char,Caption Char Char Char,Caption Char1 Char Char Char,Caption Char Char Char Char Char, Char Char Char Char Char Char,Caption Char Char1 Char,Char Char Char Char Char Char,wcp_Caption Char,Légende_Legend Char,c Char,c- Char"/>
    <w:basedOn w:val="DefaultParagraphFont"/>
    <w:link w:val="Caption"/>
    <w:rsid w:val="007D6943"/>
    <w:rPr>
      <w:rFonts w:ascii="Arial Narrow" w:eastAsiaTheme="majorEastAsia" w:hAnsi="Arial Narrow"/>
      <w:b/>
      <w:szCs w:val="24"/>
      <w:lang w:val="en-US"/>
    </w:rPr>
  </w:style>
  <w:style w:type="character" w:styleId="Mention">
    <w:name w:val="Mention"/>
    <w:basedOn w:val="DefaultParagraphFont"/>
    <w:uiPriority w:val="99"/>
    <w:unhideWhenUsed/>
    <w:rsid w:val="00A43F37"/>
    <w:rPr>
      <w:color w:val="2B579A"/>
      <w:shd w:val="clear" w:color="auto" w:fill="E1DFDD"/>
    </w:rPr>
  </w:style>
  <w:style w:type="paragraph" w:customStyle="1" w:styleId="2-SectionHeading">
    <w:name w:val="2-Section Heading"/>
    <w:next w:val="3-BodyText"/>
    <w:qFormat/>
    <w:rsid w:val="00166F30"/>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qFormat/>
    <w:rsid w:val="00166F30"/>
    <w:pPr>
      <w:spacing w:before="120" w:after="120"/>
      <w:ind w:left="862" w:hanging="720"/>
      <w:jc w:val="both"/>
    </w:pPr>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3197">
      <w:bodyDiv w:val="1"/>
      <w:marLeft w:val="0"/>
      <w:marRight w:val="0"/>
      <w:marTop w:val="0"/>
      <w:marBottom w:val="0"/>
      <w:divBdr>
        <w:top w:val="none" w:sz="0" w:space="0" w:color="auto"/>
        <w:left w:val="none" w:sz="0" w:space="0" w:color="auto"/>
        <w:bottom w:val="none" w:sz="0" w:space="0" w:color="auto"/>
        <w:right w:val="none" w:sz="0" w:space="0" w:color="auto"/>
      </w:divBdr>
    </w:div>
    <w:div w:id="7975964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7377288">
      <w:bodyDiv w:val="1"/>
      <w:marLeft w:val="0"/>
      <w:marRight w:val="0"/>
      <w:marTop w:val="0"/>
      <w:marBottom w:val="0"/>
      <w:divBdr>
        <w:top w:val="none" w:sz="0" w:space="0" w:color="auto"/>
        <w:left w:val="none" w:sz="0" w:space="0" w:color="auto"/>
        <w:bottom w:val="none" w:sz="0" w:space="0" w:color="auto"/>
        <w:right w:val="none" w:sz="0" w:space="0" w:color="auto"/>
      </w:divBdr>
      <w:divsChild>
        <w:div w:id="362097967">
          <w:marLeft w:val="1080"/>
          <w:marRight w:val="0"/>
          <w:marTop w:val="1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0754109">
      <w:bodyDiv w:val="1"/>
      <w:marLeft w:val="0"/>
      <w:marRight w:val="0"/>
      <w:marTop w:val="0"/>
      <w:marBottom w:val="0"/>
      <w:divBdr>
        <w:top w:val="none" w:sz="0" w:space="0" w:color="auto"/>
        <w:left w:val="none" w:sz="0" w:space="0" w:color="auto"/>
        <w:bottom w:val="none" w:sz="0" w:space="0" w:color="auto"/>
        <w:right w:val="none" w:sz="0" w:space="0" w:color="auto"/>
      </w:divBdr>
    </w:div>
    <w:div w:id="166747684">
      <w:bodyDiv w:val="1"/>
      <w:marLeft w:val="0"/>
      <w:marRight w:val="0"/>
      <w:marTop w:val="0"/>
      <w:marBottom w:val="0"/>
      <w:divBdr>
        <w:top w:val="none" w:sz="0" w:space="0" w:color="auto"/>
        <w:left w:val="none" w:sz="0" w:space="0" w:color="auto"/>
        <w:bottom w:val="none" w:sz="0" w:space="0" w:color="auto"/>
        <w:right w:val="none" w:sz="0" w:space="0" w:color="auto"/>
      </w:divBdr>
    </w:div>
    <w:div w:id="198318093">
      <w:bodyDiv w:val="1"/>
      <w:marLeft w:val="0"/>
      <w:marRight w:val="0"/>
      <w:marTop w:val="0"/>
      <w:marBottom w:val="0"/>
      <w:divBdr>
        <w:top w:val="none" w:sz="0" w:space="0" w:color="auto"/>
        <w:left w:val="none" w:sz="0" w:space="0" w:color="auto"/>
        <w:bottom w:val="none" w:sz="0" w:space="0" w:color="auto"/>
        <w:right w:val="none" w:sz="0" w:space="0" w:color="auto"/>
      </w:divBdr>
      <w:divsChild>
        <w:div w:id="1209532479">
          <w:marLeft w:val="446"/>
          <w:marRight w:val="0"/>
          <w:marTop w:val="0"/>
          <w:marBottom w:val="0"/>
          <w:divBdr>
            <w:top w:val="none" w:sz="0" w:space="0" w:color="auto"/>
            <w:left w:val="none" w:sz="0" w:space="0" w:color="auto"/>
            <w:bottom w:val="none" w:sz="0" w:space="0" w:color="auto"/>
            <w:right w:val="none" w:sz="0" w:space="0" w:color="auto"/>
          </w:divBdr>
        </w:div>
      </w:divsChild>
    </w:div>
    <w:div w:id="240527328">
      <w:bodyDiv w:val="1"/>
      <w:marLeft w:val="0"/>
      <w:marRight w:val="0"/>
      <w:marTop w:val="0"/>
      <w:marBottom w:val="0"/>
      <w:divBdr>
        <w:top w:val="none" w:sz="0" w:space="0" w:color="auto"/>
        <w:left w:val="none" w:sz="0" w:space="0" w:color="auto"/>
        <w:bottom w:val="none" w:sz="0" w:space="0" w:color="auto"/>
        <w:right w:val="none" w:sz="0" w:space="0" w:color="auto"/>
      </w:divBdr>
    </w:div>
    <w:div w:id="27433694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0623796">
      <w:bodyDiv w:val="1"/>
      <w:marLeft w:val="0"/>
      <w:marRight w:val="0"/>
      <w:marTop w:val="0"/>
      <w:marBottom w:val="0"/>
      <w:divBdr>
        <w:top w:val="none" w:sz="0" w:space="0" w:color="auto"/>
        <w:left w:val="none" w:sz="0" w:space="0" w:color="auto"/>
        <w:bottom w:val="none" w:sz="0" w:space="0" w:color="auto"/>
        <w:right w:val="none" w:sz="0" w:space="0" w:color="auto"/>
      </w:divBdr>
    </w:div>
    <w:div w:id="575285850">
      <w:bodyDiv w:val="1"/>
      <w:marLeft w:val="0"/>
      <w:marRight w:val="0"/>
      <w:marTop w:val="0"/>
      <w:marBottom w:val="0"/>
      <w:divBdr>
        <w:top w:val="none" w:sz="0" w:space="0" w:color="auto"/>
        <w:left w:val="none" w:sz="0" w:space="0" w:color="auto"/>
        <w:bottom w:val="none" w:sz="0" w:space="0" w:color="auto"/>
        <w:right w:val="none" w:sz="0" w:space="0" w:color="auto"/>
      </w:divBdr>
    </w:div>
    <w:div w:id="729422557">
      <w:bodyDiv w:val="1"/>
      <w:marLeft w:val="0"/>
      <w:marRight w:val="0"/>
      <w:marTop w:val="0"/>
      <w:marBottom w:val="0"/>
      <w:divBdr>
        <w:top w:val="none" w:sz="0" w:space="0" w:color="auto"/>
        <w:left w:val="none" w:sz="0" w:space="0" w:color="auto"/>
        <w:bottom w:val="none" w:sz="0" w:space="0" w:color="auto"/>
        <w:right w:val="none" w:sz="0" w:space="0" w:color="auto"/>
      </w:divBdr>
    </w:div>
    <w:div w:id="81541385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1503536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4000727">
      <w:bodyDiv w:val="1"/>
      <w:marLeft w:val="0"/>
      <w:marRight w:val="0"/>
      <w:marTop w:val="0"/>
      <w:marBottom w:val="0"/>
      <w:divBdr>
        <w:top w:val="none" w:sz="0" w:space="0" w:color="auto"/>
        <w:left w:val="none" w:sz="0" w:space="0" w:color="auto"/>
        <w:bottom w:val="none" w:sz="0" w:space="0" w:color="auto"/>
        <w:right w:val="none" w:sz="0" w:space="0" w:color="auto"/>
      </w:divBdr>
    </w:div>
    <w:div w:id="1596085224">
      <w:bodyDiv w:val="1"/>
      <w:marLeft w:val="0"/>
      <w:marRight w:val="0"/>
      <w:marTop w:val="0"/>
      <w:marBottom w:val="0"/>
      <w:divBdr>
        <w:top w:val="none" w:sz="0" w:space="0" w:color="auto"/>
        <w:left w:val="none" w:sz="0" w:space="0" w:color="auto"/>
        <w:bottom w:val="none" w:sz="0" w:space="0" w:color="auto"/>
        <w:right w:val="none" w:sz="0" w:space="0" w:color="auto"/>
      </w:divBdr>
    </w:div>
    <w:div w:id="1653753207">
      <w:bodyDiv w:val="1"/>
      <w:marLeft w:val="0"/>
      <w:marRight w:val="0"/>
      <w:marTop w:val="0"/>
      <w:marBottom w:val="0"/>
      <w:divBdr>
        <w:top w:val="none" w:sz="0" w:space="0" w:color="auto"/>
        <w:left w:val="none" w:sz="0" w:space="0" w:color="auto"/>
        <w:bottom w:val="none" w:sz="0" w:space="0" w:color="auto"/>
        <w:right w:val="none" w:sz="0" w:space="0" w:color="auto"/>
      </w:divBdr>
    </w:div>
    <w:div w:id="1677878795">
      <w:bodyDiv w:val="1"/>
      <w:marLeft w:val="0"/>
      <w:marRight w:val="0"/>
      <w:marTop w:val="0"/>
      <w:marBottom w:val="0"/>
      <w:divBdr>
        <w:top w:val="none" w:sz="0" w:space="0" w:color="auto"/>
        <w:left w:val="none" w:sz="0" w:space="0" w:color="auto"/>
        <w:bottom w:val="none" w:sz="0" w:space="0" w:color="auto"/>
        <w:right w:val="none" w:sz="0" w:space="0" w:color="auto"/>
      </w:divBdr>
      <w:divsChild>
        <w:div w:id="213548730">
          <w:marLeft w:val="1080"/>
          <w:marRight w:val="0"/>
          <w:marTop w:val="100"/>
          <w:marBottom w:val="0"/>
          <w:divBdr>
            <w:top w:val="none" w:sz="0" w:space="0" w:color="auto"/>
            <w:left w:val="none" w:sz="0" w:space="0" w:color="auto"/>
            <w:bottom w:val="none" w:sz="0" w:space="0" w:color="auto"/>
            <w:right w:val="none" w:sz="0" w:space="0" w:color="auto"/>
          </w:divBdr>
        </w:div>
      </w:divsChild>
    </w:div>
    <w:div w:id="1733850927">
      <w:bodyDiv w:val="1"/>
      <w:marLeft w:val="0"/>
      <w:marRight w:val="0"/>
      <w:marTop w:val="0"/>
      <w:marBottom w:val="0"/>
      <w:divBdr>
        <w:top w:val="none" w:sz="0" w:space="0" w:color="auto"/>
        <w:left w:val="none" w:sz="0" w:space="0" w:color="auto"/>
        <w:bottom w:val="none" w:sz="0" w:space="0" w:color="auto"/>
        <w:right w:val="none" w:sz="0" w:space="0" w:color="auto"/>
      </w:divBdr>
    </w:div>
    <w:div w:id="1734812907">
      <w:bodyDiv w:val="1"/>
      <w:marLeft w:val="0"/>
      <w:marRight w:val="0"/>
      <w:marTop w:val="0"/>
      <w:marBottom w:val="0"/>
      <w:divBdr>
        <w:top w:val="none" w:sz="0" w:space="0" w:color="auto"/>
        <w:left w:val="none" w:sz="0" w:space="0" w:color="auto"/>
        <w:bottom w:val="none" w:sz="0" w:space="0" w:color="auto"/>
        <w:right w:val="none" w:sz="0" w:space="0" w:color="auto"/>
      </w:divBdr>
    </w:div>
    <w:div w:id="1789884859">
      <w:bodyDiv w:val="1"/>
      <w:marLeft w:val="0"/>
      <w:marRight w:val="0"/>
      <w:marTop w:val="0"/>
      <w:marBottom w:val="0"/>
      <w:divBdr>
        <w:top w:val="none" w:sz="0" w:space="0" w:color="auto"/>
        <w:left w:val="none" w:sz="0" w:space="0" w:color="auto"/>
        <w:bottom w:val="none" w:sz="0" w:space="0" w:color="auto"/>
        <w:right w:val="none" w:sz="0" w:space="0" w:color="auto"/>
      </w:divBdr>
    </w:div>
    <w:div w:id="1791967815">
      <w:bodyDiv w:val="1"/>
      <w:marLeft w:val="0"/>
      <w:marRight w:val="0"/>
      <w:marTop w:val="0"/>
      <w:marBottom w:val="0"/>
      <w:divBdr>
        <w:top w:val="none" w:sz="0" w:space="0" w:color="auto"/>
        <w:left w:val="none" w:sz="0" w:space="0" w:color="auto"/>
        <w:bottom w:val="none" w:sz="0" w:space="0" w:color="auto"/>
        <w:right w:val="none" w:sz="0" w:space="0" w:color="auto"/>
      </w:divBdr>
    </w:div>
    <w:div w:id="1800683893">
      <w:bodyDiv w:val="1"/>
      <w:marLeft w:val="0"/>
      <w:marRight w:val="0"/>
      <w:marTop w:val="0"/>
      <w:marBottom w:val="0"/>
      <w:divBdr>
        <w:top w:val="none" w:sz="0" w:space="0" w:color="auto"/>
        <w:left w:val="none" w:sz="0" w:space="0" w:color="auto"/>
        <w:bottom w:val="none" w:sz="0" w:space="0" w:color="auto"/>
        <w:right w:val="none" w:sz="0" w:space="0" w:color="auto"/>
      </w:divBdr>
    </w:div>
    <w:div w:id="1851796404">
      <w:bodyDiv w:val="1"/>
      <w:marLeft w:val="0"/>
      <w:marRight w:val="0"/>
      <w:marTop w:val="0"/>
      <w:marBottom w:val="0"/>
      <w:divBdr>
        <w:top w:val="none" w:sz="0" w:space="0" w:color="auto"/>
        <w:left w:val="none" w:sz="0" w:space="0" w:color="auto"/>
        <w:bottom w:val="none" w:sz="0" w:space="0" w:color="auto"/>
        <w:right w:val="none" w:sz="0" w:space="0" w:color="auto"/>
      </w:divBdr>
      <w:divsChild>
        <w:div w:id="371812973">
          <w:marLeft w:val="360"/>
          <w:marRight w:val="0"/>
          <w:marTop w:val="200"/>
          <w:marBottom w:val="0"/>
          <w:divBdr>
            <w:top w:val="none" w:sz="0" w:space="0" w:color="auto"/>
            <w:left w:val="none" w:sz="0" w:space="0" w:color="auto"/>
            <w:bottom w:val="none" w:sz="0" w:space="0" w:color="auto"/>
            <w:right w:val="none" w:sz="0" w:space="0" w:color="auto"/>
          </w:divBdr>
        </w:div>
        <w:div w:id="1189947641">
          <w:marLeft w:val="108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01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lood.gov.au/report-issue-and-use-immunoglobul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bs.tga.gov.au/ebs/picmi/picmirepository.nsf/pdf?OpenAgent=&amp;id=CP-2020-PI-01935-1&amp;d=20250321172310101" TargetMode="External"/><Relationship Id="rId1" Type="http://schemas.openxmlformats.org/officeDocument/2006/relationships/hyperlink" Target="https://doi.org/10.1002/mus.21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6820C-9056-49C1-A831-A36EA3FB4C17}">
  <ds:schemaRefs>
    <ds:schemaRef ds:uri="http://schemas.microsoft.com/office/2006/metadata/properties"/>
    <ds:schemaRef ds:uri="http://www.w3.org/XML/1998/namespace"/>
    <ds:schemaRef ds:uri="http://schemas.microsoft.com/office/2006/documentManagement/types"/>
    <ds:schemaRef ds:uri="7f856f8d-13b3-495a-9a4b-41f8182eda4c"/>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72f95629-adac-4ec1-8738-e1cec852b92b"/>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88F4F4FD-6988-4D86-A066-6553F109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BE53C-0AC5-4CBA-B742-BE4AA9E6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28568</Words>
  <Characters>162839</Characters>
  <Application>Microsoft Office Word</Application>
  <DocSecurity>0</DocSecurity>
  <Lines>1356</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191025</CharactersWithSpaces>
  <SharedDoc>false</SharedDoc>
  <HLinks>
    <vt:vector size="18" baseType="variant">
      <vt:variant>
        <vt:i4>4259868</vt:i4>
      </vt:variant>
      <vt:variant>
        <vt:i4>186</vt:i4>
      </vt:variant>
      <vt:variant>
        <vt:i4>0</vt:i4>
      </vt:variant>
      <vt:variant>
        <vt:i4>5</vt:i4>
      </vt:variant>
      <vt:variant>
        <vt:lpwstr>https://www.blood.gov.au/report-issue-and-use-immunoglobulin</vt:lpwstr>
      </vt:variant>
      <vt:variant>
        <vt:lpwstr/>
      </vt:variant>
      <vt:variant>
        <vt:i4>1572866</vt:i4>
      </vt:variant>
      <vt:variant>
        <vt:i4>3</vt:i4>
      </vt:variant>
      <vt:variant>
        <vt:i4>0</vt:i4>
      </vt:variant>
      <vt:variant>
        <vt:i4>5</vt:i4>
      </vt:variant>
      <vt:variant>
        <vt:lpwstr>https://www.ebs.tga.gov.au/ebs/picmi/picmirepository.nsf/pdf?OpenAgent=&amp;id=CP-2020-PI-01935-1&amp;d=20250321172310101</vt:lpwstr>
      </vt:variant>
      <vt:variant>
        <vt:lpwstr/>
      </vt:variant>
      <vt:variant>
        <vt:i4>5046338</vt:i4>
      </vt:variant>
      <vt:variant>
        <vt:i4>0</vt:i4>
      </vt:variant>
      <vt:variant>
        <vt:i4>0</vt:i4>
      </vt:variant>
      <vt:variant>
        <vt:i4>5</vt:i4>
      </vt:variant>
      <vt:variant>
        <vt:lpwstr>https://doi.org/10.1002/mus.21640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2025-08-29T02:29:00Z</dcterms:created>
  <dcterms:modified xsi:type="dcterms:W3CDTF">2025-09-02T02:23:00Z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4a9d218a,41fb0e5f,74d5ed65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553e0e42,1df0b475,50626904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2025-08-29T02:30:06Z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a84290fa-d1ca-4ac4-85f2-d9e23e7548e3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y fmtid="{D5CDD505-2E9C-101B-9397-08002B2CF9AE}" pid="18" name="docLang">
    <vt:lpwstr>en</vt:lpwstr>
  </property>
</Properties>
</file>