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E16CF" w14:textId="77777777" w:rsidR="00A80CB1" w:rsidRPr="00A80CB1" w:rsidRDefault="00A80CB1" w:rsidP="00A80CB1">
      <w:pPr>
        <w:keepNext/>
        <w:keepLines/>
        <w:rPr>
          <w:rFonts w:ascii="Arial" w:hAnsi="Arial"/>
          <w:sz w:val="22"/>
          <w:szCs w:val="22"/>
        </w:rPr>
      </w:pPr>
    </w:p>
    <w:p w14:paraId="1DDAEE7C" w14:textId="77777777" w:rsidR="00F659CB" w:rsidRDefault="00335389" w:rsidP="00C20059">
      <w:pPr>
        <w:pStyle w:val="1-MainHeading"/>
        <w:spacing w:before="0" w:after="0"/>
        <w:rPr>
          <w:rFonts w:ascii="Arial" w:eastAsia="Calibri" w:hAnsi="Arial" w:cs="Arial"/>
          <w:color w:val="000000" w:themeColor="text1"/>
        </w:rPr>
      </w:pPr>
      <w:bookmarkStart w:id="0" w:name="_Toc188437169"/>
      <w:r>
        <w:t>6.02</w:t>
      </w:r>
      <w:r w:rsidR="00163F66" w:rsidRPr="0098262F">
        <w:tab/>
      </w:r>
      <w:r w:rsidR="00C20059" w:rsidRPr="00547CE7">
        <w:t>ELEXACAFTOR WITH TEZACAFTOR AND WITH IVACAFTOR, AND IVACAFTOR</w:t>
      </w:r>
      <w:r w:rsidR="00C20059" w:rsidRPr="00547CE7">
        <w:br/>
      </w:r>
      <w:r w:rsidR="00F659CB" w:rsidRPr="00F659CB">
        <w:t>Pack containing 56 tablets elexacaftor 100 mg with tezacaftor 50 mg and with ivacaftor 75 mg and 28 tablets ivacaftor 150 mg</w:t>
      </w:r>
      <w:r w:rsidR="00F659CB" w:rsidRPr="00F659CB">
        <w:br/>
        <w:t>Pack containing 56 tablets elexacaftor 50 mg with tezacaftor 25 mg and with ivacaftor 37.5 mg and 28 tablets ivacaftor 75 mg</w:t>
      </w:r>
      <w:bookmarkEnd w:id="0"/>
    </w:p>
    <w:p w14:paraId="70F6D591" w14:textId="591BAA7F" w:rsidR="00C20059" w:rsidRPr="00547CE7" w:rsidRDefault="00C20059" w:rsidP="00F659CB">
      <w:pPr>
        <w:pStyle w:val="1-MainHeading"/>
        <w:spacing w:before="0" w:after="0"/>
        <w:ind w:firstLine="0"/>
      </w:pPr>
      <w:bookmarkStart w:id="1" w:name="_Toc188437170"/>
      <w:r w:rsidRPr="00547CE7">
        <w:t xml:space="preserve">Pack containing </w:t>
      </w:r>
      <w:r w:rsidR="00953201">
        <w:t>28</w:t>
      </w:r>
      <w:r w:rsidRPr="00547CE7">
        <w:t xml:space="preserve"> sachets elexacaftor 100 mg with tezacaftor 50 mg and with ivacaftor 75 mg and 28 sachets ivacaftor 75 mg</w:t>
      </w:r>
      <w:bookmarkEnd w:id="1"/>
    </w:p>
    <w:p w14:paraId="486C0746" w14:textId="2919A541" w:rsidR="00C20059" w:rsidRPr="00547CE7" w:rsidRDefault="00C20059" w:rsidP="00C20059">
      <w:pPr>
        <w:pStyle w:val="1-MainHeading"/>
        <w:spacing w:before="0" w:after="0"/>
        <w:ind w:firstLine="0"/>
        <w:outlineLvl w:val="9"/>
      </w:pPr>
      <w:bookmarkStart w:id="2" w:name="_Toc155857570"/>
      <w:bookmarkStart w:id="3" w:name="_Toc156830612"/>
      <w:bookmarkStart w:id="4" w:name="_Toc188437171"/>
      <w:r w:rsidRPr="00547CE7">
        <w:t xml:space="preserve">Pack containing </w:t>
      </w:r>
      <w:r w:rsidR="00953201">
        <w:t>28</w:t>
      </w:r>
      <w:r w:rsidRPr="00547CE7">
        <w:t xml:space="preserve"> sachets elexacaftor 80 mg with tezacaftor 40 mg and with ivacaftor 60 mg and 28 sachets ivacaftor 59.5 mg</w:t>
      </w:r>
      <w:bookmarkEnd w:id="2"/>
      <w:bookmarkEnd w:id="3"/>
      <w:bookmarkEnd w:id="4"/>
      <w:r w:rsidRPr="00547CE7">
        <w:t xml:space="preserve"> </w:t>
      </w:r>
    </w:p>
    <w:p w14:paraId="735FDBF9" w14:textId="1005E628" w:rsidR="00C20059" w:rsidRPr="00547CE7" w:rsidRDefault="00C20059" w:rsidP="00C20059">
      <w:pPr>
        <w:pStyle w:val="1-MainHeading"/>
        <w:spacing w:before="0" w:after="0"/>
        <w:ind w:firstLine="0"/>
        <w:outlineLvl w:val="9"/>
      </w:pPr>
      <w:bookmarkStart w:id="5" w:name="_Toc155857571"/>
      <w:bookmarkStart w:id="6" w:name="_Toc156830613"/>
      <w:bookmarkStart w:id="7" w:name="_Toc188437172"/>
      <w:r w:rsidRPr="00547CE7">
        <w:t>Trikafta</w:t>
      </w:r>
      <w:r w:rsidRPr="00547CE7">
        <w:rPr>
          <w:vertAlign w:val="superscript"/>
        </w:rPr>
        <w:t>®</w:t>
      </w:r>
      <w:r w:rsidRPr="00547CE7">
        <w:t>,</w:t>
      </w:r>
      <w:r w:rsidRPr="00547CE7">
        <w:br/>
        <w:t>VERTEX PHARMACEUTICALS (AUSTRALIA) PTY LTD</w:t>
      </w:r>
      <w:bookmarkEnd w:id="5"/>
      <w:bookmarkEnd w:id="6"/>
      <w:bookmarkEnd w:id="7"/>
      <w:r w:rsidRPr="00547CE7">
        <w:t xml:space="preserve"> </w:t>
      </w:r>
    </w:p>
    <w:p w14:paraId="11C00795" w14:textId="3DFB6D23" w:rsidR="00B50DB8" w:rsidRPr="0098262F" w:rsidRDefault="00B50DB8" w:rsidP="004A6040">
      <w:pPr>
        <w:pStyle w:val="2-SectionHeading"/>
      </w:pPr>
      <w:bookmarkStart w:id="8" w:name="_Toc188437174"/>
      <w:r w:rsidRPr="00832473">
        <w:t xml:space="preserve">Purpose of </w:t>
      </w:r>
      <w:r w:rsidR="00CD7193" w:rsidRPr="0098262F">
        <w:t>s</w:t>
      </w:r>
      <w:r w:rsidR="00BB3A45" w:rsidRPr="0098262F">
        <w:t>ubmission</w:t>
      </w:r>
      <w:bookmarkEnd w:id="8"/>
    </w:p>
    <w:p w14:paraId="39A9FF05" w14:textId="17180038" w:rsidR="00D20DCF" w:rsidRDefault="007170DA" w:rsidP="00996054">
      <w:pPr>
        <w:pStyle w:val="3-BodyText"/>
      </w:pPr>
      <w:r w:rsidRPr="0098262F">
        <w:t xml:space="preserve">The </w:t>
      </w:r>
      <w:r w:rsidR="00F73E08" w:rsidRPr="0098262F">
        <w:t xml:space="preserve">Category </w:t>
      </w:r>
      <w:r w:rsidR="00C20059">
        <w:t xml:space="preserve">2 </w:t>
      </w:r>
      <w:r w:rsidRPr="0098262F">
        <w:t xml:space="preserve">submission requested </w:t>
      </w:r>
      <w:r w:rsidR="00C20059">
        <w:t xml:space="preserve">an extension </w:t>
      </w:r>
      <w:r w:rsidR="00C20059" w:rsidRPr="00547CE7">
        <w:t xml:space="preserve">to the current listing of elexacaftor/tezacaftor/ivacaftor (ELX/TEZ/IVA) for the treatment of cystic fibrosis (CF) </w:t>
      </w:r>
      <w:r w:rsidR="00C20059">
        <w:t xml:space="preserve">in patients who have at least one mutation in the </w:t>
      </w:r>
      <w:r w:rsidR="00F25C15" w:rsidRPr="00560C5A">
        <w:rPr>
          <w:lang w:val="en-GB"/>
        </w:rPr>
        <w:t>cystic fibrosis</w:t>
      </w:r>
      <w:r w:rsidR="00F25C15">
        <w:rPr>
          <w:lang w:val="en-GB"/>
        </w:rPr>
        <w:t xml:space="preserve"> </w:t>
      </w:r>
      <w:r w:rsidR="00F25C15" w:rsidRPr="00560C5A">
        <w:rPr>
          <w:lang w:val="en-GB"/>
        </w:rPr>
        <w:t>transmembrane conductance regulator</w:t>
      </w:r>
      <w:r w:rsidR="00F25C15">
        <w:t xml:space="preserve"> (</w:t>
      </w:r>
      <w:r w:rsidR="00C20059">
        <w:t>CFTR</w:t>
      </w:r>
      <w:r w:rsidR="00F25C15">
        <w:t>)</w:t>
      </w:r>
      <w:r w:rsidR="00C20059">
        <w:t xml:space="preserve"> gene</w:t>
      </w:r>
      <w:r w:rsidR="00452FEE">
        <w:t xml:space="preserve"> that is responsive to </w:t>
      </w:r>
      <w:r w:rsidR="00452FEE" w:rsidRPr="00547CE7">
        <w:t>ELX/TEZ/IVA</w:t>
      </w:r>
      <w:r w:rsidR="00452FEE">
        <w:t xml:space="preserve"> based on clinical and/or </w:t>
      </w:r>
      <w:r w:rsidR="00452FEE">
        <w:rPr>
          <w:i/>
          <w:iCs/>
        </w:rPr>
        <w:t>in</w:t>
      </w:r>
      <w:r w:rsidR="00452FEE" w:rsidRPr="00452FEE">
        <w:rPr>
          <w:i/>
          <w:iCs/>
        </w:rPr>
        <w:t xml:space="preserve"> vitro</w:t>
      </w:r>
      <w:r w:rsidR="00452FEE">
        <w:t xml:space="preserve"> assay data.</w:t>
      </w:r>
      <w:r w:rsidR="00AD216E">
        <w:t xml:space="preserve"> </w:t>
      </w:r>
    </w:p>
    <w:p w14:paraId="5C524885" w14:textId="77777777" w:rsidR="00864E87" w:rsidRDefault="00D20DCF" w:rsidP="0058227A">
      <w:pPr>
        <w:pStyle w:val="3-BodyText"/>
      </w:pPr>
      <w:r>
        <w:t xml:space="preserve">The extension to the population </w:t>
      </w:r>
      <w:r w:rsidR="000E22ED">
        <w:t xml:space="preserve">would </w:t>
      </w:r>
      <w:r>
        <w:t>include</w:t>
      </w:r>
      <w:r w:rsidR="000E22ED">
        <w:t xml:space="preserve"> </w:t>
      </w:r>
      <w:r>
        <w:t>patients with</w:t>
      </w:r>
      <w:r w:rsidR="00864E87">
        <w:t>:</w:t>
      </w:r>
    </w:p>
    <w:p w14:paraId="6ECD27EE" w14:textId="2DB631ED" w:rsidR="00864E87" w:rsidRDefault="006E5123" w:rsidP="008F6A0C">
      <w:pPr>
        <w:pStyle w:val="3-BodyText"/>
        <w:numPr>
          <w:ilvl w:val="0"/>
          <w:numId w:val="12"/>
        </w:numPr>
      </w:pPr>
      <w:r>
        <w:t>251</w:t>
      </w:r>
      <w:r w:rsidR="000A38A2">
        <w:t xml:space="preserve"> mutations deemed likely to respond to ELX/TEZ/IVA based on the</w:t>
      </w:r>
      <w:r>
        <w:t xml:space="preserve"> </w:t>
      </w:r>
      <w:r w:rsidR="00D20DCF">
        <w:t>Fischer Rat Thyroid (FRT</w:t>
      </w:r>
      <w:r w:rsidR="000A38A2">
        <w:t>) assay</w:t>
      </w:r>
      <w:r>
        <w:t xml:space="preserve"> (177 mutations currently approved by the FD</w:t>
      </w:r>
      <w:r w:rsidR="00864E87">
        <w:t>A</w:t>
      </w:r>
      <w:r w:rsidR="000A38A2">
        <w:t>,</w:t>
      </w:r>
      <w:r>
        <w:t xml:space="preserve"> plus an add</w:t>
      </w:r>
      <w:r w:rsidR="00D20DCF">
        <w:t xml:space="preserve">itional </w:t>
      </w:r>
      <w:r>
        <w:t xml:space="preserve">74 </w:t>
      </w:r>
      <w:r w:rsidR="00D20DCF">
        <w:t>mutations</w:t>
      </w:r>
      <w:r>
        <w:t>)</w:t>
      </w:r>
    </w:p>
    <w:p w14:paraId="0EBEC677" w14:textId="77777777" w:rsidR="00864E87" w:rsidRDefault="00967C32" w:rsidP="008F6A0C">
      <w:pPr>
        <w:pStyle w:val="3-BodyText"/>
        <w:numPr>
          <w:ilvl w:val="0"/>
          <w:numId w:val="12"/>
        </w:numPr>
      </w:pPr>
      <w:r>
        <w:t>19 non-canonical splice mutations</w:t>
      </w:r>
      <w:r w:rsidR="000A38A2">
        <w:t xml:space="preserve"> (which cannot be tested in the FRT assay)</w:t>
      </w:r>
      <w:r w:rsidRPr="00D20DCF">
        <w:rPr>
          <w:i/>
          <w:iCs/>
        </w:rPr>
        <w:t xml:space="preserve"> </w:t>
      </w:r>
      <w:r w:rsidRPr="00967C32">
        <w:t>and</w:t>
      </w:r>
    </w:p>
    <w:p w14:paraId="5D509324" w14:textId="77777777" w:rsidR="003D5684" w:rsidRDefault="00967C32" w:rsidP="008F6A0C">
      <w:pPr>
        <w:pStyle w:val="3-BodyText"/>
        <w:numPr>
          <w:ilvl w:val="0"/>
          <w:numId w:val="12"/>
        </w:numPr>
      </w:pPr>
      <w:r>
        <w:rPr>
          <w:i/>
          <w:iCs/>
        </w:rPr>
        <w:t xml:space="preserve"> </w:t>
      </w:r>
      <w:r w:rsidR="00D20DCF" w:rsidRPr="00D20DCF">
        <w:rPr>
          <w:i/>
          <w:iCs/>
        </w:rPr>
        <w:t>N1303K</w:t>
      </w:r>
      <w:r w:rsidR="00D20DCF">
        <w:t xml:space="preserve"> mutation</w:t>
      </w:r>
      <w:r w:rsidR="000A38A2">
        <w:t xml:space="preserve"> (which does </w:t>
      </w:r>
      <w:r w:rsidR="000A38A2" w:rsidRPr="00864E87">
        <w:t>not</w:t>
      </w:r>
      <w:r w:rsidR="000A38A2">
        <w:t xml:space="preserve"> show any effect of ELX/TEZ/IVA in the FRT assay)</w:t>
      </w:r>
      <w:r w:rsidR="00FC48EB">
        <w:t>.</w:t>
      </w:r>
      <w:r w:rsidR="00A11C52">
        <w:t xml:space="preserve"> </w:t>
      </w:r>
    </w:p>
    <w:p w14:paraId="070135DA" w14:textId="4302CBC8" w:rsidR="00846D0E" w:rsidRDefault="00A11C52" w:rsidP="003D5684">
      <w:pPr>
        <w:pStyle w:val="3-BodyText"/>
        <w:numPr>
          <w:ilvl w:val="0"/>
          <w:numId w:val="0"/>
        </w:numPr>
        <w:ind w:left="720"/>
      </w:pPr>
      <w:r>
        <w:lastRenderedPageBreak/>
        <w:t xml:space="preserve">The submission </w:t>
      </w:r>
      <w:r w:rsidR="009300A2">
        <w:t xml:space="preserve">estimated </w:t>
      </w:r>
      <w:r w:rsidR="004F6E6C">
        <w:t xml:space="preserve">that </w:t>
      </w:r>
      <w:r w:rsidR="009300A2">
        <w:t>t</w:t>
      </w:r>
      <w:r>
        <w:t xml:space="preserve">he expanded listing would provide access to </w:t>
      </w:r>
      <w:r w:rsidR="00696367">
        <w:t xml:space="preserve">ELX/TEZ/IVA for </w:t>
      </w:r>
      <w:r>
        <w:t xml:space="preserve">an additional </w:t>
      </w:r>
      <w:r w:rsidR="009300A2">
        <w:t>166</w:t>
      </w:r>
      <w:r>
        <w:t xml:space="preserve"> patients </w:t>
      </w:r>
      <w:r w:rsidR="00FE0CEC">
        <w:t xml:space="preserve">(in Year 1) </w:t>
      </w:r>
      <w:r>
        <w:t>of whom 3</w:t>
      </w:r>
      <w:r w:rsidR="009300A2">
        <w:t xml:space="preserve">2 </w:t>
      </w:r>
      <w:r>
        <w:t xml:space="preserve">have no current access to CFTR modulators. </w:t>
      </w:r>
      <w:r w:rsidR="00372B12">
        <w:t xml:space="preserve"> </w:t>
      </w:r>
      <w:r w:rsidR="00404615">
        <w:t xml:space="preserve"> </w:t>
      </w:r>
      <w:r w:rsidR="00471E93">
        <w:t xml:space="preserve"> </w:t>
      </w:r>
    </w:p>
    <w:p w14:paraId="3D3A0C52" w14:textId="65265D54" w:rsidR="0058227A" w:rsidRPr="0058227A" w:rsidRDefault="0058227A" w:rsidP="0058227A">
      <w:pPr>
        <w:pStyle w:val="3-BodyText"/>
      </w:pPr>
      <w:r w:rsidRPr="0058227A">
        <w:t xml:space="preserve">Listing was requested </w:t>
      </w:r>
      <w:r>
        <w:t xml:space="preserve">based </w:t>
      </w:r>
      <w:r w:rsidRPr="0058227A">
        <w:t xml:space="preserve">on </w:t>
      </w:r>
      <w:r w:rsidR="0058624F">
        <w:t>the</w:t>
      </w:r>
      <w:r>
        <w:t xml:space="preserve"> argument</w:t>
      </w:r>
      <w:r w:rsidR="00F25C15">
        <w:t xml:space="preserve"> </w:t>
      </w:r>
      <w:r w:rsidR="0058624F">
        <w:t xml:space="preserve">that it would be inequitable for patients with </w:t>
      </w:r>
      <w:r w:rsidR="00471E93">
        <w:t xml:space="preserve">very </w:t>
      </w:r>
      <w:r w:rsidR="0058624F">
        <w:t>rare mutations</w:t>
      </w:r>
      <w:r w:rsidR="00823301" w:rsidRPr="00823301">
        <w:t xml:space="preserve"> </w:t>
      </w:r>
      <w:r w:rsidR="00823301">
        <w:t xml:space="preserve">not to have access to ELX/TEZ/IVA and for these patients </w:t>
      </w:r>
      <w:r w:rsidR="004F6E6C">
        <w:t>it is</w:t>
      </w:r>
      <w:r w:rsidR="0058624F">
        <w:t xml:space="preserve"> imp</w:t>
      </w:r>
      <w:r w:rsidR="00471E93">
        <w:t>ractical</w:t>
      </w:r>
      <w:r w:rsidR="0058624F">
        <w:t xml:space="preserve"> to provide clinical evidence of efficacy</w:t>
      </w:r>
      <w:r w:rsidR="00823301">
        <w:t>.</w:t>
      </w:r>
      <w:r w:rsidR="0058624F">
        <w:t xml:space="preserve"> </w:t>
      </w:r>
      <w:r w:rsidR="00471E93">
        <w:t xml:space="preserve">Listing </w:t>
      </w:r>
      <w:r w:rsidR="00823301">
        <w:t>was</w:t>
      </w:r>
      <w:r w:rsidR="00471E93">
        <w:t xml:space="preserve"> proposed</w:t>
      </w:r>
      <w:r w:rsidR="0058624F">
        <w:t xml:space="preserve"> </w:t>
      </w:r>
      <w:r w:rsidR="00F25C15">
        <w:t>at the current price of ELX/TEZ/IVA</w:t>
      </w:r>
      <w:r w:rsidRPr="0058227A">
        <w:t>; no economic evaluation was presented in the submission to support the listing requested</w:t>
      </w:r>
      <w:r w:rsidR="00DC6205">
        <w:t xml:space="preserve">. </w:t>
      </w:r>
      <w:r w:rsidRPr="0058227A">
        <w:t xml:space="preserve"> </w:t>
      </w:r>
    </w:p>
    <w:p w14:paraId="3718DE61" w14:textId="462DF1EC" w:rsidR="008B1757" w:rsidRPr="0098262F" w:rsidRDefault="00696EF9" w:rsidP="004A6040">
      <w:pPr>
        <w:pStyle w:val="TableFigureHeading"/>
        <w:rPr>
          <w:b w:val="0"/>
        </w:rPr>
      </w:pPr>
      <w:r w:rsidRPr="0098262F">
        <w:t xml:space="preserve">Table </w:t>
      </w:r>
      <w:r w:rsidR="00345E49">
        <w:fldChar w:fldCharType="begin"/>
      </w:r>
      <w:r w:rsidR="00345E49">
        <w:instrText xml:space="preserve"> SEQ Table \* ARABIC </w:instrText>
      </w:r>
      <w:r w:rsidR="00345E49">
        <w:fldChar w:fldCharType="separate"/>
      </w:r>
      <w:r w:rsidR="00343156">
        <w:rPr>
          <w:noProof/>
        </w:rPr>
        <w:t>1</w:t>
      </w:r>
      <w:r w:rsidR="00345E49">
        <w:rPr>
          <w:noProof/>
        </w:rPr>
        <w:fldChar w:fldCharType="end"/>
      </w:r>
      <w:r w:rsidRPr="0098262F">
        <w:t>:</w:t>
      </w:r>
      <w:r w:rsidR="00BC591F" w:rsidRPr="0098262F">
        <w:t xml:space="preserve"> </w:t>
      </w:r>
      <w:r w:rsidR="008B1757" w:rsidRPr="0098262F">
        <w:t>Key components of the clinical issue addressed by the submission</w:t>
      </w:r>
      <w:r w:rsidR="007170DA" w:rsidRPr="0098262F">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B9224E" w14:paraId="569F5103" w14:textId="77777777" w:rsidTr="002A2ADE">
        <w:trPr>
          <w:cantSplit/>
          <w:tblHeader/>
        </w:trPr>
        <w:tc>
          <w:tcPr>
            <w:tcW w:w="924" w:type="pct"/>
            <w:shd w:val="clear" w:color="auto" w:fill="auto"/>
          </w:tcPr>
          <w:p w14:paraId="501803FB" w14:textId="77777777" w:rsidR="008B1757" w:rsidRPr="0046529B" w:rsidRDefault="008B1757" w:rsidP="00B9224E">
            <w:pPr>
              <w:pStyle w:val="TableText"/>
              <w:rPr>
                <w:b/>
                <w:bCs w:val="0"/>
              </w:rPr>
            </w:pPr>
            <w:r w:rsidRPr="0046529B">
              <w:rPr>
                <w:b/>
                <w:bCs w:val="0"/>
              </w:rPr>
              <w:t>Component</w:t>
            </w:r>
          </w:p>
        </w:tc>
        <w:tc>
          <w:tcPr>
            <w:tcW w:w="4076" w:type="pct"/>
            <w:shd w:val="clear" w:color="auto" w:fill="auto"/>
          </w:tcPr>
          <w:p w14:paraId="445D9EBB" w14:textId="77777777" w:rsidR="008B1757" w:rsidRPr="0046529B" w:rsidRDefault="008B1757" w:rsidP="00B9224E">
            <w:pPr>
              <w:pStyle w:val="TableText"/>
              <w:rPr>
                <w:b/>
                <w:bCs w:val="0"/>
              </w:rPr>
            </w:pPr>
            <w:r w:rsidRPr="0046529B">
              <w:rPr>
                <w:b/>
                <w:bCs w:val="0"/>
              </w:rPr>
              <w:t>Description</w:t>
            </w:r>
          </w:p>
        </w:tc>
      </w:tr>
      <w:tr w:rsidR="008B1757" w:rsidRPr="00B9224E" w14:paraId="2EB546E2" w14:textId="77777777" w:rsidTr="002A2ADE">
        <w:trPr>
          <w:cantSplit/>
        </w:trPr>
        <w:tc>
          <w:tcPr>
            <w:tcW w:w="924" w:type="pct"/>
            <w:shd w:val="clear" w:color="auto" w:fill="auto"/>
          </w:tcPr>
          <w:p w14:paraId="38F3BB34" w14:textId="77777777" w:rsidR="008B1757" w:rsidRPr="00B9224E" w:rsidRDefault="008B1757" w:rsidP="00B9224E">
            <w:pPr>
              <w:pStyle w:val="TableText"/>
            </w:pPr>
            <w:r w:rsidRPr="00B9224E">
              <w:t>Population</w:t>
            </w:r>
          </w:p>
        </w:tc>
        <w:tc>
          <w:tcPr>
            <w:tcW w:w="4076" w:type="pct"/>
            <w:shd w:val="clear" w:color="auto" w:fill="auto"/>
          </w:tcPr>
          <w:p w14:paraId="79618EEE" w14:textId="6F41B69B" w:rsidR="00233C01" w:rsidRPr="00B9224E" w:rsidRDefault="00452FEE" w:rsidP="00B9224E">
            <w:pPr>
              <w:pStyle w:val="TableText"/>
            </w:pPr>
            <w:r w:rsidRPr="00B9224E">
              <w:t xml:space="preserve">CF patients aged 2 years of age or older with at least one mutation in the CFTR gene that is responsive to ELX/TEZ/IVA potentiation based on </w:t>
            </w:r>
            <w:r w:rsidR="003F7115" w:rsidRPr="00B9224E">
              <w:t>clinical data</w:t>
            </w:r>
            <w:r w:rsidR="003F7115">
              <w:t xml:space="preserve"> or </w:t>
            </w:r>
            <w:r w:rsidRPr="00B9224E">
              <w:t xml:space="preserve">in vitro assay </w:t>
            </w:r>
          </w:p>
        </w:tc>
      </w:tr>
      <w:tr w:rsidR="008B1757" w:rsidRPr="00B9224E" w14:paraId="0CA523AF" w14:textId="77777777" w:rsidTr="002A2ADE">
        <w:trPr>
          <w:cantSplit/>
        </w:trPr>
        <w:tc>
          <w:tcPr>
            <w:tcW w:w="924" w:type="pct"/>
            <w:shd w:val="clear" w:color="auto" w:fill="auto"/>
          </w:tcPr>
          <w:p w14:paraId="7B6D20D8" w14:textId="77777777" w:rsidR="008B1757" w:rsidRPr="00B9224E" w:rsidRDefault="008B1757" w:rsidP="00B9224E">
            <w:pPr>
              <w:pStyle w:val="TableText"/>
            </w:pPr>
            <w:r w:rsidRPr="00B9224E">
              <w:t>Intervention</w:t>
            </w:r>
          </w:p>
        </w:tc>
        <w:tc>
          <w:tcPr>
            <w:tcW w:w="4076" w:type="pct"/>
            <w:shd w:val="clear" w:color="auto" w:fill="auto"/>
          </w:tcPr>
          <w:p w14:paraId="2491E905" w14:textId="69205A82" w:rsidR="00233C01" w:rsidRPr="00B9224E" w:rsidRDefault="00227F20" w:rsidP="00B9224E">
            <w:pPr>
              <w:pStyle w:val="TableText"/>
            </w:pPr>
            <w:r>
              <w:t xml:space="preserve">ELX/TEZ/IVA </w:t>
            </w:r>
          </w:p>
        </w:tc>
      </w:tr>
      <w:tr w:rsidR="008B1757" w:rsidRPr="00B9224E" w14:paraId="0F81EBE4" w14:textId="77777777" w:rsidTr="002A2ADE">
        <w:trPr>
          <w:cantSplit/>
        </w:trPr>
        <w:tc>
          <w:tcPr>
            <w:tcW w:w="924" w:type="pct"/>
            <w:shd w:val="clear" w:color="auto" w:fill="auto"/>
          </w:tcPr>
          <w:p w14:paraId="3656B343" w14:textId="77777777" w:rsidR="008B1757" w:rsidRPr="00B9224E" w:rsidRDefault="008B1757" w:rsidP="00B9224E">
            <w:pPr>
              <w:pStyle w:val="TableText"/>
            </w:pPr>
            <w:r w:rsidRPr="00B9224E">
              <w:t>Comparator</w:t>
            </w:r>
          </w:p>
        </w:tc>
        <w:tc>
          <w:tcPr>
            <w:tcW w:w="4076" w:type="pct"/>
            <w:shd w:val="clear" w:color="auto" w:fill="auto"/>
          </w:tcPr>
          <w:p w14:paraId="031FCCB9" w14:textId="77777777" w:rsidR="00452FEE" w:rsidRPr="00B9224E" w:rsidRDefault="00452FEE" w:rsidP="00B9224E">
            <w:pPr>
              <w:pStyle w:val="TableText"/>
            </w:pPr>
            <w:r w:rsidRPr="00B9224E">
              <w:t>IVA plus BSC for patients with mutations responsive to both IVA and ELX/TEZ/IVA</w:t>
            </w:r>
          </w:p>
          <w:p w14:paraId="75FD969E" w14:textId="77777777" w:rsidR="00452FEE" w:rsidRPr="00B9224E" w:rsidRDefault="00452FEE" w:rsidP="00B9224E">
            <w:pPr>
              <w:pStyle w:val="TableText"/>
            </w:pPr>
            <w:r w:rsidRPr="00B9224E">
              <w:t>TEZ/IVA plus BSC for patients with TEZ/IVA eligible residual function and splice mutations</w:t>
            </w:r>
          </w:p>
          <w:p w14:paraId="3727DE24" w14:textId="1C881B32" w:rsidR="00233C01" w:rsidRPr="00B9224E" w:rsidRDefault="00452FEE" w:rsidP="00B9224E">
            <w:pPr>
              <w:pStyle w:val="TableText"/>
            </w:pPr>
            <w:r w:rsidRPr="00B9224E">
              <w:t>BSC for all other mutations</w:t>
            </w:r>
          </w:p>
        </w:tc>
      </w:tr>
      <w:tr w:rsidR="008B1757" w:rsidRPr="00B9224E" w14:paraId="02F86F0D" w14:textId="77777777" w:rsidTr="002A2ADE">
        <w:trPr>
          <w:cantSplit/>
        </w:trPr>
        <w:tc>
          <w:tcPr>
            <w:tcW w:w="924" w:type="pct"/>
            <w:shd w:val="clear" w:color="auto" w:fill="auto"/>
          </w:tcPr>
          <w:p w14:paraId="06433105" w14:textId="77777777" w:rsidR="008B1757" w:rsidRPr="00B9224E" w:rsidRDefault="008B1757" w:rsidP="00B9224E">
            <w:pPr>
              <w:pStyle w:val="TableText"/>
            </w:pPr>
            <w:r w:rsidRPr="00B9224E">
              <w:t>Outcomes</w:t>
            </w:r>
          </w:p>
        </w:tc>
        <w:tc>
          <w:tcPr>
            <w:tcW w:w="4076" w:type="pct"/>
            <w:shd w:val="clear" w:color="auto" w:fill="auto"/>
          </w:tcPr>
          <w:p w14:paraId="72D234F0" w14:textId="77777777" w:rsidR="00452FEE" w:rsidRPr="00B9224E" w:rsidRDefault="00452FEE" w:rsidP="00E87716">
            <w:pPr>
              <w:pStyle w:val="TableText"/>
              <w:tabs>
                <w:tab w:val="left" w:pos="205"/>
              </w:tabs>
            </w:pPr>
            <w:r w:rsidRPr="00B9224E">
              <w:t>•</w:t>
            </w:r>
            <w:r w:rsidRPr="00B9224E">
              <w:tab/>
              <w:t>Absolute change from baseline in ppFEV1, where relevant</w:t>
            </w:r>
          </w:p>
          <w:p w14:paraId="0545D134" w14:textId="77777777" w:rsidR="00452FEE" w:rsidRPr="00B9224E" w:rsidRDefault="00452FEE" w:rsidP="00E87716">
            <w:pPr>
              <w:pStyle w:val="TableText"/>
              <w:tabs>
                <w:tab w:val="left" w:pos="205"/>
              </w:tabs>
            </w:pPr>
            <w:r w:rsidRPr="00B9224E">
              <w:t>•</w:t>
            </w:r>
            <w:r w:rsidRPr="00B9224E">
              <w:tab/>
              <w:t>Absolute change from baseline in sweat chloride</w:t>
            </w:r>
          </w:p>
          <w:p w14:paraId="62776EA9" w14:textId="77777777" w:rsidR="00452FEE" w:rsidRPr="00B9224E" w:rsidRDefault="00452FEE" w:rsidP="00E87716">
            <w:pPr>
              <w:pStyle w:val="TableText"/>
              <w:tabs>
                <w:tab w:val="left" w:pos="205"/>
              </w:tabs>
            </w:pPr>
            <w:r w:rsidRPr="00B9224E">
              <w:t>•</w:t>
            </w:r>
            <w:r w:rsidRPr="00B9224E">
              <w:tab/>
              <w:t>Absolute change from baseline in nutritional status (weight, weight z-score, BMI, BMI z-score)</w:t>
            </w:r>
          </w:p>
          <w:p w14:paraId="1ADD4122" w14:textId="77777777" w:rsidR="00452FEE" w:rsidRPr="00B9224E" w:rsidRDefault="00452FEE" w:rsidP="00E87716">
            <w:pPr>
              <w:pStyle w:val="TableText"/>
              <w:tabs>
                <w:tab w:val="left" w:pos="205"/>
              </w:tabs>
            </w:pPr>
            <w:r w:rsidRPr="00B9224E">
              <w:t>•</w:t>
            </w:r>
            <w:r w:rsidRPr="00B9224E">
              <w:tab/>
              <w:t>Absolute change from baseline in CFQ-R RD score</w:t>
            </w:r>
          </w:p>
          <w:p w14:paraId="5ABC4037" w14:textId="351872DE" w:rsidR="00233C01" w:rsidRPr="00B9224E" w:rsidRDefault="00452FEE" w:rsidP="00E87716">
            <w:pPr>
              <w:pStyle w:val="TableText"/>
              <w:tabs>
                <w:tab w:val="left" w:pos="205"/>
              </w:tabs>
            </w:pPr>
            <w:r w:rsidRPr="00B9224E">
              <w:t>•</w:t>
            </w:r>
            <w:r w:rsidRPr="00B9224E">
              <w:tab/>
              <w:t>Measures of pulmonary exacerbations (PEx)</w:t>
            </w:r>
          </w:p>
        </w:tc>
      </w:tr>
      <w:tr w:rsidR="008B1757" w:rsidRPr="00B9224E" w14:paraId="22223890" w14:textId="77777777" w:rsidTr="002A2ADE">
        <w:trPr>
          <w:cantSplit/>
        </w:trPr>
        <w:tc>
          <w:tcPr>
            <w:tcW w:w="924" w:type="pct"/>
            <w:shd w:val="clear" w:color="auto" w:fill="auto"/>
          </w:tcPr>
          <w:p w14:paraId="0FC8FCE0" w14:textId="77777777" w:rsidR="008B1757" w:rsidRPr="00B9224E" w:rsidRDefault="008B1757" w:rsidP="00B9224E">
            <w:pPr>
              <w:pStyle w:val="TableText"/>
            </w:pPr>
            <w:r w:rsidRPr="00B9224E">
              <w:t>Clinical claim</w:t>
            </w:r>
          </w:p>
        </w:tc>
        <w:tc>
          <w:tcPr>
            <w:tcW w:w="4076" w:type="pct"/>
            <w:shd w:val="clear" w:color="auto" w:fill="auto"/>
          </w:tcPr>
          <w:p w14:paraId="6D412440" w14:textId="77777777" w:rsidR="00452FEE" w:rsidRPr="00B9224E" w:rsidRDefault="00452FEE" w:rsidP="00B9224E">
            <w:pPr>
              <w:pStyle w:val="TableText"/>
            </w:pPr>
            <w:r w:rsidRPr="00B9224E">
              <w:t xml:space="preserve">ELX/TEZ/IVA plus BSC is at least non-inferior and likely superior in terms of effectiveness compared with IVA plus BSC in patients with mutations responsive to both IVA and ELX/TEZ/IVA </w:t>
            </w:r>
          </w:p>
          <w:p w14:paraId="77188B3B" w14:textId="77777777" w:rsidR="00452FEE" w:rsidRPr="00B9224E" w:rsidRDefault="00452FEE" w:rsidP="00B9224E">
            <w:pPr>
              <w:pStyle w:val="TableText"/>
            </w:pPr>
            <w:r w:rsidRPr="00B9224E">
              <w:t>ELX/TEZ/IVA plus BSC is superior in terms of effectiveness compared with TEZ/IVA plus BSC in patients with TEZ/IVA eligible residual function and non-canonical splice mutations</w:t>
            </w:r>
          </w:p>
          <w:p w14:paraId="03A24A80" w14:textId="77777777" w:rsidR="00452FEE" w:rsidRPr="00B9224E" w:rsidRDefault="00452FEE" w:rsidP="00B9224E">
            <w:pPr>
              <w:pStyle w:val="TableText"/>
            </w:pPr>
            <w:r w:rsidRPr="00B9224E">
              <w:t>ELX/TEZ/IVA plus BSC is superior in terms of effectiveness compared with BSC in patients with all other mutations</w:t>
            </w:r>
          </w:p>
          <w:p w14:paraId="2C99C4DE" w14:textId="0410D1EB" w:rsidR="00233C01" w:rsidRPr="00B9224E" w:rsidRDefault="00452FEE" w:rsidP="00B9224E">
            <w:pPr>
              <w:pStyle w:val="TableText"/>
            </w:pPr>
            <w:r w:rsidRPr="00B9224E">
              <w:t>ELX/TEZ/IVA plus BSC is comparable in terms of safety compared to IVA + BSC, TEZ/IVA + BSC and BSC alone</w:t>
            </w:r>
          </w:p>
        </w:tc>
      </w:tr>
    </w:tbl>
    <w:p w14:paraId="527CA7F0" w14:textId="2E81D87D" w:rsidR="004E43B2" w:rsidRDefault="008B1757" w:rsidP="004A6040">
      <w:pPr>
        <w:pStyle w:val="FooterTableFigure"/>
      </w:pPr>
      <w:r w:rsidRPr="0098262F">
        <w:t>Source: Table</w:t>
      </w:r>
      <w:r w:rsidR="00452FEE">
        <w:t xml:space="preserve"> 1.2</w:t>
      </w:r>
      <w:r w:rsidRPr="0098262F">
        <w:t>, p</w:t>
      </w:r>
      <w:r w:rsidR="00452FEE">
        <w:t>28</w:t>
      </w:r>
      <w:r w:rsidRPr="0098262F">
        <w:t xml:space="preserve"> of the submission</w:t>
      </w:r>
      <w:r w:rsidR="00452FEE">
        <w:t>.</w:t>
      </w:r>
    </w:p>
    <w:p w14:paraId="7E22BEAF" w14:textId="595C18AC" w:rsidR="00227F20" w:rsidRPr="0098262F" w:rsidRDefault="002714F0" w:rsidP="004A6040">
      <w:pPr>
        <w:pStyle w:val="FooterTableFigure"/>
        <w:rPr>
          <w:sz w:val="20"/>
        </w:rPr>
      </w:pPr>
      <w:r>
        <w:t>BSC</w:t>
      </w:r>
      <w:r w:rsidR="00B45B93">
        <w:t xml:space="preserve"> = </w:t>
      </w:r>
      <w:r>
        <w:t xml:space="preserve">best supportive care; </w:t>
      </w:r>
      <w:r w:rsidR="00F25C15">
        <w:t>CFTR</w:t>
      </w:r>
      <w:r w:rsidR="00B45B93">
        <w:t xml:space="preserve"> = </w:t>
      </w:r>
      <w:r w:rsidR="00F25C15" w:rsidRPr="00560C5A">
        <w:rPr>
          <w:lang w:val="en-GB"/>
        </w:rPr>
        <w:t>cystic fibrosis</w:t>
      </w:r>
      <w:r w:rsidR="00F25C15">
        <w:rPr>
          <w:lang w:val="en-GB"/>
        </w:rPr>
        <w:t xml:space="preserve"> </w:t>
      </w:r>
      <w:r w:rsidR="00F25C15" w:rsidRPr="00560C5A">
        <w:rPr>
          <w:lang w:val="en-GB"/>
        </w:rPr>
        <w:t>transmembrane conductance regulator</w:t>
      </w:r>
      <w:r w:rsidR="00F25C15">
        <w:t xml:space="preserve">; </w:t>
      </w:r>
      <w:r w:rsidR="00227F20">
        <w:t>ELX</w:t>
      </w:r>
      <w:r w:rsidR="00B45B93">
        <w:t xml:space="preserve"> = </w:t>
      </w:r>
      <w:r>
        <w:t>elexacaftor; IVA</w:t>
      </w:r>
      <w:r w:rsidR="00486226">
        <w:t xml:space="preserve">, </w:t>
      </w:r>
      <w:r>
        <w:t>ivacaftor; TEZ</w:t>
      </w:r>
      <w:r w:rsidR="00B45B93">
        <w:t xml:space="preserve"> = </w:t>
      </w:r>
      <w:r>
        <w:t>tezacaftor</w:t>
      </w:r>
    </w:p>
    <w:p w14:paraId="6B4AB6C2" w14:textId="7F01D731" w:rsidR="005C25FF" w:rsidRPr="0098262F" w:rsidRDefault="005C25FF" w:rsidP="004A6040">
      <w:pPr>
        <w:pStyle w:val="2-SectionHeading"/>
      </w:pPr>
      <w:bookmarkStart w:id="9" w:name="_Toc188437175"/>
      <w:r w:rsidRPr="0098262F">
        <w:t>Background</w:t>
      </w:r>
      <w:bookmarkEnd w:id="9"/>
    </w:p>
    <w:p w14:paraId="2C521D6D" w14:textId="78CF03EE" w:rsidR="005C25FF" w:rsidRPr="0098262F" w:rsidRDefault="005C25FF" w:rsidP="004A6040">
      <w:pPr>
        <w:pStyle w:val="4-SubsectionHeading"/>
      </w:pPr>
      <w:bookmarkStart w:id="10" w:name="_Toc22897638"/>
      <w:bookmarkStart w:id="11" w:name="_Toc188437176"/>
      <w:r w:rsidRPr="0098262F">
        <w:t>Registration status</w:t>
      </w:r>
      <w:bookmarkEnd w:id="10"/>
      <w:bookmarkEnd w:id="11"/>
    </w:p>
    <w:p w14:paraId="33EA7093" w14:textId="3B9873AA" w:rsidR="00E96706" w:rsidRDefault="00FC3286" w:rsidP="00E96706">
      <w:pPr>
        <w:pStyle w:val="3-BodyText"/>
        <w:rPr>
          <w:lang w:val="en-GB"/>
        </w:rPr>
      </w:pPr>
      <w:r w:rsidRPr="00B4360C">
        <w:rPr>
          <w:rFonts w:ascii="Calibri" w:eastAsia="Calibri" w:hAnsi="Calibri"/>
          <w:b/>
          <w:i/>
          <w:iCs/>
        </w:rPr>
        <w:t xml:space="preserve">TGA status at time of </w:t>
      </w:r>
      <w:r w:rsidR="00D03D08">
        <w:rPr>
          <w:rFonts w:ascii="Calibri" w:eastAsia="Calibri" w:hAnsi="Calibri"/>
          <w:b/>
          <w:i/>
          <w:iCs/>
        </w:rPr>
        <w:t>PBAC consideration</w:t>
      </w:r>
      <w:r w:rsidRPr="00F3267F">
        <w:rPr>
          <w:rFonts w:ascii="Calibri" w:eastAsia="Calibri" w:hAnsi="Calibri"/>
          <w:i/>
          <w:iCs/>
        </w:rPr>
        <w:t xml:space="preserve">: </w:t>
      </w:r>
      <w:r w:rsidR="00B4360C" w:rsidRPr="00F3267F">
        <w:rPr>
          <w:rFonts w:ascii="Calibri" w:eastAsia="Calibri" w:hAnsi="Calibri"/>
        </w:rPr>
        <w:t>not registered</w:t>
      </w:r>
      <w:r w:rsidRPr="00F3267F">
        <w:t>.</w:t>
      </w:r>
      <w:r>
        <w:t xml:space="preserve"> </w:t>
      </w:r>
      <w:r w:rsidR="001B4EEB">
        <w:t>Th</w:t>
      </w:r>
      <w:r w:rsidR="00B079D7">
        <w:t>e</w:t>
      </w:r>
      <w:r w:rsidR="001B4EEB">
        <w:t xml:space="preserve"> submission to the PBAC was </w:t>
      </w:r>
      <w:r w:rsidR="001B4EEB" w:rsidRPr="0098262F">
        <w:t>made under the TGA/PBAC Parallel Process</w:t>
      </w:r>
      <w:r w:rsidR="001B4EEB">
        <w:t xml:space="preserve">.  </w:t>
      </w:r>
      <w:r w:rsidR="005C25FF" w:rsidRPr="0098262F">
        <w:t xml:space="preserve">At the time </w:t>
      </w:r>
      <w:r w:rsidR="00F3267F">
        <w:t xml:space="preserve">of </w:t>
      </w:r>
      <w:r w:rsidR="005C25FF" w:rsidRPr="0098262F">
        <w:t xml:space="preserve">PBAC consideration, </w:t>
      </w:r>
      <w:r w:rsidR="00120AEA">
        <w:t>t</w:t>
      </w:r>
      <w:r w:rsidR="001B4EEB">
        <w:t xml:space="preserve">he </w:t>
      </w:r>
      <w:r w:rsidR="00120AEA">
        <w:t>first</w:t>
      </w:r>
      <w:r w:rsidR="00BB2C9E">
        <w:t>-</w:t>
      </w:r>
      <w:r w:rsidR="00120AEA">
        <w:t xml:space="preserve">round </w:t>
      </w:r>
      <w:r w:rsidR="001B4EEB">
        <w:t>clinical evaluation report</w:t>
      </w:r>
      <w:r w:rsidR="00F3267F">
        <w:t>,</w:t>
      </w:r>
      <w:r w:rsidR="00064B3C">
        <w:t xml:space="preserve"> the TGA Delegate’s Overview </w:t>
      </w:r>
      <w:r w:rsidR="00F3267F">
        <w:t xml:space="preserve">and the </w:t>
      </w:r>
      <w:r w:rsidR="004F0D58">
        <w:t>Advisory Committee on Medicines (</w:t>
      </w:r>
      <w:r w:rsidR="00F3267F">
        <w:t>ACM</w:t>
      </w:r>
      <w:r w:rsidR="004F0D58">
        <w:t>)</w:t>
      </w:r>
      <w:r w:rsidR="00F3267F">
        <w:t xml:space="preserve"> minutes </w:t>
      </w:r>
      <w:r w:rsidR="00120AEA">
        <w:t>w</w:t>
      </w:r>
      <w:r w:rsidR="00F3267F">
        <w:t xml:space="preserve">ere </w:t>
      </w:r>
      <w:r w:rsidR="00120AEA">
        <w:t>available</w:t>
      </w:r>
      <w:r w:rsidR="006A43CF">
        <w:t xml:space="preserve">. </w:t>
      </w:r>
      <w:r w:rsidR="009533C5">
        <w:t xml:space="preserve">The TGA Delegate was inclined to approve the extension of indications </w:t>
      </w:r>
      <w:r w:rsidR="00E96706">
        <w:rPr>
          <w:lang w:val="en-GB"/>
        </w:rPr>
        <w:t xml:space="preserve">“…for the treatment of cystic fibrosis (CF) in patients aged 2 years </w:t>
      </w:r>
      <w:r w:rsidR="00E96706" w:rsidRPr="00560C5A">
        <w:rPr>
          <w:lang w:val="en-GB"/>
        </w:rPr>
        <w:t>and older who have at least one F508del mutation in the cystic fibrosis</w:t>
      </w:r>
      <w:r w:rsidR="00E96706">
        <w:rPr>
          <w:lang w:val="en-GB"/>
        </w:rPr>
        <w:t xml:space="preserve"> </w:t>
      </w:r>
      <w:r w:rsidR="00E96706" w:rsidRPr="00560C5A">
        <w:rPr>
          <w:lang w:val="en-GB"/>
        </w:rPr>
        <w:t xml:space="preserve">transmembrane conductance regulator (CFTR) gene </w:t>
      </w:r>
      <w:r w:rsidR="00E96706" w:rsidRPr="00560C5A">
        <w:rPr>
          <w:u w:val="single"/>
          <w:lang w:val="en-GB"/>
        </w:rPr>
        <w:t xml:space="preserve">or a mutation in the CFTR gene </w:t>
      </w:r>
      <w:r w:rsidR="00E96706" w:rsidRPr="00560C5A">
        <w:rPr>
          <w:u w:val="single"/>
        </w:rPr>
        <w:t>that is responsive based on clinical and/or in vitro data</w:t>
      </w:r>
      <w:r w:rsidR="00E96706">
        <w:t>.” (New addition underlined.)</w:t>
      </w:r>
      <w:r w:rsidR="00E96706">
        <w:rPr>
          <w:lang w:val="en-GB"/>
        </w:rPr>
        <w:t xml:space="preserve"> </w:t>
      </w:r>
    </w:p>
    <w:p w14:paraId="3FA63AF7" w14:textId="21ACC5E2" w:rsidR="00F3267F" w:rsidRDefault="009533C5" w:rsidP="00FE409B">
      <w:pPr>
        <w:pStyle w:val="3-BodyText"/>
        <w:rPr>
          <w:lang w:val="en-GB"/>
        </w:rPr>
      </w:pPr>
      <w:bookmarkStart w:id="12" w:name="_Ref194575465"/>
      <w:r>
        <w:rPr>
          <w:lang w:val="en-GB"/>
        </w:rPr>
        <w:t xml:space="preserve">The </w:t>
      </w:r>
      <w:r w:rsidR="007E61CB">
        <w:rPr>
          <w:lang w:val="en-GB"/>
        </w:rPr>
        <w:t xml:space="preserve">ACM </w:t>
      </w:r>
      <w:r w:rsidR="00282AF8">
        <w:rPr>
          <w:lang w:val="en-GB"/>
        </w:rPr>
        <w:t>considered ELX/TEZ/IVA to have an overall positive benefit-risk profile for the indication “</w:t>
      </w:r>
      <w:r w:rsidR="00FE409B" w:rsidRPr="00FE409B">
        <w:rPr>
          <w:lang w:val="en-GB"/>
        </w:rPr>
        <w:t xml:space="preserve">For the treatment of those who meet the diagnostic criteria of cystic </w:t>
      </w:r>
      <w:r w:rsidR="00FE409B" w:rsidRPr="00FE409B">
        <w:rPr>
          <w:lang w:val="en-GB"/>
        </w:rPr>
        <w:lastRenderedPageBreak/>
        <w:t>fibrosis (CF) in patients</w:t>
      </w:r>
      <w:r w:rsidR="00FE409B">
        <w:rPr>
          <w:lang w:val="en-GB"/>
        </w:rPr>
        <w:t xml:space="preserve"> </w:t>
      </w:r>
      <w:r w:rsidR="00FE409B" w:rsidRPr="00FE409B">
        <w:rPr>
          <w:lang w:val="en-GB"/>
        </w:rPr>
        <w:t>aged 2 years and older who have at least one mutation in the cystic fibrosis transmembrane</w:t>
      </w:r>
      <w:r w:rsidR="00FE409B">
        <w:rPr>
          <w:lang w:val="en-GB"/>
        </w:rPr>
        <w:t xml:space="preserve"> </w:t>
      </w:r>
      <w:r w:rsidR="00FE409B" w:rsidRPr="00FE409B">
        <w:rPr>
          <w:lang w:val="en-GB"/>
        </w:rPr>
        <w:t>conductance regulator (CFTR) gene that is responsive, based on clinical study or in vitro</w:t>
      </w:r>
      <w:r w:rsidR="00FE409B">
        <w:rPr>
          <w:lang w:val="en-GB"/>
        </w:rPr>
        <w:t xml:space="preserve"> </w:t>
      </w:r>
      <w:r w:rsidR="00FE409B" w:rsidRPr="00FE409B">
        <w:rPr>
          <w:lang w:val="en-GB"/>
        </w:rPr>
        <w:t>evidence</w:t>
      </w:r>
      <w:r w:rsidR="00FE409B">
        <w:rPr>
          <w:lang w:val="en-GB"/>
        </w:rPr>
        <w:t>”</w:t>
      </w:r>
      <w:r w:rsidR="00FE409B" w:rsidRPr="00FE409B">
        <w:rPr>
          <w:lang w:val="en-GB"/>
        </w:rPr>
        <w:t>.</w:t>
      </w:r>
      <w:r w:rsidR="0072358D">
        <w:rPr>
          <w:lang w:val="en-GB"/>
        </w:rPr>
        <w:t xml:space="preserve"> </w:t>
      </w:r>
      <w:r w:rsidR="0072358D" w:rsidRPr="0072358D">
        <w:rPr>
          <w:lang w:val="en-GB"/>
        </w:rPr>
        <w:t>The ACM supported the extension of indication without a restrictive list of specific variants.</w:t>
      </w:r>
      <w:bookmarkEnd w:id="12"/>
      <w:r w:rsidR="001F1419">
        <w:rPr>
          <w:lang w:val="en-GB"/>
        </w:rPr>
        <w:t xml:space="preserve"> </w:t>
      </w:r>
      <w:r w:rsidR="00F05907">
        <w:rPr>
          <w:lang w:val="en-GB"/>
        </w:rPr>
        <w:t xml:space="preserve"> </w:t>
      </w:r>
    </w:p>
    <w:p w14:paraId="265271AA" w14:textId="20C734AF" w:rsidR="009E2C52" w:rsidRPr="00FE409B" w:rsidRDefault="009E2C52" w:rsidP="00FE409B">
      <w:pPr>
        <w:pStyle w:val="3-BodyText"/>
        <w:rPr>
          <w:lang w:val="en-GB"/>
        </w:rPr>
      </w:pPr>
      <w:bookmarkStart w:id="13" w:name="_Ref194575470"/>
      <w:r>
        <w:rPr>
          <w:lang w:val="en-GB"/>
        </w:rPr>
        <w:t xml:space="preserve">The pre-PBAC response </w:t>
      </w:r>
      <w:r w:rsidR="003F32BD">
        <w:rPr>
          <w:lang w:val="en-GB"/>
        </w:rPr>
        <w:t xml:space="preserve">noted the ACM supported the extension of </w:t>
      </w:r>
      <w:r w:rsidR="00DF4ED7">
        <w:rPr>
          <w:lang w:val="en-GB"/>
        </w:rPr>
        <w:t xml:space="preserve">the </w:t>
      </w:r>
      <w:r w:rsidR="003F32BD">
        <w:rPr>
          <w:lang w:val="en-GB"/>
        </w:rPr>
        <w:t xml:space="preserve">ELZ/TEZ/IVA </w:t>
      </w:r>
      <w:r w:rsidR="00DF4ED7">
        <w:rPr>
          <w:lang w:val="en-GB"/>
        </w:rPr>
        <w:t xml:space="preserve">indication </w:t>
      </w:r>
      <w:r w:rsidR="003F32BD">
        <w:rPr>
          <w:lang w:val="en-GB"/>
        </w:rPr>
        <w:t xml:space="preserve">without a restrictive list of specific CFTR variants and </w:t>
      </w:r>
      <w:r>
        <w:rPr>
          <w:lang w:val="en-GB"/>
        </w:rPr>
        <w:t xml:space="preserve">requested the </w:t>
      </w:r>
      <w:r w:rsidR="009833F7">
        <w:rPr>
          <w:lang w:val="en-GB"/>
        </w:rPr>
        <w:t xml:space="preserve">PBS </w:t>
      </w:r>
      <w:r>
        <w:rPr>
          <w:lang w:val="en-GB"/>
        </w:rPr>
        <w:t xml:space="preserve">listing for ELX/TEZ/IVA be aligned with the TGA approval to </w:t>
      </w:r>
      <w:r w:rsidR="007A0BD1">
        <w:rPr>
          <w:lang w:val="en-GB"/>
        </w:rPr>
        <w:t xml:space="preserve">ensure </w:t>
      </w:r>
      <w:r w:rsidR="00786B02">
        <w:rPr>
          <w:lang w:val="en-GB"/>
        </w:rPr>
        <w:t>equitable and timely access for all patients who could benefit from treatment.</w:t>
      </w:r>
      <w:bookmarkEnd w:id="13"/>
      <w:r w:rsidR="00786B02">
        <w:rPr>
          <w:lang w:val="en-GB"/>
        </w:rPr>
        <w:t xml:space="preserve"> </w:t>
      </w:r>
    </w:p>
    <w:p w14:paraId="3E2A6EAB" w14:textId="1D7CFC32" w:rsidR="005C25FF" w:rsidRPr="00F949EE" w:rsidRDefault="005C25FF" w:rsidP="00F949EE">
      <w:pPr>
        <w:pStyle w:val="4-SubsectionHeading"/>
        <w:rPr>
          <w:lang w:val="en-GB"/>
        </w:rPr>
      </w:pPr>
      <w:bookmarkStart w:id="14" w:name="_Toc22897639"/>
      <w:bookmarkStart w:id="15" w:name="_Toc188437177"/>
      <w:r w:rsidRPr="0098262F">
        <w:t>Previous PBAC consideration</w:t>
      </w:r>
      <w:bookmarkEnd w:id="14"/>
      <w:bookmarkEnd w:id="15"/>
    </w:p>
    <w:p w14:paraId="27105E2F" w14:textId="270D32A2" w:rsidR="00ED4B04" w:rsidRDefault="00763C8F" w:rsidP="002E4F02">
      <w:pPr>
        <w:pStyle w:val="3-BodyText"/>
      </w:pPr>
      <w:r>
        <w:t>A summary of the current PBS populations for CFTR modulators is</w:t>
      </w:r>
      <w:r w:rsidR="00067939">
        <w:t xml:space="preserve"> summarised in </w:t>
      </w:r>
      <w:r w:rsidR="00067939">
        <w:fldChar w:fldCharType="begin"/>
      </w:r>
      <w:r w:rsidR="00067939">
        <w:instrText xml:space="preserve"> REF _Ref183597635 \h </w:instrText>
      </w:r>
      <w:r w:rsidR="00067939">
        <w:fldChar w:fldCharType="separate"/>
      </w:r>
      <w:r w:rsidR="00343156">
        <w:t xml:space="preserve">Table </w:t>
      </w:r>
      <w:r w:rsidR="00343156">
        <w:rPr>
          <w:noProof/>
        </w:rPr>
        <w:t>2</w:t>
      </w:r>
      <w:r w:rsidR="00067939">
        <w:fldChar w:fldCharType="end"/>
      </w:r>
      <w:r w:rsidR="00067939">
        <w:t>.</w:t>
      </w:r>
    </w:p>
    <w:p w14:paraId="0454F775" w14:textId="7142F800" w:rsidR="00A20C96" w:rsidRPr="00547CE7" w:rsidRDefault="00067939" w:rsidP="002A3E17">
      <w:pPr>
        <w:pStyle w:val="TableFigureHeading"/>
        <w:keepLines/>
      </w:pPr>
      <w:bookmarkStart w:id="16" w:name="_Ref183597635"/>
      <w:r>
        <w:t xml:space="preserve">Table </w:t>
      </w:r>
      <w:r w:rsidR="00345E49">
        <w:fldChar w:fldCharType="begin"/>
      </w:r>
      <w:r w:rsidR="00345E49">
        <w:instrText xml:space="preserve"> SEQ Table \* ARABIC </w:instrText>
      </w:r>
      <w:r w:rsidR="00345E49">
        <w:fldChar w:fldCharType="separate"/>
      </w:r>
      <w:r w:rsidR="00343156">
        <w:rPr>
          <w:noProof/>
        </w:rPr>
        <w:t>2</w:t>
      </w:r>
      <w:r w:rsidR="00345E49">
        <w:rPr>
          <w:noProof/>
        </w:rPr>
        <w:fldChar w:fldCharType="end"/>
      </w:r>
      <w:bookmarkEnd w:id="16"/>
      <w:r>
        <w:t xml:space="preserve"> </w:t>
      </w:r>
      <w:r w:rsidR="00DE1823">
        <w:t xml:space="preserve">Current PBS populations </w:t>
      </w:r>
      <w:r w:rsidR="00A20C96" w:rsidRPr="00547CE7">
        <w:t xml:space="preserve">for CFTR modulators </w:t>
      </w:r>
    </w:p>
    <w:tbl>
      <w:tblPr>
        <w:tblStyle w:val="TableGrid"/>
        <w:tblW w:w="5003" w:type="pct"/>
        <w:tblInd w:w="-5" w:type="dxa"/>
        <w:tblLook w:val="04A0" w:firstRow="1" w:lastRow="0" w:firstColumn="1" w:lastColumn="0" w:noHBand="0" w:noVBand="1"/>
      </w:tblPr>
      <w:tblGrid>
        <w:gridCol w:w="1266"/>
        <w:gridCol w:w="1927"/>
        <w:gridCol w:w="1931"/>
        <w:gridCol w:w="1967"/>
        <w:gridCol w:w="1931"/>
      </w:tblGrid>
      <w:tr w:rsidR="00A20C96" w:rsidRPr="00B9224E" w14:paraId="34121E59" w14:textId="77777777" w:rsidTr="00E057C1">
        <w:trPr>
          <w:trHeight w:val="439"/>
        </w:trPr>
        <w:tc>
          <w:tcPr>
            <w:tcW w:w="701" w:type="pct"/>
            <w:tcBorders>
              <w:top w:val="single" w:sz="4" w:space="0" w:color="auto"/>
              <w:left w:val="single" w:sz="4" w:space="0" w:color="auto"/>
              <w:bottom w:val="single" w:sz="4" w:space="0" w:color="auto"/>
              <w:right w:val="single" w:sz="4" w:space="0" w:color="auto"/>
            </w:tcBorders>
          </w:tcPr>
          <w:p w14:paraId="4AA5EAFE" w14:textId="77777777" w:rsidR="00A20C96" w:rsidRPr="00B9224E" w:rsidRDefault="00A20C96" w:rsidP="002A3E17">
            <w:pPr>
              <w:pStyle w:val="TableText"/>
            </w:pPr>
          </w:p>
        </w:tc>
        <w:tc>
          <w:tcPr>
            <w:tcW w:w="1068" w:type="pct"/>
            <w:tcBorders>
              <w:top w:val="single" w:sz="4" w:space="0" w:color="auto"/>
              <w:left w:val="single" w:sz="4" w:space="0" w:color="auto"/>
              <w:bottom w:val="single" w:sz="4" w:space="0" w:color="auto"/>
              <w:right w:val="single" w:sz="4" w:space="0" w:color="auto"/>
            </w:tcBorders>
            <w:vAlign w:val="center"/>
            <w:hideMark/>
          </w:tcPr>
          <w:p w14:paraId="5A34E18C" w14:textId="77777777" w:rsidR="00A20C96" w:rsidRPr="00763C8F" w:rsidRDefault="00A20C96" w:rsidP="002A3E17">
            <w:pPr>
              <w:pStyle w:val="TableText"/>
              <w:rPr>
                <w:b/>
                <w:bCs w:val="0"/>
              </w:rPr>
            </w:pPr>
            <w:r w:rsidRPr="00763C8F">
              <w:rPr>
                <w:b/>
                <w:bCs w:val="0"/>
              </w:rPr>
              <w:t>Lumacaftor/ ivacaftor</w:t>
            </w:r>
          </w:p>
        </w:tc>
        <w:tc>
          <w:tcPr>
            <w:tcW w:w="1070" w:type="pct"/>
            <w:tcBorders>
              <w:top w:val="single" w:sz="4" w:space="0" w:color="auto"/>
              <w:left w:val="single" w:sz="4" w:space="0" w:color="auto"/>
              <w:bottom w:val="single" w:sz="4" w:space="0" w:color="auto"/>
              <w:right w:val="single" w:sz="4" w:space="0" w:color="auto"/>
            </w:tcBorders>
            <w:vAlign w:val="center"/>
            <w:hideMark/>
          </w:tcPr>
          <w:p w14:paraId="39BD9871" w14:textId="77777777" w:rsidR="00A20C96" w:rsidRPr="00763C8F" w:rsidRDefault="00A20C96" w:rsidP="002A3E17">
            <w:pPr>
              <w:pStyle w:val="TableText"/>
              <w:rPr>
                <w:b/>
                <w:bCs w:val="0"/>
              </w:rPr>
            </w:pPr>
            <w:r w:rsidRPr="00763C8F">
              <w:rPr>
                <w:b/>
                <w:bCs w:val="0"/>
              </w:rPr>
              <w:t>Ivacaftor</w:t>
            </w:r>
          </w:p>
        </w:tc>
        <w:tc>
          <w:tcPr>
            <w:tcW w:w="1090" w:type="pct"/>
            <w:tcBorders>
              <w:top w:val="single" w:sz="4" w:space="0" w:color="auto"/>
              <w:left w:val="single" w:sz="4" w:space="0" w:color="auto"/>
              <w:bottom w:val="single" w:sz="4" w:space="0" w:color="auto"/>
              <w:right w:val="single" w:sz="4" w:space="0" w:color="auto"/>
            </w:tcBorders>
            <w:vAlign w:val="center"/>
            <w:hideMark/>
          </w:tcPr>
          <w:p w14:paraId="398E0610" w14:textId="77777777" w:rsidR="00A20C96" w:rsidRPr="00763C8F" w:rsidRDefault="00A20C96" w:rsidP="002A3E17">
            <w:pPr>
              <w:pStyle w:val="TableText"/>
              <w:rPr>
                <w:b/>
                <w:bCs w:val="0"/>
              </w:rPr>
            </w:pPr>
            <w:r w:rsidRPr="00763C8F">
              <w:rPr>
                <w:b/>
                <w:bCs w:val="0"/>
              </w:rPr>
              <w:t>Elexacaftor/tezacaftor/ ivacaftor</w:t>
            </w:r>
          </w:p>
        </w:tc>
        <w:tc>
          <w:tcPr>
            <w:tcW w:w="1070" w:type="pct"/>
            <w:tcBorders>
              <w:top w:val="single" w:sz="4" w:space="0" w:color="auto"/>
              <w:left w:val="single" w:sz="4" w:space="0" w:color="auto"/>
              <w:bottom w:val="single" w:sz="4" w:space="0" w:color="auto"/>
              <w:right w:val="single" w:sz="4" w:space="0" w:color="auto"/>
            </w:tcBorders>
          </w:tcPr>
          <w:p w14:paraId="188B5394" w14:textId="77777777" w:rsidR="00A20C96" w:rsidRPr="00763C8F" w:rsidRDefault="00A20C96" w:rsidP="002A3E17">
            <w:pPr>
              <w:pStyle w:val="TableText"/>
              <w:rPr>
                <w:b/>
                <w:bCs w:val="0"/>
              </w:rPr>
            </w:pPr>
            <w:r w:rsidRPr="00763C8F">
              <w:rPr>
                <w:b/>
                <w:bCs w:val="0"/>
              </w:rPr>
              <w:t>Tezacaftor/ ivacaftor</w:t>
            </w:r>
          </w:p>
        </w:tc>
      </w:tr>
      <w:tr w:rsidR="00627FB7" w:rsidRPr="00B9224E" w14:paraId="4B0CFBD5" w14:textId="77777777" w:rsidTr="00E057C1">
        <w:trPr>
          <w:trHeight w:val="283"/>
        </w:trPr>
        <w:tc>
          <w:tcPr>
            <w:tcW w:w="701" w:type="pct"/>
            <w:tcBorders>
              <w:top w:val="single" w:sz="4" w:space="0" w:color="auto"/>
              <w:left w:val="single" w:sz="4" w:space="0" w:color="auto"/>
              <w:bottom w:val="single" w:sz="4" w:space="0" w:color="auto"/>
              <w:right w:val="single" w:sz="4" w:space="0" w:color="auto"/>
            </w:tcBorders>
          </w:tcPr>
          <w:p w14:paraId="2EA9DB6B" w14:textId="31DEE978" w:rsidR="00627FB7" w:rsidRDefault="00627FB7" w:rsidP="002A3E17">
            <w:pPr>
              <w:pStyle w:val="TableText"/>
            </w:pPr>
            <w:r>
              <w:t>Age</w:t>
            </w:r>
          </w:p>
        </w:tc>
        <w:tc>
          <w:tcPr>
            <w:tcW w:w="1068" w:type="pct"/>
            <w:tcBorders>
              <w:top w:val="single" w:sz="4" w:space="0" w:color="auto"/>
              <w:left w:val="single" w:sz="4" w:space="0" w:color="auto"/>
              <w:bottom w:val="single" w:sz="4" w:space="0" w:color="auto"/>
              <w:right w:val="single" w:sz="4" w:space="0" w:color="auto"/>
            </w:tcBorders>
          </w:tcPr>
          <w:p w14:paraId="45535FF4" w14:textId="73F95944" w:rsidR="00627FB7" w:rsidRPr="00B9224E" w:rsidRDefault="00627FB7" w:rsidP="002A3E17">
            <w:pPr>
              <w:pStyle w:val="TableText"/>
            </w:pPr>
            <w:r>
              <w:t>Over 1 year of age</w:t>
            </w:r>
          </w:p>
        </w:tc>
        <w:tc>
          <w:tcPr>
            <w:tcW w:w="1070" w:type="pct"/>
            <w:tcBorders>
              <w:top w:val="single" w:sz="4" w:space="0" w:color="auto"/>
              <w:left w:val="single" w:sz="4" w:space="0" w:color="auto"/>
              <w:bottom w:val="single" w:sz="4" w:space="0" w:color="auto"/>
              <w:right w:val="single" w:sz="4" w:space="0" w:color="auto"/>
            </w:tcBorders>
          </w:tcPr>
          <w:p w14:paraId="7A8DBA44" w14:textId="45156C85" w:rsidR="00627FB7" w:rsidRDefault="00627FB7" w:rsidP="002A3E17">
            <w:pPr>
              <w:pStyle w:val="TableText"/>
            </w:pPr>
            <w:r>
              <w:t>Over 4 months of age</w:t>
            </w:r>
            <w:r w:rsidR="00EC30B1" w:rsidRPr="00EC30B1">
              <w:rPr>
                <w:vertAlign w:val="superscript"/>
              </w:rPr>
              <w:t>1</w:t>
            </w:r>
          </w:p>
          <w:p w14:paraId="2A94E371" w14:textId="77777777" w:rsidR="00627FB7" w:rsidRPr="00B9224E" w:rsidRDefault="00627FB7" w:rsidP="002A3E17">
            <w:pPr>
              <w:pStyle w:val="TableText"/>
            </w:pPr>
          </w:p>
        </w:tc>
        <w:tc>
          <w:tcPr>
            <w:tcW w:w="1090" w:type="pct"/>
            <w:tcBorders>
              <w:top w:val="single" w:sz="4" w:space="0" w:color="auto"/>
              <w:left w:val="single" w:sz="4" w:space="0" w:color="auto"/>
              <w:bottom w:val="single" w:sz="4" w:space="0" w:color="auto"/>
              <w:right w:val="single" w:sz="4" w:space="0" w:color="auto"/>
            </w:tcBorders>
          </w:tcPr>
          <w:p w14:paraId="2CE62AB0" w14:textId="3E0AE8EA" w:rsidR="00627FB7" w:rsidRPr="00B9224E" w:rsidRDefault="00627FB7" w:rsidP="002A3E17">
            <w:pPr>
              <w:pStyle w:val="TableText"/>
            </w:pPr>
            <w:r>
              <w:t>Over 2 years of age</w:t>
            </w:r>
          </w:p>
        </w:tc>
        <w:tc>
          <w:tcPr>
            <w:tcW w:w="1070" w:type="pct"/>
            <w:tcBorders>
              <w:top w:val="single" w:sz="4" w:space="0" w:color="auto"/>
              <w:left w:val="single" w:sz="4" w:space="0" w:color="auto"/>
              <w:bottom w:val="single" w:sz="4" w:space="0" w:color="auto"/>
              <w:right w:val="single" w:sz="4" w:space="0" w:color="auto"/>
            </w:tcBorders>
          </w:tcPr>
          <w:p w14:paraId="1500641A" w14:textId="1D886488" w:rsidR="00627FB7" w:rsidRPr="00B9224E" w:rsidRDefault="00627FB7" w:rsidP="002A3E17">
            <w:pPr>
              <w:pStyle w:val="TableText"/>
            </w:pPr>
            <w:r>
              <w:t>Over 12 years of age</w:t>
            </w:r>
            <w:r w:rsidR="00995DE6" w:rsidRPr="00995DE6">
              <w:rPr>
                <w:vertAlign w:val="superscript"/>
              </w:rPr>
              <w:t>2</w:t>
            </w:r>
          </w:p>
        </w:tc>
      </w:tr>
      <w:tr w:rsidR="00A20C96" w:rsidRPr="00B9224E" w14:paraId="2D9BDAC6" w14:textId="77777777" w:rsidTr="00E057C1">
        <w:trPr>
          <w:trHeight w:val="283"/>
        </w:trPr>
        <w:tc>
          <w:tcPr>
            <w:tcW w:w="701" w:type="pct"/>
            <w:tcBorders>
              <w:top w:val="single" w:sz="4" w:space="0" w:color="auto"/>
              <w:left w:val="single" w:sz="4" w:space="0" w:color="auto"/>
              <w:bottom w:val="single" w:sz="4" w:space="0" w:color="auto"/>
              <w:right w:val="single" w:sz="4" w:space="0" w:color="auto"/>
            </w:tcBorders>
          </w:tcPr>
          <w:p w14:paraId="3622FE0C" w14:textId="745E3163" w:rsidR="00A20C96" w:rsidRPr="00B9224E" w:rsidRDefault="00E057C1" w:rsidP="002A3E17">
            <w:pPr>
              <w:pStyle w:val="TableText"/>
            </w:pPr>
            <w:r>
              <w:t xml:space="preserve">Current </w:t>
            </w:r>
            <w:r w:rsidR="00A20C96" w:rsidRPr="00B9224E">
              <w:t>PBS</w:t>
            </w:r>
            <w:r w:rsidR="00627FB7">
              <w:t xml:space="preserve"> population</w:t>
            </w:r>
          </w:p>
        </w:tc>
        <w:tc>
          <w:tcPr>
            <w:tcW w:w="1068" w:type="pct"/>
            <w:tcBorders>
              <w:top w:val="single" w:sz="4" w:space="0" w:color="auto"/>
              <w:left w:val="single" w:sz="4" w:space="0" w:color="auto"/>
              <w:bottom w:val="single" w:sz="4" w:space="0" w:color="auto"/>
              <w:right w:val="single" w:sz="4" w:space="0" w:color="auto"/>
            </w:tcBorders>
          </w:tcPr>
          <w:p w14:paraId="5F051764" w14:textId="5FF5EC24" w:rsidR="00A20C96" w:rsidRDefault="00C80512" w:rsidP="002A3E17">
            <w:pPr>
              <w:pStyle w:val="TableText"/>
            </w:pPr>
            <w:r>
              <w:t>Homozygous for the F508del mutation (</w:t>
            </w:r>
            <w:r w:rsidR="00A20C96" w:rsidRPr="00B9224E">
              <w:t>F/F</w:t>
            </w:r>
            <w:r>
              <w:t xml:space="preserve"> population)</w:t>
            </w:r>
          </w:p>
          <w:p w14:paraId="6C017E96" w14:textId="77777777" w:rsidR="00106554" w:rsidRDefault="00106554" w:rsidP="002A3E17">
            <w:pPr>
              <w:pStyle w:val="TableText"/>
            </w:pPr>
          </w:p>
          <w:p w14:paraId="7778D14C" w14:textId="4EECF82B" w:rsidR="00106554" w:rsidRPr="00B9224E" w:rsidRDefault="00106554" w:rsidP="002A3E17">
            <w:pPr>
              <w:pStyle w:val="TableText"/>
            </w:pPr>
          </w:p>
        </w:tc>
        <w:tc>
          <w:tcPr>
            <w:tcW w:w="1070" w:type="pct"/>
            <w:tcBorders>
              <w:top w:val="single" w:sz="4" w:space="0" w:color="auto"/>
              <w:left w:val="single" w:sz="4" w:space="0" w:color="auto"/>
              <w:bottom w:val="single" w:sz="4" w:space="0" w:color="auto"/>
              <w:right w:val="single" w:sz="4" w:space="0" w:color="auto"/>
            </w:tcBorders>
          </w:tcPr>
          <w:p w14:paraId="710240A0" w14:textId="77777777" w:rsidR="00A20C96" w:rsidRPr="00B9224E" w:rsidRDefault="00A20C96" w:rsidP="002A3E17">
            <w:pPr>
              <w:pStyle w:val="TableText"/>
            </w:pPr>
            <w:r w:rsidRPr="00B9224E">
              <w:t xml:space="preserve">At least one G551D mutation or </w:t>
            </w:r>
          </w:p>
          <w:p w14:paraId="02D861E7" w14:textId="77777777" w:rsidR="00A20C96" w:rsidRDefault="00A20C96" w:rsidP="002A3E17">
            <w:pPr>
              <w:pStyle w:val="TableText"/>
            </w:pPr>
            <w:r w:rsidRPr="00B9224E">
              <w:t>at least one Class III mutation</w:t>
            </w:r>
            <w:r w:rsidR="006F018B">
              <w:t xml:space="preserve"> or </w:t>
            </w:r>
            <w:r w:rsidR="00161C6C">
              <w:t xml:space="preserve">at least one mutation that is responsive to ivacaftor based on clinical and/or in vitro assay data. </w:t>
            </w:r>
          </w:p>
          <w:p w14:paraId="7E76293D" w14:textId="7FF8EDA4" w:rsidR="00627FB7" w:rsidRPr="00B9224E" w:rsidRDefault="00627FB7" w:rsidP="002A3E17">
            <w:pPr>
              <w:pStyle w:val="TableText"/>
            </w:pPr>
          </w:p>
        </w:tc>
        <w:tc>
          <w:tcPr>
            <w:tcW w:w="1090" w:type="pct"/>
            <w:tcBorders>
              <w:top w:val="single" w:sz="4" w:space="0" w:color="auto"/>
              <w:left w:val="single" w:sz="4" w:space="0" w:color="auto"/>
              <w:bottom w:val="single" w:sz="4" w:space="0" w:color="auto"/>
              <w:right w:val="single" w:sz="4" w:space="0" w:color="auto"/>
            </w:tcBorders>
          </w:tcPr>
          <w:p w14:paraId="3CB29F8C" w14:textId="0ECAB756" w:rsidR="00A20C96" w:rsidRDefault="00C80512" w:rsidP="002A3E17">
            <w:pPr>
              <w:pStyle w:val="TableText"/>
            </w:pPr>
            <w:r>
              <w:t>Heterozygous for the F508del mutation (</w:t>
            </w:r>
            <w:r w:rsidR="00A20C96" w:rsidRPr="00B9224E">
              <w:t>F/any</w:t>
            </w:r>
            <w:r>
              <w:t xml:space="preserve"> population)</w:t>
            </w:r>
          </w:p>
          <w:p w14:paraId="3F635B43" w14:textId="77777777" w:rsidR="00627FB7" w:rsidRDefault="00627FB7" w:rsidP="002A3E17">
            <w:pPr>
              <w:pStyle w:val="TableText"/>
            </w:pPr>
          </w:p>
          <w:p w14:paraId="2CC304A4" w14:textId="77777777" w:rsidR="00627FB7" w:rsidRDefault="00627FB7" w:rsidP="002A3E17">
            <w:pPr>
              <w:pStyle w:val="TableText"/>
            </w:pPr>
          </w:p>
          <w:p w14:paraId="161917C0" w14:textId="470C4DA1" w:rsidR="00627FB7" w:rsidRPr="00B9224E" w:rsidRDefault="00627FB7" w:rsidP="002A3E17">
            <w:pPr>
              <w:pStyle w:val="TableText"/>
            </w:pPr>
          </w:p>
        </w:tc>
        <w:tc>
          <w:tcPr>
            <w:tcW w:w="1070" w:type="pct"/>
            <w:tcBorders>
              <w:top w:val="single" w:sz="4" w:space="0" w:color="auto"/>
              <w:left w:val="single" w:sz="4" w:space="0" w:color="auto"/>
              <w:bottom w:val="single" w:sz="4" w:space="0" w:color="auto"/>
              <w:right w:val="single" w:sz="4" w:space="0" w:color="auto"/>
            </w:tcBorders>
          </w:tcPr>
          <w:p w14:paraId="77F87BF5" w14:textId="226C1823" w:rsidR="00A20C96" w:rsidRDefault="00C80512" w:rsidP="002A3E17">
            <w:pPr>
              <w:pStyle w:val="TableText"/>
            </w:pPr>
            <w:r>
              <w:t>Homozygous for the F508del mutation (</w:t>
            </w:r>
            <w:r w:rsidR="00A20C96" w:rsidRPr="00B9224E">
              <w:t>F/F</w:t>
            </w:r>
            <w:r>
              <w:t xml:space="preserve"> population)</w:t>
            </w:r>
            <w:r w:rsidR="00A20C96" w:rsidRPr="00B9224E">
              <w:t xml:space="preserve"> or at least one RF mutation</w:t>
            </w:r>
          </w:p>
          <w:p w14:paraId="67395082" w14:textId="77777777" w:rsidR="00627FB7" w:rsidRDefault="00627FB7" w:rsidP="002A3E17">
            <w:pPr>
              <w:pStyle w:val="TableText"/>
            </w:pPr>
          </w:p>
          <w:p w14:paraId="5BB0EDB3" w14:textId="4B897C17" w:rsidR="00627FB7" w:rsidRPr="00B9224E" w:rsidRDefault="00627FB7" w:rsidP="002A3E17">
            <w:pPr>
              <w:pStyle w:val="TableText"/>
            </w:pPr>
          </w:p>
        </w:tc>
      </w:tr>
    </w:tbl>
    <w:p w14:paraId="63FBC3CB" w14:textId="012C469E" w:rsidR="00A20C96" w:rsidRPr="00547CE7" w:rsidRDefault="00A20C96" w:rsidP="002A3E17">
      <w:pPr>
        <w:pStyle w:val="FooterTableFigure"/>
        <w:keepNext/>
        <w:keepLines/>
      </w:pPr>
      <w:r w:rsidRPr="00547CE7">
        <w:t xml:space="preserve">CF = cystic fibrosis; CFTR = cystic fibrosis transmembrane regulator; </w:t>
      </w:r>
      <w:r w:rsidR="000E2782">
        <w:t xml:space="preserve">F = F508del mutation; </w:t>
      </w:r>
      <w:r w:rsidRPr="00547CE7">
        <w:t>PBAC = pharmaceutical benefits advisory committee</w:t>
      </w:r>
      <w:r w:rsidR="00B45B93">
        <w:t>; RF = residual function</w:t>
      </w:r>
      <w:r w:rsidRPr="00547CE7">
        <w:t xml:space="preserve">. </w:t>
      </w:r>
    </w:p>
    <w:p w14:paraId="36CE494D" w14:textId="7F5FFB07" w:rsidR="00E8675A" w:rsidRDefault="00E8675A" w:rsidP="002A3E17">
      <w:pPr>
        <w:pStyle w:val="FooterTableFigure"/>
        <w:keepNext/>
        <w:keepLines/>
        <w:numPr>
          <w:ilvl w:val="0"/>
          <w:numId w:val="8"/>
        </w:numPr>
      </w:pPr>
      <w:r>
        <w:t xml:space="preserve">Listing for patients over one month of age </w:t>
      </w:r>
      <w:r w:rsidR="00BE4931">
        <w:t xml:space="preserve">was </w:t>
      </w:r>
      <w:r>
        <w:t xml:space="preserve">considered </w:t>
      </w:r>
      <w:r w:rsidR="00BE4931">
        <w:t xml:space="preserve">at </w:t>
      </w:r>
      <w:r>
        <w:t>the March 2025 PBAC meeting</w:t>
      </w:r>
    </w:p>
    <w:p w14:paraId="7FD0F42B" w14:textId="4F5AEE35" w:rsidR="00995DE6" w:rsidRPr="00AD216E" w:rsidRDefault="00995DE6" w:rsidP="002A3E17">
      <w:pPr>
        <w:pStyle w:val="FooterTableFigure"/>
        <w:keepNext/>
        <w:keepLines/>
        <w:numPr>
          <w:ilvl w:val="0"/>
          <w:numId w:val="8"/>
        </w:numPr>
      </w:pPr>
      <w:r>
        <w:t xml:space="preserve">TEZ/IVA is TGA indicated for </w:t>
      </w:r>
      <w:r w:rsidR="00AB34E8">
        <w:t xml:space="preserve">the treatment of patients with CF aged 6 years and older who are homozygous for the F508del mutation or who have at least one mutation in the CFTR gene that is responsive to TEZ/IVA based on </w:t>
      </w:r>
      <w:r w:rsidR="00AB34E8" w:rsidRPr="00AB34E8">
        <w:rPr>
          <w:i/>
          <w:iCs/>
        </w:rPr>
        <w:t>in vitro</w:t>
      </w:r>
      <w:r w:rsidR="00AB34E8">
        <w:t xml:space="preserve"> data and/or clinical evidence.</w:t>
      </w:r>
    </w:p>
    <w:p w14:paraId="76E4EF3C" w14:textId="13040F70" w:rsidR="00B60939" w:rsidRDefault="00B50DB8" w:rsidP="004E18E9">
      <w:pPr>
        <w:pStyle w:val="2-SectionHeading"/>
      </w:pPr>
      <w:bookmarkStart w:id="17" w:name="_Toc107902078"/>
      <w:bookmarkStart w:id="18" w:name="_Toc188437178"/>
      <w:bookmarkEnd w:id="17"/>
      <w:r w:rsidRPr="0098262F">
        <w:t>Requested listing</w:t>
      </w:r>
      <w:bookmarkEnd w:id="18"/>
    </w:p>
    <w:p w14:paraId="1B423B86" w14:textId="515BB593" w:rsidR="003A4C14" w:rsidRDefault="00750284" w:rsidP="00B943CB">
      <w:pPr>
        <w:pStyle w:val="3-BodyText"/>
      </w:pPr>
      <w:r>
        <w:t xml:space="preserve">The submission proposed initial and continuing restrictions for patients 2 to 5 years and those older than 6 years. </w:t>
      </w:r>
      <w:r w:rsidR="00D32C75">
        <w:t xml:space="preserve">The restriction for initial </w:t>
      </w:r>
      <w:r w:rsidR="006056E0">
        <w:t xml:space="preserve">and continuing </w:t>
      </w:r>
      <w:r w:rsidR="00D32C75">
        <w:t>treatment</w:t>
      </w:r>
      <w:r w:rsidR="00604166">
        <w:t xml:space="preserve"> for</w:t>
      </w:r>
      <w:r w:rsidR="00D32C75">
        <w:t xml:space="preserve"> </w:t>
      </w:r>
      <w:r w:rsidR="00604166">
        <w:t xml:space="preserve">patients </w:t>
      </w:r>
      <w:r w:rsidR="006056E0">
        <w:t>older than</w:t>
      </w:r>
      <w:r w:rsidR="00F214B5">
        <w:t xml:space="preserve"> </w:t>
      </w:r>
      <w:r w:rsidR="00AA540E">
        <w:t xml:space="preserve">6 </w:t>
      </w:r>
      <w:r w:rsidR="00F214B5">
        <w:t>year</w:t>
      </w:r>
      <w:r w:rsidR="00AA540E">
        <w:t>s of age</w:t>
      </w:r>
      <w:r w:rsidR="00DE2419">
        <w:t xml:space="preserve"> </w:t>
      </w:r>
      <w:r w:rsidR="00F214B5">
        <w:t>is shown below</w:t>
      </w:r>
      <w:r w:rsidR="007171BC">
        <w:t>.</w:t>
      </w:r>
      <w:r w:rsidR="0037799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418"/>
        <w:gridCol w:w="1559"/>
        <w:gridCol w:w="1237"/>
        <w:gridCol w:w="1831"/>
      </w:tblGrid>
      <w:tr w:rsidR="001F2D5C" w:rsidRPr="0098262F" w14:paraId="73E16E29" w14:textId="77777777" w:rsidTr="001F2D5C">
        <w:trPr>
          <w:cantSplit/>
          <w:trHeight w:val="20"/>
        </w:trPr>
        <w:tc>
          <w:tcPr>
            <w:tcW w:w="2972" w:type="dxa"/>
            <w:vAlign w:val="center"/>
          </w:tcPr>
          <w:p w14:paraId="4660296B" w14:textId="77777777" w:rsidR="001F2D5C" w:rsidRPr="0098262F" w:rsidRDefault="001F2D5C" w:rsidP="00A2021E">
            <w:pPr>
              <w:keepLines/>
              <w:rPr>
                <w:rFonts w:ascii="Arial Narrow" w:hAnsi="Arial Narrow"/>
                <w:b/>
                <w:bCs/>
                <w:sz w:val="20"/>
                <w:szCs w:val="20"/>
              </w:rPr>
            </w:pPr>
            <w:bookmarkStart w:id="19" w:name="_Hlk104809055"/>
            <w:r w:rsidRPr="0098262F">
              <w:rPr>
                <w:rFonts w:ascii="Arial Narrow" w:hAnsi="Arial Narrow"/>
                <w:b/>
                <w:bCs/>
                <w:sz w:val="20"/>
                <w:szCs w:val="20"/>
              </w:rPr>
              <w:t>MEDICINAL PRODUCT</w:t>
            </w:r>
          </w:p>
          <w:p w14:paraId="7221C2FD" w14:textId="77777777" w:rsidR="001F2D5C" w:rsidRPr="0098262F" w:rsidRDefault="001F2D5C" w:rsidP="00A2021E">
            <w:pPr>
              <w:keepLines/>
              <w:rPr>
                <w:rFonts w:ascii="Arial Narrow" w:hAnsi="Arial Narrow"/>
                <w:b/>
                <w:sz w:val="20"/>
                <w:szCs w:val="20"/>
              </w:rPr>
            </w:pPr>
            <w:r w:rsidRPr="0098262F">
              <w:rPr>
                <w:rFonts w:ascii="Arial Narrow" w:hAnsi="Arial Narrow"/>
                <w:b/>
                <w:bCs/>
                <w:sz w:val="20"/>
                <w:szCs w:val="20"/>
              </w:rPr>
              <w:t>medicinal product pack</w:t>
            </w:r>
          </w:p>
        </w:tc>
        <w:tc>
          <w:tcPr>
            <w:tcW w:w="1418" w:type="dxa"/>
            <w:vAlign w:val="center"/>
          </w:tcPr>
          <w:p w14:paraId="15C78AE0" w14:textId="154BCCF7" w:rsidR="001F2D5C" w:rsidRPr="004B4943" w:rsidRDefault="001F2D5C" w:rsidP="00116EBD">
            <w:pPr>
              <w:pStyle w:val="TableText"/>
              <w:rPr>
                <w:b/>
                <w:bCs w:val="0"/>
              </w:rPr>
            </w:pPr>
            <w:r w:rsidRPr="004B4943">
              <w:rPr>
                <w:b/>
                <w:bCs w:val="0"/>
                <w:snapToGrid w:val="0"/>
              </w:rPr>
              <w:t>Dispensed Price for Max. Qty</w:t>
            </w:r>
            <w:r w:rsidR="00562D64" w:rsidRPr="00562D64">
              <w:rPr>
                <w:b/>
                <w:bCs w:val="0"/>
                <w:snapToGrid w:val="0"/>
                <w:vertAlign w:val="superscript"/>
              </w:rPr>
              <w:t>1</w:t>
            </w:r>
            <w:r w:rsidRPr="00562D64">
              <w:rPr>
                <w:b/>
                <w:bCs w:val="0"/>
                <w:snapToGrid w:val="0"/>
                <w:vertAlign w:val="superscript"/>
              </w:rPr>
              <w:t xml:space="preserve"> </w:t>
            </w:r>
          </w:p>
          <w:p w14:paraId="4E41A9BC" w14:textId="1AAE7D07" w:rsidR="001F2D5C" w:rsidRPr="0098262F" w:rsidRDefault="001F2D5C" w:rsidP="00A2021E">
            <w:pPr>
              <w:keepLines/>
              <w:jc w:val="center"/>
              <w:rPr>
                <w:rFonts w:ascii="Arial Narrow" w:hAnsi="Arial Narrow"/>
                <w:b/>
                <w:sz w:val="20"/>
                <w:szCs w:val="20"/>
              </w:rPr>
            </w:pPr>
          </w:p>
        </w:tc>
        <w:tc>
          <w:tcPr>
            <w:tcW w:w="1559" w:type="dxa"/>
            <w:vAlign w:val="center"/>
          </w:tcPr>
          <w:p w14:paraId="48197540" w14:textId="4D4D5B4B" w:rsidR="001F2D5C" w:rsidRPr="0098262F" w:rsidRDefault="001F2D5C" w:rsidP="00A2021E">
            <w:pPr>
              <w:keepLines/>
              <w:jc w:val="center"/>
              <w:rPr>
                <w:rFonts w:ascii="Arial Narrow" w:hAnsi="Arial Narrow"/>
                <w:b/>
                <w:sz w:val="20"/>
                <w:szCs w:val="20"/>
              </w:rPr>
            </w:pPr>
            <w:r w:rsidRPr="0098262F">
              <w:rPr>
                <w:rFonts w:ascii="Arial Narrow" w:hAnsi="Arial Narrow"/>
                <w:b/>
                <w:sz w:val="20"/>
                <w:szCs w:val="20"/>
              </w:rPr>
              <w:t xml:space="preserve">Max. </w:t>
            </w:r>
            <w:r w:rsidR="001F463D">
              <w:rPr>
                <w:rFonts w:ascii="Arial Narrow" w:hAnsi="Arial Narrow"/>
                <w:b/>
                <w:sz w:val="20"/>
                <w:szCs w:val="20"/>
              </w:rPr>
              <w:t>Q</w:t>
            </w:r>
            <w:r w:rsidRPr="0098262F">
              <w:rPr>
                <w:rFonts w:ascii="Arial Narrow" w:hAnsi="Arial Narrow"/>
                <w:b/>
                <w:sz w:val="20"/>
                <w:szCs w:val="20"/>
              </w:rPr>
              <w:t>ty units</w:t>
            </w:r>
          </w:p>
        </w:tc>
        <w:tc>
          <w:tcPr>
            <w:tcW w:w="1237" w:type="dxa"/>
            <w:vAlign w:val="center"/>
          </w:tcPr>
          <w:p w14:paraId="13B3FDEE" w14:textId="56F9924F" w:rsidR="001F2D5C" w:rsidRPr="0098262F" w:rsidRDefault="001F463D" w:rsidP="00A2021E">
            <w:pPr>
              <w:keepLines/>
              <w:jc w:val="center"/>
              <w:rPr>
                <w:rFonts w:ascii="Arial Narrow" w:hAnsi="Arial Narrow"/>
                <w:b/>
                <w:sz w:val="20"/>
                <w:szCs w:val="20"/>
              </w:rPr>
            </w:pPr>
            <w:r>
              <w:rPr>
                <w:rFonts w:ascii="Arial Narrow" w:hAnsi="Arial Narrow"/>
                <w:b/>
                <w:sz w:val="20"/>
                <w:szCs w:val="20"/>
              </w:rPr>
              <w:t xml:space="preserve">Number </w:t>
            </w:r>
            <w:r w:rsidR="001F2D5C" w:rsidRPr="0098262F">
              <w:rPr>
                <w:rFonts w:ascii="Arial Narrow" w:hAnsi="Arial Narrow"/>
                <w:b/>
                <w:sz w:val="20"/>
                <w:szCs w:val="20"/>
              </w:rPr>
              <w:t>of</w:t>
            </w:r>
          </w:p>
          <w:p w14:paraId="7B215997" w14:textId="5CFAEFFB" w:rsidR="001F2D5C" w:rsidRPr="0098262F" w:rsidRDefault="001F2D5C" w:rsidP="00A2021E">
            <w:pPr>
              <w:keepLines/>
              <w:jc w:val="center"/>
              <w:rPr>
                <w:rFonts w:ascii="Arial Narrow" w:hAnsi="Arial Narrow"/>
                <w:b/>
                <w:sz w:val="20"/>
                <w:szCs w:val="20"/>
              </w:rPr>
            </w:pPr>
            <w:r w:rsidRPr="0098262F">
              <w:rPr>
                <w:rFonts w:ascii="Arial Narrow" w:hAnsi="Arial Narrow"/>
                <w:b/>
                <w:sz w:val="20"/>
                <w:szCs w:val="20"/>
              </w:rPr>
              <w:t>R</w:t>
            </w:r>
            <w:r w:rsidR="001F463D">
              <w:rPr>
                <w:rFonts w:ascii="Arial Narrow" w:hAnsi="Arial Narrow"/>
                <w:b/>
                <w:sz w:val="20"/>
                <w:szCs w:val="20"/>
              </w:rPr>
              <w:t>e</w:t>
            </w:r>
            <w:r w:rsidRPr="0098262F">
              <w:rPr>
                <w:rFonts w:ascii="Arial Narrow" w:hAnsi="Arial Narrow"/>
                <w:b/>
                <w:sz w:val="20"/>
                <w:szCs w:val="20"/>
              </w:rPr>
              <w:t>p</w:t>
            </w:r>
            <w:r w:rsidR="001F463D">
              <w:rPr>
                <w:rFonts w:ascii="Arial Narrow" w:hAnsi="Arial Narrow"/>
                <w:b/>
                <w:sz w:val="20"/>
                <w:szCs w:val="20"/>
              </w:rPr>
              <w:t>ea</w:t>
            </w:r>
            <w:r w:rsidRPr="0098262F">
              <w:rPr>
                <w:rFonts w:ascii="Arial Narrow" w:hAnsi="Arial Narrow"/>
                <w:b/>
                <w:sz w:val="20"/>
                <w:szCs w:val="20"/>
              </w:rPr>
              <w:t>ts</w:t>
            </w:r>
          </w:p>
        </w:tc>
        <w:tc>
          <w:tcPr>
            <w:tcW w:w="1831" w:type="dxa"/>
            <w:vAlign w:val="center"/>
          </w:tcPr>
          <w:p w14:paraId="4976F6A8" w14:textId="77777777" w:rsidR="001F2D5C" w:rsidRPr="0098262F" w:rsidRDefault="001F2D5C" w:rsidP="00A2021E">
            <w:pPr>
              <w:keepLines/>
              <w:rPr>
                <w:rFonts w:ascii="Arial Narrow" w:hAnsi="Arial Narrow"/>
                <w:b/>
                <w:sz w:val="20"/>
                <w:szCs w:val="20"/>
              </w:rPr>
            </w:pPr>
            <w:r w:rsidRPr="0098262F">
              <w:rPr>
                <w:rFonts w:ascii="Arial Narrow" w:hAnsi="Arial Narrow"/>
                <w:b/>
                <w:sz w:val="20"/>
                <w:szCs w:val="20"/>
              </w:rPr>
              <w:t>Available brands</w:t>
            </w:r>
          </w:p>
        </w:tc>
      </w:tr>
      <w:tr w:rsidR="00046D64" w:rsidRPr="0098262F" w14:paraId="40C1AD8E" w14:textId="77777777" w:rsidTr="00A2021E">
        <w:trPr>
          <w:cantSplit/>
          <w:trHeight w:val="20"/>
        </w:trPr>
        <w:tc>
          <w:tcPr>
            <w:tcW w:w="9017" w:type="dxa"/>
            <w:gridSpan w:val="5"/>
            <w:vAlign w:val="center"/>
          </w:tcPr>
          <w:p w14:paraId="2A4C00A6" w14:textId="543E7367" w:rsidR="00046D64" w:rsidRPr="00116EBD" w:rsidRDefault="005B49B2" w:rsidP="00116EBD">
            <w:pPr>
              <w:pStyle w:val="TableText"/>
            </w:pPr>
            <w:r w:rsidRPr="00116EBD">
              <w:t>Elexacaftor/tezacaftor/ivacaftor</w:t>
            </w:r>
          </w:p>
        </w:tc>
      </w:tr>
      <w:tr w:rsidR="001F2D5C" w:rsidRPr="0098262F" w14:paraId="1DC2CC67" w14:textId="77777777" w:rsidTr="001F2D5C">
        <w:trPr>
          <w:cantSplit/>
          <w:trHeight w:val="20"/>
        </w:trPr>
        <w:tc>
          <w:tcPr>
            <w:tcW w:w="2972" w:type="dxa"/>
            <w:vAlign w:val="center"/>
          </w:tcPr>
          <w:p w14:paraId="612C04D7" w14:textId="28228441" w:rsidR="001F2D5C" w:rsidRPr="0098262F" w:rsidRDefault="001F2D5C" w:rsidP="002C36E3">
            <w:pPr>
              <w:keepLines/>
              <w:rPr>
                <w:rFonts w:ascii="Arial Narrow" w:hAnsi="Arial Narrow"/>
                <w:color w:val="0066FF"/>
                <w:sz w:val="20"/>
                <w:szCs w:val="20"/>
              </w:rPr>
            </w:pPr>
            <w:r w:rsidRPr="005B49B2">
              <w:rPr>
                <w:rFonts w:ascii="Arial Narrow" w:hAnsi="Arial Narrow"/>
                <w:sz w:val="20"/>
                <w:szCs w:val="20"/>
              </w:rPr>
              <w:t xml:space="preserve">Elexacaftor 100 mg/ tezacaftor 50 mg/ ivacaftor 75 mg </w:t>
            </w:r>
            <w:r w:rsidR="002028D4">
              <w:rPr>
                <w:rFonts w:ascii="Arial Narrow" w:hAnsi="Arial Narrow"/>
                <w:sz w:val="20"/>
                <w:szCs w:val="20"/>
              </w:rPr>
              <w:t>tablets</w:t>
            </w:r>
            <w:r w:rsidRPr="005B49B2">
              <w:rPr>
                <w:rFonts w:ascii="Arial Narrow" w:hAnsi="Arial Narrow"/>
                <w:sz w:val="20"/>
                <w:szCs w:val="20"/>
              </w:rPr>
              <w:t xml:space="preserve"> co-packaged with ivacaftor </w:t>
            </w:r>
            <w:r w:rsidR="00ED1E6E">
              <w:rPr>
                <w:rFonts w:ascii="Arial Narrow" w:hAnsi="Arial Narrow"/>
                <w:sz w:val="20"/>
                <w:szCs w:val="20"/>
              </w:rPr>
              <w:t>150</w:t>
            </w:r>
            <w:r w:rsidRPr="005B49B2">
              <w:rPr>
                <w:rFonts w:ascii="Arial Narrow" w:hAnsi="Arial Narrow"/>
                <w:sz w:val="20"/>
                <w:szCs w:val="20"/>
              </w:rPr>
              <w:t xml:space="preserve"> mg </w:t>
            </w:r>
            <w:r w:rsidR="002028D4">
              <w:rPr>
                <w:rFonts w:ascii="Arial Narrow" w:hAnsi="Arial Narrow"/>
                <w:sz w:val="20"/>
                <w:szCs w:val="20"/>
              </w:rPr>
              <w:t>tabl</w:t>
            </w:r>
            <w:r w:rsidR="00961750">
              <w:rPr>
                <w:rFonts w:ascii="Arial Narrow" w:hAnsi="Arial Narrow"/>
                <w:sz w:val="20"/>
                <w:szCs w:val="20"/>
              </w:rPr>
              <w:t>et</w:t>
            </w:r>
            <w:r w:rsidR="002028D4">
              <w:rPr>
                <w:rFonts w:ascii="Arial Narrow" w:hAnsi="Arial Narrow"/>
                <w:sz w:val="20"/>
                <w:szCs w:val="20"/>
              </w:rPr>
              <w:t>s</w:t>
            </w:r>
          </w:p>
        </w:tc>
        <w:tc>
          <w:tcPr>
            <w:tcW w:w="1418" w:type="dxa"/>
          </w:tcPr>
          <w:p w14:paraId="263FEE31" w14:textId="5AF13F72" w:rsidR="001F2D5C" w:rsidRPr="001F2D5C" w:rsidRDefault="001F2D5C" w:rsidP="001F2D5C">
            <w:pPr>
              <w:pStyle w:val="TableText"/>
              <w:jc w:val="center"/>
              <w:rPr>
                <w:rFonts w:eastAsia="Times New Roman" w:cs="Arial"/>
              </w:rPr>
            </w:pPr>
            <w:r w:rsidRPr="0098262F">
              <w:t>$</w:t>
            </w:r>
            <w:r w:rsidRPr="001F2D5C">
              <w:rPr>
                <w:rFonts w:eastAsia="Times New Roman" w:cs="Arial"/>
              </w:rPr>
              <w:t>21,375.00 published price</w:t>
            </w:r>
          </w:p>
          <w:p w14:paraId="71CD2441" w14:textId="3EDCB111" w:rsidR="001F2D5C" w:rsidRPr="0098262F" w:rsidRDefault="004E7B37" w:rsidP="002C36E3">
            <w:pPr>
              <w:keepLines/>
              <w:jc w:val="center"/>
              <w:rPr>
                <w:rFonts w:ascii="Arial Narrow" w:hAnsi="Arial Narrow"/>
                <w:sz w:val="20"/>
                <w:szCs w:val="20"/>
              </w:rPr>
            </w:pPr>
            <w:r w:rsidRPr="004E7B37">
              <w:rPr>
                <w:rFonts w:ascii="Arial Narrow" w:hAnsi="Arial Narrow"/>
                <w:bCs/>
                <w:color w:val="000000"/>
                <w:spacing w:val="200"/>
                <w:sz w:val="20"/>
                <w:szCs w:val="20"/>
                <w:shd w:val="solid" w:color="000000" w:fill="000000"/>
                <w:fitText w:val="280" w:id="-694516736"/>
                <w14:textFill>
                  <w14:solidFill>
                    <w14:srgbClr w14:val="000000">
                      <w14:alpha w14:val="100000"/>
                    </w14:srgbClr>
                  </w14:solidFill>
                </w14:textFill>
              </w:rPr>
              <w:t>|</w:t>
            </w:r>
            <w:r w:rsidRPr="004E7B37">
              <w:rPr>
                <w:rFonts w:ascii="Arial Narrow" w:hAnsi="Arial Narrow"/>
                <w:bCs/>
                <w:color w:val="000000"/>
                <w:sz w:val="20"/>
                <w:szCs w:val="20"/>
                <w:shd w:val="solid" w:color="000000" w:fill="000000"/>
                <w:fitText w:val="280" w:id="-694516736"/>
                <w14:textFill>
                  <w14:solidFill>
                    <w14:srgbClr w14:val="000000">
                      <w14:alpha w14:val="100000"/>
                    </w14:srgbClr>
                  </w14:solidFill>
                </w14:textFill>
              </w:rPr>
              <w:t>|</w:t>
            </w:r>
            <w:r w:rsidR="001F2D5C" w:rsidRPr="001F2D5C">
              <w:rPr>
                <w:rFonts w:ascii="Arial Narrow" w:hAnsi="Arial Narrow"/>
                <w:bCs/>
                <w:sz w:val="20"/>
                <w:szCs w:val="20"/>
              </w:rPr>
              <w:t xml:space="preserve"> effective price</w:t>
            </w:r>
          </w:p>
        </w:tc>
        <w:tc>
          <w:tcPr>
            <w:tcW w:w="1559" w:type="dxa"/>
            <w:vAlign w:val="center"/>
          </w:tcPr>
          <w:p w14:paraId="65F4D3E9" w14:textId="251B3FDA" w:rsidR="001F2D5C" w:rsidRPr="0098262F" w:rsidRDefault="002028D4" w:rsidP="002C36E3">
            <w:pPr>
              <w:keepLines/>
              <w:jc w:val="center"/>
              <w:rPr>
                <w:rFonts w:ascii="Arial Narrow" w:hAnsi="Arial Narrow"/>
                <w:sz w:val="20"/>
                <w:szCs w:val="20"/>
              </w:rPr>
            </w:pPr>
            <w:r>
              <w:rPr>
                <w:rFonts w:ascii="Arial Narrow" w:hAnsi="Arial Narrow"/>
                <w:sz w:val="20"/>
              </w:rPr>
              <w:t>Pack containing 56 tablets and 28 tablets, (4 weeks supply)</w:t>
            </w:r>
          </w:p>
        </w:tc>
        <w:tc>
          <w:tcPr>
            <w:tcW w:w="1237" w:type="dxa"/>
            <w:vAlign w:val="center"/>
          </w:tcPr>
          <w:p w14:paraId="7C728D0C" w14:textId="3A0E4670" w:rsidR="001F2D5C" w:rsidRPr="0098262F" w:rsidRDefault="001F2D5C" w:rsidP="002C36E3">
            <w:pPr>
              <w:keepLines/>
              <w:jc w:val="center"/>
              <w:rPr>
                <w:rFonts w:ascii="Arial Narrow" w:hAnsi="Arial Narrow"/>
                <w:sz w:val="20"/>
                <w:szCs w:val="20"/>
              </w:rPr>
            </w:pPr>
            <w:r>
              <w:rPr>
                <w:rFonts w:ascii="Arial Narrow" w:hAnsi="Arial Narrow"/>
                <w:sz w:val="20"/>
              </w:rPr>
              <w:t>5</w:t>
            </w:r>
          </w:p>
        </w:tc>
        <w:tc>
          <w:tcPr>
            <w:tcW w:w="1831" w:type="dxa"/>
            <w:vAlign w:val="center"/>
          </w:tcPr>
          <w:p w14:paraId="519A0BC8" w14:textId="1F7FCDF7" w:rsidR="001F2D5C" w:rsidRPr="0098262F" w:rsidRDefault="001F2D5C" w:rsidP="002C36E3">
            <w:pPr>
              <w:keepLines/>
              <w:rPr>
                <w:rFonts w:ascii="Arial Narrow" w:hAnsi="Arial Narrow"/>
                <w:color w:val="0066FF"/>
                <w:sz w:val="20"/>
                <w:szCs w:val="20"/>
              </w:rPr>
            </w:pPr>
            <w:r w:rsidRPr="005B49B2">
              <w:rPr>
                <w:rFonts w:ascii="Arial Narrow" w:hAnsi="Arial Narrow"/>
                <w:sz w:val="20"/>
                <w:szCs w:val="20"/>
              </w:rPr>
              <w:t>Trikafta®, Vertex Pharmaceuticals (Australia) Pty Ltd</w:t>
            </w:r>
          </w:p>
        </w:tc>
      </w:tr>
      <w:tr w:rsidR="001F2D5C" w:rsidRPr="0098262F" w14:paraId="0FE79F0E" w14:textId="77777777" w:rsidTr="001F2D5C">
        <w:trPr>
          <w:cantSplit/>
          <w:trHeight w:val="20"/>
        </w:trPr>
        <w:tc>
          <w:tcPr>
            <w:tcW w:w="2972" w:type="dxa"/>
            <w:vAlign w:val="center"/>
          </w:tcPr>
          <w:p w14:paraId="55284F9A" w14:textId="4A7EF288" w:rsidR="001F2D5C" w:rsidRPr="0098262F" w:rsidRDefault="001F2D5C" w:rsidP="00BD69D1">
            <w:pPr>
              <w:keepLines/>
              <w:rPr>
                <w:rFonts w:ascii="Arial Narrow" w:hAnsi="Arial Narrow"/>
                <w:color w:val="0066FF"/>
                <w:sz w:val="20"/>
                <w:szCs w:val="20"/>
              </w:rPr>
            </w:pPr>
            <w:r w:rsidRPr="00BD69D1">
              <w:rPr>
                <w:rFonts w:ascii="Arial Narrow" w:hAnsi="Arial Narrow"/>
                <w:sz w:val="20"/>
                <w:szCs w:val="20"/>
              </w:rPr>
              <w:lastRenderedPageBreak/>
              <w:t>Elexacaftor 50 mg/ tezacaftor 25 mg/ ivacaftor 37.5 mg tablets co-packaged with ivacaftor 75 mg tablets</w:t>
            </w:r>
          </w:p>
        </w:tc>
        <w:tc>
          <w:tcPr>
            <w:tcW w:w="1418" w:type="dxa"/>
          </w:tcPr>
          <w:p w14:paraId="11594363" w14:textId="77777777" w:rsidR="001F2D5C" w:rsidRPr="00FD2620" w:rsidRDefault="001F2D5C" w:rsidP="001F2D5C">
            <w:pPr>
              <w:pStyle w:val="TableText"/>
              <w:jc w:val="center"/>
              <w:rPr>
                <w:rFonts w:eastAsia="Times New Roman" w:cs="Arial"/>
              </w:rPr>
            </w:pPr>
            <w:r w:rsidRPr="00FD2620">
              <w:rPr>
                <w:rFonts w:eastAsia="Times New Roman" w:cs="Arial"/>
              </w:rPr>
              <w:t>$21,375.00 published price</w:t>
            </w:r>
          </w:p>
          <w:p w14:paraId="5E0E3D4A" w14:textId="5ABCD1C2" w:rsidR="001F2D5C" w:rsidRPr="0098262F" w:rsidRDefault="004E7B37" w:rsidP="00FD2620">
            <w:pPr>
              <w:pStyle w:val="TableText"/>
              <w:jc w:val="center"/>
            </w:pPr>
            <w:r w:rsidRPr="004E7B37">
              <w:rPr>
                <w:rFonts w:eastAsia="Times New Roman" w:cs="Arial"/>
                <w:color w:val="000000"/>
                <w:spacing w:val="200"/>
                <w:shd w:val="solid" w:color="000000" w:fill="000000"/>
                <w:fitText w:val="280" w:id="-694516735"/>
                <w14:textFill>
                  <w14:solidFill>
                    <w14:srgbClr w14:val="000000">
                      <w14:alpha w14:val="100000"/>
                    </w14:srgbClr>
                  </w14:solidFill>
                </w14:textFill>
              </w:rPr>
              <w:t>|</w:t>
            </w:r>
            <w:r w:rsidRPr="004E7B37">
              <w:rPr>
                <w:rFonts w:eastAsia="Times New Roman" w:cs="Arial"/>
                <w:color w:val="000000"/>
                <w:shd w:val="solid" w:color="000000" w:fill="000000"/>
                <w:fitText w:val="280" w:id="-694516735"/>
                <w14:textFill>
                  <w14:solidFill>
                    <w14:srgbClr w14:val="000000">
                      <w14:alpha w14:val="100000"/>
                    </w14:srgbClr>
                  </w14:solidFill>
                </w14:textFill>
              </w:rPr>
              <w:t>|</w:t>
            </w:r>
            <w:r w:rsidR="001F2D5C" w:rsidRPr="00FD2620">
              <w:rPr>
                <w:rFonts w:eastAsia="Times New Roman" w:cs="Arial"/>
              </w:rPr>
              <w:t xml:space="preserve"> effective price</w:t>
            </w:r>
          </w:p>
        </w:tc>
        <w:tc>
          <w:tcPr>
            <w:tcW w:w="1559" w:type="dxa"/>
            <w:vAlign w:val="center"/>
          </w:tcPr>
          <w:p w14:paraId="63523B4A" w14:textId="24CB7B6B" w:rsidR="001F2D5C" w:rsidRPr="0098262F" w:rsidRDefault="001F2D5C" w:rsidP="00BD69D1">
            <w:pPr>
              <w:keepLines/>
              <w:jc w:val="center"/>
              <w:rPr>
                <w:rFonts w:ascii="Arial Narrow" w:hAnsi="Arial Narrow"/>
                <w:sz w:val="20"/>
                <w:szCs w:val="20"/>
              </w:rPr>
            </w:pPr>
            <w:r>
              <w:rPr>
                <w:rFonts w:ascii="Arial Narrow" w:hAnsi="Arial Narrow"/>
                <w:sz w:val="20"/>
              </w:rPr>
              <w:t>Pack containing 56 tablets and 28 tablets, (4 weeks supply)</w:t>
            </w:r>
          </w:p>
        </w:tc>
        <w:tc>
          <w:tcPr>
            <w:tcW w:w="1237" w:type="dxa"/>
            <w:vAlign w:val="center"/>
          </w:tcPr>
          <w:p w14:paraId="64B965F0" w14:textId="2D4A6DD2" w:rsidR="001F2D5C" w:rsidRPr="0098262F" w:rsidRDefault="001F2D5C" w:rsidP="00BD69D1">
            <w:pPr>
              <w:keepLines/>
              <w:jc w:val="center"/>
              <w:rPr>
                <w:rFonts w:ascii="Arial Narrow" w:hAnsi="Arial Narrow"/>
                <w:sz w:val="20"/>
                <w:szCs w:val="20"/>
              </w:rPr>
            </w:pPr>
            <w:r>
              <w:rPr>
                <w:rFonts w:ascii="Arial Narrow" w:hAnsi="Arial Narrow"/>
                <w:sz w:val="20"/>
                <w:szCs w:val="20"/>
              </w:rPr>
              <w:t>5</w:t>
            </w:r>
          </w:p>
        </w:tc>
        <w:tc>
          <w:tcPr>
            <w:tcW w:w="1831" w:type="dxa"/>
            <w:vAlign w:val="center"/>
          </w:tcPr>
          <w:p w14:paraId="3788A325" w14:textId="61FE3125" w:rsidR="001F2D5C" w:rsidRPr="0098262F" w:rsidRDefault="001F2D5C" w:rsidP="00BD69D1">
            <w:pPr>
              <w:keepLines/>
              <w:rPr>
                <w:rFonts w:ascii="Arial Narrow" w:hAnsi="Arial Narrow"/>
                <w:color w:val="0066FF"/>
                <w:sz w:val="20"/>
                <w:szCs w:val="20"/>
              </w:rPr>
            </w:pPr>
          </w:p>
        </w:tc>
      </w:tr>
      <w:tr w:rsidR="001F2D5C" w:rsidRPr="0098262F" w14:paraId="266E3578" w14:textId="77777777" w:rsidTr="001F2D5C">
        <w:trPr>
          <w:cantSplit/>
          <w:trHeight w:val="20"/>
        </w:trPr>
        <w:tc>
          <w:tcPr>
            <w:tcW w:w="2972" w:type="dxa"/>
            <w:vAlign w:val="center"/>
          </w:tcPr>
          <w:p w14:paraId="43CDA30B" w14:textId="1143A513" w:rsidR="001F2D5C" w:rsidRPr="0098262F" w:rsidRDefault="001F2D5C" w:rsidP="00BD69D1">
            <w:pPr>
              <w:keepNext/>
              <w:tabs>
                <w:tab w:val="left" w:pos="1077"/>
              </w:tabs>
              <w:rPr>
                <w:rFonts w:ascii="Arial Narrow" w:hAnsi="Arial Narrow"/>
                <w:color w:val="0066FF"/>
                <w:sz w:val="20"/>
                <w:szCs w:val="20"/>
              </w:rPr>
            </w:pPr>
            <w:r w:rsidRPr="00BD69D1">
              <w:rPr>
                <w:rFonts w:ascii="Arial Narrow" w:hAnsi="Arial Narrow"/>
                <w:sz w:val="20"/>
                <w:szCs w:val="20"/>
              </w:rPr>
              <w:t>Elexacaftor 100 mg/ tezacaftor 50 mg/ ivacaftor 75 mg granules co-packaged with ivacaftor 75 mg granules</w:t>
            </w:r>
          </w:p>
        </w:tc>
        <w:tc>
          <w:tcPr>
            <w:tcW w:w="1418" w:type="dxa"/>
          </w:tcPr>
          <w:p w14:paraId="49F76784" w14:textId="77777777" w:rsidR="001F2D5C" w:rsidRPr="008E3226" w:rsidRDefault="001F2D5C" w:rsidP="001F2D5C">
            <w:pPr>
              <w:keepNext/>
              <w:jc w:val="center"/>
              <w:rPr>
                <w:rFonts w:ascii="Arial Narrow" w:hAnsi="Arial Narrow"/>
                <w:bCs/>
                <w:sz w:val="20"/>
                <w:szCs w:val="20"/>
              </w:rPr>
            </w:pPr>
            <w:r w:rsidRPr="008E3226">
              <w:rPr>
                <w:rFonts w:ascii="Arial Narrow" w:hAnsi="Arial Narrow"/>
                <w:bCs/>
                <w:sz w:val="20"/>
                <w:szCs w:val="20"/>
              </w:rPr>
              <w:t>$21,375.00 published price</w:t>
            </w:r>
          </w:p>
          <w:p w14:paraId="412B2082" w14:textId="7A25B040" w:rsidR="001F2D5C" w:rsidRPr="0098262F" w:rsidRDefault="004E7B37" w:rsidP="00BD69D1">
            <w:pPr>
              <w:keepNext/>
              <w:jc w:val="center"/>
              <w:rPr>
                <w:rFonts w:ascii="Arial Narrow" w:hAnsi="Arial Narrow"/>
                <w:sz w:val="20"/>
                <w:szCs w:val="20"/>
              </w:rPr>
            </w:pPr>
            <w:r w:rsidRPr="004E7B37">
              <w:rPr>
                <w:rFonts w:ascii="Arial Narrow" w:hAnsi="Arial Narrow"/>
                <w:bCs/>
                <w:color w:val="000000"/>
                <w:spacing w:val="200"/>
                <w:sz w:val="20"/>
                <w:szCs w:val="20"/>
                <w:shd w:val="solid" w:color="000000" w:fill="000000"/>
                <w:fitText w:val="280" w:id="-694516734"/>
                <w14:textFill>
                  <w14:solidFill>
                    <w14:srgbClr w14:val="000000">
                      <w14:alpha w14:val="100000"/>
                    </w14:srgbClr>
                  </w14:solidFill>
                </w14:textFill>
              </w:rPr>
              <w:t>|</w:t>
            </w:r>
            <w:r w:rsidRPr="004E7B37">
              <w:rPr>
                <w:rFonts w:ascii="Arial Narrow" w:hAnsi="Arial Narrow"/>
                <w:bCs/>
                <w:color w:val="000000"/>
                <w:sz w:val="20"/>
                <w:szCs w:val="20"/>
                <w:shd w:val="solid" w:color="000000" w:fill="000000"/>
                <w:fitText w:val="280" w:id="-694516734"/>
                <w14:textFill>
                  <w14:solidFill>
                    <w14:srgbClr w14:val="000000">
                      <w14:alpha w14:val="100000"/>
                    </w14:srgbClr>
                  </w14:solidFill>
                </w14:textFill>
              </w:rPr>
              <w:t>|</w:t>
            </w:r>
            <w:r w:rsidR="001F2D5C" w:rsidRPr="008E3226">
              <w:rPr>
                <w:rFonts w:ascii="Arial Narrow" w:hAnsi="Arial Narrow"/>
                <w:bCs/>
                <w:sz w:val="20"/>
                <w:szCs w:val="20"/>
              </w:rPr>
              <w:t xml:space="preserve"> effective price</w:t>
            </w:r>
          </w:p>
        </w:tc>
        <w:tc>
          <w:tcPr>
            <w:tcW w:w="1559" w:type="dxa"/>
            <w:vAlign w:val="center"/>
          </w:tcPr>
          <w:p w14:paraId="2E8AFE22" w14:textId="2F3DC2A0" w:rsidR="001F2D5C" w:rsidRPr="0098262F" w:rsidRDefault="001F2D5C" w:rsidP="00BD69D1">
            <w:pPr>
              <w:keepNext/>
              <w:jc w:val="center"/>
              <w:rPr>
                <w:rFonts w:ascii="Arial Narrow" w:hAnsi="Arial Narrow"/>
                <w:sz w:val="20"/>
                <w:szCs w:val="20"/>
              </w:rPr>
            </w:pPr>
            <w:r>
              <w:rPr>
                <w:rFonts w:ascii="Arial Narrow" w:hAnsi="Arial Narrow"/>
                <w:sz w:val="20"/>
                <w:szCs w:val="20"/>
              </w:rPr>
              <w:t>Pack contain</w:t>
            </w:r>
            <w:r w:rsidR="00EB6ED0">
              <w:rPr>
                <w:rFonts w:ascii="Arial Narrow" w:hAnsi="Arial Narrow"/>
                <w:sz w:val="20"/>
                <w:szCs w:val="20"/>
              </w:rPr>
              <w:t>in</w:t>
            </w:r>
            <w:r>
              <w:rPr>
                <w:rFonts w:ascii="Arial Narrow" w:hAnsi="Arial Narrow"/>
                <w:sz w:val="20"/>
                <w:szCs w:val="20"/>
              </w:rPr>
              <w:t>g 28 sachets and 28 sachets (4 weeks supply)</w:t>
            </w:r>
          </w:p>
        </w:tc>
        <w:tc>
          <w:tcPr>
            <w:tcW w:w="1237" w:type="dxa"/>
            <w:vAlign w:val="center"/>
          </w:tcPr>
          <w:p w14:paraId="25442F33" w14:textId="3D8D2400" w:rsidR="001F2D5C" w:rsidRPr="0098262F" w:rsidRDefault="001F2D5C" w:rsidP="00BD69D1">
            <w:pPr>
              <w:keepNext/>
              <w:jc w:val="center"/>
              <w:rPr>
                <w:rFonts w:ascii="Arial Narrow" w:hAnsi="Arial Narrow"/>
                <w:sz w:val="20"/>
                <w:szCs w:val="20"/>
              </w:rPr>
            </w:pPr>
            <w:r>
              <w:rPr>
                <w:rFonts w:ascii="Arial Narrow" w:hAnsi="Arial Narrow"/>
                <w:sz w:val="20"/>
                <w:szCs w:val="20"/>
              </w:rPr>
              <w:t>5</w:t>
            </w:r>
          </w:p>
        </w:tc>
        <w:tc>
          <w:tcPr>
            <w:tcW w:w="1831" w:type="dxa"/>
            <w:vAlign w:val="center"/>
          </w:tcPr>
          <w:p w14:paraId="43D390FE" w14:textId="77777777" w:rsidR="001F2D5C" w:rsidRPr="0098262F" w:rsidRDefault="001F2D5C" w:rsidP="00BD69D1">
            <w:pPr>
              <w:keepNext/>
              <w:jc w:val="center"/>
              <w:rPr>
                <w:rFonts w:ascii="Arial Narrow" w:hAnsi="Arial Narrow"/>
                <w:sz w:val="20"/>
                <w:szCs w:val="20"/>
              </w:rPr>
            </w:pPr>
          </w:p>
        </w:tc>
      </w:tr>
      <w:tr w:rsidR="001F2D5C" w:rsidRPr="0098262F" w14:paraId="098DFEC0" w14:textId="77777777" w:rsidTr="001F2D5C">
        <w:trPr>
          <w:cantSplit/>
          <w:trHeight w:val="20"/>
        </w:trPr>
        <w:tc>
          <w:tcPr>
            <w:tcW w:w="2972" w:type="dxa"/>
            <w:vAlign w:val="center"/>
          </w:tcPr>
          <w:p w14:paraId="5C75F23E" w14:textId="2477E463" w:rsidR="001F2D5C" w:rsidRPr="00BD69D1" w:rsidRDefault="001F2D5C" w:rsidP="00BD69D1">
            <w:pPr>
              <w:keepNext/>
              <w:tabs>
                <w:tab w:val="left" w:pos="1077"/>
              </w:tabs>
              <w:rPr>
                <w:rFonts w:ascii="Arial Narrow" w:hAnsi="Arial Narrow"/>
                <w:color w:val="0066FF"/>
                <w:sz w:val="20"/>
                <w:szCs w:val="20"/>
              </w:rPr>
            </w:pPr>
            <w:r w:rsidRPr="00BD69D1">
              <w:rPr>
                <w:rFonts w:ascii="Arial Narrow" w:hAnsi="Arial Narrow"/>
                <w:sz w:val="20"/>
                <w:szCs w:val="20"/>
              </w:rPr>
              <w:t>Elexacaftor 80 mg/ tezacaftor 40 mg/ ivacaftor 60 mg granules co-packaged with ivacaftor 59.5 mg granules</w:t>
            </w:r>
          </w:p>
        </w:tc>
        <w:tc>
          <w:tcPr>
            <w:tcW w:w="1418" w:type="dxa"/>
            <w:vAlign w:val="center"/>
          </w:tcPr>
          <w:p w14:paraId="0422AC45" w14:textId="77777777" w:rsidR="001F2D5C" w:rsidRPr="00BD69D1" w:rsidRDefault="001F2D5C" w:rsidP="001F2D5C">
            <w:pPr>
              <w:keepNext/>
              <w:jc w:val="center"/>
              <w:rPr>
                <w:rFonts w:ascii="Arial Narrow" w:hAnsi="Arial Narrow"/>
                <w:bCs/>
                <w:sz w:val="20"/>
                <w:szCs w:val="20"/>
              </w:rPr>
            </w:pPr>
            <w:r w:rsidRPr="00BD69D1">
              <w:rPr>
                <w:rFonts w:ascii="Arial Narrow" w:hAnsi="Arial Narrow"/>
                <w:bCs/>
                <w:sz w:val="20"/>
                <w:szCs w:val="20"/>
              </w:rPr>
              <w:t>$21,375.00 published price</w:t>
            </w:r>
          </w:p>
          <w:p w14:paraId="74F6C0A3" w14:textId="022ECB2B" w:rsidR="001F2D5C" w:rsidRPr="0098262F" w:rsidRDefault="004E7B37" w:rsidP="00BD69D1">
            <w:pPr>
              <w:keepNext/>
              <w:jc w:val="center"/>
              <w:rPr>
                <w:rFonts w:ascii="Arial Narrow" w:hAnsi="Arial Narrow"/>
                <w:sz w:val="20"/>
                <w:szCs w:val="20"/>
              </w:rPr>
            </w:pPr>
            <w:r w:rsidRPr="004E7B37">
              <w:rPr>
                <w:rFonts w:ascii="Arial Narrow" w:hAnsi="Arial Narrow"/>
                <w:color w:val="000000"/>
                <w:spacing w:val="200"/>
                <w:sz w:val="20"/>
                <w:szCs w:val="20"/>
                <w:shd w:val="solid" w:color="000000" w:fill="000000"/>
                <w:fitText w:val="280" w:id="-694516733"/>
                <w14:textFill>
                  <w14:solidFill>
                    <w14:srgbClr w14:val="000000">
                      <w14:alpha w14:val="100000"/>
                    </w14:srgbClr>
                  </w14:solidFill>
                </w14:textFill>
              </w:rPr>
              <w:t>|</w:t>
            </w:r>
            <w:r w:rsidRPr="004E7B37">
              <w:rPr>
                <w:rFonts w:ascii="Arial Narrow" w:hAnsi="Arial Narrow"/>
                <w:color w:val="000000"/>
                <w:sz w:val="20"/>
                <w:szCs w:val="20"/>
                <w:shd w:val="solid" w:color="000000" w:fill="000000"/>
                <w:fitText w:val="280" w:id="-694516733"/>
                <w14:textFill>
                  <w14:solidFill>
                    <w14:srgbClr w14:val="000000">
                      <w14:alpha w14:val="100000"/>
                    </w14:srgbClr>
                  </w14:solidFill>
                </w14:textFill>
              </w:rPr>
              <w:t>|</w:t>
            </w:r>
            <w:r w:rsidR="001F2D5C" w:rsidRPr="00BD69D1">
              <w:rPr>
                <w:rFonts w:ascii="Arial Narrow" w:hAnsi="Arial Narrow"/>
                <w:sz w:val="20"/>
                <w:szCs w:val="20"/>
              </w:rPr>
              <w:t xml:space="preserve"> effective price</w:t>
            </w:r>
          </w:p>
        </w:tc>
        <w:tc>
          <w:tcPr>
            <w:tcW w:w="1559" w:type="dxa"/>
            <w:vAlign w:val="center"/>
          </w:tcPr>
          <w:p w14:paraId="39491EA8" w14:textId="10367BC0" w:rsidR="001F2D5C" w:rsidRDefault="001F2D5C" w:rsidP="00BD69D1">
            <w:pPr>
              <w:keepNext/>
              <w:jc w:val="center"/>
              <w:rPr>
                <w:rFonts w:ascii="Arial Narrow" w:hAnsi="Arial Narrow"/>
                <w:sz w:val="20"/>
                <w:szCs w:val="20"/>
              </w:rPr>
            </w:pPr>
            <w:r>
              <w:rPr>
                <w:rFonts w:ascii="Arial Narrow" w:hAnsi="Arial Narrow"/>
                <w:sz w:val="20"/>
                <w:szCs w:val="20"/>
              </w:rPr>
              <w:t>Pack containing 28 sachets and 28 sachets (4 weeks supply pack)</w:t>
            </w:r>
          </w:p>
        </w:tc>
        <w:tc>
          <w:tcPr>
            <w:tcW w:w="1237" w:type="dxa"/>
            <w:vAlign w:val="center"/>
          </w:tcPr>
          <w:p w14:paraId="4529ED05" w14:textId="7896BD0A" w:rsidR="001F2D5C" w:rsidRDefault="001F2D5C" w:rsidP="00BD69D1">
            <w:pPr>
              <w:keepNext/>
              <w:jc w:val="center"/>
              <w:rPr>
                <w:rFonts w:ascii="Arial Narrow" w:hAnsi="Arial Narrow"/>
                <w:sz w:val="20"/>
                <w:szCs w:val="20"/>
              </w:rPr>
            </w:pPr>
            <w:r>
              <w:rPr>
                <w:rFonts w:ascii="Arial Narrow" w:hAnsi="Arial Narrow"/>
                <w:sz w:val="20"/>
                <w:szCs w:val="20"/>
              </w:rPr>
              <w:t>5</w:t>
            </w:r>
          </w:p>
        </w:tc>
        <w:tc>
          <w:tcPr>
            <w:tcW w:w="1831" w:type="dxa"/>
            <w:vAlign w:val="center"/>
          </w:tcPr>
          <w:p w14:paraId="7476B86C" w14:textId="77777777" w:rsidR="001F2D5C" w:rsidRPr="0098262F" w:rsidRDefault="001F2D5C" w:rsidP="00BD69D1">
            <w:pPr>
              <w:keepNext/>
              <w:jc w:val="center"/>
              <w:rPr>
                <w:rFonts w:ascii="Arial Narrow" w:hAnsi="Arial Narrow"/>
                <w:sz w:val="20"/>
                <w:szCs w:val="20"/>
              </w:rPr>
            </w:pPr>
          </w:p>
        </w:tc>
      </w:tr>
    </w:tbl>
    <w:bookmarkEnd w:id="19"/>
    <w:p w14:paraId="210B3796" w14:textId="2D675A9A" w:rsidR="00046D64" w:rsidRDefault="00562D64" w:rsidP="008F6A0C">
      <w:pPr>
        <w:pStyle w:val="ListParagraph"/>
        <w:numPr>
          <w:ilvl w:val="0"/>
          <w:numId w:val="11"/>
        </w:numPr>
        <w:rPr>
          <w:rFonts w:ascii="Arial Narrow" w:hAnsi="Arial Narrow"/>
          <w:sz w:val="20"/>
          <w:szCs w:val="20"/>
        </w:rPr>
      </w:pPr>
      <w:r w:rsidRPr="00562D64">
        <w:rPr>
          <w:rFonts w:ascii="Arial Narrow" w:hAnsi="Arial Narrow"/>
          <w:sz w:val="20"/>
          <w:szCs w:val="20"/>
        </w:rPr>
        <w:t>Public hospital DPMQ presented</w:t>
      </w:r>
    </w:p>
    <w:p w14:paraId="5C27255E" w14:textId="77777777" w:rsidR="0096402B" w:rsidRPr="00562D64" w:rsidRDefault="0096402B" w:rsidP="0096402B">
      <w:pPr>
        <w:pStyle w:val="ListParagraph"/>
        <w:numPr>
          <w:ilvl w:val="0"/>
          <w:numId w:val="0"/>
        </w:numPr>
        <w:ind w:left="36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3A4C14" w:rsidRPr="0098262F" w14:paraId="3EE8ABAE" w14:textId="77777777" w:rsidTr="003A4C14">
        <w:trPr>
          <w:cantSplit/>
          <w:trHeight w:val="20"/>
        </w:trPr>
        <w:tc>
          <w:tcPr>
            <w:tcW w:w="5000" w:type="pct"/>
          </w:tcPr>
          <w:p w14:paraId="3B622315" w14:textId="70DC30EB" w:rsidR="003A4C14" w:rsidRPr="0098262F" w:rsidRDefault="003A4C14" w:rsidP="00B9224E">
            <w:pPr>
              <w:pStyle w:val="TableText"/>
            </w:pPr>
            <w:bookmarkStart w:id="20" w:name="_Hlk104809470"/>
            <w:r w:rsidRPr="0098262F">
              <w:rPr>
                <w:b/>
              </w:rPr>
              <w:lastRenderedPageBreak/>
              <w:t xml:space="preserve">Category / Program: </w:t>
            </w:r>
            <w:r w:rsidRPr="0098262F">
              <w:t xml:space="preserve">Section 100 – </w:t>
            </w:r>
            <w:r w:rsidR="00BD69D1">
              <w:t>Highly Specialised Drugs Program</w:t>
            </w:r>
          </w:p>
        </w:tc>
      </w:tr>
      <w:tr w:rsidR="003A4C14" w:rsidRPr="0098262F" w14:paraId="09416ED3" w14:textId="77777777" w:rsidTr="003A4C14">
        <w:trPr>
          <w:cantSplit/>
          <w:trHeight w:val="20"/>
        </w:trPr>
        <w:tc>
          <w:tcPr>
            <w:tcW w:w="5000" w:type="pct"/>
          </w:tcPr>
          <w:p w14:paraId="7D2ED8D5" w14:textId="44398639" w:rsidR="003A4C14" w:rsidRPr="0098262F" w:rsidRDefault="003A4C14" w:rsidP="00B9224E">
            <w:pPr>
              <w:pStyle w:val="TableText"/>
              <w:rPr>
                <w:b/>
              </w:rPr>
            </w:pPr>
            <w:r w:rsidRPr="0098262F">
              <w:rPr>
                <w:b/>
              </w:rPr>
              <w:t xml:space="preserve">Prescriber type: </w:t>
            </w:r>
            <w:r w:rsidRPr="0098262F">
              <w:fldChar w:fldCharType="begin">
                <w:ffData>
                  <w:name w:val="Check1"/>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Dental </w:t>
            </w:r>
            <w:r w:rsidR="00BD69D1">
              <w:fldChar w:fldCharType="begin">
                <w:ffData>
                  <w:name w:val=""/>
                  <w:enabled/>
                  <w:calcOnExit w:val="0"/>
                  <w:checkBox>
                    <w:sizeAuto/>
                    <w:default w:val="1"/>
                  </w:checkBox>
                </w:ffData>
              </w:fldChar>
            </w:r>
            <w:r w:rsidR="00BD69D1">
              <w:instrText xml:space="preserve"> FORMCHECKBOX </w:instrText>
            </w:r>
            <w:r w:rsidR="00BD69D1">
              <w:fldChar w:fldCharType="separate"/>
            </w:r>
            <w:r w:rsidR="00BD69D1">
              <w:fldChar w:fldCharType="end"/>
            </w:r>
            <w:r w:rsidRPr="0098262F">
              <w:t xml:space="preserve">Medical Practitioners </w:t>
            </w:r>
            <w:r w:rsidRPr="0098262F">
              <w:fldChar w:fldCharType="begin">
                <w:ffData>
                  <w:name w:val="Check3"/>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Nurse practitioners </w:t>
            </w:r>
            <w:r w:rsidRPr="0098262F">
              <w:fldChar w:fldCharType="begin">
                <w:ffData>
                  <w:name w:val=""/>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Optometrists </w:t>
            </w:r>
            <w:r w:rsidRPr="0098262F">
              <w:fldChar w:fldCharType="begin">
                <w:ffData>
                  <w:name w:val="Check5"/>
                  <w:enabled/>
                  <w:calcOnExit w:val="0"/>
                  <w:checkBox>
                    <w:sizeAuto/>
                    <w:default w:val="0"/>
                  </w:checkBox>
                </w:ffData>
              </w:fldChar>
            </w:r>
            <w:r w:rsidRPr="0098262F">
              <w:instrText xml:space="preserve"> FORMCHECKBOX </w:instrText>
            </w:r>
            <w:r w:rsidRPr="0098262F">
              <w:fldChar w:fldCharType="separate"/>
            </w:r>
            <w:r w:rsidRPr="0098262F">
              <w:fldChar w:fldCharType="end"/>
            </w:r>
          </w:p>
        </w:tc>
      </w:tr>
      <w:tr w:rsidR="003A4C14" w:rsidRPr="0098262F" w14:paraId="070CFDD2" w14:textId="77777777" w:rsidTr="003A4C14">
        <w:trPr>
          <w:cantSplit/>
          <w:trHeight w:val="20"/>
        </w:trPr>
        <w:tc>
          <w:tcPr>
            <w:tcW w:w="5000" w:type="pct"/>
          </w:tcPr>
          <w:p w14:paraId="3320A955" w14:textId="5EA7FF9F" w:rsidR="003A4C14" w:rsidRPr="0098262F" w:rsidRDefault="003A4C14" w:rsidP="00B9224E">
            <w:pPr>
              <w:pStyle w:val="TableText"/>
            </w:pPr>
            <w:r w:rsidRPr="0098262F">
              <w:rPr>
                <w:b/>
              </w:rPr>
              <w:t>Restriction type:</w:t>
            </w:r>
            <w:r w:rsidR="00BD69D1" w:rsidRPr="0098262F">
              <w:rPr>
                <w:color w:val="0066FF"/>
              </w:rPr>
              <w:t xml:space="preserve"> </w:t>
            </w:r>
            <w:r w:rsidRPr="0098262F">
              <w:br/>
            </w:r>
            <w:r w:rsidR="008F6AA0">
              <w:fldChar w:fldCharType="begin">
                <w:ffData>
                  <w:name w:val=""/>
                  <w:enabled/>
                  <w:calcOnExit w:val="0"/>
                  <w:checkBox>
                    <w:sizeAuto/>
                    <w:default w:val="1"/>
                  </w:checkBox>
                </w:ffData>
              </w:fldChar>
            </w:r>
            <w:r w:rsidR="008F6AA0">
              <w:instrText xml:space="preserve"> FORMCHECKBOX </w:instrText>
            </w:r>
            <w:r w:rsidR="008F6AA0">
              <w:fldChar w:fldCharType="separate"/>
            </w:r>
            <w:r w:rsidR="008F6AA0">
              <w:fldChar w:fldCharType="end"/>
            </w:r>
            <w:r w:rsidRPr="0098262F">
              <w:t xml:space="preserve">Authority Required (in writing only via post/HPOS upload)  </w:t>
            </w:r>
          </w:p>
        </w:tc>
      </w:tr>
      <w:tr w:rsidR="003A4C14" w:rsidRPr="0098262F" w14:paraId="4473716B" w14:textId="77777777" w:rsidTr="003A4C14">
        <w:trPr>
          <w:cantSplit/>
          <w:trHeight w:val="20"/>
        </w:trPr>
        <w:tc>
          <w:tcPr>
            <w:tcW w:w="5000" w:type="pct"/>
            <w:vAlign w:val="center"/>
          </w:tcPr>
          <w:p w14:paraId="0C58C468" w14:textId="795222E0" w:rsidR="003A4C14" w:rsidRPr="0098262F" w:rsidRDefault="003A4C14" w:rsidP="00B9224E">
            <w:pPr>
              <w:pStyle w:val="TableText"/>
              <w:rPr>
                <w:b/>
              </w:rPr>
            </w:pPr>
            <w:r w:rsidRPr="0098262F">
              <w:rPr>
                <w:b/>
              </w:rPr>
              <w:t xml:space="preserve">Condition: </w:t>
            </w:r>
            <w:r w:rsidR="00C84AA6" w:rsidRPr="00C84AA6">
              <w:t>Cystic fibrosis</w:t>
            </w:r>
            <w:r w:rsidRPr="0098262F">
              <w:rPr>
                <w:color w:val="0066FF"/>
              </w:rPr>
              <w:t xml:space="preserve"> </w:t>
            </w:r>
          </w:p>
        </w:tc>
      </w:tr>
      <w:tr w:rsidR="003A4C14" w:rsidRPr="0098262F" w14:paraId="5BFE3347" w14:textId="77777777" w:rsidTr="003A4C14">
        <w:trPr>
          <w:cantSplit/>
          <w:trHeight w:val="20"/>
        </w:trPr>
        <w:tc>
          <w:tcPr>
            <w:tcW w:w="5000" w:type="pct"/>
            <w:vAlign w:val="center"/>
            <w:hideMark/>
          </w:tcPr>
          <w:p w14:paraId="3296BDDA" w14:textId="681F7E33" w:rsidR="003A4C14" w:rsidRPr="0098262F" w:rsidRDefault="003A4C14" w:rsidP="00B9224E">
            <w:pPr>
              <w:pStyle w:val="TableText"/>
            </w:pPr>
            <w:r w:rsidRPr="0098262F">
              <w:rPr>
                <w:b/>
              </w:rPr>
              <w:t>Indication:</w:t>
            </w:r>
            <w:r w:rsidRPr="0098262F">
              <w:t xml:space="preserve"> </w:t>
            </w:r>
            <w:r w:rsidR="00C84AA6" w:rsidRPr="00C84AA6">
              <w:t>Cystic fibrosis</w:t>
            </w:r>
          </w:p>
        </w:tc>
      </w:tr>
      <w:tr w:rsidR="003A4C14" w:rsidRPr="0098262F" w14:paraId="7A6417F7" w14:textId="77777777" w:rsidTr="003A4C14">
        <w:trPr>
          <w:cantSplit/>
          <w:trHeight w:val="20"/>
        </w:trPr>
        <w:tc>
          <w:tcPr>
            <w:tcW w:w="5000" w:type="pct"/>
            <w:vAlign w:val="center"/>
            <w:hideMark/>
          </w:tcPr>
          <w:p w14:paraId="655B4B49" w14:textId="105BBAFE" w:rsidR="003A4C14" w:rsidRPr="00C84AA6" w:rsidRDefault="003A4C14" w:rsidP="00B9224E">
            <w:pPr>
              <w:pStyle w:val="TableText"/>
            </w:pPr>
            <w:r w:rsidRPr="0098262F">
              <w:rPr>
                <w:b/>
              </w:rPr>
              <w:t>Treatment Phase:</w:t>
            </w:r>
            <w:r w:rsidRPr="0098262F">
              <w:t xml:space="preserve"> </w:t>
            </w:r>
            <w:r w:rsidR="00C84AA6">
              <w:rPr>
                <w:color w:val="0066FF"/>
              </w:rPr>
              <w:t xml:space="preserve"> </w:t>
            </w:r>
            <w:r w:rsidR="00AA540E">
              <w:t>I</w:t>
            </w:r>
            <w:r w:rsidR="00C84AA6">
              <w:t>nitial treatment</w:t>
            </w:r>
          </w:p>
        </w:tc>
      </w:tr>
      <w:tr w:rsidR="003A4C14" w:rsidRPr="0098262F" w14:paraId="3ABBD2EC" w14:textId="77777777" w:rsidTr="003A4C14">
        <w:trPr>
          <w:cantSplit/>
          <w:trHeight w:val="20"/>
        </w:trPr>
        <w:tc>
          <w:tcPr>
            <w:tcW w:w="5000" w:type="pct"/>
            <w:vAlign w:val="center"/>
            <w:hideMark/>
          </w:tcPr>
          <w:p w14:paraId="5D485398" w14:textId="77777777" w:rsidR="003A4C14" w:rsidRPr="00057E0A" w:rsidRDefault="003A4C14" w:rsidP="00B9224E">
            <w:pPr>
              <w:pStyle w:val="TableText"/>
              <w:rPr>
                <w:b/>
                <w:bCs w:val="0"/>
              </w:rPr>
            </w:pPr>
            <w:r w:rsidRPr="00057E0A">
              <w:rPr>
                <w:b/>
                <w:bCs w:val="0"/>
              </w:rPr>
              <w:t>Clinical criteria:</w:t>
            </w:r>
          </w:p>
        </w:tc>
      </w:tr>
      <w:tr w:rsidR="00C84AA6" w:rsidRPr="0098262F" w14:paraId="26BA494C" w14:textId="77777777" w:rsidTr="00A14777">
        <w:trPr>
          <w:cantSplit/>
          <w:trHeight w:val="20"/>
        </w:trPr>
        <w:tc>
          <w:tcPr>
            <w:tcW w:w="5000" w:type="pct"/>
            <w:hideMark/>
          </w:tcPr>
          <w:p w14:paraId="1A0AADCD" w14:textId="05BCEA3F" w:rsidR="00C84AA6" w:rsidRPr="0098262F" w:rsidRDefault="00C84AA6" w:rsidP="00B9224E">
            <w:pPr>
              <w:pStyle w:val="TableText"/>
            </w:pPr>
            <w:r w:rsidRPr="004D269F">
              <w:t xml:space="preserve">Patient must have at least one mutation in the CFTR gene that is responsive to </w:t>
            </w:r>
            <w:r>
              <w:t>elexacaftor/tezacaftor/</w:t>
            </w:r>
            <w:r w:rsidRPr="004D269F">
              <w:t>ivacaftor potentiation based on clinical and/or in vitro assay data</w:t>
            </w:r>
          </w:p>
        </w:tc>
      </w:tr>
      <w:tr w:rsidR="00C84AA6" w:rsidRPr="0098262F" w14:paraId="1541981C" w14:textId="77777777" w:rsidTr="003A4C14">
        <w:trPr>
          <w:cantSplit/>
          <w:trHeight w:val="20"/>
        </w:trPr>
        <w:tc>
          <w:tcPr>
            <w:tcW w:w="5000" w:type="pct"/>
            <w:vAlign w:val="center"/>
            <w:hideMark/>
          </w:tcPr>
          <w:p w14:paraId="6F3D1453" w14:textId="77777777" w:rsidR="00C84AA6" w:rsidRPr="00057E0A" w:rsidRDefault="00C84AA6" w:rsidP="00B9224E">
            <w:pPr>
              <w:pStyle w:val="TableText"/>
              <w:rPr>
                <w:b/>
                <w:bCs w:val="0"/>
              </w:rPr>
            </w:pPr>
            <w:r w:rsidRPr="00057E0A">
              <w:rPr>
                <w:b/>
                <w:bCs w:val="0"/>
              </w:rPr>
              <w:t>AND</w:t>
            </w:r>
          </w:p>
        </w:tc>
      </w:tr>
      <w:tr w:rsidR="00C84AA6" w:rsidRPr="0098262F" w14:paraId="018890B8" w14:textId="77777777" w:rsidTr="003A4C14">
        <w:trPr>
          <w:cantSplit/>
          <w:trHeight w:val="20"/>
        </w:trPr>
        <w:tc>
          <w:tcPr>
            <w:tcW w:w="5000" w:type="pct"/>
            <w:vAlign w:val="center"/>
            <w:hideMark/>
          </w:tcPr>
          <w:p w14:paraId="79CB2648" w14:textId="77777777" w:rsidR="00C84AA6" w:rsidRPr="00057E0A" w:rsidRDefault="00C84AA6" w:rsidP="00B9224E">
            <w:pPr>
              <w:pStyle w:val="TableText"/>
              <w:rPr>
                <w:b/>
                <w:bCs w:val="0"/>
              </w:rPr>
            </w:pPr>
            <w:r w:rsidRPr="00057E0A">
              <w:rPr>
                <w:b/>
                <w:bCs w:val="0"/>
              </w:rPr>
              <w:t>Clinical criteria:</w:t>
            </w:r>
          </w:p>
        </w:tc>
      </w:tr>
      <w:tr w:rsidR="00C84AA6" w:rsidRPr="0098262F" w14:paraId="1096E289" w14:textId="77777777" w:rsidTr="003A4C14">
        <w:trPr>
          <w:cantSplit/>
          <w:trHeight w:val="20"/>
        </w:trPr>
        <w:tc>
          <w:tcPr>
            <w:tcW w:w="5000" w:type="pct"/>
            <w:vAlign w:val="center"/>
            <w:hideMark/>
          </w:tcPr>
          <w:p w14:paraId="16929626" w14:textId="4C7D9003" w:rsidR="00C84AA6" w:rsidRPr="0098262F" w:rsidRDefault="00C84AA6" w:rsidP="00B9224E">
            <w:pPr>
              <w:pStyle w:val="TableText"/>
              <w:rPr>
                <w:color w:val="0066FF"/>
              </w:rPr>
            </w:pPr>
            <w:r w:rsidRPr="00C84AA6">
              <w:t>The treatment must be given concomitantly with standard therapy for this condition</w:t>
            </w:r>
          </w:p>
        </w:tc>
      </w:tr>
      <w:tr w:rsidR="00C84AA6" w:rsidRPr="0098262F" w14:paraId="4E182BDA" w14:textId="77777777" w:rsidTr="003A4C14">
        <w:trPr>
          <w:cantSplit/>
          <w:trHeight w:val="20"/>
        </w:trPr>
        <w:tc>
          <w:tcPr>
            <w:tcW w:w="5000" w:type="pct"/>
            <w:vAlign w:val="center"/>
          </w:tcPr>
          <w:p w14:paraId="5E2BB6FF" w14:textId="54147CE3" w:rsidR="00C84AA6" w:rsidRPr="00057E0A" w:rsidRDefault="00C84AA6" w:rsidP="00B9224E">
            <w:pPr>
              <w:pStyle w:val="TableText"/>
              <w:rPr>
                <w:b/>
                <w:bCs w:val="0"/>
              </w:rPr>
            </w:pPr>
            <w:r w:rsidRPr="00057E0A">
              <w:rPr>
                <w:b/>
                <w:bCs w:val="0"/>
              </w:rPr>
              <w:t>AND</w:t>
            </w:r>
          </w:p>
        </w:tc>
      </w:tr>
      <w:tr w:rsidR="00C84AA6" w:rsidRPr="0098262F" w14:paraId="429D6D87" w14:textId="77777777" w:rsidTr="003A4C14">
        <w:trPr>
          <w:cantSplit/>
          <w:trHeight w:val="20"/>
        </w:trPr>
        <w:tc>
          <w:tcPr>
            <w:tcW w:w="5000" w:type="pct"/>
            <w:vAlign w:val="center"/>
          </w:tcPr>
          <w:p w14:paraId="57BE8266" w14:textId="18720608" w:rsidR="00C84AA6" w:rsidRPr="00057E0A" w:rsidRDefault="00C84AA6" w:rsidP="00B9224E">
            <w:pPr>
              <w:pStyle w:val="TableText"/>
              <w:rPr>
                <w:b/>
                <w:bCs w:val="0"/>
              </w:rPr>
            </w:pPr>
            <w:r w:rsidRPr="00057E0A">
              <w:rPr>
                <w:b/>
                <w:bCs w:val="0"/>
              </w:rPr>
              <w:t>Clinical criteria:</w:t>
            </w:r>
          </w:p>
        </w:tc>
      </w:tr>
      <w:tr w:rsidR="00C84AA6" w:rsidRPr="0098262F" w14:paraId="4ADA2181" w14:textId="77777777" w:rsidTr="003A4C14">
        <w:trPr>
          <w:cantSplit/>
          <w:trHeight w:val="20"/>
        </w:trPr>
        <w:tc>
          <w:tcPr>
            <w:tcW w:w="5000" w:type="pct"/>
            <w:vAlign w:val="center"/>
          </w:tcPr>
          <w:p w14:paraId="30EB3843" w14:textId="4A40A6E6" w:rsidR="00C84AA6" w:rsidRPr="00C84AA6" w:rsidRDefault="00C84AA6" w:rsidP="00B9224E">
            <w:pPr>
              <w:pStyle w:val="TableText"/>
            </w:pPr>
            <w:r w:rsidRPr="00C84AA6">
              <w:t>Patient must have either chronic sinopulmonary disease or gastrointestinal and nutritional abnormalities, prior to initiating treatment with this drug</w:t>
            </w:r>
          </w:p>
        </w:tc>
      </w:tr>
      <w:tr w:rsidR="00C84AA6" w:rsidRPr="0098262F" w14:paraId="1E0CC9FB" w14:textId="77777777" w:rsidTr="003A4C14">
        <w:trPr>
          <w:cantSplit/>
          <w:trHeight w:val="20"/>
        </w:trPr>
        <w:tc>
          <w:tcPr>
            <w:tcW w:w="5000" w:type="pct"/>
            <w:vAlign w:val="center"/>
            <w:hideMark/>
          </w:tcPr>
          <w:p w14:paraId="6E11057F" w14:textId="77777777" w:rsidR="00C84AA6" w:rsidRPr="00057E0A" w:rsidRDefault="00C84AA6" w:rsidP="00B9224E">
            <w:pPr>
              <w:pStyle w:val="TableText"/>
              <w:rPr>
                <w:b/>
                <w:bCs w:val="0"/>
              </w:rPr>
            </w:pPr>
            <w:r w:rsidRPr="00057E0A">
              <w:rPr>
                <w:b/>
                <w:bCs w:val="0"/>
              </w:rPr>
              <w:t>Treatment criteria:</w:t>
            </w:r>
          </w:p>
        </w:tc>
      </w:tr>
      <w:tr w:rsidR="00C84AA6" w:rsidRPr="0098262F" w14:paraId="3FEBA230" w14:textId="77777777" w:rsidTr="003A4C14">
        <w:trPr>
          <w:cantSplit/>
          <w:trHeight w:val="20"/>
        </w:trPr>
        <w:tc>
          <w:tcPr>
            <w:tcW w:w="5000" w:type="pct"/>
            <w:vAlign w:val="center"/>
            <w:hideMark/>
          </w:tcPr>
          <w:p w14:paraId="5EECDD1E" w14:textId="40A6BB37" w:rsidR="00C84AA6" w:rsidRPr="00C84AA6" w:rsidRDefault="00C84AA6" w:rsidP="00B9224E">
            <w:pPr>
              <w:pStyle w:val="TableText"/>
            </w:pPr>
            <w:r w:rsidRPr="00C8249A">
              <w:t>Must be treated by a specialist respiratory physician with expertise in cystic fibrosis or in consultation with a specialist respiratory physician with expertise in cystic fibrosis if attendance is not possible due to geographic isolation</w:t>
            </w:r>
          </w:p>
        </w:tc>
      </w:tr>
      <w:tr w:rsidR="00C84AA6" w:rsidRPr="0098262F" w14:paraId="69C4D6A4" w14:textId="77777777" w:rsidTr="003A4C14">
        <w:trPr>
          <w:cantSplit/>
          <w:trHeight w:val="20"/>
        </w:trPr>
        <w:tc>
          <w:tcPr>
            <w:tcW w:w="5000" w:type="pct"/>
            <w:vAlign w:val="center"/>
          </w:tcPr>
          <w:p w14:paraId="16D44E19" w14:textId="119CC484" w:rsidR="00C84AA6" w:rsidRPr="00057E0A" w:rsidRDefault="00C84AA6" w:rsidP="00B9224E">
            <w:pPr>
              <w:pStyle w:val="TableText"/>
              <w:rPr>
                <w:b/>
                <w:bCs w:val="0"/>
              </w:rPr>
            </w:pPr>
            <w:r w:rsidRPr="00057E0A">
              <w:rPr>
                <w:b/>
                <w:bCs w:val="0"/>
              </w:rPr>
              <w:t>AND</w:t>
            </w:r>
          </w:p>
        </w:tc>
      </w:tr>
      <w:tr w:rsidR="00C84AA6" w:rsidRPr="0098262F" w14:paraId="20C3AC50" w14:textId="77777777" w:rsidTr="003A4C14">
        <w:trPr>
          <w:cantSplit/>
          <w:trHeight w:val="20"/>
        </w:trPr>
        <w:tc>
          <w:tcPr>
            <w:tcW w:w="5000" w:type="pct"/>
            <w:vAlign w:val="center"/>
          </w:tcPr>
          <w:p w14:paraId="1574112D" w14:textId="6BA59238" w:rsidR="00C84AA6" w:rsidRPr="00057E0A" w:rsidRDefault="00C84AA6" w:rsidP="00B9224E">
            <w:pPr>
              <w:pStyle w:val="TableText"/>
              <w:rPr>
                <w:b/>
                <w:bCs w:val="0"/>
              </w:rPr>
            </w:pPr>
            <w:r w:rsidRPr="00057E0A">
              <w:rPr>
                <w:b/>
                <w:bCs w:val="0"/>
              </w:rPr>
              <w:t>Treatment criteria:</w:t>
            </w:r>
          </w:p>
        </w:tc>
      </w:tr>
      <w:tr w:rsidR="00C84AA6" w:rsidRPr="0098262F" w14:paraId="0231F687" w14:textId="77777777" w:rsidTr="003A4C14">
        <w:trPr>
          <w:cantSplit/>
          <w:trHeight w:val="20"/>
        </w:trPr>
        <w:tc>
          <w:tcPr>
            <w:tcW w:w="5000" w:type="pct"/>
            <w:vAlign w:val="center"/>
          </w:tcPr>
          <w:p w14:paraId="4969FD94" w14:textId="7D6DDDA5" w:rsidR="00C84AA6" w:rsidRPr="00C84AA6" w:rsidRDefault="00C84AA6" w:rsidP="00B9224E">
            <w:pPr>
              <w:pStyle w:val="TableText"/>
              <w:rPr>
                <w:b/>
              </w:rPr>
            </w:pPr>
            <w:r w:rsidRPr="00C8249A">
              <w:t>Must be treated in a centre with expertise in cystic fibrosis or in consultation with a centre with expertise in cystic fibrosis if attendance is not possible due to geographic isolation</w:t>
            </w:r>
          </w:p>
        </w:tc>
      </w:tr>
      <w:tr w:rsidR="00C84AA6" w:rsidRPr="0098262F" w14:paraId="7499D438" w14:textId="77777777" w:rsidTr="003A4C14">
        <w:trPr>
          <w:cantSplit/>
          <w:trHeight w:val="20"/>
        </w:trPr>
        <w:tc>
          <w:tcPr>
            <w:tcW w:w="5000" w:type="pct"/>
            <w:vAlign w:val="center"/>
            <w:hideMark/>
          </w:tcPr>
          <w:p w14:paraId="06292C6C" w14:textId="77777777" w:rsidR="00C84AA6" w:rsidRPr="00057E0A" w:rsidRDefault="00C84AA6" w:rsidP="00B9224E">
            <w:pPr>
              <w:pStyle w:val="TableText"/>
              <w:rPr>
                <w:b/>
                <w:bCs w:val="0"/>
              </w:rPr>
            </w:pPr>
            <w:r w:rsidRPr="00057E0A">
              <w:rPr>
                <w:b/>
                <w:bCs w:val="0"/>
              </w:rPr>
              <w:t>Population criteria:</w:t>
            </w:r>
          </w:p>
        </w:tc>
      </w:tr>
      <w:tr w:rsidR="00C84AA6" w:rsidRPr="0098262F" w14:paraId="1DA96570" w14:textId="77777777" w:rsidTr="003A4C14">
        <w:trPr>
          <w:cantSplit/>
          <w:trHeight w:val="20"/>
        </w:trPr>
        <w:tc>
          <w:tcPr>
            <w:tcW w:w="5000" w:type="pct"/>
            <w:vAlign w:val="center"/>
          </w:tcPr>
          <w:p w14:paraId="3FFE665A" w14:textId="03D5CD28" w:rsidR="00C84AA6" w:rsidRPr="00C84AA6" w:rsidRDefault="00C84AA6" w:rsidP="00B9224E">
            <w:pPr>
              <w:pStyle w:val="TableText"/>
            </w:pPr>
            <w:r>
              <w:t xml:space="preserve">Patient must be </w:t>
            </w:r>
            <w:r w:rsidR="006056E0">
              <w:t xml:space="preserve">at least 6 years of age </w:t>
            </w:r>
          </w:p>
        </w:tc>
      </w:tr>
      <w:tr w:rsidR="00C84AA6" w:rsidRPr="0098262F" w14:paraId="36CE7905" w14:textId="77777777" w:rsidTr="003A4C14">
        <w:trPr>
          <w:cantSplit/>
          <w:trHeight w:val="20"/>
        </w:trPr>
        <w:tc>
          <w:tcPr>
            <w:tcW w:w="5000" w:type="pct"/>
            <w:vAlign w:val="center"/>
            <w:hideMark/>
          </w:tcPr>
          <w:p w14:paraId="6FCA5EAF" w14:textId="5C575E60" w:rsidR="00C84AA6" w:rsidRPr="00057E0A" w:rsidRDefault="00C84AA6" w:rsidP="00B9224E">
            <w:pPr>
              <w:pStyle w:val="TableText"/>
              <w:rPr>
                <w:b/>
                <w:bCs w:val="0"/>
              </w:rPr>
            </w:pPr>
            <w:r w:rsidRPr="00057E0A">
              <w:rPr>
                <w:b/>
                <w:bCs w:val="0"/>
              </w:rPr>
              <w:t xml:space="preserve">Prescribing Instructions: </w:t>
            </w:r>
          </w:p>
          <w:p w14:paraId="0DD81C9D" w14:textId="54E450E2" w:rsidR="00C84AA6" w:rsidRPr="0098262F" w:rsidRDefault="00C84AA6" w:rsidP="00B9224E">
            <w:pPr>
              <w:pStyle w:val="TableText"/>
            </w:pPr>
            <w:r w:rsidRPr="009B7709">
              <w:t xml:space="preserve">For the purposes of this restriction, the list of mutations considered to be responsive to </w:t>
            </w:r>
            <w:r>
              <w:t>elexacaftor/tezacaftor/</w:t>
            </w:r>
            <w:r w:rsidRPr="009B7709">
              <w:t>ivacaftor is defined in the TGA approved Product Information</w:t>
            </w:r>
          </w:p>
        </w:tc>
      </w:tr>
      <w:tr w:rsidR="00C84AA6" w:rsidRPr="0098262F" w14:paraId="1D7544BA" w14:textId="77777777" w:rsidTr="003A4C14">
        <w:trPr>
          <w:cantSplit/>
          <w:trHeight w:val="20"/>
        </w:trPr>
        <w:tc>
          <w:tcPr>
            <w:tcW w:w="5000" w:type="pct"/>
            <w:vAlign w:val="center"/>
          </w:tcPr>
          <w:p w14:paraId="6EF5D6DD" w14:textId="77777777" w:rsidR="00C84AA6" w:rsidRPr="00057E0A" w:rsidRDefault="00C84AA6" w:rsidP="00B9224E">
            <w:pPr>
              <w:pStyle w:val="TableText"/>
              <w:rPr>
                <w:b/>
                <w:bCs w:val="0"/>
              </w:rPr>
            </w:pPr>
            <w:r w:rsidRPr="00057E0A">
              <w:rPr>
                <w:b/>
                <w:bCs w:val="0"/>
              </w:rPr>
              <w:t xml:space="preserve">Prescribing Instructions: </w:t>
            </w:r>
          </w:p>
          <w:p w14:paraId="7BA253C9" w14:textId="1678A821" w:rsidR="00C84AA6" w:rsidRPr="00C84AA6" w:rsidRDefault="00C84AA6" w:rsidP="00B9224E">
            <w:pPr>
              <w:pStyle w:val="TableText"/>
            </w:pPr>
            <w:r w:rsidRPr="00C84AA6">
              <w:t>This pharmaceutical benefit is not PBS-subsidised for this condition in a patient who is currently receiving one of the strong CYP3A4 inducers outlined in the Product Information.</w:t>
            </w:r>
          </w:p>
        </w:tc>
      </w:tr>
      <w:tr w:rsidR="00C84AA6" w:rsidRPr="0098262F" w14:paraId="4FAC6209" w14:textId="77777777" w:rsidTr="003A4C14">
        <w:trPr>
          <w:cantSplit/>
          <w:trHeight w:val="20"/>
        </w:trPr>
        <w:tc>
          <w:tcPr>
            <w:tcW w:w="5000" w:type="pct"/>
            <w:vAlign w:val="center"/>
          </w:tcPr>
          <w:p w14:paraId="7851E393" w14:textId="77777777" w:rsidR="00C84AA6" w:rsidRPr="00057E0A" w:rsidRDefault="00C84AA6" w:rsidP="00B9224E">
            <w:pPr>
              <w:pStyle w:val="TableText"/>
              <w:rPr>
                <w:b/>
                <w:bCs w:val="0"/>
              </w:rPr>
            </w:pPr>
            <w:r w:rsidRPr="00057E0A">
              <w:rPr>
                <w:b/>
                <w:bCs w:val="0"/>
              </w:rPr>
              <w:t>Prescribing Instructions:</w:t>
            </w:r>
          </w:p>
          <w:p w14:paraId="36C0CA87" w14:textId="77777777" w:rsidR="00C84AA6" w:rsidRPr="00C84AA6" w:rsidRDefault="00C84AA6" w:rsidP="00B9224E">
            <w:pPr>
              <w:pStyle w:val="TableText"/>
            </w:pPr>
            <w:r w:rsidRPr="00C84AA6">
              <w:t>The authority application must be in writing and must include:</w:t>
            </w:r>
          </w:p>
          <w:p w14:paraId="1D265C49" w14:textId="77777777" w:rsidR="00C84AA6" w:rsidRPr="00C84AA6" w:rsidRDefault="00C84AA6" w:rsidP="00B9224E">
            <w:pPr>
              <w:pStyle w:val="TableText"/>
            </w:pPr>
            <w:r w:rsidRPr="00C84AA6">
              <w:t>(1) a completed authority prescription; and</w:t>
            </w:r>
          </w:p>
          <w:p w14:paraId="63AF1BAF" w14:textId="77777777" w:rsidR="00C84AA6" w:rsidRPr="00C84AA6" w:rsidRDefault="00C84AA6" w:rsidP="00B9224E">
            <w:pPr>
              <w:pStyle w:val="TableText"/>
            </w:pPr>
            <w:r w:rsidRPr="00C84AA6">
              <w:t>(2) a completed Cystic Fibrosis Authority Application Supporting Information Form; and</w:t>
            </w:r>
          </w:p>
          <w:p w14:paraId="4FC5E722" w14:textId="77777777" w:rsidR="00C84AA6" w:rsidRPr="00C84AA6" w:rsidRDefault="00C84AA6" w:rsidP="00B9224E">
            <w:pPr>
              <w:pStyle w:val="TableText"/>
            </w:pPr>
            <w:r w:rsidRPr="00C84AA6">
              <w:t>(3) details of the pathology report substantiating the specific mutation considered to be responsive to elexacaftor/tezacaftor/ivacaftor as listed in the TGA approved PI - quote each of the: (i) the specific mutation listed in the TGA approved PI (ii) name of the pathology report provider, (iii) date of pathology report, (iv) unique identifying number/code that links the pathology result to the individual patient; and</w:t>
            </w:r>
          </w:p>
          <w:p w14:paraId="69F3F935" w14:textId="7640E607" w:rsidR="00C84AA6" w:rsidRPr="0098262F" w:rsidRDefault="00C84AA6" w:rsidP="00B9224E">
            <w:pPr>
              <w:pStyle w:val="TableText"/>
              <w:rPr>
                <w:b/>
              </w:rPr>
            </w:pPr>
            <w:r w:rsidRPr="00C84AA6">
              <w:t>(4) current CYP3A4 inhibitors, CYP3A4 inducers and IV antibiotics</w:t>
            </w:r>
          </w:p>
        </w:tc>
      </w:tr>
      <w:tr w:rsidR="00C84AA6" w:rsidRPr="0098262F" w14:paraId="292480CA" w14:textId="77777777" w:rsidTr="003A4C14">
        <w:trPr>
          <w:cantSplit/>
          <w:trHeight w:val="20"/>
        </w:trPr>
        <w:tc>
          <w:tcPr>
            <w:tcW w:w="5000" w:type="pct"/>
            <w:vAlign w:val="center"/>
            <w:hideMark/>
          </w:tcPr>
          <w:p w14:paraId="4611F65D" w14:textId="77777777" w:rsidR="00C84AA6" w:rsidRPr="00057E0A" w:rsidRDefault="00C84AA6" w:rsidP="00B9224E">
            <w:pPr>
              <w:pStyle w:val="TableText"/>
              <w:rPr>
                <w:b/>
                <w:bCs w:val="0"/>
              </w:rPr>
            </w:pPr>
            <w:r w:rsidRPr="00057E0A">
              <w:rPr>
                <w:b/>
                <w:bCs w:val="0"/>
              </w:rPr>
              <w:t xml:space="preserve">Administrative Advice: </w:t>
            </w:r>
          </w:p>
          <w:p w14:paraId="78E5F63D" w14:textId="5C37E435" w:rsidR="00C84AA6" w:rsidRPr="0098262F" w:rsidRDefault="00C84AA6" w:rsidP="00B9224E">
            <w:pPr>
              <w:pStyle w:val="TableText"/>
            </w:pPr>
            <w:r w:rsidRPr="00C8249A">
              <w:t>No increase in the maximum quantity or number of units may be authorised.</w:t>
            </w:r>
          </w:p>
        </w:tc>
      </w:tr>
      <w:tr w:rsidR="00C84AA6" w:rsidRPr="0098262F" w14:paraId="797AC3CD" w14:textId="77777777" w:rsidTr="003A4C14">
        <w:trPr>
          <w:cantSplit/>
          <w:trHeight w:val="20"/>
        </w:trPr>
        <w:tc>
          <w:tcPr>
            <w:tcW w:w="5000" w:type="pct"/>
            <w:vAlign w:val="center"/>
          </w:tcPr>
          <w:p w14:paraId="4D3C241F" w14:textId="77777777" w:rsidR="00C84AA6" w:rsidRDefault="00C84AA6" w:rsidP="00B9224E">
            <w:pPr>
              <w:pStyle w:val="TableText"/>
            </w:pPr>
            <w:r w:rsidRPr="0098262F">
              <w:t xml:space="preserve">Administrative Advice: </w:t>
            </w:r>
          </w:p>
          <w:p w14:paraId="114E074D" w14:textId="51083918" w:rsidR="00C84AA6" w:rsidRPr="00C84AA6" w:rsidRDefault="00C84AA6" w:rsidP="00B9224E">
            <w:pPr>
              <w:pStyle w:val="TableText"/>
            </w:pPr>
            <w:r w:rsidRPr="00057E0A">
              <w:rPr>
                <w:b/>
                <w:bCs w:val="0"/>
              </w:rPr>
              <w:t>No increase in the maximum</w:t>
            </w:r>
            <w:r w:rsidRPr="00C84AA6">
              <w:t xml:space="preserve"> number of repeats may be authorised</w:t>
            </w:r>
            <w:r>
              <w:t>.</w:t>
            </w:r>
          </w:p>
        </w:tc>
      </w:tr>
      <w:tr w:rsidR="00C84AA6" w:rsidRPr="0098262F" w14:paraId="1C4D00FF" w14:textId="77777777" w:rsidTr="003A4C14">
        <w:trPr>
          <w:cantSplit/>
          <w:trHeight w:val="20"/>
        </w:trPr>
        <w:tc>
          <w:tcPr>
            <w:tcW w:w="5000" w:type="pct"/>
            <w:vAlign w:val="center"/>
          </w:tcPr>
          <w:p w14:paraId="073A32C2" w14:textId="77777777" w:rsidR="00C84AA6" w:rsidRDefault="00C84AA6" w:rsidP="00B9224E">
            <w:pPr>
              <w:pStyle w:val="TableText"/>
            </w:pPr>
            <w:r w:rsidRPr="00057E0A">
              <w:rPr>
                <w:b/>
                <w:bCs w:val="0"/>
              </w:rPr>
              <w:t>Administrative Advice</w:t>
            </w:r>
            <w:r w:rsidRPr="0098262F">
              <w:t xml:space="preserve">: </w:t>
            </w:r>
          </w:p>
          <w:p w14:paraId="4956A6E2" w14:textId="56B20301" w:rsidR="00C84AA6" w:rsidRPr="00C84AA6" w:rsidRDefault="00C84AA6" w:rsidP="00B9224E">
            <w:pPr>
              <w:pStyle w:val="TableText"/>
            </w:pPr>
            <w:r w:rsidRPr="00C84AA6">
              <w:t>Special Pricing Arrangements apply.</w:t>
            </w:r>
          </w:p>
        </w:tc>
      </w:tr>
      <w:tr w:rsidR="00C84AA6" w:rsidRPr="0098262F" w14:paraId="6E213B1F" w14:textId="77777777" w:rsidTr="003A4C14">
        <w:trPr>
          <w:cantSplit/>
          <w:trHeight w:val="20"/>
        </w:trPr>
        <w:tc>
          <w:tcPr>
            <w:tcW w:w="5000" w:type="pct"/>
            <w:vAlign w:val="center"/>
          </w:tcPr>
          <w:p w14:paraId="7C045283" w14:textId="77777777" w:rsidR="00C84AA6" w:rsidRPr="00057E0A" w:rsidRDefault="00C84AA6" w:rsidP="00B9224E">
            <w:pPr>
              <w:pStyle w:val="TableText"/>
              <w:rPr>
                <w:b/>
                <w:bCs w:val="0"/>
              </w:rPr>
            </w:pPr>
            <w:r w:rsidRPr="00057E0A">
              <w:rPr>
                <w:b/>
                <w:bCs w:val="0"/>
              </w:rPr>
              <w:lastRenderedPageBreak/>
              <w:t xml:space="preserve">Administrative Advice: </w:t>
            </w:r>
          </w:p>
          <w:p w14:paraId="6C861003" w14:textId="68D112D8" w:rsidR="00C84AA6" w:rsidRPr="00C84AA6" w:rsidRDefault="00C84AA6" w:rsidP="00B9224E">
            <w:pPr>
              <w:pStyle w:val="TableText"/>
            </w:pPr>
            <w:r w:rsidRPr="00C84AA6">
              <w:t>For the purposes of this restriction, PBS-subsidised 'CFTR modulator' means ivacaftor, lumacaftor/ivacaftor, tezacaftor/ivacaftor and elexacaftor/ tezacaftor/ ivacaftor.</w:t>
            </w:r>
          </w:p>
        </w:tc>
      </w:tr>
      <w:tr w:rsidR="00C84AA6" w:rsidRPr="0098262F" w14:paraId="165C1530" w14:textId="77777777" w:rsidTr="003A4C14">
        <w:trPr>
          <w:cantSplit/>
          <w:trHeight w:val="20"/>
        </w:trPr>
        <w:tc>
          <w:tcPr>
            <w:tcW w:w="5000" w:type="pct"/>
            <w:vAlign w:val="center"/>
          </w:tcPr>
          <w:p w14:paraId="3E78DB26" w14:textId="77777777" w:rsidR="00C84AA6" w:rsidRPr="00057E0A" w:rsidRDefault="00C84AA6" w:rsidP="00B9224E">
            <w:pPr>
              <w:pStyle w:val="TableText"/>
              <w:rPr>
                <w:b/>
                <w:bCs w:val="0"/>
              </w:rPr>
            </w:pPr>
            <w:r w:rsidRPr="00057E0A">
              <w:rPr>
                <w:b/>
                <w:bCs w:val="0"/>
              </w:rPr>
              <w:t xml:space="preserve">Administrative Advice: </w:t>
            </w:r>
          </w:p>
          <w:p w14:paraId="4FCA1452" w14:textId="77777777" w:rsidR="00C84AA6" w:rsidRPr="00C84AA6" w:rsidRDefault="00C84AA6" w:rsidP="00B9224E">
            <w:pPr>
              <w:pStyle w:val="TableText"/>
            </w:pPr>
            <w:r w:rsidRPr="00C84AA6">
              <w:t>Any queries concerning the arrangements to prescribe may be directed to Services Australia on 1800 700 270 (hours of operation 8 a.m. to 5 p.m. Monday to Friday).</w:t>
            </w:r>
          </w:p>
          <w:p w14:paraId="167A7412" w14:textId="77777777" w:rsidR="00C84AA6" w:rsidRPr="00C84AA6" w:rsidRDefault="00C84AA6" w:rsidP="00B9224E">
            <w:pPr>
              <w:pStyle w:val="TableText"/>
            </w:pPr>
            <w:r w:rsidRPr="00C84AA6">
              <w:t>Prescribing information (including Authority Application forms and other relevant documentation as applicable) is available on the Services Australia website at www.servicesaustralia.gov.au</w:t>
            </w:r>
          </w:p>
          <w:p w14:paraId="72C387B0" w14:textId="77777777" w:rsidR="00C84AA6" w:rsidRPr="00C84AA6" w:rsidRDefault="00C84AA6" w:rsidP="00B9224E">
            <w:pPr>
              <w:pStyle w:val="TableText"/>
            </w:pPr>
            <w:r w:rsidRPr="00C84AA6">
              <w:t>Applications for authority to prescribe should be submitted online using the form upload facility in Health Professional Online Services (HPOS) at www.servicesaustralia.gov.au/hpos</w:t>
            </w:r>
          </w:p>
          <w:p w14:paraId="52397122" w14:textId="77777777" w:rsidR="00C84AA6" w:rsidRPr="00C84AA6" w:rsidRDefault="00C84AA6" w:rsidP="00B9224E">
            <w:pPr>
              <w:pStyle w:val="TableText"/>
            </w:pPr>
            <w:r w:rsidRPr="00C84AA6">
              <w:t>Or mailed to:</w:t>
            </w:r>
          </w:p>
          <w:p w14:paraId="00B60B7C" w14:textId="77777777" w:rsidR="00C84AA6" w:rsidRPr="00C84AA6" w:rsidRDefault="00C84AA6" w:rsidP="00B9224E">
            <w:pPr>
              <w:pStyle w:val="TableText"/>
            </w:pPr>
            <w:r w:rsidRPr="00C84AA6">
              <w:t>Services Australia</w:t>
            </w:r>
          </w:p>
          <w:p w14:paraId="62E33743" w14:textId="77777777" w:rsidR="00C84AA6" w:rsidRPr="00C84AA6" w:rsidRDefault="00C84AA6" w:rsidP="00B9224E">
            <w:pPr>
              <w:pStyle w:val="TableText"/>
            </w:pPr>
            <w:r w:rsidRPr="00C84AA6">
              <w:t>Complex Drugs</w:t>
            </w:r>
          </w:p>
          <w:p w14:paraId="41CBED6B" w14:textId="77777777" w:rsidR="00C84AA6" w:rsidRPr="00C84AA6" w:rsidRDefault="00C84AA6" w:rsidP="00B9224E">
            <w:pPr>
              <w:pStyle w:val="TableText"/>
            </w:pPr>
            <w:r w:rsidRPr="00C84AA6">
              <w:t>Reply Paid 9826</w:t>
            </w:r>
          </w:p>
          <w:p w14:paraId="2CECE00D" w14:textId="475FEC46" w:rsidR="00C84AA6" w:rsidRPr="00C84AA6" w:rsidRDefault="00C84AA6" w:rsidP="00B9224E">
            <w:pPr>
              <w:pStyle w:val="TableText"/>
            </w:pPr>
            <w:r w:rsidRPr="00C84AA6">
              <w:t>HOBART TAS 7001</w:t>
            </w:r>
          </w:p>
        </w:tc>
      </w:tr>
      <w:bookmarkEnd w:id="20"/>
    </w:tbl>
    <w:p w14:paraId="22BAEBD6" w14:textId="77777777" w:rsidR="00046D64" w:rsidRDefault="00046D64" w:rsidP="004B1CB4"/>
    <w:p w14:paraId="5FD17068" w14:textId="77777777" w:rsidR="00AA540E" w:rsidRDefault="00AA540E" w:rsidP="004B1C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AA540E" w:rsidRPr="0098262F" w14:paraId="3CEB0DD0" w14:textId="77777777" w:rsidTr="00A14777">
        <w:trPr>
          <w:cantSplit/>
          <w:trHeight w:val="20"/>
        </w:trPr>
        <w:tc>
          <w:tcPr>
            <w:tcW w:w="5000" w:type="pct"/>
          </w:tcPr>
          <w:p w14:paraId="7B566845" w14:textId="77777777" w:rsidR="00AA540E" w:rsidRPr="0098262F" w:rsidRDefault="00AA540E" w:rsidP="00A14777">
            <w:pPr>
              <w:pStyle w:val="TableText"/>
            </w:pPr>
            <w:r w:rsidRPr="0098262F">
              <w:rPr>
                <w:b/>
              </w:rPr>
              <w:t xml:space="preserve">Category / Program: </w:t>
            </w:r>
            <w:r w:rsidRPr="0098262F">
              <w:t xml:space="preserve">Section 100 – </w:t>
            </w:r>
            <w:r>
              <w:t>Highly Specialised Drugs Program</w:t>
            </w:r>
          </w:p>
        </w:tc>
      </w:tr>
      <w:tr w:rsidR="00AA540E" w:rsidRPr="0098262F" w14:paraId="0FF06A45" w14:textId="77777777" w:rsidTr="00A14777">
        <w:trPr>
          <w:cantSplit/>
          <w:trHeight w:val="20"/>
        </w:trPr>
        <w:tc>
          <w:tcPr>
            <w:tcW w:w="5000" w:type="pct"/>
          </w:tcPr>
          <w:p w14:paraId="207DAA06" w14:textId="77777777" w:rsidR="00AA540E" w:rsidRPr="0098262F" w:rsidRDefault="00AA540E" w:rsidP="00A14777">
            <w:pPr>
              <w:pStyle w:val="TableText"/>
              <w:rPr>
                <w:b/>
              </w:rPr>
            </w:pPr>
            <w:r w:rsidRPr="0098262F">
              <w:rPr>
                <w:b/>
              </w:rPr>
              <w:t xml:space="preserve">Prescriber type: </w:t>
            </w:r>
            <w:r w:rsidRPr="0098262F">
              <w:fldChar w:fldCharType="begin">
                <w:ffData>
                  <w:name w:val="Check1"/>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Dental </w:t>
            </w: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98262F">
              <w:t xml:space="preserve">Medical Practitioners </w:t>
            </w:r>
            <w:r w:rsidRPr="0098262F">
              <w:fldChar w:fldCharType="begin">
                <w:ffData>
                  <w:name w:val="Check3"/>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Nurse practitioners </w:t>
            </w:r>
            <w:r w:rsidRPr="0098262F">
              <w:fldChar w:fldCharType="begin">
                <w:ffData>
                  <w:name w:val=""/>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Optometrists </w:t>
            </w:r>
            <w:r w:rsidRPr="0098262F">
              <w:fldChar w:fldCharType="begin">
                <w:ffData>
                  <w:name w:val="Check5"/>
                  <w:enabled/>
                  <w:calcOnExit w:val="0"/>
                  <w:checkBox>
                    <w:sizeAuto/>
                    <w:default w:val="0"/>
                  </w:checkBox>
                </w:ffData>
              </w:fldChar>
            </w:r>
            <w:r w:rsidRPr="0098262F">
              <w:instrText xml:space="preserve"> FORMCHECKBOX </w:instrText>
            </w:r>
            <w:r w:rsidRPr="0098262F">
              <w:fldChar w:fldCharType="separate"/>
            </w:r>
            <w:r w:rsidRPr="0098262F">
              <w:fldChar w:fldCharType="end"/>
            </w:r>
          </w:p>
        </w:tc>
      </w:tr>
      <w:tr w:rsidR="00AA540E" w:rsidRPr="0098262F" w14:paraId="77323475" w14:textId="77777777" w:rsidTr="00A14777">
        <w:trPr>
          <w:cantSplit/>
          <w:trHeight w:val="20"/>
        </w:trPr>
        <w:tc>
          <w:tcPr>
            <w:tcW w:w="5000" w:type="pct"/>
          </w:tcPr>
          <w:p w14:paraId="1529947D" w14:textId="77777777" w:rsidR="00AA540E" w:rsidRPr="0098262F" w:rsidRDefault="00AA540E" w:rsidP="00A14777">
            <w:pPr>
              <w:pStyle w:val="TableText"/>
            </w:pPr>
            <w:r w:rsidRPr="0098262F">
              <w:rPr>
                <w:b/>
              </w:rPr>
              <w:t>Restriction type:</w:t>
            </w:r>
            <w:r w:rsidRPr="0098262F">
              <w:rPr>
                <w:color w:val="0066FF"/>
              </w:rPr>
              <w:t xml:space="preserve"> </w:t>
            </w:r>
            <w:r w:rsidRPr="0098262F">
              <w:br/>
            </w: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98262F">
              <w:t xml:space="preserve">Authority Required (in writing only via post/HPOS upload)  </w:t>
            </w:r>
          </w:p>
        </w:tc>
      </w:tr>
      <w:tr w:rsidR="00AA540E" w:rsidRPr="0098262F" w14:paraId="6DF3C7E1" w14:textId="77777777" w:rsidTr="00A14777">
        <w:trPr>
          <w:cantSplit/>
          <w:trHeight w:val="20"/>
        </w:trPr>
        <w:tc>
          <w:tcPr>
            <w:tcW w:w="5000" w:type="pct"/>
            <w:vAlign w:val="center"/>
          </w:tcPr>
          <w:p w14:paraId="5C135D6B" w14:textId="77777777" w:rsidR="00AA540E" w:rsidRPr="0098262F" w:rsidRDefault="00AA540E" w:rsidP="00A14777">
            <w:pPr>
              <w:pStyle w:val="TableText"/>
              <w:rPr>
                <w:b/>
              </w:rPr>
            </w:pPr>
            <w:r w:rsidRPr="0098262F">
              <w:rPr>
                <w:b/>
              </w:rPr>
              <w:t xml:space="preserve">Condition: </w:t>
            </w:r>
            <w:r w:rsidRPr="00C84AA6">
              <w:t>Cystic fibrosis</w:t>
            </w:r>
            <w:r w:rsidRPr="0098262F">
              <w:rPr>
                <w:color w:val="0066FF"/>
              </w:rPr>
              <w:t xml:space="preserve"> </w:t>
            </w:r>
          </w:p>
        </w:tc>
      </w:tr>
      <w:tr w:rsidR="00AA540E" w:rsidRPr="0098262F" w14:paraId="322143D0" w14:textId="77777777" w:rsidTr="00A14777">
        <w:trPr>
          <w:cantSplit/>
          <w:trHeight w:val="20"/>
        </w:trPr>
        <w:tc>
          <w:tcPr>
            <w:tcW w:w="5000" w:type="pct"/>
            <w:vAlign w:val="center"/>
            <w:hideMark/>
          </w:tcPr>
          <w:p w14:paraId="3C48062A" w14:textId="77777777" w:rsidR="00AA540E" w:rsidRPr="0098262F" w:rsidRDefault="00AA540E" w:rsidP="00A14777">
            <w:pPr>
              <w:pStyle w:val="TableText"/>
            </w:pPr>
            <w:r w:rsidRPr="0098262F">
              <w:rPr>
                <w:b/>
              </w:rPr>
              <w:t>Indication:</w:t>
            </w:r>
            <w:r w:rsidRPr="0098262F">
              <w:t xml:space="preserve"> </w:t>
            </w:r>
            <w:r w:rsidRPr="00C84AA6">
              <w:t>Cystic fibrosis</w:t>
            </w:r>
          </w:p>
        </w:tc>
      </w:tr>
      <w:tr w:rsidR="00AA540E" w:rsidRPr="0098262F" w14:paraId="68E2DECE" w14:textId="77777777" w:rsidTr="00A14777">
        <w:trPr>
          <w:cantSplit/>
          <w:trHeight w:val="20"/>
        </w:trPr>
        <w:tc>
          <w:tcPr>
            <w:tcW w:w="5000" w:type="pct"/>
            <w:vAlign w:val="center"/>
            <w:hideMark/>
          </w:tcPr>
          <w:p w14:paraId="41335223" w14:textId="74EA559E" w:rsidR="00AA540E" w:rsidRPr="00C84AA6" w:rsidRDefault="00AA540E" w:rsidP="00A14777">
            <w:pPr>
              <w:pStyle w:val="TableText"/>
            </w:pPr>
            <w:r w:rsidRPr="0098262F">
              <w:rPr>
                <w:b/>
              </w:rPr>
              <w:t>Treatment Phase:</w:t>
            </w:r>
            <w:r w:rsidRPr="0098262F">
              <w:t xml:space="preserve"> </w:t>
            </w:r>
            <w:r>
              <w:rPr>
                <w:color w:val="0066FF"/>
              </w:rPr>
              <w:t xml:space="preserve"> </w:t>
            </w:r>
            <w:r w:rsidRPr="00DA730F">
              <w:t>C</w:t>
            </w:r>
            <w:r w:rsidRPr="00F214B5">
              <w:t>ontinuing treatment</w:t>
            </w:r>
          </w:p>
        </w:tc>
      </w:tr>
      <w:tr w:rsidR="00AA540E" w:rsidRPr="0098262F" w14:paraId="756C95D4" w14:textId="77777777" w:rsidTr="00A14777">
        <w:trPr>
          <w:cantSplit/>
          <w:trHeight w:val="20"/>
        </w:trPr>
        <w:tc>
          <w:tcPr>
            <w:tcW w:w="5000" w:type="pct"/>
            <w:vAlign w:val="center"/>
            <w:hideMark/>
          </w:tcPr>
          <w:p w14:paraId="628A79B9" w14:textId="77777777" w:rsidR="00AA540E" w:rsidRPr="00C84AA6" w:rsidRDefault="00AA540E" w:rsidP="00A14777">
            <w:pPr>
              <w:pStyle w:val="TableText"/>
            </w:pPr>
            <w:r w:rsidRPr="00F214B5">
              <w:rPr>
                <w:b/>
                <w:bCs w:val="0"/>
              </w:rPr>
              <w:t>Clinical criteria</w:t>
            </w:r>
            <w:r w:rsidRPr="00C84AA6">
              <w:t>:</w:t>
            </w:r>
          </w:p>
        </w:tc>
      </w:tr>
      <w:tr w:rsidR="00AA540E" w:rsidRPr="0098262F" w14:paraId="280C5654" w14:textId="77777777" w:rsidTr="00A14777">
        <w:trPr>
          <w:cantSplit/>
          <w:trHeight w:val="20"/>
        </w:trPr>
        <w:tc>
          <w:tcPr>
            <w:tcW w:w="5000" w:type="pct"/>
            <w:hideMark/>
          </w:tcPr>
          <w:p w14:paraId="61BCEE3C" w14:textId="77777777" w:rsidR="00AA540E" w:rsidRPr="0098262F" w:rsidRDefault="00AA540E" w:rsidP="00A14777">
            <w:pPr>
              <w:pStyle w:val="TableText"/>
            </w:pPr>
            <w:r>
              <w:t>Patient must have previously received PBS-subsidised treatment for this condition</w:t>
            </w:r>
          </w:p>
        </w:tc>
      </w:tr>
      <w:tr w:rsidR="00AA540E" w:rsidRPr="0098262F" w14:paraId="7053D42B" w14:textId="77777777" w:rsidTr="00A14777">
        <w:trPr>
          <w:cantSplit/>
          <w:trHeight w:val="20"/>
        </w:trPr>
        <w:tc>
          <w:tcPr>
            <w:tcW w:w="5000" w:type="pct"/>
            <w:vAlign w:val="center"/>
            <w:hideMark/>
          </w:tcPr>
          <w:p w14:paraId="7C58A8E2" w14:textId="77777777" w:rsidR="00AA540E" w:rsidRPr="00F214B5" w:rsidRDefault="00AA540E" w:rsidP="00A14777">
            <w:pPr>
              <w:pStyle w:val="TableText"/>
              <w:rPr>
                <w:b/>
                <w:bCs w:val="0"/>
              </w:rPr>
            </w:pPr>
            <w:r w:rsidRPr="00F214B5">
              <w:rPr>
                <w:b/>
                <w:bCs w:val="0"/>
              </w:rPr>
              <w:t>AND</w:t>
            </w:r>
          </w:p>
        </w:tc>
      </w:tr>
      <w:tr w:rsidR="00AA540E" w:rsidRPr="0098262F" w14:paraId="1460BC86" w14:textId="77777777" w:rsidTr="00A14777">
        <w:trPr>
          <w:cantSplit/>
          <w:trHeight w:val="20"/>
        </w:trPr>
        <w:tc>
          <w:tcPr>
            <w:tcW w:w="5000" w:type="pct"/>
            <w:vAlign w:val="center"/>
            <w:hideMark/>
          </w:tcPr>
          <w:p w14:paraId="5AFF6F61" w14:textId="77777777" w:rsidR="00AA540E" w:rsidRPr="00F214B5" w:rsidRDefault="00AA540E" w:rsidP="00A14777">
            <w:pPr>
              <w:pStyle w:val="TableText"/>
              <w:rPr>
                <w:b/>
                <w:bCs w:val="0"/>
              </w:rPr>
            </w:pPr>
            <w:r w:rsidRPr="00F214B5">
              <w:rPr>
                <w:b/>
                <w:bCs w:val="0"/>
              </w:rPr>
              <w:t>Clinical criteria:</w:t>
            </w:r>
          </w:p>
        </w:tc>
      </w:tr>
      <w:tr w:rsidR="00AA540E" w:rsidRPr="0098262F" w14:paraId="04C3D92E" w14:textId="77777777" w:rsidTr="00A14777">
        <w:trPr>
          <w:cantSplit/>
          <w:trHeight w:val="20"/>
        </w:trPr>
        <w:tc>
          <w:tcPr>
            <w:tcW w:w="5000" w:type="pct"/>
            <w:vAlign w:val="center"/>
            <w:hideMark/>
          </w:tcPr>
          <w:p w14:paraId="5E2D23D0" w14:textId="77777777" w:rsidR="00AA540E" w:rsidRPr="0098262F" w:rsidRDefault="00AA540E" w:rsidP="00A14777">
            <w:pPr>
              <w:pStyle w:val="TableText"/>
              <w:rPr>
                <w:color w:val="0066FF"/>
              </w:rPr>
            </w:pPr>
            <w:r w:rsidRPr="00C84AA6">
              <w:t>The treatment must be given concomitantly with standard therapy for this condition</w:t>
            </w:r>
          </w:p>
        </w:tc>
      </w:tr>
      <w:tr w:rsidR="00AA540E" w:rsidRPr="0098262F" w14:paraId="13135AC3" w14:textId="77777777" w:rsidTr="00A14777">
        <w:trPr>
          <w:cantSplit/>
          <w:trHeight w:val="20"/>
        </w:trPr>
        <w:tc>
          <w:tcPr>
            <w:tcW w:w="5000" w:type="pct"/>
            <w:vAlign w:val="center"/>
          </w:tcPr>
          <w:p w14:paraId="686F5B6D" w14:textId="77777777" w:rsidR="00AA540E" w:rsidRPr="00F214B5" w:rsidRDefault="00AA540E" w:rsidP="00A14777">
            <w:pPr>
              <w:pStyle w:val="TableText"/>
              <w:rPr>
                <w:b/>
                <w:bCs w:val="0"/>
              </w:rPr>
            </w:pPr>
            <w:r w:rsidRPr="00F214B5">
              <w:rPr>
                <w:b/>
                <w:bCs w:val="0"/>
              </w:rPr>
              <w:t>AND</w:t>
            </w:r>
          </w:p>
        </w:tc>
      </w:tr>
      <w:tr w:rsidR="00AA540E" w:rsidRPr="0098262F" w14:paraId="1E919D7C" w14:textId="77777777" w:rsidTr="00A14777">
        <w:trPr>
          <w:cantSplit/>
          <w:trHeight w:val="20"/>
        </w:trPr>
        <w:tc>
          <w:tcPr>
            <w:tcW w:w="5000" w:type="pct"/>
            <w:vAlign w:val="center"/>
            <w:hideMark/>
          </w:tcPr>
          <w:p w14:paraId="688DAF79" w14:textId="77777777" w:rsidR="00AA540E" w:rsidRPr="00F214B5" w:rsidRDefault="00AA540E" w:rsidP="00A14777">
            <w:pPr>
              <w:pStyle w:val="TableText"/>
              <w:rPr>
                <w:b/>
                <w:bCs w:val="0"/>
              </w:rPr>
            </w:pPr>
            <w:r w:rsidRPr="00F214B5">
              <w:rPr>
                <w:b/>
                <w:bCs w:val="0"/>
              </w:rPr>
              <w:t>Treatment criteria:</w:t>
            </w:r>
          </w:p>
        </w:tc>
      </w:tr>
      <w:tr w:rsidR="00AA540E" w:rsidRPr="0098262F" w14:paraId="40A7599E" w14:textId="77777777" w:rsidTr="00A14777">
        <w:trPr>
          <w:cantSplit/>
          <w:trHeight w:val="20"/>
        </w:trPr>
        <w:tc>
          <w:tcPr>
            <w:tcW w:w="5000" w:type="pct"/>
            <w:vAlign w:val="center"/>
            <w:hideMark/>
          </w:tcPr>
          <w:p w14:paraId="5353606F" w14:textId="77777777" w:rsidR="00AA540E" w:rsidRPr="00C84AA6" w:rsidRDefault="00AA540E" w:rsidP="00A14777">
            <w:pPr>
              <w:pStyle w:val="TableText"/>
            </w:pPr>
            <w:r w:rsidRPr="00C8249A">
              <w:t>Must be treated by a specialist respiratory physician with expertise in cystic fibrosis or in consultation with a specialist respiratory physician with expertise in cystic fibrosis if attendance is not possible due to geographic isolation</w:t>
            </w:r>
          </w:p>
        </w:tc>
      </w:tr>
      <w:tr w:rsidR="00AA540E" w:rsidRPr="0098262F" w14:paraId="1842DB92" w14:textId="77777777" w:rsidTr="00A14777">
        <w:trPr>
          <w:cantSplit/>
          <w:trHeight w:val="20"/>
        </w:trPr>
        <w:tc>
          <w:tcPr>
            <w:tcW w:w="5000" w:type="pct"/>
            <w:vAlign w:val="center"/>
          </w:tcPr>
          <w:p w14:paraId="6F25CD53" w14:textId="77777777" w:rsidR="00AA540E" w:rsidRPr="00F214B5" w:rsidRDefault="00AA540E" w:rsidP="00A14777">
            <w:pPr>
              <w:pStyle w:val="TableText"/>
              <w:rPr>
                <w:b/>
                <w:bCs w:val="0"/>
              </w:rPr>
            </w:pPr>
            <w:r w:rsidRPr="00F214B5">
              <w:rPr>
                <w:b/>
                <w:bCs w:val="0"/>
              </w:rPr>
              <w:t>AND</w:t>
            </w:r>
          </w:p>
        </w:tc>
      </w:tr>
      <w:tr w:rsidR="00AA540E" w:rsidRPr="0098262F" w14:paraId="67F1B84F" w14:textId="77777777" w:rsidTr="00A14777">
        <w:trPr>
          <w:cantSplit/>
          <w:trHeight w:val="20"/>
        </w:trPr>
        <w:tc>
          <w:tcPr>
            <w:tcW w:w="5000" w:type="pct"/>
            <w:vAlign w:val="center"/>
          </w:tcPr>
          <w:p w14:paraId="57EE319A" w14:textId="77777777" w:rsidR="00AA540E" w:rsidRPr="00F214B5" w:rsidRDefault="00AA540E" w:rsidP="00A14777">
            <w:pPr>
              <w:pStyle w:val="TableText"/>
              <w:rPr>
                <w:b/>
                <w:bCs w:val="0"/>
              </w:rPr>
            </w:pPr>
            <w:r w:rsidRPr="00F214B5">
              <w:rPr>
                <w:b/>
                <w:bCs w:val="0"/>
              </w:rPr>
              <w:t>Treatment criteria:</w:t>
            </w:r>
          </w:p>
        </w:tc>
      </w:tr>
      <w:tr w:rsidR="00AA540E" w:rsidRPr="0098262F" w14:paraId="7B69F34C" w14:textId="77777777" w:rsidTr="00A14777">
        <w:trPr>
          <w:cantSplit/>
          <w:trHeight w:val="20"/>
        </w:trPr>
        <w:tc>
          <w:tcPr>
            <w:tcW w:w="5000" w:type="pct"/>
            <w:vAlign w:val="center"/>
          </w:tcPr>
          <w:p w14:paraId="3F38A6F6" w14:textId="77777777" w:rsidR="00AA540E" w:rsidRPr="00C84AA6" w:rsidRDefault="00AA540E" w:rsidP="00A14777">
            <w:pPr>
              <w:pStyle w:val="TableText"/>
              <w:rPr>
                <w:b/>
              </w:rPr>
            </w:pPr>
            <w:r w:rsidRPr="00C8249A">
              <w:t>Must be treated in a centre with expertise in cystic fibrosis or in consultation with a centre with expertise in cystic fibrosis if attendance is not possible due to geographic isolation</w:t>
            </w:r>
          </w:p>
        </w:tc>
      </w:tr>
      <w:tr w:rsidR="00AA540E" w:rsidRPr="0098262F" w14:paraId="79B8E8B1" w14:textId="77777777" w:rsidTr="00A14777">
        <w:trPr>
          <w:cantSplit/>
          <w:trHeight w:val="20"/>
        </w:trPr>
        <w:tc>
          <w:tcPr>
            <w:tcW w:w="5000" w:type="pct"/>
            <w:vAlign w:val="center"/>
            <w:hideMark/>
          </w:tcPr>
          <w:p w14:paraId="2AA792D6" w14:textId="77777777" w:rsidR="00AA540E" w:rsidRPr="00F214B5" w:rsidRDefault="00AA540E" w:rsidP="00A14777">
            <w:pPr>
              <w:pStyle w:val="TableText"/>
              <w:rPr>
                <w:b/>
                <w:bCs w:val="0"/>
              </w:rPr>
            </w:pPr>
            <w:r w:rsidRPr="00F214B5">
              <w:rPr>
                <w:b/>
                <w:bCs w:val="0"/>
              </w:rPr>
              <w:t>Population criteria:</w:t>
            </w:r>
          </w:p>
        </w:tc>
      </w:tr>
      <w:tr w:rsidR="00AA540E" w:rsidRPr="0098262F" w14:paraId="01383AD2" w14:textId="77777777" w:rsidTr="00A14777">
        <w:trPr>
          <w:cantSplit/>
          <w:trHeight w:val="20"/>
        </w:trPr>
        <w:tc>
          <w:tcPr>
            <w:tcW w:w="5000" w:type="pct"/>
            <w:vAlign w:val="center"/>
          </w:tcPr>
          <w:p w14:paraId="45C3BD0B" w14:textId="77777777" w:rsidR="00AA540E" w:rsidRPr="00C84AA6" w:rsidRDefault="00AA540E" w:rsidP="00A14777">
            <w:pPr>
              <w:pStyle w:val="TableText"/>
            </w:pPr>
            <w:r>
              <w:t>Patient must be at least 6 years of age</w:t>
            </w:r>
          </w:p>
        </w:tc>
      </w:tr>
      <w:tr w:rsidR="00AA540E" w:rsidRPr="0098262F" w14:paraId="041A73E9" w14:textId="77777777" w:rsidTr="00A14777">
        <w:trPr>
          <w:cantSplit/>
          <w:trHeight w:val="20"/>
        </w:trPr>
        <w:tc>
          <w:tcPr>
            <w:tcW w:w="5000" w:type="pct"/>
            <w:vAlign w:val="center"/>
          </w:tcPr>
          <w:p w14:paraId="65354C60" w14:textId="77777777" w:rsidR="00AA540E" w:rsidRPr="006C531B" w:rsidRDefault="00AA540E" w:rsidP="00A14777">
            <w:pPr>
              <w:pStyle w:val="TableText"/>
              <w:rPr>
                <w:b/>
                <w:bCs w:val="0"/>
              </w:rPr>
            </w:pPr>
            <w:r w:rsidRPr="006C531B">
              <w:rPr>
                <w:b/>
                <w:bCs w:val="0"/>
              </w:rPr>
              <w:t xml:space="preserve">Prescribing Instructions: </w:t>
            </w:r>
          </w:p>
          <w:p w14:paraId="48BFE0A8" w14:textId="77777777" w:rsidR="00AA540E" w:rsidRPr="00C84AA6" w:rsidRDefault="00AA540E" w:rsidP="00A14777">
            <w:pPr>
              <w:pStyle w:val="TableText"/>
            </w:pPr>
            <w:r w:rsidRPr="00C84AA6">
              <w:t>This pharmaceutical benefit is not PBS-subsidised for this condition in a patient who is currently receiving one of the strong CYP3A4 inducers outlined in the Product Information.</w:t>
            </w:r>
          </w:p>
        </w:tc>
      </w:tr>
      <w:tr w:rsidR="00AA540E" w:rsidRPr="0098262F" w14:paraId="53F1DEE6" w14:textId="77777777" w:rsidTr="00A14777">
        <w:trPr>
          <w:cantSplit/>
          <w:trHeight w:val="20"/>
        </w:trPr>
        <w:tc>
          <w:tcPr>
            <w:tcW w:w="5000" w:type="pct"/>
            <w:vAlign w:val="center"/>
          </w:tcPr>
          <w:p w14:paraId="05DD742F" w14:textId="77777777" w:rsidR="00AA540E" w:rsidRPr="006C531B" w:rsidRDefault="00AA540E" w:rsidP="00A14777">
            <w:pPr>
              <w:pStyle w:val="TableText"/>
              <w:rPr>
                <w:b/>
                <w:bCs w:val="0"/>
              </w:rPr>
            </w:pPr>
            <w:r w:rsidRPr="006C531B">
              <w:rPr>
                <w:b/>
                <w:bCs w:val="0"/>
              </w:rPr>
              <w:t>Prescribing Instructions:</w:t>
            </w:r>
          </w:p>
          <w:p w14:paraId="1BBEEDF1" w14:textId="77777777" w:rsidR="00AA540E" w:rsidRPr="00C84AA6" w:rsidRDefault="00AA540E" w:rsidP="00A14777">
            <w:pPr>
              <w:pStyle w:val="TableText"/>
            </w:pPr>
            <w:r w:rsidRPr="00C84AA6">
              <w:t>The authority application must be in writing and must include:</w:t>
            </w:r>
          </w:p>
          <w:p w14:paraId="06BAF93E" w14:textId="77777777" w:rsidR="00AA540E" w:rsidRPr="00C84AA6" w:rsidRDefault="00AA540E" w:rsidP="00A14777">
            <w:pPr>
              <w:pStyle w:val="TableText"/>
            </w:pPr>
            <w:r w:rsidRPr="00C84AA6">
              <w:t>(1) a completed authority prescription; and</w:t>
            </w:r>
          </w:p>
          <w:p w14:paraId="4DF865F6" w14:textId="77777777" w:rsidR="00AA540E" w:rsidRPr="00C84AA6" w:rsidRDefault="00AA540E" w:rsidP="00A14777">
            <w:pPr>
              <w:pStyle w:val="TableText"/>
            </w:pPr>
            <w:r w:rsidRPr="00C84AA6">
              <w:t>(2) a completed Cystic Fibrosis</w:t>
            </w:r>
            <w:r>
              <w:t xml:space="preserve"> elexacaftor, tezacaftor with ivacaftor </w:t>
            </w:r>
            <w:r w:rsidRPr="00C84AA6">
              <w:t>Authority Application Supporting Information Form; and</w:t>
            </w:r>
          </w:p>
          <w:p w14:paraId="4D6C6F2D" w14:textId="77777777" w:rsidR="00AA540E" w:rsidRPr="0098262F" w:rsidRDefault="00AA540E" w:rsidP="00A14777">
            <w:pPr>
              <w:pStyle w:val="TableText"/>
              <w:rPr>
                <w:b/>
              </w:rPr>
            </w:pPr>
            <w:r w:rsidRPr="00C84AA6">
              <w:t>(</w:t>
            </w:r>
            <w:r>
              <w:t>3</w:t>
            </w:r>
            <w:r w:rsidRPr="00C84AA6">
              <w:t>) current CYP3A4 inhibitors, CYP3A4 inducers and IV antibiotics</w:t>
            </w:r>
          </w:p>
        </w:tc>
      </w:tr>
    </w:tbl>
    <w:p w14:paraId="12B576CD" w14:textId="77777777" w:rsidR="00AA540E" w:rsidRPr="0098262F" w:rsidRDefault="00AA540E" w:rsidP="004B1CB4"/>
    <w:p w14:paraId="50DF3000" w14:textId="2CEAE9D5" w:rsidR="00CC35EA" w:rsidRPr="003A2CA2" w:rsidRDefault="00057E0A" w:rsidP="00F9393E">
      <w:pPr>
        <w:pStyle w:val="3-BodyText"/>
        <w:rPr>
          <w:i/>
          <w:iCs/>
          <w:color w:val="0066FF"/>
        </w:rPr>
      </w:pPr>
      <w:r>
        <w:lastRenderedPageBreak/>
        <w:t xml:space="preserve">The proposed restrictions are essentially the same as the existing restrictions, with the cross reference to the TGA list of approved mutations as the basis for eligibility of patients. </w:t>
      </w:r>
      <w:r w:rsidR="0043392B">
        <w:t xml:space="preserve">The PBAC noted the ACM was supportive of not including </w:t>
      </w:r>
      <w:r w:rsidR="0043392B" w:rsidRPr="0043392B">
        <w:t>a restrictive list of specific variants.</w:t>
      </w:r>
    </w:p>
    <w:p w14:paraId="043DB916" w14:textId="731FA1AF" w:rsidR="003A2CA2" w:rsidRPr="00057E0A" w:rsidRDefault="003A2CA2" w:rsidP="00F9393E">
      <w:pPr>
        <w:pStyle w:val="3-BodyText"/>
        <w:rPr>
          <w:i/>
          <w:iCs/>
          <w:color w:val="0066FF"/>
        </w:rPr>
      </w:pPr>
      <w:bookmarkStart w:id="21" w:name="_Ref194499825"/>
      <w:r>
        <w:t xml:space="preserve">The pre-PBAC </w:t>
      </w:r>
      <w:r w:rsidR="00351225">
        <w:t xml:space="preserve">response requested </w:t>
      </w:r>
      <w:r w:rsidR="00351225" w:rsidRPr="00F53877">
        <w:t xml:space="preserve">that the lower dose tablet formulation containing ELX 50mg, TEZ 25 mg, IVA 37.5mg and IVA 75mg (56 tablets) be made available on the PBS for patients aged 2 to &lt;5 years. </w:t>
      </w:r>
      <w:r w:rsidR="00351225">
        <w:t xml:space="preserve">The pre-PABC response stated </w:t>
      </w:r>
      <w:r w:rsidR="00F53877">
        <w:t xml:space="preserve">that </w:t>
      </w:r>
      <w:r w:rsidR="00351225">
        <w:t>m</w:t>
      </w:r>
      <w:r w:rsidR="00F53877" w:rsidRPr="00F53877">
        <w:t>any young children with CF take tablets routinely as part of CF best supportive care, and therefore, tablets provide them with a more convenient treatment option over granules.</w:t>
      </w:r>
      <w:bookmarkEnd w:id="21"/>
      <w:r w:rsidR="00F53877" w:rsidRPr="00F53877">
        <w:t xml:space="preserve"> </w:t>
      </w:r>
    </w:p>
    <w:p w14:paraId="7075B85C" w14:textId="62A47B7B" w:rsidR="00B50DB8" w:rsidRPr="0098262F" w:rsidDel="00195452" w:rsidRDefault="00203181" w:rsidP="004E18E9">
      <w:pPr>
        <w:pStyle w:val="2-SectionHeading"/>
      </w:pPr>
      <w:bookmarkStart w:id="22" w:name="_Toc188437179"/>
      <w:r w:rsidRPr="0098262F" w:rsidDel="00195452">
        <w:t xml:space="preserve">Population and </w:t>
      </w:r>
      <w:r w:rsidR="008E0D3C" w:rsidRPr="0098262F" w:rsidDel="00195452">
        <w:t>d</w:t>
      </w:r>
      <w:r w:rsidRPr="0098262F" w:rsidDel="00195452">
        <w:t>isease</w:t>
      </w:r>
      <w:bookmarkEnd w:id="22"/>
    </w:p>
    <w:p w14:paraId="46D9AE0C" w14:textId="77777777" w:rsidR="00A72C37" w:rsidRPr="00A72C37" w:rsidRDefault="00A72C37" w:rsidP="004E18E9">
      <w:pPr>
        <w:pStyle w:val="3-BodyText"/>
        <w:rPr>
          <w:color w:val="0066FF"/>
        </w:rPr>
      </w:pPr>
      <w:r w:rsidRPr="00547CE7">
        <w:t>CF is a rare genetic disease that is caused by mutations in the CFTR gene which impair ion transport across epithelial membranes, causing thick mucus to accumulate within the lungs and obstructing the function of the liver, pancreas, and other organs, resulting in significant morbidity, reduced quality of life and premature mortality</w:t>
      </w:r>
      <w:r>
        <w:t>.</w:t>
      </w:r>
    </w:p>
    <w:p w14:paraId="43B54A59" w14:textId="45753048" w:rsidR="00A72C37" w:rsidRPr="00A72C37" w:rsidRDefault="00A72C37" w:rsidP="004E18E9">
      <w:pPr>
        <w:pStyle w:val="3-BodyText"/>
        <w:rPr>
          <w:color w:val="0066FF"/>
        </w:rPr>
      </w:pPr>
      <w:r>
        <w:t xml:space="preserve">CFTR modulators (CFTRm) have been used to treat CF for the last 10 years or more. Initially, clinical trial evidence was used to establish the efficacy of ivacaftor for disease caused </w:t>
      </w:r>
      <w:r w:rsidR="00733877">
        <w:t xml:space="preserve">by </w:t>
      </w:r>
      <w:r>
        <w:t>the G551D</w:t>
      </w:r>
      <w:r w:rsidR="00733877">
        <w:t xml:space="preserve"> mutation, but</w:t>
      </w:r>
      <w:r w:rsidR="000A38A2">
        <w:t>,</w:t>
      </w:r>
      <w:r w:rsidR="00733877">
        <w:t xml:space="preserve"> over time, the number of mutations thought to be responsive to treatment has expanded and </w:t>
      </w:r>
      <w:r w:rsidR="000A38A2">
        <w:t xml:space="preserve">the list </w:t>
      </w:r>
      <w:r w:rsidR="00733877">
        <w:t xml:space="preserve">now includes rare mutations. </w:t>
      </w:r>
    </w:p>
    <w:p w14:paraId="508CE409" w14:textId="6A8BDAD5" w:rsidR="00733877" w:rsidRPr="00A71CD4" w:rsidRDefault="00733877" w:rsidP="00733877">
      <w:pPr>
        <w:pStyle w:val="3-BodyText"/>
        <w:numPr>
          <w:ilvl w:val="1"/>
          <w:numId w:val="1"/>
        </w:numPr>
        <w:rPr>
          <w:lang w:val="en-GB"/>
        </w:rPr>
      </w:pPr>
      <w:r w:rsidRPr="00733877">
        <w:t xml:space="preserve">As there is no clinical efficacy data for </w:t>
      </w:r>
      <w:r>
        <w:t>CFTRm</w:t>
      </w:r>
      <w:r w:rsidRPr="00733877">
        <w:t xml:space="preserve"> </w:t>
      </w:r>
      <w:r>
        <w:t xml:space="preserve">use for </w:t>
      </w:r>
      <w:r w:rsidRPr="00733877">
        <w:t xml:space="preserve">many of these mutations, </w:t>
      </w:r>
      <w:r>
        <w:t xml:space="preserve">registration </w:t>
      </w:r>
      <w:r w:rsidR="00471E93">
        <w:t xml:space="preserve">by the US FDA </w:t>
      </w:r>
      <w:r>
        <w:t xml:space="preserve">has been based on </w:t>
      </w:r>
      <w:r w:rsidRPr="00F80ABB">
        <w:rPr>
          <w:i/>
          <w:iCs/>
        </w:rPr>
        <w:t>in vitro</w:t>
      </w:r>
      <w:r>
        <w:t xml:space="preserve"> evidence that the drugs increase chloride transport by CFTR affected by each mutation. The criterion chosen </w:t>
      </w:r>
      <w:r w:rsidR="00471E93">
        <w:t xml:space="preserve">by the FDA </w:t>
      </w:r>
      <w:r>
        <w:t xml:space="preserve">to define a positive result in </w:t>
      </w:r>
      <w:r w:rsidRPr="00CD755E">
        <w:rPr>
          <w:i/>
          <w:iCs/>
        </w:rPr>
        <w:t>in vitro</w:t>
      </w:r>
      <w:r>
        <w:t xml:space="preserve"> testing was an increase of chloride transport of at least 10% of normal, which was based </w:t>
      </w:r>
      <w:r w:rsidR="001F463D">
        <w:t xml:space="preserve">only </w:t>
      </w:r>
      <w:r>
        <w:t xml:space="preserve">on the observation that mutations allowing 10% of normal CFTR activity are associated with minimal clinical disease. Treatment of some mutations has been approved despite </w:t>
      </w:r>
      <w:r w:rsidR="00471E93">
        <w:t xml:space="preserve">their </w:t>
      </w:r>
      <w:r>
        <w:t xml:space="preserve">not meeting the </w:t>
      </w:r>
      <w:r w:rsidRPr="00980764">
        <w:rPr>
          <w:i/>
          <w:iCs/>
        </w:rPr>
        <w:t>in vitro</w:t>
      </w:r>
      <w:r>
        <w:t xml:space="preserve"> criteria.</w:t>
      </w:r>
      <w:r>
        <w:rPr>
          <w:rStyle w:val="FootnoteReference"/>
        </w:rPr>
        <w:footnoteReference w:id="2"/>
      </w:r>
      <w:r>
        <w:t xml:space="preserve">  </w:t>
      </w:r>
    </w:p>
    <w:p w14:paraId="07861FFD" w14:textId="77777777" w:rsidR="008E678D" w:rsidRPr="004F6E6C" w:rsidRDefault="00733877" w:rsidP="00733877">
      <w:pPr>
        <w:pStyle w:val="3-BodyText"/>
        <w:numPr>
          <w:ilvl w:val="1"/>
          <w:numId w:val="1"/>
        </w:numPr>
        <w:rPr>
          <w:lang w:val="en-GB"/>
        </w:rPr>
      </w:pPr>
      <w:r>
        <w:t xml:space="preserve">Not all mutations can be tested in the accepted </w:t>
      </w:r>
      <w:r w:rsidRPr="00A71CD4">
        <w:rPr>
          <w:i/>
          <w:iCs/>
        </w:rPr>
        <w:t>in vitro</w:t>
      </w:r>
      <w:r>
        <w:t xml:space="preserve"> assay, including splice mutations. For these mutations listing </w:t>
      </w:r>
      <w:r w:rsidR="003C1FE5">
        <w:t>wa</w:t>
      </w:r>
      <w:r>
        <w:t xml:space="preserve">s proposed based on clinical data. </w:t>
      </w:r>
    </w:p>
    <w:p w14:paraId="71EE684B" w14:textId="485BABD0" w:rsidR="004F6E6C" w:rsidRPr="008E678D" w:rsidRDefault="004F6E6C" w:rsidP="00733877">
      <w:pPr>
        <w:pStyle w:val="3-BodyText"/>
        <w:numPr>
          <w:ilvl w:val="1"/>
          <w:numId w:val="1"/>
        </w:numPr>
        <w:rPr>
          <w:lang w:val="en-GB"/>
        </w:rPr>
      </w:pPr>
      <w:r>
        <w:rPr>
          <w:lang w:val="en-GB"/>
        </w:rPr>
        <w:t xml:space="preserve">The submission proposed that all mutations which respond </w:t>
      </w:r>
      <w:r w:rsidRPr="00676A37">
        <w:rPr>
          <w:i/>
          <w:iCs/>
          <w:lang w:val="en-GB"/>
        </w:rPr>
        <w:t>in vitro</w:t>
      </w:r>
      <w:r>
        <w:rPr>
          <w:lang w:val="en-GB"/>
        </w:rPr>
        <w:t xml:space="preserve"> can be assumed to respond to ELX/TEZ/IVA, but that some mutations which do not respond </w:t>
      </w:r>
      <w:r w:rsidRPr="00676A37">
        <w:rPr>
          <w:i/>
          <w:iCs/>
          <w:lang w:val="en-GB"/>
        </w:rPr>
        <w:t>in vitro</w:t>
      </w:r>
      <w:r>
        <w:rPr>
          <w:lang w:val="en-GB"/>
        </w:rPr>
        <w:t xml:space="preserve"> may also respond to ELX/TEZ/IVA (i.e., N1303K mutation). The submission prese</w:t>
      </w:r>
      <w:r w:rsidR="00636417">
        <w:rPr>
          <w:lang w:val="en-GB"/>
        </w:rPr>
        <w:t xml:space="preserve">nted </w:t>
      </w:r>
      <w:r>
        <w:rPr>
          <w:lang w:val="en-GB"/>
        </w:rPr>
        <w:t xml:space="preserve">clinical data for the N1303K mutation, which is relatively common, and implied that other, rare mutations for which there is no clinical data could </w:t>
      </w:r>
      <w:r w:rsidR="00636417">
        <w:rPr>
          <w:lang w:val="en-GB"/>
        </w:rPr>
        <w:t xml:space="preserve">also </w:t>
      </w:r>
      <w:r>
        <w:rPr>
          <w:lang w:val="en-GB"/>
        </w:rPr>
        <w:t>be listed</w:t>
      </w:r>
      <w:r w:rsidR="00636417">
        <w:rPr>
          <w:lang w:val="en-GB"/>
        </w:rPr>
        <w:t xml:space="preserve">. </w:t>
      </w:r>
    </w:p>
    <w:p w14:paraId="260A73ED" w14:textId="434D315A" w:rsidR="008E678D" w:rsidRPr="008E678D" w:rsidRDefault="00733877" w:rsidP="00733877">
      <w:pPr>
        <w:pStyle w:val="3-BodyText"/>
        <w:numPr>
          <w:ilvl w:val="1"/>
          <w:numId w:val="1"/>
        </w:numPr>
        <w:rPr>
          <w:lang w:val="en-GB"/>
        </w:rPr>
      </w:pPr>
      <w:r w:rsidRPr="00676A37">
        <w:rPr>
          <w:lang w:val="en-GB"/>
        </w:rPr>
        <w:t xml:space="preserve">Because </w:t>
      </w:r>
      <w:r w:rsidRPr="00676A37">
        <w:rPr>
          <w:i/>
          <w:iCs/>
          <w:lang w:val="en-GB"/>
        </w:rPr>
        <w:t>in vitro</w:t>
      </w:r>
      <w:r w:rsidRPr="00676A37">
        <w:rPr>
          <w:lang w:val="en-GB"/>
        </w:rPr>
        <w:t xml:space="preserve"> results may not predict clinical response, some clinicians have suggested a trial of CFTRm treatment in </w:t>
      </w:r>
      <w:r w:rsidRPr="00687FD6">
        <w:rPr>
          <w:lang w:val="en-GB"/>
        </w:rPr>
        <w:t xml:space="preserve">all </w:t>
      </w:r>
      <w:r w:rsidRPr="00676A37">
        <w:rPr>
          <w:lang w:val="en-GB"/>
        </w:rPr>
        <w:t>patients with cystic fibrosis. This approach is the basis of the French compassionate access program</w:t>
      </w:r>
      <w:r>
        <w:rPr>
          <w:lang w:val="en-GB"/>
        </w:rPr>
        <w:t xml:space="preserve">, and the submission suggests </w:t>
      </w:r>
      <w:r>
        <w:rPr>
          <w:lang w:val="en-GB"/>
        </w:rPr>
        <w:lastRenderedPageBreak/>
        <w:t>that it could be adopted by the PBAC</w:t>
      </w:r>
      <w:r w:rsidRPr="00676A37">
        <w:rPr>
          <w:lang w:val="en-GB"/>
        </w:rPr>
        <w:t>: “</w:t>
      </w:r>
      <w:r w:rsidRPr="00D27AFD">
        <w:t>PBAC may wish to consider whether an alternative approach is warranted to allow treatment of patients with very rare or unknown mutations that have not yet been tested in the FRT cell studies</w:t>
      </w:r>
      <w:r w:rsidRPr="00676A37">
        <w:rPr>
          <w:i/>
          <w:iCs/>
        </w:rPr>
        <w:t xml:space="preserve"> </w:t>
      </w:r>
      <w:r w:rsidRPr="00D27AFD">
        <w:t>but may be responsive to ELX/TEZ/IVA</w:t>
      </w:r>
      <w:r>
        <w:t xml:space="preserve">”.  </w:t>
      </w:r>
    </w:p>
    <w:p w14:paraId="441378DA" w14:textId="111C9685" w:rsidR="00733877" w:rsidRPr="00636417" w:rsidRDefault="00733877" w:rsidP="00733877">
      <w:pPr>
        <w:pStyle w:val="3-BodyText"/>
        <w:numPr>
          <w:ilvl w:val="1"/>
          <w:numId w:val="1"/>
        </w:numPr>
        <w:rPr>
          <w:lang w:val="en-GB"/>
        </w:rPr>
      </w:pPr>
      <w:r>
        <w:t xml:space="preserve">However, the </w:t>
      </w:r>
      <w:r w:rsidR="00687FD6" w:rsidRPr="00AA2A15">
        <w:t>evaluation noted the</w:t>
      </w:r>
      <w:r w:rsidR="00687FD6">
        <w:t xml:space="preserve"> </w:t>
      </w:r>
      <w:r>
        <w:t xml:space="preserve">French program allows ongoing treatment only in patients who demonstrate a response </w:t>
      </w:r>
      <w:r w:rsidR="00521692">
        <w:t>ELX/TEZ/IVA</w:t>
      </w:r>
      <w:r>
        <w:t xml:space="preserve">, and it </w:t>
      </w:r>
      <w:r w:rsidR="003C1FE5">
        <w:t>wa</w:t>
      </w:r>
      <w:r>
        <w:t xml:space="preserve">s not clear </w:t>
      </w:r>
      <w:r w:rsidR="003C1FE5">
        <w:t>fr</w:t>
      </w:r>
      <w:r w:rsidR="00D36AA6">
        <w:t>o</w:t>
      </w:r>
      <w:r w:rsidR="003C1FE5">
        <w:t xml:space="preserve">m the current submission </w:t>
      </w:r>
      <w:r>
        <w:t xml:space="preserve">whether the sponsor envisages a requirement for evidence of response as part of a program </w:t>
      </w:r>
      <w:r w:rsidR="003C1FE5">
        <w:t xml:space="preserve">for </w:t>
      </w:r>
      <w:r>
        <w:t xml:space="preserve">mutation-agnostic treatment. </w:t>
      </w:r>
    </w:p>
    <w:p w14:paraId="51E5AE96" w14:textId="136A63B1" w:rsidR="00B50DB8" w:rsidRPr="0098262F" w:rsidRDefault="00B50DB8" w:rsidP="004E18E9">
      <w:pPr>
        <w:pStyle w:val="2-SectionHeading"/>
      </w:pPr>
      <w:bookmarkStart w:id="23" w:name="_Toc188437180"/>
      <w:r w:rsidRPr="0098262F">
        <w:t>Comparator</w:t>
      </w:r>
      <w:bookmarkEnd w:id="23"/>
    </w:p>
    <w:p w14:paraId="2491D579" w14:textId="1E05A263" w:rsidR="009264F7" w:rsidRPr="00436FDA" w:rsidRDefault="009264F7" w:rsidP="00882E3C">
      <w:pPr>
        <w:pStyle w:val="3-BodyText"/>
      </w:pPr>
      <w:r>
        <w:t xml:space="preserve">The submission proposed </w:t>
      </w:r>
      <w:r w:rsidR="00436FDA">
        <w:t xml:space="preserve">different </w:t>
      </w:r>
      <w:r>
        <w:t>comparators, depending on the mutation</w:t>
      </w:r>
      <w:r w:rsidR="007B1ACD">
        <w:t xml:space="preserve"> and existing listings for CFTRm drugs</w:t>
      </w:r>
      <w:r w:rsidR="00CF0E96">
        <w:t xml:space="preserve">, as summarised in </w:t>
      </w:r>
      <w:r w:rsidR="00CF0E96" w:rsidRPr="00CF0E96">
        <w:fldChar w:fldCharType="begin"/>
      </w:r>
      <w:r w:rsidR="00CF0E96" w:rsidRPr="00CF0E96">
        <w:instrText xml:space="preserve"> REF _Ref184979765 \h </w:instrText>
      </w:r>
      <w:r w:rsidR="00CF0E96">
        <w:instrText xml:space="preserve"> \* MERGEFORMAT </w:instrText>
      </w:r>
      <w:r w:rsidR="00CF0E96" w:rsidRPr="00CF0E96">
        <w:fldChar w:fldCharType="separate"/>
      </w:r>
      <w:r w:rsidR="00343156" w:rsidRPr="00754DB4">
        <w:t xml:space="preserve">Table </w:t>
      </w:r>
      <w:r w:rsidR="00343156">
        <w:t>3</w:t>
      </w:r>
      <w:r w:rsidR="00CF0E96" w:rsidRPr="00CF0E96">
        <w:fldChar w:fldCharType="end"/>
      </w:r>
      <w:r w:rsidR="00CF0E96">
        <w:t>:</w:t>
      </w:r>
    </w:p>
    <w:p w14:paraId="2611932B" w14:textId="2B210E80" w:rsidR="009264F7" w:rsidRDefault="009264F7" w:rsidP="008F6A0C">
      <w:pPr>
        <w:pStyle w:val="3-BodyText"/>
        <w:numPr>
          <w:ilvl w:val="2"/>
          <w:numId w:val="7"/>
        </w:numPr>
        <w:ind w:left="1276" w:hanging="567"/>
      </w:pPr>
      <w:r w:rsidRPr="009264F7">
        <w:t xml:space="preserve">For patients </w:t>
      </w:r>
      <w:r>
        <w:t xml:space="preserve">aged </w:t>
      </w:r>
      <w:r>
        <w:rPr>
          <w:rFonts w:ascii="Symbol" w:eastAsia="Symbol" w:hAnsi="Symbol" w:cs="Symbol"/>
        </w:rPr>
        <w:t>³</w:t>
      </w:r>
      <w:r>
        <w:t xml:space="preserve">2 years, </w:t>
      </w:r>
      <w:r w:rsidRPr="009264F7">
        <w:t xml:space="preserve">with one of 92 mutations responsive to IVA </w:t>
      </w:r>
      <w:r w:rsidR="004341F7">
        <w:t xml:space="preserve">(including gating and </w:t>
      </w:r>
      <w:r w:rsidR="00AC7FC8">
        <w:t>residual function (</w:t>
      </w:r>
      <w:r w:rsidR="004341F7">
        <w:t>RF</w:t>
      </w:r>
      <w:r w:rsidR="00AC7FC8">
        <w:t>)</w:t>
      </w:r>
      <w:r w:rsidR="004341F7">
        <w:t xml:space="preserve"> mutations)</w:t>
      </w:r>
      <w:r w:rsidR="00D36AA6">
        <w:t xml:space="preserve"> </w:t>
      </w:r>
      <w:r w:rsidRPr="009264F7">
        <w:t>– the comparator proposed was IVA +</w:t>
      </w:r>
      <w:r w:rsidR="00D36AA6">
        <w:t xml:space="preserve"> </w:t>
      </w:r>
      <w:r w:rsidRPr="009264F7">
        <w:t>best supportive care</w:t>
      </w:r>
      <w:r>
        <w:t xml:space="preserve"> (BSC)</w:t>
      </w:r>
      <w:r w:rsidRPr="009264F7">
        <w:t>;</w:t>
      </w:r>
    </w:p>
    <w:p w14:paraId="65DD1906" w14:textId="143F35D5" w:rsidR="009264F7" w:rsidRDefault="009264F7" w:rsidP="008F6A0C">
      <w:pPr>
        <w:pStyle w:val="3-BodyText"/>
        <w:numPr>
          <w:ilvl w:val="2"/>
          <w:numId w:val="7"/>
        </w:numPr>
        <w:ind w:left="1276" w:hanging="567"/>
      </w:pPr>
      <w:r>
        <w:t xml:space="preserve">For patients aged </w:t>
      </w:r>
      <w:r>
        <w:rPr>
          <w:rFonts w:ascii="Symbol" w:eastAsia="Symbol" w:hAnsi="Symbol" w:cs="Symbol"/>
        </w:rPr>
        <w:t>³</w:t>
      </w:r>
      <w:r>
        <w:t xml:space="preserve">12 years with one of 20 RF mutations and who are currently eligible for both IVA and </w:t>
      </w:r>
      <w:r w:rsidR="0074467C">
        <w:t>TEZ/IVA</w:t>
      </w:r>
      <w:r w:rsidR="0074467C" w:rsidDel="0074467C">
        <w:t xml:space="preserve"> </w:t>
      </w:r>
      <w:r>
        <w:t>- the comparator proposed was TEZ/IVA +</w:t>
      </w:r>
      <w:r w:rsidR="00D36AA6">
        <w:t xml:space="preserve"> </w:t>
      </w:r>
      <w:r>
        <w:t xml:space="preserve">BSC; </w:t>
      </w:r>
    </w:p>
    <w:p w14:paraId="3090E156" w14:textId="65684BB9" w:rsidR="009264F7" w:rsidRDefault="009264F7" w:rsidP="008F6A0C">
      <w:pPr>
        <w:pStyle w:val="3-BodyText"/>
        <w:numPr>
          <w:ilvl w:val="2"/>
          <w:numId w:val="7"/>
        </w:numPr>
        <w:ind w:left="1276" w:hanging="567"/>
      </w:pPr>
      <w:r>
        <w:t>For pati</w:t>
      </w:r>
      <w:r w:rsidRPr="00EA1A66">
        <w:t xml:space="preserve">ents aged </w:t>
      </w:r>
      <w:r w:rsidRPr="00EA1A66">
        <w:rPr>
          <w:rFonts w:ascii="Symbol" w:eastAsia="Symbol" w:hAnsi="Symbol" w:cs="Symbol"/>
        </w:rPr>
        <w:t>³</w:t>
      </w:r>
      <w:r w:rsidRPr="00EA1A66">
        <w:t>12 year</w:t>
      </w:r>
      <w:r w:rsidR="00D36AA6">
        <w:t>s</w:t>
      </w:r>
      <w:r w:rsidRPr="00EA1A66">
        <w:t>, with one of 5 non-canonical splice mutations</w:t>
      </w:r>
      <w:r>
        <w:t xml:space="preserve"> who are currently eligible for TEZ/IVA but </w:t>
      </w:r>
      <w:r w:rsidRPr="008A0830">
        <w:t>not</w:t>
      </w:r>
      <w:r>
        <w:rPr>
          <w:b/>
          <w:bCs/>
        </w:rPr>
        <w:t xml:space="preserve"> </w:t>
      </w:r>
      <w:r>
        <w:t>IVA</w:t>
      </w:r>
      <w:r w:rsidR="00D36AA6">
        <w:t xml:space="preserve"> </w:t>
      </w:r>
      <w:r>
        <w:t xml:space="preserve">- the comparator proposed was </w:t>
      </w:r>
      <w:r w:rsidRPr="009264F7">
        <w:t>TEZ/IVA + BSC</w:t>
      </w:r>
      <w:r>
        <w:t xml:space="preserve">; </w:t>
      </w:r>
    </w:p>
    <w:p w14:paraId="13B1E3F8" w14:textId="38B33C15" w:rsidR="00CF0E96" w:rsidRDefault="009264F7" w:rsidP="008F6A0C">
      <w:pPr>
        <w:pStyle w:val="3-BodyText"/>
        <w:numPr>
          <w:ilvl w:val="2"/>
          <w:numId w:val="7"/>
        </w:numPr>
        <w:ind w:left="1276" w:hanging="567"/>
      </w:pPr>
      <w:r>
        <w:t>For patient</w:t>
      </w:r>
      <w:r w:rsidR="00436FDA">
        <w:t>s</w:t>
      </w:r>
      <w:r>
        <w:t xml:space="preserve"> </w:t>
      </w:r>
      <w:r w:rsidR="00436FDA">
        <w:t xml:space="preserve">aged 2 years and older, </w:t>
      </w:r>
      <w:r>
        <w:t>with</w:t>
      </w:r>
      <w:r w:rsidR="00436FDA">
        <w:t>out</w:t>
      </w:r>
      <w:r>
        <w:t xml:space="preserve"> either </w:t>
      </w:r>
      <w:r w:rsidR="00436FDA">
        <w:t>I</w:t>
      </w:r>
      <w:r>
        <w:t xml:space="preserve">VA responsive or TEZ/IVA responsive </w:t>
      </w:r>
      <w:r w:rsidR="00436FDA">
        <w:t xml:space="preserve">mutations, but with a mutation responsive to ELX/TEZ/IVA – the comparator proposed was BSC. </w:t>
      </w:r>
    </w:p>
    <w:p w14:paraId="14680C01" w14:textId="1376FC6B" w:rsidR="00DA35E7" w:rsidRPr="00754DB4" w:rsidRDefault="00754DB4" w:rsidP="00CF0E96">
      <w:pPr>
        <w:pStyle w:val="TableFigureHeading"/>
      </w:pPr>
      <w:bookmarkStart w:id="24" w:name="_Ref184979765"/>
      <w:r w:rsidRPr="00754DB4">
        <w:t xml:space="preserve">Table </w:t>
      </w:r>
      <w:r w:rsidR="00345E49">
        <w:fldChar w:fldCharType="begin"/>
      </w:r>
      <w:r w:rsidR="00345E49">
        <w:instrText xml:space="preserve"> SEQ Table \* ARABIC </w:instrText>
      </w:r>
      <w:r w:rsidR="00345E49">
        <w:fldChar w:fldCharType="separate"/>
      </w:r>
      <w:r w:rsidR="00343156">
        <w:rPr>
          <w:noProof/>
        </w:rPr>
        <w:t>3</w:t>
      </w:r>
      <w:r w:rsidR="00345E49">
        <w:rPr>
          <w:noProof/>
        </w:rPr>
        <w:fldChar w:fldCharType="end"/>
      </w:r>
      <w:bookmarkEnd w:id="24"/>
      <w:r w:rsidR="003C51AF">
        <w:rPr>
          <w:noProof/>
        </w:rPr>
        <w:t>:</w:t>
      </w:r>
      <w:r w:rsidRPr="00754DB4">
        <w:t xml:space="preserve"> </w:t>
      </w:r>
      <w:r>
        <w:t>Comparator</w:t>
      </w:r>
      <w:r w:rsidRPr="00754DB4">
        <w:t xml:space="preserve"> </w:t>
      </w:r>
    </w:p>
    <w:tbl>
      <w:tblPr>
        <w:tblStyle w:val="TableGrid"/>
        <w:tblW w:w="5000" w:type="pct"/>
        <w:tblLook w:val="04A0" w:firstRow="1" w:lastRow="0" w:firstColumn="1" w:lastColumn="0" w:noHBand="0" w:noVBand="1"/>
      </w:tblPr>
      <w:tblGrid>
        <w:gridCol w:w="4106"/>
        <w:gridCol w:w="1558"/>
        <w:gridCol w:w="3353"/>
      </w:tblGrid>
      <w:tr w:rsidR="00120476" w:rsidRPr="002A6DFA" w14:paraId="53F67A7E" w14:textId="77777777" w:rsidTr="00A14621">
        <w:tc>
          <w:tcPr>
            <w:tcW w:w="2277" w:type="pct"/>
          </w:tcPr>
          <w:p w14:paraId="1E429A2A" w14:textId="17EFF4AA" w:rsidR="00120476" w:rsidRPr="002A6DFA" w:rsidRDefault="00120476" w:rsidP="00CF0E96">
            <w:pPr>
              <w:pStyle w:val="In-tableHeading"/>
            </w:pPr>
            <w:r>
              <w:t xml:space="preserve">Population </w:t>
            </w:r>
          </w:p>
        </w:tc>
        <w:tc>
          <w:tcPr>
            <w:tcW w:w="864" w:type="pct"/>
          </w:tcPr>
          <w:p w14:paraId="7C210423" w14:textId="77777777" w:rsidR="00120476" w:rsidRPr="002A6DFA" w:rsidRDefault="00120476" w:rsidP="00CF0E96">
            <w:pPr>
              <w:pStyle w:val="In-tableHeading"/>
            </w:pPr>
            <w:r w:rsidRPr="002A6DFA">
              <w:t>Comparator</w:t>
            </w:r>
          </w:p>
        </w:tc>
        <w:tc>
          <w:tcPr>
            <w:tcW w:w="1859" w:type="pct"/>
          </w:tcPr>
          <w:p w14:paraId="19A8AC7A" w14:textId="299E6A78" w:rsidR="00120476" w:rsidRPr="002A6DFA" w:rsidRDefault="00120476" w:rsidP="00CF0E96">
            <w:pPr>
              <w:pStyle w:val="In-tableHeading"/>
            </w:pPr>
            <w:r w:rsidRPr="002A6DFA">
              <w:t># mutations</w:t>
            </w:r>
            <w:r w:rsidR="00320B4A">
              <w:rPr>
                <w:vertAlign w:val="superscript"/>
              </w:rPr>
              <w:t>1</w:t>
            </w:r>
            <w:r>
              <w:t xml:space="preserve"> </w:t>
            </w:r>
          </w:p>
        </w:tc>
      </w:tr>
      <w:tr w:rsidR="00120476" w:rsidRPr="002A6DFA" w14:paraId="7944BF6A" w14:textId="77777777" w:rsidTr="00A14621">
        <w:tc>
          <w:tcPr>
            <w:tcW w:w="2277" w:type="pct"/>
          </w:tcPr>
          <w:p w14:paraId="7094CAA4" w14:textId="77777777" w:rsidR="00120476" w:rsidRPr="002A6DFA" w:rsidRDefault="00120476" w:rsidP="00CF0E96">
            <w:pPr>
              <w:pStyle w:val="TableText"/>
            </w:pPr>
            <w:r w:rsidRPr="002A6DFA">
              <w:t xml:space="preserve">Over 2 years of age, IVA responsive </w:t>
            </w:r>
          </w:p>
        </w:tc>
        <w:tc>
          <w:tcPr>
            <w:tcW w:w="864" w:type="pct"/>
          </w:tcPr>
          <w:p w14:paraId="172EE406" w14:textId="77777777" w:rsidR="00120476" w:rsidRPr="002A6DFA" w:rsidRDefault="00120476" w:rsidP="00CF0E96">
            <w:pPr>
              <w:pStyle w:val="TableText"/>
            </w:pPr>
            <w:r w:rsidRPr="002A6DFA">
              <w:t>IVA</w:t>
            </w:r>
          </w:p>
        </w:tc>
        <w:tc>
          <w:tcPr>
            <w:tcW w:w="1859" w:type="pct"/>
          </w:tcPr>
          <w:p w14:paraId="6635E68F" w14:textId="690DF1FD" w:rsidR="00120476" w:rsidRDefault="00120476" w:rsidP="00CF0E96">
            <w:pPr>
              <w:pStyle w:val="TableText"/>
            </w:pPr>
            <w:r>
              <w:t>9 gating</w:t>
            </w:r>
          </w:p>
          <w:p w14:paraId="33456CAD" w14:textId="034F1D69" w:rsidR="00120476" w:rsidRDefault="00120476" w:rsidP="00260844">
            <w:pPr>
              <w:pStyle w:val="TableText"/>
            </w:pPr>
            <w:r>
              <w:t>24 RF (to 11 years of age for some RF mutations)</w:t>
            </w:r>
          </w:p>
          <w:p w14:paraId="0966F0DB" w14:textId="6D52154C" w:rsidR="00120476" w:rsidRDefault="00120476" w:rsidP="00CF0E96">
            <w:pPr>
              <w:pStyle w:val="TableText"/>
            </w:pPr>
            <w:r>
              <w:t xml:space="preserve">59 IVA responsive </w:t>
            </w:r>
          </w:p>
          <w:p w14:paraId="4D32CA63" w14:textId="77777777" w:rsidR="00120476" w:rsidRPr="002A6DFA" w:rsidRDefault="00120476" w:rsidP="00CF0E96">
            <w:pPr>
              <w:pStyle w:val="TableText"/>
            </w:pPr>
          </w:p>
        </w:tc>
      </w:tr>
      <w:tr w:rsidR="00120476" w:rsidRPr="002A6DFA" w14:paraId="2DF4A1E8" w14:textId="77777777" w:rsidTr="00A14621">
        <w:tc>
          <w:tcPr>
            <w:tcW w:w="2277" w:type="pct"/>
          </w:tcPr>
          <w:p w14:paraId="0136A6AD" w14:textId="77777777" w:rsidR="00120476" w:rsidRPr="002A6DFA" w:rsidRDefault="00120476" w:rsidP="00CF0E96">
            <w:pPr>
              <w:pStyle w:val="TableText"/>
            </w:pPr>
            <w:r w:rsidRPr="002A6DFA">
              <w:t>Over 12 years of age, RF mutations</w:t>
            </w:r>
          </w:p>
        </w:tc>
        <w:tc>
          <w:tcPr>
            <w:tcW w:w="864" w:type="pct"/>
          </w:tcPr>
          <w:p w14:paraId="28A4F239" w14:textId="77777777" w:rsidR="00120476" w:rsidRPr="002A6DFA" w:rsidRDefault="00120476" w:rsidP="00CF0E96">
            <w:pPr>
              <w:pStyle w:val="TableText"/>
            </w:pPr>
            <w:r w:rsidRPr="002A6DFA">
              <w:t>TEZ/IVA</w:t>
            </w:r>
          </w:p>
        </w:tc>
        <w:tc>
          <w:tcPr>
            <w:tcW w:w="1859" w:type="pct"/>
          </w:tcPr>
          <w:p w14:paraId="5AED3119" w14:textId="7847939F" w:rsidR="00120476" w:rsidRPr="002A6DFA" w:rsidRDefault="00120476" w:rsidP="00CF0E96">
            <w:pPr>
              <w:pStyle w:val="TableText"/>
            </w:pPr>
            <w:r>
              <w:t>20 RF</w:t>
            </w:r>
            <w:r w:rsidR="00320B4A">
              <w:rPr>
                <w:vertAlign w:val="superscript"/>
              </w:rPr>
              <w:t>2</w:t>
            </w:r>
          </w:p>
        </w:tc>
      </w:tr>
      <w:tr w:rsidR="00120476" w:rsidRPr="002A6DFA" w14:paraId="308D77B3" w14:textId="77777777" w:rsidTr="00A14621">
        <w:tc>
          <w:tcPr>
            <w:tcW w:w="2277" w:type="pct"/>
          </w:tcPr>
          <w:p w14:paraId="5EA3F2CC" w14:textId="77777777" w:rsidR="00120476" w:rsidRPr="002A6DFA" w:rsidRDefault="00120476" w:rsidP="00CF0E96">
            <w:pPr>
              <w:pStyle w:val="TableText"/>
            </w:pPr>
            <w:r w:rsidRPr="002A6DFA">
              <w:t>Over 12 years of age, non-canonical mutations</w:t>
            </w:r>
          </w:p>
        </w:tc>
        <w:tc>
          <w:tcPr>
            <w:tcW w:w="864" w:type="pct"/>
          </w:tcPr>
          <w:p w14:paraId="52A66F20" w14:textId="77777777" w:rsidR="00120476" w:rsidRPr="002A6DFA" w:rsidRDefault="00120476" w:rsidP="00CF0E96">
            <w:pPr>
              <w:pStyle w:val="TableText"/>
            </w:pPr>
            <w:r w:rsidRPr="002A6DFA">
              <w:t>TEZ/IVA</w:t>
            </w:r>
          </w:p>
        </w:tc>
        <w:tc>
          <w:tcPr>
            <w:tcW w:w="1859" w:type="pct"/>
          </w:tcPr>
          <w:p w14:paraId="5601F17F" w14:textId="7732BF15" w:rsidR="00120476" w:rsidRPr="002A6DFA" w:rsidRDefault="00120476" w:rsidP="00CF0E96">
            <w:pPr>
              <w:pStyle w:val="TableText"/>
            </w:pPr>
            <w:r w:rsidRPr="002A6DFA">
              <w:t>5</w:t>
            </w:r>
            <w:r>
              <w:t xml:space="preserve"> non-canonical</w:t>
            </w:r>
          </w:p>
        </w:tc>
      </w:tr>
      <w:tr w:rsidR="00120476" w:rsidRPr="002A6DFA" w14:paraId="1D00C55A" w14:textId="77777777" w:rsidTr="00A14621">
        <w:tc>
          <w:tcPr>
            <w:tcW w:w="2277" w:type="pct"/>
          </w:tcPr>
          <w:p w14:paraId="2CD9CB9C" w14:textId="57B9A62A" w:rsidR="00120476" w:rsidRPr="002A6DFA" w:rsidRDefault="00120476" w:rsidP="00CF0E96">
            <w:pPr>
              <w:pStyle w:val="TableText"/>
            </w:pPr>
            <w:r w:rsidRPr="002A6DFA">
              <w:t xml:space="preserve">Over 2 years of age, </w:t>
            </w:r>
            <w:r w:rsidR="00A14621">
              <w:t xml:space="preserve">additional </w:t>
            </w:r>
            <w:r w:rsidRPr="002A6DFA">
              <w:t xml:space="preserve">ELX/TEZ/IVA responsive  </w:t>
            </w:r>
          </w:p>
        </w:tc>
        <w:tc>
          <w:tcPr>
            <w:tcW w:w="864" w:type="pct"/>
          </w:tcPr>
          <w:p w14:paraId="3A64F0BF" w14:textId="77777777" w:rsidR="00120476" w:rsidRPr="002A6DFA" w:rsidRDefault="00120476" w:rsidP="00CF0E96">
            <w:pPr>
              <w:pStyle w:val="TableText"/>
            </w:pPr>
            <w:r w:rsidRPr="002A6DFA">
              <w:t>BSC</w:t>
            </w:r>
          </w:p>
        </w:tc>
        <w:tc>
          <w:tcPr>
            <w:tcW w:w="1859" w:type="pct"/>
          </w:tcPr>
          <w:p w14:paraId="0CE0C686" w14:textId="22F20F7E" w:rsidR="00120476" w:rsidRPr="002A6DFA" w:rsidRDefault="00120476" w:rsidP="00CF0E96">
            <w:pPr>
              <w:pStyle w:val="TableText"/>
            </w:pPr>
            <w:r w:rsidRPr="002A6DFA">
              <w:t>14 non-canonical</w:t>
            </w:r>
          </w:p>
          <w:p w14:paraId="1F85497A" w14:textId="4C90A688" w:rsidR="00120476" w:rsidRDefault="00120476" w:rsidP="00CF0E96">
            <w:pPr>
              <w:pStyle w:val="TableText"/>
            </w:pPr>
            <w:r w:rsidRPr="002A6DFA">
              <w:t>1 N1303K</w:t>
            </w:r>
            <w:r>
              <w:t xml:space="preserve"> </w:t>
            </w:r>
          </w:p>
          <w:p w14:paraId="2EFD03F8" w14:textId="0912FB95" w:rsidR="00120476" w:rsidRPr="002A6DFA" w:rsidRDefault="00120476" w:rsidP="00CF0E96">
            <w:pPr>
              <w:pStyle w:val="TableText"/>
            </w:pPr>
            <w:r w:rsidRPr="002A6DFA">
              <w:t>159 ELX/TEZ/IVA responsive</w:t>
            </w:r>
            <w:r>
              <w:t xml:space="preserve"> </w:t>
            </w:r>
          </w:p>
        </w:tc>
      </w:tr>
    </w:tbl>
    <w:p w14:paraId="12B28866" w14:textId="4262E1D3" w:rsidR="00320B4A" w:rsidRPr="00954E3B" w:rsidRDefault="00CF0E96" w:rsidP="00464596">
      <w:pPr>
        <w:pStyle w:val="TableFigureFooter"/>
        <w:rPr>
          <w:i w:val="0"/>
          <w:iCs w:val="0"/>
          <w:vertAlign w:val="baseline"/>
        </w:rPr>
      </w:pPr>
      <w:r w:rsidRPr="00954E3B">
        <w:rPr>
          <w:i w:val="0"/>
          <w:iCs w:val="0"/>
        </w:rPr>
        <w:t>1</w:t>
      </w:r>
      <w:r w:rsidR="002B1D1D" w:rsidRPr="00954E3B">
        <w:rPr>
          <w:i w:val="0"/>
          <w:iCs w:val="0"/>
          <w:vertAlign w:val="baseline"/>
        </w:rPr>
        <w:t xml:space="preserve">Total mutations = 271 = </w:t>
      </w:r>
      <w:r w:rsidR="00320B4A" w:rsidRPr="00954E3B">
        <w:rPr>
          <w:i w:val="0"/>
          <w:iCs w:val="0"/>
          <w:vertAlign w:val="baseline"/>
        </w:rPr>
        <w:t xml:space="preserve">9 + 24 + 59 + 5 + 14 +1 + 159 </w:t>
      </w:r>
    </w:p>
    <w:p w14:paraId="2D2BD70D" w14:textId="421452DE" w:rsidR="0017656D" w:rsidRPr="00954E3B" w:rsidRDefault="00CF0E96" w:rsidP="00464596">
      <w:pPr>
        <w:pStyle w:val="TableFigureFooter"/>
        <w:rPr>
          <w:i w:val="0"/>
          <w:iCs w:val="0"/>
          <w:vertAlign w:val="baseline"/>
        </w:rPr>
      </w:pPr>
      <w:r w:rsidRPr="00954E3B">
        <w:rPr>
          <w:i w:val="0"/>
          <w:iCs w:val="0"/>
        </w:rPr>
        <w:t>2</w:t>
      </w:r>
      <w:r w:rsidR="00954E3B" w:rsidRPr="00954E3B">
        <w:rPr>
          <w:i w:val="0"/>
          <w:iCs w:val="0"/>
        </w:rPr>
        <w:t xml:space="preserve"> </w:t>
      </w:r>
      <w:r w:rsidR="00120476" w:rsidRPr="00954E3B">
        <w:rPr>
          <w:i w:val="0"/>
          <w:iCs w:val="0"/>
          <w:vertAlign w:val="baseline"/>
        </w:rPr>
        <w:t>Assumed patients over 12 years of age would be treat</w:t>
      </w:r>
      <w:r w:rsidR="00C96947" w:rsidRPr="00954E3B">
        <w:rPr>
          <w:i w:val="0"/>
          <w:iCs w:val="0"/>
          <w:vertAlign w:val="baseline"/>
        </w:rPr>
        <w:t>ed</w:t>
      </w:r>
      <w:r w:rsidR="00120476" w:rsidRPr="00954E3B">
        <w:rPr>
          <w:i w:val="0"/>
          <w:iCs w:val="0"/>
          <w:vertAlign w:val="baseline"/>
        </w:rPr>
        <w:t xml:space="preserve"> with TEZ/IVA (rather than IVA)</w:t>
      </w:r>
    </w:p>
    <w:p w14:paraId="7F9C27C8" w14:textId="77777777" w:rsidR="00223D5A" w:rsidRPr="0098262F" w:rsidRDefault="00223D5A" w:rsidP="00223D5A">
      <w:pPr>
        <w:pStyle w:val="2-SectionHeading"/>
        <w:numPr>
          <w:ilvl w:val="0"/>
          <w:numId w:val="1"/>
        </w:numPr>
      </w:pPr>
      <w:bookmarkStart w:id="25" w:name="_Toc184979232"/>
      <w:bookmarkStart w:id="26" w:name="_Toc184979233"/>
      <w:bookmarkStart w:id="27" w:name="_Toc184979234"/>
      <w:bookmarkStart w:id="28" w:name="_Toc184979235"/>
      <w:bookmarkStart w:id="29" w:name="_Toc184979236"/>
      <w:bookmarkStart w:id="30" w:name="_Toc188437181"/>
      <w:bookmarkStart w:id="31" w:name="_Toc22897640"/>
      <w:bookmarkEnd w:id="25"/>
      <w:bookmarkEnd w:id="26"/>
      <w:bookmarkEnd w:id="27"/>
      <w:bookmarkEnd w:id="28"/>
      <w:bookmarkEnd w:id="29"/>
      <w:r w:rsidRPr="0098262F">
        <w:t>Consideration of the evidence</w:t>
      </w:r>
      <w:bookmarkEnd w:id="30"/>
    </w:p>
    <w:p w14:paraId="02BDD8A7" w14:textId="77777777" w:rsidR="001F696C" w:rsidRPr="006E1229" w:rsidRDefault="001F696C" w:rsidP="00600870">
      <w:pPr>
        <w:pStyle w:val="4-SubsectionHeading"/>
      </w:pPr>
      <w:bookmarkStart w:id="32" w:name="_Toc188437182"/>
      <w:r w:rsidRPr="006E1229">
        <w:t>Sponsor hearing</w:t>
      </w:r>
    </w:p>
    <w:p w14:paraId="0731BAE8" w14:textId="25288278" w:rsidR="001F696C" w:rsidRPr="00F91542" w:rsidRDefault="001F696C" w:rsidP="001F696C">
      <w:pPr>
        <w:widowControl w:val="0"/>
        <w:numPr>
          <w:ilvl w:val="1"/>
          <w:numId w:val="1"/>
        </w:numPr>
        <w:spacing w:after="120"/>
        <w:rPr>
          <w:rFonts w:cs="Calibri"/>
          <w:bCs/>
          <w:snapToGrid w:val="0"/>
        </w:rPr>
      </w:pPr>
      <w:r w:rsidRPr="00F91542">
        <w:rPr>
          <w:rFonts w:cs="Calibri"/>
          <w:bCs/>
          <w:snapToGrid w:val="0"/>
        </w:rPr>
        <w:t xml:space="preserve"> There was no hearing for this item.</w:t>
      </w:r>
    </w:p>
    <w:p w14:paraId="2991A799" w14:textId="77777777" w:rsidR="001F696C" w:rsidRPr="006E1229" w:rsidRDefault="001F696C" w:rsidP="00600870">
      <w:pPr>
        <w:pStyle w:val="4-SubsectionHeading"/>
      </w:pPr>
      <w:r w:rsidRPr="006E1229">
        <w:lastRenderedPageBreak/>
        <w:t>Consumer comments</w:t>
      </w:r>
    </w:p>
    <w:p w14:paraId="527BB314" w14:textId="4044FEF2" w:rsidR="001F696C" w:rsidRPr="00E63111" w:rsidRDefault="003A1A3E" w:rsidP="001F696C">
      <w:pPr>
        <w:pStyle w:val="3-BodyText"/>
        <w:rPr>
          <w:snapToGrid w:val="0"/>
        </w:rPr>
      </w:pPr>
      <w:r w:rsidRPr="00F91CC3">
        <w:rPr>
          <w:bCs/>
          <w:snapToGrid w:val="0"/>
        </w:rPr>
        <w:t>The PBAC noted and welcomed the input from individuals (</w:t>
      </w:r>
      <w:r w:rsidR="002438EF">
        <w:rPr>
          <w:bCs/>
          <w:snapToGrid w:val="0"/>
        </w:rPr>
        <w:t>34</w:t>
      </w:r>
      <w:r w:rsidR="00504099">
        <w:rPr>
          <w:bCs/>
          <w:snapToGrid w:val="0"/>
        </w:rPr>
        <w:t>)</w:t>
      </w:r>
      <w:r w:rsidR="002438EF">
        <w:rPr>
          <w:bCs/>
          <w:snapToGrid w:val="0"/>
        </w:rPr>
        <w:t xml:space="preserve"> </w:t>
      </w:r>
      <w:r w:rsidRPr="00F91CC3">
        <w:rPr>
          <w:bCs/>
          <w:snapToGrid w:val="0"/>
        </w:rPr>
        <w:t>and organisations (</w:t>
      </w:r>
      <w:r w:rsidR="00504099">
        <w:rPr>
          <w:bCs/>
          <w:snapToGrid w:val="0"/>
        </w:rPr>
        <w:t>3</w:t>
      </w:r>
      <w:r w:rsidRPr="00F91CC3">
        <w:rPr>
          <w:bCs/>
          <w:snapToGrid w:val="0"/>
        </w:rPr>
        <w:t>) via the Consumer Comments facility on the PBS website.</w:t>
      </w:r>
      <w:r w:rsidR="00ED49AF">
        <w:rPr>
          <w:bCs/>
          <w:snapToGrid w:val="0"/>
        </w:rPr>
        <w:t xml:space="preserve"> </w:t>
      </w:r>
      <w:r w:rsidR="00006750">
        <w:rPr>
          <w:bCs/>
          <w:snapToGrid w:val="0"/>
        </w:rPr>
        <w:t>The c</w:t>
      </w:r>
      <w:r w:rsidR="009E170A">
        <w:rPr>
          <w:bCs/>
          <w:snapToGrid w:val="0"/>
        </w:rPr>
        <w:t xml:space="preserve">omments from individuals </w:t>
      </w:r>
      <w:r w:rsidR="00006750">
        <w:rPr>
          <w:bCs/>
          <w:snapToGrid w:val="0"/>
        </w:rPr>
        <w:t xml:space="preserve">that have used ELX/TEZ/IVA </w:t>
      </w:r>
      <w:r w:rsidR="00510CA6">
        <w:rPr>
          <w:bCs/>
          <w:snapToGrid w:val="0"/>
        </w:rPr>
        <w:t>noted the increased lung function</w:t>
      </w:r>
      <w:r w:rsidR="00006750">
        <w:rPr>
          <w:bCs/>
          <w:snapToGrid w:val="0"/>
        </w:rPr>
        <w:t xml:space="preserve">, reduced </w:t>
      </w:r>
      <w:r w:rsidR="004151F8">
        <w:rPr>
          <w:bCs/>
          <w:snapToGrid w:val="0"/>
        </w:rPr>
        <w:t>infections and hospital visits</w:t>
      </w:r>
      <w:r w:rsidR="00DF4BC4">
        <w:rPr>
          <w:bCs/>
          <w:snapToGrid w:val="0"/>
        </w:rPr>
        <w:t xml:space="preserve"> associated with ELX/TEZ/IVA</w:t>
      </w:r>
      <w:r w:rsidR="004151F8">
        <w:rPr>
          <w:bCs/>
          <w:snapToGrid w:val="0"/>
        </w:rPr>
        <w:t>.</w:t>
      </w:r>
      <w:r w:rsidR="00256C6B">
        <w:rPr>
          <w:bCs/>
          <w:snapToGrid w:val="0"/>
        </w:rPr>
        <w:t xml:space="preserve"> The comments</w:t>
      </w:r>
      <w:r w:rsidR="00560608">
        <w:rPr>
          <w:bCs/>
          <w:snapToGrid w:val="0"/>
        </w:rPr>
        <w:t xml:space="preserve"> from individuals that would like access to ELX/TEZ/IVA</w:t>
      </w:r>
      <w:r w:rsidR="00256C6B">
        <w:rPr>
          <w:bCs/>
          <w:snapToGrid w:val="0"/>
        </w:rPr>
        <w:t xml:space="preserve"> </w:t>
      </w:r>
      <w:r w:rsidR="009F1A3E">
        <w:rPr>
          <w:bCs/>
          <w:snapToGrid w:val="0"/>
        </w:rPr>
        <w:t xml:space="preserve">emphasised the significant impact CF has on quality of life </w:t>
      </w:r>
      <w:r w:rsidR="00C615AF">
        <w:rPr>
          <w:bCs/>
          <w:snapToGrid w:val="0"/>
        </w:rPr>
        <w:t xml:space="preserve">and daily living </w:t>
      </w:r>
      <w:r w:rsidR="009F1A3E">
        <w:rPr>
          <w:bCs/>
          <w:snapToGrid w:val="0"/>
        </w:rPr>
        <w:t>for patients and their families.</w:t>
      </w:r>
      <w:r w:rsidR="005C6F2B">
        <w:rPr>
          <w:bCs/>
          <w:snapToGrid w:val="0"/>
        </w:rPr>
        <w:t xml:space="preserve"> Many individuals noted the inequity of access for CF patients with rare mutations and the high financial burden of </w:t>
      </w:r>
      <w:r w:rsidR="00256D9D">
        <w:rPr>
          <w:bCs/>
          <w:snapToGrid w:val="0"/>
        </w:rPr>
        <w:t xml:space="preserve">self-funding ELX/TEZ/ IVA.  </w:t>
      </w:r>
    </w:p>
    <w:p w14:paraId="16872A36" w14:textId="570AAC1D" w:rsidR="00E63111" w:rsidRDefault="00A77801" w:rsidP="001F696C">
      <w:pPr>
        <w:pStyle w:val="3-BodyText"/>
        <w:rPr>
          <w:snapToGrid w:val="0"/>
        </w:rPr>
      </w:pPr>
      <w:r>
        <w:rPr>
          <w:bCs/>
          <w:snapToGrid w:val="0"/>
        </w:rPr>
        <w:t xml:space="preserve">Cystic Fibrosis Australia noted </w:t>
      </w:r>
      <w:r w:rsidR="00EC345A">
        <w:rPr>
          <w:bCs/>
          <w:snapToGrid w:val="0"/>
        </w:rPr>
        <w:t xml:space="preserve">the available clinical evidence for </w:t>
      </w:r>
      <w:r w:rsidR="004C253D">
        <w:rPr>
          <w:bCs/>
          <w:snapToGrid w:val="0"/>
        </w:rPr>
        <w:t>ELZ/TEZ/IVA</w:t>
      </w:r>
      <w:r w:rsidR="00486769">
        <w:rPr>
          <w:bCs/>
          <w:snapToGrid w:val="0"/>
        </w:rPr>
        <w:t xml:space="preserve"> supports its efficacy and safety</w:t>
      </w:r>
      <w:r w:rsidR="00112C8E">
        <w:rPr>
          <w:bCs/>
          <w:snapToGrid w:val="0"/>
        </w:rPr>
        <w:t xml:space="preserve"> </w:t>
      </w:r>
      <w:r w:rsidR="003174A4">
        <w:rPr>
          <w:bCs/>
          <w:snapToGrid w:val="0"/>
        </w:rPr>
        <w:t xml:space="preserve">in this population </w:t>
      </w:r>
      <w:r w:rsidR="00112C8E">
        <w:rPr>
          <w:bCs/>
          <w:snapToGrid w:val="0"/>
        </w:rPr>
        <w:t xml:space="preserve">and </w:t>
      </w:r>
      <w:r w:rsidR="00EC345A">
        <w:rPr>
          <w:bCs/>
          <w:snapToGrid w:val="0"/>
        </w:rPr>
        <w:t>the importance of providing early access to reduce long term damage</w:t>
      </w:r>
      <w:r w:rsidR="00112C8E">
        <w:rPr>
          <w:bCs/>
          <w:snapToGrid w:val="0"/>
        </w:rPr>
        <w:t xml:space="preserve">.  </w:t>
      </w:r>
      <w:r w:rsidR="00A747CB">
        <w:rPr>
          <w:bCs/>
          <w:snapToGrid w:val="0"/>
        </w:rPr>
        <w:t xml:space="preserve">CF Together </w:t>
      </w:r>
      <w:r w:rsidR="009F1554">
        <w:rPr>
          <w:bCs/>
          <w:snapToGrid w:val="0"/>
        </w:rPr>
        <w:t xml:space="preserve">suggested flexible PBS listing criteria </w:t>
      </w:r>
      <w:r w:rsidR="00B774D3">
        <w:rPr>
          <w:bCs/>
          <w:snapToGrid w:val="0"/>
        </w:rPr>
        <w:t xml:space="preserve">would be appropriate </w:t>
      </w:r>
      <w:r w:rsidR="009F1554">
        <w:rPr>
          <w:bCs/>
          <w:snapToGrid w:val="0"/>
        </w:rPr>
        <w:t xml:space="preserve">that included </w:t>
      </w:r>
      <w:r w:rsidR="00B774D3">
        <w:rPr>
          <w:bCs/>
          <w:snapToGrid w:val="0"/>
        </w:rPr>
        <w:t xml:space="preserve">responsive and non-categorised mutations and proposed a clinical assessment approach to determine the efficacy of ELX/TEZ/IVA for individuals with rare mutations. </w:t>
      </w:r>
      <w:r w:rsidR="00E63111">
        <w:rPr>
          <w:bCs/>
          <w:snapToGrid w:val="0"/>
        </w:rPr>
        <w:t xml:space="preserve">The National Paediatric Medicines Form </w:t>
      </w:r>
      <w:r>
        <w:rPr>
          <w:bCs/>
          <w:snapToGrid w:val="0"/>
        </w:rPr>
        <w:t xml:space="preserve">also </w:t>
      </w:r>
      <w:r w:rsidR="00E63111">
        <w:rPr>
          <w:bCs/>
          <w:snapToGrid w:val="0"/>
        </w:rPr>
        <w:t>expressed their support for listing ELX/TEZ/IVA for this population</w:t>
      </w:r>
      <w:r w:rsidR="00E86A06">
        <w:rPr>
          <w:bCs/>
          <w:snapToGrid w:val="0"/>
        </w:rPr>
        <w:t xml:space="preserve">. </w:t>
      </w:r>
      <w:r w:rsidR="00A747CB">
        <w:rPr>
          <w:bCs/>
          <w:snapToGrid w:val="0"/>
        </w:rPr>
        <w:t>All organisations noted the equity issues for people with rare mutations and the prohibitive cost of paying for ELX/TEZ/IVA privately.</w:t>
      </w:r>
    </w:p>
    <w:p w14:paraId="609C0765" w14:textId="00E4541E" w:rsidR="00B60939" w:rsidRPr="0098262F" w:rsidRDefault="00B60939" w:rsidP="001F696C">
      <w:pPr>
        <w:pStyle w:val="4-SubsectionHeading"/>
      </w:pPr>
      <w:r w:rsidRPr="0098262F">
        <w:t xml:space="preserve">Clinical </w:t>
      </w:r>
      <w:r w:rsidR="00D5243B" w:rsidRPr="0098262F">
        <w:t>studie</w:t>
      </w:r>
      <w:bookmarkEnd w:id="31"/>
      <w:r w:rsidR="00A72C37">
        <w:t>s</w:t>
      </w:r>
      <w:bookmarkEnd w:id="32"/>
    </w:p>
    <w:p w14:paraId="2701F4F7" w14:textId="7D86E7F7" w:rsidR="00733877" w:rsidRPr="00F80764" w:rsidRDefault="00733877" w:rsidP="00047165">
      <w:pPr>
        <w:pStyle w:val="3-BodyText"/>
      </w:pPr>
      <w:r>
        <w:t xml:space="preserve">The clinical evidence presented was grouped by the submission according to the groups of mutations proposed for listing. </w:t>
      </w:r>
      <w:r w:rsidR="00213A3A">
        <w:t>The data sources proposed to support each group of mutation are summarised in</w:t>
      </w:r>
      <w:r w:rsidR="00067939">
        <w:t xml:space="preserve"> </w:t>
      </w:r>
      <w:r w:rsidR="00CF0E96">
        <w:fldChar w:fldCharType="begin"/>
      </w:r>
      <w:r w:rsidR="00CF0E96">
        <w:instrText xml:space="preserve"> REF _Ref183597760 \h </w:instrText>
      </w:r>
      <w:r w:rsidR="00CF0E96">
        <w:fldChar w:fldCharType="separate"/>
      </w:r>
      <w:r w:rsidR="00343156" w:rsidRPr="00067939">
        <w:t xml:space="preserve">Table </w:t>
      </w:r>
      <w:r w:rsidR="00343156">
        <w:rPr>
          <w:noProof/>
        </w:rPr>
        <w:t>4</w:t>
      </w:r>
      <w:r w:rsidR="00CF0E96">
        <w:fldChar w:fldCharType="end"/>
      </w:r>
      <w:r w:rsidR="00CF0E96">
        <w:t xml:space="preserve">. </w:t>
      </w:r>
    </w:p>
    <w:p w14:paraId="4FF10377" w14:textId="2413A2BF" w:rsidR="00213A3A" w:rsidRPr="00067939" w:rsidRDefault="00067939" w:rsidP="00067939">
      <w:pPr>
        <w:pStyle w:val="TableFigureHeading"/>
      </w:pPr>
      <w:bookmarkStart w:id="33" w:name="_Ref183597760"/>
      <w:r w:rsidRPr="00067939">
        <w:t xml:space="preserve">Table </w:t>
      </w:r>
      <w:r w:rsidR="00345E49">
        <w:fldChar w:fldCharType="begin"/>
      </w:r>
      <w:r w:rsidR="00345E49">
        <w:instrText xml:space="preserve"> SEQ Table \* ARABIC </w:instrText>
      </w:r>
      <w:r w:rsidR="00345E49">
        <w:fldChar w:fldCharType="separate"/>
      </w:r>
      <w:r w:rsidR="00343156">
        <w:rPr>
          <w:noProof/>
        </w:rPr>
        <w:t>4</w:t>
      </w:r>
      <w:r w:rsidR="00345E49">
        <w:rPr>
          <w:noProof/>
        </w:rPr>
        <w:fldChar w:fldCharType="end"/>
      </w:r>
      <w:bookmarkEnd w:id="33"/>
      <w:r>
        <w:t xml:space="preserve">: </w:t>
      </w:r>
      <w:r w:rsidRPr="00067939">
        <w:t xml:space="preserve"> </w:t>
      </w:r>
      <w:r w:rsidR="00213A3A" w:rsidRPr="00067939">
        <w:t>Data source for mutations included in current submission</w:t>
      </w:r>
    </w:p>
    <w:tbl>
      <w:tblPr>
        <w:tblStyle w:val="TableGrid"/>
        <w:tblW w:w="5000" w:type="pct"/>
        <w:tblCellMar>
          <w:left w:w="57" w:type="dxa"/>
          <w:right w:w="57" w:type="dxa"/>
        </w:tblCellMar>
        <w:tblLook w:val="04A0" w:firstRow="1" w:lastRow="0" w:firstColumn="1" w:lastColumn="0" w:noHBand="0" w:noVBand="1"/>
      </w:tblPr>
      <w:tblGrid>
        <w:gridCol w:w="2912"/>
        <w:gridCol w:w="6105"/>
      </w:tblGrid>
      <w:tr w:rsidR="00213A3A" w:rsidRPr="00213A3A" w14:paraId="00451B20" w14:textId="77777777" w:rsidTr="00213A3A">
        <w:trPr>
          <w:trHeight w:val="283"/>
        </w:trPr>
        <w:tc>
          <w:tcPr>
            <w:tcW w:w="1615" w:type="pct"/>
            <w:shd w:val="clear" w:color="auto" w:fill="auto"/>
            <w:vAlign w:val="center"/>
          </w:tcPr>
          <w:p w14:paraId="6C1EB9B4" w14:textId="77777777" w:rsidR="00213A3A" w:rsidRPr="00213A3A" w:rsidRDefault="00213A3A" w:rsidP="00213A3A">
            <w:pPr>
              <w:pStyle w:val="In-tableHeading"/>
            </w:pPr>
            <w:r w:rsidRPr="00213A3A">
              <w:t>Mutation group</w:t>
            </w:r>
          </w:p>
        </w:tc>
        <w:tc>
          <w:tcPr>
            <w:tcW w:w="3385" w:type="pct"/>
            <w:shd w:val="clear" w:color="auto" w:fill="auto"/>
            <w:vAlign w:val="center"/>
          </w:tcPr>
          <w:p w14:paraId="71C7278C" w14:textId="77777777" w:rsidR="00213A3A" w:rsidRPr="00213A3A" w:rsidRDefault="00213A3A" w:rsidP="00213A3A">
            <w:pPr>
              <w:pStyle w:val="In-tableHeading"/>
            </w:pPr>
            <w:r w:rsidRPr="00213A3A">
              <w:t>Data source/rationale</w:t>
            </w:r>
          </w:p>
        </w:tc>
      </w:tr>
      <w:tr w:rsidR="00213A3A" w:rsidRPr="00213A3A" w14:paraId="65E3FCFC" w14:textId="77777777" w:rsidTr="00213A3A">
        <w:trPr>
          <w:trHeight w:val="283"/>
        </w:trPr>
        <w:tc>
          <w:tcPr>
            <w:tcW w:w="1615" w:type="pct"/>
            <w:shd w:val="clear" w:color="auto" w:fill="auto"/>
            <w:vAlign w:val="center"/>
          </w:tcPr>
          <w:p w14:paraId="762E5870" w14:textId="77777777" w:rsidR="00213A3A" w:rsidRPr="00213A3A" w:rsidRDefault="00213A3A" w:rsidP="00213A3A">
            <w:pPr>
              <w:pStyle w:val="TableText"/>
            </w:pPr>
            <w:r w:rsidRPr="00213A3A">
              <w:t xml:space="preserve">177 FRT mutations </w:t>
            </w:r>
            <w:r w:rsidRPr="00213A3A">
              <w:br/>
              <w:t xml:space="preserve">(previously FDA approved) </w:t>
            </w:r>
          </w:p>
        </w:tc>
        <w:tc>
          <w:tcPr>
            <w:tcW w:w="3385" w:type="pct"/>
            <w:shd w:val="clear" w:color="auto" w:fill="auto"/>
          </w:tcPr>
          <w:p w14:paraId="6B03BB45" w14:textId="61C94AA7" w:rsidR="00213A3A" w:rsidRPr="00AA530A" w:rsidRDefault="00213A3A" w:rsidP="00213A3A">
            <w:pPr>
              <w:pStyle w:val="TableText"/>
              <w:rPr>
                <w:vertAlign w:val="superscript"/>
              </w:rPr>
            </w:pPr>
            <w:r w:rsidRPr="00213A3A">
              <w:rPr>
                <w:i/>
                <w:iCs/>
              </w:rPr>
              <w:t>In vitro</w:t>
            </w:r>
            <w:r w:rsidRPr="00213A3A">
              <w:t xml:space="preserve"> data using FRT system (</w:t>
            </w:r>
            <w:r w:rsidR="00BF30AC">
              <w:t xml:space="preserve">Study </w:t>
            </w:r>
            <w:r w:rsidRPr="00213A3A">
              <w:t>P289)</w:t>
            </w:r>
          </w:p>
          <w:p w14:paraId="09343497" w14:textId="77777777" w:rsidR="00213A3A" w:rsidRPr="00213A3A" w:rsidRDefault="00213A3A" w:rsidP="00213A3A">
            <w:pPr>
              <w:pStyle w:val="TableText"/>
            </w:pPr>
            <w:r w:rsidRPr="00213A3A">
              <w:t>Study 124 Phase 3 RCT data</w:t>
            </w:r>
          </w:p>
          <w:p w14:paraId="32D23556" w14:textId="77777777" w:rsidR="00213A3A" w:rsidRPr="00213A3A" w:rsidRDefault="00213A3A" w:rsidP="00213A3A">
            <w:pPr>
              <w:pStyle w:val="TableText"/>
            </w:pPr>
            <w:r w:rsidRPr="00213A3A">
              <w:t>Study CFD-016 RWE data</w:t>
            </w:r>
          </w:p>
          <w:p w14:paraId="4554EBB9" w14:textId="77777777" w:rsidR="00213A3A" w:rsidRPr="00213A3A" w:rsidRDefault="00213A3A" w:rsidP="00213A3A">
            <w:pPr>
              <w:pStyle w:val="TableText"/>
            </w:pPr>
            <w:r w:rsidRPr="00213A3A">
              <w:t>Indicated for IVA and/or TEZ/IVA</w:t>
            </w:r>
          </w:p>
        </w:tc>
      </w:tr>
      <w:tr w:rsidR="00213A3A" w:rsidRPr="00213A3A" w14:paraId="591D522B" w14:textId="77777777" w:rsidTr="00213A3A">
        <w:trPr>
          <w:trHeight w:val="283"/>
        </w:trPr>
        <w:tc>
          <w:tcPr>
            <w:tcW w:w="1615" w:type="pct"/>
            <w:shd w:val="clear" w:color="auto" w:fill="auto"/>
            <w:vAlign w:val="center"/>
          </w:tcPr>
          <w:p w14:paraId="766D3526" w14:textId="77777777" w:rsidR="00213A3A" w:rsidRPr="00213A3A" w:rsidRDefault="00213A3A" w:rsidP="00213A3A">
            <w:pPr>
              <w:pStyle w:val="TableText"/>
              <w:rPr>
                <w:i/>
                <w:iCs/>
              </w:rPr>
            </w:pPr>
            <w:r w:rsidRPr="00213A3A">
              <w:rPr>
                <w:i/>
                <w:iCs/>
              </w:rPr>
              <w:t>N1303K</w:t>
            </w:r>
          </w:p>
        </w:tc>
        <w:tc>
          <w:tcPr>
            <w:tcW w:w="3385" w:type="pct"/>
            <w:shd w:val="clear" w:color="auto" w:fill="auto"/>
          </w:tcPr>
          <w:p w14:paraId="569CD855" w14:textId="77777777" w:rsidR="00213A3A" w:rsidRPr="00213A3A" w:rsidRDefault="00213A3A" w:rsidP="00213A3A">
            <w:pPr>
              <w:pStyle w:val="TableText"/>
            </w:pPr>
            <w:r w:rsidRPr="00213A3A">
              <w:t>Solomon et al. 2023</w:t>
            </w:r>
          </w:p>
          <w:p w14:paraId="5A241383" w14:textId="77777777" w:rsidR="00213A3A" w:rsidRPr="00213A3A" w:rsidRDefault="00213A3A" w:rsidP="00213A3A">
            <w:pPr>
              <w:pStyle w:val="TableText"/>
            </w:pPr>
            <w:r w:rsidRPr="00213A3A">
              <w:t>Sadras et al. 2023</w:t>
            </w:r>
          </w:p>
          <w:p w14:paraId="350D723D" w14:textId="77777777" w:rsidR="00213A3A" w:rsidRPr="00213A3A" w:rsidRDefault="00213A3A" w:rsidP="00213A3A">
            <w:pPr>
              <w:pStyle w:val="TableText"/>
            </w:pPr>
            <w:r w:rsidRPr="00213A3A">
              <w:t>Livnat et al. 2023</w:t>
            </w:r>
          </w:p>
          <w:p w14:paraId="5FE46C58" w14:textId="77777777" w:rsidR="00213A3A" w:rsidRPr="00213A3A" w:rsidRDefault="00213A3A" w:rsidP="00213A3A">
            <w:pPr>
              <w:pStyle w:val="TableText"/>
            </w:pPr>
            <w:r w:rsidRPr="00213A3A">
              <w:t>Burgel et al. 2024</w:t>
            </w:r>
          </w:p>
        </w:tc>
      </w:tr>
      <w:tr w:rsidR="00213A3A" w:rsidRPr="00213A3A" w14:paraId="0854B935" w14:textId="77777777" w:rsidTr="00213A3A">
        <w:trPr>
          <w:trHeight w:val="283"/>
        </w:trPr>
        <w:tc>
          <w:tcPr>
            <w:tcW w:w="1615" w:type="pct"/>
            <w:shd w:val="clear" w:color="auto" w:fill="auto"/>
            <w:vAlign w:val="center"/>
          </w:tcPr>
          <w:p w14:paraId="54E63288" w14:textId="77777777" w:rsidR="00213A3A" w:rsidRPr="00213A3A" w:rsidRDefault="00213A3A" w:rsidP="00213A3A">
            <w:pPr>
              <w:pStyle w:val="TableText"/>
            </w:pPr>
            <w:r w:rsidRPr="00213A3A">
              <w:t>5 non-canonical splice mutations</w:t>
            </w:r>
          </w:p>
        </w:tc>
        <w:tc>
          <w:tcPr>
            <w:tcW w:w="3385" w:type="pct"/>
            <w:shd w:val="clear" w:color="auto" w:fill="auto"/>
          </w:tcPr>
          <w:p w14:paraId="1E2D6F5D" w14:textId="77777777" w:rsidR="00213A3A" w:rsidRPr="00213A3A" w:rsidRDefault="00213A3A" w:rsidP="00213A3A">
            <w:pPr>
              <w:pStyle w:val="TableText"/>
            </w:pPr>
            <w:r w:rsidRPr="00213A3A">
              <w:t>Extrapolation based on IVA and TEZ/IVA clinical data</w:t>
            </w:r>
          </w:p>
          <w:p w14:paraId="50160219" w14:textId="77777777" w:rsidR="00213A3A" w:rsidRPr="00213A3A" w:rsidRDefault="00213A3A" w:rsidP="00213A3A">
            <w:pPr>
              <w:pStyle w:val="TableText"/>
            </w:pPr>
            <w:r w:rsidRPr="00213A3A">
              <w:t>Study 124 Phase 3 RCT data</w:t>
            </w:r>
          </w:p>
          <w:p w14:paraId="775B6593" w14:textId="77777777" w:rsidR="00213A3A" w:rsidRPr="00213A3A" w:rsidRDefault="00213A3A" w:rsidP="00213A3A">
            <w:pPr>
              <w:pStyle w:val="TableText"/>
            </w:pPr>
            <w:r w:rsidRPr="00213A3A">
              <w:t>Study CFD-016 RWE data</w:t>
            </w:r>
          </w:p>
        </w:tc>
      </w:tr>
      <w:tr w:rsidR="00213A3A" w:rsidRPr="00213A3A" w14:paraId="2477DA24" w14:textId="77777777" w:rsidTr="00213A3A">
        <w:trPr>
          <w:trHeight w:val="283"/>
        </w:trPr>
        <w:tc>
          <w:tcPr>
            <w:tcW w:w="1615" w:type="pct"/>
            <w:shd w:val="clear" w:color="auto" w:fill="auto"/>
            <w:vAlign w:val="center"/>
          </w:tcPr>
          <w:p w14:paraId="3551E306" w14:textId="77777777" w:rsidR="00213A3A" w:rsidRPr="00213A3A" w:rsidRDefault="00213A3A" w:rsidP="00213A3A">
            <w:pPr>
              <w:pStyle w:val="TableText"/>
            </w:pPr>
            <w:r w:rsidRPr="00213A3A">
              <w:t>14 additional non-canonical splice mutations</w:t>
            </w:r>
          </w:p>
        </w:tc>
        <w:tc>
          <w:tcPr>
            <w:tcW w:w="3385" w:type="pct"/>
            <w:shd w:val="clear" w:color="auto" w:fill="auto"/>
          </w:tcPr>
          <w:p w14:paraId="217F1C92" w14:textId="77777777" w:rsidR="00213A3A" w:rsidRPr="00213A3A" w:rsidRDefault="00213A3A" w:rsidP="00213A3A">
            <w:pPr>
              <w:pStyle w:val="TableText"/>
            </w:pPr>
            <w:r w:rsidRPr="00213A3A">
              <w:t>Extrapolation based on mode of action and response of non-canonical splice mutations in Study 124</w:t>
            </w:r>
          </w:p>
        </w:tc>
      </w:tr>
      <w:tr w:rsidR="00213A3A" w:rsidRPr="00213A3A" w14:paraId="21ED4EAA" w14:textId="77777777" w:rsidTr="00213A3A">
        <w:trPr>
          <w:trHeight w:val="283"/>
        </w:trPr>
        <w:tc>
          <w:tcPr>
            <w:tcW w:w="1615" w:type="pct"/>
            <w:shd w:val="clear" w:color="auto" w:fill="auto"/>
            <w:vAlign w:val="center"/>
          </w:tcPr>
          <w:p w14:paraId="24F86D66" w14:textId="77777777" w:rsidR="00213A3A" w:rsidRPr="00213A3A" w:rsidRDefault="00213A3A" w:rsidP="00213A3A">
            <w:pPr>
              <w:pStyle w:val="TableText"/>
            </w:pPr>
            <w:r w:rsidRPr="00213A3A">
              <w:t>74 additional mutations based on FRT</w:t>
            </w:r>
          </w:p>
        </w:tc>
        <w:tc>
          <w:tcPr>
            <w:tcW w:w="3385" w:type="pct"/>
            <w:shd w:val="clear" w:color="auto" w:fill="auto"/>
          </w:tcPr>
          <w:p w14:paraId="69899F1E" w14:textId="730E882A" w:rsidR="00213A3A" w:rsidRPr="00213A3A" w:rsidRDefault="00213A3A" w:rsidP="00213A3A">
            <w:pPr>
              <w:pStyle w:val="TableText"/>
            </w:pPr>
            <w:r w:rsidRPr="00213A3A">
              <w:rPr>
                <w:i/>
                <w:iCs/>
              </w:rPr>
              <w:t>In vitro</w:t>
            </w:r>
            <w:r w:rsidRPr="00213A3A">
              <w:t xml:space="preserve"> data using FRT system (</w:t>
            </w:r>
            <w:r w:rsidR="00BF30AC">
              <w:t xml:space="preserve">Study </w:t>
            </w:r>
            <w:r w:rsidRPr="00213A3A">
              <w:t>U032)</w:t>
            </w:r>
          </w:p>
          <w:p w14:paraId="5FAA4386" w14:textId="77777777" w:rsidR="00213A3A" w:rsidRPr="00213A3A" w:rsidRDefault="00213A3A" w:rsidP="00213A3A">
            <w:pPr>
              <w:pStyle w:val="TableText"/>
            </w:pPr>
            <w:r w:rsidRPr="00213A3A">
              <w:t>Burgel et al. 2024</w:t>
            </w:r>
          </w:p>
        </w:tc>
      </w:tr>
    </w:tbl>
    <w:p w14:paraId="58F0DEEE" w14:textId="77777777" w:rsidR="00486226" w:rsidRDefault="00067939" w:rsidP="00464596">
      <w:pPr>
        <w:pStyle w:val="TableFigureFooter"/>
        <w:rPr>
          <w:rFonts w:eastAsiaTheme="minorHAnsi"/>
        </w:rPr>
      </w:pPr>
      <w:r>
        <w:rPr>
          <w:rFonts w:eastAsiaTheme="minorHAnsi"/>
        </w:rPr>
        <w:t>Source: Table 1.1, p 27 of the submission.</w:t>
      </w:r>
    </w:p>
    <w:p w14:paraId="7E2AE237" w14:textId="7E536D6C" w:rsidR="00213A3A" w:rsidRDefault="00213A3A" w:rsidP="00464596">
      <w:pPr>
        <w:pStyle w:val="TableFigureFooter"/>
        <w:rPr>
          <w:rFonts w:eastAsiaTheme="minorHAnsi"/>
        </w:rPr>
      </w:pPr>
      <w:r w:rsidRPr="00213A3A">
        <w:rPr>
          <w:rFonts w:eastAsiaTheme="minorHAnsi"/>
        </w:rPr>
        <w:t>FDA, Food and Drug Administration; FRT, Fischer Rat Thyroid; IVA, ivacaftor; RWE, real-world evidence; TEZ/IVA, tezacaftor/ivacaftor.</w:t>
      </w:r>
    </w:p>
    <w:p w14:paraId="2B59ABAC" w14:textId="4654E95D" w:rsidR="00862502" w:rsidRPr="0098262F" w:rsidRDefault="00A73134" w:rsidP="002E4F02">
      <w:pPr>
        <w:pStyle w:val="3-BodyText"/>
      </w:pPr>
      <w:r>
        <w:t xml:space="preserve">Details of the </w:t>
      </w:r>
      <w:r w:rsidR="00D5243B">
        <w:t>studies</w:t>
      </w:r>
      <w:r>
        <w:t xml:space="preserve"> presented in the submission are provided in </w:t>
      </w:r>
      <w:r>
        <w:fldChar w:fldCharType="begin"/>
      </w:r>
      <w:r>
        <w:instrText xml:space="preserve"> REF _Ref104803956 \h </w:instrText>
      </w:r>
      <w:r>
        <w:fldChar w:fldCharType="separate"/>
      </w:r>
      <w:r w:rsidR="00343156" w:rsidRPr="0098262F">
        <w:t xml:space="preserve">Table </w:t>
      </w:r>
      <w:r w:rsidR="00343156">
        <w:rPr>
          <w:noProof/>
        </w:rPr>
        <w:t>5</w:t>
      </w:r>
      <w:r>
        <w:fldChar w:fldCharType="end"/>
      </w:r>
      <w:r w:rsidR="00CF0E96">
        <w:t>.</w:t>
      </w:r>
    </w:p>
    <w:p w14:paraId="7DE3A286" w14:textId="2FD8020F" w:rsidR="008E0D3C" w:rsidRPr="0098262F" w:rsidRDefault="00696EF9" w:rsidP="002E4F02">
      <w:pPr>
        <w:pStyle w:val="TableFigureHeading"/>
        <w:rPr>
          <w:b w:val="0"/>
        </w:rPr>
      </w:pPr>
      <w:bookmarkStart w:id="34" w:name="_Ref104803956"/>
      <w:r w:rsidRPr="0098262F">
        <w:lastRenderedPageBreak/>
        <w:t xml:space="preserve">Table </w:t>
      </w:r>
      <w:r w:rsidR="00345E49">
        <w:fldChar w:fldCharType="begin"/>
      </w:r>
      <w:r w:rsidR="00345E49">
        <w:instrText xml:space="preserve"> SEQ Table \* ARABIC </w:instrText>
      </w:r>
      <w:r w:rsidR="00345E49">
        <w:fldChar w:fldCharType="separate"/>
      </w:r>
      <w:r w:rsidR="00343156">
        <w:rPr>
          <w:noProof/>
        </w:rPr>
        <w:t>5</w:t>
      </w:r>
      <w:r w:rsidR="00345E49">
        <w:rPr>
          <w:noProof/>
        </w:rPr>
        <w:fldChar w:fldCharType="end"/>
      </w:r>
      <w:bookmarkEnd w:id="34"/>
      <w:r w:rsidRPr="0098262F">
        <w:t>:</w:t>
      </w:r>
      <w:r w:rsidR="00BC591F" w:rsidRPr="0098262F">
        <w:t xml:space="preserve"> </w:t>
      </w:r>
      <w:r w:rsidR="00B943CB" w:rsidRPr="00897630">
        <w:rPr>
          <w:bCs w:val="0"/>
        </w:rPr>
        <w:t>S</w:t>
      </w:r>
      <w:r w:rsidR="00D5243B" w:rsidRPr="00897630">
        <w:rPr>
          <w:bCs w:val="0"/>
        </w:rPr>
        <w:t>t</w:t>
      </w:r>
      <w:r w:rsidR="00D5243B" w:rsidRPr="0098262F">
        <w:t>udies</w:t>
      </w:r>
      <w:r w:rsidR="008E0D3C" w:rsidRPr="0098262F">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76"/>
        <w:gridCol w:w="3957"/>
        <w:gridCol w:w="3484"/>
      </w:tblGrid>
      <w:tr w:rsidR="008E0D3C" w:rsidRPr="00BC732E" w14:paraId="6ACD35C4" w14:textId="77777777" w:rsidTr="00063606">
        <w:trPr>
          <w:cantSplit/>
          <w:tblHeader/>
        </w:trPr>
        <w:tc>
          <w:tcPr>
            <w:tcW w:w="874" w:type="pct"/>
            <w:vAlign w:val="center"/>
          </w:tcPr>
          <w:p w14:paraId="20DEEB23" w14:textId="77777777" w:rsidR="008E0D3C" w:rsidRPr="00BC732E" w:rsidRDefault="008E0D3C" w:rsidP="00E57692">
            <w:pPr>
              <w:pStyle w:val="In-tableHeading"/>
              <w:rPr>
                <w:rFonts w:cs="Arial"/>
                <w:b w:val="0"/>
                <w:szCs w:val="20"/>
              </w:rPr>
            </w:pPr>
            <w:r w:rsidRPr="00BC732E">
              <w:rPr>
                <w:rFonts w:cs="Arial"/>
                <w:b w:val="0"/>
                <w:szCs w:val="20"/>
              </w:rPr>
              <w:t>Trial ID</w:t>
            </w:r>
          </w:p>
        </w:tc>
        <w:tc>
          <w:tcPr>
            <w:tcW w:w="2194" w:type="pct"/>
            <w:vAlign w:val="center"/>
          </w:tcPr>
          <w:p w14:paraId="22EF6C51" w14:textId="77777777" w:rsidR="008E0D3C" w:rsidRPr="00BC732E" w:rsidRDefault="008E0D3C" w:rsidP="00E57692">
            <w:pPr>
              <w:pStyle w:val="In-tableHeading"/>
              <w:rPr>
                <w:rFonts w:cs="Arial"/>
                <w:b w:val="0"/>
                <w:szCs w:val="20"/>
              </w:rPr>
            </w:pPr>
            <w:r w:rsidRPr="00BC732E">
              <w:rPr>
                <w:rFonts w:cs="Arial"/>
                <w:b w:val="0"/>
                <w:szCs w:val="20"/>
              </w:rPr>
              <w:t>Protocol title/ Publication title</w:t>
            </w:r>
          </w:p>
        </w:tc>
        <w:tc>
          <w:tcPr>
            <w:tcW w:w="1932" w:type="pct"/>
            <w:vAlign w:val="center"/>
          </w:tcPr>
          <w:p w14:paraId="561B27A8" w14:textId="77777777" w:rsidR="008E0D3C" w:rsidRPr="00BC732E" w:rsidRDefault="008E0D3C" w:rsidP="00E57692">
            <w:pPr>
              <w:pStyle w:val="In-tableHeading"/>
              <w:rPr>
                <w:rFonts w:cs="Arial"/>
                <w:b w:val="0"/>
                <w:szCs w:val="20"/>
              </w:rPr>
            </w:pPr>
            <w:r w:rsidRPr="00BC732E">
              <w:rPr>
                <w:rFonts w:cs="Arial"/>
                <w:b w:val="0"/>
                <w:szCs w:val="20"/>
              </w:rPr>
              <w:t>Publication citation</w:t>
            </w:r>
          </w:p>
        </w:tc>
      </w:tr>
      <w:tr w:rsidR="002E4F02" w:rsidRPr="00BC732E" w14:paraId="72FE99D8" w14:textId="77777777" w:rsidTr="00063606">
        <w:trPr>
          <w:cantSplit/>
        </w:trPr>
        <w:tc>
          <w:tcPr>
            <w:tcW w:w="874" w:type="pct"/>
            <w:tcBorders>
              <w:bottom w:val="single" w:sz="4" w:space="0" w:color="auto"/>
            </w:tcBorders>
            <w:vAlign w:val="center"/>
          </w:tcPr>
          <w:p w14:paraId="1E431D63" w14:textId="6C76177F" w:rsidR="002E4F02" w:rsidRPr="00BC732E" w:rsidRDefault="005A1F98" w:rsidP="001F463D">
            <w:pPr>
              <w:pStyle w:val="In-tableHeading"/>
            </w:pPr>
            <w:r>
              <w:t>Clinical studies</w:t>
            </w:r>
          </w:p>
        </w:tc>
        <w:tc>
          <w:tcPr>
            <w:tcW w:w="2194" w:type="pct"/>
            <w:tcBorders>
              <w:top w:val="nil"/>
              <w:bottom w:val="single" w:sz="4" w:space="0" w:color="auto"/>
            </w:tcBorders>
            <w:vAlign w:val="center"/>
          </w:tcPr>
          <w:p w14:paraId="0FCB0ED9" w14:textId="2B601817" w:rsidR="002E4F02" w:rsidRPr="00BC732E" w:rsidRDefault="002E4F02" w:rsidP="00B943CB">
            <w:pPr>
              <w:rPr>
                <w:rFonts w:ascii="Arial Narrow" w:hAnsi="Arial Narrow"/>
                <w:sz w:val="20"/>
                <w:szCs w:val="20"/>
              </w:rPr>
            </w:pPr>
          </w:p>
        </w:tc>
        <w:tc>
          <w:tcPr>
            <w:tcW w:w="1932" w:type="pct"/>
            <w:tcBorders>
              <w:top w:val="nil"/>
              <w:bottom w:val="single" w:sz="4" w:space="0" w:color="auto"/>
            </w:tcBorders>
            <w:vAlign w:val="center"/>
          </w:tcPr>
          <w:p w14:paraId="7C0550ED" w14:textId="13DEBCA3" w:rsidR="002E4F02" w:rsidRPr="00BC732E" w:rsidRDefault="002E4F02" w:rsidP="00B943CB">
            <w:pPr>
              <w:rPr>
                <w:rFonts w:ascii="Arial Narrow" w:hAnsi="Arial Narrow"/>
                <w:sz w:val="20"/>
                <w:szCs w:val="20"/>
              </w:rPr>
            </w:pPr>
          </w:p>
        </w:tc>
      </w:tr>
      <w:tr w:rsidR="001C02CA" w:rsidRPr="00BC732E" w14:paraId="700C7EF8" w14:textId="77777777" w:rsidTr="00063606">
        <w:trPr>
          <w:cantSplit/>
        </w:trPr>
        <w:tc>
          <w:tcPr>
            <w:tcW w:w="874" w:type="pct"/>
            <w:tcBorders>
              <w:top w:val="single" w:sz="4" w:space="0" w:color="auto"/>
              <w:bottom w:val="nil"/>
            </w:tcBorders>
            <w:vAlign w:val="center"/>
          </w:tcPr>
          <w:p w14:paraId="799493C1" w14:textId="77777777" w:rsidR="001C02CA" w:rsidRPr="00BC732E" w:rsidRDefault="001C02CA" w:rsidP="001C02CA">
            <w:pPr>
              <w:rPr>
                <w:rFonts w:ascii="Arial Narrow" w:hAnsi="Arial Narrow"/>
                <w:sz w:val="20"/>
                <w:szCs w:val="20"/>
              </w:rPr>
            </w:pPr>
            <w:r w:rsidRPr="00BC732E">
              <w:rPr>
                <w:rFonts w:ascii="Arial Narrow" w:hAnsi="Arial Narrow"/>
                <w:sz w:val="20"/>
                <w:szCs w:val="20"/>
              </w:rPr>
              <w:t>Study 124</w:t>
            </w:r>
          </w:p>
          <w:p w14:paraId="53F548E6" w14:textId="77777777" w:rsidR="001C02CA" w:rsidRPr="00BC732E" w:rsidRDefault="001C02CA" w:rsidP="001C02CA">
            <w:pPr>
              <w:rPr>
                <w:rFonts w:ascii="Arial Narrow" w:hAnsi="Arial Narrow"/>
                <w:sz w:val="20"/>
                <w:szCs w:val="20"/>
              </w:rPr>
            </w:pPr>
            <w:r w:rsidRPr="00BC732E">
              <w:rPr>
                <w:rFonts w:ascii="Arial Narrow" w:hAnsi="Arial Narrow"/>
                <w:sz w:val="20"/>
                <w:szCs w:val="20"/>
              </w:rPr>
              <w:t>VX21-445-124</w:t>
            </w:r>
          </w:p>
          <w:p w14:paraId="1D497397" w14:textId="03FA8E14" w:rsidR="001C02CA" w:rsidRPr="00BC732E" w:rsidRDefault="001C02CA" w:rsidP="001C02CA">
            <w:pPr>
              <w:rPr>
                <w:rFonts w:ascii="Arial Narrow" w:hAnsi="Arial Narrow"/>
                <w:sz w:val="20"/>
                <w:szCs w:val="20"/>
              </w:rPr>
            </w:pPr>
            <w:r w:rsidRPr="00BC732E">
              <w:rPr>
                <w:rFonts w:ascii="Arial Narrow" w:hAnsi="Arial Narrow"/>
                <w:sz w:val="20"/>
                <w:szCs w:val="20"/>
              </w:rPr>
              <w:t>NCT05274269</w:t>
            </w:r>
          </w:p>
        </w:tc>
        <w:tc>
          <w:tcPr>
            <w:tcW w:w="2194" w:type="pct"/>
            <w:tcBorders>
              <w:top w:val="single" w:sz="4" w:space="0" w:color="auto"/>
              <w:bottom w:val="nil"/>
            </w:tcBorders>
            <w:vAlign w:val="center"/>
          </w:tcPr>
          <w:p w14:paraId="25E417A9" w14:textId="69CD2A5F" w:rsidR="001C02CA" w:rsidRPr="00BC732E" w:rsidRDefault="001C02CA" w:rsidP="00B943CB">
            <w:pPr>
              <w:rPr>
                <w:rFonts w:ascii="Arial Narrow" w:hAnsi="Arial Narrow"/>
                <w:sz w:val="20"/>
                <w:szCs w:val="20"/>
                <w:highlight w:val="yellow"/>
              </w:rPr>
            </w:pPr>
            <w:r w:rsidRPr="00BC732E">
              <w:rPr>
                <w:rFonts w:ascii="Arial Narrow" w:hAnsi="Arial Narrow"/>
                <w:sz w:val="20"/>
                <w:szCs w:val="20"/>
              </w:rPr>
              <w:t xml:space="preserve">Study 124 Clinical Study Report. A Phase 3 Double-blind, Randomized, Placebo-controlled Study Evaluating the Efficacy and Safety of ELX/TEZ/IVA in Cystic Fibrosis Subjects 6 Years of Age and Older With a Non-F508del ELX/TEZ/IVA-responsive CFTR Mutation. </w:t>
            </w:r>
          </w:p>
        </w:tc>
        <w:tc>
          <w:tcPr>
            <w:tcW w:w="1932" w:type="pct"/>
            <w:tcBorders>
              <w:top w:val="single" w:sz="4" w:space="0" w:color="auto"/>
              <w:bottom w:val="nil"/>
            </w:tcBorders>
            <w:vAlign w:val="center"/>
          </w:tcPr>
          <w:p w14:paraId="3A6C83E3" w14:textId="5BB74A90" w:rsidR="001C02CA" w:rsidRPr="00BC732E" w:rsidRDefault="001C02CA" w:rsidP="00B943CB">
            <w:pPr>
              <w:rPr>
                <w:rFonts w:ascii="Arial Narrow" w:hAnsi="Arial Narrow"/>
                <w:sz w:val="20"/>
                <w:szCs w:val="20"/>
              </w:rPr>
            </w:pPr>
            <w:r w:rsidRPr="00BC732E">
              <w:rPr>
                <w:rFonts w:ascii="Arial Narrow" w:hAnsi="Arial Narrow"/>
                <w:sz w:val="20"/>
                <w:szCs w:val="20"/>
              </w:rPr>
              <w:t>Version 1.0 06 October 2023</w:t>
            </w:r>
          </w:p>
        </w:tc>
      </w:tr>
      <w:tr w:rsidR="001C02CA" w:rsidRPr="00BC732E" w14:paraId="237544CB" w14:textId="77777777" w:rsidTr="00063606">
        <w:trPr>
          <w:cantSplit/>
        </w:trPr>
        <w:tc>
          <w:tcPr>
            <w:tcW w:w="874" w:type="pct"/>
            <w:tcBorders>
              <w:top w:val="nil"/>
              <w:bottom w:val="single" w:sz="4" w:space="0" w:color="auto"/>
            </w:tcBorders>
            <w:vAlign w:val="center"/>
          </w:tcPr>
          <w:p w14:paraId="03C565DF" w14:textId="1D0590E6" w:rsidR="001C02CA" w:rsidRPr="00BC732E" w:rsidRDefault="001C02CA" w:rsidP="00B943CB">
            <w:pPr>
              <w:rPr>
                <w:rFonts w:ascii="Arial Narrow" w:hAnsi="Arial Narrow"/>
                <w:sz w:val="20"/>
                <w:szCs w:val="20"/>
              </w:rPr>
            </w:pPr>
          </w:p>
        </w:tc>
        <w:tc>
          <w:tcPr>
            <w:tcW w:w="2194" w:type="pct"/>
            <w:tcBorders>
              <w:top w:val="nil"/>
              <w:bottom w:val="single" w:sz="4" w:space="0" w:color="auto"/>
            </w:tcBorders>
            <w:vAlign w:val="center"/>
          </w:tcPr>
          <w:p w14:paraId="46E1DD59" w14:textId="009583CA" w:rsidR="001C02CA" w:rsidRPr="00BC732E" w:rsidRDefault="001C02CA" w:rsidP="00B943CB">
            <w:pPr>
              <w:rPr>
                <w:rFonts w:ascii="Arial Narrow" w:hAnsi="Arial Narrow"/>
                <w:sz w:val="20"/>
                <w:szCs w:val="20"/>
                <w:highlight w:val="yellow"/>
              </w:rPr>
            </w:pPr>
            <w:r w:rsidRPr="00BC732E">
              <w:rPr>
                <w:rFonts w:ascii="Arial Narrow" w:hAnsi="Arial Narrow"/>
                <w:sz w:val="20"/>
                <w:szCs w:val="20"/>
              </w:rPr>
              <w:t xml:space="preserve">Castellani C, et al. Efficacy and Safety of Elexacaftor/Tezacaftor/Ivacaftor (ELX/TEZ/IVA) in People with Cystic Fibrosis and ELX/TEZ/IVA-responsive, Non-F508del Genotypes: A Phase 3, Randomised, Placebo-Controlled Trial. </w:t>
            </w:r>
          </w:p>
        </w:tc>
        <w:tc>
          <w:tcPr>
            <w:tcW w:w="1932" w:type="pct"/>
            <w:tcBorders>
              <w:top w:val="nil"/>
              <w:bottom w:val="single" w:sz="4" w:space="0" w:color="auto"/>
            </w:tcBorders>
            <w:vAlign w:val="center"/>
          </w:tcPr>
          <w:p w14:paraId="61F58828" w14:textId="73543581" w:rsidR="001C02CA" w:rsidRPr="00BC732E" w:rsidRDefault="001C02CA" w:rsidP="00B943CB">
            <w:pPr>
              <w:rPr>
                <w:rFonts w:ascii="Arial Narrow" w:hAnsi="Arial Narrow"/>
                <w:sz w:val="20"/>
                <w:szCs w:val="20"/>
              </w:rPr>
            </w:pPr>
            <w:r w:rsidRPr="00BC732E">
              <w:rPr>
                <w:rFonts w:ascii="Arial Narrow" w:hAnsi="Arial Narrow"/>
                <w:sz w:val="20"/>
                <w:szCs w:val="20"/>
              </w:rPr>
              <w:t>47th European Cystic Fibrosis Conference; 5-8 June 2024</w:t>
            </w:r>
          </w:p>
        </w:tc>
      </w:tr>
      <w:tr w:rsidR="001C02CA" w:rsidRPr="00BC732E" w14:paraId="48C4E85F" w14:textId="77777777" w:rsidTr="00063606">
        <w:trPr>
          <w:cantSplit/>
        </w:trPr>
        <w:tc>
          <w:tcPr>
            <w:tcW w:w="874" w:type="pct"/>
            <w:tcBorders>
              <w:top w:val="nil"/>
              <w:bottom w:val="single" w:sz="4" w:space="0" w:color="auto"/>
            </w:tcBorders>
            <w:vAlign w:val="center"/>
          </w:tcPr>
          <w:p w14:paraId="22A7C61D" w14:textId="77777777" w:rsidR="001C02CA" w:rsidRPr="00BC732E" w:rsidRDefault="001C02CA" w:rsidP="00B943CB">
            <w:pPr>
              <w:rPr>
                <w:rFonts w:ascii="Arial Narrow" w:hAnsi="Arial Narrow"/>
                <w:sz w:val="20"/>
                <w:szCs w:val="20"/>
              </w:rPr>
            </w:pPr>
            <w:r w:rsidRPr="00BC732E">
              <w:rPr>
                <w:rFonts w:ascii="Arial Narrow" w:hAnsi="Arial Narrow"/>
                <w:sz w:val="20"/>
                <w:szCs w:val="20"/>
              </w:rPr>
              <w:t>Study 125</w:t>
            </w:r>
          </w:p>
          <w:p w14:paraId="5B753121" w14:textId="77777777" w:rsidR="001C02CA" w:rsidRPr="00BC732E" w:rsidRDefault="001C02CA" w:rsidP="00B943CB">
            <w:pPr>
              <w:rPr>
                <w:rFonts w:ascii="Arial Narrow" w:hAnsi="Arial Narrow"/>
                <w:sz w:val="20"/>
                <w:szCs w:val="20"/>
              </w:rPr>
            </w:pPr>
            <w:r w:rsidRPr="00BC732E">
              <w:rPr>
                <w:rFonts w:ascii="Arial Narrow" w:hAnsi="Arial Narrow"/>
                <w:sz w:val="20"/>
                <w:szCs w:val="20"/>
              </w:rPr>
              <w:t>VX21-445-125</w:t>
            </w:r>
          </w:p>
          <w:p w14:paraId="01C949B0" w14:textId="36B49D3E" w:rsidR="0029668E" w:rsidRPr="00BC732E" w:rsidRDefault="0029668E" w:rsidP="00B943CB">
            <w:pPr>
              <w:rPr>
                <w:rFonts w:ascii="Arial Narrow" w:hAnsi="Arial Narrow"/>
                <w:sz w:val="20"/>
                <w:szCs w:val="20"/>
              </w:rPr>
            </w:pPr>
            <w:r w:rsidRPr="00BC732E">
              <w:rPr>
                <w:rFonts w:ascii="Arial Narrow" w:hAnsi="Arial Narrow"/>
                <w:sz w:val="20"/>
                <w:szCs w:val="20"/>
              </w:rPr>
              <w:t>NCT05331183</w:t>
            </w:r>
          </w:p>
        </w:tc>
        <w:tc>
          <w:tcPr>
            <w:tcW w:w="2194" w:type="pct"/>
            <w:tcBorders>
              <w:top w:val="nil"/>
              <w:bottom w:val="single" w:sz="4" w:space="0" w:color="auto"/>
            </w:tcBorders>
            <w:vAlign w:val="center"/>
          </w:tcPr>
          <w:p w14:paraId="221C9A4A" w14:textId="1C392A9D" w:rsidR="001C02CA" w:rsidRPr="00BC732E" w:rsidRDefault="001C02CA" w:rsidP="00B943CB">
            <w:pPr>
              <w:rPr>
                <w:rFonts w:ascii="Arial Narrow" w:hAnsi="Arial Narrow"/>
                <w:sz w:val="20"/>
                <w:szCs w:val="20"/>
              </w:rPr>
            </w:pPr>
            <w:r w:rsidRPr="00BC732E">
              <w:rPr>
                <w:rFonts w:ascii="Arial Narrow" w:hAnsi="Arial Narrow"/>
                <w:sz w:val="20"/>
                <w:szCs w:val="20"/>
              </w:rPr>
              <w:t xml:space="preserve">Study 125 Key Results Memo. A Phase 3 Open-label Study Evaluating the Long-term Safety and Efficacy of ELX/TEZ/IVA in Cystic Fibrosis Subjects With Non-F508del CFTR Genotypes </w:t>
            </w:r>
          </w:p>
        </w:tc>
        <w:tc>
          <w:tcPr>
            <w:tcW w:w="1932" w:type="pct"/>
            <w:tcBorders>
              <w:top w:val="nil"/>
              <w:bottom w:val="single" w:sz="4" w:space="0" w:color="auto"/>
            </w:tcBorders>
            <w:vAlign w:val="center"/>
          </w:tcPr>
          <w:p w14:paraId="3E57C8F3" w14:textId="4189B239" w:rsidR="001C02CA" w:rsidRPr="00BC732E" w:rsidRDefault="001C02CA" w:rsidP="00B943CB">
            <w:pPr>
              <w:rPr>
                <w:rFonts w:ascii="Arial Narrow" w:hAnsi="Arial Narrow"/>
                <w:sz w:val="20"/>
                <w:szCs w:val="20"/>
              </w:rPr>
            </w:pPr>
            <w:r w:rsidRPr="00BC732E">
              <w:rPr>
                <w:rFonts w:ascii="Arial Narrow" w:hAnsi="Arial Narrow"/>
                <w:sz w:val="20"/>
                <w:szCs w:val="20"/>
              </w:rPr>
              <w:t>10 July 2024</w:t>
            </w:r>
          </w:p>
        </w:tc>
      </w:tr>
      <w:tr w:rsidR="00063606" w:rsidRPr="00BC732E" w14:paraId="6F3EF374" w14:textId="77777777" w:rsidTr="00063606">
        <w:trPr>
          <w:cantSplit/>
        </w:trPr>
        <w:tc>
          <w:tcPr>
            <w:tcW w:w="874" w:type="pct"/>
            <w:tcBorders>
              <w:top w:val="nil"/>
              <w:bottom w:val="single" w:sz="4" w:space="0" w:color="auto"/>
            </w:tcBorders>
            <w:vAlign w:val="center"/>
          </w:tcPr>
          <w:p w14:paraId="0220CE2B" w14:textId="77777777" w:rsidR="00063606" w:rsidRPr="00BC732E" w:rsidRDefault="00063606" w:rsidP="00A14777">
            <w:pPr>
              <w:rPr>
                <w:rFonts w:ascii="Arial Narrow" w:hAnsi="Arial Narrow"/>
                <w:sz w:val="20"/>
                <w:szCs w:val="20"/>
              </w:rPr>
            </w:pPr>
            <w:r w:rsidRPr="00BC732E">
              <w:rPr>
                <w:rFonts w:ascii="Arial Narrow" w:hAnsi="Arial Narrow"/>
                <w:sz w:val="20"/>
                <w:szCs w:val="20"/>
              </w:rPr>
              <w:t>Solomon et al 2023.</w:t>
            </w:r>
          </w:p>
        </w:tc>
        <w:tc>
          <w:tcPr>
            <w:tcW w:w="2194" w:type="pct"/>
            <w:tcBorders>
              <w:top w:val="nil"/>
              <w:bottom w:val="single" w:sz="4" w:space="0" w:color="auto"/>
            </w:tcBorders>
            <w:vAlign w:val="center"/>
          </w:tcPr>
          <w:p w14:paraId="3F920176" w14:textId="77777777" w:rsidR="00063606" w:rsidRPr="00BC732E" w:rsidRDefault="00063606" w:rsidP="00A14777">
            <w:pPr>
              <w:rPr>
                <w:rFonts w:ascii="Arial Narrow" w:hAnsi="Arial Narrow"/>
                <w:sz w:val="20"/>
                <w:szCs w:val="20"/>
              </w:rPr>
            </w:pPr>
            <w:r w:rsidRPr="00BC732E">
              <w:rPr>
                <w:rFonts w:ascii="Arial Narrow" w:hAnsi="Arial Narrow"/>
                <w:sz w:val="20"/>
                <w:szCs w:val="20"/>
              </w:rPr>
              <w:t xml:space="preserve">Solomon GM. Interim results of an open-label trial to evaluate ETI in individuals with cystic fibrosis and an N1303K mutation who are not eligible for modulator treatment. </w:t>
            </w:r>
          </w:p>
        </w:tc>
        <w:tc>
          <w:tcPr>
            <w:tcW w:w="1932" w:type="pct"/>
            <w:tcBorders>
              <w:top w:val="nil"/>
              <w:bottom w:val="single" w:sz="4" w:space="0" w:color="auto"/>
            </w:tcBorders>
            <w:vAlign w:val="center"/>
          </w:tcPr>
          <w:p w14:paraId="5F4EDB46" w14:textId="77777777" w:rsidR="00063606" w:rsidRPr="00BC732E" w:rsidRDefault="00063606" w:rsidP="00A14777">
            <w:pPr>
              <w:rPr>
                <w:rFonts w:ascii="Arial Narrow" w:hAnsi="Arial Narrow"/>
                <w:sz w:val="20"/>
                <w:szCs w:val="20"/>
              </w:rPr>
            </w:pPr>
            <w:r w:rsidRPr="00BC732E">
              <w:rPr>
                <w:rFonts w:ascii="Arial Narrow" w:hAnsi="Arial Narrow"/>
                <w:sz w:val="20"/>
                <w:szCs w:val="20"/>
              </w:rPr>
              <w:t>NACFC; 3 November 2023</w:t>
            </w:r>
          </w:p>
        </w:tc>
      </w:tr>
      <w:tr w:rsidR="00063606" w:rsidRPr="00BC732E" w14:paraId="1FE82B98" w14:textId="77777777" w:rsidTr="00063606">
        <w:trPr>
          <w:cantSplit/>
        </w:trPr>
        <w:tc>
          <w:tcPr>
            <w:tcW w:w="874" w:type="pct"/>
            <w:tcBorders>
              <w:top w:val="single" w:sz="4" w:space="0" w:color="auto"/>
              <w:bottom w:val="nil"/>
            </w:tcBorders>
            <w:vAlign w:val="center"/>
          </w:tcPr>
          <w:p w14:paraId="3DA911D3" w14:textId="40723B4B" w:rsidR="00063606" w:rsidRPr="00C54935" w:rsidRDefault="00063606" w:rsidP="00063606">
            <w:pPr>
              <w:rPr>
                <w:rFonts w:ascii="Arial Narrow" w:hAnsi="Arial Narrow"/>
                <w:sz w:val="20"/>
                <w:szCs w:val="20"/>
                <w:highlight w:val="yellow"/>
              </w:rPr>
            </w:pPr>
            <w:r w:rsidRPr="00BC732E">
              <w:rPr>
                <w:rFonts w:ascii="Arial Narrow" w:hAnsi="Arial Narrow"/>
                <w:sz w:val="20"/>
                <w:szCs w:val="20"/>
              </w:rPr>
              <w:t xml:space="preserve">Sadras et al, 2023 </w:t>
            </w:r>
          </w:p>
        </w:tc>
        <w:tc>
          <w:tcPr>
            <w:tcW w:w="2194" w:type="pct"/>
            <w:tcBorders>
              <w:top w:val="single" w:sz="4" w:space="0" w:color="auto"/>
              <w:bottom w:val="nil"/>
            </w:tcBorders>
            <w:vAlign w:val="center"/>
          </w:tcPr>
          <w:p w14:paraId="1A1D9323" w14:textId="795986AE" w:rsidR="00063606" w:rsidRPr="0029668E" w:rsidRDefault="00063606" w:rsidP="00063606">
            <w:pPr>
              <w:rPr>
                <w:rFonts w:ascii="Arial Narrow" w:eastAsiaTheme="majorEastAsia" w:hAnsi="Arial Narrow"/>
                <w:sz w:val="20"/>
                <w:szCs w:val="20"/>
              </w:rPr>
            </w:pPr>
            <w:r w:rsidRPr="00BC732E">
              <w:rPr>
                <w:rFonts w:ascii="Arial Narrow" w:hAnsi="Arial Narrow"/>
                <w:sz w:val="20"/>
                <w:szCs w:val="20"/>
              </w:rPr>
              <w:t xml:space="preserve">Sadras I, et al. Clinical and functional efficacy of elexacaftor/tezacaftor/ivacaftor in people with cystic fibrosis carrying the N1303K mutation </w:t>
            </w:r>
          </w:p>
        </w:tc>
        <w:tc>
          <w:tcPr>
            <w:tcW w:w="1932" w:type="pct"/>
            <w:tcBorders>
              <w:top w:val="single" w:sz="4" w:space="0" w:color="auto"/>
              <w:bottom w:val="nil"/>
            </w:tcBorders>
            <w:vAlign w:val="center"/>
          </w:tcPr>
          <w:p w14:paraId="7BA26420" w14:textId="7A90CAA0" w:rsidR="00063606" w:rsidRPr="0029668E" w:rsidRDefault="00063606" w:rsidP="00063606">
            <w:pPr>
              <w:rPr>
                <w:rFonts w:ascii="Arial Narrow" w:eastAsiaTheme="majorEastAsia" w:hAnsi="Arial Narrow"/>
                <w:sz w:val="20"/>
                <w:szCs w:val="20"/>
              </w:rPr>
            </w:pPr>
            <w:r w:rsidRPr="00BC732E">
              <w:rPr>
                <w:rFonts w:ascii="Arial Narrow" w:hAnsi="Arial Narrow"/>
                <w:sz w:val="20"/>
                <w:szCs w:val="20"/>
              </w:rPr>
              <w:t xml:space="preserve"> </w:t>
            </w:r>
            <w:r w:rsidRPr="007B1ACD">
              <w:rPr>
                <w:rFonts w:ascii="Arial Narrow" w:hAnsi="Arial Narrow"/>
                <w:i/>
                <w:iCs/>
                <w:sz w:val="20"/>
                <w:szCs w:val="20"/>
              </w:rPr>
              <w:t>Journal of Cystic Fibrosis</w:t>
            </w:r>
            <w:r>
              <w:rPr>
                <w:rFonts w:ascii="Arial Narrow" w:hAnsi="Arial Narrow"/>
                <w:sz w:val="20"/>
                <w:szCs w:val="20"/>
              </w:rPr>
              <w:t xml:space="preserve"> </w:t>
            </w:r>
            <w:r w:rsidRPr="00BC732E">
              <w:rPr>
                <w:rFonts w:ascii="Arial Narrow" w:hAnsi="Arial Narrow"/>
                <w:sz w:val="20"/>
                <w:szCs w:val="20"/>
              </w:rPr>
              <w:t>2023;22:1062-1069</w:t>
            </w:r>
          </w:p>
        </w:tc>
      </w:tr>
      <w:tr w:rsidR="00063606" w:rsidRPr="00BC732E" w14:paraId="5B0B6FA4" w14:textId="77777777" w:rsidTr="00063606">
        <w:trPr>
          <w:cantSplit/>
        </w:trPr>
        <w:tc>
          <w:tcPr>
            <w:tcW w:w="874" w:type="pct"/>
            <w:tcBorders>
              <w:top w:val="single" w:sz="4" w:space="0" w:color="auto"/>
              <w:bottom w:val="nil"/>
            </w:tcBorders>
            <w:vAlign w:val="center"/>
          </w:tcPr>
          <w:p w14:paraId="6EAB3E46" w14:textId="0FEDD13E" w:rsidR="00063606" w:rsidRPr="00BC732E" w:rsidRDefault="00063606" w:rsidP="001F463D">
            <w:pPr>
              <w:pStyle w:val="In-tableHeading"/>
            </w:pPr>
            <w:r>
              <w:t>Real-world evidence</w:t>
            </w:r>
          </w:p>
        </w:tc>
        <w:tc>
          <w:tcPr>
            <w:tcW w:w="2194" w:type="pct"/>
            <w:tcBorders>
              <w:top w:val="single" w:sz="4" w:space="0" w:color="auto"/>
              <w:bottom w:val="nil"/>
            </w:tcBorders>
            <w:vAlign w:val="center"/>
          </w:tcPr>
          <w:p w14:paraId="3A80FB04" w14:textId="77777777" w:rsidR="00063606" w:rsidRPr="0029668E" w:rsidRDefault="00063606" w:rsidP="00063606">
            <w:pPr>
              <w:rPr>
                <w:rFonts w:ascii="Arial Narrow" w:eastAsiaTheme="majorEastAsia" w:hAnsi="Arial Narrow"/>
                <w:sz w:val="20"/>
                <w:szCs w:val="20"/>
              </w:rPr>
            </w:pPr>
          </w:p>
        </w:tc>
        <w:tc>
          <w:tcPr>
            <w:tcW w:w="1932" w:type="pct"/>
            <w:tcBorders>
              <w:top w:val="single" w:sz="4" w:space="0" w:color="auto"/>
              <w:bottom w:val="nil"/>
            </w:tcBorders>
            <w:vAlign w:val="center"/>
          </w:tcPr>
          <w:p w14:paraId="012A9E66" w14:textId="77777777" w:rsidR="00063606" w:rsidRPr="0029668E" w:rsidRDefault="00063606" w:rsidP="00063606">
            <w:pPr>
              <w:rPr>
                <w:rFonts w:ascii="Arial Narrow" w:eastAsiaTheme="majorEastAsia" w:hAnsi="Arial Narrow"/>
                <w:sz w:val="20"/>
                <w:szCs w:val="20"/>
              </w:rPr>
            </w:pPr>
          </w:p>
        </w:tc>
      </w:tr>
      <w:tr w:rsidR="00063606" w:rsidRPr="00BC732E" w14:paraId="392B719A" w14:textId="77777777" w:rsidTr="00063606">
        <w:trPr>
          <w:cantSplit/>
        </w:trPr>
        <w:tc>
          <w:tcPr>
            <w:tcW w:w="874" w:type="pct"/>
            <w:tcBorders>
              <w:top w:val="single" w:sz="4" w:space="0" w:color="auto"/>
              <w:bottom w:val="nil"/>
            </w:tcBorders>
            <w:vAlign w:val="center"/>
          </w:tcPr>
          <w:p w14:paraId="735C5DEF" w14:textId="77777777" w:rsidR="00063606" w:rsidRPr="00BC732E" w:rsidRDefault="00063606" w:rsidP="00063606">
            <w:pPr>
              <w:rPr>
                <w:rFonts w:ascii="Arial Narrow" w:hAnsi="Arial Narrow"/>
                <w:sz w:val="20"/>
                <w:szCs w:val="20"/>
              </w:rPr>
            </w:pPr>
            <w:r w:rsidRPr="00BC732E">
              <w:rPr>
                <w:rFonts w:ascii="Arial Narrow" w:hAnsi="Arial Narrow"/>
                <w:sz w:val="20"/>
                <w:szCs w:val="20"/>
              </w:rPr>
              <w:t>Study CFD-016</w:t>
            </w:r>
          </w:p>
          <w:p w14:paraId="5B6F14BD" w14:textId="0241F121" w:rsidR="00063606" w:rsidRPr="00BC732E" w:rsidRDefault="00063606" w:rsidP="00063606">
            <w:pPr>
              <w:rPr>
                <w:rFonts w:ascii="Arial Narrow" w:hAnsi="Arial Narrow"/>
                <w:sz w:val="20"/>
                <w:szCs w:val="20"/>
              </w:rPr>
            </w:pPr>
            <w:r w:rsidRPr="00BC732E">
              <w:rPr>
                <w:rFonts w:ascii="Arial Narrow" w:hAnsi="Arial Narrow"/>
                <w:sz w:val="20"/>
                <w:szCs w:val="20"/>
              </w:rPr>
              <w:t>VX22-CFD-016</w:t>
            </w:r>
          </w:p>
        </w:tc>
        <w:tc>
          <w:tcPr>
            <w:tcW w:w="2194" w:type="pct"/>
            <w:tcBorders>
              <w:top w:val="single" w:sz="4" w:space="0" w:color="auto"/>
              <w:bottom w:val="nil"/>
            </w:tcBorders>
            <w:vAlign w:val="center"/>
          </w:tcPr>
          <w:p w14:paraId="4F7B8388" w14:textId="0C1E3D5E" w:rsidR="00063606" w:rsidRPr="00BC732E" w:rsidRDefault="00063606" w:rsidP="00063606">
            <w:pPr>
              <w:rPr>
                <w:rFonts w:ascii="Arial Narrow" w:hAnsi="Arial Narrow"/>
                <w:sz w:val="20"/>
                <w:szCs w:val="20"/>
              </w:rPr>
            </w:pPr>
            <w:r w:rsidRPr="0029668E">
              <w:rPr>
                <w:rFonts w:ascii="Arial Narrow" w:eastAsiaTheme="majorEastAsia" w:hAnsi="Arial Narrow"/>
                <w:sz w:val="20"/>
                <w:szCs w:val="20"/>
              </w:rPr>
              <w:t xml:space="preserve">Study CFD-016 Clinical Study Report. An Observational Study Evaluating Real-world Clinical Outcomes of Elexacaftor/Tezacaftor/Ivacaftor Treatment in People With Cystic Fibrosis Who Have an Elexacaftor/Tezacaftor/Ivacaftor-responsive non-F508del CFTR Genotype. </w:t>
            </w:r>
          </w:p>
        </w:tc>
        <w:tc>
          <w:tcPr>
            <w:tcW w:w="1932" w:type="pct"/>
            <w:tcBorders>
              <w:top w:val="single" w:sz="4" w:space="0" w:color="auto"/>
              <w:bottom w:val="nil"/>
            </w:tcBorders>
            <w:vAlign w:val="center"/>
          </w:tcPr>
          <w:p w14:paraId="7F24EF53" w14:textId="223CF950" w:rsidR="00063606" w:rsidRPr="0029668E" w:rsidRDefault="00063606" w:rsidP="00063606">
            <w:pPr>
              <w:rPr>
                <w:rFonts w:ascii="Arial Narrow" w:eastAsiaTheme="majorEastAsia" w:hAnsi="Arial Narrow"/>
                <w:sz w:val="20"/>
                <w:szCs w:val="20"/>
              </w:rPr>
            </w:pPr>
            <w:r w:rsidRPr="0029668E">
              <w:rPr>
                <w:rFonts w:ascii="Arial Narrow" w:eastAsiaTheme="majorEastAsia" w:hAnsi="Arial Narrow"/>
                <w:sz w:val="20"/>
                <w:szCs w:val="20"/>
              </w:rPr>
              <w:t>Version 1.0 19 October 2023</w:t>
            </w:r>
          </w:p>
          <w:p w14:paraId="5071CF53" w14:textId="77777777" w:rsidR="00063606" w:rsidRPr="00BC732E" w:rsidRDefault="00063606" w:rsidP="00063606">
            <w:pPr>
              <w:rPr>
                <w:rFonts w:ascii="Arial Narrow" w:hAnsi="Arial Narrow"/>
                <w:sz w:val="20"/>
                <w:szCs w:val="20"/>
              </w:rPr>
            </w:pPr>
          </w:p>
        </w:tc>
      </w:tr>
      <w:tr w:rsidR="00063606" w:rsidRPr="00BC732E" w14:paraId="48B5885C" w14:textId="77777777" w:rsidTr="00063606">
        <w:trPr>
          <w:cantSplit/>
        </w:trPr>
        <w:tc>
          <w:tcPr>
            <w:tcW w:w="874" w:type="pct"/>
            <w:tcBorders>
              <w:top w:val="nil"/>
              <w:bottom w:val="single" w:sz="4" w:space="0" w:color="auto"/>
            </w:tcBorders>
            <w:vAlign w:val="center"/>
          </w:tcPr>
          <w:p w14:paraId="09818B28" w14:textId="06B30384" w:rsidR="00063606" w:rsidRPr="00BC732E" w:rsidRDefault="00063606" w:rsidP="00063606">
            <w:pPr>
              <w:rPr>
                <w:rFonts w:ascii="Arial Narrow" w:hAnsi="Arial Narrow"/>
                <w:sz w:val="20"/>
                <w:szCs w:val="20"/>
              </w:rPr>
            </w:pPr>
          </w:p>
        </w:tc>
        <w:tc>
          <w:tcPr>
            <w:tcW w:w="2194" w:type="pct"/>
            <w:tcBorders>
              <w:top w:val="nil"/>
              <w:bottom w:val="single" w:sz="4" w:space="0" w:color="auto"/>
            </w:tcBorders>
            <w:vAlign w:val="center"/>
          </w:tcPr>
          <w:p w14:paraId="49C444F0" w14:textId="417CB729" w:rsidR="00063606" w:rsidRPr="00BC732E" w:rsidRDefault="00063606" w:rsidP="00063606">
            <w:pPr>
              <w:rPr>
                <w:rFonts w:ascii="Arial Narrow" w:hAnsi="Arial Narrow"/>
                <w:sz w:val="20"/>
                <w:szCs w:val="20"/>
              </w:rPr>
            </w:pPr>
            <w:r w:rsidRPr="00BC732E">
              <w:rPr>
                <w:rFonts w:ascii="Arial Narrow" w:hAnsi="Arial Narrow"/>
                <w:sz w:val="20"/>
                <w:szCs w:val="20"/>
              </w:rPr>
              <w:t>Mahic M, et al. Real-World Effectiveness of Elexacaftor/Tezacaftor/Ivacaftor (ELX/TEZ/IVA) in People with Cystic Fibrosis and ELX/TEZ/IVA-Responsive, Non-F508del CFTR Genotypes.</w:t>
            </w:r>
          </w:p>
        </w:tc>
        <w:tc>
          <w:tcPr>
            <w:tcW w:w="1932" w:type="pct"/>
            <w:tcBorders>
              <w:top w:val="nil"/>
              <w:bottom w:val="single" w:sz="4" w:space="0" w:color="auto"/>
            </w:tcBorders>
            <w:vAlign w:val="center"/>
          </w:tcPr>
          <w:p w14:paraId="09958900" w14:textId="471EF8A4" w:rsidR="00063606" w:rsidRPr="00BC732E" w:rsidRDefault="00063606" w:rsidP="00063606">
            <w:pPr>
              <w:rPr>
                <w:rFonts w:ascii="Arial Narrow" w:hAnsi="Arial Narrow"/>
                <w:sz w:val="20"/>
                <w:szCs w:val="20"/>
              </w:rPr>
            </w:pPr>
            <w:r w:rsidRPr="00BC732E">
              <w:rPr>
                <w:rFonts w:ascii="Arial Narrow" w:hAnsi="Arial Narrow"/>
                <w:sz w:val="20"/>
                <w:szCs w:val="20"/>
              </w:rPr>
              <w:t>47</w:t>
            </w:r>
            <w:r w:rsidRPr="00BC732E">
              <w:rPr>
                <w:rFonts w:ascii="Arial Narrow" w:hAnsi="Arial Narrow"/>
                <w:sz w:val="20"/>
                <w:szCs w:val="20"/>
                <w:vertAlign w:val="superscript"/>
              </w:rPr>
              <w:t>th</w:t>
            </w:r>
            <w:r w:rsidRPr="00BC732E">
              <w:rPr>
                <w:rFonts w:ascii="Arial Narrow" w:hAnsi="Arial Narrow"/>
                <w:sz w:val="20"/>
                <w:szCs w:val="20"/>
              </w:rPr>
              <w:t xml:space="preserve"> European Cystic Fibrosis Conference; 5-8 June 2024.</w:t>
            </w:r>
          </w:p>
        </w:tc>
      </w:tr>
      <w:tr w:rsidR="00063606" w:rsidRPr="00BC732E" w14:paraId="48BDADB0" w14:textId="77777777" w:rsidTr="00063606">
        <w:trPr>
          <w:cantSplit/>
        </w:trPr>
        <w:tc>
          <w:tcPr>
            <w:tcW w:w="874" w:type="pct"/>
            <w:tcBorders>
              <w:top w:val="single" w:sz="4" w:space="0" w:color="auto"/>
              <w:bottom w:val="nil"/>
            </w:tcBorders>
            <w:vAlign w:val="center"/>
          </w:tcPr>
          <w:p w14:paraId="52818084" w14:textId="77777777" w:rsidR="00063606" w:rsidRPr="00BC732E" w:rsidRDefault="00063606" w:rsidP="00063606">
            <w:pPr>
              <w:rPr>
                <w:rFonts w:ascii="Arial Narrow" w:hAnsi="Arial Narrow"/>
                <w:sz w:val="20"/>
                <w:szCs w:val="20"/>
              </w:rPr>
            </w:pPr>
          </w:p>
        </w:tc>
        <w:tc>
          <w:tcPr>
            <w:tcW w:w="2194" w:type="pct"/>
            <w:tcBorders>
              <w:top w:val="single" w:sz="4" w:space="0" w:color="auto"/>
              <w:bottom w:val="nil"/>
            </w:tcBorders>
            <w:vAlign w:val="center"/>
          </w:tcPr>
          <w:p w14:paraId="4D2C2BFC" w14:textId="76C3F735" w:rsidR="00063606" w:rsidRPr="00BC732E" w:rsidRDefault="00063606" w:rsidP="00063606">
            <w:pPr>
              <w:rPr>
                <w:rFonts w:ascii="Arial Narrow" w:hAnsi="Arial Narrow"/>
                <w:sz w:val="20"/>
                <w:szCs w:val="20"/>
              </w:rPr>
            </w:pPr>
            <w:r w:rsidRPr="00BC732E">
              <w:rPr>
                <w:rFonts w:ascii="Arial Narrow" w:hAnsi="Arial Narrow"/>
                <w:sz w:val="20"/>
                <w:szCs w:val="20"/>
              </w:rPr>
              <w:t xml:space="preserve">Burgel P-R, et al. The French compassionate programme of elexacaftor/tezacaftor/ivacaftor in people with cystic fibrosis with advanced lung disease and no F508del CFTR variant. </w:t>
            </w:r>
          </w:p>
        </w:tc>
        <w:tc>
          <w:tcPr>
            <w:tcW w:w="1932" w:type="pct"/>
            <w:tcBorders>
              <w:top w:val="single" w:sz="4" w:space="0" w:color="auto"/>
              <w:bottom w:val="nil"/>
            </w:tcBorders>
            <w:vAlign w:val="center"/>
          </w:tcPr>
          <w:p w14:paraId="32A03FD5" w14:textId="56EFA69C" w:rsidR="00063606" w:rsidRPr="00BC732E" w:rsidRDefault="00063606" w:rsidP="00063606">
            <w:pPr>
              <w:rPr>
                <w:rFonts w:ascii="Arial Narrow" w:hAnsi="Arial Narrow"/>
                <w:sz w:val="20"/>
                <w:szCs w:val="20"/>
              </w:rPr>
            </w:pPr>
            <w:r w:rsidRPr="00BC732E">
              <w:rPr>
                <w:rFonts w:ascii="Arial Narrow" w:hAnsi="Arial Narrow"/>
                <w:sz w:val="20"/>
                <w:szCs w:val="20"/>
              </w:rPr>
              <w:t>European Respiratory Journal 2023;61:2202437</w:t>
            </w:r>
          </w:p>
        </w:tc>
      </w:tr>
      <w:tr w:rsidR="00063606" w:rsidRPr="00BC732E" w14:paraId="270EF5F1" w14:textId="77777777" w:rsidTr="00063606">
        <w:trPr>
          <w:cantSplit/>
        </w:trPr>
        <w:tc>
          <w:tcPr>
            <w:tcW w:w="874" w:type="pct"/>
            <w:tcBorders>
              <w:top w:val="nil"/>
              <w:bottom w:val="nil"/>
            </w:tcBorders>
            <w:vAlign w:val="center"/>
          </w:tcPr>
          <w:p w14:paraId="5B1EDF53" w14:textId="7DBD2E3A" w:rsidR="00063606" w:rsidRPr="00BC732E" w:rsidRDefault="00063606" w:rsidP="00063606">
            <w:pPr>
              <w:rPr>
                <w:rFonts w:ascii="Arial Narrow" w:hAnsi="Arial Narrow"/>
                <w:sz w:val="20"/>
                <w:szCs w:val="20"/>
              </w:rPr>
            </w:pPr>
            <w:r w:rsidRPr="00BC732E">
              <w:rPr>
                <w:rFonts w:ascii="Arial Narrow" w:hAnsi="Arial Narrow"/>
                <w:sz w:val="20"/>
                <w:szCs w:val="20"/>
              </w:rPr>
              <w:t>French compassionate access program</w:t>
            </w:r>
          </w:p>
        </w:tc>
        <w:tc>
          <w:tcPr>
            <w:tcW w:w="2194" w:type="pct"/>
            <w:tcBorders>
              <w:top w:val="nil"/>
              <w:bottom w:val="nil"/>
            </w:tcBorders>
            <w:vAlign w:val="center"/>
          </w:tcPr>
          <w:p w14:paraId="4A6A632B" w14:textId="7B6C16E0" w:rsidR="00063606" w:rsidRPr="00BC732E" w:rsidRDefault="00063606" w:rsidP="00063606">
            <w:pPr>
              <w:rPr>
                <w:rFonts w:ascii="Arial Narrow" w:hAnsi="Arial Narrow"/>
                <w:sz w:val="20"/>
                <w:szCs w:val="20"/>
              </w:rPr>
            </w:pPr>
            <w:r w:rsidRPr="00BC732E">
              <w:rPr>
                <w:rFonts w:ascii="Arial Narrow" w:hAnsi="Arial Narrow"/>
                <w:sz w:val="20"/>
                <w:szCs w:val="20"/>
              </w:rPr>
              <w:t xml:space="preserve">Burgel P-R, et al. The expanded French compassionate programme for elexacaftor–tezacaftor–ivacaftor use in people with cystic fibrosis without a F508del CFTR variant: a real-world study. </w:t>
            </w:r>
          </w:p>
        </w:tc>
        <w:tc>
          <w:tcPr>
            <w:tcW w:w="1932" w:type="pct"/>
            <w:tcBorders>
              <w:top w:val="nil"/>
              <w:bottom w:val="nil"/>
            </w:tcBorders>
            <w:vAlign w:val="center"/>
          </w:tcPr>
          <w:p w14:paraId="6E6B57AA" w14:textId="7CB6787F" w:rsidR="00063606" w:rsidRPr="00BC732E" w:rsidRDefault="00063606" w:rsidP="00063606">
            <w:pPr>
              <w:rPr>
                <w:rFonts w:ascii="Arial Narrow" w:hAnsi="Arial Narrow"/>
                <w:sz w:val="20"/>
                <w:szCs w:val="20"/>
              </w:rPr>
            </w:pPr>
            <w:r w:rsidRPr="00BC732E">
              <w:rPr>
                <w:rFonts w:ascii="Arial Narrow" w:hAnsi="Arial Narrow"/>
                <w:sz w:val="20"/>
                <w:szCs w:val="20"/>
              </w:rPr>
              <w:t>The Lancet Respiratory Medicine 2024; https://doi.org/10.1016/S2213-2600(24)00208-X</w:t>
            </w:r>
          </w:p>
        </w:tc>
      </w:tr>
      <w:tr w:rsidR="00063606" w:rsidRPr="00BC732E" w14:paraId="2E5FE994" w14:textId="77777777" w:rsidTr="00063606">
        <w:trPr>
          <w:cantSplit/>
        </w:trPr>
        <w:tc>
          <w:tcPr>
            <w:tcW w:w="874" w:type="pct"/>
            <w:tcBorders>
              <w:top w:val="nil"/>
              <w:bottom w:val="single" w:sz="4" w:space="0" w:color="auto"/>
            </w:tcBorders>
            <w:vAlign w:val="center"/>
          </w:tcPr>
          <w:p w14:paraId="0A036AFA" w14:textId="77777777" w:rsidR="00063606" w:rsidRPr="00BC732E" w:rsidRDefault="00063606" w:rsidP="00063606">
            <w:pPr>
              <w:rPr>
                <w:rFonts w:ascii="Arial Narrow" w:hAnsi="Arial Narrow"/>
                <w:sz w:val="20"/>
                <w:szCs w:val="20"/>
              </w:rPr>
            </w:pPr>
          </w:p>
        </w:tc>
        <w:tc>
          <w:tcPr>
            <w:tcW w:w="2194" w:type="pct"/>
            <w:tcBorders>
              <w:top w:val="nil"/>
              <w:bottom w:val="single" w:sz="4" w:space="0" w:color="auto"/>
            </w:tcBorders>
            <w:vAlign w:val="center"/>
          </w:tcPr>
          <w:p w14:paraId="402BA8DA" w14:textId="61F53FCD" w:rsidR="00063606" w:rsidRPr="00BC732E" w:rsidRDefault="00063606" w:rsidP="00063606">
            <w:pPr>
              <w:rPr>
                <w:rFonts w:ascii="Arial Narrow" w:hAnsi="Arial Narrow"/>
                <w:sz w:val="20"/>
                <w:szCs w:val="20"/>
              </w:rPr>
            </w:pPr>
            <w:r w:rsidRPr="00BC732E">
              <w:rPr>
                <w:rFonts w:ascii="Arial Narrow" w:hAnsi="Arial Narrow"/>
                <w:sz w:val="20"/>
                <w:szCs w:val="20"/>
              </w:rPr>
              <w:t xml:space="preserve">Dreano E, et al. Theratyping cystic fibrosis patients to guide elexacaftor/tezacaftor/ivacaftor out-of-label prescription. </w:t>
            </w:r>
          </w:p>
        </w:tc>
        <w:tc>
          <w:tcPr>
            <w:tcW w:w="1932" w:type="pct"/>
            <w:tcBorders>
              <w:top w:val="nil"/>
              <w:bottom w:val="single" w:sz="4" w:space="0" w:color="auto"/>
            </w:tcBorders>
            <w:vAlign w:val="center"/>
          </w:tcPr>
          <w:p w14:paraId="65F9773A" w14:textId="189D8054" w:rsidR="00063606" w:rsidRPr="00BC732E" w:rsidRDefault="00063606" w:rsidP="00063606">
            <w:pPr>
              <w:rPr>
                <w:rFonts w:ascii="Arial Narrow" w:hAnsi="Arial Narrow"/>
                <w:sz w:val="20"/>
                <w:szCs w:val="20"/>
              </w:rPr>
            </w:pPr>
            <w:r w:rsidRPr="00BC732E">
              <w:rPr>
                <w:rFonts w:ascii="Arial Narrow" w:hAnsi="Arial Narrow"/>
                <w:sz w:val="20"/>
                <w:szCs w:val="20"/>
              </w:rPr>
              <w:t>European Respiratory Journal 2023;62:2300110</w:t>
            </w:r>
          </w:p>
        </w:tc>
      </w:tr>
      <w:tr w:rsidR="00063606" w:rsidRPr="00BC732E" w14:paraId="217E9BD8" w14:textId="77777777" w:rsidTr="00063606">
        <w:trPr>
          <w:cantSplit/>
        </w:trPr>
        <w:tc>
          <w:tcPr>
            <w:tcW w:w="874" w:type="pct"/>
            <w:tcBorders>
              <w:top w:val="nil"/>
              <w:bottom w:val="single" w:sz="4" w:space="0" w:color="auto"/>
            </w:tcBorders>
            <w:vAlign w:val="center"/>
          </w:tcPr>
          <w:p w14:paraId="1168A598" w14:textId="595CC721" w:rsidR="00063606" w:rsidRPr="00BC732E" w:rsidRDefault="00063606" w:rsidP="00063606">
            <w:pPr>
              <w:rPr>
                <w:rFonts w:ascii="Arial Narrow" w:hAnsi="Arial Narrow"/>
                <w:sz w:val="20"/>
                <w:szCs w:val="20"/>
              </w:rPr>
            </w:pPr>
            <w:r w:rsidRPr="00BC732E">
              <w:rPr>
                <w:rFonts w:ascii="Arial Narrow" w:hAnsi="Arial Narrow"/>
                <w:sz w:val="20"/>
                <w:szCs w:val="20"/>
              </w:rPr>
              <w:t>Cromwell et al, 2024.</w:t>
            </w:r>
          </w:p>
        </w:tc>
        <w:tc>
          <w:tcPr>
            <w:tcW w:w="2194" w:type="pct"/>
            <w:tcBorders>
              <w:top w:val="nil"/>
              <w:bottom w:val="single" w:sz="4" w:space="0" w:color="auto"/>
            </w:tcBorders>
            <w:vAlign w:val="center"/>
          </w:tcPr>
          <w:p w14:paraId="76A56360" w14:textId="774BF736" w:rsidR="00063606" w:rsidRPr="00BC732E" w:rsidRDefault="00063606" w:rsidP="00063606">
            <w:pPr>
              <w:rPr>
                <w:rFonts w:ascii="Arial Narrow" w:hAnsi="Arial Narrow"/>
                <w:sz w:val="20"/>
                <w:szCs w:val="20"/>
              </w:rPr>
            </w:pPr>
            <w:r w:rsidRPr="00BC732E">
              <w:rPr>
                <w:rFonts w:ascii="Arial Narrow" w:hAnsi="Arial Narrow"/>
                <w:sz w:val="20"/>
                <w:szCs w:val="20"/>
              </w:rPr>
              <w:t xml:space="preserve">Cromwell EA, et al. Impact of the expanded label for elexacaftor-tezacaftor-ivacaftor in people with cystic fibrosis with no F508del variant in the United States. </w:t>
            </w:r>
          </w:p>
        </w:tc>
        <w:tc>
          <w:tcPr>
            <w:tcW w:w="1932" w:type="pct"/>
            <w:tcBorders>
              <w:top w:val="nil"/>
              <w:bottom w:val="single" w:sz="4" w:space="0" w:color="auto"/>
            </w:tcBorders>
            <w:vAlign w:val="center"/>
          </w:tcPr>
          <w:p w14:paraId="41E24BB1" w14:textId="3D6BB9C2" w:rsidR="00063606" w:rsidRPr="00BC732E" w:rsidRDefault="00063606" w:rsidP="00063606">
            <w:pPr>
              <w:rPr>
                <w:rFonts w:ascii="Arial Narrow" w:hAnsi="Arial Narrow"/>
                <w:sz w:val="20"/>
                <w:szCs w:val="20"/>
              </w:rPr>
            </w:pPr>
            <w:r w:rsidRPr="00BC732E">
              <w:rPr>
                <w:rFonts w:ascii="Arial Narrow" w:hAnsi="Arial Narrow"/>
                <w:sz w:val="20"/>
                <w:szCs w:val="20"/>
              </w:rPr>
              <w:t>European Respiratory Journal 2024; Sep 3:2401146. doi: 10.1183/13993003.01146-2024</w:t>
            </w:r>
          </w:p>
        </w:tc>
      </w:tr>
      <w:tr w:rsidR="00063606" w:rsidRPr="00BC732E" w14:paraId="236BC63F" w14:textId="77777777" w:rsidTr="00063606">
        <w:trPr>
          <w:cantSplit/>
        </w:trPr>
        <w:tc>
          <w:tcPr>
            <w:tcW w:w="874" w:type="pct"/>
            <w:tcBorders>
              <w:top w:val="nil"/>
              <w:bottom w:val="single" w:sz="4" w:space="0" w:color="auto"/>
            </w:tcBorders>
            <w:vAlign w:val="center"/>
          </w:tcPr>
          <w:p w14:paraId="5B6AB26C" w14:textId="7A5CF9B3" w:rsidR="00063606" w:rsidRPr="00BC732E" w:rsidRDefault="00063606" w:rsidP="00063606">
            <w:pPr>
              <w:rPr>
                <w:rFonts w:ascii="Arial Narrow" w:hAnsi="Arial Narrow"/>
                <w:sz w:val="20"/>
                <w:szCs w:val="20"/>
              </w:rPr>
            </w:pPr>
            <w:r w:rsidRPr="00BC732E">
              <w:rPr>
                <w:rFonts w:ascii="Arial Narrow" w:hAnsi="Arial Narrow"/>
                <w:sz w:val="20"/>
                <w:szCs w:val="20"/>
              </w:rPr>
              <w:t>Livnat et al, 2023.</w:t>
            </w:r>
          </w:p>
        </w:tc>
        <w:tc>
          <w:tcPr>
            <w:tcW w:w="2194" w:type="pct"/>
            <w:tcBorders>
              <w:top w:val="nil"/>
              <w:bottom w:val="single" w:sz="4" w:space="0" w:color="auto"/>
            </w:tcBorders>
            <w:vAlign w:val="center"/>
          </w:tcPr>
          <w:p w14:paraId="274BAEA8" w14:textId="40EE35AB" w:rsidR="00063606" w:rsidRPr="00BC732E" w:rsidRDefault="00063606" w:rsidP="00063606">
            <w:pPr>
              <w:rPr>
                <w:rFonts w:ascii="Arial Narrow" w:hAnsi="Arial Narrow"/>
                <w:sz w:val="20"/>
                <w:szCs w:val="20"/>
              </w:rPr>
            </w:pPr>
            <w:r w:rsidRPr="00BC732E">
              <w:rPr>
                <w:rFonts w:ascii="Arial Narrow" w:hAnsi="Arial Narrow"/>
                <w:sz w:val="20"/>
                <w:szCs w:val="20"/>
              </w:rPr>
              <w:t xml:space="preserve">Livnat G, et al. Treatment effects of Elexacaftor/Tezacaftor/Ivacaftor in people with CF carrying non-F508del mutations. </w:t>
            </w:r>
          </w:p>
        </w:tc>
        <w:tc>
          <w:tcPr>
            <w:tcW w:w="1932" w:type="pct"/>
            <w:tcBorders>
              <w:top w:val="nil"/>
              <w:bottom w:val="single" w:sz="4" w:space="0" w:color="auto"/>
            </w:tcBorders>
            <w:vAlign w:val="center"/>
          </w:tcPr>
          <w:p w14:paraId="1D781935" w14:textId="0D8DCB4C" w:rsidR="00063606" w:rsidRPr="00BC732E" w:rsidRDefault="00063606" w:rsidP="00063606">
            <w:pPr>
              <w:rPr>
                <w:rFonts w:ascii="Arial Narrow" w:hAnsi="Arial Narrow"/>
                <w:sz w:val="20"/>
                <w:szCs w:val="20"/>
              </w:rPr>
            </w:pPr>
            <w:r w:rsidRPr="00BC732E">
              <w:rPr>
                <w:rFonts w:ascii="Arial Narrow" w:hAnsi="Arial Narrow"/>
                <w:sz w:val="20"/>
                <w:szCs w:val="20"/>
              </w:rPr>
              <w:t>Journal of Cystic Fibrosis 2023;22:450-455</w:t>
            </w:r>
          </w:p>
        </w:tc>
      </w:tr>
      <w:tr w:rsidR="00063606" w:rsidRPr="00BC732E" w14:paraId="0BC89BA3" w14:textId="77777777" w:rsidTr="00063606">
        <w:trPr>
          <w:cantSplit/>
        </w:trPr>
        <w:tc>
          <w:tcPr>
            <w:tcW w:w="874" w:type="pct"/>
            <w:tcBorders>
              <w:top w:val="nil"/>
              <w:bottom w:val="single" w:sz="4" w:space="0" w:color="auto"/>
            </w:tcBorders>
            <w:vAlign w:val="center"/>
          </w:tcPr>
          <w:p w14:paraId="5E465B4E" w14:textId="6E76FF41" w:rsidR="00063606" w:rsidRPr="00C20CD7" w:rsidRDefault="00063606" w:rsidP="00063606">
            <w:pPr>
              <w:rPr>
                <w:rFonts w:ascii="Arial Narrow" w:hAnsi="Arial Narrow"/>
                <w:b/>
                <w:bCs/>
                <w:sz w:val="20"/>
                <w:szCs w:val="20"/>
              </w:rPr>
            </w:pPr>
            <w:r w:rsidRPr="00C20CD7">
              <w:rPr>
                <w:rFonts w:ascii="Arial Narrow" w:hAnsi="Arial Narrow"/>
                <w:b/>
                <w:bCs/>
                <w:sz w:val="20"/>
                <w:szCs w:val="20"/>
              </w:rPr>
              <w:lastRenderedPageBreak/>
              <w:t xml:space="preserve">Supporting evidence </w:t>
            </w:r>
          </w:p>
        </w:tc>
        <w:tc>
          <w:tcPr>
            <w:tcW w:w="2194" w:type="pct"/>
            <w:tcBorders>
              <w:top w:val="nil"/>
              <w:bottom w:val="single" w:sz="4" w:space="0" w:color="auto"/>
            </w:tcBorders>
            <w:vAlign w:val="center"/>
          </w:tcPr>
          <w:p w14:paraId="4C29A1CB" w14:textId="77777777" w:rsidR="00063606" w:rsidRPr="00BC732E" w:rsidRDefault="00063606" w:rsidP="00063606">
            <w:pPr>
              <w:rPr>
                <w:rFonts w:ascii="Arial Narrow" w:hAnsi="Arial Narrow"/>
                <w:sz w:val="20"/>
                <w:szCs w:val="20"/>
              </w:rPr>
            </w:pPr>
          </w:p>
        </w:tc>
        <w:tc>
          <w:tcPr>
            <w:tcW w:w="1932" w:type="pct"/>
            <w:tcBorders>
              <w:top w:val="nil"/>
              <w:bottom w:val="single" w:sz="4" w:space="0" w:color="auto"/>
            </w:tcBorders>
            <w:vAlign w:val="center"/>
          </w:tcPr>
          <w:p w14:paraId="7430B625" w14:textId="77777777" w:rsidR="00063606" w:rsidRPr="00BC732E" w:rsidRDefault="00063606" w:rsidP="00063606">
            <w:pPr>
              <w:rPr>
                <w:rFonts w:ascii="Arial Narrow" w:hAnsi="Arial Narrow"/>
                <w:sz w:val="20"/>
                <w:szCs w:val="20"/>
              </w:rPr>
            </w:pPr>
          </w:p>
        </w:tc>
      </w:tr>
      <w:tr w:rsidR="00063606" w:rsidRPr="00BC732E" w14:paraId="1257ECAC" w14:textId="77777777" w:rsidTr="00063606">
        <w:trPr>
          <w:cantSplit/>
        </w:trPr>
        <w:tc>
          <w:tcPr>
            <w:tcW w:w="874" w:type="pct"/>
            <w:tcBorders>
              <w:top w:val="nil"/>
              <w:bottom w:val="nil"/>
            </w:tcBorders>
            <w:vAlign w:val="center"/>
          </w:tcPr>
          <w:p w14:paraId="052E528D" w14:textId="1998E00D" w:rsidR="00063606" w:rsidRPr="00BC732E" w:rsidRDefault="00063606" w:rsidP="00063606">
            <w:pPr>
              <w:rPr>
                <w:rFonts w:ascii="Arial Narrow" w:hAnsi="Arial Narrow"/>
                <w:sz w:val="20"/>
                <w:szCs w:val="20"/>
              </w:rPr>
            </w:pPr>
            <w:r w:rsidRPr="00BC732E">
              <w:rPr>
                <w:rFonts w:ascii="Arial Narrow" w:hAnsi="Arial Narrow"/>
                <w:sz w:val="20"/>
                <w:szCs w:val="20"/>
              </w:rPr>
              <w:t>Lupas et al 2024</w:t>
            </w:r>
          </w:p>
        </w:tc>
        <w:tc>
          <w:tcPr>
            <w:tcW w:w="2194" w:type="pct"/>
            <w:tcBorders>
              <w:top w:val="nil"/>
              <w:bottom w:val="nil"/>
            </w:tcBorders>
            <w:vAlign w:val="center"/>
          </w:tcPr>
          <w:p w14:paraId="5D219FE5" w14:textId="66CD2737" w:rsidR="00063606" w:rsidRPr="00BC732E" w:rsidRDefault="00063606" w:rsidP="00063606">
            <w:pPr>
              <w:rPr>
                <w:rFonts w:ascii="Arial Narrow" w:hAnsi="Arial Narrow"/>
                <w:sz w:val="20"/>
                <w:szCs w:val="20"/>
              </w:rPr>
            </w:pPr>
            <w:r w:rsidRPr="00BC732E">
              <w:rPr>
                <w:rFonts w:ascii="Arial Narrow" w:hAnsi="Arial Narrow"/>
                <w:sz w:val="20"/>
                <w:szCs w:val="20"/>
              </w:rPr>
              <w:t xml:space="preserve">Lupas D, et al.  The clinical effectiveness of elexacaftor/tezacaftor/ivacaftor (ETI) for people with CF without a F508del variant: A systematic review and meta-analysis. </w:t>
            </w:r>
          </w:p>
        </w:tc>
        <w:tc>
          <w:tcPr>
            <w:tcW w:w="1932" w:type="pct"/>
            <w:tcBorders>
              <w:top w:val="nil"/>
              <w:bottom w:val="nil"/>
            </w:tcBorders>
            <w:vAlign w:val="center"/>
          </w:tcPr>
          <w:p w14:paraId="6E0008A1" w14:textId="676653C0" w:rsidR="00063606" w:rsidRPr="00BC732E" w:rsidRDefault="00063606" w:rsidP="00063606">
            <w:pPr>
              <w:rPr>
                <w:rFonts w:ascii="Arial Narrow" w:hAnsi="Arial Narrow"/>
                <w:sz w:val="20"/>
                <w:szCs w:val="20"/>
              </w:rPr>
            </w:pPr>
            <w:r w:rsidRPr="00BC732E">
              <w:rPr>
                <w:rFonts w:ascii="Arial Narrow" w:hAnsi="Arial Narrow"/>
                <w:sz w:val="20"/>
                <w:szCs w:val="20"/>
              </w:rPr>
              <w:t>Journal of Cystic Fibrosis 2024; https://doi.org/10.1016/j.jcf.2024.07.012</w:t>
            </w:r>
          </w:p>
        </w:tc>
      </w:tr>
      <w:tr w:rsidR="00063606" w:rsidRPr="00BC732E" w14:paraId="684677D5" w14:textId="77777777" w:rsidTr="005A1F98">
        <w:trPr>
          <w:cantSplit/>
        </w:trPr>
        <w:tc>
          <w:tcPr>
            <w:tcW w:w="5000" w:type="pct"/>
            <w:gridSpan w:val="3"/>
            <w:vAlign w:val="center"/>
          </w:tcPr>
          <w:p w14:paraId="1201C099" w14:textId="4059C62D" w:rsidR="00063606" w:rsidRPr="00C20CD7" w:rsidRDefault="00063606" w:rsidP="00063606">
            <w:pPr>
              <w:rPr>
                <w:rFonts w:ascii="Arial Narrow" w:hAnsi="Arial Narrow"/>
                <w:b/>
                <w:bCs/>
                <w:sz w:val="20"/>
                <w:szCs w:val="20"/>
              </w:rPr>
            </w:pPr>
            <w:r w:rsidRPr="00C20CD7">
              <w:rPr>
                <w:rFonts w:ascii="Arial Narrow" w:hAnsi="Arial Narrow"/>
                <w:b/>
                <w:bCs/>
                <w:i/>
                <w:iCs/>
                <w:sz w:val="20"/>
                <w:szCs w:val="20"/>
              </w:rPr>
              <w:t>In vitro</w:t>
            </w:r>
            <w:r w:rsidRPr="00C20CD7">
              <w:rPr>
                <w:rFonts w:ascii="Arial Narrow" w:hAnsi="Arial Narrow"/>
                <w:b/>
                <w:bCs/>
                <w:sz w:val="20"/>
                <w:szCs w:val="20"/>
              </w:rPr>
              <w:t xml:space="preserve"> studies</w:t>
            </w:r>
          </w:p>
        </w:tc>
      </w:tr>
      <w:tr w:rsidR="00063606" w:rsidRPr="00BC732E" w14:paraId="71B7D2D0" w14:textId="77777777" w:rsidTr="00063606">
        <w:trPr>
          <w:cantSplit/>
        </w:trPr>
        <w:tc>
          <w:tcPr>
            <w:tcW w:w="874" w:type="pct"/>
            <w:vMerge w:val="restart"/>
            <w:vAlign w:val="center"/>
          </w:tcPr>
          <w:p w14:paraId="07731871" w14:textId="413C5A61" w:rsidR="00063606" w:rsidRPr="00BC732E" w:rsidRDefault="00063606" w:rsidP="00063606">
            <w:pPr>
              <w:rPr>
                <w:rFonts w:ascii="Arial Narrow" w:hAnsi="Arial Narrow"/>
                <w:sz w:val="20"/>
                <w:szCs w:val="20"/>
              </w:rPr>
            </w:pPr>
            <w:r w:rsidRPr="00BC732E">
              <w:rPr>
                <w:rFonts w:ascii="Arial Narrow" w:hAnsi="Arial Narrow"/>
                <w:sz w:val="20"/>
                <w:szCs w:val="20"/>
              </w:rPr>
              <w:t>Study P289</w:t>
            </w:r>
            <w:r w:rsidR="00613939">
              <w:rPr>
                <w:rFonts w:ascii="Arial Narrow" w:hAnsi="Arial Narrow"/>
                <w:sz w:val="20"/>
                <w:szCs w:val="20"/>
              </w:rPr>
              <w:t>*</w:t>
            </w:r>
          </w:p>
        </w:tc>
        <w:tc>
          <w:tcPr>
            <w:tcW w:w="2194" w:type="pct"/>
            <w:tcBorders>
              <w:bottom w:val="nil"/>
            </w:tcBorders>
            <w:vAlign w:val="center"/>
          </w:tcPr>
          <w:p w14:paraId="657D6637" w14:textId="77777777" w:rsidR="00063606" w:rsidRPr="00BC732E" w:rsidRDefault="00063606" w:rsidP="00063606">
            <w:pPr>
              <w:rPr>
                <w:rFonts w:ascii="Arial Narrow" w:hAnsi="Arial Narrow"/>
                <w:sz w:val="20"/>
                <w:szCs w:val="20"/>
              </w:rPr>
            </w:pPr>
            <w:r w:rsidRPr="00BC732E">
              <w:rPr>
                <w:rFonts w:ascii="Arial Narrow" w:hAnsi="Arial Narrow"/>
                <w:sz w:val="20"/>
                <w:szCs w:val="20"/>
              </w:rPr>
              <w:t>P289 Nonclinical Study Report. In Vitro Pharmacological Profiling of CFTR Mutations in FRT Cells Using VX-445, TEZ, and IVA: Effects on Processing and Trafficking, and Chloride Transport.</w:t>
            </w:r>
          </w:p>
        </w:tc>
        <w:tc>
          <w:tcPr>
            <w:tcW w:w="1932" w:type="pct"/>
            <w:tcBorders>
              <w:bottom w:val="nil"/>
            </w:tcBorders>
            <w:vAlign w:val="center"/>
          </w:tcPr>
          <w:p w14:paraId="16C72A8B" w14:textId="77777777" w:rsidR="00063606" w:rsidRPr="00BC732E" w:rsidRDefault="00063606" w:rsidP="00063606">
            <w:pPr>
              <w:rPr>
                <w:rFonts w:ascii="Arial Narrow" w:hAnsi="Arial Narrow"/>
                <w:sz w:val="20"/>
                <w:szCs w:val="20"/>
              </w:rPr>
            </w:pPr>
            <w:r w:rsidRPr="00BC732E">
              <w:rPr>
                <w:rFonts w:ascii="Arial Narrow" w:hAnsi="Arial Narrow"/>
                <w:sz w:val="20"/>
                <w:szCs w:val="20"/>
              </w:rPr>
              <w:t>Version 4.0. 6 November 202</w:t>
            </w:r>
            <w:r>
              <w:rPr>
                <w:rFonts w:ascii="Arial Narrow" w:hAnsi="Arial Narrow"/>
                <w:sz w:val="20"/>
                <w:szCs w:val="20"/>
              </w:rPr>
              <w:t>4</w:t>
            </w:r>
          </w:p>
        </w:tc>
      </w:tr>
      <w:tr w:rsidR="00063606" w:rsidRPr="00BC732E" w14:paraId="0B66A787" w14:textId="77777777" w:rsidTr="00823301">
        <w:trPr>
          <w:cantSplit/>
        </w:trPr>
        <w:tc>
          <w:tcPr>
            <w:tcW w:w="874" w:type="pct"/>
            <w:vMerge/>
            <w:vAlign w:val="center"/>
          </w:tcPr>
          <w:p w14:paraId="341F57DF" w14:textId="77777777" w:rsidR="00063606" w:rsidRPr="00BC732E" w:rsidRDefault="00063606" w:rsidP="00063606">
            <w:pPr>
              <w:rPr>
                <w:rFonts w:ascii="Arial Narrow" w:hAnsi="Arial Narrow"/>
                <w:sz w:val="20"/>
                <w:szCs w:val="20"/>
              </w:rPr>
            </w:pPr>
          </w:p>
        </w:tc>
        <w:tc>
          <w:tcPr>
            <w:tcW w:w="2194" w:type="pct"/>
            <w:tcBorders>
              <w:top w:val="nil"/>
              <w:bottom w:val="single" w:sz="4" w:space="0" w:color="auto"/>
            </w:tcBorders>
            <w:vAlign w:val="center"/>
          </w:tcPr>
          <w:p w14:paraId="317AC57A" w14:textId="77777777" w:rsidR="00063606" w:rsidRPr="00BC732E" w:rsidRDefault="00063606" w:rsidP="00063606">
            <w:pPr>
              <w:rPr>
                <w:rFonts w:ascii="Arial Narrow" w:hAnsi="Arial Narrow"/>
                <w:sz w:val="20"/>
                <w:szCs w:val="20"/>
              </w:rPr>
            </w:pPr>
          </w:p>
        </w:tc>
        <w:tc>
          <w:tcPr>
            <w:tcW w:w="1932" w:type="pct"/>
            <w:tcBorders>
              <w:top w:val="nil"/>
              <w:bottom w:val="single" w:sz="4" w:space="0" w:color="auto"/>
            </w:tcBorders>
            <w:vAlign w:val="center"/>
          </w:tcPr>
          <w:p w14:paraId="4DF6AD64" w14:textId="77777777" w:rsidR="00063606" w:rsidRPr="00BC732E" w:rsidRDefault="00063606" w:rsidP="00063606">
            <w:pPr>
              <w:rPr>
                <w:rFonts w:ascii="Arial Narrow" w:hAnsi="Arial Narrow"/>
                <w:sz w:val="20"/>
                <w:szCs w:val="20"/>
              </w:rPr>
            </w:pPr>
            <w:r w:rsidRPr="00BC732E">
              <w:rPr>
                <w:rFonts w:ascii="Arial Narrow" w:hAnsi="Arial Narrow"/>
                <w:sz w:val="20"/>
                <w:szCs w:val="20"/>
              </w:rPr>
              <w:t xml:space="preserve"> </w:t>
            </w:r>
          </w:p>
        </w:tc>
      </w:tr>
      <w:tr w:rsidR="00063606" w:rsidRPr="00BC732E" w14:paraId="1E70AE0A" w14:textId="77777777" w:rsidTr="00823301">
        <w:trPr>
          <w:cantSplit/>
        </w:trPr>
        <w:tc>
          <w:tcPr>
            <w:tcW w:w="874" w:type="pct"/>
            <w:vAlign w:val="center"/>
          </w:tcPr>
          <w:p w14:paraId="7C35A37B" w14:textId="6DEE0FB0" w:rsidR="00063606" w:rsidRPr="00BC732E" w:rsidRDefault="00063606" w:rsidP="00063606">
            <w:pPr>
              <w:rPr>
                <w:rFonts w:ascii="Arial Narrow" w:hAnsi="Arial Narrow"/>
                <w:sz w:val="20"/>
                <w:szCs w:val="20"/>
              </w:rPr>
            </w:pPr>
            <w:r w:rsidRPr="00BC732E">
              <w:rPr>
                <w:rFonts w:ascii="Arial Narrow" w:hAnsi="Arial Narrow"/>
                <w:sz w:val="20"/>
                <w:szCs w:val="20"/>
              </w:rPr>
              <w:t>Study U032</w:t>
            </w:r>
            <w:r w:rsidR="00613939">
              <w:rPr>
                <w:rFonts w:ascii="Arial Narrow" w:hAnsi="Arial Narrow"/>
                <w:sz w:val="20"/>
                <w:szCs w:val="20"/>
              </w:rPr>
              <w:t>*</w:t>
            </w:r>
          </w:p>
        </w:tc>
        <w:tc>
          <w:tcPr>
            <w:tcW w:w="2194" w:type="pct"/>
            <w:tcBorders>
              <w:bottom w:val="single" w:sz="4" w:space="0" w:color="auto"/>
            </w:tcBorders>
            <w:vAlign w:val="center"/>
          </w:tcPr>
          <w:p w14:paraId="30CDA3CA" w14:textId="77777777" w:rsidR="00063606" w:rsidRPr="00BC732E" w:rsidRDefault="00063606" w:rsidP="00063606">
            <w:pPr>
              <w:rPr>
                <w:rFonts w:ascii="Arial Narrow" w:hAnsi="Arial Narrow"/>
                <w:sz w:val="20"/>
                <w:szCs w:val="20"/>
              </w:rPr>
            </w:pPr>
            <w:r w:rsidRPr="00BC732E">
              <w:rPr>
                <w:rFonts w:ascii="Arial Narrow" w:hAnsi="Arial Narrow"/>
                <w:sz w:val="20"/>
                <w:szCs w:val="20"/>
              </w:rPr>
              <w:t>U032 Nonclinical Study Report. In Vitro Pharmacological Profiling of CFTR Mutations in FRT Cells Using Elexacaftor (ELX; VX-445), Tezacaftor (TEZ; VX-661), and Ivacaftor (IVA; VX-770): Effects on CFTR Processing and Trafficking and Cl- Transport</w:t>
            </w:r>
          </w:p>
        </w:tc>
        <w:tc>
          <w:tcPr>
            <w:tcW w:w="1932" w:type="pct"/>
            <w:tcBorders>
              <w:bottom w:val="single" w:sz="4" w:space="0" w:color="auto"/>
            </w:tcBorders>
            <w:vAlign w:val="center"/>
          </w:tcPr>
          <w:p w14:paraId="5C114AD5" w14:textId="77777777" w:rsidR="00063606" w:rsidRPr="00BC732E" w:rsidRDefault="00063606" w:rsidP="00063606">
            <w:pPr>
              <w:rPr>
                <w:rFonts w:ascii="Arial Narrow" w:hAnsi="Arial Narrow"/>
                <w:sz w:val="20"/>
                <w:szCs w:val="20"/>
              </w:rPr>
            </w:pPr>
            <w:r w:rsidRPr="00BC732E">
              <w:rPr>
                <w:rFonts w:ascii="Arial Narrow" w:hAnsi="Arial Narrow"/>
                <w:sz w:val="20"/>
                <w:szCs w:val="20"/>
              </w:rPr>
              <w:t>5 February 2024</w:t>
            </w:r>
          </w:p>
        </w:tc>
      </w:tr>
    </w:tbl>
    <w:p w14:paraId="51D8173A" w14:textId="2F0993A1" w:rsidR="008E0D3C" w:rsidRDefault="008E0D3C" w:rsidP="00EC5836">
      <w:pPr>
        <w:pStyle w:val="FooterTableFigure"/>
      </w:pPr>
      <w:r w:rsidRPr="0098262F">
        <w:t>Source: Table</w:t>
      </w:r>
      <w:r w:rsidR="00DC11F9">
        <w:t xml:space="preserve"> 2.3</w:t>
      </w:r>
      <w:r w:rsidRPr="0098262F">
        <w:t>, p</w:t>
      </w:r>
      <w:r w:rsidR="00DC11F9">
        <w:t xml:space="preserve">p57-58 </w:t>
      </w:r>
      <w:r w:rsidRPr="0098262F">
        <w:t>of the submission.</w:t>
      </w:r>
    </w:p>
    <w:p w14:paraId="72C24AE3" w14:textId="776EDF3B" w:rsidR="00613939" w:rsidRPr="0098262F" w:rsidRDefault="00613939" w:rsidP="00613939">
      <w:pPr>
        <w:pStyle w:val="FooterTableFigure"/>
        <w:rPr>
          <w:sz w:val="20"/>
        </w:rPr>
      </w:pPr>
      <w:r>
        <w:t>* Not discussed further herein</w:t>
      </w:r>
    </w:p>
    <w:p w14:paraId="66CC28FC" w14:textId="7AD1347F" w:rsidR="00453DE0" w:rsidRPr="00067939" w:rsidRDefault="008F120A" w:rsidP="00067939">
      <w:pPr>
        <w:pStyle w:val="3-BodyText"/>
      </w:pPr>
      <w:r w:rsidRPr="0098262F">
        <w:t xml:space="preserve">The key features of the </w:t>
      </w:r>
      <w:r w:rsidR="00621ADA" w:rsidRPr="0098262F">
        <w:t>included evidence</w:t>
      </w:r>
      <w:r w:rsidRPr="0098262F">
        <w:t xml:space="preserve"> are summarised in</w:t>
      </w:r>
      <w:r w:rsidR="00067939">
        <w:t xml:space="preserve"> </w:t>
      </w:r>
      <w:r w:rsidR="00CF0E96">
        <w:fldChar w:fldCharType="begin"/>
      </w:r>
      <w:r w:rsidR="00CF0E96">
        <w:instrText xml:space="preserve"> REF _Ref183597795 \h </w:instrText>
      </w:r>
      <w:r w:rsidR="00CF0E96">
        <w:fldChar w:fldCharType="separate"/>
      </w:r>
      <w:r w:rsidR="00343156" w:rsidRPr="00453DE0">
        <w:t xml:space="preserve">Table </w:t>
      </w:r>
      <w:r w:rsidR="00343156">
        <w:rPr>
          <w:noProof/>
        </w:rPr>
        <w:t>6</w:t>
      </w:r>
      <w:r w:rsidR="00CF0E96">
        <w:fldChar w:fldCharType="end"/>
      </w:r>
      <w:r w:rsidR="00CF0E96">
        <w:t xml:space="preserve">. </w:t>
      </w:r>
      <w:bookmarkStart w:id="35" w:name="_Ref104804098"/>
    </w:p>
    <w:p w14:paraId="355E2F15" w14:textId="39B5EF3D" w:rsidR="007F1017" w:rsidRDefault="00696EF9" w:rsidP="00823301">
      <w:pPr>
        <w:pStyle w:val="TableFigureHeading"/>
      </w:pPr>
      <w:bookmarkStart w:id="36" w:name="_Ref183597795"/>
      <w:r w:rsidRPr="00453DE0">
        <w:t xml:space="preserve">Table </w:t>
      </w:r>
      <w:r w:rsidR="00345E49">
        <w:fldChar w:fldCharType="begin"/>
      </w:r>
      <w:r w:rsidR="00345E49">
        <w:instrText xml:space="preserve"> SEQ Table \* ARABIC </w:instrText>
      </w:r>
      <w:r w:rsidR="00345E49">
        <w:fldChar w:fldCharType="separate"/>
      </w:r>
      <w:r w:rsidR="00343156">
        <w:rPr>
          <w:noProof/>
        </w:rPr>
        <w:t>6</w:t>
      </w:r>
      <w:r w:rsidR="00345E49">
        <w:rPr>
          <w:noProof/>
        </w:rPr>
        <w:fldChar w:fldCharType="end"/>
      </w:r>
      <w:bookmarkEnd w:id="35"/>
      <w:bookmarkEnd w:id="36"/>
      <w:r w:rsidR="00D6076E" w:rsidRPr="00453DE0">
        <w:t xml:space="preserve">: </w:t>
      </w:r>
      <w:r w:rsidR="007F1017" w:rsidRPr="00453DE0">
        <w:t>Key features of the included evidence</w:t>
      </w:r>
    </w:p>
    <w:tbl>
      <w:tblPr>
        <w:tblStyle w:val="TableGrid"/>
        <w:tblW w:w="9067" w:type="dxa"/>
        <w:tblLayout w:type="fixed"/>
        <w:tblLook w:val="04A0" w:firstRow="1" w:lastRow="0" w:firstColumn="1" w:lastColumn="0" w:noHBand="0" w:noVBand="1"/>
      </w:tblPr>
      <w:tblGrid>
        <w:gridCol w:w="1271"/>
        <w:gridCol w:w="1985"/>
        <w:gridCol w:w="1275"/>
        <w:gridCol w:w="2410"/>
        <w:gridCol w:w="2126"/>
      </w:tblGrid>
      <w:tr w:rsidR="00070FFA" w:rsidRPr="00BC732E" w14:paraId="00FDCF26" w14:textId="77777777" w:rsidTr="00070FFA">
        <w:tc>
          <w:tcPr>
            <w:tcW w:w="1271" w:type="dxa"/>
          </w:tcPr>
          <w:p w14:paraId="19291421" w14:textId="77777777" w:rsidR="00070FFA" w:rsidRPr="00BC732E" w:rsidRDefault="00070FFA" w:rsidP="00070FFA">
            <w:pPr>
              <w:pStyle w:val="In-tableHeading"/>
            </w:pPr>
            <w:r w:rsidRPr="00BC732E">
              <w:t>Study</w:t>
            </w:r>
          </w:p>
        </w:tc>
        <w:tc>
          <w:tcPr>
            <w:tcW w:w="1985" w:type="dxa"/>
          </w:tcPr>
          <w:p w14:paraId="57F5FFB7" w14:textId="77777777" w:rsidR="00070FFA" w:rsidRPr="00BC732E" w:rsidRDefault="00070FFA" w:rsidP="00070FFA">
            <w:pPr>
              <w:pStyle w:val="In-tableHeading"/>
            </w:pPr>
            <w:r w:rsidRPr="00BC732E">
              <w:t>Design</w:t>
            </w:r>
          </w:p>
        </w:tc>
        <w:tc>
          <w:tcPr>
            <w:tcW w:w="1275" w:type="dxa"/>
          </w:tcPr>
          <w:p w14:paraId="3AEDC584" w14:textId="26F5C709" w:rsidR="00070FFA" w:rsidRPr="00BC732E" w:rsidRDefault="00070FFA" w:rsidP="00070FFA">
            <w:pPr>
              <w:pStyle w:val="In-tableHeading"/>
            </w:pPr>
            <w:r>
              <w:t>Risk of bias</w:t>
            </w:r>
          </w:p>
        </w:tc>
        <w:tc>
          <w:tcPr>
            <w:tcW w:w="2410" w:type="dxa"/>
          </w:tcPr>
          <w:p w14:paraId="1360057F" w14:textId="78C1B947" w:rsidR="00070FFA" w:rsidRPr="00BC732E" w:rsidRDefault="00070FFA" w:rsidP="00070FFA">
            <w:pPr>
              <w:pStyle w:val="In-tableHeading"/>
            </w:pPr>
            <w:r w:rsidRPr="00BC732E">
              <w:t>Population</w:t>
            </w:r>
          </w:p>
        </w:tc>
        <w:tc>
          <w:tcPr>
            <w:tcW w:w="2126" w:type="dxa"/>
          </w:tcPr>
          <w:p w14:paraId="65BF8FD5" w14:textId="77777777" w:rsidR="00070FFA" w:rsidRPr="00BC732E" w:rsidRDefault="00070FFA" w:rsidP="00070FFA">
            <w:pPr>
              <w:pStyle w:val="In-tableHeading"/>
            </w:pPr>
            <w:r w:rsidRPr="00BC732E">
              <w:t>Outcomes</w:t>
            </w:r>
          </w:p>
        </w:tc>
      </w:tr>
      <w:tr w:rsidR="00070FFA" w:rsidRPr="00BC732E" w14:paraId="304A2207" w14:textId="77777777" w:rsidTr="00070FFA">
        <w:tc>
          <w:tcPr>
            <w:tcW w:w="1271" w:type="dxa"/>
          </w:tcPr>
          <w:p w14:paraId="2400A672" w14:textId="462C8470" w:rsidR="00070FFA" w:rsidRPr="00213A3A" w:rsidRDefault="00070FFA" w:rsidP="00A14777">
            <w:pPr>
              <w:rPr>
                <w:rFonts w:ascii="Arial Narrow" w:hAnsi="Arial Narrow"/>
                <w:sz w:val="20"/>
                <w:szCs w:val="20"/>
                <w:vertAlign w:val="superscript"/>
              </w:rPr>
            </w:pPr>
            <w:r w:rsidRPr="00BC732E">
              <w:rPr>
                <w:rFonts w:ascii="Arial Narrow" w:hAnsi="Arial Narrow"/>
                <w:sz w:val="20"/>
                <w:szCs w:val="20"/>
              </w:rPr>
              <w:t>VX21-445-124</w:t>
            </w:r>
            <w:r>
              <w:rPr>
                <w:rFonts w:ascii="Arial Narrow" w:hAnsi="Arial Narrow"/>
                <w:sz w:val="20"/>
                <w:szCs w:val="20"/>
                <w:vertAlign w:val="superscript"/>
              </w:rPr>
              <w:t>1</w:t>
            </w:r>
          </w:p>
          <w:p w14:paraId="47FE1B63"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N = 307</w:t>
            </w:r>
          </w:p>
        </w:tc>
        <w:tc>
          <w:tcPr>
            <w:tcW w:w="1985" w:type="dxa"/>
          </w:tcPr>
          <w:p w14:paraId="7A6D7E3D"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R, DB, MC (84 sites, Europe &amp; Canada); randomised 2:1 to ETI or placebo, 24wk</w:t>
            </w:r>
          </w:p>
          <w:p w14:paraId="5590E784" w14:textId="77777777" w:rsidR="00070FFA" w:rsidRPr="00BC732E" w:rsidRDefault="00070FFA" w:rsidP="00A14777">
            <w:pPr>
              <w:rPr>
                <w:rFonts w:ascii="Arial Narrow" w:hAnsi="Arial Narrow"/>
                <w:sz w:val="20"/>
                <w:szCs w:val="20"/>
              </w:rPr>
            </w:pPr>
          </w:p>
        </w:tc>
        <w:tc>
          <w:tcPr>
            <w:tcW w:w="1275" w:type="dxa"/>
          </w:tcPr>
          <w:p w14:paraId="15888464" w14:textId="378BFB90" w:rsidR="00070FFA" w:rsidRPr="00BC732E" w:rsidRDefault="00070FFA" w:rsidP="00A14777">
            <w:pPr>
              <w:rPr>
                <w:rFonts w:ascii="Arial Narrow" w:hAnsi="Arial Narrow"/>
                <w:sz w:val="20"/>
                <w:szCs w:val="20"/>
              </w:rPr>
            </w:pPr>
            <w:r>
              <w:rPr>
                <w:rFonts w:ascii="Arial Narrow" w:hAnsi="Arial Narrow"/>
                <w:sz w:val="20"/>
                <w:szCs w:val="20"/>
              </w:rPr>
              <w:t>Low</w:t>
            </w:r>
          </w:p>
        </w:tc>
        <w:tc>
          <w:tcPr>
            <w:tcW w:w="2410" w:type="dxa"/>
          </w:tcPr>
          <w:p w14:paraId="330E8873" w14:textId="156B581A" w:rsidR="00070FFA" w:rsidRPr="00BC732E" w:rsidRDefault="00070FFA" w:rsidP="00A14777">
            <w:pPr>
              <w:rPr>
                <w:rFonts w:ascii="Arial Narrow" w:hAnsi="Arial Narrow"/>
                <w:sz w:val="20"/>
                <w:szCs w:val="20"/>
              </w:rPr>
            </w:pPr>
            <w:r w:rsidRPr="00BC732E">
              <w:rPr>
                <w:rFonts w:ascii="Arial Narrow" w:hAnsi="Arial Narrow"/>
                <w:sz w:val="20"/>
                <w:szCs w:val="20"/>
              </w:rPr>
              <w:t xml:space="preserve">CF aged </w:t>
            </w:r>
            <w:r w:rsidRPr="00BC732E">
              <w:rPr>
                <w:rFonts w:ascii="Symbol" w:eastAsia="Symbol" w:hAnsi="Symbol" w:cs="Symbol"/>
                <w:sz w:val="20"/>
                <w:szCs w:val="20"/>
              </w:rPr>
              <w:t>³</w:t>
            </w:r>
            <w:r w:rsidRPr="00BC732E">
              <w:rPr>
                <w:rFonts w:ascii="Arial Narrow" w:hAnsi="Arial Narrow"/>
                <w:sz w:val="20"/>
                <w:szCs w:val="20"/>
              </w:rPr>
              <w:t xml:space="preserve"> 6 </w:t>
            </w:r>
            <w:r w:rsidR="0007553D">
              <w:rPr>
                <w:rFonts w:ascii="Arial Narrow" w:hAnsi="Arial Narrow"/>
                <w:sz w:val="20"/>
                <w:szCs w:val="20"/>
              </w:rPr>
              <w:t xml:space="preserve">yrs </w:t>
            </w:r>
            <w:r w:rsidRPr="00BC732E">
              <w:rPr>
                <w:rFonts w:ascii="Arial Narrow" w:hAnsi="Arial Narrow"/>
                <w:sz w:val="20"/>
                <w:szCs w:val="20"/>
              </w:rPr>
              <w:t>with ppFEV</w:t>
            </w:r>
            <w:r w:rsidRPr="00BC732E">
              <w:rPr>
                <w:rFonts w:ascii="Arial Narrow" w:hAnsi="Arial Narrow"/>
                <w:sz w:val="20"/>
                <w:szCs w:val="20"/>
                <w:vertAlign w:val="subscript"/>
              </w:rPr>
              <w:t>1</w:t>
            </w:r>
            <w:r w:rsidRPr="00BC732E">
              <w:rPr>
                <w:rFonts w:ascii="Arial Narrow" w:hAnsi="Arial Narrow"/>
                <w:sz w:val="20"/>
                <w:szCs w:val="20"/>
              </w:rPr>
              <w:t xml:space="preserve"> </w:t>
            </w:r>
            <w:r w:rsidRPr="00BC732E">
              <w:rPr>
                <w:rFonts w:ascii="Symbol" w:eastAsia="Symbol" w:hAnsi="Symbol" w:cs="Symbol"/>
                <w:sz w:val="20"/>
                <w:szCs w:val="20"/>
              </w:rPr>
              <w:t>³</w:t>
            </w:r>
            <w:r w:rsidRPr="00BC732E">
              <w:rPr>
                <w:rFonts w:ascii="Arial Narrow" w:hAnsi="Arial Narrow"/>
                <w:sz w:val="20"/>
                <w:szCs w:val="20"/>
              </w:rPr>
              <w:t xml:space="preserve"> 40% and </w:t>
            </w:r>
            <w:r w:rsidRPr="00BC732E">
              <w:rPr>
                <w:rFonts w:ascii="Arial Narrow" w:hAnsi="Arial Narrow"/>
                <w:sz w:val="20"/>
                <w:szCs w:val="20"/>
                <w:lang w:val="en-US"/>
              </w:rPr>
              <w:t xml:space="preserve">≤100%, </w:t>
            </w:r>
            <w:r w:rsidR="004B2276">
              <w:rPr>
                <w:rFonts w:ascii="Arial Narrow" w:hAnsi="Arial Narrow"/>
                <w:sz w:val="20"/>
                <w:szCs w:val="20"/>
                <w:lang w:val="en-US"/>
              </w:rPr>
              <w:t xml:space="preserve">at least </w:t>
            </w:r>
            <w:r w:rsidRPr="00BC732E">
              <w:rPr>
                <w:rFonts w:ascii="Arial Narrow" w:hAnsi="Arial Narrow"/>
                <w:sz w:val="20"/>
                <w:szCs w:val="20"/>
                <w:lang w:val="en-US"/>
              </w:rPr>
              <w:t xml:space="preserve">one </w:t>
            </w:r>
            <w:r w:rsidR="004B2276">
              <w:rPr>
                <w:rFonts w:ascii="Arial Narrow" w:hAnsi="Arial Narrow"/>
                <w:sz w:val="20"/>
                <w:szCs w:val="20"/>
                <w:lang w:val="en-US"/>
              </w:rPr>
              <w:t>of 1</w:t>
            </w:r>
            <w:r w:rsidR="001623A0">
              <w:rPr>
                <w:rFonts w:ascii="Arial Narrow" w:hAnsi="Arial Narrow"/>
                <w:sz w:val="20"/>
                <w:szCs w:val="20"/>
                <w:lang w:val="en-US"/>
              </w:rPr>
              <w:t>5</w:t>
            </w:r>
            <w:r w:rsidR="004B2276">
              <w:rPr>
                <w:rFonts w:ascii="Arial Narrow" w:hAnsi="Arial Narrow"/>
                <w:sz w:val="20"/>
                <w:szCs w:val="20"/>
                <w:lang w:val="en-US"/>
              </w:rPr>
              <w:t xml:space="preserve"> prespecified non-</w:t>
            </w:r>
            <w:r w:rsidR="002911A9">
              <w:rPr>
                <w:rFonts w:ascii="Arial Narrow" w:hAnsi="Arial Narrow"/>
                <w:sz w:val="20"/>
                <w:szCs w:val="20"/>
                <w:lang w:val="en-US"/>
              </w:rPr>
              <w:t>F</w:t>
            </w:r>
            <w:r w:rsidR="004B2276">
              <w:rPr>
                <w:rFonts w:ascii="Arial Narrow" w:hAnsi="Arial Narrow"/>
                <w:sz w:val="20"/>
                <w:szCs w:val="20"/>
                <w:lang w:val="en-US"/>
              </w:rPr>
              <w:t>508del</w:t>
            </w:r>
            <w:r w:rsidR="001623A0">
              <w:rPr>
                <w:rFonts w:ascii="Arial Narrow" w:hAnsi="Arial Narrow"/>
                <w:sz w:val="20"/>
                <w:szCs w:val="20"/>
                <w:lang w:val="en-US"/>
              </w:rPr>
              <w:t xml:space="preserve"> </w:t>
            </w:r>
            <w:r w:rsidRPr="00BC732E">
              <w:rPr>
                <w:rFonts w:ascii="Arial Narrow" w:hAnsi="Arial Narrow"/>
                <w:sz w:val="20"/>
                <w:szCs w:val="20"/>
                <w:lang w:val="en-US"/>
              </w:rPr>
              <w:t>ETI-responsive mutation</w:t>
            </w:r>
            <w:r w:rsidR="004B2276">
              <w:rPr>
                <w:rFonts w:ascii="Arial Narrow" w:hAnsi="Arial Narrow"/>
                <w:sz w:val="20"/>
                <w:szCs w:val="20"/>
                <w:lang w:val="en-US"/>
              </w:rPr>
              <w:t>s</w:t>
            </w:r>
            <w:r w:rsidRPr="00BC732E">
              <w:rPr>
                <w:rFonts w:ascii="Arial Narrow" w:hAnsi="Arial Narrow"/>
                <w:sz w:val="20"/>
                <w:szCs w:val="20"/>
                <w:lang w:val="en-US"/>
              </w:rPr>
              <w:t xml:space="preserve">, </w:t>
            </w:r>
            <w:r w:rsidR="00871E27">
              <w:rPr>
                <w:rFonts w:ascii="Arial Narrow" w:hAnsi="Arial Narrow"/>
                <w:sz w:val="20"/>
                <w:szCs w:val="20"/>
                <w:lang w:val="en-US"/>
              </w:rPr>
              <w:t xml:space="preserve">or one of 5 non-canonical splice mutations. </w:t>
            </w:r>
          </w:p>
        </w:tc>
        <w:tc>
          <w:tcPr>
            <w:tcW w:w="2126" w:type="dxa"/>
          </w:tcPr>
          <w:p w14:paraId="4F9560EB"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Primary: Change in ppFEV</w:t>
            </w:r>
            <w:r w:rsidRPr="00BC732E">
              <w:rPr>
                <w:rFonts w:ascii="Arial Narrow" w:hAnsi="Arial Narrow"/>
                <w:sz w:val="20"/>
                <w:szCs w:val="20"/>
                <w:vertAlign w:val="subscript"/>
              </w:rPr>
              <w:t>1</w:t>
            </w:r>
            <w:r w:rsidRPr="00BC732E">
              <w:rPr>
                <w:rFonts w:ascii="Arial Narrow" w:hAnsi="Arial Narrow"/>
                <w:sz w:val="20"/>
                <w:szCs w:val="20"/>
              </w:rPr>
              <w:t xml:space="preserve"> at 24wk active vs placebo; </w:t>
            </w:r>
          </w:p>
          <w:p w14:paraId="30B3F99A"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Secondary: Change in SwCl, CFQ-R RD, BMI, infective exacerbations at 24 wk active vs placebo</w:t>
            </w:r>
          </w:p>
          <w:p w14:paraId="037B67CF" w14:textId="77777777" w:rsidR="00070FFA" w:rsidRPr="00BC732E" w:rsidRDefault="00070FFA" w:rsidP="00A14777">
            <w:pPr>
              <w:rPr>
                <w:rFonts w:ascii="Arial Narrow" w:hAnsi="Arial Narrow"/>
                <w:sz w:val="20"/>
                <w:szCs w:val="20"/>
              </w:rPr>
            </w:pPr>
          </w:p>
        </w:tc>
      </w:tr>
      <w:tr w:rsidR="00070FFA" w:rsidRPr="00BC732E" w14:paraId="158A5BC6" w14:textId="77777777" w:rsidTr="00070FFA">
        <w:tc>
          <w:tcPr>
            <w:tcW w:w="1271" w:type="dxa"/>
          </w:tcPr>
          <w:p w14:paraId="2708385E"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CFD-016</w:t>
            </w:r>
          </w:p>
          <w:p w14:paraId="01672F1E"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N = 422</w:t>
            </w:r>
          </w:p>
        </w:tc>
        <w:tc>
          <w:tcPr>
            <w:tcW w:w="1985" w:type="dxa"/>
          </w:tcPr>
          <w:p w14:paraId="6E873184"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Retrospective study of US CF registry patients initiating ETI between 21 October 2019 and 1 December 2022; data cut-off 31 December 2022</w:t>
            </w:r>
          </w:p>
        </w:tc>
        <w:tc>
          <w:tcPr>
            <w:tcW w:w="1275" w:type="dxa"/>
          </w:tcPr>
          <w:p w14:paraId="3E22A425" w14:textId="436A3B3A" w:rsidR="00070FFA" w:rsidRPr="00BC732E" w:rsidRDefault="00BB2C9E" w:rsidP="00A14777">
            <w:pPr>
              <w:rPr>
                <w:rFonts w:ascii="Arial Narrow" w:hAnsi="Arial Narrow"/>
                <w:sz w:val="20"/>
                <w:szCs w:val="20"/>
              </w:rPr>
            </w:pPr>
            <w:r>
              <w:rPr>
                <w:rFonts w:ascii="Arial Narrow" w:hAnsi="Arial Narrow"/>
                <w:sz w:val="20"/>
                <w:szCs w:val="20"/>
              </w:rPr>
              <w:t>H</w:t>
            </w:r>
            <w:r w:rsidR="00070FFA">
              <w:rPr>
                <w:rFonts w:ascii="Arial Narrow" w:hAnsi="Arial Narrow"/>
                <w:sz w:val="20"/>
                <w:szCs w:val="20"/>
              </w:rPr>
              <w:t>igh</w:t>
            </w:r>
          </w:p>
        </w:tc>
        <w:tc>
          <w:tcPr>
            <w:tcW w:w="2410" w:type="dxa"/>
          </w:tcPr>
          <w:p w14:paraId="538387D2" w14:textId="2D81DE87" w:rsidR="00070FFA" w:rsidRPr="00BC732E" w:rsidRDefault="00070FFA" w:rsidP="00A14777">
            <w:pPr>
              <w:rPr>
                <w:rFonts w:ascii="Arial Narrow" w:hAnsi="Arial Narrow"/>
                <w:sz w:val="20"/>
                <w:szCs w:val="20"/>
              </w:rPr>
            </w:pPr>
            <w:r w:rsidRPr="00BC732E">
              <w:rPr>
                <w:rFonts w:ascii="Arial Narrow" w:hAnsi="Arial Narrow"/>
                <w:sz w:val="20"/>
                <w:szCs w:val="20"/>
              </w:rPr>
              <w:t xml:space="preserve">CF aged </w:t>
            </w:r>
            <w:r w:rsidRPr="00BC732E">
              <w:rPr>
                <w:rFonts w:ascii="Symbol" w:eastAsia="Symbol" w:hAnsi="Symbol" w:cs="Symbol"/>
                <w:sz w:val="20"/>
                <w:szCs w:val="20"/>
              </w:rPr>
              <w:t>³</w:t>
            </w:r>
            <w:r w:rsidRPr="00BC732E">
              <w:rPr>
                <w:rFonts w:ascii="Arial Narrow" w:hAnsi="Arial Narrow"/>
                <w:sz w:val="20"/>
                <w:szCs w:val="20"/>
              </w:rPr>
              <w:t xml:space="preserve"> 6</w:t>
            </w:r>
            <w:r w:rsidR="0007553D">
              <w:rPr>
                <w:rFonts w:ascii="Arial Narrow" w:hAnsi="Arial Narrow"/>
                <w:sz w:val="20"/>
                <w:szCs w:val="20"/>
              </w:rPr>
              <w:t xml:space="preserve"> yrs</w:t>
            </w:r>
            <w:r w:rsidRPr="00BC732E">
              <w:rPr>
                <w:rFonts w:ascii="Arial Narrow" w:hAnsi="Arial Narrow"/>
                <w:sz w:val="20"/>
                <w:szCs w:val="20"/>
              </w:rPr>
              <w:t>, at least one ETI-responsive mutation and no F508del mutation; at least one ppFEV1 in the 12 months before initiating ETI and at least one at least 4 wk after initiation; ppFEV</w:t>
            </w:r>
            <w:r w:rsidRPr="00BC732E">
              <w:rPr>
                <w:rFonts w:ascii="Arial Narrow" w:hAnsi="Arial Narrow"/>
                <w:sz w:val="20"/>
                <w:szCs w:val="20"/>
                <w:vertAlign w:val="subscript"/>
              </w:rPr>
              <w:t>1</w:t>
            </w:r>
            <w:r w:rsidRPr="00BC732E">
              <w:rPr>
                <w:rFonts w:ascii="Arial Narrow" w:hAnsi="Arial Narrow"/>
                <w:sz w:val="20"/>
                <w:szCs w:val="20"/>
              </w:rPr>
              <w:t xml:space="preserve"> before ETI (mean if &gt; 1 measurement) </w:t>
            </w:r>
            <w:r w:rsidRPr="00BC732E">
              <w:rPr>
                <w:rFonts w:ascii="Arial Narrow" w:hAnsi="Arial Narrow"/>
                <w:sz w:val="20"/>
                <w:szCs w:val="20"/>
                <w:lang w:val="en-GB"/>
              </w:rPr>
              <w:t>≥30% and ≤100%</w:t>
            </w:r>
          </w:p>
        </w:tc>
        <w:tc>
          <w:tcPr>
            <w:tcW w:w="2126" w:type="dxa"/>
          </w:tcPr>
          <w:p w14:paraId="77FE53AF"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Primary: Change in ppFEV</w:t>
            </w:r>
            <w:r w:rsidRPr="00BC732E">
              <w:rPr>
                <w:rFonts w:ascii="Arial Narrow" w:hAnsi="Arial Narrow"/>
                <w:sz w:val="20"/>
                <w:szCs w:val="20"/>
                <w:vertAlign w:val="subscript"/>
              </w:rPr>
              <w:t>1</w:t>
            </w:r>
            <w:r w:rsidRPr="00BC732E">
              <w:rPr>
                <w:rFonts w:ascii="Arial Narrow" w:hAnsi="Arial Narrow"/>
                <w:sz w:val="20"/>
                <w:szCs w:val="20"/>
              </w:rPr>
              <w:t>;</w:t>
            </w:r>
          </w:p>
          <w:p w14:paraId="72DD5CF4"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Secondary: Change in weight and BMI</w:t>
            </w:r>
          </w:p>
          <w:p w14:paraId="3143EA90" w14:textId="77777777" w:rsidR="00070FFA" w:rsidRPr="00BC732E" w:rsidRDefault="00070FFA" w:rsidP="00A14777">
            <w:pPr>
              <w:rPr>
                <w:rFonts w:ascii="Arial Narrow" w:hAnsi="Arial Narrow"/>
                <w:sz w:val="20"/>
                <w:szCs w:val="20"/>
              </w:rPr>
            </w:pPr>
          </w:p>
        </w:tc>
      </w:tr>
      <w:tr w:rsidR="00070FFA" w:rsidRPr="00BC732E" w14:paraId="6569C9C8" w14:textId="77777777" w:rsidTr="00070FFA">
        <w:tc>
          <w:tcPr>
            <w:tcW w:w="1271" w:type="dxa"/>
          </w:tcPr>
          <w:p w14:paraId="1016D529" w14:textId="77777777" w:rsidR="00070FFA" w:rsidRPr="00BC732E" w:rsidRDefault="00070FFA" w:rsidP="00067939">
            <w:pPr>
              <w:rPr>
                <w:rFonts w:ascii="Arial Narrow" w:hAnsi="Arial Narrow"/>
                <w:sz w:val="20"/>
                <w:szCs w:val="20"/>
              </w:rPr>
            </w:pPr>
            <w:r w:rsidRPr="00BC732E">
              <w:rPr>
                <w:rFonts w:ascii="Arial Narrow" w:hAnsi="Arial Narrow"/>
                <w:sz w:val="20"/>
                <w:szCs w:val="20"/>
              </w:rPr>
              <w:t>Cromwell, 2024</w:t>
            </w:r>
          </w:p>
          <w:p w14:paraId="0D6CBE79" w14:textId="56FC3DF1" w:rsidR="00070FFA" w:rsidRPr="00BC732E" w:rsidRDefault="00070FFA" w:rsidP="00067939">
            <w:pPr>
              <w:rPr>
                <w:rFonts w:ascii="Arial Narrow" w:hAnsi="Arial Narrow"/>
                <w:sz w:val="20"/>
                <w:szCs w:val="20"/>
              </w:rPr>
            </w:pPr>
            <w:r w:rsidRPr="00BC732E">
              <w:rPr>
                <w:rFonts w:ascii="Arial Narrow" w:hAnsi="Arial Narrow"/>
                <w:sz w:val="20"/>
                <w:szCs w:val="20"/>
              </w:rPr>
              <w:t>N = 573</w:t>
            </w:r>
          </w:p>
        </w:tc>
        <w:tc>
          <w:tcPr>
            <w:tcW w:w="1985" w:type="dxa"/>
          </w:tcPr>
          <w:p w14:paraId="1FD3EC12" w14:textId="7D3BEABD" w:rsidR="00070FFA" w:rsidRPr="00BC732E" w:rsidRDefault="00070FFA" w:rsidP="00A14777">
            <w:pPr>
              <w:rPr>
                <w:rFonts w:ascii="Arial Narrow" w:hAnsi="Arial Narrow"/>
                <w:sz w:val="20"/>
                <w:szCs w:val="20"/>
              </w:rPr>
            </w:pPr>
            <w:r w:rsidRPr="00BC732E">
              <w:rPr>
                <w:rFonts w:ascii="Arial Narrow" w:hAnsi="Arial Narrow"/>
                <w:sz w:val="20"/>
                <w:szCs w:val="20"/>
              </w:rPr>
              <w:t>Retrospective study of US CF registry patients (ie, same registry as CFD-016) eligible for ETI with data cut-off 31 December 2022.</w:t>
            </w:r>
          </w:p>
        </w:tc>
        <w:tc>
          <w:tcPr>
            <w:tcW w:w="1275" w:type="dxa"/>
          </w:tcPr>
          <w:p w14:paraId="652A83E5" w14:textId="394B3824" w:rsidR="00070FFA" w:rsidRPr="00BC732E" w:rsidRDefault="00070FFA" w:rsidP="00A14777">
            <w:pPr>
              <w:rPr>
                <w:rFonts w:ascii="Arial Narrow" w:hAnsi="Arial Narrow"/>
                <w:sz w:val="20"/>
                <w:szCs w:val="20"/>
              </w:rPr>
            </w:pPr>
            <w:r>
              <w:rPr>
                <w:rFonts w:ascii="Arial Narrow" w:hAnsi="Arial Narrow"/>
                <w:sz w:val="20"/>
                <w:szCs w:val="20"/>
              </w:rPr>
              <w:t>High</w:t>
            </w:r>
          </w:p>
        </w:tc>
        <w:tc>
          <w:tcPr>
            <w:tcW w:w="2410" w:type="dxa"/>
          </w:tcPr>
          <w:p w14:paraId="2014264A" w14:textId="623F0A53" w:rsidR="00070FFA" w:rsidRPr="00BC732E" w:rsidRDefault="00070FFA" w:rsidP="00A14777">
            <w:pPr>
              <w:rPr>
                <w:rFonts w:ascii="Arial Narrow" w:hAnsi="Arial Narrow"/>
                <w:sz w:val="20"/>
                <w:szCs w:val="20"/>
              </w:rPr>
            </w:pPr>
            <w:r w:rsidRPr="00BC732E">
              <w:rPr>
                <w:rFonts w:ascii="Arial Narrow" w:hAnsi="Arial Narrow"/>
                <w:sz w:val="20"/>
                <w:szCs w:val="20"/>
              </w:rPr>
              <w:t xml:space="preserve">CF aged </w:t>
            </w:r>
            <w:r w:rsidRPr="00BC732E">
              <w:rPr>
                <w:rFonts w:ascii="Symbol" w:eastAsia="Symbol" w:hAnsi="Symbol" w:cs="Symbol"/>
                <w:sz w:val="20"/>
                <w:szCs w:val="20"/>
              </w:rPr>
              <w:t>³</w:t>
            </w:r>
            <w:r w:rsidRPr="00BC732E">
              <w:rPr>
                <w:rFonts w:ascii="Arial Narrow" w:hAnsi="Arial Narrow"/>
                <w:sz w:val="20"/>
                <w:szCs w:val="20"/>
              </w:rPr>
              <w:t xml:space="preserve"> 6</w:t>
            </w:r>
            <w:r w:rsidR="0007553D">
              <w:rPr>
                <w:rFonts w:ascii="Arial Narrow" w:hAnsi="Arial Narrow"/>
                <w:sz w:val="20"/>
                <w:szCs w:val="20"/>
              </w:rPr>
              <w:t xml:space="preserve"> yrs</w:t>
            </w:r>
            <w:r w:rsidRPr="00BC732E">
              <w:rPr>
                <w:rFonts w:ascii="Arial Narrow" w:hAnsi="Arial Narrow"/>
                <w:sz w:val="20"/>
                <w:szCs w:val="20"/>
              </w:rPr>
              <w:t>, at least one ETI-responsive mutation and no F508del mutation</w:t>
            </w:r>
          </w:p>
        </w:tc>
        <w:tc>
          <w:tcPr>
            <w:tcW w:w="2126" w:type="dxa"/>
          </w:tcPr>
          <w:p w14:paraId="400D9DC1" w14:textId="38BFA692" w:rsidR="00070FFA" w:rsidRPr="00BC732E" w:rsidRDefault="00070FFA" w:rsidP="00A14777">
            <w:pPr>
              <w:rPr>
                <w:rFonts w:ascii="Arial Narrow" w:hAnsi="Arial Narrow"/>
                <w:sz w:val="20"/>
                <w:szCs w:val="20"/>
              </w:rPr>
            </w:pPr>
            <w:r w:rsidRPr="00BC732E">
              <w:rPr>
                <w:rFonts w:ascii="Arial Narrow" w:hAnsi="Arial Narrow"/>
                <w:sz w:val="20"/>
                <w:szCs w:val="20"/>
              </w:rPr>
              <w:t>NA</w:t>
            </w:r>
          </w:p>
        </w:tc>
      </w:tr>
      <w:tr w:rsidR="00070FFA" w:rsidRPr="00BC732E" w14:paraId="6F6085E3" w14:textId="77777777" w:rsidTr="00070FFA">
        <w:tc>
          <w:tcPr>
            <w:tcW w:w="1271" w:type="dxa"/>
          </w:tcPr>
          <w:p w14:paraId="77EF7D03" w14:textId="46FBBA02" w:rsidR="00070FFA" w:rsidRPr="00BC732E" w:rsidRDefault="00070FFA" w:rsidP="00A14777">
            <w:pPr>
              <w:rPr>
                <w:rFonts w:ascii="Arial Narrow" w:hAnsi="Arial Narrow"/>
                <w:sz w:val="20"/>
                <w:szCs w:val="20"/>
              </w:rPr>
            </w:pPr>
            <w:r w:rsidRPr="00BC732E">
              <w:rPr>
                <w:rFonts w:ascii="Arial Narrow" w:hAnsi="Arial Narrow"/>
                <w:sz w:val="20"/>
                <w:szCs w:val="20"/>
              </w:rPr>
              <w:t>Solomon, 2023</w:t>
            </w:r>
            <w:r>
              <w:rPr>
                <w:rFonts w:ascii="Arial Narrow" w:hAnsi="Arial Narrow"/>
                <w:sz w:val="20"/>
                <w:szCs w:val="20"/>
                <w:vertAlign w:val="superscript"/>
              </w:rPr>
              <w:t>2</w:t>
            </w:r>
          </w:p>
          <w:p w14:paraId="399BE43C"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N = 20</w:t>
            </w:r>
          </w:p>
        </w:tc>
        <w:tc>
          <w:tcPr>
            <w:tcW w:w="1985" w:type="dxa"/>
          </w:tcPr>
          <w:p w14:paraId="05E36C68" w14:textId="77777777" w:rsidR="00BB2C9E" w:rsidRDefault="00070FFA" w:rsidP="00A14777">
            <w:pPr>
              <w:rPr>
                <w:rFonts w:ascii="Arial Narrow" w:hAnsi="Arial Narrow"/>
                <w:sz w:val="20"/>
                <w:szCs w:val="20"/>
              </w:rPr>
            </w:pPr>
            <w:r w:rsidRPr="00BC732E">
              <w:rPr>
                <w:rFonts w:ascii="Arial Narrow" w:hAnsi="Arial Narrow"/>
                <w:sz w:val="20"/>
                <w:szCs w:val="20"/>
              </w:rPr>
              <w:t xml:space="preserve">Prospective observational, </w:t>
            </w:r>
          </w:p>
          <w:p w14:paraId="2C8FAD49" w14:textId="5D6EFCC1" w:rsidR="00070FFA" w:rsidRPr="00BC732E" w:rsidRDefault="00070FFA" w:rsidP="00A14777">
            <w:pPr>
              <w:rPr>
                <w:rFonts w:ascii="Arial Narrow" w:hAnsi="Arial Narrow"/>
                <w:sz w:val="20"/>
                <w:szCs w:val="20"/>
              </w:rPr>
            </w:pPr>
            <w:r w:rsidRPr="00BC732E">
              <w:rPr>
                <w:rFonts w:ascii="Arial Narrow" w:hAnsi="Arial Narrow"/>
                <w:sz w:val="20"/>
                <w:szCs w:val="20"/>
              </w:rPr>
              <w:t>2-centres, 28d</w:t>
            </w:r>
          </w:p>
        </w:tc>
        <w:tc>
          <w:tcPr>
            <w:tcW w:w="1275" w:type="dxa"/>
          </w:tcPr>
          <w:p w14:paraId="0B14AE49" w14:textId="0B29173A" w:rsidR="00070FFA" w:rsidRPr="00BC732E" w:rsidRDefault="00070FFA" w:rsidP="00A14777">
            <w:pPr>
              <w:rPr>
                <w:rFonts w:ascii="Arial Narrow" w:hAnsi="Arial Narrow"/>
                <w:sz w:val="20"/>
                <w:szCs w:val="20"/>
              </w:rPr>
            </w:pPr>
            <w:r>
              <w:rPr>
                <w:rFonts w:ascii="Arial Narrow" w:hAnsi="Arial Narrow"/>
                <w:sz w:val="20"/>
                <w:szCs w:val="20"/>
              </w:rPr>
              <w:t>High</w:t>
            </w:r>
          </w:p>
        </w:tc>
        <w:tc>
          <w:tcPr>
            <w:tcW w:w="2410" w:type="dxa"/>
          </w:tcPr>
          <w:p w14:paraId="1EF79B0B" w14:textId="2B12CB79" w:rsidR="00070FFA" w:rsidRPr="00BC732E" w:rsidRDefault="00070FFA" w:rsidP="00A14777">
            <w:pPr>
              <w:rPr>
                <w:rFonts w:ascii="Arial Narrow" w:hAnsi="Arial Narrow"/>
                <w:sz w:val="20"/>
                <w:szCs w:val="20"/>
              </w:rPr>
            </w:pPr>
            <w:r w:rsidRPr="00BC732E">
              <w:rPr>
                <w:rFonts w:ascii="Arial Narrow" w:hAnsi="Arial Narrow"/>
                <w:sz w:val="20"/>
                <w:szCs w:val="20"/>
              </w:rPr>
              <w:t>CF aged &gt;12</w:t>
            </w:r>
            <w:r>
              <w:rPr>
                <w:rFonts w:ascii="Arial Narrow" w:hAnsi="Arial Narrow"/>
                <w:sz w:val="20"/>
                <w:szCs w:val="20"/>
              </w:rPr>
              <w:t>yrs</w:t>
            </w:r>
            <w:r w:rsidRPr="00BC732E">
              <w:rPr>
                <w:rFonts w:ascii="Arial Narrow" w:hAnsi="Arial Narrow"/>
                <w:sz w:val="20"/>
                <w:szCs w:val="20"/>
              </w:rPr>
              <w:t>, with N1303K + another minimal function mutation not eligible for ETI (homozygous N1303K was eligible but no patients were recruited)</w:t>
            </w:r>
          </w:p>
        </w:tc>
        <w:tc>
          <w:tcPr>
            <w:tcW w:w="2126" w:type="dxa"/>
          </w:tcPr>
          <w:p w14:paraId="1C03C074"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Primary: Change in SwCl</w:t>
            </w:r>
          </w:p>
          <w:p w14:paraId="56FAD23E"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Secondary: Change in ppFEV</w:t>
            </w:r>
            <w:r w:rsidRPr="00BC732E">
              <w:rPr>
                <w:rFonts w:ascii="Arial Narrow" w:hAnsi="Arial Narrow"/>
                <w:sz w:val="20"/>
                <w:szCs w:val="20"/>
                <w:vertAlign w:val="subscript"/>
              </w:rPr>
              <w:t>1</w:t>
            </w:r>
            <w:r w:rsidRPr="00BC732E">
              <w:rPr>
                <w:rFonts w:ascii="Arial Narrow" w:hAnsi="Arial Narrow"/>
                <w:sz w:val="20"/>
                <w:szCs w:val="20"/>
              </w:rPr>
              <w:t xml:space="preserve">, weight, CFQ-R RD </w:t>
            </w:r>
          </w:p>
        </w:tc>
      </w:tr>
      <w:tr w:rsidR="00070FFA" w:rsidRPr="00BC732E" w14:paraId="4FAE0FD4" w14:textId="77777777" w:rsidTr="00070FFA">
        <w:tc>
          <w:tcPr>
            <w:tcW w:w="1271" w:type="dxa"/>
          </w:tcPr>
          <w:p w14:paraId="64FD4ED9" w14:textId="77777777" w:rsidR="00070FFA" w:rsidRPr="00BC732E" w:rsidRDefault="00070FFA" w:rsidP="00A14777">
            <w:pPr>
              <w:rPr>
                <w:rFonts w:ascii="Arial Narrow" w:hAnsi="Arial Narrow"/>
                <w:sz w:val="20"/>
                <w:szCs w:val="20"/>
              </w:rPr>
            </w:pPr>
            <w:r w:rsidRPr="00BC732E">
              <w:rPr>
                <w:rFonts w:ascii="Arial Narrow" w:hAnsi="Arial Narrow"/>
                <w:sz w:val="20"/>
                <w:szCs w:val="20"/>
              </w:rPr>
              <w:lastRenderedPageBreak/>
              <w:t>Sadras, 2023</w:t>
            </w:r>
          </w:p>
          <w:p w14:paraId="64C6BE8F"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N = 8</w:t>
            </w:r>
          </w:p>
        </w:tc>
        <w:tc>
          <w:tcPr>
            <w:tcW w:w="1985" w:type="dxa"/>
          </w:tcPr>
          <w:p w14:paraId="37896B16"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Prospective observational, single centre, 8wk</w:t>
            </w:r>
          </w:p>
        </w:tc>
        <w:tc>
          <w:tcPr>
            <w:tcW w:w="1275" w:type="dxa"/>
          </w:tcPr>
          <w:p w14:paraId="4148BF4E" w14:textId="36705202" w:rsidR="00070FFA" w:rsidRPr="00BC732E" w:rsidRDefault="002911A9" w:rsidP="00A14777">
            <w:pPr>
              <w:rPr>
                <w:rFonts w:ascii="Arial Narrow" w:hAnsi="Arial Narrow"/>
                <w:sz w:val="20"/>
                <w:szCs w:val="20"/>
              </w:rPr>
            </w:pPr>
            <w:r>
              <w:rPr>
                <w:rFonts w:ascii="Arial Narrow" w:hAnsi="Arial Narrow"/>
                <w:sz w:val="20"/>
                <w:szCs w:val="20"/>
              </w:rPr>
              <w:t>H</w:t>
            </w:r>
            <w:r w:rsidR="00070FFA">
              <w:rPr>
                <w:rFonts w:ascii="Arial Narrow" w:hAnsi="Arial Narrow"/>
                <w:sz w:val="20"/>
                <w:szCs w:val="20"/>
              </w:rPr>
              <w:t>igh</w:t>
            </w:r>
          </w:p>
        </w:tc>
        <w:tc>
          <w:tcPr>
            <w:tcW w:w="2410" w:type="dxa"/>
          </w:tcPr>
          <w:p w14:paraId="2DDDFD7D" w14:textId="336EEB61" w:rsidR="00070FFA" w:rsidRPr="00BC732E" w:rsidRDefault="00070FFA" w:rsidP="00A14777">
            <w:pPr>
              <w:rPr>
                <w:rFonts w:ascii="Arial Narrow" w:hAnsi="Arial Narrow"/>
                <w:sz w:val="20"/>
                <w:szCs w:val="20"/>
              </w:rPr>
            </w:pPr>
            <w:r w:rsidRPr="00BC732E">
              <w:rPr>
                <w:rFonts w:ascii="Arial Narrow" w:hAnsi="Arial Narrow"/>
                <w:sz w:val="20"/>
                <w:szCs w:val="20"/>
              </w:rPr>
              <w:t>CF homozygous N1303K (2) or N1303K + another nonsense or frameshift mutation (6); treated with ETI provided by private insurance or private purchase</w:t>
            </w:r>
          </w:p>
        </w:tc>
        <w:tc>
          <w:tcPr>
            <w:tcW w:w="2126" w:type="dxa"/>
          </w:tcPr>
          <w:p w14:paraId="38527DBA"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NA</w:t>
            </w:r>
          </w:p>
        </w:tc>
      </w:tr>
      <w:tr w:rsidR="00070FFA" w:rsidRPr="00BC732E" w14:paraId="403C8E32" w14:textId="77777777" w:rsidTr="00070FFA">
        <w:tc>
          <w:tcPr>
            <w:tcW w:w="1271" w:type="dxa"/>
          </w:tcPr>
          <w:p w14:paraId="63A207E3"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Livnat, 2023</w:t>
            </w:r>
          </w:p>
          <w:p w14:paraId="5A15816E"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N = 16</w:t>
            </w:r>
          </w:p>
        </w:tc>
        <w:tc>
          <w:tcPr>
            <w:tcW w:w="1985" w:type="dxa"/>
          </w:tcPr>
          <w:p w14:paraId="06133D5E"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Retrospective case series, not clear if consecutive; five centres; 3-6mo treatment</w:t>
            </w:r>
          </w:p>
        </w:tc>
        <w:tc>
          <w:tcPr>
            <w:tcW w:w="1275" w:type="dxa"/>
          </w:tcPr>
          <w:p w14:paraId="0FFC64A0" w14:textId="1373EFC1" w:rsidR="00070FFA" w:rsidRPr="00BC732E" w:rsidRDefault="002911A9" w:rsidP="00A14777">
            <w:pPr>
              <w:rPr>
                <w:rFonts w:ascii="Arial Narrow" w:hAnsi="Arial Narrow"/>
                <w:sz w:val="20"/>
                <w:szCs w:val="20"/>
              </w:rPr>
            </w:pPr>
            <w:r>
              <w:rPr>
                <w:rFonts w:ascii="Arial Narrow" w:hAnsi="Arial Narrow"/>
                <w:sz w:val="20"/>
                <w:szCs w:val="20"/>
              </w:rPr>
              <w:t>H</w:t>
            </w:r>
            <w:r w:rsidR="00070FFA">
              <w:rPr>
                <w:rFonts w:ascii="Arial Narrow" w:hAnsi="Arial Narrow"/>
                <w:sz w:val="20"/>
                <w:szCs w:val="20"/>
              </w:rPr>
              <w:t>igh</w:t>
            </w:r>
          </w:p>
        </w:tc>
        <w:tc>
          <w:tcPr>
            <w:tcW w:w="2410" w:type="dxa"/>
          </w:tcPr>
          <w:p w14:paraId="2B2601E9" w14:textId="7E8381ED" w:rsidR="00070FFA" w:rsidRPr="00BC732E" w:rsidRDefault="00070FFA" w:rsidP="00A14777">
            <w:pPr>
              <w:rPr>
                <w:rFonts w:ascii="Arial Narrow" w:hAnsi="Arial Narrow"/>
                <w:sz w:val="20"/>
                <w:szCs w:val="20"/>
              </w:rPr>
            </w:pPr>
            <w:r w:rsidRPr="00BC732E">
              <w:rPr>
                <w:rFonts w:ascii="Arial Narrow" w:hAnsi="Arial Narrow"/>
                <w:sz w:val="20"/>
                <w:szCs w:val="20"/>
              </w:rPr>
              <w:t xml:space="preserve">CF, aged </w:t>
            </w:r>
            <w:r w:rsidRPr="00BC732E">
              <w:rPr>
                <w:rFonts w:ascii="Symbol" w:eastAsia="Symbol" w:hAnsi="Symbol" w:cs="Symbol"/>
                <w:sz w:val="20"/>
                <w:szCs w:val="20"/>
              </w:rPr>
              <w:t>³</w:t>
            </w:r>
            <w:r w:rsidRPr="00BC732E">
              <w:rPr>
                <w:rFonts w:ascii="Arial Narrow" w:hAnsi="Arial Narrow"/>
                <w:sz w:val="20"/>
                <w:szCs w:val="20"/>
              </w:rPr>
              <w:t>12</w:t>
            </w:r>
            <w:r w:rsidR="0007553D">
              <w:rPr>
                <w:rFonts w:ascii="Arial Narrow" w:hAnsi="Arial Narrow"/>
                <w:sz w:val="20"/>
                <w:szCs w:val="20"/>
              </w:rPr>
              <w:t xml:space="preserve"> </w:t>
            </w:r>
            <w:r>
              <w:rPr>
                <w:rFonts w:ascii="Arial Narrow" w:hAnsi="Arial Narrow"/>
                <w:sz w:val="20"/>
                <w:szCs w:val="20"/>
              </w:rPr>
              <w:t>yrs</w:t>
            </w:r>
            <w:r w:rsidRPr="00BC732E">
              <w:rPr>
                <w:rFonts w:ascii="Arial Narrow" w:hAnsi="Arial Narrow"/>
                <w:sz w:val="20"/>
                <w:szCs w:val="20"/>
              </w:rPr>
              <w:t>, no F508del, treated with ETI; 6 with G85E, 6 with D1152H, 1 with N1303K</w:t>
            </w:r>
          </w:p>
        </w:tc>
        <w:tc>
          <w:tcPr>
            <w:tcW w:w="2126" w:type="dxa"/>
          </w:tcPr>
          <w:p w14:paraId="6C241B69"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NA</w:t>
            </w:r>
          </w:p>
        </w:tc>
      </w:tr>
      <w:tr w:rsidR="00070FFA" w:rsidRPr="00BC732E" w14:paraId="01ACBCB8" w14:textId="77777777" w:rsidTr="00070FFA">
        <w:tc>
          <w:tcPr>
            <w:tcW w:w="1271" w:type="dxa"/>
          </w:tcPr>
          <w:p w14:paraId="6E27E229"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Burgel, 2024</w:t>
            </w:r>
          </w:p>
          <w:p w14:paraId="0B1C4279"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N = 479</w:t>
            </w:r>
          </w:p>
        </w:tc>
        <w:tc>
          <w:tcPr>
            <w:tcW w:w="1985" w:type="dxa"/>
          </w:tcPr>
          <w:p w14:paraId="562ECDEF" w14:textId="77777777" w:rsidR="00070FFA" w:rsidRPr="00BC732E" w:rsidRDefault="00070FFA" w:rsidP="00BB2C9E">
            <w:pPr>
              <w:jc w:val="left"/>
              <w:rPr>
                <w:rFonts w:ascii="Arial Narrow" w:hAnsi="Arial Narrow"/>
                <w:sz w:val="20"/>
                <w:szCs w:val="20"/>
              </w:rPr>
            </w:pPr>
            <w:r w:rsidRPr="00BC732E">
              <w:rPr>
                <w:rFonts w:ascii="Arial Narrow" w:hAnsi="Arial Narrow"/>
                <w:sz w:val="20"/>
                <w:szCs w:val="20"/>
              </w:rPr>
              <w:t>Prospective observational; consecutive patients referred to French Compassionate Access Program.  Between 22 May 2022 and 1 June 2023 required ppFEV</w:t>
            </w:r>
            <w:r w:rsidRPr="005D3FB6">
              <w:rPr>
                <w:rFonts w:ascii="Arial Narrow" w:hAnsi="Arial Narrow"/>
                <w:sz w:val="20"/>
                <w:szCs w:val="20"/>
                <w:vertAlign w:val="subscript"/>
              </w:rPr>
              <w:t>1</w:t>
            </w:r>
            <w:r w:rsidRPr="00BC732E">
              <w:rPr>
                <w:rFonts w:ascii="Arial Narrow" w:hAnsi="Arial Narrow"/>
                <w:sz w:val="20"/>
                <w:szCs w:val="20"/>
              </w:rPr>
              <w:t xml:space="preserve"> &lt; 40 or consideration of transplant, then no severity requirement. 4-6wk treatment. </w:t>
            </w:r>
          </w:p>
        </w:tc>
        <w:tc>
          <w:tcPr>
            <w:tcW w:w="1275" w:type="dxa"/>
          </w:tcPr>
          <w:p w14:paraId="6A11AC5F" w14:textId="2991D119" w:rsidR="00070FFA" w:rsidRPr="00BC732E" w:rsidRDefault="00BB2C9E" w:rsidP="00A14777">
            <w:pPr>
              <w:rPr>
                <w:rFonts w:ascii="Arial Narrow" w:hAnsi="Arial Narrow"/>
                <w:sz w:val="20"/>
                <w:szCs w:val="20"/>
              </w:rPr>
            </w:pPr>
            <w:r>
              <w:rPr>
                <w:rFonts w:ascii="Arial Narrow" w:hAnsi="Arial Narrow"/>
                <w:sz w:val="20"/>
                <w:szCs w:val="20"/>
              </w:rPr>
              <w:t>Hi</w:t>
            </w:r>
            <w:r w:rsidR="00070FFA">
              <w:rPr>
                <w:rFonts w:ascii="Arial Narrow" w:hAnsi="Arial Narrow"/>
                <w:sz w:val="20"/>
                <w:szCs w:val="20"/>
              </w:rPr>
              <w:t>gh</w:t>
            </w:r>
          </w:p>
        </w:tc>
        <w:tc>
          <w:tcPr>
            <w:tcW w:w="2410" w:type="dxa"/>
          </w:tcPr>
          <w:p w14:paraId="5C9F2995" w14:textId="33D361CA" w:rsidR="00070FFA" w:rsidRPr="00BC732E" w:rsidRDefault="00070FFA" w:rsidP="00A14777">
            <w:pPr>
              <w:rPr>
                <w:rFonts w:ascii="Arial Narrow" w:hAnsi="Arial Narrow"/>
                <w:sz w:val="20"/>
                <w:szCs w:val="20"/>
              </w:rPr>
            </w:pPr>
            <w:r w:rsidRPr="00BC732E">
              <w:rPr>
                <w:rFonts w:ascii="Arial Narrow" w:hAnsi="Arial Narrow"/>
                <w:sz w:val="20"/>
                <w:szCs w:val="20"/>
              </w:rPr>
              <w:t xml:space="preserve">CF aged </w:t>
            </w:r>
            <w:r w:rsidRPr="00BC732E">
              <w:rPr>
                <w:rFonts w:ascii="Symbol" w:eastAsia="Symbol" w:hAnsi="Symbol" w:cs="Symbol"/>
                <w:sz w:val="20"/>
                <w:szCs w:val="20"/>
              </w:rPr>
              <w:t>³</w:t>
            </w:r>
            <w:r w:rsidRPr="00BC732E">
              <w:rPr>
                <w:rFonts w:ascii="Arial Narrow" w:hAnsi="Arial Narrow"/>
                <w:sz w:val="20"/>
                <w:szCs w:val="20"/>
              </w:rPr>
              <w:t xml:space="preserve">12 </w:t>
            </w:r>
            <w:r w:rsidR="0007553D">
              <w:rPr>
                <w:rFonts w:ascii="Arial Narrow" w:hAnsi="Arial Narrow"/>
                <w:sz w:val="20"/>
                <w:szCs w:val="20"/>
              </w:rPr>
              <w:t xml:space="preserve">yrs </w:t>
            </w:r>
            <w:r w:rsidRPr="00BC732E">
              <w:rPr>
                <w:rFonts w:ascii="Arial Narrow" w:hAnsi="Arial Narrow"/>
                <w:sz w:val="20"/>
                <w:szCs w:val="20"/>
              </w:rPr>
              <w:t xml:space="preserve">(19% &lt;18); no F508del; 479 total, 443 not receiving CFTRm; 83 had at least one FDA-approved mutation, 360 had no FDA-approved mutation. </w:t>
            </w:r>
          </w:p>
        </w:tc>
        <w:tc>
          <w:tcPr>
            <w:tcW w:w="2126" w:type="dxa"/>
          </w:tcPr>
          <w:p w14:paraId="610B1836" w14:textId="77777777" w:rsidR="00070FFA" w:rsidRPr="00BC732E" w:rsidRDefault="00070FFA" w:rsidP="00A14777">
            <w:pPr>
              <w:rPr>
                <w:rFonts w:ascii="Arial Narrow" w:hAnsi="Arial Narrow"/>
                <w:sz w:val="20"/>
                <w:szCs w:val="20"/>
              </w:rPr>
            </w:pPr>
            <w:r w:rsidRPr="00BC732E">
              <w:rPr>
                <w:rFonts w:ascii="Arial Narrow" w:hAnsi="Arial Narrow"/>
                <w:sz w:val="20"/>
                <w:szCs w:val="20"/>
              </w:rPr>
              <w:t>NA</w:t>
            </w:r>
          </w:p>
        </w:tc>
      </w:tr>
    </w:tbl>
    <w:p w14:paraId="2FC08E4D" w14:textId="5D43D5CA" w:rsidR="00DC11F9" w:rsidRPr="00A3523B" w:rsidRDefault="00045017" w:rsidP="00464596">
      <w:pPr>
        <w:pStyle w:val="TableFigureFooter"/>
      </w:pPr>
      <w:r w:rsidRPr="0098262F">
        <w:t xml:space="preserve">Source: </w:t>
      </w:r>
      <w:r w:rsidR="00DC11F9" w:rsidRPr="00A3523B">
        <w:t>Constructed during the evaluation from published reports. BMI = body mass index; CF = cystic fibrosis;</w:t>
      </w:r>
      <w:r w:rsidR="00DC11F9" w:rsidRPr="00A3523B">
        <w:rPr>
          <w:rFonts w:eastAsiaTheme="minorHAnsi" w:cstheme="minorBidi"/>
          <w:snapToGrid/>
          <w:kern w:val="2"/>
          <w:lang w:eastAsia="en-US"/>
          <w14:ligatures w14:val="standardContextual"/>
        </w:rPr>
        <w:t xml:space="preserve"> </w:t>
      </w:r>
      <w:r w:rsidR="00DC11F9" w:rsidRPr="00A3523B">
        <w:t xml:space="preserve">CFQ-R RD = </w:t>
      </w:r>
      <w:r w:rsidR="00DC11F9" w:rsidRPr="00A3523B">
        <w:rPr>
          <w:lang w:val="en-US"/>
        </w:rPr>
        <w:t>Cystic Fibrosis Questionnaire–Revised respiratory domain</w:t>
      </w:r>
      <w:r w:rsidR="00DC11F9" w:rsidRPr="00A3523B">
        <w:t>; CFTRm = cystic fibrosis transmembrane conductance regulator modifier; DB = double blind; ET</w:t>
      </w:r>
      <w:r w:rsidR="001623A0">
        <w:t>I</w:t>
      </w:r>
      <w:r w:rsidR="00DC11F9" w:rsidRPr="00A3523B">
        <w:t xml:space="preserve"> = elexacaftor/tezacaftor/ivacaftor; MC = multicentre; NA = not applicable; ppFEV</w:t>
      </w:r>
      <w:r w:rsidR="00DC11F9" w:rsidRPr="00A3523B">
        <w:rPr>
          <w:vertAlign w:val="subscript"/>
        </w:rPr>
        <w:t>1</w:t>
      </w:r>
      <w:r w:rsidR="00DC11F9" w:rsidRPr="00A3523B">
        <w:t xml:space="preserve"> = percent predicted forced expiratory volume in one second; R = randomised; SwCl = sweat chloride.  </w:t>
      </w:r>
    </w:p>
    <w:p w14:paraId="091FE057" w14:textId="61C7FE18" w:rsidR="00DC11F9" w:rsidRPr="00464596" w:rsidRDefault="00067939" w:rsidP="00464596">
      <w:pPr>
        <w:pStyle w:val="TableFigureFooter"/>
      </w:pPr>
      <w:r w:rsidRPr="00464596">
        <w:t>1 This Study 124 is not the Study 124 considered by PBAC in November 2023. 2</w:t>
      </w:r>
      <w:r w:rsidR="00DC11F9" w:rsidRPr="00464596">
        <w:t xml:space="preserve"> Data provided only as a Powerpoint presentation.</w:t>
      </w:r>
    </w:p>
    <w:p w14:paraId="4A4FE085" w14:textId="2B18314E" w:rsidR="00B60939" w:rsidRPr="0098262F" w:rsidRDefault="00B60939" w:rsidP="00EC5836">
      <w:pPr>
        <w:pStyle w:val="4-SubsectionHeading"/>
      </w:pPr>
      <w:bookmarkStart w:id="37" w:name="_Toc22897641"/>
      <w:bookmarkStart w:id="38" w:name="_Toc188437183"/>
      <w:r w:rsidRPr="0098262F">
        <w:t>Com</w:t>
      </w:r>
      <w:r w:rsidR="00AD7557">
        <w:t>para</w:t>
      </w:r>
      <w:r w:rsidRPr="0098262F">
        <w:t>tive effectiveness</w:t>
      </w:r>
      <w:bookmarkEnd w:id="37"/>
      <w:bookmarkEnd w:id="38"/>
    </w:p>
    <w:p w14:paraId="03D1FD62" w14:textId="59850A02" w:rsidR="00067939" w:rsidRDefault="00DD4000" w:rsidP="00067939">
      <w:pPr>
        <w:numPr>
          <w:ilvl w:val="1"/>
          <w:numId w:val="1"/>
        </w:numPr>
        <w:spacing w:after="120"/>
        <w:rPr>
          <w:rFonts w:asciiTheme="minorHAnsi" w:hAnsiTheme="minorHAnsi"/>
          <w:iCs/>
          <w:snapToGrid w:val="0"/>
        </w:rPr>
      </w:pPr>
      <w:r>
        <w:t xml:space="preserve">The evidence in the submission was a mixture of clinical evidence based on outcomes previously considered by the PBAC as well as </w:t>
      </w:r>
      <w:r w:rsidRPr="004355C9">
        <w:rPr>
          <w:i/>
          <w:iCs/>
        </w:rPr>
        <w:t>in vitro</w:t>
      </w:r>
      <w:r>
        <w:t xml:space="preserve"> data.  </w:t>
      </w:r>
      <w:r w:rsidR="00213A3A">
        <w:t xml:space="preserve">The PBAC has previously </w:t>
      </w:r>
      <w:r w:rsidR="00213A3A" w:rsidRPr="00A11A29">
        <w:t>accepte</w:t>
      </w:r>
      <w:r w:rsidR="00067939" w:rsidRPr="00A11A29">
        <w:t>d</w:t>
      </w:r>
      <w:r w:rsidR="003C1FE5">
        <w:t xml:space="preserve"> </w:t>
      </w:r>
      <w:r w:rsidR="00A11A29">
        <w:t>change in ppFEV</w:t>
      </w:r>
      <w:r w:rsidR="00A11A29">
        <w:rPr>
          <w:vertAlign w:val="subscript"/>
        </w:rPr>
        <w:t xml:space="preserve">1 </w:t>
      </w:r>
      <w:r w:rsidR="00A11A29">
        <w:t>as establishing evidence of efficacy (</w:t>
      </w:r>
      <w:r w:rsidR="00A11A29" w:rsidRPr="00F91CC3">
        <w:rPr>
          <w:rFonts w:asciiTheme="minorHAnsi" w:hAnsiTheme="minorHAnsi"/>
          <w:iCs/>
          <w:snapToGrid w:val="0"/>
        </w:rPr>
        <w:t xml:space="preserve">para 6.19, lumacaftor/ivacaftor </w:t>
      </w:r>
      <w:r w:rsidR="004F66BE">
        <w:rPr>
          <w:rFonts w:asciiTheme="minorHAnsi" w:hAnsiTheme="minorHAnsi"/>
          <w:iCs/>
          <w:snapToGrid w:val="0"/>
        </w:rPr>
        <w:t>Public Summary Document</w:t>
      </w:r>
      <w:r w:rsidR="002906C8">
        <w:rPr>
          <w:rFonts w:asciiTheme="minorHAnsi" w:hAnsiTheme="minorHAnsi"/>
          <w:iCs/>
          <w:snapToGrid w:val="0"/>
        </w:rPr>
        <w:t xml:space="preserve"> (</w:t>
      </w:r>
      <w:r w:rsidR="00A11A29" w:rsidRPr="00F91CC3">
        <w:rPr>
          <w:rFonts w:asciiTheme="minorHAnsi" w:hAnsiTheme="minorHAnsi"/>
          <w:iCs/>
          <w:snapToGrid w:val="0"/>
        </w:rPr>
        <w:t>PSD</w:t>
      </w:r>
      <w:r w:rsidR="002906C8">
        <w:rPr>
          <w:rFonts w:asciiTheme="minorHAnsi" w:hAnsiTheme="minorHAnsi"/>
          <w:iCs/>
          <w:snapToGrid w:val="0"/>
        </w:rPr>
        <w:t>)</w:t>
      </w:r>
      <w:r w:rsidR="00A11A29" w:rsidRPr="00F91CC3">
        <w:rPr>
          <w:rFonts w:asciiTheme="minorHAnsi" w:hAnsiTheme="minorHAnsi"/>
          <w:iCs/>
          <w:snapToGrid w:val="0"/>
        </w:rPr>
        <w:t xml:space="preserve">, July 2019 PBAC </w:t>
      </w:r>
      <w:r w:rsidR="00AD7557">
        <w:rPr>
          <w:rFonts w:asciiTheme="minorHAnsi" w:hAnsiTheme="minorHAnsi"/>
          <w:iCs/>
          <w:snapToGrid w:val="0"/>
        </w:rPr>
        <w:t>M</w:t>
      </w:r>
      <w:r w:rsidR="00A11A29" w:rsidRPr="00F91CC3">
        <w:rPr>
          <w:rFonts w:asciiTheme="minorHAnsi" w:hAnsiTheme="minorHAnsi"/>
          <w:iCs/>
          <w:snapToGrid w:val="0"/>
        </w:rPr>
        <w:t xml:space="preserve">eeting, para 6.18, ivacaftor PSD, March 2018 PBAC </w:t>
      </w:r>
      <w:r w:rsidR="00AD7557">
        <w:rPr>
          <w:rFonts w:asciiTheme="minorHAnsi" w:hAnsiTheme="minorHAnsi"/>
          <w:iCs/>
          <w:snapToGrid w:val="0"/>
        </w:rPr>
        <w:t>M</w:t>
      </w:r>
      <w:r w:rsidR="00A11A29" w:rsidRPr="00F91CC3">
        <w:rPr>
          <w:rFonts w:asciiTheme="minorHAnsi" w:hAnsiTheme="minorHAnsi"/>
          <w:iCs/>
          <w:snapToGrid w:val="0"/>
        </w:rPr>
        <w:t>eeting</w:t>
      </w:r>
      <w:r w:rsidR="00A11A29">
        <w:rPr>
          <w:iCs/>
          <w:snapToGrid w:val="0"/>
        </w:rPr>
        <w:t>) and that changes in sweat chloride provide evidence of biological activity (</w:t>
      </w:r>
      <w:r w:rsidR="00A11A29" w:rsidRPr="00F91CC3">
        <w:rPr>
          <w:rFonts w:asciiTheme="minorHAnsi" w:hAnsiTheme="minorHAnsi"/>
          <w:iCs/>
          <w:snapToGrid w:val="0"/>
        </w:rPr>
        <w:t>para 6.22, ivacaftor PSD, March 2019 PBAC meeting).</w:t>
      </w:r>
    </w:p>
    <w:p w14:paraId="2BDD588D" w14:textId="5FDC2112" w:rsidR="0014200A" w:rsidRPr="003A1A3E" w:rsidRDefault="0014200A" w:rsidP="0014200A">
      <w:pPr>
        <w:pStyle w:val="3-BodyText"/>
        <w:numPr>
          <w:ilvl w:val="1"/>
          <w:numId w:val="1"/>
        </w:numPr>
      </w:pPr>
      <w:r w:rsidRPr="003A79CB">
        <w:t>The submission suggest</w:t>
      </w:r>
      <w:r>
        <w:t>ed</w:t>
      </w:r>
      <w:r w:rsidRPr="003A79CB">
        <w:t xml:space="preserve"> that any increase in ppFEV</w:t>
      </w:r>
      <w:r w:rsidRPr="00A3523B">
        <w:rPr>
          <w:vertAlign w:val="subscript"/>
        </w:rPr>
        <w:t>1</w:t>
      </w:r>
      <w:r w:rsidRPr="003A79CB">
        <w:t xml:space="preserve"> equal to or greater than the usual annual rate of decline - 1-3% - is clinically important. </w:t>
      </w:r>
      <w:r w:rsidR="00140354">
        <w:t>A</w:t>
      </w:r>
      <w:r w:rsidRPr="00F80764">
        <w:t xml:space="preserve"> clinically significant change in ppFEV</w:t>
      </w:r>
      <w:r w:rsidRPr="00F80764">
        <w:rPr>
          <w:vertAlign w:val="subscript"/>
        </w:rPr>
        <w:t>1</w:t>
      </w:r>
      <w:r w:rsidRPr="00F80764">
        <w:t xml:space="preserve"> of 10 percentage points has</w:t>
      </w:r>
      <w:r w:rsidR="00140354">
        <w:t xml:space="preserve"> been previously</w:t>
      </w:r>
      <w:r w:rsidRPr="00F80764">
        <w:t xml:space="preserve"> used as the MCID by PBAC </w:t>
      </w:r>
      <w:r w:rsidRPr="003A1A3E">
        <w:t>(para 6.10, ELX/TEZ/IVA PSD, November 2022 PBAC Meeting with March 2023 Addendum; para 6.22, ivacaftor PSD, November 2023 PBAC Meeting).</w:t>
      </w:r>
    </w:p>
    <w:p w14:paraId="30AC9668" w14:textId="48EDF053" w:rsidR="00871E27" w:rsidRPr="003A1A3E" w:rsidRDefault="001623A0" w:rsidP="00DD4000">
      <w:pPr>
        <w:pStyle w:val="3-BodyText"/>
        <w:numPr>
          <w:ilvl w:val="1"/>
          <w:numId w:val="1"/>
        </w:numPr>
      </w:pPr>
      <w:r w:rsidRPr="003A1A3E">
        <w:t>T</w:t>
      </w:r>
      <w:r w:rsidR="00871E27" w:rsidRPr="003A1A3E">
        <w:t>he submission propose</w:t>
      </w:r>
      <w:r w:rsidRPr="003A1A3E">
        <w:t>d</w:t>
      </w:r>
      <w:r w:rsidR="00871E27" w:rsidRPr="003A1A3E">
        <w:t xml:space="preserve"> listing of ELX/TEZ/IVA for patients with </w:t>
      </w:r>
      <w:r w:rsidR="00871E27" w:rsidRPr="003A1A3E">
        <w:rPr>
          <w:i/>
          <w:iCs/>
        </w:rPr>
        <w:t>N1303K</w:t>
      </w:r>
      <w:r w:rsidR="00CE3763" w:rsidRPr="003A1A3E">
        <w:rPr>
          <w:i/>
          <w:iCs/>
        </w:rPr>
        <w:t xml:space="preserve"> </w:t>
      </w:r>
      <w:r w:rsidR="00CE3763" w:rsidRPr="003A1A3E">
        <w:t>mutation</w:t>
      </w:r>
      <w:r w:rsidR="00823301" w:rsidRPr="003A1A3E">
        <w:t>. T</w:t>
      </w:r>
      <w:r w:rsidR="00871E27" w:rsidRPr="003A1A3E">
        <w:t>his mutation does not respond in the FRT assay and most patients treated with ELX/TEZ/IVA do not show a fall in sweat chloride</w:t>
      </w:r>
      <w:r w:rsidRPr="003A1A3E">
        <w:t>, so the question</w:t>
      </w:r>
      <w:r w:rsidR="00F65C0E" w:rsidRPr="003A1A3E">
        <w:t>s</w:t>
      </w:r>
      <w:r w:rsidRPr="003A1A3E">
        <w:t xml:space="preserve"> of the clinical relevance o</w:t>
      </w:r>
      <w:r w:rsidR="00F65C0E" w:rsidRPr="003A1A3E">
        <w:t>r of the</w:t>
      </w:r>
      <w:r w:rsidRPr="003A1A3E">
        <w:t xml:space="preserve"> MCID for sweat chloride </w:t>
      </w:r>
      <w:r w:rsidR="00F65C0E" w:rsidRPr="003A1A3E">
        <w:t>are</w:t>
      </w:r>
      <w:r w:rsidRPr="003A1A3E">
        <w:t xml:space="preserve"> </w:t>
      </w:r>
      <w:r w:rsidR="00823301" w:rsidRPr="003A1A3E">
        <w:t>irrelevant</w:t>
      </w:r>
      <w:r w:rsidRPr="003A1A3E">
        <w:t xml:space="preserve"> in relation to </w:t>
      </w:r>
      <w:r w:rsidR="0014200A" w:rsidRPr="003A1A3E">
        <w:t>this submission.</w:t>
      </w:r>
    </w:p>
    <w:p w14:paraId="410B19C2" w14:textId="6BA0D60B" w:rsidR="00345E49" w:rsidRDefault="00345E49" w:rsidP="00345E49">
      <w:pPr>
        <w:pStyle w:val="3-BodyText"/>
      </w:pPr>
      <w:r>
        <w:t xml:space="preserve">The key results from </w:t>
      </w:r>
      <w:r w:rsidRPr="00BC732E">
        <w:t>Study 124</w:t>
      </w:r>
      <w:r>
        <w:t xml:space="preserve"> (</w:t>
      </w:r>
      <w:r w:rsidRPr="00BC732E">
        <w:t>VX21-445-124</w:t>
      </w:r>
      <w:r>
        <w:t xml:space="preserve">) are shown in </w:t>
      </w:r>
      <w:r>
        <w:fldChar w:fldCharType="begin"/>
      </w:r>
      <w:r>
        <w:instrText xml:space="preserve"> REF _Ref187744758 \h </w:instrText>
      </w:r>
      <w:r>
        <w:fldChar w:fldCharType="separate"/>
      </w:r>
      <w:r w:rsidR="00343156">
        <w:t xml:space="preserve">Table </w:t>
      </w:r>
      <w:r>
        <w:fldChar w:fldCharType="end"/>
      </w:r>
      <w:r>
        <w:t xml:space="preserve"> . </w:t>
      </w:r>
    </w:p>
    <w:p w14:paraId="228A7FA7" w14:textId="019C6A2F" w:rsidR="00345E49" w:rsidRDefault="00345E49" w:rsidP="00A85C80">
      <w:pPr>
        <w:pStyle w:val="3-BodyText"/>
      </w:pPr>
      <w:r w:rsidRPr="007105D3">
        <w:lastRenderedPageBreak/>
        <w:t xml:space="preserve">In the population as a whole, </w:t>
      </w:r>
      <w:r>
        <w:t>ELX/TEZ/IVA</w:t>
      </w:r>
      <w:r w:rsidRPr="007105D3">
        <w:t xml:space="preserve"> treatment was associated with statistically significant </w:t>
      </w:r>
      <w:r>
        <w:t>decreases</w:t>
      </w:r>
      <w:r w:rsidRPr="007105D3">
        <w:t xml:space="preserve"> in sweat chloride and </w:t>
      </w:r>
      <w:r>
        <w:t xml:space="preserve">increases </w:t>
      </w:r>
      <w:r w:rsidRPr="007105D3">
        <w:t>in ppFEV</w:t>
      </w:r>
      <w:r w:rsidRPr="00897630">
        <w:rPr>
          <w:vertAlign w:val="subscript"/>
        </w:rPr>
        <w:t>1</w:t>
      </w:r>
      <w:r w:rsidRPr="007105D3">
        <w:t>, CFQ-RD R scores and BMI. The effect size was similar in the population as a whole and in the pre-specified mutation subgroups. The effect sizes were similar to those seen in the clinical trials of ivacaftor for responsive mutations</w:t>
      </w:r>
      <w:r>
        <w:t>, where ppFEV</w:t>
      </w:r>
      <w:r w:rsidRPr="00897630">
        <w:rPr>
          <w:vertAlign w:val="subscript"/>
        </w:rPr>
        <w:t>1</w:t>
      </w:r>
      <w:r>
        <w:t xml:space="preserve"> increased by 10-12 percentage points</w:t>
      </w:r>
      <w:r w:rsidRPr="007105D3">
        <w:t xml:space="preserve">. </w:t>
      </w:r>
    </w:p>
    <w:p w14:paraId="620866CD" w14:textId="74460243" w:rsidR="00345E49" w:rsidRPr="00067939" w:rsidRDefault="00345E49" w:rsidP="00345E49">
      <w:pPr>
        <w:pStyle w:val="TableFigureHeading"/>
      </w:pPr>
      <w:bookmarkStart w:id="39" w:name="_Ref187744758"/>
      <w:r>
        <w:t xml:space="preserve">Table </w:t>
      </w:r>
      <w:bookmarkEnd w:id="39"/>
      <w:r w:rsidR="00F8790A">
        <w:t>7</w:t>
      </w:r>
      <w:r>
        <w:t xml:space="preserve">: </w:t>
      </w:r>
      <w:r w:rsidRPr="00067939">
        <w:t>Efficacy Outcomes in Trial VX21-445-124</w:t>
      </w:r>
    </w:p>
    <w:tbl>
      <w:tblPr>
        <w:tblStyle w:val="TableGrid"/>
        <w:tblW w:w="0" w:type="auto"/>
        <w:tblLook w:val="04A0" w:firstRow="1" w:lastRow="0" w:firstColumn="1" w:lastColumn="0" w:noHBand="0" w:noVBand="1"/>
      </w:tblPr>
      <w:tblGrid>
        <w:gridCol w:w="3114"/>
        <w:gridCol w:w="1843"/>
        <w:gridCol w:w="2126"/>
        <w:gridCol w:w="1933"/>
      </w:tblGrid>
      <w:tr w:rsidR="00345E49" w14:paraId="3CA43E19" w14:textId="77777777" w:rsidTr="00A14777">
        <w:tc>
          <w:tcPr>
            <w:tcW w:w="3114" w:type="dxa"/>
          </w:tcPr>
          <w:p w14:paraId="775CA8ED" w14:textId="77777777" w:rsidR="00345E49" w:rsidRDefault="00345E49" w:rsidP="00A14777">
            <w:pPr>
              <w:pStyle w:val="TableText"/>
            </w:pPr>
          </w:p>
        </w:tc>
        <w:tc>
          <w:tcPr>
            <w:tcW w:w="1843" w:type="dxa"/>
          </w:tcPr>
          <w:p w14:paraId="38C996DE" w14:textId="77777777" w:rsidR="00345E49" w:rsidRPr="00A35E40" w:rsidRDefault="00345E49" w:rsidP="00A14777">
            <w:pPr>
              <w:pStyle w:val="TableText"/>
              <w:rPr>
                <w:b/>
              </w:rPr>
            </w:pPr>
            <w:r w:rsidRPr="00A35E40">
              <w:rPr>
                <w:b/>
              </w:rPr>
              <w:t>Placebo</w:t>
            </w:r>
          </w:p>
          <w:p w14:paraId="28AD8569" w14:textId="77777777" w:rsidR="00345E49" w:rsidRPr="00A35E40" w:rsidRDefault="00345E49" w:rsidP="00A14777">
            <w:pPr>
              <w:pStyle w:val="TableText"/>
              <w:rPr>
                <w:b/>
              </w:rPr>
            </w:pPr>
            <w:r w:rsidRPr="00A35E40">
              <w:rPr>
                <w:b/>
              </w:rPr>
              <w:t>N= 102</w:t>
            </w:r>
          </w:p>
        </w:tc>
        <w:tc>
          <w:tcPr>
            <w:tcW w:w="2126" w:type="dxa"/>
          </w:tcPr>
          <w:p w14:paraId="23E3E0EB" w14:textId="77777777" w:rsidR="00345E49" w:rsidRPr="00A35E40" w:rsidRDefault="00345E49" w:rsidP="00A14777">
            <w:pPr>
              <w:pStyle w:val="TableText"/>
              <w:rPr>
                <w:b/>
              </w:rPr>
            </w:pPr>
            <w:r w:rsidRPr="00A35E40">
              <w:rPr>
                <w:b/>
              </w:rPr>
              <w:t>ETI</w:t>
            </w:r>
          </w:p>
          <w:p w14:paraId="78384DB1" w14:textId="77777777" w:rsidR="00345E49" w:rsidRPr="00A35E40" w:rsidRDefault="00345E49" w:rsidP="00A14777">
            <w:pPr>
              <w:pStyle w:val="TableText"/>
              <w:rPr>
                <w:b/>
              </w:rPr>
            </w:pPr>
            <w:r w:rsidRPr="00A35E40">
              <w:rPr>
                <w:b/>
              </w:rPr>
              <w:t>N = 205</w:t>
            </w:r>
          </w:p>
        </w:tc>
        <w:tc>
          <w:tcPr>
            <w:tcW w:w="1933" w:type="dxa"/>
          </w:tcPr>
          <w:p w14:paraId="23097397" w14:textId="77777777" w:rsidR="00345E49" w:rsidRPr="00A35E40" w:rsidRDefault="00345E49" w:rsidP="00A14777">
            <w:pPr>
              <w:pStyle w:val="TableText"/>
              <w:rPr>
                <w:b/>
              </w:rPr>
            </w:pPr>
            <w:r w:rsidRPr="00A35E40">
              <w:rPr>
                <w:b/>
              </w:rPr>
              <w:t>LS Mean Difference (95% CI)</w:t>
            </w:r>
          </w:p>
        </w:tc>
      </w:tr>
      <w:tr w:rsidR="00345E49" w14:paraId="15AB9A43" w14:textId="77777777" w:rsidTr="00A14777">
        <w:tc>
          <w:tcPr>
            <w:tcW w:w="3114" w:type="dxa"/>
          </w:tcPr>
          <w:p w14:paraId="03EF218C" w14:textId="77777777" w:rsidR="00345E49" w:rsidRPr="00E44ACA" w:rsidRDefault="00345E49" w:rsidP="00A14777">
            <w:pPr>
              <w:pStyle w:val="TableText"/>
            </w:pPr>
            <w:r w:rsidRPr="00E44ACA">
              <w:t>ppFEV</w:t>
            </w:r>
            <w:r w:rsidRPr="00E44ACA">
              <w:rPr>
                <w:vertAlign w:val="subscript"/>
              </w:rPr>
              <w:t>1</w:t>
            </w:r>
            <w:r w:rsidRPr="00E44ACA">
              <w:t xml:space="preserve"> </w:t>
            </w:r>
          </w:p>
          <w:p w14:paraId="07E6B0E2" w14:textId="77777777" w:rsidR="00345E49" w:rsidRPr="00E44ACA" w:rsidRDefault="00345E49" w:rsidP="00A14777">
            <w:pPr>
              <w:pStyle w:val="TableText"/>
            </w:pPr>
            <w:r w:rsidRPr="00E44ACA">
              <w:t xml:space="preserve"> Baseline, mean (SD)</w:t>
            </w:r>
          </w:p>
          <w:p w14:paraId="381C8A58" w14:textId="77777777" w:rsidR="00345E49" w:rsidRPr="00E44ACA" w:rsidRDefault="00345E49" w:rsidP="00A14777">
            <w:pPr>
              <w:pStyle w:val="TableText"/>
            </w:pPr>
            <w:r w:rsidRPr="00E44ACA">
              <w:t>Change to 24 wk, LS mean (95% CI)</w:t>
            </w:r>
          </w:p>
        </w:tc>
        <w:tc>
          <w:tcPr>
            <w:tcW w:w="1843" w:type="dxa"/>
          </w:tcPr>
          <w:p w14:paraId="39F42D4F" w14:textId="77777777" w:rsidR="00345E49" w:rsidRPr="00E44ACA" w:rsidRDefault="00345E49" w:rsidP="00A14777">
            <w:pPr>
              <w:pStyle w:val="TableText"/>
            </w:pPr>
          </w:p>
          <w:p w14:paraId="677AF348" w14:textId="77777777" w:rsidR="00345E49" w:rsidRPr="00E44ACA" w:rsidRDefault="00345E49" w:rsidP="00A14777">
            <w:pPr>
              <w:pStyle w:val="TableText"/>
            </w:pPr>
            <w:r w:rsidRPr="00E44ACA">
              <w:t>68.1 (18.1)</w:t>
            </w:r>
          </w:p>
          <w:p w14:paraId="72D40B36" w14:textId="77777777" w:rsidR="00345E49" w:rsidRPr="00E44ACA" w:rsidRDefault="00345E49" w:rsidP="00A14777">
            <w:pPr>
              <w:pStyle w:val="TableText"/>
            </w:pPr>
            <w:r w:rsidRPr="00E44ACA">
              <w:t>-0.4 (-2.0, 1.3)</w:t>
            </w:r>
          </w:p>
        </w:tc>
        <w:tc>
          <w:tcPr>
            <w:tcW w:w="2126" w:type="dxa"/>
          </w:tcPr>
          <w:p w14:paraId="4BBF12B3" w14:textId="77777777" w:rsidR="00345E49" w:rsidRPr="00E44ACA" w:rsidRDefault="00345E49" w:rsidP="00A14777">
            <w:pPr>
              <w:pStyle w:val="TableText"/>
            </w:pPr>
          </w:p>
          <w:p w14:paraId="7C3D2F12" w14:textId="77777777" w:rsidR="00345E49" w:rsidRPr="00E44ACA" w:rsidRDefault="00345E49" w:rsidP="00A14777">
            <w:pPr>
              <w:pStyle w:val="TableText"/>
            </w:pPr>
            <w:r w:rsidRPr="00E44ACA">
              <w:t>67.5 (17.6)</w:t>
            </w:r>
          </w:p>
          <w:p w14:paraId="5243C1C5" w14:textId="77777777" w:rsidR="00345E49" w:rsidRPr="00E44ACA" w:rsidRDefault="00345E49" w:rsidP="00A14777">
            <w:pPr>
              <w:pStyle w:val="TableText"/>
            </w:pPr>
            <w:r w:rsidRPr="00E44ACA">
              <w:t>8.9 (7.7, 10.0)</w:t>
            </w:r>
          </w:p>
        </w:tc>
        <w:tc>
          <w:tcPr>
            <w:tcW w:w="1933" w:type="dxa"/>
          </w:tcPr>
          <w:p w14:paraId="0C6D828E" w14:textId="77777777" w:rsidR="00345E49" w:rsidRPr="00E44ACA" w:rsidRDefault="00345E49" w:rsidP="00A14777">
            <w:pPr>
              <w:pStyle w:val="TableText"/>
            </w:pPr>
          </w:p>
          <w:p w14:paraId="603628D9" w14:textId="77777777" w:rsidR="00345E49" w:rsidRPr="00E44ACA" w:rsidRDefault="00345E49" w:rsidP="00A14777">
            <w:pPr>
              <w:pStyle w:val="TableText"/>
            </w:pPr>
          </w:p>
          <w:p w14:paraId="18C9ED91" w14:textId="77777777" w:rsidR="00345E49" w:rsidRPr="00E44ACA" w:rsidRDefault="00345E49" w:rsidP="00A14777">
            <w:pPr>
              <w:pStyle w:val="TableText"/>
            </w:pPr>
            <w:r w:rsidRPr="00E44ACA">
              <w:t>9.2 (7.1, 11.3)</w:t>
            </w:r>
          </w:p>
        </w:tc>
      </w:tr>
      <w:tr w:rsidR="00345E49" w14:paraId="050FC8AC" w14:textId="77777777" w:rsidTr="00A14777">
        <w:tc>
          <w:tcPr>
            <w:tcW w:w="3114" w:type="dxa"/>
          </w:tcPr>
          <w:p w14:paraId="7349B3DC" w14:textId="77777777" w:rsidR="00345E49" w:rsidRPr="00E44ACA" w:rsidRDefault="00345E49" w:rsidP="00A14777">
            <w:pPr>
              <w:pStyle w:val="TableText"/>
            </w:pPr>
            <w:r w:rsidRPr="00E44ACA">
              <w:t>Sweat Chloride</w:t>
            </w:r>
          </w:p>
          <w:p w14:paraId="6D85EF9D" w14:textId="77777777" w:rsidR="00345E49" w:rsidRPr="00E44ACA" w:rsidRDefault="00345E49" w:rsidP="00A14777">
            <w:pPr>
              <w:pStyle w:val="TableText"/>
            </w:pPr>
            <w:r w:rsidRPr="00E44ACA">
              <w:t>Baseline, mean (SD)</w:t>
            </w:r>
          </w:p>
          <w:p w14:paraId="46463B11" w14:textId="77777777" w:rsidR="00345E49" w:rsidRPr="00E44ACA" w:rsidRDefault="00345E49" w:rsidP="00A14777">
            <w:pPr>
              <w:pStyle w:val="TableText"/>
            </w:pPr>
            <w:r w:rsidRPr="00E44ACA">
              <w:t>Change to 24wk, LS mean (95% CI)</w:t>
            </w:r>
          </w:p>
        </w:tc>
        <w:tc>
          <w:tcPr>
            <w:tcW w:w="1843" w:type="dxa"/>
          </w:tcPr>
          <w:p w14:paraId="0F54DDB6" w14:textId="77777777" w:rsidR="00345E49" w:rsidRPr="00E44ACA" w:rsidRDefault="00345E49" w:rsidP="00A14777">
            <w:pPr>
              <w:pStyle w:val="TableText"/>
            </w:pPr>
          </w:p>
          <w:p w14:paraId="45CA3D20" w14:textId="77777777" w:rsidR="00345E49" w:rsidRPr="00E44ACA" w:rsidRDefault="00345E49" w:rsidP="00A14777">
            <w:pPr>
              <w:pStyle w:val="TableText"/>
            </w:pPr>
            <w:r w:rsidRPr="00E44ACA">
              <w:t>75.2 (28.7)</w:t>
            </w:r>
          </w:p>
          <w:p w14:paraId="7A97BC54" w14:textId="77777777" w:rsidR="00345E49" w:rsidRPr="00E44ACA" w:rsidRDefault="00345E49" w:rsidP="00A14777">
            <w:pPr>
              <w:pStyle w:val="TableText"/>
            </w:pPr>
            <w:r w:rsidRPr="00E44ACA">
              <w:t>0.5 (-2.6, 3.6)</w:t>
            </w:r>
          </w:p>
        </w:tc>
        <w:tc>
          <w:tcPr>
            <w:tcW w:w="2126" w:type="dxa"/>
          </w:tcPr>
          <w:p w14:paraId="2A20DC33" w14:textId="77777777" w:rsidR="00345E49" w:rsidRPr="00E44ACA" w:rsidRDefault="00345E49" w:rsidP="00A14777">
            <w:pPr>
              <w:pStyle w:val="TableText"/>
            </w:pPr>
          </w:p>
          <w:p w14:paraId="49AC69C4" w14:textId="77777777" w:rsidR="00345E49" w:rsidRPr="00E44ACA" w:rsidRDefault="00345E49" w:rsidP="00A14777">
            <w:pPr>
              <w:pStyle w:val="TableText"/>
            </w:pPr>
            <w:r w:rsidRPr="00E44ACA">
              <w:t>79.5 (26.9)</w:t>
            </w:r>
          </w:p>
          <w:p w14:paraId="76626ADA" w14:textId="77777777" w:rsidR="00345E49" w:rsidRPr="00E44ACA" w:rsidRDefault="00345E49" w:rsidP="00A14777">
            <w:pPr>
              <w:pStyle w:val="TableText"/>
            </w:pPr>
            <w:r w:rsidRPr="00E44ACA">
              <w:t>-27.8 (-30.0, -25.6)</w:t>
            </w:r>
          </w:p>
        </w:tc>
        <w:tc>
          <w:tcPr>
            <w:tcW w:w="1933" w:type="dxa"/>
          </w:tcPr>
          <w:p w14:paraId="38AA278E" w14:textId="77777777" w:rsidR="00345E49" w:rsidRPr="00E44ACA" w:rsidRDefault="00345E49" w:rsidP="00A14777">
            <w:pPr>
              <w:pStyle w:val="TableText"/>
            </w:pPr>
          </w:p>
          <w:p w14:paraId="72BC3DE3" w14:textId="77777777" w:rsidR="00345E49" w:rsidRPr="00E44ACA" w:rsidRDefault="00345E49" w:rsidP="00A14777">
            <w:pPr>
              <w:pStyle w:val="TableText"/>
            </w:pPr>
          </w:p>
          <w:p w14:paraId="3A9F1C5C" w14:textId="77777777" w:rsidR="00345E49" w:rsidRPr="00E44ACA" w:rsidRDefault="00345E49" w:rsidP="00A14777">
            <w:pPr>
              <w:pStyle w:val="TableText"/>
            </w:pPr>
            <w:r w:rsidRPr="00E44ACA">
              <w:t>-28.3 (-32.1, -24.5)</w:t>
            </w:r>
          </w:p>
        </w:tc>
      </w:tr>
      <w:tr w:rsidR="00345E49" w14:paraId="15BE5608" w14:textId="77777777" w:rsidTr="00A14777">
        <w:tc>
          <w:tcPr>
            <w:tcW w:w="3114" w:type="dxa"/>
          </w:tcPr>
          <w:p w14:paraId="49921A64" w14:textId="77777777" w:rsidR="00345E49" w:rsidRPr="00E44ACA" w:rsidRDefault="00345E49" w:rsidP="00A14777">
            <w:pPr>
              <w:pStyle w:val="TableText"/>
            </w:pPr>
            <w:r w:rsidRPr="00E44ACA">
              <w:t>BMI</w:t>
            </w:r>
          </w:p>
          <w:p w14:paraId="050B591B" w14:textId="77777777" w:rsidR="00345E49" w:rsidRPr="00E44ACA" w:rsidRDefault="00345E49" w:rsidP="00A14777">
            <w:pPr>
              <w:pStyle w:val="TableText"/>
            </w:pPr>
            <w:r w:rsidRPr="00E44ACA">
              <w:t>Baseline, mean (SD)</w:t>
            </w:r>
          </w:p>
          <w:p w14:paraId="1F660E11" w14:textId="77777777" w:rsidR="00345E49" w:rsidRPr="00E44ACA" w:rsidRDefault="00345E49" w:rsidP="00A14777">
            <w:pPr>
              <w:pStyle w:val="TableText"/>
            </w:pPr>
            <w:r w:rsidRPr="00E44ACA">
              <w:t>Change to 24wk, LS mean (95% CI)</w:t>
            </w:r>
          </w:p>
        </w:tc>
        <w:tc>
          <w:tcPr>
            <w:tcW w:w="1843" w:type="dxa"/>
          </w:tcPr>
          <w:p w14:paraId="293670ED" w14:textId="77777777" w:rsidR="00345E49" w:rsidRPr="00E44ACA" w:rsidRDefault="00345E49" w:rsidP="00A14777">
            <w:pPr>
              <w:pStyle w:val="TableText"/>
            </w:pPr>
          </w:p>
          <w:p w14:paraId="28970A44" w14:textId="77777777" w:rsidR="00345E49" w:rsidRPr="00E44ACA" w:rsidRDefault="00345E49" w:rsidP="00A14777">
            <w:pPr>
              <w:pStyle w:val="TableText"/>
            </w:pPr>
            <w:r w:rsidRPr="00E44ACA">
              <w:t>22.5 (4.2)</w:t>
            </w:r>
          </w:p>
          <w:p w14:paraId="4571A832" w14:textId="77777777" w:rsidR="00345E49" w:rsidRPr="00E44ACA" w:rsidRDefault="00345E49" w:rsidP="00A14777">
            <w:pPr>
              <w:pStyle w:val="TableText"/>
            </w:pPr>
            <w:r w:rsidRPr="00E44ACA">
              <w:t>0.35 (0.16, 0.53)</w:t>
            </w:r>
          </w:p>
        </w:tc>
        <w:tc>
          <w:tcPr>
            <w:tcW w:w="2126" w:type="dxa"/>
          </w:tcPr>
          <w:p w14:paraId="344E69AB" w14:textId="77777777" w:rsidR="00345E49" w:rsidRPr="00E44ACA" w:rsidRDefault="00345E49" w:rsidP="00A14777">
            <w:pPr>
              <w:pStyle w:val="TableText"/>
            </w:pPr>
          </w:p>
          <w:p w14:paraId="3F38A75A" w14:textId="77777777" w:rsidR="00345E49" w:rsidRPr="00E44ACA" w:rsidRDefault="00345E49" w:rsidP="00A14777">
            <w:pPr>
              <w:pStyle w:val="TableText"/>
            </w:pPr>
            <w:r w:rsidRPr="00E44ACA">
              <w:t>22.4 (4.6)</w:t>
            </w:r>
          </w:p>
          <w:p w14:paraId="7B79068D" w14:textId="77777777" w:rsidR="00345E49" w:rsidRPr="00E44ACA" w:rsidRDefault="00345E49" w:rsidP="00A14777">
            <w:pPr>
              <w:pStyle w:val="TableText"/>
            </w:pPr>
            <w:r w:rsidRPr="00E44ACA">
              <w:t>0.81 (0.68, 0.94)</w:t>
            </w:r>
          </w:p>
        </w:tc>
        <w:tc>
          <w:tcPr>
            <w:tcW w:w="1933" w:type="dxa"/>
          </w:tcPr>
          <w:p w14:paraId="6CFD4DC6" w14:textId="77777777" w:rsidR="00345E49" w:rsidRPr="00E44ACA" w:rsidRDefault="00345E49" w:rsidP="00A14777">
            <w:pPr>
              <w:pStyle w:val="TableText"/>
            </w:pPr>
          </w:p>
          <w:p w14:paraId="4C9D9D30" w14:textId="77777777" w:rsidR="00345E49" w:rsidRPr="00E44ACA" w:rsidRDefault="00345E49" w:rsidP="00A14777">
            <w:pPr>
              <w:pStyle w:val="TableText"/>
            </w:pPr>
          </w:p>
          <w:p w14:paraId="55A428CE" w14:textId="77777777" w:rsidR="00345E49" w:rsidRPr="00E44ACA" w:rsidRDefault="00345E49" w:rsidP="00A14777">
            <w:pPr>
              <w:pStyle w:val="TableText"/>
            </w:pPr>
            <w:r w:rsidRPr="00E44ACA">
              <w:t>0.47 (0.24, 0.69)</w:t>
            </w:r>
          </w:p>
        </w:tc>
      </w:tr>
      <w:tr w:rsidR="00345E49" w14:paraId="777129E9" w14:textId="77777777" w:rsidTr="00A14777">
        <w:tc>
          <w:tcPr>
            <w:tcW w:w="3114" w:type="dxa"/>
          </w:tcPr>
          <w:p w14:paraId="41F739A9" w14:textId="77777777" w:rsidR="00345E49" w:rsidRPr="00E44ACA" w:rsidRDefault="00345E49" w:rsidP="00A14777">
            <w:pPr>
              <w:pStyle w:val="TableText"/>
            </w:pPr>
            <w:r w:rsidRPr="00E44ACA">
              <w:t>CFQ-R RD Score</w:t>
            </w:r>
          </w:p>
          <w:p w14:paraId="446BF08B" w14:textId="77777777" w:rsidR="00345E49" w:rsidRPr="00E44ACA" w:rsidRDefault="00345E49" w:rsidP="00A14777">
            <w:pPr>
              <w:pStyle w:val="TableText"/>
            </w:pPr>
            <w:r w:rsidRPr="00E44ACA">
              <w:t>Baseline, mean (SD)</w:t>
            </w:r>
          </w:p>
          <w:p w14:paraId="7BF7F0C4" w14:textId="77777777" w:rsidR="00345E49" w:rsidRPr="00E44ACA" w:rsidRDefault="00345E49" w:rsidP="00A14777">
            <w:pPr>
              <w:pStyle w:val="TableText"/>
            </w:pPr>
            <w:r w:rsidRPr="00E44ACA">
              <w:t>Change to 24wk, LS mean (95% CI)</w:t>
            </w:r>
          </w:p>
        </w:tc>
        <w:tc>
          <w:tcPr>
            <w:tcW w:w="1843" w:type="dxa"/>
          </w:tcPr>
          <w:p w14:paraId="71DC7B19" w14:textId="77777777" w:rsidR="00345E49" w:rsidRPr="00E44ACA" w:rsidRDefault="00345E49" w:rsidP="00A14777">
            <w:pPr>
              <w:pStyle w:val="TableText"/>
            </w:pPr>
          </w:p>
          <w:p w14:paraId="326B5D80" w14:textId="77777777" w:rsidR="00345E49" w:rsidRPr="00E44ACA" w:rsidRDefault="00345E49" w:rsidP="00A14777">
            <w:pPr>
              <w:pStyle w:val="TableText"/>
            </w:pPr>
            <w:r w:rsidRPr="00E44ACA">
              <w:t>65.8 (21.3)</w:t>
            </w:r>
          </w:p>
          <w:p w14:paraId="5BEED53C" w14:textId="77777777" w:rsidR="00345E49" w:rsidRPr="00E44ACA" w:rsidRDefault="00345E49" w:rsidP="00A14777">
            <w:pPr>
              <w:pStyle w:val="TableText"/>
            </w:pPr>
            <w:r w:rsidRPr="00E44ACA">
              <w:t>-2.0 (-5.2, 1.3)</w:t>
            </w:r>
          </w:p>
        </w:tc>
        <w:tc>
          <w:tcPr>
            <w:tcW w:w="2126" w:type="dxa"/>
          </w:tcPr>
          <w:p w14:paraId="7477418D" w14:textId="77777777" w:rsidR="00345E49" w:rsidRPr="00E44ACA" w:rsidRDefault="00345E49" w:rsidP="00A14777">
            <w:pPr>
              <w:pStyle w:val="TableText"/>
            </w:pPr>
          </w:p>
          <w:p w14:paraId="1E1AA780" w14:textId="77777777" w:rsidR="00345E49" w:rsidRPr="00E44ACA" w:rsidRDefault="00345E49" w:rsidP="00A14777">
            <w:pPr>
              <w:pStyle w:val="TableText"/>
            </w:pPr>
            <w:r w:rsidRPr="00E44ACA">
              <w:t>64.1 (20.7)</w:t>
            </w:r>
          </w:p>
          <w:p w14:paraId="7F9894EA" w14:textId="77777777" w:rsidR="00345E49" w:rsidRPr="00E44ACA" w:rsidRDefault="00345E49" w:rsidP="00A14777">
            <w:pPr>
              <w:pStyle w:val="TableText"/>
            </w:pPr>
            <w:r w:rsidRPr="00E44ACA">
              <w:t>17.5 (15.2, 19.8)</w:t>
            </w:r>
          </w:p>
        </w:tc>
        <w:tc>
          <w:tcPr>
            <w:tcW w:w="1933" w:type="dxa"/>
          </w:tcPr>
          <w:p w14:paraId="1B95D6C9" w14:textId="77777777" w:rsidR="00345E49" w:rsidRPr="00E44ACA" w:rsidRDefault="00345E49" w:rsidP="00A14777">
            <w:pPr>
              <w:pStyle w:val="TableText"/>
            </w:pPr>
          </w:p>
          <w:p w14:paraId="5E5DA792" w14:textId="77777777" w:rsidR="00345E49" w:rsidRPr="00E44ACA" w:rsidRDefault="00345E49" w:rsidP="00A14777">
            <w:pPr>
              <w:pStyle w:val="TableText"/>
            </w:pPr>
          </w:p>
          <w:p w14:paraId="49F281FA" w14:textId="77777777" w:rsidR="00345E49" w:rsidRPr="00E44ACA" w:rsidRDefault="00345E49" w:rsidP="00A14777">
            <w:pPr>
              <w:pStyle w:val="TableText"/>
            </w:pPr>
            <w:r w:rsidRPr="00E44ACA">
              <w:t>19.5 (15.5, 23.5)</w:t>
            </w:r>
          </w:p>
        </w:tc>
      </w:tr>
      <w:tr w:rsidR="00345E49" w14:paraId="28B30266" w14:textId="77777777" w:rsidTr="00A14777">
        <w:tc>
          <w:tcPr>
            <w:tcW w:w="3114" w:type="dxa"/>
          </w:tcPr>
          <w:p w14:paraId="4B61C488" w14:textId="77777777" w:rsidR="00345E49" w:rsidRPr="00E44ACA" w:rsidRDefault="00345E49" w:rsidP="00A14777">
            <w:pPr>
              <w:pStyle w:val="TableText"/>
            </w:pPr>
            <w:r w:rsidRPr="00E44ACA">
              <w:t>Pulmonary Exacerbations</w:t>
            </w:r>
          </w:p>
          <w:p w14:paraId="00BD7D09" w14:textId="77777777" w:rsidR="00345E49" w:rsidRPr="00E44ACA" w:rsidRDefault="00345E49" w:rsidP="00A14777">
            <w:pPr>
              <w:pStyle w:val="TableText"/>
            </w:pPr>
            <w:r w:rsidRPr="00E44ACA">
              <w:t>Subjects with Events, n (%)</w:t>
            </w:r>
          </w:p>
          <w:p w14:paraId="00727DC4" w14:textId="77777777" w:rsidR="00345E49" w:rsidRPr="00E44ACA" w:rsidRDefault="00345E49" w:rsidP="00A14777">
            <w:pPr>
              <w:pStyle w:val="TableText"/>
            </w:pPr>
            <w:r w:rsidRPr="00E44ACA">
              <w:t>Number of Events</w:t>
            </w:r>
          </w:p>
          <w:p w14:paraId="434F8439" w14:textId="77777777" w:rsidR="00345E49" w:rsidRPr="00E44ACA" w:rsidRDefault="00345E49" w:rsidP="00A14777">
            <w:pPr>
              <w:pStyle w:val="TableText"/>
            </w:pPr>
            <w:r w:rsidRPr="00E44ACA">
              <w:t>Annualised Event Rate</w:t>
            </w:r>
          </w:p>
        </w:tc>
        <w:tc>
          <w:tcPr>
            <w:tcW w:w="1843" w:type="dxa"/>
          </w:tcPr>
          <w:p w14:paraId="5C9050A3" w14:textId="77777777" w:rsidR="00345E49" w:rsidRPr="00E44ACA" w:rsidRDefault="00345E49" w:rsidP="00A14777">
            <w:pPr>
              <w:pStyle w:val="TableText"/>
            </w:pPr>
          </w:p>
          <w:p w14:paraId="27726B36" w14:textId="77777777" w:rsidR="00345E49" w:rsidRPr="00E44ACA" w:rsidRDefault="00345E49" w:rsidP="00A14777">
            <w:pPr>
              <w:pStyle w:val="TableText"/>
            </w:pPr>
            <w:r w:rsidRPr="00E44ACA">
              <w:t>26 (25.5%)</w:t>
            </w:r>
          </w:p>
          <w:p w14:paraId="6B87C2F7" w14:textId="77777777" w:rsidR="00345E49" w:rsidRPr="00E44ACA" w:rsidRDefault="00345E49" w:rsidP="00A14777">
            <w:pPr>
              <w:pStyle w:val="TableText"/>
            </w:pPr>
            <w:r w:rsidRPr="00E44ACA">
              <w:t>40</w:t>
            </w:r>
          </w:p>
          <w:p w14:paraId="524F8174" w14:textId="77777777" w:rsidR="00345E49" w:rsidRPr="00E44ACA" w:rsidRDefault="00345E49" w:rsidP="00A14777">
            <w:pPr>
              <w:pStyle w:val="TableText"/>
            </w:pPr>
            <w:r w:rsidRPr="00E44ACA">
              <w:t>0.63</w:t>
            </w:r>
          </w:p>
        </w:tc>
        <w:tc>
          <w:tcPr>
            <w:tcW w:w="2126" w:type="dxa"/>
          </w:tcPr>
          <w:p w14:paraId="4F26256B" w14:textId="77777777" w:rsidR="00345E49" w:rsidRPr="00E44ACA" w:rsidRDefault="00345E49" w:rsidP="00A14777">
            <w:pPr>
              <w:pStyle w:val="TableText"/>
            </w:pPr>
          </w:p>
          <w:p w14:paraId="05765164" w14:textId="77777777" w:rsidR="00345E49" w:rsidRPr="00E44ACA" w:rsidRDefault="00345E49" w:rsidP="00A14777">
            <w:pPr>
              <w:pStyle w:val="TableText"/>
            </w:pPr>
            <w:r w:rsidRPr="00E44ACA">
              <w:t>18 (8.8%)</w:t>
            </w:r>
          </w:p>
          <w:p w14:paraId="271D22CD" w14:textId="77777777" w:rsidR="00345E49" w:rsidRPr="00E44ACA" w:rsidRDefault="00345E49" w:rsidP="00A14777">
            <w:pPr>
              <w:pStyle w:val="TableText"/>
            </w:pPr>
            <w:r w:rsidRPr="00E44ACA">
              <w:t>21</w:t>
            </w:r>
          </w:p>
          <w:p w14:paraId="23CCD22A" w14:textId="77777777" w:rsidR="00345E49" w:rsidRPr="00E44ACA" w:rsidRDefault="00345E49" w:rsidP="00A14777">
            <w:pPr>
              <w:pStyle w:val="TableText"/>
            </w:pPr>
            <w:r w:rsidRPr="00E44ACA">
              <w:t>0.17</w:t>
            </w:r>
          </w:p>
        </w:tc>
        <w:tc>
          <w:tcPr>
            <w:tcW w:w="1933" w:type="dxa"/>
          </w:tcPr>
          <w:p w14:paraId="03A757E0" w14:textId="77777777" w:rsidR="00345E49" w:rsidRPr="00E44ACA" w:rsidRDefault="00345E49" w:rsidP="00A14777">
            <w:pPr>
              <w:pStyle w:val="TableText"/>
            </w:pPr>
          </w:p>
          <w:p w14:paraId="45E2CBD8" w14:textId="77777777" w:rsidR="00345E49" w:rsidRPr="00E44ACA" w:rsidRDefault="00345E49" w:rsidP="00A14777">
            <w:pPr>
              <w:pStyle w:val="TableText"/>
            </w:pPr>
            <w:r w:rsidRPr="00E44ACA">
              <w:t>NR</w:t>
            </w:r>
          </w:p>
        </w:tc>
      </w:tr>
      <w:tr w:rsidR="00345E49" w14:paraId="2520A7E0" w14:textId="77777777" w:rsidTr="00A14777">
        <w:tc>
          <w:tcPr>
            <w:tcW w:w="3114" w:type="dxa"/>
          </w:tcPr>
          <w:p w14:paraId="766FD03A" w14:textId="77777777" w:rsidR="00345E49" w:rsidRDefault="00345E49" w:rsidP="00A14777">
            <w:pPr>
              <w:pStyle w:val="TableText"/>
            </w:pPr>
          </w:p>
        </w:tc>
        <w:tc>
          <w:tcPr>
            <w:tcW w:w="1843" w:type="dxa"/>
          </w:tcPr>
          <w:p w14:paraId="3A9444B8" w14:textId="77777777" w:rsidR="00345E49" w:rsidRPr="00A35E40" w:rsidRDefault="00345E49" w:rsidP="00A14777">
            <w:pPr>
              <w:pStyle w:val="TableText"/>
              <w:rPr>
                <w:b/>
              </w:rPr>
            </w:pPr>
            <w:r w:rsidRPr="00A35E40">
              <w:rPr>
                <w:b/>
              </w:rPr>
              <w:t xml:space="preserve">Patients with FRT-responsive mutations </w:t>
            </w:r>
          </w:p>
          <w:p w14:paraId="651D263A" w14:textId="77777777" w:rsidR="00345E49" w:rsidRPr="00A35E40" w:rsidRDefault="00345E49" w:rsidP="00A14777">
            <w:pPr>
              <w:pStyle w:val="TableText"/>
              <w:rPr>
                <w:b/>
              </w:rPr>
            </w:pPr>
            <w:r w:rsidRPr="00A35E40">
              <w:rPr>
                <w:b/>
              </w:rPr>
              <w:t>N = 69</w:t>
            </w:r>
            <w:r w:rsidRPr="00A35E40">
              <w:rPr>
                <w:b/>
                <w:vertAlign w:val="superscript"/>
              </w:rPr>
              <w:t>1</w:t>
            </w:r>
          </w:p>
        </w:tc>
        <w:tc>
          <w:tcPr>
            <w:tcW w:w="2126" w:type="dxa"/>
          </w:tcPr>
          <w:p w14:paraId="2A5061AD" w14:textId="77777777" w:rsidR="00345E49" w:rsidRPr="00A35E40" w:rsidRDefault="00345E49" w:rsidP="00A14777">
            <w:pPr>
              <w:pStyle w:val="TableText"/>
              <w:rPr>
                <w:b/>
              </w:rPr>
            </w:pPr>
            <w:r w:rsidRPr="00A35E40">
              <w:rPr>
                <w:b/>
              </w:rPr>
              <w:t>Patients with FRT-responsive mutations</w:t>
            </w:r>
          </w:p>
          <w:p w14:paraId="68C0052F" w14:textId="77777777" w:rsidR="00345E49" w:rsidRPr="00A35E40" w:rsidRDefault="00345E49" w:rsidP="00A14777">
            <w:pPr>
              <w:pStyle w:val="TableText"/>
              <w:rPr>
                <w:b/>
              </w:rPr>
            </w:pPr>
            <w:r w:rsidRPr="00A35E40">
              <w:rPr>
                <w:b/>
              </w:rPr>
              <w:t>N = 129</w:t>
            </w:r>
            <w:r w:rsidRPr="00A35E40">
              <w:rPr>
                <w:b/>
                <w:vertAlign w:val="superscript"/>
              </w:rPr>
              <w:t>1</w:t>
            </w:r>
          </w:p>
        </w:tc>
        <w:tc>
          <w:tcPr>
            <w:tcW w:w="1933" w:type="dxa"/>
          </w:tcPr>
          <w:p w14:paraId="2993C606" w14:textId="77777777" w:rsidR="00345E49" w:rsidRDefault="00345E49" w:rsidP="00A14777">
            <w:pPr>
              <w:pStyle w:val="TableText"/>
            </w:pPr>
          </w:p>
        </w:tc>
      </w:tr>
      <w:tr w:rsidR="00345E49" w14:paraId="161F42BB" w14:textId="77777777" w:rsidTr="00A14777">
        <w:tc>
          <w:tcPr>
            <w:tcW w:w="3114" w:type="dxa"/>
          </w:tcPr>
          <w:p w14:paraId="70D51217" w14:textId="77777777" w:rsidR="00345E49" w:rsidRPr="00E44ACA" w:rsidRDefault="00345E49" w:rsidP="00A14777">
            <w:pPr>
              <w:pStyle w:val="TableText"/>
              <w:rPr>
                <w:rFonts w:cs="Arial"/>
              </w:rPr>
            </w:pPr>
            <w:r w:rsidRPr="00E44ACA">
              <w:rPr>
                <w:rFonts w:cs="Arial"/>
              </w:rPr>
              <w:t>ppFEV</w:t>
            </w:r>
            <w:r w:rsidRPr="00E44ACA">
              <w:rPr>
                <w:rFonts w:cs="Arial"/>
                <w:vertAlign w:val="subscript"/>
              </w:rPr>
              <w:t>1</w:t>
            </w:r>
            <w:r w:rsidRPr="00E44ACA">
              <w:rPr>
                <w:rFonts w:cs="Arial"/>
              </w:rPr>
              <w:t xml:space="preserve"> </w:t>
            </w:r>
          </w:p>
          <w:p w14:paraId="3923F4C4" w14:textId="77777777" w:rsidR="00345E49" w:rsidRPr="00E44ACA" w:rsidRDefault="00345E49" w:rsidP="00A14777">
            <w:pPr>
              <w:pStyle w:val="TableText"/>
              <w:rPr>
                <w:rFonts w:cs="Arial"/>
              </w:rPr>
            </w:pPr>
            <w:r w:rsidRPr="00E44ACA">
              <w:rPr>
                <w:rFonts w:cs="Arial"/>
              </w:rPr>
              <w:t xml:space="preserve"> Baseline, mean (SD)</w:t>
            </w:r>
          </w:p>
          <w:p w14:paraId="3371D926" w14:textId="77777777" w:rsidR="00345E49" w:rsidRPr="00E44ACA" w:rsidRDefault="00345E49" w:rsidP="00A14777">
            <w:pPr>
              <w:pStyle w:val="TableText"/>
              <w:rPr>
                <w:rFonts w:cs="Arial"/>
              </w:rPr>
            </w:pPr>
            <w:r w:rsidRPr="00E44ACA">
              <w:rPr>
                <w:rFonts w:cs="Arial"/>
              </w:rPr>
              <w:t>Change to 24 wk, LS mean (95% CI)</w:t>
            </w:r>
          </w:p>
        </w:tc>
        <w:tc>
          <w:tcPr>
            <w:tcW w:w="1843" w:type="dxa"/>
          </w:tcPr>
          <w:p w14:paraId="31A44765" w14:textId="77777777" w:rsidR="00345E49" w:rsidRPr="00E44ACA" w:rsidRDefault="00345E49" w:rsidP="00A14777">
            <w:pPr>
              <w:pStyle w:val="TableText"/>
              <w:rPr>
                <w:rFonts w:cs="Arial"/>
              </w:rPr>
            </w:pPr>
          </w:p>
          <w:p w14:paraId="0653B733" w14:textId="77777777" w:rsidR="00345E49" w:rsidRPr="00E44ACA" w:rsidRDefault="00345E49" w:rsidP="00A14777">
            <w:pPr>
              <w:pStyle w:val="TableText"/>
              <w:rPr>
                <w:rFonts w:cs="Arial"/>
              </w:rPr>
            </w:pPr>
            <w:r w:rsidRPr="00E44ACA">
              <w:rPr>
                <w:rFonts w:cs="Arial"/>
              </w:rPr>
              <w:t>70.9 (16.7)</w:t>
            </w:r>
          </w:p>
          <w:p w14:paraId="54A7DA45" w14:textId="77777777" w:rsidR="00345E49" w:rsidRPr="00E44ACA" w:rsidRDefault="00345E49" w:rsidP="00A14777">
            <w:pPr>
              <w:pStyle w:val="TableText"/>
              <w:rPr>
                <w:rFonts w:cs="Arial"/>
              </w:rPr>
            </w:pPr>
            <w:r w:rsidRPr="00E44ACA">
              <w:rPr>
                <w:rFonts w:cs="Arial"/>
              </w:rPr>
              <w:t>-0.7 (-2.4, 1.0)</w:t>
            </w:r>
          </w:p>
        </w:tc>
        <w:tc>
          <w:tcPr>
            <w:tcW w:w="2126" w:type="dxa"/>
          </w:tcPr>
          <w:p w14:paraId="466D727E" w14:textId="77777777" w:rsidR="00345E49" w:rsidRPr="00E44ACA" w:rsidRDefault="00345E49" w:rsidP="00A14777">
            <w:pPr>
              <w:pStyle w:val="TableText"/>
              <w:rPr>
                <w:rFonts w:cs="Arial"/>
              </w:rPr>
            </w:pPr>
          </w:p>
          <w:p w14:paraId="6FCE150D" w14:textId="77777777" w:rsidR="00345E49" w:rsidRPr="00E44ACA" w:rsidRDefault="00345E49" w:rsidP="00A14777">
            <w:pPr>
              <w:pStyle w:val="TableText"/>
              <w:rPr>
                <w:rFonts w:cs="Arial"/>
              </w:rPr>
            </w:pPr>
            <w:r w:rsidRPr="00E44ACA">
              <w:rPr>
                <w:rFonts w:cs="Arial"/>
              </w:rPr>
              <w:t>70.1 (17.4)</w:t>
            </w:r>
          </w:p>
          <w:p w14:paraId="500A864A" w14:textId="77777777" w:rsidR="00345E49" w:rsidRPr="00E44ACA" w:rsidRDefault="00345E49" w:rsidP="00A14777">
            <w:pPr>
              <w:pStyle w:val="TableText"/>
              <w:rPr>
                <w:rFonts w:cs="Arial"/>
              </w:rPr>
            </w:pPr>
            <w:r w:rsidRPr="00E44ACA">
              <w:rPr>
                <w:rFonts w:cs="Arial"/>
              </w:rPr>
              <w:t>8.7 (6.8, 10.6)</w:t>
            </w:r>
          </w:p>
        </w:tc>
        <w:tc>
          <w:tcPr>
            <w:tcW w:w="1933" w:type="dxa"/>
          </w:tcPr>
          <w:p w14:paraId="3ECE9462" w14:textId="77777777" w:rsidR="00345E49" w:rsidRPr="00E44ACA" w:rsidRDefault="00345E49" w:rsidP="00A14777">
            <w:pPr>
              <w:pStyle w:val="TableText"/>
              <w:rPr>
                <w:rFonts w:cs="Arial"/>
              </w:rPr>
            </w:pPr>
            <w:r w:rsidRPr="00E44ACA">
              <w:rPr>
                <w:rFonts w:cs="Arial"/>
              </w:rPr>
              <w:t>NR</w:t>
            </w:r>
          </w:p>
        </w:tc>
      </w:tr>
      <w:tr w:rsidR="00345E49" w14:paraId="61596797" w14:textId="77777777" w:rsidTr="00A14777">
        <w:tc>
          <w:tcPr>
            <w:tcW w:w="3114" w:type="dxa"/>
          </w:tcPr>
          <w:p w14:paraId="484FAC37" w14:textId="77777777" w:rsidR="00345E49" w:rsidRPr="00E44ACA" w:rsidRDefault="00345E49" w:rsidP="00A14777">
            <w:pPr>
              <w:pStyle w:val="TableText"/>
              <w:rPr>
                <w:rFonts w:cs="Arial"/>
              </w:rPr>
            </w:pPr>
            <w:r w:rsidRPr="00E44ACA">
              <w:rPr>
                <w:rFonts w:cs="Arial"/>
              </w:rPr>
              <w:t>Sweat Chloride</w:t>
            </w:r>
          </w:p>
          <w:p w14:paraId="338EA13C" w14:textId="77777777" w:rsidR="00345E49" w:rsidRPr="00E44ACA" w:rsidRDefault="00345E49" w:rsidP="00A14777">
            <w:pPr>
              <w:pStyle w:val="TableText"/>
              <w:rPr>
                <w:rFonts w:cs="Arial"/>
              </w:rPr>
            </w:pPr>
            <w:r w:rsidRPr="00E44ACA">
              <w:rPr>
                <w:rFonts w:cs="Arial"/>
              </w:rPr>
              <w:t>Baseline, mean (SD)</w:t>
            </w:r>
          </w:p>
          <w:p w14:paraId="01CC39D1" w14:textId="77777777" w:rsidR="00345E49" w:rsidRPr="00E44ACA" w:rsidRDefault="00345E49" w:rsidP="00A14777">
            <w:pPr>
              <w:pStyle w:val="TableText"/>
              <w:rPr>
                <w:rFonts w:cs="Arial"/>
              </w:rPr>
            </w:pPr>
            <w:r w:rsidRPr="00E44ACA">
              <w:rPr>
                <w:rFonts w:cs="Arial"/>
              </w:rPr>
              <w:t>Change to 24wk, LS mean (95% CI)</w:t>
            </w:r>
          </w:p>
        </w:tc>
        <w:tc>
          <w:tcPr>
            <w:tcW w:w="1843" w:type="dxa"/>
          </w:tcPr>
          <w:p w14:paraId="12D2B130" w14:textId="77777777" w:rsidR="00345E49" w:rsidRPr="00E44ACA" w:rsidRDefault="00345E49" w:rsidP="00A14777">
            <w:pPr>
              <w:pStyle w:val="TableText"/>
              <w:rPr>
                <w:rFonts w:cs="Arial"/>
              </w:rPr>
            </w:pPr>
          </w:p>
          <w:p w14:paraId="37E44300" w14:textId="77777777" w:rsidR="00345E49" w:rsidRPr="00E44ACA" w:rsidRDefault="00345E49" w:rsidP="00A14777">
            <w:pPr>
              <w:pStyle w:val="TableText"/>
              <w:rPr>
                <w:rFonts w:cs="Arial"/>
              </w:rPr>
            </w:pPr>
            <w:r w:rsidRPr="00E44ACA">
              <w:rPr>
                <w:rFonts w:cs="Arial"/>
              </w:rPr>
              <w:t>74.7 (28.0)</w:t>
            </w:r>
          </w:p>
          <w:p w14:paraId="4AEB2932" w14:textId="77777777" w:rsidR="00345E49" w:rsidRPr="00E44ACA" w:rsidRDefault="00345E49" w:rsidP="00A14777">
            <w:pPr>
              <w:pStyle w:val="TableText"/>
              <w:rPr>
                <w:rFonts w:cs="Arial"/>
              </w:rPr>
            </w:pPr>
            <w:r w:rsidRPr="00E44ACA">
              <w:rPr>
                <w:rFonts w:cs="Arial"/>
              </w:rPr>
              <w:t>1.2 (-0.6, 3.0)</w:t>
            </w:r>
          </w:p>
        </w:tc>
        <w:tc>
          <w:tcPr>
            <w:tcW w:w="2126" w:type="dxa"/>
          </w:tcPr>
          <w:p w14:paraId="3A9846F8" w14:textId="77777777" w:rsidR="00345E49" w:rsidRPr="00E44ACA" w:rsidRDefault="00345E49" w:rsidP="00A14777">
            <w:pPr>
              <w:pStyle w:val="TableText"/>
              <w:rPr>
                <w:rFonts w:cs="Arial"/>
              </w:rPr>
            </w:pPr>
          </w:p>
          <w:p w14:paraId="7EE76FD5" w14:textId="77777777" w:rsidR="00345E49" w:rsidRPr="00E44ACA" w:rsidRDefault="00345E49" w:rsidP="00A14777">
            <w:pPr>
              <w:pStyle w:val="TableText"/>
              <w:rPr>
                <w:rFonts w:cs="Arial"/>
              </w:rPr>
            </w:pPr>
            <w:r w:rsidRPr="00E44ACA">
              <w:rPr>
                <w:rFonts w:cs="Arial"/>
              </w:rPr>
              <w:t>78.1 (28.1)</w:t>
            </w:r>
          </w:p>
          <w:p w14:paraId="0FBA331F" w14:textId="77777777" w:rsidR="00345E49" w:rsidRPr="00E44ACA" w:rsidRDefault="00345E49" w:rsidP="00A14777">
            <w:pPr>
              <w:pStyle w:val="TableText"/>
              <w:rPr>
                <w:rFonts w:cs="Arial"/>
              </w:rPr>
            </w:pPr>
            <w:r w:rsidRPr="00E44ACA">
              <w:rPr>
                <w:rFonts w:cs="Arial"/>
              </w:rPr>
              <w:t>-35.4 (-39.0, -31.8)</w:t>
            </w:r>
          </w:p>
        </w:tc>
        <w:tc>
          <w:tcPr>
            <w:tcW w:w="1933" w:type="dxa"/>
          </w:tcPr>
          <w:p w14:paraId="7547DF96" w14:textId="77777777" w:rsidR="00345E49" w:rsidRPr="00E44ACA" w:rsidRDefault="00345E49" w:rsidP="00A14777">
            <w:pPr>
              <w:pStyle w:val="TableText"/>
              <w:rPr>
                <w:rFonts w:cs="Arial"/>
              </w:rPr>
            </w:pPr>
            <w:r w:rsidRPr="00E44ACA">
              <w:rPr>
                <w:rFonts w:cs="Arial"/>
              </w:rPr>
              <w:t>NR</w:t>
            </w:r>
          </w:p>
        </w:tc>
      </w:tr>
      <w:tr w:rsidR="00345E49" w14:paraId="6C549F7B" w14:textId="77777777" w:rsidTr="00A14777">
        <w:tc>
          <w:tcPr>
            <w:tcW w:w="3114" w:type="dxa"/>
          </w:tcPr>
          <w:p w14:paraId="3DE7ED7D" w14:textId="77777777" w:rsidR="00345E49" w:rsidRPr="00E44ACA" w:rsidRDefault="00345E49" w:rsidP="00A14777">
            <w:pPr>
              <w:pStyle w:val="TableText"/>
              <w:rPr>
                <w:rFonts w:cs="Arial"/>
              </w:rPr>
            </w:pPr>
            <w:r w:rsidRPr="00E44ACA">
              <w:rPr>
                <w:rFonts w:cs="Arial"/>
              </w:rPr>
              <w:t>CFQ-R RD Score</w:t>
            </w:r>
          </w:p>
          <w:p w14:paraId="058EA1E4" w14:textId="77777777" w:rsidR="00345E49" w:rsidRPr="00E44ACA" w:rsidRDefault="00345E49" w:rsidP="00A14777">
            <w:pPr>
              <w:pStyle w:val="TableText"/>
              <w:rPr>
                <w:rFonts w:cs="Arial"/>
              </w:rPr>
            </w:pPr>
            <w:r w:rsidRPr="00E44ACA">
              <w:rPr>
                <w:rFonts w:cs="Arial"/>
              </w:rPr>
              <w:t>Baseline, mean (SD)</w:t>
            </w:r>
          </w:p>
          <w:p w14:paraId="4BE55443" w14:textId="77777777" w:rsidR="00345E49" w:rsidRPr="00E44ACA" w:rsidRDefault="00345E49" w:rsidP="00A14777">
            <w:pPr>
              <w:pStyle w:val="TableText"/>
              <w:rPr>
                <w:rFonts w:cs="Arial"/>
              </w:rPr>
            </w:pPr>
            <w:r w:rsidRPr="00E44ACA">
              <w:rPr>
                <w:rFonts w:cs="Arial"/>
              </w:rPr>
              <w:t>Change to 24wk, LS mean (95% CI)</w:t>
            </w:r>
          </w:p>
        </w:tc>
        <w:tc>
          <w:tcPr>
            <w:tcW w:w="1843" w:type="dxa"/>
          </w:tcPr>
          <w:p w14:paraId="37DE5D2A" w14:textId="77777777" w:rsidR="00345E49" w:rsidRPr="00E44ACA" w:rsidRDefault="00345E49" w:rsidP="00A14777">
            <w:pPr>
              <w:pStyle w:val="TableText"/>
              <w:rPr>
                <w:rFonts w:cs="Arial"/>
              </w:rPr>
            </w:pPr>
          </w:p>
          <w:p w14:paraId="68A8F164" w14:textId="77777777" w:rsidR="00345E49" w:rsidRPr="00E44ACA" w:rsidRDefault="00345E49" w:rsidP="00A14777">
            <w:pPr>
              <w:pStyle w:val="TableText"/>
              <w:rPr>
                <w:rFonts w:cs="Arial"/>
              </w:rPr>
            </w:pPr>
            <w:r w:rsidRPr="00E44ACA">
              <w:rPr>
                <w:rFonts w:cs="Arial"/>
              </w:rPr>
              <w:t>66.9 (19.9)</w:t>
            </w:r>
          </w:p>
          <w:p w14:paraId="34418111" w14:textId="77777777" w:rsidR="00345E49" w:rsidRPr="00E44ACA" w:rsidRDefault="00345E49" w:rsidP="00A14777">
            <w:pPr>
              <w:pStyle w:val="TableText"/>
              <w:rPr>
                <w:rFonts w:cs="Arial"/>
              </w:rPr>
            </w:pPr>
            <w:r w:rsidRPr="00E44ACA">
              <w:rPr>
                <w:rFonts w:cs="Arial"/>
              </w:rPr>
              <w:t>-2.6 (-5.6, 0.4)</w:t>
            </w:r>
          </w:p>
        </w:tc>
        <w:tc>
          <w:tcPr>
            <w:tcW w:w="2126" w:type="dxa"/>
          </w:tcPr>
          <w:p w14:paraId="500126B1" w14:textId="77777777" w:rsidR="00345E49" w:rsidRPr="00E44ACA" w:rsidRDefault="00345E49" w:rsidP="00A14777">
            <w:pPr>
              <w:pStyle w:val="TableText"/>
              <w:rPr>
                <w:rFonts w:cs="Arial"/>
              </w:rPr>
            </w:pPr>
          </w:p>
          <w:p w14:paraId="57363302" w14:textId="77777777" w:rsidR="00345E49" w:rsidRPr="00E44ACA" w:rsidRDefault="00345E49" w:rsidP="00A14777">
            <w:pPr>
              <w:pStyle w:val="TableText"/>
              <w:rPr>
                <w:rFonts w:cs="Arial"/>
              </w:rPr>
            </w:pPr>
            <w:r w:rsidRPr="00E44ACA">
              <w:rPr>
                <w:rFonts w:cs="Arial"/>
              </w:rPr>
              <w:t>65.0 (20.4)</w:t>
            </w:r>
          </w:p>
          <w:p w14:paraId="554FC458" w14:textId="77777777" w:rsidR="00345E49" w:rsidRPr="00E44ACA" w:rsidRDefault="00345E49" w:rsidP="00A14777">
            <w:pPr>
              <w:pStyle w:val="TableText"/>
              <w:rPr>
                <w:rFonts w:cs="Arial"/>
              </w:rPr>
            </w:pPr>
            <w:r w:rsidRPr="00E44ACA">
              <w:rPr>
                <w:rFonts w:cs="Arial"/>
              </w:rPr>
              <w:t>17.4 (14.0, 20.7)</w:t>
            </w:r>
          </w:p>
        </w:tc>
        <w:tc>
          <w:tcPr>
            <w:tcW w:w="1933" w:type="dxa"/>
          </w:tcPr>
          <w:p w14:paraId="702C3E08" w14:textId="77777777" w:rsidR="00345E49" w:rsidRPr="00E44ACA" w:rsidRDefault="00345E49" w:rsidP="00A14777">
            <w:pPr>
              <w:pStyle w:val="TableText"/>
              <w:rPr>
                <w:rFonts w:cs="Arial"/>
              </w:rPr>
            </w:pPr>
            <w:r w:rsidRPr="00E44ACA">
              <w:rPr>
                <w:rFonts w:cs="Arial"/>
              </w:rPr>
              <w:t>NR</w:t>
            </w:r>
          </w:p>
        </w:tc>
      </w:tr>
      <w:tr w:rsidR="00345E49" w14:paraId="688D000F" w14:textId="77777777" w:rsidTr="00A14777">
        <w:tc>
          <w:tcPr>
            <w:tcW w:w="3114" w:type="dxa"/>
          </w:tcPr>
          <w:p w14:paraId="05772527" w14:textId="77777777" w:rsidR="00345E49" w:rsidRDefault="00345E49" w:rsidP="00A14777">
            <w:pPr>
              <w:pStyle w:val="TableText"/>
            </w:pPr>
          </w:p>
        </w:tc>
        <w:tc>
          <w:tcPr>
            <w:tcW w:w="1843" w:type="dxa"/>
          </w:tcPr>
          <w:p w14:paraId="46D8F932" w14:textId="77777777" w:rsidR="00345E49" w:rsidRPr="00A35E40" w:rsidRDefault="00345E49" w:rsidP="00A14777">
            <w:pPr>
              <w:pStyle w:val="TableText"/>
              <w:rPr>
                <w:b/>
              </w:rPr>
            </w:pPr>
            <w:r w:rsidRPr="00A35E40">
              <w:rPr>
                <w:b/>
              </w:rPr>
              <w:t>Subjects with Splice Mutations</w:t>
            </w:r>
          </w:p>
          <w:p w14:paraId="0CDCDD91" w14:textId="77777777" w:rsidR="00345E49" w:rsidRPr="00A35E40" w:rsidRDefault="00345E49" w:rsidP="00A14777">
            <w:pPr>
              <w:pStyle w:val="TableText"/>
              <w:rPr>
                <w:b/>
              </w:rPr>
            </w:pPr>
            <w:r w:rsidRPr="00A35E40">
              <w:rPr>
                <w:b/>
              </w:rPr>
              <w:t>N = 34</w:t>
            </w:r>
            <w:r w:rsidRPr="00A35E40">
              <w:rPr>
                <w:b/>
                <w:vertAlign w:val="superscript"/>
              </w:rPr>
              <w:t>1</w:t>
            </w:r>
          </w:p>
        </w:tc>
        <w:tc>
          <w:tcPr>
            <w:tcW w:w="2126" w:type="dxa"/>
          </w:tcPr>
          <w:p w14:paraId="102CB475" w14:textId="77777777" w:rsidR="00345E49" w:rsidRPr="00A35E40" w:rsidRDefault="00345E49" w:rsidP="00A14777">
            <w:pPr>
              <w:pStyle w:val="TableText"/>
              <w:rPr>
                <w:b/>
              </w:rPr>
            </w:pPr>
            <w:r w:rsidRPr="00A35E40">
              <w:rPr>
                <w:b/>
              </w:rPr>
              <w:t>Subjects with</w:t>
            </w:r>
            <w:r>
              <w:rPr>
                <w:b/>
              </w:rPr>
              <w:t xml:space="preserve"> </w:t>
            </w:r>
            <w:r w:rsidRPr="00A35E40">
              <w:rPr>
                <w:b/>
              </w:rPr>
              <w:t>Splice Mutations</w:t>
            </w:r>
          </w:p>
          <w:p w14:paraId="1E13A97F" w14:textId="77777777" w:rsidR="00345E49" w:rsidRPr="00A35E40" w:rsidRDefault="00345E49" w:rsidP="00A14777">
            <w:pPr>
              <w:pStyle w:val="TableText"/>
              <w:rPr>
                <w:b/>
              </w:rPr>
            </w:pPr>
            <w:r w:rsidRPr="00A35E40">
              <w:rPr>
                <w:b/>
              </w:rPr>
              <w:t>N = 82</w:t>
            </w:r>
            <w:r w:rsidRPr="00A35E40">
              <w:rPr>
                <w:b/>
                <w:vertAlign w:val="superscript"/>
              </w:rPr>
              <w:t>1</w:t>
            </w:r>
          </w:p>
        </w:tc>
        <w:tc>
          <w:tcPr>
            <w:tcW w:w="1933" w:type="dxa"/>
          </w:tcPr>
          <w:p w14:paraId="735A416E" w14:textId="77777777" w:rsidR="00345E49" w:rsidRDefault="00345E49" w:rsidP="00A14777">
            <w:pPr>
              <w:pStyle w:val="TableText"/>
            </w:pPr>
          </w:p>
        </w:tc>
      </w:tr>
      <w:tr w:rsidR="00345E49" w14:paraId="5CC44613" w14:textId="77777777" w:rsidTr="00A14777">
        <w:tc>
          <w:tcPr>
            <w:tcW w:w="3114" w:type="dxa"/>
          </w:tcPr>
          <w:p w14:paraId="04483D42" w14:textId="77777777" w:rsidR="00345E49" w:rsidRPr="00E44ACA" w:rsidRDefault="00345E49" w:rsidP="00A14777">
            <w:pPr>
              <w:pStyle w:val="TableText"/>
              <w:rPr>
                <w:rFonts w:cs="Arial"/>
              </w:rPr>
            </w:pPr>
            <w:r w:rsidRPr="00E44ACA">
              <w:rPr>
                <w:rFonts w:cs="Arial"/>
              </w:rPr>
              <w:t>ppFEV</w:t>
            </w:r>
            <w:r w:rsidRPr="00E44ACA">
              <w:rPr>
                <w:rFonts w:cs="Arial"/>
                <w:vertAlign w:val="subscript"/>
              </w:rPr>
              <w:t>1</w:t>
            </w:r>
            <w:r w:rsidRPr="00E44ACA">
              <w:rPr>
                <w:rFonts w:cs="Arial"/>
              </w:rPr>
              <w:t xml:space="preserve"> </w:t>
            </w:r>
          </w:p>
          <w:p w14:paraId="6262BF7A" w14:textId="77777777" w:rsidR="00345E49" w:rsidRPr="00E44ACA" w:rsidRDefault="00345E49" w:rsidP="00A14777">
            <w:pPr>
              <w:pStyle w:val="TableText"/>
              <w:rPr>
                <w:rFonts w:cs="Arial"/>
              </w:rPr>
            </w:pPr>
            <w:r w:rsidRPr="00E44ACA">
              <w:rPr>
                <w:rFonts w:cs="Arial"/>
              </w:rPr>
              <w:t xml:space="preserve"> Baseline, mean (SD)</w:t>
            </w:r>
          </w:p>
          <w:p w14:paraId="0158957F" w14:textId="77777777" w:rsidR="00345E49" w:rsidRPr="00E44ACA" w:rsidRDefault="00345E49" w:rsidP="00A14777">
            <w:pPr>
              <w:pStyle w:val="TableText"/>
              <w:rPr>
                <w:rFonts w:cs="Arial"/>
              </w:rPr>
            </w:pPr>
            <w:r w:rsidRPr="00E44ACA">
              <w:rPr>
                <w:rFonts w:cs="Arial"/>
              </w:rPr>
              <w:t>Change to 24 wk, LS mean (95% CI)</w:t>
            </w:r>
          </w:p>
        </w:tc>
        <w:tc>
          <w:tcPr>
            <w:tcW w:w="1843" w:type="dxa"/>
          </w:tcPr>
          <w:p w14:paraId="3E6BEB60" w14:textId="77777777" w:rsidR="00345E49" w:rsidRPr="00E44ACA" w:rsidRDefault="00345E49" w:rsidP="00A14777">
            <w:pPr>
              <w:pStyle w:val="TableText"/>
              <w:rPr>
                <w:rFonts w:cs="Arial"/>
              </w:rPr>
            </w:pPr>
          </w:p>
          <w:p w14:paraId="4D318B3B" w14:textId="77777777" w:rsidR="00345E49" w:rsidRPr="00E44ACA" w:rsidRDefault="00345E49" w:rsidP="00A14777">
            <w:pPr>
              <w:pStyle w:val="TableText"/>
              <w:rPr>
                <w:rFonts w:cs="Arial"/>
              </w:rPr>
            </w:pPr>
            <w:r w:rsidRPr="00E44ACA">
              <w:rPr>
                <w:rFonts w:cs="Arial"/>
              </w:rPr>
              <w:t>61.6 (19.8)</w:t>
            </w:r>
          </w:p>
          <w:p w14:paraId="00B73512" w14:textId="77777777" w:rsidR="00345E49" w:rsidRPr="00E44ACA" w:rsidRDefault="00345E49" w:rsidP="00A14777">
            <w:pPr>
              <w:pStyle w:val="TableText"/>
              <w:rPr>
                <w:rFonts w:cs="Arial"/>
              </w:rPr>
            </w:pPr>
            <w:r w:rsidRPr="00E44ACA">
              <w:rPr>
                <w:rFonts w:cs="Arial"/>
              </w:rPr>
              <w:t>-0.1 (-2.4, 2.6)</w:t>
            </w:r>
          </w:p>
        </w:tc>
        <w:tc>
          <w:tcPr>
            <w:tcW w:w="2126" w:type="dxa"/>
          </w:tcPr>
          <w:p w14:paraId="0F7BB6D4" w14:textId="77777777" w:rsidR="00345E49" w:rsidRPr="00E44ACA" w:rsidRDefault="00345E49" w:rsidP="00A14777">
            <w:pPr>
              <w:pStyle w:val="TableText"/>
              <w:rPr>
                <w:rFonts w:cs="Arial"/>
              </w:rPr>
            </w:pPr>
          </w:p>
          <w:p w14:paraId="18219AD7" w14:textId="77777777" w:rsidR="00345E49" w:rsidRPr="00E44ACA" w:rsidRDefault="00345E49" w:rsidP="00A14777">
            <w:pPr>
              <w:pStyle w:val="TableText"/>
              <w:rPr>
                <w:rFonts w:cs="Arial"/>
              </w:rPr>
            </w:pPr>
            <w:r w:rsidRPr="00E44ACA">
              <w:rPr>
                <w:rFonts w:cs="Arial"/>
              </w:rPr>
              <w:t>64.0 (17.0)</w:t>
            </w:r>
          </w:p>
          <w:p w14:paraId="5C3DF572" w14:textId="77777777" w:rsidR="00345E49" w:rsidRPr="00E44ACA" w:rsidRDefault="00345E49" w:rsidP="00A14777">
            <w:pPr>
              <w:pStyle w:val="TableText"/>
              <w:rPr>
                <w:rFonts w:cs="Arial"/>
              </w:rPr>
            </w:pPr>
            <w:r w:rsidRPr="00E44ACA">
              <w:rPr>
                <w:rFonts w:cs="Arial"/>
              </w:rPr>
              <w:t>8.9 (6.9, 10.8)</w:t>
            </w:r>
          </w:p>
        </w:tc>
        <w:tc>
          <w:tcPr>
            <w:tcW w:w="1933" w:type="dxa"/>
          </w:tcPr>
          <w:p w14:paraId="4FFDF59C" w14:textId="77777777" w:rsidR="00345E49" w:rsidRPr="00E44ACA" w:rsidRDefault="00345E49" w:rsidP="00A14777">
            <w:pPr>
              <w:pStyle w:val="TableText"/>
              <w:rPr>
                <w:rFonts w:cs="Arial"/>
              </w:rPr>
            </w:pPr>
            <w:r w:rsidRPr="00E44ACA">
              <w:rPr>
                <w:rFonts w:cs="Arial"/>
              </w:rPr>
              <w:t>NR</w:t>
            </w:r>
          </w:p>
        </w:tc>
      </w:tr>
      <w:tr w:rsidR="00345E49" w14:paraId="3CB01A4C" w14:textId="77777777" w:rsidTr="00A14777">
        <w:tc>
          <w:tcPr>
            <w:tcW w:w="3114" w:type="dxa"/>
          </w:tcPr>
          <w:p w14:paraId="70C13006" w14:textId="77777777" w:rsidR="00345E49" w:rsidRPr="00E44ACA" w:rsidRDefault="00345E49" w:rsidP="00A14777">
            <w:pPr>
              <w:pStyle w:val="TableText"/>
              <w:rPr>
                <w:rFonts w:cs="Arial"/>
              </w:rPr>
            </w:pPr>
            <w:r w:rsidRPr="00E44ACA">
              <w:rPr>
                <w:rFonts w:cs="Arial"/>
              </w:rPr>
              <w:t>Sweat Chloride</w:t>
            </w:r>
          </w:p>
          <w:p w14:paraId="3E5C5050" w14:textId="77777777" w:rsidR="00345E49" w:rsidRPr="00E44ACA" w:rsidRDefault="00345E49" w:rsidP="00A14777">
            <w:pPr>
              <w:pStyle w:val="TableText"/>
              <w:rPr>
                <w:rFonts w:cs="Arial"/>
              </w:rPr>
            </w:pPr>
            <w:r w:rsidRPr="00E44ACA">
              <w:rPr>
                <w:rFonts w:cs="Arial"/>
              </w:rPr>
              <w:t>Baseline, mean (SD)</w:t>
            </w:r>
          </w:p>
          <w:p w14:paraId="7681E9BF" w14:textId="77777777" w:rsidR="00345E49" w:rsidRPr="00E44ACA" w:rsidRDefault="00345E49" w:rsidP="00A14777">
            <w:pPr>
              <w:pStyle w:val="TableText"/>
              <w:rPr>
                <w:rFonts w:cs="Arial"/>
              </w:rPr>
            </w:pPr>
            <w:r w:rsidRPr="00E44ACA">
              <w:rPr>
                <w:rFonts w:cs="Arial"/>
              </w:rPr>
              <w:t>Change to 24wk, LS mean (95% CI)</w:t>
            </w:r>
          </w:p>
        </w:tc>
        <w:tc>
          <w:tcPr>
            <w:tcW w:w="1843" w:type="dxa"/>
          </w:tcPr>
          <w:p w14:paraId="70F138AC" w14:textId="77777777" w:rsidR="00345E49" w:rsidRPr="00E44ACA" w:rsidRDefault="00345E49" w:rsidP="00A14777">
            <w:pPr>
              <w:pStyle w:val="TableText"/>
              <w:rPr>
                <w:rFonts w:cs="Arial"/>
              </w:rPr>
            </w:pPr>
          </w:p>
          <w:p w14:paraId="71181B16" w14:textId="77777777" w:rsidR="00345E49" w:rsidRPr="00E44ACA" w:rsidRDefault="00345E49" w:rsidP="00A14777">
            <w:pPr>
              <w:pStyle w:val="TableText"/>
              <w:rPr>
                <w:rFonts w:cs="Arial"/>
              </w:rPr>
            </w:pPr>
            <w:r w:rsidRPr="00E44ACA">
              <w:rPr>
                <w:rFonts w:cs="Arial"/>
              </w:rPr>
              <w:t>76.0 (30.0)</w:t>
            </w:r>
          </w:p>
          <w:p w14:paraId="44D41DE4" w14:textId="77777777" w:rsidR="00345E49" w:rsidRPr="00E44ACA" w:rsidRDefault="00345E49" w:rsidP="00A14777">
            <w:pPr>
              <w:pStyle w:val="TableText"/>
              <w:rPr>
                <w:rFonts w:cs="Arial"/>
              </w:rPr>
            </w:pPr>
            <w:r w:rsidRPr="00E44ACA">
              <w:rPr>
                <w:rFonts w:cs="Arial"/>
              </w:rPr>
              <w:t>-0.8 (-2.8, 1.2)</w:t>
            </w:r>
          </w:p>
        </w:tc>
        <w:tc>
          <w:tcPr>
            <w:tcW w:w="2126" w:type="dxa"/>
          </w:tcPr>
          <w:p w14:paraId="188B9A42" w14:textId="77777777" w:rsidR="00345E49" w:rsidRPr="00E44ACA" w:rsidRDefault="00345E49" w:rsidP="00A14777">
            <w:pPr>
              <w:pStyle w:val="TableText"/>
              <w:rPr>
                <w:rFonts w:cs="Arial"/>
              </w:rPr>
            </w:pPr>
          </w:p>
          <w:p w14:paraId="3EA99511" w14:textId="77777777" w:rsidR="00345E49" w:rsidRPr="00E44ACA" w:rsidRDefault="00345E49" w:rsidP="00A14777">
            <w:pPr>
              <w:pStyle w:val="TableText"/>
              <w:rPr>
                <w:rFonts w:cs="Arial"/>
              </w:rPr>
            </w:pPr>
            <w:r w:rsidRPr="00E44ACA">
              <w:rPr>
                <w:rFonts w:cs="Arial"/>
              </w:rPr>
              <w:t>79.3 (26.4)</w:t>
            </w:r>
          </w:p>
          <w:p w14:paraId="0AC884C5" w14:textId="77777777" w:rsidR="00345E49" w:rsidRPr="00E44ACA" w:rsidRDefault="00345E49" w:rsidP="00A14777">
            <w:pPr>
              <w:pStyle w:val="TableText"/>
              <w:rPr>
                <w:rFonts w:cs="Arial"/>
              </w:rPr>
            </w:pPr>
            <w:r w:rsidRPr="00E44ACA">
              <w:rPr>
                <w:rFonts w:cs="Arial"/>
              </w:rPr>
              <w:t>-15.4 (-17.7, -13.1)</w:t>
            </w:r>
          </w:p>
        </w:tc>
        <w:tc>
          <w:tcPr>
            <w:tcW w:w="1933" w:type="dxa"/>
          </w:tcPr>
          <w:p w14:paraId="499A3A01" w14:textId="77777777" w:rsidR="00345E49" w:rsidRPr="00E44ACA" w:rsidRDefault="00345E49" w:rsidP="00A14777">
            <w:pPr>
              <w:pStyle w:val="TableText"/>
              <w:rPr>
                <w:rFonts w:cs="Arial"/>
              </w:rPr>
            </w:pPr>
            <w:r w:rsidRPr="00E44ACA">
              <w:rPr>
                <w:rFonts w:cs="Arial"/>
              </w:rPr>
              <w:t>NR</w:t>
            </w:r>
          </w:p>
        </w:tc>
      </w:tr>
      <w:tr w:rsidR="00345E49" w14:paraId="6CB286C7" w14:textId="77777777" w:rsidTr="00A14777">
        <w:tc>
          <w:tcPr>
            <w:tcW w:w="3114" w:type="dxa"/>
          </w:tcPr>
          <w:p w14:paraId="4AED9898" w14:textId="77777777" w:rsidR="00345E49" w:rsidRPr="00E44ACA" w:rsidRDefault="00345E49" w:rsidP="00A14777">
            <w:pPr>
              <w:pStyle w:val="TableText"/>
              <w:rPr>
                <w:rFonts w:cs="Arial"/>
              </w:rPr>
            </w:pPr>
            <w:r w:rsidRPr="00E44ACA">
              <w:rPr>
                <w:rFonts w:cs="Arial"/>
              </w:rPr>
              <w:t>CFQ-R RD Score</w:t>
            </w:r>
          </w:p>
          <w:p w14:paraId="1803E7E5" w14:textId="77777777" w:rsidR="00345E49" w:rsidRPr="00E44ACA" w:rsidRDefault="00345E49" w:rsidP="00A14777">
            <w:pPr>
              <w:pStyle w:val="TableText"/>
              <w:rPr>
                <w:rFonts w:cs="Arial"/>
              </w:rPr>
            </w:pPr>
            <w:r w:rsidRPr="00E44ACA">
              <w:rPr>
                <w:rFonts w:cs="Arial"/>
              </w:rPr>
              <w:t>Baseline, mean (SD)</w:t>
            </w:r>
          </w:p>
          <w:p w14:paraId="68E40C83" w14:textId="77777777" w:rsidR="00345E49" w:rsidRPr="00E44ACA" w:rsidRDefault="00345E49" w:rsidP="00A14777">
            <w:pPr>
              <w:pStyle w:val="TableText"/>
              <w:rPr>
                <w:rFonts w:cs="Arial"/>
              </w:rPr>
            </w:pPr>
            <w:r w:rsidRPr="00E44ACA">
              <w:rPr>
                <w:rFonts w:cs="Arial"/>
              </w:rPr>
              <w:t>Change to 24wk, LS mean (95% CI)</w:t>
            </w:r>
          </w:p>
        </w:tc>
        <w:tc>
          <w:tcPr>
            <w:tcW w:w="1843" w:type="dxa"/>
          </w:tcPr>
          <w:p w14:paraId="0FC0F301" w14:textId="77777777" w:rsidR="00345E49" w:rsidRPr="00E44ACA" w:rsidRDefault="00345E49" w:rsidP="00A14777">
            <w:pPr>
              <w:pStyle w:val="TableText"/>
              <w:rPr>
                <w:rFonts w:cs="Arial"/>
              </w:rPr>
            </w:pPr>
          </w:p>
          <w:p w14:paraId="7837390A" w14:textId="77777777" w:rsidR="00345E49" w:rsidRPr="00E44ACA" w:rsidRDefault="00345E49" w:rsidP="00A14777">
            <w:pPr>
              <w:pStyle w:val="TableText"/>
              <w:rPr>
                <w:rFonts w:cs="Arial"/>
              </w:rPr>
            </w:pPr>
            <w:r w:rsidRPr="00E44ACA">
              <w:rPr>
                <w:rFonts w:cs="Arial"/>
              </w:rPr>
              <w:t>62.4 (24.6)</w:t>
            </w:r>
          </w:p>
          <w:p w14:paraId="79942000" w14:textId="77777777" w:rsidR="00345E49" w:rsidRPr="00E44ACA" w:rsidRDefault="00345E49" w:rsidP="00A14777">
            <w:pPr>
              <w:pStyle w:val="TableText"/>
              <w:rPr>
                <w:rFonts w:cs="Arial"/>
              </w:rPr>
            </w:pPr>
            <w:r w:rsidRPr="00E44ACA">
              <w:rPr>
                <w:rFonts w:cs="Arial"/>
              </w:rPr>
              <w:t>-0.5 (-5.7, 4.7)</w:t>
            </w:r>
          </w:p>
        </w:tc>
        <w:tc>
          <w:tcPr>
            <w:tcW w:w="2126" w:type="dxa"/>
          </w:tcPr>
          <w:p w14:paraId="429CAB71" w14:textId="77777777" w:rsidR="00345E49" w:rsidRPr="00E44ACA" w:rsidRDefault="00345E49" w:rsidP="00A14777">
            <w:pPr>
              <w:pStyle w:val="TableText"/>
              <w:rPr>
                <w:rFonts w:cs="Arial"/>
              </w:rPr>
            </w:pPr>
          </w:p>
          <w:p w14:paraId="0F69E93E" w14:textId="77777777" w:rsidR="00345E49" w:rsidRPr="00E44ACA" w:rsidRDefault="00345E49" w:rsidP="00A14777">
            <w:pPr>
              <w:pStyle w:val="TableText"/>
              <w:rPr>
                <w:rFonts w:cs="Arial"/>
              </w:rPr>
            </w:pPr>
            <w:r w:rsidRPr="00E44ACA">
              <w:rPr>
                <w:rFonts w:cs="Arial"/>
              </w:rPr>
              <w:t>62.4 (21.4)</w:t>
            </w:r>
          </w:p>
          <w:p w14:paraId="6D25A52B" w14:textId="77777777" w:rsidR="00345E49" w:rsidRPr="00E44ACA" w:rsidRDefault="00345E49" w:rsidP="00A14777">
            <w:pPr>
              <w:pStyle w:val="TableText"/>
              <w:rPr>
                <w:rFonts w:cs="Arial"/>
              </w:rPr>
            </w:pPr>
            <w:r w:rsidRPr="00E44ACA">
              <w:rPr>
                <w:rFonts w:cs="Arial"/>
              </w:rPr>
              <w:t>17.7 (13.5, 22.0)</w:t>
            </w:r>
          </w:p>
        </w:tc>
        <w:tc>
          <w:tcPr>
            <w:tcW w:w="1933" w:type="dxa"/>
          </w:tcPr>
          <w:p w14:paraId="583E64EC" w14:textId="77777777" w:rsidR="00345E49" w:rsidRPr="00E44ACA" w:rsidRDefault="00345E49" w:rsidP="00A14777">
            <w:pPr>
              <w:pStyle w:val="TableText"/>
              <w:rPr>
                <w:rFonts w:cs="Arial"/>
              </w:rPr>
            </w:pPr>
            <w:r>
              <w:t>NR</w:t>
            </w:r>
          </w:p>
        </w:tc>
      </w:tr>
    </w:tbl>
    <w:p w14:paraId="17E9605B" w14:textId="77777777" w:rsidR="00345E49" w:rsidRPr="00963E3E" w:rsidRDefault="00345E49" w:rsidP="00464596">
      <w:pPr>
        <w:pStyle w:val="TableFigureFooter"/>
        <w:rPr>
          <w:i w:val="0"/>
          <w:iCs w:val="0"/>
          <w:vertAlign w:val="baseline"/>
        </w:rPr>
      </w:pPr>
      <w:r w:rsidRPr="00963E3E">
        <w:rPr>
          <w:i w:val="0"/>
          <w:iCs w:val="0"/>
          <w:vertAlign w:val="baseline"/>
        </w:rPr>
        <w:t xml:space="preserve">Source: VX21-445-124 CSR: Table 11-2, p51; Table 11-3, p53; Table 11-4, p55; Table 11-5, p57; Table 11-7, p61; Table 11-11, p66; Table 11-12, p67. </w:t>
      </w:r>
    </w:p>
    <w:p w14:paraId="6F223149" w14:textId="77777777" w:rsidR="00345E49" w:rsidRPr="00963E3E" w:rsidRDefault="00345E49" w:rsidP="00464596">
      <w:pPr>
        <w:pStyle w:val="TableFigureFooter"/>
        <w:rPr>
          <w:i w:val="0"/>
          <w:iCs w:val="0"/>
          <w:vertAlign w:val="baseline"/>
        </w:rPr>
      </w:pPr>
      <w:r w:rsidRPr="00963E3E">
        <w:rPr>
          <w:i w:val="0"/>
          <w:iCs w:val="0"/>
          <w:vertAlign w:val="baseline"/>
        </w:rPr>
        <w:lastRenderedPageBreak/>
        <w:t xml:space="preserve">CFQ-R RD = </w:t>
      </w:r>
      <w:r w:rsidRPr="00963E3E">
        <w:rPr>
          <w:rFonts w:eastAsia="MS Mincho"/>
          <w:i w:val="0"/>
          <w:iCs w:val="0"/>
          <w:vertAlign w:val="baseline"/>
          <w:lang w:val="en-US"/>
        </w:rPr>
        <w:t>Cystic Fibrosis Questionnaire–Revised respiratory domain</w:t>
      </w:r>
      <w:r w:rsidRPr="00963E3E">
        <w:rPr>
          <w:i w:val="0"/>
          <w:iCs w:val="0"/>
          <w:vertAlign w:val="baseline"/>
          <w:lang w:val="en-US"/>
        </w:rPr>
        <w:t>;</w:t>
      </w:r>
      <w:r w:rsidRPr="00963E3E">
        <w:rPr>
          <w:i w:val="0"/>
          <w:iCs w:val="0"/>
          <w:vertAlign w:val="baseline"/>
        </w:rPr>
        <w:t xml:space="preserve"> CFTR = cystic fibrosis transmembrane conductance regulator; FRT = Fisher rat thyroid; LS = least squares; NR = not reported; ppFEV1 = percent predicted forced expiratory volume in one second; SD = standard deviation. </w:t>
      </w:r>
    </w:p>
    <w:p w14:paraId="0DC9C07F" w14:textId="77777777" w:rsidR="00345E49" w:rsidRPr="00963E3E" w:rsidRDefault="00345E49" w:rsidP="00464596">
      <w:pPr>
        <w:pStyle w:val="TableFigureFooter"/>
        <w:rPr>
          <w:i w:val="0"/>
          <w:iCs w:val="0"/>
          <w:vertAlign w:val="baseline"/>
        </w:rPr>
      </w:pPr>
      <w:r w:rsidRPr="00963E3E">
        <w:rPr>
          <w:i w:val="0"/>
          <w:iCs w:val="0"/>
          <w:vertAlign w:val="baseline"/>
        </w:rPr>
        <w:t xml:space="preserve">1 Numbers in the FRT-responsive mutation and splice mutation subgroups do not add to 102 and 205 because patients with an FRT-responsive mutation and a splice mutation were included in both groups (p69 of the submission). </w:t>
      </w:r>
    </w:p>
    <w:p w14:paraId="7043D63C" w14:textId="20D427AD" w:rsidR="00345E49" w:rsidRDefault="00345E49" w:rsidP="00345E49">
      <w:pPr>
        <w:pStyle w:val="3-BodyText"/>
        <w:numPr>
          <w:ilvl w:val="1"/>
          <w:numId w:val="1"/>
        </w:numPr>
        <w:rPr>
          <w:i/>
          <w:iCs/>
        </w:rPr>
      </w:pPr>
      <w:r>
        <w:t xml:space="preserve">The key results from Study CFD-106 and Cromwell 2024 are shown in </w:t>
      </w:r>
      <w:r>
        <w:fldChar w:fldCharType="begin"/>
      </w:r>
      <w:r>
        <w:instrText xml:space="preserve"> REF _Ref187745831 \h </w:instrText>
      </w:r>
      <w:r>
        <w:fldChar w:fldCharType="separate"/>
      </w:r>
      <w:r w:rsidR="00343156">
        <w:t>Table 8</w:t>
      </w:r>
      <w:r>
        <w:fldChar w:fldCharType="end"/>
      </w:r>
      <w:r w:rsidR="003746D7">
        <w:t>.</w:t>
      </w:r>
      <w:r>
        <w:t xml:space="preserve"> </w:t>
      </w:r>
      <w:r w:rsidRPr="003746D7">
        <w:t>While reported separately in the submission,</w:t>
      </w:r>
      <w:r w:rsidRPr="00047165">
        <w:rPr>
          <w:i/>
          <w:iCs/>
        </w:rPr>
        <w:t xml:space="preserve"> </w:t>
      </w:r>
      <w:r w:rsidRPr="00716907">
        <w:t xml:space="preserve">it appears that Study CFD-016 (published as Mahic, 2024) and Cromwell, 2024 report essentially the same patients, with the slight differences shown in </w:t>
      </w:r>
      <w:r w:rsidRPr="00716907">
        <w:fldChar w:fldCharType="begin"/>
      </w:r>
      <w:r w:rsidRPr="00716907">
        <w:instrText xml:space="preserve"> REF _Ref187745831 \h </w:instrText>
      </w:r>
      <w:r w:rsidR="00716907">
        <w:instrText xml:space="preserve"> \* MERGEFORMAT </w:instrText>
      </w:r>
      <w:r w:rsidRPr="00716907">
        <w:fldChar w:fldCharType="separate"/>
      </w:r>
      <w:r w:rsidR="00343156">
        <w:t xml:space="preserve">Table </w:t>
      </w:r>
      <w:r w:rsidR="00343156">
        <w:rPr>
          <w:noProof/>
        </w:rPr>
        <w:t>8</w:t>
      </w:r>
      <w:r w:rsidRPr="00716907">
        <w:fldChar w:fldCharType="end"/>
      </w:r>
      <w:r w:rsidRPr="00716907">
        <w:t>.</w:t>
      </w:r>
    </w:p>
    <w:p w14:paraId="033DE548" w14:textId="4E55F6A6" w:rsidR="00345E49" w:rsidRPr="00345E49" w:rsidRDefault="00345E49" w:rsidP="00345E49">
      <w:pPr>
        <w:pStyle w:val="3-BodyText"/>
      </w:pPr>
      <w:r w:rsidRPr="00EB4567">
        <w:t>Mean and median increases in ppFEV</w:t>
      </w:r>
      <w:r w:rsidRPr="00D170A1">
        <w:rPr>
          <w:vertAlign w:val="subscript"/>
        </w:rPr>
        <w:t>1</w:t>
      </w:r>
      <w:r w:rsidRPr="00EB4567">
        <w:t xml:space="preserve"> in these patients were small. In CFD-016 </w:t>
      </w:r>
      <w:r>
        <w:t>r</w:t>
      </w:r>
      <w:r w:rsidRPr="00EB4567">
        <w:t>esponse was highly variable, from marked deterioration to marked improvement</w:t>
      </w:r>
      <w:r>
        <w:t>, and</w:t>
      </w:r>
      <w:r w:rsidRPr="00EB4567">
        <w:t xml:space="preserve"> close to 50% of patients recorded a </w:t>
      </w:r>
      <w:r w:rsidRPr="00716907">
        <w:t xml:space="preserve">fall </w:t>
      </w:r>
      <w:r w:rsidRPr="00EB4567">
        <w:t>in ppFEV</w:t>
      </w:r>
      <w:r w:rsidRPr="00D170A1">
        <w:rPr>
          <w:vertAlign w:val="subscript"/>
        </w:rPr>
        <w:t>1</w:t>
      </w:r>
      <w:r w:rsidRPr="00EB4567">
        <w:t xml:space="preserve"> during </w:t>
      </w:r>
      <w:r>
        <w:t>ELX/TEZ/IVA</w:t>
      </w:r>
      <w:r w:rsidRPr="00EB4567">
        <w:t xml:space="preserve"> treatment.</w:t>
      </w:r>
      <w:r>
        <w:t xml:space="preserve"> </w:t>
      </w:r>
    </w:p>
    <w:p w14:paraId="699D2897" w14:textId="6E8D9D99" w:rsidR="00345E49" w:rsidRPr="00F034D5" w:rsidRDefault="00345E49" w:rsidP="00345E49">
      <w:pPr>
        <w:pStyle w:val="TableFigureHeading"/>
      </w:pPr>
      <w:bookmarkStart w:id="40" w:name="_Ref187745831"/>
      <w:r>
        <w:t xml:space="preserve">Table </w:t>
      </w:r>
      <w:r w:rsidR="00F8790A">
        <w:t>8</w:t>
      </w:r>
      <w:bookmarkEnd w:id="40"/>
      <w:r>
        <w:t xml:space="preserve">: </w:t>
      </w:r>
      <w:r w:rsidRPr="00F034D5">
        <w:t>Changes in ppFEV</w:t>
      </w:r>
      <w:r w:rsidRPr="004309CD">
        <w:rPr>
          <w:vertAlign w:val="subscript"/>
        </w:rPr>
        <w:t>1</w:t>
      </w:r>
      <w:r w:rsidRPr="00F034D5">
        <w:t xml:space="preserve"> with ETI treatment in study CFD-016 and Cromwell, 2024</w:t>
      </w:r>
    </w:p>
    <w:tbl>
      <w:tblPr>
        <w:tblStyle w:val="TableGrid"/>
        <w:tblW w:w="0" w:type="auto"/>
        <w:tblLook w:val="04A0" w:firstRow="1" w:lastRow="0" w:firstColumn="1" w:lastColumn="0" w:noHBand="0" w:noVBand="1"/>
      </w:tblPr>
      <w:tblGrid>
        <w:gridCol w:w="3005"/>
        <w:gridCol w:w="3005"/>
        <w:gridCol w:w="3006"/>
      </w:tblGrid>
      <w:tr w:rsidR="00345E49" w:rsidRPr="00EB4567" w14:paraId="1DD8129C" w14:textId="77777777" w:rsidTr="00A14777">
        <w:tc>
          <w:tcPr>
            <w:tcW w:w="3005" w:type="dxa"/>
          </w:tcPr>
          <w:p w14:paraId="4D2B0637" w14:textId="77777777" w:rsidR="00345E49" w:rsidRPr="00EB4567" w:rsidRDefault="00345E49" w:rsidP="00A14777">
            <w:pPr>
              <w:rPr>
                <w:rFonts w:ascii="Arial Narrow" w:hAnsi="Arial Narrow"/>
                <w:sz w:val="20"/>
                <w:szCs w:val="20"/>
              </w:rPr>
            </w:pPr>
          </w:p>
        </w:tc>
        <w:tc>
          <w:tcPr>
            <w:tcW w:w="3005" w:type="dxa"/>
          </w:tcPr>
          <w:p w14:paraId="069A5243" w14:textId="77777777" w:rsidR="00345E49" w:rsidRPr="00E44ACA" w:rsidRDefault="00345E49" w:rsidP="00A14777">
            <w:pPr>
              <w:pStyle w:val="In-tableHeading"/>
            </w:pPr>
            <w:r w:rsidRPr="00E44ACA">
              <w:t>ppFEV</w:t>
            </w:r>
            <w:r w:rsidRPr="004309CD">
              <w:rPr>
                <w:vertAlign w:val="subscript"/>
              </w:rPr>
              <w:t>1</w:t>
            </w:r>
            <w:r w:rsidRPr="00E44ACA">
              <w:t xml:space="preserve"> at Baseline</w:t>
            </w:r>
          </w:p>
        </w:tc>
        <w:tc>
          <w:tcPr>
            <w:tcW w:w="3006" w:type="dxa"/>
          </w:tcPr>
          <w:p w14:paraId="6952857E" w14:textId="77777777" w:rsidR="00345E49" w:rsidRPr="00E44ACA" w:rsidRDefault="00345E49" w:rsidP="00A14777">
            <w:pPr>
              <w:pStyle w:val="In-tableHeading"/>
            </w:pPr>
            <w:r w:rsidRPr="00E44ACA">
              <w:t>Change in ppFEV</w:t>
            </w:r>
            <w:r w:rsidRPr="004309CD">
              <w:rPr>
                <w:vertAlign w:val="subscript"/>
              </w:rPr>
              <w:t>1</w:t>
            </w:r>
            <w:r w:rsidRPr="00E44ACA">
              <w:t xml:space="preserve"> to End of Treatment</w:t>
            </w:r>
          </w:p>
        </w:tc>
      </w:tr>
      <w:tr w:rsidR="00345E49" w:rsidRPr="00EB4567" w14:paraId="35EA7466" w14:textId="77777777" w:rsidTr="00A14777">
        <w:tc>
          <w:tcPr>
            <w:tcW w:w="9016" w:type="dxa"/>
            <w:gridSpan w:val="3"/>
          </w:tcPr>
          <w:p w14:paraId="054EAA5D" w14:textId="77777777" w:rsidR="00345E49" w:rsidRPr="00D170A1" w:rsidRDefault="00345E49" w:rsidP="00A14777">
            <w:pPr>
              <w:rPr>
                <w:rFonts w:ascii="Arial Narrow" w:hAnsi="Arial Narrow"/>
                <w:b/>
                <w:bCs/>
                <w:sz w:val="20"/>
                <w:szCs w:val="20"/>
              </w:rPr>
            </w:pPr>
            <w:r w:rsidRPr="00D170A1">
              <w:rPr>
                <w:rFonts w:ascii="Arial Narrow" w:hAnsi="Arial Narrow"/>
                <w:b/>
                <w:bCs/>
                <w:sz w:val="20"/>
                <w:szCs w:val="20"/>
              </w:rPr>
              <w:t>CFD-016 All Patients, N = 352</w:t>
            </w:r>
          </w:p>
        </w:tc>
      </w:tr>
      <w:tr w:rsidR="00345E49" w:rsidRPr="00EB4567" w14:paraId="38E972BD" w14:textId="77777777" w:rsidTr="00A14777">
        <w:tc>
          <w:tcPr>
            <w:tcW w:w="3005" w:type="dxa"/>
          </w:tcPr>
          <w:p w14:paraId="7E8032E2"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Mean (SD)</w:t>
            </w:r>
          </w:p>
          <w:p w14:paraId="172D1365"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95% CI</w:t>
            </w:r>
          </w:p>
        </w:tc>
        <w:tc>
          <w:tcPr>
            <w:tcW w:w="3005" w:type="dxa"/>
          </w:tcPr>
          <w:p w14:paraId="374DD6F1"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75.8 (18.0)</w:t>
            </w:r>
          </w:p>
          <w:p w14:paraId="403BBFCE"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73.9, 77.6</w:t>
            </w:r>
          </w:p>
        </w:tc>
        <w:tc>
          <w:tcPr>
            <w:tcW w:w="3006" w:type="dxa"/>
          </w:tcPr>
          <w:p w14:paraId="4F3A1D06"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4.5 (9.8)</w:t>
            </w:r>
          </w:p>
          <w:p w14:paraId="03784B32"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3.5, 5.6</w:t>
            </w:r>
          </w:p>
        </w:tc>
      </w:tr>
      <w:tr w:rsidR="00345E49" w:rsidRPr="00EB4567" w14:paraId="0355AECC" w14:textId="77777777" w:rsidTr="00A14777">
        <w:tc>
          <w:tcPr>
            <w:tcW w:w="3005" w:type="dxa"/>
          </w:tcPr>
          <w:p w14:paraId="6EE391A0"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Median (range)</w:t>
            </w:r>
          </w:p>
        </w:tc>
        <w:tc>
          <w:tcPr>
            <w:tcW w:w="3005" w:type="dxa"/>
          </w:tcPr>
          <w:p w14:paraId="2B56A694"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80.6 (31.3, 100)</w:t>
            </w:r>
          </w:p>
        </w:tc>
        <w:tc>
          <w:tcPr>
            <w:tcW w:w="3006" w:type="dxa"/>
          </w:tcPr>
          <w:p w14:paraId="3641548E"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2.8 (-31.7, 59.2)</w:t>
            </w:r>
          </w:p>
        </w:tc>
      </w:tr>
      <w:tr w:rsidR="00345E49" w:rsidRPr="00EB4567" w14:paraId="14E99CCB" w14:textId="77777777" w:rsidTr="00A14777">
        <w:tc>
          <w:tcPr>
            <w:tcW w:w="9016" w:type="dxa"/>
            <w:gridSpan w:val="3"/>
          </w:tcPr>
          <w:p w14:paraId="091F681C" w14:textId="77777777" w:rsidR="00345E49" w:rsidRPr="00D170A1" w:rsidRDefault="00345E49" w:rsidP="00A14777">
            <w:pPr>
              <w:rPr>
                <w:rFonts w:ascii="Arial Narrow" w:hAnsi="Arial Narrow"/>
                <w:b/>
                <w:bCs/>
                <w:sz w:val="20"/>
                <w:szCs w:val="20"/>
              </w:rPr>
            </w:pPr>
            <w:r w:rsidRPr="00D170A1">
              <w:rPr>
                <w:rFonts w:ascii="Arial Narrow" w:hAnsi="Arial Narrow"/>
                <w:b/>
                <w:bCs/>
                <w:sz w:val="20"/>
                <w:szCs w:val="20"/>
              </w:rPr>
              <w:t>CFD-016 CFTRM Naïve, N = 154</w:t>
            </w:r>
          </w:p>
        </w:tc>
      </w:tr>
      <w:tr w:rsidR="00345E49" w:rsidRPr="00EB4567" w14:paraId="1DED8A33" w14:textId="77777777" w:rsidTr="00A14777">
        <w:tc>
          <w:tcPr>
            <w:tcW w:w="3005" w:type="dxa"/>
          </w:tcPr>
          <w:p w14:paraId="6130C813"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Mean (SD)</w:t>
            </w:r>
          </w:p>
          <w:p w14:paraId="277860D0"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95% CI</w:t>
            </w:r>
          </w:p>
        </w:tc>
        <w:tc>
          <w:tcPr>
            <w:tcW w:w="3005" w:type="dxa"/>
          </w:tcPr>
          <w:p w14:paraId="5026D238"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76.4 (17.5)</w:t>
            </w:r>
          </w:p>
          <w:p w14:paraId="7C5B9332"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73.6, 79.2</w:t>
            </w:r>
          </w:p>
        </w:tc>
        <w:tc>
          <w:tcPr>
            <w:tcW w:w="3006" w:type="dxa"/>
          </w:tcPr>
          <w:p w14:paraId="602AD1BC"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6.11 (10.7)</w:t>
            </w:r>
          </w:p>
          <w:p w14:paraId="65BCFAC7"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4.4, 7.8</w:t>
            </w:r>
          </w:p>
        </w:tc>
      </w:tr>
      <w:tr w:rsidR="00345E49" w:rsidRPr="00EB4567" w14:paraId="4D5F68DD" w14:textId="77777777" w:rsidTr="00A14777">
        <w:tc>
          <w:tcPr>
            <w:tcW w:w="3005" w:type="dxa"/>
          </w:tcPr>
          <w:p w14:paraId="3CDB7B34"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Median (range)</w:t>
            </w:r>
          </w:p>
        </w:tc>
        <w:tc>
          <w:tcPr>
            <w:tcW w:w="3005" w:type="dxa"/>
          </w:tcPr>
          <w:p w14:paraId="4B1247F7"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80.8 (32.1, 99.8)</w:t>
            </w:r>
          </w:p>
        </w:tc>
        <w:tc>
          <w:tcPr>
            <w:tcW w:w="3006" w:type="dxa"/>
          </w:tcPr>
          <w:p w14:paraId="175FB2EA"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4.4 (-20.4, 59.2)</w:t>
            </w:r>
          </w:p>
        </w:tc>
      </w:tr>
      <w:tr w:rsidR="00345E49" w:rsidRPr="00EB4567" w14:paraId="1636D270" w14:textId="77777777" w:rsidTr="00A14777">
        <w:tc>
          <w:tcPr>
            <w:tcW w:w="9016" w:type="dxa"/>
            <w:gridSpan w:val="3"/>
          </w:tcPr>
          <w:p w14:paraId="6046C66B" w14:textId="77777777" w:rsidR="00345E49" w:rsidRPr="00D170A1" w:rsidRDefault="00345E49" w:rsidP="00A14777">
            <w:pPr>
              <w:rPr>
                <w:rFonts w:ascii="Arial Narrow" w:hAnsi="Arial Narrow"/>
                <w:b/>
                <w:bCs/>
                <w:sz w:val="20"/>
                <w:szCs w:val="20"/>
              </w:rPr>
            </w:pPr>
            <w:r w:rsidRPr="00D170A1">
              <w:rPr>
                <w:rFonts w:ascii="Arial Narrow" w:hAnsi="Arial Narrow"/>
                <w:b/>
                <w:bCs/>
                <w:sz w:val="20"/>
                <w:szCs w:val="20"/>
              </w:rPr>
              <w:t>CFD-016 CFTRm Treated, N = 197</w:t>
            </w:r>
          </w:p>
        </w:tc>
      </w:tr>
      <w:tr w:rsidR="00345E49" w:rsidRPr="00EB4567" w14:paraId="47D59988" w14:textId="77777777" w:rsidTr="00A14777">
        <w:tc>
          <w:tcPr>
            <w:tcW w:w="3005" w:type="dxa"/>
          </w:tcPr>
          <w:p w14:paraId="5033C4D0"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Mean (SD)</w:t>
            </w:r>
          </w:p>
          <w:p w14:paraId="6D124D41"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95% CI</w:t>
            </w:r>
          </w:p>
        </w:tc>
        <w:tc>
          <w:tcPr>
            <w:tcW w:w="3005" w:type="dxa"/>
          </w:tcPr>
          <w:p w14:paraId="722AB3D1"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75.4 (18.2)</w:t>
            </w:r>
          </w:p>
          <w:p w14:paraId="6B4146D8"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72.9, 78.0</w:t>
            </w:r>
          </w:p>
        </w:tc>
        <w:tc>
          <w:tcPr>
            <w:tcW w:w="3006" w:type="dxa"/>
          </w:tcPr>
          <w:p w14:paraId="4247B84A"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3.3 (9.0)</w:t>
            </w:r>
          </w:p>
          <w:p w14:paraId="5475D768"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3.5, 5.6</w:t>
            </w:r>
          </w:p>
        </w:tc>
      </w:tr>
      <w:tr w:rsidR="00345E49" w:rsidRPr="00EB4567" w14:paraId="62D7DDEF" w14:textId="77777777" w:rsidTr="00A14777">
        <w:tc>
          <w:tcPr>
            <w:tcW w:w="3005" w:type="dxa"/>
          </w:tcPr>
          <w:p w14:paraId="686FCDB2"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Median (range)</w:t>
            </w:r>
          </w:p>
        </w:tc>
        <w:tc>
          <w:tcPr>
            <w:tcW w:w="3005" w:type="dxa"/>
          </w:tcPr>
          <w:p w14:paraId="243316F5"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80.6 (31.3, 100)</w:t>
            </w:r>
          </w:p>
        </w:tc>
        <w:tc>
          <w:tcPr>
            <w:tcW w:w="3006" w:type="dxa"/>
          </w:tcPr>
          <w:p w14:paraId="5704810E"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2.4 (-31.7, 54.8)</w:t>
            </w:r>
          </w:p>
        </w:tc>
      </w:tr>
      <w:tr w:rsidR="00345E49" w:rsidRPr="00EB4567" w14:paraId="160B2083" w14:textId="77777777" w:rsidTr="00A14777">
        <w:tc>
          <w:tcPr>
            <w:tcW w:w="9016" w:type="dxa"/>
            <w:gridSpan w:val="3"/>
          </w:tcPr>
          <w:p w14:paraId="0E6A1097" w14:textId="77777777" w:rsidR="00345E49" w:rsidRPr="00D170A1" w:rsidRDefault="00345E49" w:rsidP="00A14777">
            <w:pPr>
              <w:rPr>
                <w:rFonts w:ascii="Arial Narrow" w:hAnsi="Arial Narrow"/>
                <w:b/>
                <w:bCs/>
                <w:sz w:val="20"/>
                <w:szCs w:val="20"/>
              </w:rPr>
            </w:pPr>
            <w:r w:rsidRPr="00D170A1">
              <w:rPr>
                <w:rFonts w:ascii="Arial Narrow" w:hAnsi="Arial Narrow"/>
                <w:b/>
                <w:bCs/>
                <w:sz w:val="20"/>
                <w:szCs w:val="20"/>
              </w:rPr>
              <w:t>Cromwell, 2024, All Patients with ppFEV</w:t>
            </w:r>
            <w:r w:rsidRPr="00D170A1">
              <w:rPr>
                <w:rFonts w:ascii="Arial Narrow" w:hAnsi="Arial Narrow"/>
                <w:b/>
                <w:bCs/>
                <w:sz w:val="20"/>
                <w:szCs w:val="20"/>
                <w:vertAlign w:val="subscript"/>
              </w:rPr>
              <w:t>1</w:t>
            </w:r>
            <w:r w:rsidRPr="00D170A1">
              <w:rPr>
                <w:rFonts w:ascii="Arial Narrow" w:hAnsi="Arial Narrow"/>
                <w:b/>
                <w:bCs/>
                <w:sz w:val="20"/>
                <w:szCs w:val="20"/>
              </w:rPr>
              <w:t xml:space="preserve"> data, N = 546</w:t>
            </w:r>
          </w:p>
        </w:tc>
      </w:tr>
      <w:tr w:rsidR="00345E49" w:rsidRPr="00EB4567" w14:paraId="76204345" w14:textId="77777777" w:rsidTr="00A14777">
        <w:tc>
          <w:tcPr>
            <w:tcW w:w="3005" w:type="dxa"/>
          </w:tcPr>
          <w:p w14:paraId="43EB0925"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Median (IQR)</w:t>
            </w:r>
          </w:p>
        </w:tc>
        <w:tc>
          <w:tcPr>
            <w:tcW w:w="3005" w:type="dxa"/>
          </w:tcPr>
          <w:p w14:paraId="2ACABC31"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85.6 (61.8, 99.0)</w:t>
            </w:r>
          </w:p>
        </w:tc>
        <w:tc>
          <w:tcPr>
            <w:tcW w:w="3006" w:type="dxa"/>
          </w:tcPr>
          <w:p w14:paraId="3EA25EEB"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w:t>
            </w:r>
          </w:p>
        </w:tc>
      </w:tr>
      <w:tr w:rsidR="00345E49" w:rsidRPr="00EB4567" w14:paraId="3205F815" w14:textId="77777777" w:rsidTr="00A14777">
        <w:tc>
          <w:tcPr>
            <w:tcW w:w="3005" w:type="dxa"/>
          </w:tcPr>
          <w:p w14:paraId="4EC1AF78"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Model Estimated Mean Difference, (95% CI)</w:t>
            </w:r>
            <w:r w:rsidRPr="004309CD">
              <w:rPr>
                <w:rFonts w:ascii="Arial Narrow" w:hAnsi="Arial Narrow"/>
                <w:sz w:val="20"/>
                <w:szCs w:val="20"/>
                <w:vertAlign w:val="superscript"/>
              </w:rPr>
              <w:t>1</w:t>
            </w:r>
          </w:p>
        </w:tc>
        <w:tc>
          <w:tcPr>
            <w:tcW w:w="3005" w:type="dxa"/>
          </w:tcPr>
          <w:p w14:paraId="77755CBE"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 xml:space="preserve">- </w:t>
            </w:r>
          </w:p>
        </w:tc>
        <w:tc>
          <w:tcPr>
            <w:tcW w:w="3006" w:type="dxa"/>
          </w:tcPr>
          <w:p w14:paraId="6C73D02B"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3.4 (2.1, 4.6)</w:t>
            </w:r>
          </w:p>
        </w:tc>
      </w:tr>
      <w:tr w:rsidR="00345E49" w:rsidRPr="00EB4567" w14:paraId="0792DCA1" w14:textId="77777777" w:rsidTr="00A14777">
        <w:tc>
          <w:tcPr>
            <w:tcW w:w="9016" w:type="dxa"/>
            <w:gridSpan w:val="3"/>
          </w:tcPr>
          <w:p w14:paraId="2A0B1E37" w14:textId="77777777" w:rsidR="00345E49" w:rsidRPr="00D170A1" w:rsidRDefault="00345E49" w:rsidP="00A14777">
            <w:pPr>
              <w:rPr>
                <w:rFonts w:ascii="Arial Narrow" w:hAnsi="Arial Narrow"/>
                <w:b/>
                <w:bCs/>
                <w:sz w:val="20"/>
                <w:szCs w:val="20"/>
              </w:rPr>
            </w:pPr>
            <w:r w:rsidRPr="00D170A1">
              <w:rPr>
                <w:rFonts w:ascii="Arial Narrow" w:hAnsi="Arial Narrow"/>
                <w:b/>
                <w:bCs/>
                <w:sz w:val="20"/>
                <w:szCs w:val="20"/>
              </w:rPr>
              <w:t>Cromwell, 2024, Patients with ppFEV</w:t>
            </w:r>
            <w:r w:rsidRPr="00D170A1">
              <w:rPr>
                <w:rFonts w:ascii="Arial Narrow" w:hAnsi="Arial Narrow"/>
                <w:b/>
                <w:bCs/>
                <w:sz w:val="20"/>
                <w:szCs w:val="20"/>
                <w:vertAlign w:val="subscript"/>
              </w:rPr>
              <w:t>1</w:t>
            </w:r>
            <w:r w:rsidRPr="00D170A1">
              <w:rPr>
                <w:rFonts w:ascii="Arial Narrow" w:hAnsi="Arial Narrow"/>
                <w:b/>
                <w:bCs/>
                <w:sz w:val="20"/>
                <w:szCs w:val="20"/>
              </w:rPr>
              <w:t xml:space="preserve"> data CFTRm Naïve, N = 231</w:t>
            </w:r>
          </w:p>
        </w:tc>
      </w:tr>
      <w:tr w:rsidR="00345E49" w:rsidRPr="00EB4567" w14:paraId="4E6054C1" w14:textId="77777777" w:rsidTr="00A14777">
        <w:tc>
          <w:tcPr>
            <w:tcW w:w="3005" w:type="dxa"/>
          </w:tcPr>
          <w:p w14:paraId="2826CC41"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Median (IQR)</w:t>
            </w:r>
          </w:p>
        </w:tc>
        <w:tc>
          <w:tcPr>
            <w:tcW w:w="3005" w:type="dxa"/>
          </w:tcPr>
          <w:p w14:paraId="7376A331"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84.0 (59.8, 97.3)</w:t>
            </w:r>
          </w:p>
        </w:tc>
        <w:tc>
          <w:tcPr>
            <w:tcW w:w="3006" w:type="dxa"/>
          </w:tcPr>
          <w:p w14:paraId="295F76E1"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w:t>
            </w:r>
          </w:p>
        </w:tc>
      </w:tr>
      <w:tr w:rsidR="00345E49" w:rsidRPr="00EB4567" w14:paraId="4186C46D" w14:textId="77777777" w:rsidTr="00A14777">
        <w:tc>
          <w:tcPr>
            <w:tcW w:w="3005" w:type="dxa"/>
          </w:tcPr>
          <w:p w14:paraId="60A040BC"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Model Estimated Mean Difference, (95% CI)</w:t>
            </w:r>
            <w:r w:rsidRPr="004309CD">
              <w:rPr>
                <w:rFonts w:ascii="Arial Narrow" w:hAnsi="Arial Narrow"/>
                <w:sz w:val="20"/>
                <w:szCs w:val="20"/>
                <w:vertAlign w:val="superscript"/>
              </w:rPr>
              <w:t>1</w:t>
            </w:r>
          </w:p>
        </w:tc>
        <w:tc>
          <w:tcPr>
            <w:tcW w:w="3005" w:type="dxa"/>
          </w:tcPr>
          <w:p w14:paraId="7EE05737"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w:t>
            </w:r>
          </w:p>
        </w:tc>
        <w:tc>
          <w:tcPr>
            <w:tcW w:w="3006" w:type="dxa"/>
          </w:tcPr>
          <w:p w14:paraId="7F7EE0E6"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4.6 (2.8, 6.4)</w:t>
            </w:r>
          </w:p>
        </w:tc>
      </w:tr>
      <w:tr w:rsidR="00345E49" w:rsidRPr="00EB4567" w14:paraId="76C85645" w14:textId="77777777" w:rsidTr="00A14777">
        <w:tc>
          <w:tcPr>
            <w:tcW w:w="9016" w:type="dxa"/>
            <w:gridSpan w:val="3"/>
          </w:tcPr>
          <w:p w14:paraId="6A2A6096" w14:textId="77777777" w:rsidR="00345E49" w:rsidRPr="00D170A1" w:rsidRDefault="00345E49" w:rsidP="00A14777">
            <w:pPr>
              <w:rPr>
                <w:rFonts w:ascii="Arial Narrow" w:hAnsi="Arial Narrow"/>
                <w:b/>
                <w:bCs/>
                <w:sz w:val="20"/>
                <w:szCs w:val="20"/>
              </w:rPr>
            </w:pPr>
            <w:r w:rsidRPr="00D170A1">
              <w:rPr>
                <w:rFonts w:ascii="Arial Narrow" w:hAnsi="Arial Narrow"/>
                <w:b/>
                <w:bCs/>
                <w:sz w:val="20"/>
                <w:szCs w:val="20"/>
              </w:rPr>
              <w:t>Cromwell, 2024, Patients with ppFEV</w:t>
            </w:r>
            <w:r w:rsidRPr="00D170A1">
              <w:rPr>
                <w:rFonts w:ascii="Arial Narrow" w:hAnsi="Arial Narrow"/>
                <w:b/>
                <w:bCs/>
                <w:sz w:val="20"/>
                <w:szCs w:val="20"/>
                <w:vertAlign w:val="subscript"/>
              </w:rPr>
              <w:t>1</w:t>
            </w:r>
            <w:r w:rsidRPr="00D170A1">
              <w:rPr>
                <w:rFonts w:ascii="Arial Narrow" w:hAnsi="Arial Narrow"/>
                <w:b/>
                <w:bCs/>
                <w:sz w:val="20"/>
                <w:szCs w:val="20"/>
              </w:rPr>
              <w:t xml:space="preserve"> data CFTRm Treated, N = 315</w:t>
            </w:r>
          </w:p>
        </w:tc>
      </w:tr>
      <w:tr w:rsidR="00345E49" w:rsidRPr="00EB4567" w14:paraId="7CDB9F01" w14:textId="77777777" w:rsidTr="00A14777">
        <w:tc>
          <w:tcPr>
            <w:tcW w:w="3005" w:type="dxa"/>
          </w:tcPr>
          <w:p w14:paraId="7EA297F6"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Median (IQR)</w:t>
            </w:r>
          </w:p>
        </w:tc>
        <w:tc>
          <w:tcPr>
            <w:tcW w:w="3005" w:type="dxa"/>
          </w:tcPr>
          <w:p w14:paraId="3EACC528"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86.8 (63.4, 101.0)</w:t>
            </w:r>
          </w:p>
        </w:tc>
        <w:tc>
          <w:tcPr>
            <w:tcW w:w="3006" w:type="dxa"/>
          </w:tcPr>
          <w:p w14:paraId="05147510"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 xml:space="preserve">- </w:t>
            </w:r>
          </w:p>
        </w:tc>
      </w:tr>
      <w:tr w:rsidR="00345E49" w:rsidRPr="00EB4567" w14:paraId="58CC7540" w14:textId="77777777" w:rsidTr="00A14777">
        <w:tc>
          <w:tcPr>
            <w:tcW w:w="3005" w:type="dxa"/>
          </w:tcPr>
          <w:p w14:paraId="106FF269"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Model Estimated Mean Difference, (95% CI)</w:t>
            </w:r>
            <w:r w:rsidRPr="004309CD">
              <w:rPr>
                <w:rFonts w:ascii="Arial Narrow" w:hAnsi="Arial Narrow"/>
                <w:sz w:val="20"/>
                <w:szCs w:val="20"/>
                <w:vertAlign w:val="superscript"/>
              </w:rPr>
              <w:t>1</w:t>
            </w:r>
          </w:p>
        </w:tc>
        <w:tc>
          <w:tcPr>
            <w:tcW w:w="3005" w:type="dxa"/>
          </w:tcPr>
          <w:p w14:paraId="31B3622A"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w:t>
            </w:r>
          </w:p>
        </w:tc>
        <w:tc>
          <w:tcPr>
            <w:tcW w:w="3006" w:type="dxa"/>
          </w:tcPr>
          <w:p w14:paraId="49C9ABB1" w14:textId="77777777" w:rsidR="00345E49" w:rsidRPr="00EB4567" w:rsidRDefault="00345E49" w:rsidP="00A14777">
            <w:pPr>
              <w:rPr>
                <w:rFonts w:ascii="Arial Narrow" w:hAnsi="Arial Narrow"/>
                <w:sz w:val="20"/>
                <w:szCs w:val="20"/>
              </w:rPr>
            </w:pPr>
            <w:r w:rsidRPr="00EB4567">
              <w:rPr>
                <w:rFonts w:ascii="Arial Narrow" w:hAnsi="Arial Narrow"/>
                <w:sz w:val="20"/>
                <w:szCs w:val="20"/>
              </w:rPr>
              <w:t>2.4 (0.7, 4.1)</w:t>
            </w:r>
          </w:p>
        </w:tc>
      </w:tr>
    </w:tbl>
    <w:p w14:paraId="36BAEAD2" w14:textId="77777777" w:rsidR="00345E49" w:rsidRPr="00EB4567" w:rsidRDefault="00345E49" w:rsidP="00464596">
      <w:pPr>
        <w:pStyle w:val="TableFigureFooter"/>
      </w:pPr>
      <w:r w:rsidRPr="00EB4567">
        <w:t xml:space="preserve">Source: VX22-CFD-016 CSR, Table 11-1, p18; Table 11-4, p22; Cromwell, 2024, Table 3. </w:t>
      </w:r>
    </w:p>
    <w:p w14:paraId="3BCF5A93" w14:textId="77777777" w:rsidR="00345E49" w:rsidRPr="00EB4567" w:rsidRDefault="00345E49" w:rsidP="00464596">
      <w:pPr>
        <w:pStyle w:val="TableFigureFooter"/>
      </w:pPr>
      <w:r w:rsidRPr="00D170A1">
        <w:t xml:space="preserve">1 </w:t>
      </w:r>
      <w:r w:rsidRPr="00EB4567">
        <w:t>Linear regression with ppFEV</w:t>
      </w:r>
      <w:r w:rsidRPr="00D170A1">
        <w:rPr>
          <w:vertAlign w:val="subscript"/>
        </w:rPr>
        <w:t>1</w:t>
      </w:r>
      <w:r w:rsidRPr="00EB4567">
        <w:t>, BMI and BMI percentile.</w:t>
      </w:r>
    </w:p>
    <w:p w14:paraId="1CD27C8A" w14:textId="77777777" w:rsidR="00345E49" w:rsidRDefault="00345E49" w:rsidP="00464596">
      <w:pPr>
        <w:pStyle w:val="TableFigureFooter"/>
      </w:pPr>
      <w:r w:rsidRPr="00EB4567">
        <w:t>CI = confidence interval; ppFEV</w:t>
      </w:r>
      <w:r w:rsidRPr="004309CD">
        <w:rPr>
          <w:vertAlign w:val="subscript"/>
        </w:rPr>
        <w:t>1</w:t>
      </w:r>
      <w:r w:rsidRPr="00EB4567">
        <w:t xml:space="preserve"> = percent predicted forced expiratory volume in one second; SD = standard deviation.</w:t>
      </w:r>
    </w:p>
    <w:p w14:paraId="42DE0B83" w14:textId="12272B51" w:rsidR="00345E49" w:rsidRPr="00345E49" w:rsidRDefault="00345E49" w:rsidP="00345E49">
      <w:pPr>
        <w:pStyle w:val="3-BodyText"/>
      </w:pPr>
      <w:r>
        <w:t>The key results from Burgel 2024, which were from</w:t>
      </w:r>
      <w:r w:rsidRPr="008E7609">
        <w:t xml:space="preserve"> patients eligible for a trial of </w:t>
      </w:r>
      <w:r>
        <w:t>ELX/TEZ/IVA</w:t>
      </w:r>
      <w:r w:rsidRPr="008E7609">
        <w:t xml:space="preserve"> under the French national compassionate access schem</w:t>
      </w:r>
      <w:r>
        <w:t xml:space="preserve">e are shown in </w:t>
      </w:r>
      <w:r>
        <w:fldChar w:fldCharType="begin"/>
      </w:r>
      <w:r>
        <w:instrText xml:space="preserve"> REF _Ref187746999 \h </w:instrText>
      </w:r>
      <w:r>
        <w:fldChar w:fldCharType="separate"/>
      </w:r>
      <w:r w:rsidR="00343156">
        <w:t xml:space="preserve">Table </w:t>
      </w:r>
      <w:r w:rsidR="00343156">
        <w:rPr>
          <w:noProof/>
        </w:rPr>
        <w:t>7</w:t>
      </w:r>
      <w:r>
        <w:fldChar w:fldCharType="end"/>
      </w:r>
      <w:r>
        <w:t>.   The</w:t>
      </w:r>
      <w:r w:rsidRPr="003172F5">
        <w:t xml:space="preserve"> submission proposed </w:t>
      </w:r>
      <w:r>
        <w:t xml:space="preserve">that this study </w:t>
      </w:r>
      <w:r w:rsidRPr="003172F5">
        <w:t xml:space="preserve">supported use in patients with </w:t>
      </w:r>
      <w:r w:rsidRPr="009F6674">
        <w:rPr>
          <w:i/>
          <w:iCs/>
        </w:rPr>
        <w:t>N1303K</w:t>
      </w:r>
      <w:r w:rsidRPr="003172F5">
        <w:t xml:space="preserve"> and 74 additional mutations based on FRT</w:t>
      </w:r>
      <w:r>
        <w:t xml:space="preserve">. </w:t>
      </w:r>
    </w:p>
    <w:p w14:paraId="4984E025" w14:textId="0CE979B3" w:rsidR="00345E49" w:rsidRPr="008E7609" w:rsidRDefault="00345E49" w:rsidP="00345E49">
      <w:pPr>
        <w:pStyle w:val="TableFigureHeading"/>
        <w:rPr>
          <w:lang w:val="en-US"/>
        </w:rPr>
      </w:pPr>
      <w:bookmarkStart w:id="41" w:name="_Ref187746999"/>
      <w:r>
        <w:lastRenderedPageBreak/>
        <w:t xml:space="preserve">Table </w:t>
      </w:r>
      <w:r>
        <w:fldChar w:fldCharType="begin"/>
      </w:r>
      <w:r>
        <w:instrText xml:space="preserve"> SEQ Table \* ARABIC </w:instrText>
      </w:r>
      <w:r>
        <w:fldChar w:fldCharType="separate"/>
      </w:r>
      <w:r w:rsidR="00343156">
        <w:rPr>
          <w:noProof/>
        </w:rPr>
        <w:t>7</w:t>
      </w:r>
      <w:r>
        <w:rPr>
          <w:noProof/>
        </w:rPr>
        <w:fldChar w:fldCharType="end"/>
      </w:r>
      <w:bookmarkEnd w:id="41"/>
      <w:r>
        <w:t xml:space="preserve">: </w:t>
      </w:r>
      <w:r w:rsidRPr="008E7609">
        <w:rPr>
          <w:lang w:val="en-US"/>
        </w:rPr>
        <w:t>Changes in sweat chloride and ppFEV</w:t>
      </w:r>
      <w:r w:rsidRPr="00D80C1B">
        <w:rPr>
          <w:vertAlign w:val="subscript"/>
          <w:lang w:val="en-US"/>
        </w:rPr>
        <w:t>1</w:t>
      </w:r>
      <w:r w:rsidRPr="008E7609">
        <w:rPr>
          <w:lang w:val="en-US"/>
        </w:rPr>
        <w:t xml:space="preserve"> in Burgel, 2024 according to responder status and FDA-approved mutation</w:t>
      </w:r>
    </w:p>
    <w:tbl>
      <w:tblPr>
        <w:tblStyle w:val="TableGrid"/>
        <w:tblW w:w="5000" w:type="pct"/>
        <w:tblLook w:val="04A0" w:firstRow="1" w:lastRow="0" w:firstColumn="1" w:lastColumn="0" w:noHBand="0" w:noVBand="1"/>
      </w:tblPr>
      <w:tblGrid>
        <w:gridCol w:w="2146"/>
        <w:gridCol w:w="1719"/>
        <w:gridCol w:w="1731"/>
        <w:gridCol w:w="1731"/>
        <w:gridCol w:w="1690"/>
      </w:tblGrid>
      <w:tr w:rsidR="00345E49" w:rsidRPr="00B9224E" w14:paraId="5C4B2CC8" w14:textId="77777777" w:rsidTr="00A14777">
        <w:tc>
          <w:tcPr>
            <w:tcW w:w="1190" w:type="pct"/>
          </w:tcPr>
          <w:p w14:paraId="0997D325" w14:textId="77777777" w:rsidR="00345E49" w:rsidRPr="00B9224E" w:rsidRDefault="00345E49" w:rsidP="00A14777">
            <w:pPr>
              <w:pStyle w:val="TableText"/>
            </w:pPr>
          </w:p>
        </w:tc>
        <w:tc>
          <w:tcPr>
            <w:tcW w:w="953" w:type="pct"/>
          </w:tcPr>
          <w:p w14:paraId="208BF4E8" w14:textId="77777777" w:rsidR="00345E49" w:rsidRPr="00B9224E" w:rsidRDefault="00345E49" w:rsidP="00A14777">
            <w:pPr>
              <w:pStyle w:val="In-tableHeading"/>
            </w:pPr>
            <w:r w:rsidRPr="00B9224E">
              <w:t>Non-responders with no FDA-approved CFTR mutation</w:t>
            </w:r>
          </w:p>
          <w:p w14:paraId="343F202E" w14:textId="77777777" w:rsidR="00345E49" w:rsidRPr="00B9224E" w:rsidRDefault="00345E49" w:rsidP="00A14777">
            <w:pPr>
              <w:pStyle w:val="In-tableHeading"/>
            </w:pPr>
            <w:r w:rsidRPr="00B9224E">
              <w:t>N = 183</w:t>
            </w:r>
          </w:p>
        </w:tc>
        <w:tc>
          <w:tcPr>
            <w:tcW w:w="960" w:type="pct"/>
          </w:tcPr>
          <w:p w14:paraId="74C24B84" w14:textId="77777777" w:rsidR="00345E49" w:rsidRPr="00B9224E" w:rsidRDefault="00345E49" w:rsidP="00A14777">
            <w:pPr>
              <w:pStyle w:val="In-tableHeading"/>
            </w:pPr>
            <w:r w:rsidRPr="00B9224E">
              <w:t xml:space="preserve">Responders with no FDA-approved CFTR mutation </w:t>
            </w:r>
          </w:p>
          <w:p w14:paraId="5CD7F9BE" w14:textId="77777777" w:rsidR="00345E49" w:rsidRPr="00B9224E" w:rsidRDefault="00345E49" w:rsidP="00A14777">
            <w:pPr>
              <w:pStyle w:val="In-tableHeading"/>
            </w:pPr>
            <w:r w:rsidRPr="00B9224E">
              <w:t>N = 177</w:t>
            </w:r>
          </w:p>
        </w:tc>
        <w:tc>
          <w:tcPr>
            <w:tcW w:w="960" w:type="pct"/>
          </w:tcPr>
          <w:p w14:paraId="6494D25A" w14:textId="77777777" w:rsidR="00345E49" w:rsidRPr="00B9224E" w:rsidRDefault="00345E49" w:rsidP="00A14777">
            <w:pPr>
              <w:pStyle w:val="In-tableHeading"/>
            </w:pPr>
            <w:r w:rsidRPr="00B9224E">
              <w:t xml:space="preserve">Responders with </w:t>
            </w:r>
            <w:r w:rsidRPr="00B9224E">
              <w:rPr>
                <w:rFonts w:ascii="Symbol" w:eastAsia="Symbol" w:hAnsi="Symbol" w:cs="Symbol"/>
              </w:rPr>
              <w:t>³</w:t>
            </w:r>
            <w:r w:rsidRPr="00B9224E">
              <w:t>1 FDA-approved CFTR mutation</w:t>
            </w:r>
          </w:p>
          <w:p w14:paraId="3C56A8DA" w14:textId="77777777" w:rsidR="00345E49" w:rsidRPr="00B9224E" w:rsidRDefault="00345E49" w:rsidP="00A14777">
            <w:pPr>
              <w:pStyle w:val="In-tableHeading"/>
            </w:pPr>
            <w:r w:rsidRPr="00B9224E">
              <w:t>N = 81</w:t>
            </w:r>
          </w:p>
        </w:tc>
        <w:tc>
          <w:tcPr>
            <w:tcW w:w="937" w:type="pct"/>
          </w:tcPr>
          <w:p w14:paraId="63988B16" w14:textId="77777777" w:rsidR="00345E49" w:rsidRPr="00B9224E" w:rsidRDefault="00345E49" w:rsidP="00A14777">
            <w:pPr>
              <w:pStyle w:val="In-tableHeading"/>
            </w:pPr>
            <w:r w:rsidRPr="00B9224E">
              <w:t>Patients receiving ivacaftor at initiation of ETI</w:t>
            </w:r>
          </w:p>
          <w:p w14:paraId="6E1CA74D" w14:textId="77777777" w:rsidR="00345E49" w:rsidRPr="00B9224E" w:rsidRDefault="00345E49" w:rsidP="00A14777">
            <w:pPr>
              <w:pStyle w:val="In-tableHeading"/>
            </w:pPr>
            <w:r w:rsidRPr="00B9224E">
              <w:t>N = 36</w:t>
            </w:r>
          </w:p>
        </w:tc>
      </w:tr>
      <w:tr w:rsidR="00345E49" w:rsidRPr="00B9224E" w14:paraId="3612FB40" w14:textId="77777777" w:rsidTr="00A14777">
        <w:tc>
          <w:tcPr>
            <w:tcW w:w="1190" w:type="pct"/>
          </w:tcPr>
          <w:p w14:paraId="4B01DF94" w14:textId="77777777" w:rsidR="00345E49" w:rsidRPr="00B9224E" w:rsidRDefault="00345E49" w:rsidP="00A14777">
            <w:pPr>
              <w:pStyle w:val="TableText"/>
            </w:pPr>
            <w:r w:rsidRPr="00B9224E">
              <w:t>Sw Cl at baseline, mM, median (IQR)</w:t>
            </w:r>
          </w:p>
        </w:tc>
        <w:tc>
          <w:tcPr>
            <w:tcW w:w="953" w:type="pct"/>
          </w:tcPr>
          <w:p w14:paraId="21EB1253" w14:textId="77777777" w:rsidR="00345E49" w:rsidRPr="00B9224E" w:rsidRDefault="00345E49" w:rsidP="00A14777">
            <w:pPr>
              <w:pStyle w:val="TableText"/>
            </w:pPr>
            <w:r w:rsidRPr="00B9224E">
              <w:t>103 (94 - 110)</w:t>
            </w:r>
          </w:p>
        </w:tc>
        <w:tc>
          <w:tcPr>
            <w:tcW w:w="960" w:type="pct"/>
          </w:tcPr>
          <w:p w14:paraId="522AC0A9" w14:textId="77777777" w:rsidR="00345E49" w:rsidRPr="00B9224E" w:rsidRDefault="00345E49" w:rsidP="00A14777">
            <w:pPr>
              <w:pStyle w:val="TableText"/>
            </w:pPr>
            <w:r w:rsidRPr="00B9224E">
              <w:t>96 (81 – 106)</w:t>
            </w:r>
          </w:p>
        </w:tc>
        <w:tc>
          <w:tcPr>
            <w:tcW w:w="960" w:type="pct"/>
          </w:tcPr>
          <w:p w14:paraId="4D2DEA50" w14:textId="77777777" w:rsidR="00345E49" w:rsidRPr="00B9224E" w:rsidRDefault="00345E49" w:rsidP="00A14777">
            <w:pPr>
              <w:pStyle w:val="TableText"/>
            </w:pPr>
            <w:r w:rsidRPr="00B9224E">
              <w:t>81 (61 – 101)</w:t>
            </w:r>
          </w:p>
        </w:tc>
        <w:tc>
          <w:tcPr>
            <w:tcW w:w="937" w:type="pct"/>
          </w:tcPr>
          <w:p w14:paraId="7582CD82" w14:textId="77777777" w:rsidR="00345E49" w:rsidRPr="00B9224E" w:rsidRDefault="00345E49" w:rsidP="00A14777">
            <w:pPr>
              <w:pStyle w:val="TableText"/>
            </w:pPr>
            <w:r w:rsidRPr="00B9224E">
              <w:t>30 (21 – 42)</w:t>
            </w:r>
          </w:p>
        </w:tc>
      </w:tr>
      <w:tr w:rsidR="00345E49" w:rsidRPr="00B9224E" w14:paraId="41F47C37" w14:textId="77777777" w:rsidTr="00A14777">
        <w:tc>
          <w:tcPr>
            <w:tcW w:w="1190" w:type="pct"/>
          </w:tcPr>
          <w:p w14:paraId="113D85DE" w14:textId="77777777" w:rsidR="00345E49" w:rsidRPr="00B9224E" w:rsidRDefault="00345E49" w:rsidP="00A14777">
            <w:pPr>
              <w:pStyle w:val="TableText"/>
            </w:pPr>
            <w:r w:rsidRPr="00B9224E">
              <w:t>Change in Sw Cl, mean (95% CI)</w:t>
            </w:r>
          </w:p>
        </w:tc>
        <w:tc>
          <w:tcPr>
            <w:tcW w:w="953" w:type="pct"/>
          </w:tcPr>
          <w:p w14:paraId="0045514C" w14:textId="77777777" w:rsidR="00345E49" w:rsidRPr="00B9224E" w:rsidRDefault="00345E49" w:rsidP="00A14777">
            <w:pPr>
              <w:pStyle w:val="TableText"/>
            </w:pPr>
            <w:r w:rsidRPr="00B9224E">
              <w:t>-1.8 (-3.9, 0.3)</w:t>
            </w:r>
          </w:p>
        </w:tc>
        <w:tc>
          <w:tcPr>
            <w:tcW w:w="960" w:type="pct"/>
          </w:tcPr>
          <w:p w14:paraId="7E4C7432" w14:textId="77777777" w:rsidR="00345E49" w:rsidRPr="00B9224E" w:rsidRDefault="00345E49" w:rsidP="00A14777">
            <w:pPr>
              <w:pStyle w:val="TableText"/>
            </w:pPr>
            <w:r w:rsidRPr="00B9224E">
              <w:t>-20.5 (-17.2, -23.8)</w:t>
            </w:r>
          </w:p>
        </w:tc>
        <w:tc>
          <w:tcPr>
            <w:tcW w:w="960" w:type="pct"/>
          </w:tcPr>
          <w:p w14:paraId="5612AD15" w14:textId="77777777" w:rsidR="00345E49" w:rsidRPr="00B9224E" w:rsidRDefault="00345E49" w:rsidP="00A14777">
            <w:pPr>
              <w:pStyle w:val="TableText"/>
            </w:pPr>
            <w:r w:rsidRPr="00B9224E">
              <w:t>-44.5 (-39.1, -49.8)</w:t>
            </w:r>
          </w:p>
        </w:tc>
        <w:tc>
          <w:tcPr>
            <w:tcW w:w="937" w:type="pct"/>
          </w:tcPr>
          <w:p w14:paraId="2586DDB7" w14:textId="77777777" w:rsidR="00345E49" w:rsidRPr="00B9224E" w:rsidRDefault="00345E49" w:rsidP="00A14777">
            <w:pPr>
              <w:pStyle w:val="TableText"/>
            </w:pPr>
            <w:r w:rsidRPr="00B9224E">
              <w:t>-11.2 (-15.0, -7.5)</w:t>
            </w:r>
          </w:p>
        </w:tc>
      </w:tr>
      <w:tr w:rsidR="00345E49" w:rsidRPr="00B9224E" w14:paraId="05163FDF" w14:textId="77777777" w:rsidTr="00A14777">
        <w:tc>
          <w:tcPr>
            <w:tcW w:w="1190" w:type="pct"/>
          </w:tcPr>
          <w:p w14:paraId="5B4E0F70" w14:textId="77777777" w:rsidR="00345E49" w:rsidRPr="00B9224E" w:rsidRDefault="00345E49" w:rsidP="00A14777">
            <w:pPr>
              <w:pStyle w:val="TableText"/>
            </w:pPr>
            <w:r w:rsidRPr="00B9224E">
              <w:t xml:space="preserve">Patients with decrease in Sw Cl </w:t>
            </w:r>
            <w:r w:rsidRPr="00B9224E">
              <w:rPr>
                <w:rFonts w:ascii="Symbol" w:eastAsia="Symbol" w:hAnsi="Symbol" w:cs="Symbol"/>
              </w:rPr>
              <w:t>³</w:t>
            </w:r>
            <w:r w:rsidRPr="00B9224E">
              <w:t xml:space="preserve"> 20 mmol/L, n (%)</w:t>
            </w:r>
          </w:p>
        </w:tc>
        <w:tc>
          <w:tcPr>
            <w:tcW w:w="953" w:type="pct"/>
          </w:tcPr>
          <w:p w14:paraId="5CB32423" w14:textId="77777777" w:rsidR="00345E49" w:rsidRPr="00B9224E" w:rsidRDefault="00345E49" w:rsidP="00A14777">
            <w:pPr>
              <w:pStyle w:val="TableText"/>
            </w:pPr>
            <w:r w:rsidRPr="00B9224E">
              <w:t>11 (6%)</w:t>
            </w:r>
          </w:p>
        </w:tc>
        <w:tc>
          <w:tcPr>
            <w:tcW w:w="960" w:type="pct"/>
          </w:tcPr>
          <w:p w14:paraId="5F7E347F" w14:textId="77777777" w:rsidR="00345E49" w:rsidRPr="00B9224E" w:rsidRDefault="00345E49" w:rsidP="00A14777">
            <w:pPr>
              <w:pStyle w:val="TableText"/>
            </w:pPr>
            <w:r w:rsidRPr="00B9224E">
              <w:t>74 (42%)</w:t>
            </w:r>
          </w:p>
        </w:tc>
        <w:tc>
          <w:tcPr>
            <w:tcW w:w="960" w:type="pct"/>
          </w:tcPr>
          <w:p w14:paraId="07B0C78E" w14:textId="77777777" w:rsidR="00345E49" w:rsidRPr="00B9224E" w:rsidRDefault="00345E49" w:rsidP="00A14777">
            <w:pPr>
              <w:pStyle w:val="TableText"/>
            </w:pPr>
            <w:r w:rsidRPr="00B9224E">
              <w:t>68 (84%)</w:t>
            </w:r>
          </w:p>
        </w:tc>
        <w:tc>
          <w:tcPr>
            <w:tcW w:w="937" w:type="pct"/>
          </w:tcPr>
          <w:p w14:paraId="23E436C7" w14:textId="77777777" w:rsidR="00345E49" w:rsidRPr="00B9224E" w:rsidRDefault="00345E49" w:rsidP="00A14777">
            <w:pPr>
              <w:pStyle w:val="TableText"/>
            </w:pPr>
            <w:r w:rsidRPr="00B9224E">
              <w:t>10 (28%)</w:t>
            </w:r>
          </w:p>
        </w:tc>
      </w:tr>
      <w:tr w:rsidR="00345E49" w:rsidRPr="00B9224E" w14:paraId="04CB1069" w14:textId="77777777" w:rsidTr="00A14777">
        <w:tc>
          <w:tcPr>
            <w:tcW w:w="1190" w:type="pct"/>
          </w:tcPr>
          <w:p w14:paraId="419CFDBE" w14:textId="77777777" w:rsidR="00345E49" w:rsidRPr="00B9224E" w:rsidRDefault="00345E49" w:rsidP="00A14777">
            <w:pPr>
              <w:pStyle w:val="TableText"/>
            </w:pPr>
            <w:r w:rsidRPr="00B9224E">
              <w:t>ppFEV</w:t>
            </w:r>
            <w:r w:rsidRPr="00636B34">
              <w:rPr>
                <w:vertAlign w:val="subscript"/>
              </w:rPr>
              <w:t>1</w:t>
            </w:r>
            <w:r w:rsidRPr="00B9224E">
              <w:t xml:space="preserve"> at baseline, median (IQR)</w:t>
            </w:r>
          </w:p>
        </w:tc>
        <w:tc>
          <w:tcPr>
            <w:tcW w:w="953" w:type="pct"/>
          </w:tcPr>
          <w:p w14:paraId="3EBF308C" w14:textId="77777777" w:rsidR="00345E49" w:rsidRPr="00B9224E" w:rsidRDefault="00345E49" w:rsidP="00A14777">
            <w:pPr>
              <w:pStyle w:val="TableText"/>
            </w:pPr>
            <w:r w:rsidRPr="00B9224E">
              <w:t>65 (42 – 82)</w:t>
            </w:r>
          </w:p>
        </w:tc>
        <w:tc>
          <w:tcPr>
            <w:tcW w:w="960" w:type="pct"/>
          </w:tcPr>
          <w:p w14:paraId="47B6527C" w14:textId="77777777" w:rsidR="00345E49" w:rsidRPr="00B9224E" w:rsidRDefault="00345E49" w:rsidP="00A14777">
            <w:pPr>
              <w:pStyle w:val="TableText"/>
            </w:pPr>
            <w:r w:rsidRPr="00B9224E">
              <w:t>65 (45 – 86)</w:t>
            </w:r>
          </w:p>
        </w:tc>
        <w:tc>
          <w:tcPr>
            <w:tcW w:w="960" w:type="pct"/>
          </w:tcPr>
          <w:p w14:paraId="388740E7" w14:textId="77777777" w:rsidR="00345E49" w:rsidRPr="00B9224E" w:rsidRDefault="00345E49" w:rsidP="00A14777">
            <w:pPr>
              <w:pStyle w:val="TableText"/>
            </w:pPr>
            <w:r w:rsidRPr="00B9224E">
              <w:t>72 (43 – 95)</w:t>
            </w:r>
          </w:p>
        </w:tc>
        <w:tc>
          <w:tcPr>
            <w:tcW w:w="937" w:type="pct"/>
          </w:tcPr>
          <w:p w14:paraId="37D1C04D" w14:textId="77777777" w:rsidR="00345E49" w:rsidRPr="00B9224E" w:rsidRDefault="00345E49" w:rsidP="00A14777">
            <w:pPr>
              <w:pStyle w:val="TableText"/>
            </w:pPr>
            <w:r w:rsidRPr="00B9224E">
              <w:t>53 (33 – 78)</w:t>
            </w:r>
          </w:p>
        </w:tc>
      </w:tr>
      <w:tr w:rsidR="00345E49" w:rsidRPr="00B9224E" w14:paraId="05D41FA2" w14:textId="77777777" w:rsidTr="00A14777">
        <w:tc>
          <w:tcPr>
            <w:tcW w:w="1190" w:type="pct"/>
          </w:tcPr>
          <w:p w14:paraId="7D4135BA" w14:textId="77777777" w:rsidR="00345E49" w:rsidRPr="00B9224E" w:rsidRDefault="00345E49" w:rsidP="00A14777">
            <w:pPr>
              <w:pStyle w:val="TableText"/>
            </w:pPr>
            <w:r w:rsidRPr="00B9224E">
              <w:t>Change in ppFEV</w:t>
            </w:r>
            <w:r w:rsidRPr="00636B34">
              <w:rPr>
                <w:vertAlign w:val="subscript"/>
              </w:rPr>
              <w:t>1</w:t>
            </w:r>
            <w:r w:rsidRPr="00B9224E">
              <w:t>, mean (95% CI)</w:t>
            </w:r>
          </w:p>
        </w:tc>
        <w:tc>
          <w:tcPr>
            <w:tcW w:w="953" w:type="pct"/>
          </w:tcPr>
          <w:p w14:paraId="49B71981" w14:textId="77777777" w:rsidR="00345E49" w:rsidRPr="00B9224E" w:rsidRDefault="00345E49" w:rsidP="00A14777">
            <w:pPr>
              <w:pStyle w:val="TableText"/>
            </w:pPr>
            <w:r w:rsidRPr="00B9224E">
              <w:t>1.6 (0.5, 2.8)</w:t>
            </w:r>
          </w:p>
        </w:tc>
        <w:tc>
          <w:tcPr>
            <w:tcW w:w="960" w:type="pct"/>
          </w:tcPr>
          <w:p w14:paraId="105A4A26" w14:textId="77777777" w:rsidR="00345E49" w:rsidRPr="00B9224E" w:rsidRDefault="00345E49" w:rsidP="00A14777">
            <w:pPr>
              <w:pStyle w:val="TableText"/>
            </w:pPr>
            <w:r w:rsidRPr="00B9224E">
              <w:t>13.2 (11.4, 15.0)</w:t>
            </w:r>
          </w:p>
        </w:tc>
        <w:tc>
          <w:tcPr>
            <w:tcW w:w="960" w:type="pct"/>
          </w:tcPr>
          <w:p w14:paraId="72DB56F0" w14:textId="77777777" w:rsidR="00345E49" w:rsidRPr="00B9224E" w:rsidRDefault="00345E49" w:rsidP="00A14777">
            <w:pPr>
              <w:pStyle w:val="TableText"/>
            </w:pPr>
            <w:r w:rsidRPr="00B9224E">
              <w:t>11.1 (8.4, 13.7)</w:t>
            </w:r>
          </w:p>
        </w:tc>
        <w:tc>
          <w:tcPr>
            <w:tcW w:w="937" w:type="pct"/>
          </w:tcPr>
          <w:p w14:paraId="63A32BCC" w14:textId="77777777" w:rsidR="00345E49" w:rsidRPr="00B9224E" w:rsidRDefault="00345E49" w:rsidP="00A14777">
            <w:pPr>
              <w:pStyle w:val="TableText"/>
            </w:pPr>
            <w:r w:rsidRPr="00B9224E">
              <w:t>4.9 (2.0, 7.7)</w:t>
            </w:r>
          </w:p>
        </w:tc>
      </w:tr>
      <w:tr w:rsidR="00345E49" w:rsidRPr="00B9224E" w14:paraId="0D0BB49C" w14:textId="77777777" w:rsidTr="00A14777">
        <w:tc>
          <w:tcPr>
            <w:tcW w:w="1190" w:type="pct"/>
          </w:tcPr>
          <w:p w14:paraId="35CE3A42" w14:textId="77777777" w:rsidR="00345E49" w:rsidRPr="00B9224E" w:rsidRDefault="00345E49" w:rsidP="00A14777">
            <w:pPr>
              <w:pStyle w:val="TableText"/>
            </w:pPr>
            <w:r w:rsidRPr="00B9224E">
              <w:t>Patients with increase in ppFEV</w:t>
            </w:r>
            <w:r w:rsidRPr="00636B34">
              <w:rPr>
                <w:vertAlign w:val="subscript"/>
              </w:rPr>
              <w:t>1</w:t>
            </w:r>
            <w:r w:rsidRPr="00B9224E">
              <w:t xml:space="preserve"> </w:t>
            </w:r>
            <w:r w:rsidRPr="00B9224E">
              <w:rPr>
                <w:rFonts w:ascii="Symbol" w:eastAsia="Symbol" w:hAnsi="Symbol" w:cs="Symbol"/>
              </w:rPr>
              <w:t>³</w:t>
            </w:r>
            <w:r w:rsidRPr="00B9224E">
              <w:t xml:space="preserve"> 10, n (%)</w:t>
            </w:r>
          </w:p>
        </w:tc>
        <w:tc>
          <w:tcPr>
            <w:tcW w:w="953" w:type="pct"/>
          </w:tcPr>
          <w:p w14:paraId="439DB67D" w14:textId="77777777" w:rsidR="00345E49" w:rsidRPr="00B9224E" w:rsidRDefault="00345E49" w:rsidP="00A14777">
            <w:pPr>
              <w:pStyle w:val="TableText"/>
            </w:pPr>
            <w:r w:rsidRPr="00B9224E">
              <w:t>23 (13%)</w:t>
            </w:r>
          </w:p>
        </w:tc>
        <w:tc>
          <w:tcPr>
            <w:tcW w:w="960" w:type="pct"/>
          </w:tcPr>
          <w:p w14:paraId="146EC250" w14:textId="77777777" w:rsidR="00345E49" w:rsidRPr="00B9224E" w:rsidRDefault="00345E49" w:rsidP="00A14777">
            <w:pPr>
              <w:pStyle w:val="TableText"/>
            </w:pPr>
            <w:r w:rsidRPr="00B9224E">
              <w:t>96 (54%)</w:t>
            </w:r>
          </w:p>
        </w:tc>
        <w:tc>
          <w:tcPr>
            <w:tcW w:w="960" w:type="pct"/>
          </w:tcPr>
          <w:p w14:paraId="782135ED" w14:textId="77777777" w:rsidR="00345E49" w:rsidRPr="00B9224E" w:rsidRDefault="00345E49" w:rsidP="00A14777">
            <w:pPr>
              <w:pStyle w:val="TableText"/>
            </w:pPr>
            <w:r w:rsidRPr="00B9224E">
              <w:t>40 (49%)</w:t>
            </w:r>
          </w:p>
        </w:tc>
        <w:tc>
          <w:tcPr>
            <w:tcW w:w="937" w:type="pct"/>
          </w:tcPr>
          <w:p w14:paraId="2D1EAE26" w14:textId="77777777" w:rsidR="00345E49" w:rsidRPr="00B9224E" w:rsidRDefault="00345E49" w:rsidP="00A14777">
            <w:pPr>
              <w:pStyle w:val="TableText"/>
            </w:pPr>
            <w:r w:rsidRPr="00B9224E">
              <w:t>5 (14%)</w:t>
            </w:r>
          </w:p>
        </w:tc>
      </w:tr>
    </w:tbl>
    <w:p w14:paraId="151C7F1E" w14:textId="77777777" w:rsidR="00345E49" w:rsidRPr="008E7609" w:rsidRDefault="00345E49" w:rsidP="00345E49">
      <w:pPr>
        <w:pStyle w:val="FooterTableFigure"/>
        <w:rPr>
          <w:rFonts w:eastAsiaTheme="minorHAnsi"/>
        </w:rPr>
      </w:pPr>
      <w:r w:rsidRPr="008E7609">
        <w:rPr>
          <w:rFonts w:eastAsiaTheme="minorHAnsi"/>
        </w:rPr>
        <w:t xml:space="preserve">Source: Table 2, Burgel et al, 2024, </w:t>
      </w:r>
      <w:r w:rsidRPr="008E7609">
        <w:rPr>
          <w:rFonts w:eastAsiaTheme="minorHAnsi"/>
          <w:i/>
          <w:iCs/>
        </w:rPr>
        <w:t>Lancet Respir Med</w:t>
      </w:r>
      <w:r w:rsidRPr="008E7609">
        <w:rPr>
          <w:rFonts w:eastAsiaTheme="minorHAnsi"/>
        </w:rPr>
        <w:t xml:space="preserve">, </w:t>
      </w:r>
      <w:hyperlink r:id="rId11" w:history="1">
        <w:r w:rsidRPr="008E7609">
          <w:rPr>
            <w:rStyle w:val="Hyperlink"/>
            <w:rFonts w:eastAsiaTheme="minorHAnsi"/>
            <w:bCs/>
          </w:rPr>
          <w:t>https://doi.org/10.1016/</w:t>
        </w:r>
      </w:hyperlink>
      <w:r w:rsidRPr="008E7609">
        <w:rPr>
          <w:rFonts w:eastAsiaTheme="minorHAnsi"/>
        </w:rPr>
        <w:t xml:space="preserve"> </w:t>
      </w:r>
    </w:p>
    <w:p w14:paraId="01456F74" w14:textId="77777777" w:rsidR="00345E49" w:rsidRPr="008E7609" w:rsidRDefault="00345E49" w:rsidP="00345E49">
      <w:pPr>
        <w:pStyle w:val="FooterTableFigure"/>
        <w:rPr>
          <w:rFonts w:eastAsiaTheme="minorHAnsi"/>
        </w:rPr>
      </w:pPr>
      <w:r w:rsidRPr="008E7609">
        <w:rPr>
          <w:rFonts w:eastAsiaTheme="minorHAnsi"/>
          <w:vertAlign w:val="superscript"/>
        </w:rPr>
        <w:t>1</w:t>
      </w:r>
      <w:r w:rsidRPr="008E7609">
        <w:rPr>
          <w:rFonts w:eastAsiaTheme="minorHAnsi"/>
        </w:rPr>
        <w:t xml:space="preserve"> Data for “Non-responders with an FDA-approved CFTR mutation” were not provided in the published paper because only two of 83 patients with FDA-approved mutations were classified as non-responders. </w:t>
      </w:r>
    </w:p>
    <w:p w14:paraId="5FD1688A" w14:textId="77777777" w:rsidR="00345E49" w:rsidRPr="008E7609" w:rsidRDefault="00345E49" w:rsidP="00345E49">
      <w:pPr>
        <w:pStyle w:val="FooterTableFigure"/>
        <w:rPr>
          <w:rFonts w:eastAsiaTheme="minorHAnsi"/>
        </w:rPr>
      </w:pPr>
      <w:r w:rsidRPr="008E7609">
        <w:rPr>
          <w:rFonts w:eastAsiaTheme="minorHAnsi"/>
        </w:rPr>
        <w:t>CFTR = cystic fibrosis transmembrane conductance regulator; CI = confidence interval; ETI = elexacaftor/tezacaftor/ivacaftor; FDA = US Food and Drug Administration; IQR = inter-quartile range; ppFEV1 = percent predicted forced expiratory volume in one second; Sw CL = sweat chloride.</w:t>
      </w:r>
    </w:p>
    <w:p w14:paraId="62ED21D7" w14:textId="772CA09B" w:rsidR="00345E49" w:rsidRPr="008E7609" w:rsidRDefault="00345E49" w:rsidP="00345E49">
      <w:pPr>
        <w:pStyle w:val="3-BodyText"/>
      </w:pPr>
      <w:r>
        <w:t xml:space="preserve">The results of the three small case series, </w:t>
      </w:r>
      <w:r w:rsidRPr="008E7609">
        <w:t xml:space="preserve">presented primarily to support the listing of the </w:t>
      </w:r>
      <w:r w:rsidRPr="00193E26">
        <w:rPr>
          <w:i/>
          <w:iCs/>
        </w:rPr>
        <w:t>N1303K</w:t>
      </w:r>
      <w:r w:rsidRPr="008E7609">
        <w:t xml:space="preserve"> mutation</w:t>
      </w:r>
      <w:r>
        <w:t xml:space="preserve"> </w:t>
      </w:r>
      <w:r w:rsidRPr="008E7609">
        <w:t>are presented in</w:t>
      </w:r>
      <w:r>
        <w:rPr>
          <w:b/>
        </w:rPr>
        <w:t xml:space="preserve"> </w:t>
      </w:r>
      <w:r>
        <w:rPr>
          <w:b/>
        </w:rPr>
        <w:fldChar w:fldCharType="begin"/>
      </w:r>
      <w:r>
        <w:rPr>
          <w:b/>
        </w:rPr>
        <w:instrText xml:space="preserve"> REF _Ref187747719 \h </w:instrText>
      </w:r>
      <w:r>
        <w:rPr>
          <w:b/>
        </w:rPr>
      </w:r>
      <w:r>
        <w:rPr>
          <w:b/>
        </w:rPr>
        <w:fldChar w:fldCharType="separate"/>
      </w:r>
      <w:r w:rsidR="00343156">
        <w:t xml:space="preserve">Table </w:t>
      </w:r>
      <w:r w:rsidR="00343156">
        <w:rPr>
          <w:noProof/>
        </w:rPr>
        <w:t>8</w:t>
      </w:r>
      <w:r>
        <w:rPr>
          <w:b/>
        </w:rPr>
        <w:fldChar w:fldCharType="end"/>
      </w:r>
      <w:r>
        <w:rPr>
          <w:b/>
        </w:rPr>
        <w:t xml:space="preserve">. </w:t>
      </w:r>
    </w:p>
    <w:p w14:paraId="3E383250" w14:textId="37D58BE2" w:rsidR="00345E49" w:rsidRDefault="00345E49" w:rsidP="00345E49">
      <w:pPr>
        <w:pStyle w:val="3-BodyText"/>
      </w:pPr>
      <w:r w:rsidRPr="008E7609">
        <w:t xml:space="preserve">Solomon, 2023, reported results of </w:t>
      </w:r>
      <w:r>
        <w:t>ELX/TEZ/IVA</w:t>
      </w:r>
      <w:r w:rsidRPr="008E7609">
        <w:t xml:space="preserve"> treatment in 20 patients with </w:t>
      </w:r>
      <w:r w:rsidRPr="00790972">
        <w:rPr>
          <w:i/>
          <w:iCs/>
        </w:rPr>
        <w:t>N1303K</w:t>
      </w:r>
      <w:r w:rsidRPr="008E7609">
        <w:t xml:space="preserve"> and another minimal function mutation not currently eligible for </w:t>
      </w:r>
      <w:r>
        <w:t>ELX/TEZ/IVA</w:t>
      </w:r>
      <w:r w:rsidRPr="008E7609">
        <w:t xml:space="preserve"> treatment (patients homozygous for </w:t>
      </w:r>
      <w:r w:rsidRPr="00790972">
        <w:rPr>
          <w:i/>
          <w:iCs/>
        </w:rPr>
        <w:t>N1303K</w:t>
      </w:r>
      <w:r w:rsidRPr="008E7609">
        <w:t xml:space="preserve"> were eligible for inclusion but none were recruited). Sadras, 2023 reported results in two patients homozygous for </w:t>
      </w:r>
      <w:r w:rsidRPr="00790972">
        <w:rPr>
          <w:i/>
          <w:iCs/>
        </w:rPr>
        <w:t xml:space="preserve">N1303K </w:t>
      </w:r>
      <w:r w:rsidRPr="008E7609">
        <w:t xml:space="preserve">and six heterozygous for </w:t>
      </w:r>
      <w:r w:rsidRPr="00790972">
        <w:rPr>
          <w:i/>
          <w:iCs/>
        </w:rPr>
        <w:t>N1303K</w:t>
      </w:r>
      <w:r w:rsidRPr="008E7609">
        <w:t xml:space="preserve"> and another nonsense or frameshift mutation. Livnat, 2023, reported results in 16 patients who did not have a </w:t>
      </w:r>
      <w:r w:rsidRPr="00790972">
        <w:rPr>
          <w:i/>
          <w:iCs/>
        </w:rPr>
        <w:t xml:space="preserve">F508del </w:t>
      </w:r>
      <w:r w:rsidRPr="008E7609">
        <w:t xml:space="preserve">mutation; six had </w:t>
      </w:r>
      <w:r w:rsidRPr="00790972">
        <w:rPr>
          <w:i/>
          <w:iCs/>
        </w:rPr>
        <w:t>G85E</w:t>
      </w:r>
      <w:r w:rsidRPr="008E7609">
        <w:t xml:space="preserve"> and six had </w:t>
      </w:r>
      <w:r w:rsidRPr="00790972">
        <w:rPr>
          <w:i/>
          <w:iCs/>
        </w:rPr>
        <w:t>D1152H</w:t>
      </w:r>
      <w:r w:rsidRPr="008E7609">
        <w:t xml:space="preserve">; only one had </w:t>
      </w:r>
      <w:r w:rsidRPr="00790972">
        <w:rPr>
          <w:i/>
          <w:iCs/>
        </w:rPr>
        <w:t>N1303K</w:t>
      </w:r>
      <w:r w:rsidRPr="008E7609">
        <w:t xml:space="preserve">. </w:t>
      </w:r>
    </w:p>
    <w:p w14:paraId="32BAF885" w14:textId="77777777" w:rsidR="00345E49" w:rsidRPr="008E7609" w:rsidRDefault="00345E49" w:rsidP="00345E49">
      <w:pPr>
        <w:pStyle w:val="3-BodyText"/>
        <w:numPr>
          <w:ilvl w:val="0"/>
          <w:numId w:val="0"/>
        </w:numPr>
        <w:ind w:left="720"/>
      </w:pPr>
    </w:p>
    <w:p w14:paraId="45422F46" w14:textId="0EC1533E" w:rsidR="00345E49" w:rsidRDefault="00345E49" w:rsidP="00345E49">
      <w:pPr>
        <w:pStyle w:val="TableFigureHeading"/>
      </w:pPr>
      <w:bookmarkStart w:id="42" w:name="_Ref187747719"/>
      <w:r>
        <w:t xml:space="preserve">Table </w:t>
      </w:r>
      <w:r>
        <w:fldChar w:fldCharType="begin"/>
      </w:r>
      <w:r>
        <w:instrText xml:space="preserve"> SEQ Table \* ARABIC </w:instrText>
      </w:r>
      <w:r>
        <w:fldChar w:fldCharType="separate"/>
      </w:r>
      <w:r w:rsidR="00343156">
        <w:rPr>
          <w:noProof/>
        </w:rPr>
        <w:t>8</w:t>
      </w:r>
      <w:r>
        <w:rPr>
          <w:noProof/>
        </w:rPr>
        <w:fldChar w:fldCharType="end"/>
      </w:r>
      <w:bookmarkEnd w:id="42"/>
      <w:r>
        <w:t>: Results of the small case series</w:t>
      </w:r>
    </w:p>
    <w:tbl>
      <w:tblPr>
        <w:tblStyle w:val="TableGrid"/>
        <w:tblW w:w="0" w:type="auto"/>
        <w:tblLook w:val="04A0" w:firstRow="1" w:lastRow="0" w:firstColumn="1" w:lastColumn="0" w:noHBand="0" w:noVBand="1"/>
      </w:tblPr>
      <w:tblGrid>
        <w:gridCol w:w="2547"/>
        <w:gridCol w:w="1701"/>
        <w:gridCol w:w="1559"/>
        <w:gridCol w:w="1701"/>
        <w:gridCol w:w="1508"/>
      </w:tblGrid>
      <w:tr w:rsidR="00345E49" w:rsidRPr="008E7609" w14:paraId="47520B32" w14:textId="77777777" w:rsidTr="00A14777">
        <w:tc>
          <w:tcPr>
            <w:tcW w:w="2547" w:type="dxa"/>
          </w:tcPr>
          <w:p w14:paraId="171C7609" w14:textId="77777777" w:rsidR="00345E49" w:rsidRPr="008E7609" w:rsidRDefault="00345E49" w:rsidP="00464596">
            <w:pPr>
              <w:pStyle w:val="TableFigureFooter"/>
            </w:pPr>
          </w:p>
        </w:tc>
        <w:tc>
          <w:tcPr>
            <w:tcW w:w="1701" w:type="dxa"/>
          </w:tcPr>
          <w:p w14:paraId="39E8F66F" w14:textId="77777777" w:rsidR="00345E49" w:rsidRPr="008E7609" w:rsidRDefault="00345E49" w:rsidP="00A14777">
            <w:pPr>
              <w:pStyle w:val="In-tableHeading"/>
            </w:pPr>
            <w:r w:rsidRPr="008E7609">
              <w:t>Change in Sweat Chloride at longest treatment date, mmol/L</w:t>
            </w:r>
          </w:p>
        </w:tc>
        <w:tc>
          <w:tcPr>
            <w:tcW w:w="1559" w:type="dxa"/>
          </w:tcPr>
          <w:p w14:paraId="3942DEE2" w14:textId="77777777" w:rsidR="00345E49" w:rsidRPr="008E7609" w:rsidRDefault="00345E49" w:rsidP="00A14777">
            <w:pPr>
              <w:pStyle w:val="In-tableHeading"/>
            </w:pPr>
            <w:r w:rsidRPr="008E7609">
              <w:t xml:space="preserve">Patients with Fall in Sweat Chloride </w:t>
            </w:r>
            <w:r w:rsidRPr="008E7609">
              <w:rPr>
                <w:rFonts w:ascii="Symbol" w:eastAsia="Symbol" w:hAnsi="Symbol" w:cs="Symbol"/>
              </w:rPr>
              <w:t>³</w:t>
            </w:r>
            <w:r w:rsidRPr="008E7609">
              <w:t xml:space="preserve"> 20 mmol/L</w:t>
            </w:r>
          </w:p>
        </w:tc>
        <w:tc>
          <w:tcPr>
            <w:tcW w:w="1701" w:type="dxa"/>
          </w:tcPr>
          <w:p w14:paraId="556D66C8" w14:textId="77777777" w:rsidR="00345E49" w:rsidRPr="008E7609" w:rsidRDefault="00345E49" w:rsidP="00A14777">
            <w:pPr>
              <w:pStyle w:val="In-tableHeading"/>
            </w:pPr>
            <w:r w:rsidRPr="008E7609">
              <w:t>Change in ppFEV</w:t>
            </w:r>
            <w:r w:rsidRPr="008E7609">
              <w:rPr>
                <w:vertAlign w:val="subscript"/>
              </w:rPr>
              <w:t>1</w:t>
            </w:r>
            <w:r w:rsidRPr="008E7609">
              <w:t xml:space="preserve"> at longest treatment date </w:t>
            </w:r>
          </w:p>
        </w:tc>
        <w:tc>
          <w:tcPr>
            <w:tcW w:w="1508" w:type="dxa"/>
          </w:tcPr>
          <w:p w14:paraId="610CE8F6" w14:textId="77777777" w:rsidR="00345E49" w:rsidRPr="008E7609" w:rsidRDefault="00345E49" w:rsidP="00A14777">
            <w:pPr>
              <w:pStyle w:val="In-tableHeading"/>
            </w:pPr>
            <w:r w:rsidRPr="008E7609">
              <w:t>Number (%) of Patients with Change in ppFEV</w:t>
            </w:r>
            <w:r w:rsidRPr="008E7609">
              <w:rPr>
                <w:vertAlign w:val="subscript"/>
              </w:rPr>
              <w:t>1</w:t>
            </w:r>
            <w:r w:rsidRPr="008E7609">
              <w:t xml:space="preserve"> &gt; 10</w:t>
            </w:r>
          </w:p>
        </w:tc>
      </w:tr>
      <w:tr w:rsidR="00345E49" w:rsidRPr="008E7609" w14:paraId="01B11D23" w14:textId="77777777" w:rsidTr="00A14777">
        <w:tc>
          <w:tcPr>
            <w:tcW w:w="2547" w:type="dxa"/>
          </w:tcPr>
          <w:p w14:paraId="3184513C" w14:textId="77777777" w:rsidR="00345E49" w:rsidRPr="00E941AD" w:rsidRDefault="00345E49" w:rsidP="00464596">
            <w:pPr>
              <w:pStyle w:val="TableFigureFooter"/>
              <w:rPr>
                <w:i w:val="0"/>
                <w:iCs w:val="0"/>
                <w:sz w:val="20"/>
                <w:szCs w:val="20"/>
                <w:vertAlign w:val="baseline"/>
              </w:rPr>
            </w:pPr>
          </w:p>
        </w:tc>
        <w:tc>
          <w:tcPr>
            <w:tcW w:w="1701" w:type="dxa"/>
          </w:tcPr>
          <w:p w14:paraId="3C2D3CFE" w14:textId="77777777" w:rsidR="00345E49" w:rsidRPr="00E941AD" w:rsidRDefault="00345E49" w:rsidP="00464596">
            <w:pPr>
              <w:pStyle w:val="TableFigureFooter"/>
              <w:rPr>
                <w:b/>
                <w:bCs/>
                <w:i w:val="0"/>
                <w:iCs w:val="0"/>
                <w:sz w:val="20"/>
                <w:szCs w:val="20"/>
                <w:vertAlign w:val="baseline"/>
              </w:rPr>
            </w:pPr>
            <w:r w:rsidRPr="00E941AD">
              <w:rPr>
                <w:b/>
                <w:bCs/>
                <w:i w:val="0"/>
                <w:iCs w:val="0"/>
                <w:sz w:val="20"/>
                <w:szCs w:val="20"/>
                <w:vertAlign w:val="baseline"/>
              </w:rPr>
              <w:t>Mean (95% CI)</w:t>
            </w:r>
          </w:p>
        </w:tc>
        <w:tc>
          <w:tcPr>
            <w:tcW w:w="1559" w:type="dxa"/>
          </w:tcPr>
          <w:p w14:paraId="2E89C014" w14:textId="77777777" w:rsidR="00345E49" w:rsidRPr="00E941AD" w:rsidRDefault="00345E49" w:rsidP="00464596">
            <w:pPr>
              <w:pStyle w:val="TableFigureFooter"/>
              <w:rPr>
                <w:b/>
                <w:bCs/>
                <w:i w:val="0"/>
                <w:iCs w:val="0"/>
                <w:sz w:val="20"/>
                <w:szCs w:val="20"/>
                <w:vertAlign w:val="baseline"/>
              </w:rPr>
            </w:pPr>
            <w:r w:rsidRPr="00E941AD">
              <w:rPr>
                <w:b/>
                <w:bCs/>
                <w:i w:val="0"/>
                <w:iCs w:val="0"/>
                <w:sz w:val="20"/>
                <w:szCs w:val="20"/>
                <w:vertAlign w:val="baseline"/>
              </w:rPr>
              <w:t>n (%)</w:t>
            </w:r>
          </w:p>
        </w:tc>
        <w:tc>
          <w:tcPr>
            <w:tcW w:w="1701" w:type="dxa"/>
          </w:tcPr>
          <w:p w14:paraId="759A9701" w14:textId="77777777" w:rsidR="00345E49" w:rsidRPr="00E941AD" w:rsidRDefault="00345E49" w:rsidP="00464596">
            <w:pPr>
              <w:pStyle w:val="TableFigureFooter"/>
              <w:rPr>
                <w:b/>
                <w:bCs/>
                <w:i w:val="0"/>
                <w:iCs w:val="0"/>
                <w:sz w:val="20"/>
                <w:szCs w:val="20"/>
                <w:vertAlign w:val="baseline"/>
              </w:rPr>
            </w:pPr>
            <w:r w:rsidRPr="00E941AD">
              <w:rPr>
                <w:b/>
                <w:bCs/>
                <w:i w:val="0"/>
                <w:iCs w:val="0"/>
                <w:sz w:val="20"/>
                <w:szCs w:val="20"/>
                <w:vertAlign w:val="baseline"/>
              </w:rPr>
              <w:t>Mean (95% CI)</w:t>
            </w:r>
          </w:p>
        </w:tc>
        <w:tc>
          <w:tcPr>
            <w:tcW w:w="1508" w:type="dxa"/>
          </w:tcPr>
          <w:p w14:paraId="469FF61A" w14:textId="77777777" w:rsidR="00345E49" w:rsidRPr="00E941AD" w:rsidRDefault="00345E49" w:rsidP="00464596">
            <w:pPr>
              <w:pStyle w:val="TableFigureFooter"/>
              <w:rPr>
                <w:b/>
                <w:bCs/>
                <w:i w:val="0"/>
                <w:iCs w:val="0"/>
                <w:sz w:val="20"/>
                <w:szCs w:val="20"/>
                <w:vertAlign w:val="baseline"/>
              </w:rPr>
            </w:pPr>
            <w:r w:rsidRPr="00E941AD">
              <w:rPr>
                <w:b/>
                <w:bCs/>
                <w:i w:val="0"/>
                <w:iCs w:val="0"/>
                <w:sz w:val="20"/>
                <w:szCs w:val="20"/>
                <w:vertAlign w:val="baseline"/>
              </w:rPr>
              <w:t>n (%)</w:t>
            </w:r>
          </w:p>
        </w:tc>
      </w:tr>
      <w:tr w:rsidR="00345E49" w:rsidRPr="008E7609" w14:paraId="6EBBAB54" w14:textId="77777777" w:rsidTr="00A14777">
        <w:tc>
          <w:tcPr>
            <w:tcW w:w="2547" w:type="dxa"/>
          </w:tcPr>
          <w:p w14:paraId="02B78B74" w14:textId="77777777" w:rsidR="00345E49" w:rsidRPr="00E941AD" w:rsidRDefault="00345E49" w:rsidP="00464596">
            <w:pPr>
              <w:pStyle w:val="TableFigureFooter"/>
              <w:rPr>
                <w:i w:val="0"/>
                <w:iCs w:val="0"/>
                <w:sz w:val="20"/>
                <w:szCs w:val="20"/>
                <w:vertAlign w:val="baseline"/>
              </w:rPr>
            </w:pPr>
            <w:r w:rsidRPr="00E941AD">
              <w:rPr>
                <w:i w:val="0"/>
                <w:iCs w:val="0"/>
                <w:sz w:val="20"/>
                <w:szCs w:val="20"/>
                <w:vertAlign w:val="baseline"/>
              </w:rPr>
              <w:t>Solomon, 2023</w:t>
            </w:r>
          </w:p>
          <w:p w14:paraId="566D9C69" w14:textId="77777777" w:rsidR="00345E49" w:rsidRPr="00E941AD" w:rsidRDefault="00345E49" w:rsidP="00464596">
            <w:pPr>
              <w:pStyle w:val="TableFigureFooter"/>
              <w:rPr>
                <w:i w:val="0"/>
                <w:iCs w:val="0"/>
                <w:sz w:val="20"/>
                <w:szCs w:val="20"/>
                <w:vertAlign w:val="baseline"/>
              </w:rPr>
            </w:pPr>
            <w:r w:rsidRPr="00E941AD">
              <w:rPr>
                <w:i w:val="0"/>
                <w:iCs w:val="0"/>
                <w:sz w:val="20"/>
                <w:szCs w:val="20"/>
                <w:vertAlign w:val="baseline"/>
              </w:rPr>
              <w:t>N = 20</w:t>
            </w:r>
          </w:p>
        </w:tc>
        <w:tc>
          <w:tcPr>
            <w:tcW w:w="1701" w:type="dxa"/>
          </w:tcPr>
          <w:p w14:paraId="46164C9E" w14:textId="77777777" w:rsidR="00345E49" w:rsidRPr="00E941AD" w:rsidRDefault="00345E49" w:rsidP="00464596">
            <w:pPr>
              <w:pStyle w:val="TableFigureFooter"/>
              <w:rPr>
                <w:i w:val="0"/>
                <w:iCs w:val="0"/>
                <w:sz w:val="20"/>
                <w:szCs w:val="20"/>
                <w:vertAlign w:val="baseline"/>
              </w:rPr>
            </w:pPr>
            <w:r w:rsidRPr="00E941AD">
              <w:rPr>
                <w:i w:val="0"/>
                <w:iCs w:val="0"/>
                <w:sz w:val="20"/>
                <w:szCs w:val="20"/>
                <w:vertAlign w:val="baseline"/>
              </w:rPr>
              <w:t>0.9 (-1.9, 3.8)</w:t>
            </w:r>
          </w:p>
        </w:tc>
        <w:tc>
          <w:tcPr>
            <w:tcW w:w="1559" w:type="dxa"/>
          </w:tcPr>
          <w:p w14:paraId="608631D9" w14:textId="77777777" w:rsidR="00345E49" w:rsidRPr="00E941AD" w:rsidRDefault="00345E49" w:rsidP="00464596">
            <w:pPr>
              <w:pStyle w:val="TableFigureFooter"/>
              <w:rPr>
                <w:i w:val="0"/>
                <w:iCs w:val="0"/>
                <w:sz w:val="20"/>
                <w:szCs w:val="20"/>
                <w:vertAlign w:val="baseline"/>
              </w:rPr>
            </w:pPr>
            <w:r w:rsidRPr="00E941AD">
              <w:rPr>
                <w:i w:val="0"/>
                <w:iCs w:val="0"/>
                <w:sz w:val="20"/>
                <w:szCs w:val="20"/>
                <w:vertAlign w:val="baseline"/>
              </w:rPr>
              <w:t>1 (5%)</w:t>
            </w:r>
          </w:p>
        </w:tc>
        <w:tc>
          <w:tcPr>
            <w:tcW w:w="1701" w:type="dxa"/>
          </w:tcPr>
          <w:p w14:paraId="1733339E" w14:textId="77777777" w:rsidR="00345E49" w:rsidRPr="00E941AD" w:rsidRDefault="00345E49" w:rsidP="00464596">
            <w:pPr>
              <w:pStyle w:val="TableFigureFooter"/>
              <w:rPr>
                <w:i w:val="0"/>
                <w:iCs w:val="0"/>
                <w:sz w:val="20"/>
                <w:szCs w:val="20"/>
                <w:vertAlign w:val="baseline"/>
              </w:rPr>
            </w:pPr>
            <w:r w:rsidRPr="00E941AD">
              <w:rPr>
                <w:i w:val="0"/>
                <w:iCs w:val="0"/>
                <w:sz w:val="20"/>
                <w:szCs w:val="20"/>
                <w:vertAlign w:val="baseline"/>
              </w:rPr>
              <w:t>9 (6.1, 11.9)</w:t>
            </w:r>
          </w:p>
        </w:tc>
        <w:tc>
          <w:tcPr>
            <w:tcW w:w="1508" w:type="dxa"/>
          </w:tcPr>
          <w:p w14:paraId="224FE973" w14:textId="77777777" w:rsidR="00345E49" w:rsidRPr="00E941AD" w:rsidRDefault="00345E49" w:rsidP="00464596">
            <w:pPr>
              <w:pStyle w:val="TableFigureFooter"/>
              <w:rPr>
                <w:i w:val="0"/>
                <w:iCs w:val="0"/>
                <w:sz w:val="20"/>
                <w:szCs w:val="20"/>
                <w:vertAlign w:val="baseline"/>
              </w:rPr>
            </w:pPr>
            <w:r w:rsidRPr="00E941AD">
              <w:rPr>
                <w:i w:val="0"/>
                <w:iCs w:val="0"/>
                <w:sz w:val="20"/>
                <w:szCs w:val="20"/>
                <w:vertAlign w:val="baseline"/>
              </w:rPr>
              <w:t>9 (45%)</w:t>
            </w:r>
          </w:p>
        </w:tc>
      </w:tr>
      <w:tr w:rsidR="00345E49" w:rsidRPr="008E7609" w14:paraId="2A6F720F" w14:textId="77777777" w:rsidTr="00A14777">
        <w:tc>
          <w:tcPr>
            <w:tcW w:w="2547" w:type="dxa"/>
          </w:tcPr>
          <w:p w14:paraId="30A8AB74" w14:textId="77777777" w:rsidR="00345E49" w:rsidRPr="00E941AD" w:rsidRDefault="00345E49" w:rsidP="00464596">
            <w:pPr>
              <w:pStyle w:val="TableFigureFooter"/>
              <w:rPr>
                <w:i w:val="0"/>
                <w:iCs w:val="0"/>
                <w:sz w:val="20"/>
                <w:szCs w:val="20"/>
                <w:vertAlign w:val="baseline"/>
              </w:rPr>
            </w:pPr>
            <w:r w:rsidRPr="00E941AD">
              <w:rPr>
                <w:i w:val="0"/>
                <w:iCs w:val="0"/>
                <w:sz w:val="20"/>
                <w:szCs w:val="20"/>
                <w:vertAlign w:val="baseline"/>
              </w:rPr>
              <w:t>Sadras, 2023</w:t>
            </w:r>
          </w:p>
          <w:p w14:paraId="51C6573C" w14:textId="77777777" w:rsidR="00345E49" w:rsidRPr="00E941AD" w:rsidRDefault="00345E49" w:rsidP="00464596">
            <w:pPr>
              <w:pStyle w:val="TableFigureFooter"/>
              <w:rPr>
                <w:i w:val="0"/>
                <w:iCs w:val="0"/>
                <w:sz w:val="20"/>
                <w:szCs w:val="20"/>
                <w:vertAlign w:val="baseline"/>
              </w:rPr>
            </w:pPr>
            <w:r w:rsidRPr="00E941AD">
              <w:rPr>
                <w:i w:val="0"/>
                <w:iCs w:val="0"/>
                <w:sz w:val="20"/>
                <w:szCs w:val="20"/>
                <w:vertAlign w:val="baseline"/>
              </w:rPr>
              <w:t>N = 8</w:t>
            </w:r>
          </w:p>
        </w:tc>
        <w:tc>
          <w:tcPr>
            <w:tcW w:w="1701" w:type="dxa"/>
          </w:tcPr>
          <w:p w14:paraId="410D6752" w14:textId="77777777" w:rsidR="00345E49" w:rsidRPr="00E941AD" w:rsidRDefault="00345E49" w:rsidP="00464596">
            <w:pPr>
              <w:pStyle w:val="TableFigureFooter"/>
              <w:rPr>
                <w:i w:val="0"/>
                <w:iCs w:val="0"/>
                <w:sz w:val="20"/>
                <w:szCs w:val="20"/>
                <w:vertAlign w:val="baseline"/>
              </w:rPr>
            </w:pPr>
            <w:r w:rsidRPr="00E941AD">
              <w:rPr>
                <w:i w:val="0"/>
                <w:iCs w:val="0"/>
                <w:sz w:val="20"/>
                <w:szCs w:val="20"/>
                <w:vertAlign w:val="baseline"/>
              </w:rPr>
              <w:t>-7 (NR)</w:t>
            </w:r>
          </w:p>
        </w:tc>
        <w:tc>
          <w:tcPr>
            <w:tcW w:w="1559" w:type="dxa"/>
          </w:tcPr>
          <w:p w14:paraId="3A419C6A" w14:textId="77777777" w:rsidR="00345E49" w:rsidRPr="00E941AD" w:rsidRDefault="00345E49" w:rsidP="00464596">
            <w:pPr>
              <w:pStyle w:val="TableFigureFooter"/>
              <w:rPr>
                <w:i w:val="0"/>
                <w:iCs w:val="0"/>
                <w:sz w:val="20"/>
                <w:szCs w:val="20"/>
                <w:vertAlign w:val="baseline"/>
              </w:rPr>
            </w:pPr>
            <w:r w:rsidRPr="00E941AD">
              <w:rPr>
                <w:i w:val="0"/>
                <w:iCs w:val="0"/>
                <w:sz w:val="20"/>
                <w:szCs w:val="20"/>
                <w:vertAlign w:val="baseline"/>
              </w:rPr>
              <w:t>1 (12.5%)</w:t>
            </w:r>
          </w:p>
        </w:tc>
        <w:tc>
          <w:tcPr>
            <w:tcW w:w="1701" w:type="dxa"/>
          </w:tcPr>
          <w:p w14:paraId="021A705E" w14:textId="77777777" w:rsidR="00345E49" w:rsidRPr="00E941AD" w:rsidRDefault="00345E49" w:rsidP="00464596">
            <w:pPr>
              <w:pStyle w:val="TableFigureFooter"/>
              <w:rPr>
                <w:i w:val="0"/>
                <w:iCs w:val="0"/>
                <w:sz w:val="20"/>
                <w:szCs w:val="20"/>
                <w:vertAlign w:val="baseline"/>
              </w:rPr>
            </w:pPr>
            <w:r w:rsidRPr="00E941AD">
              <w:rPr>
                <w:i w:val="0"/>
                <w:iCs w:val="0"/>
                <w:sz w:val="20"/>
                <w:szCs w:val="20"/>
                <w:vertAlign w:val="baseline"/>
              </w:rPr>
              <w:t>18.4 (NR)</w:t>
            </w:r>
          </w:p>
        </w:tc>
        <w:tc>
          <w:tcPr>
            <w:tcW w:w="1508" w:type="dxa"/>
          </w:tcPr>
          <w:p w14:paraId="4B55822A" w14:textId="77777777" w:rsidR="00345E49" w:rsidRPr="00E941AD" w:rsidRDefault="00345E49" w:rsidP="00464596">
            <w:pPr>
              <w:pStyle w:val="TableFigureFooter"/>
              <w:rPr>
                <w:i w:val="0"/>
                <w:iCs w:val="0"/>
                <w:sz w:val="20"/>
                <w:szCs w:val="20"/>
                <w:vertAlign w:val="baseline"/>
              </w:rPr>
            </w:pPr>
            <w:r w:rsidRPr="00E941AD">
              <w:rPr>
                <w:i w:val="0"/>
                <w:iCs w:val="0"/>
                <w:sz w:val="20"/>
                <w:szCs w:val="20"/>
                <w:vertAlign w:val="baseline"/>
              </w:rPr>
              <w:t>6 (75%)</w:t>
            </w:r>
          </w:p>
        </w:tc>
      </w:tr>
      <w:tr w:rsidR="00345E49" w:rsidRPr="008E7609" w14:paraId="094C0680" w14:textId="77777777" w:rsidTr="00A14777">
        <w:tc>
          <w:tcPr>
            <w:tcW w:w="2547" w:type="dxa"/>
          </w:tcPr>
          <w:p w14:paraId="10776A0A" w14:textId="77777777" w:rsidR="00345E49" w:rsidRPr="00E941AD" w:rsidRDefault="00345E49" w:rsidP="00464596">
            <w:pPr>
              <w:pStyle w:val="TableFigureFooter"/>
              <w:rPr>
                <w:i w:val="0"/>
                <w:iCs w:val="0"/>
                <w:sz w:val="20"/>
                <w:szCs w:val="20"/>
                <w:vertAlign w:val="baseline"/>
              </w:rPr>
            </w:pPr>
            <w:r w:rsidRPr="00E941AD">
              <w:rPr>
                <w:i w:val="0"/>
                <w:iCs w:val="0"/>
                <w:sz w:val="20"/>
                <w:szCs w:val="20"/>
                <w:vertAlign w:val="baseline"/>
              </w:rPr>
              <w:t>Livnat, 2023, patient with N1303K</w:t>
            </w:r>
          </w:p>
          <w:p w14:paraId="502BCB23" w14:textId="77777777" w:rsidR="00345E49" w:rsidRPr="00E941AD" w:rsidRDefault="00345E49" w:rsidP="00464596">
            <w:pPr>
              <w:pStyle w:val="TableFigureFooter"/>
              <w:rPr>
                <w:i w:val="0"/>
                <w:iCs w:val="0"/>
                <w:sz w:val="20"/>
                <w:szCs w:val="20"/>
                <w:vertAlign w:val="baseline"/>
              </w:rPr>
            </w:pPr>
            <w:r w:rsidRPr="00E941AD">
              <w:rPr>
                <w:i w:val="0"/>
                <w:iCs w:val="0"/>
                <w:sz w:val="20"/>
                <w:szCs w:val="20"/>
                <w:vertAlign w:val="baseline"/>
              </w:rPr>
              <w:t>N = 1</w:t>
            </w:r>
          </w:p>
        </w:tc>
        <w:tc>
          <w:tcPr>
            <w:tcW w:w="1701" w:type="dxa"/>
          </w:tcPr>
          <w:p w14:paraId="3B1CDED3" w14:textId="77777777" w:rsidR="00345E49" w:rsidRPr="00E941AD" w:rsidRDefault="00345E49" w:rsidP="00464596">
            <w:pPr>
              <w:pStyle w:val="TableFigureFooter"/>
              <w:rPr>
                <w:i w:val="0"/>
                <w:iCs w:val="0"/>
                <w:sz w:val="20"/>
                <w:szCs w:val="20"/>
                <w:vertAlign w:val="baseline"/>
              </w:rPr>
            </w:pPr>
            <w:r w:rsidRPr="00E941AD">
              <w:rPr>
                <w:i w:val="0"/>
                <w:iCs w:val="0"/>
                <w:sz w:val="20"/>
                <w:szCs w:val="20"/>
                <w:vertAlign w:val="baseline"/>
              </w:rPr>
              <w:t>-83 (NA)</w:t>
            </w:r>
          </w:p>
        </w:tc>
        <w:tc>
          <w:tcPr>
            <w:tcW w:w="1559" w:type="dxa"/>
          </w:tcPr>
          <w:p w14:paraId="5D9D07B6" w14:textId="77777777" w:rsidR="00345E49" w:rsidRPr="00E941AD" w:rsidRDefault="00345E49" w:rsidP="00464596">
            <w:pPr>
              <w:pStyle w:val="TableFigureFooter"/>
              <w:rPr>
                <w:i w:val="0"/>
                <w:iCs w:val="0"/>
                <w:sz w:val="20"/>
                <w:szCs w:val="20"/>
                <w:vertAlign w:val="baseline"/>
              </w:rPr>
            </w:pPr>
            <w:r w:rsidRPr="00E941AD">
              <w:rPr>
                <w:i w:val="0"/>
                <w:iCs w:val="0"/>
                <w:sz w:val="20"/>
                <w:szCs w:val="20"/>
                <w:vertAlign w:val="baseline"/>
              </w:rPr>
              <w:t>1 (100%)</w:t>
            </w:r>
          </w:p>
        </w:tc>
        <w:tc>
          <w:tcPr>
            <w:tcW w:w="1701" w:type="dxa"/>
          </w:tcPr>
          <w:p w14:paraId="6C3DC0C2" w14:textId="77777777" w:rsidR="00345E49" w:rsidRPr="00E941AD" w:rsidRDefault="00345E49" w:rsidP="00464596">
            <w:pPr>
              <w:pStyle w:val="TableFigureFooter"/>
              <w:rPr>
                <w:i w:val="0"/>
                <w:iCs w:val="0"/>
                <w:sz w:val="20"/>
                <w:szCs w:val="20"/>
                <w:vertAlign w:val="baseline"/>
              </w:rPr>
            </w:pPr>
            <w:r w:rsidRPr="00E941AD">
              <w:rPr>
                <w:i w:val="0"/>
                <w:iCs w:val="0"/>
                <w:sz w:val="20"/>
                <w:szCs w:val="20"/>
                <w:vertAlign w:val="baseline"/>
              </w:rPr>
              <w:t>11 (NA)</w:t>
            </w:r>
          </w:p>
        </w:tc>
        <w:tc>
          <w:tcPr>
            <w:tcW w:w="1508" w:type="dxa"/>
          </w:tcPr>
          <w:p w14:paraId="1818C50B" w14:textId="77777777" w:rsidR="00345E49" w:rsidRPr="00E941AD" w:rsidRDefault="00345E49" w:rsidP="00464596">
            <w:pPr>
              <w:pStyle w:val="TableFigureFooter"/>
              <w:rPr>
                <w:i w:val="0"/>
                <w:iCs w:val="0"/>
                <w:sz w:val="20"/>
                <w:szCs w:val="20"/>
                <w:vertAlign w:val="baseline"/>
              </w:rPr>
            </w:pPr>
            <w:r w:rsidRPr="00E941AD">
              <w:rPr>
                <w:i w:val="0"/>
                <w:iCs w:val="0"/>
                <w:sz w:val="20"/>
                <w:szCs w:val="20"/>
                <w:vertAlign w:val="baseline"/>
              </w:rPr>
              <w:t>1 (100%)</w:t>
            </w:r>
          </w:p>
        </w:tc>
      </w:tr>
    </w:tbl>
    <w:p w14:paraId="44A20543" w14:textId="77777777" w:rsidR="00345E49" w:rsidRDefault="00345E49" w:rsidP="00464596">
      <w:pPr>
        <w:pStyle w:val="TableFigureFooter"/>
      </w:pPr>
      <w:r w:rsidRPr="00F208B9">
        <w:t xml:space="preserve">Source: Constructed during the evaluation from published reports. </w:t>
      </w:r>
    </w:p>
    <w:p w14:paraId="2D237E7F" w14:textId="67536157" w:rsidR="00345E49" w:rsidRPr="00716907" w:rsidRDefault="00345E49" w:rsidP="003C51AF">
      <w:pPr>
        <w:pStyle w:val="3-BodyText"/>
        <w:numPr>
          <w:ilvl w:val="1"/>
          <w:numId w:val="1"/>
        </w:numPr>
      </w:pPr>
      <w:r w:rsidRPr="00716907">
        <w:lastRenderedPageBreak/>
        <w:t xml:space="preserve">The results of Sadras and Livnat are of limited value, because of the lack of statistical analysis and small numbers. The results of Solomon, 2023 are consistent with those of Burgel, 2024, in finding minimal effects of ELX/TEZ/IVA on sweat chloride in patients with </w:t>
      </w:r>
      <w:r w:rsidRPr="00826275">
        <w:rPr>
          <w:i/>
          <w:iCs/>
        </w:rPr>
        <w:t>N1303K</w:t>
      </w:r>
      <w:r w:rsidRPr="00716907">
        <w:t>, and a clinically significant rise in ppFEV</w:t>
      </w:r>
      <w:r w:rsidRPr="00716907">
        <w:rPr>
          <w:vertAlign w:val="subscript"/>
        </w:rPr>
        <w:t>1</w:t>
      </w:r>
      <w:r w:rsidRPr="00716907">
        <w:t xml:space="preserve"> in roughly half the patients. </w:t>
      </w:r>
    </w:p>
    <w:p w14:paraId="1452C351" w14:textId="5969A538" w:rsidR="00B60939" w:rsidRPr="0098262F" w:rsidRDefault="00B60939" w:rsidP="00D86231">
      <w:pPr>
        <w:pStyle w:val="4-SubsectionHeading"/>
      </w:pPr>
      <w:bookmarkStart w:id="43" w:name="_Toc22897642"/>
      <w:bookmarkStart w:id="44" w:name="_Toc188437184"/>
      <w:r w:rsidRPr="0098262F">
        <w:t>Comparative harms</w:t>
      </w:r>
      <w:bookmarkEnd w:id="43"/>
      <w:bookmarkEnd w:id="44"/>
    </w:p>
    <w:p w14:paraId="6709388A" w14:textId="76802BF6" w:rsidR="008E7609" w:rsidRPr="007105D3" w:rsidRDefault="008E7609" w:rsidP="008E7609">
      <w:pPr>
        <w:pStyle w:val="3-BodyText"/>
      </w:pPr>
      <w:r w:rsidRPr="007105D3">
        <w:t>Adverse event data</w:t>
      </w:r>
      <w:r>
        <w:rPr>
          <w:b/>
        </w:rPr>
        <w:t xml:space="preserve"> </w:t>
      </w:r>
      <w:r w:rsidRPr="00D170A1">
        <w:rPr>
          <w:bCs/>
        </w:rPr>
        <w:t>were only provided for Study 124 and</w:t>
      </w:r>
      <w:r>
        <w:rPr>
          <w:b/>
        </w:rPr>
        <w:t xml:space="preserve"> </w:t>
      </w:r>
      <w:r w:rsidRPr="007105D3">
        <w:t>are shown in</w:t>
      </w:r>
      <w:r w:rsidR="003C51AF">
        <w:rPr>
          <w:b/>
        </w:rPr>
        <w:t xml:space="preserve"> </w:t>
      </w:r>
      <w:r w:rsidR="003C51AF">
        <w:rPr>
          <w:b/>
        </w:rPr>
        <w:fldChar w:fldCharType="begin"/>
      </w:r>
      <w:r w:rsidR="003C51AF">
        <w:rPr>
          <w:b/>
        </w:rPr>
        <w:instrText xml:space="preserve"> REF _Ref183600035 \h </w:instrText>
      </w:r>
      <w:r w:rsidR="003C51AF">
        <w:rPr>
          <w:b/>
        </w:rPr>
      </w:r>
      <w:r w:rsidR="003C51AF">
        <w:rPr>
          <w:b/>
        </w:rPr>
        <w:fldChar w:fldCharType="separate"/>
      </w:r>
      <w:r w:rsidR="00343156" w:rsidRPr="00F034D5">
        <w:t xml:space="preserve">Table </w:t>
      </w:r>
      <w:r w:rsidR="00343156">
        <w:rPr>
          <w:noProof/>
        </w:rPr>
        <w:t>9</w:t>
      </w:r>
      <w:r w:rsidR="003C51AF">
        <w:rPr>
          <w:b/>
        </w:rPr>
        <w:fldChar w:fldCharType="end"/>
      </w:r>
      <w:r w:rsidR="003C51AF">
        <w:rPr>
          <w:b/>
        </w:rPr>
        <w:t>.</w:t>
      </w:r>
    </w:p>
    <w:p w14:paraId="67CAF10E" w14:textId="32B984FF" w:rsidR="008E7609" w:rsidRPr="00F034D5" w:rsidRDefault="00F034D5" w:rsidP="00F034D5">
      <w:pPr>
        <w:pStyle w:val="TableFigureHeading"/>
      </w:pPr>
      <w:bookmarkStart w:id="45" w:name="_Ref183600035"/>
      <w:r w:rsidRPr="00F034D5">
        <w:t xml:space="preserve">Table </w:t>
      </w:r>
      <w:r w:rsidR="00345E49">
        <w:fldChar w:fldCharType="begin"/>
      </w:r>
      <w:r w:rsidR="00345E49">
        <w:instrText xml:space="preserve"> SEQ Table \* ARABIC </w:instrText>
      </w:r>
      <w:r w:rsidR="00345E49">
        <w:fldChar w:fldCharType="separate"/>
      </w:r>
      <w:r w:rsidR="00343156">
        <w:rPr>
          <w:noProof/>
        </w:rPr>
        <w:t>9</w:t>
      </w:r>
      <w:r w:rsidR="00345E49">
        <w:rPr>
          <w:noProof/>
        </w:rPr>
        <w:fldChar w:fldCharType="end"/>
      </w:r>
      <w:bookmarkEnd w:id="45"/>
      <w:r w:rsidRPr="00F034D5">
        <w:t xml:space="preserve">: </w:t>
      </w:r>
      <w:r w:rsidR="008E7609" w:rsidRPr="00F034D5">
        <w:t>Adverse Events in VX21-445-124</w:t>
      </w:r>
    </w:p>
    <w:tbl>
      <w:tblPr>
        <w:tblStyle w:val="TableGrid"/>
        <w:tblW w:w="9067" w:type="dxa"/>
        <w:tblLook w:val="04A0" w:firstRow="1" w:lastRow="0" w:firstColumn="1" w:lastColumn="0" w:noHBand="0" w:noVBand="1"/>
      </w:tblPr>
      <w:tblGrid>
        <w:gridCol w:w="5098"/>
        <w:gridCol w:w="1843"/>
        <w:gridCol w:w="2126"/>
      </w:tblGrid>
      <w:tr w:rsidR="008E7609" w:rsidRPr="00EB4567" w14:paraId="0EC1AAFC" w14:textId="77777777" w:rsidTr="00A14777">
        <w:tc>
          <w:tcPr>
            <w:tcW w:w="5098" w:type="dxa"/>
          </w:tcPr>
          <w:p w14:paraId="6F8E87A4" w14:textId="77777777" w:rsidR="008E7609" w:rsidRPr="00EB4567" w:rsidRDefault="008E7609" w:rsidP="00A14777">
            <w:pPr>
              <w:rPr>
                <w:rFonts w:ascii="Arial Narrow" w:hAnsi="Arial Narrow"/>
                <w:sz w:val="20"/>
                <w:szCs w:val="20"/>
              </w:rPr>
            </w:pPr>
          </w:p>
        </w:tc>
        <w:tc>
          <w:tcPr>
            <w:tcW w:w="1843" w:type="dxa"/>
          </w:tcPr>
          <w:p w14:paraId="49F68B73" w14:textId="77777777" w:rsidR="008E7609" w:rsidRPr="00636B34" w:rsidRDefault="008E7609" w:rsidP="00636B34">
            <w:pPr>
              <w:pStyle w:val="TableFigureHeading"/>
            </w:pPr>
            <w:r w:rsidRPr="00636B34">
              <w:t>Placebo</w:t>
            </w:r>
          </w:p>
          <w:p w14:paraId="125091C6" w14:textId="77777777" w:rsidR="008E7609" w:rsidRPr="00636B34" w:rsidRDefault="008E7609" w:rsidP="00636B34">
            <w:pPr>
              <w:pStyle w:val="TableFigureHeading"/>
            </w:pPr>
            <w:r w:rsidRPr="00636B34">
              <w:t>N = 102</w:t>
            </w:r>
          </w:p>
        </w:tc>
        <w:tc>
          <w:tcPr>
            <w:tcW w:w="2126" w:type="dxa"/>
          </w:tcPr>
          <w:p w14:paraId="37F507FC" w14:textId="77777777" w:rsidR="008E7609" w:rsidRPr="00636B34" w:rsidRDefault="008E7609" w:rsidP="00636B34">
            <w:pPr>
              <w:pStyle w:val="TableFigureHeading"/>
            </w:pPr>
            <w:r w:rsidRPr="00636B34">
              <w:t>ETI</w:t>
            </w:r>
          </w:p>
          <w:p w14:paraId="4E402B15" w14:textId="77777777" w:rsidR="008E7609" w:rsidRPr="00636B34" w:rsidRDefault="008E7609" w:rsidP="00636B34">
            <w:pPr>
              <w:pStyle w:val="TableFigureHeading"/>
            </w:pPr>
            <w:r w:rsidRPr="00636B34">
              <w:t>N = 205</w:t>
            </w:r>
          </w:p>
        </w:tc>
      </w:tr>
      <w:tr w:rsidR="008E7609" w:rsidRPr="00EB4567" w14:paraId="3115754A" w14:textId="77777777" w:rsidTr="00A14777">
        <w:tc>
          <w:tcPr>
            <w:tcW w:w="5098" w:type="dxa"/>
          </w:tcPr>
          <w:p w14:paraId="36C93DAB"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Exposure Duration, wk, Median (range)</w:t>
            </w:r>
          </w:p>
        </w:tc>
        <w:tc>
          <w:tcPr>
            <w:tcW w:w="1843" w:type="dxa"/>
          </w:tcPr>
          <w:p w14:paraId="614FA4D5"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24 (22.6, 25.9)</w:t>
            </w:r>
          </w:p>
        </w:tc>
        <w:tc>
          <w:tcPr>
            <w:tcW w:w="2126" w:type="dxa"/>
          </w:tcPr>
          <w:p w14:paraId="477365CE"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24 (1.6, 26.3)</w:t>
            </w:r>
          </w:p>
        </w:tc>
      </w:tr>
      <w:tr w:rsidR="008E7609" w:rsidRPr="00EB4567" w14:paraId="17D69622" w14:textId="77777777" w:rsidTr="00A14777">
        <w:tc>
          <w:tcPr>
            <w:tcW w:w="5098" w:type="dxa"/>
          </w:tcPr>
          <w:p w14:paraId="1F416F7A"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Subjects with any AE</w:t>
            </w:r>
          </w:p>
        </w:tc>
        <w:tc>
          <w:tcPr>
            <w:tcW w:w="1843" w:type="dxa"/>
          </w:tcPr>
          <w:p w14:paraId="2C5E5BC3"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97 (95.1%)</w:t>
            </w:r>
          </w:p>
        </w:tc>
        <w:tc>
          <w:tcPr>
            <w:tcW w:w="2126" w:type="dxa"/>
          </w:tcPr>
          <w:p w14:paraId="3AF30369"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193 (94.1%)</w:t>
            </w:r>
          </w:p>
        </w:tc>
      </w:tr>
      <w:tr w:rsidR="008E7609" w:rsidRPr="00EB4567" w14:paraId="4E1054E3" w14:textId="77777777" w:rsidTr="00A14777">
        <w:tc>
          <w:tcPr>
            <w:tcW w:w="5098" w:type="dxa"/>
          </w:tcPr>
          <w:p w14:paraId="1E4A58AA"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Subjects with any SAE</w:t>
            </w:r>
          </w:p>
        </w:tc>
        <w:tc>
          <w:tcPr>
            <w:tcW w:w="1843" w:type="dxa"/>
          </w:tcPr>
          <w:p w14:paraId="25384215"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15 (4.7%)</w:t>
            </w:r>
          </w:p>
        </w:tc>
        <w:tc>
          <w:tcPr>
            <w:tcW w:w="2126" w:type="dxa"/>
          </w:tcPr>
          <w:p w14:paraId="7A4BEEAD"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18 (8.8%)</w:t>
            </w:r>
          </w:p>
        </w:tc>
      </w:tr>
      <w:tr w:rsidR="008E7609" w:rsidRPr="00EB4567" w14:paraId="2EF066A6" w14:textId="77777777" w:rsidTr="00A14777">
        <w:tc>
          <w:tcPr>
            <w:tcW w:w="5098" w:type="dxa"/>
          </w:tcPr>
          <w:p w14:paraId="639573D6"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Subjects with any treatment-related AE</w:t>
            </w:r>
          </w:p>
        </w:tc>
        <w:tc>
          <w:tcPr>
            <w:tcW w:w="1843" w:type="dxa"/>
          </w:tcPr>
          <w:p w14:paraId="7789BDBE"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29 (28.4%)</w:t>
            </w:r>
          </w:p>
        </w:tc>
        <w:tc>
          <w:tcPr>
            <w:tcW w:w="2126" w:type="dxa"/>
          </w:tcPr>
          <w:p w14:paraId="7A411C87"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125 (61%)</w:t>
            </w:r>
          </w:p>
        </w:tc>
      </w:tr>
      <w:tr w:rsidR="008E7609" w:rsidRPr="00EB4567" w14:paraId="69C88774" w14:textId="77777777" w:rsidTr="00A14777">
        <w:tc>
          <w:tcPr>
            <w:tcW w:w="5098" w:type="dxa"/>
          </w:tcPr>
          <w:p w14:paraId="579EAEAB"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Treatment discontinuation due to AE, n (%)</w:t>
            </w:r>
          </w:p>
        </w:tc>
        <w:tc>
          <w:tcPr>
            <w:tcW w:w="1843" w:type="dxa"/>
          </w:tcPr>
          <w:p w14:paraId="7D9FB115"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0</w:t>
            </w:r>
          </w:p>
        </w:tc>
        <w:tc>
          <w:tcPr>
            <w:tcW w:w="2126" w:type="dxa"/>
          </w:tcPr>
          <w:p w14:paraId="72596019"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5 (2.4%)</w:t>
            </w:r>
          </w:p>
        </w:tc>
      </w:tr>
      <w:tr w:rsidR="008E7609" w:rsidRPr="00EB4567" w14:paraId="62558128" w14:textId="77777777" w:rsidTr="00A14777">
        <w:tc>
          <w:tcPr>
            <w:tcW w:w="5098" w:type="dxa"/>
          </w:tcPr>
          <w:p w14:paraId="4D016E64"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Treatment interruption due to AE, n (%)</w:t>
            </w:r>
          </w:p>
        </w:tc>
        <w:tc>
          <w:tcPr>
            <w:tcW w:w="1843" w:type="dxa"/>
          </w:tcPr>
          <w:p w14:paraId="4AF4D8D4"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1 (1.0%)</w:t>
            </w:r>
          </w:p>
        </w:tc>
        <w:tc>
          <w:tcPr>
            <w:tcW w:w="2126" w:type="dxa"/>
          </w:tcPr>
          <w:p w14:paraId="2E2F2970"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25 (12.2%)</w:t>
            </w:r>
          </w:p>
        </w:tc>
      </w:tr>
      <w:tr w:rsidR="008E7609" w:rsidRPr="00EB4567" w14:paraId="7AA7C28B" w14:textId="77777777" w:rsidTr="00A14777">
        <w:tc>
          <w:tcPr>
            <w:tcW w:w="5098" w:type="dxa"/>
          </w:tcPr>
          <w:p w14:paraId="0548C2B6"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AE leading to death, n (%)</w:t>
            </w:r>
            <w:r w:rsidRPr="00EB4567">
              <w:rPr>
                <w:rFonts w:ascii="Arial Narrow" w:hAnsi="Arial Narrow"/>
                <w:sz w:val="20"/>
                <w:szCs w:val="20"/>
                <w:vertAlign w:val="superscript"/>
              </w:rPr>
              <w:t>1</w:t>
            </w:r>
          </w:p>
        </w:tc>
        <w:tc>
          <w:tcPr>
            <w:tcW w:w="1843" w:type="dxa"/>
          </w:tcPr>
          <w:p w14:paraId="5362782A"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0</w:t>
            </w:r>
          </w:p>
        </w:tc>
        <w:tc>
          <w:tcPr>
            <w:tcW w:w="2126" w:type="dxa"/>
          </w:tcPr>
          <w:p w14:paraId="03A8B801"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1 (0.5%)</w:t>
            </w:r>
          </w:p>
        </w:tc>
      </w:tr>
      <w:tr w:rsidR="008E7609" w:rsidRPr="00EB4567" w14:paraId="48077F44" w14:textId="77777777" w:rsidTr="00A14777">
        <w:tc>
          <w:tcPr>
            <w:tcW w:w="5098" w:type="dxa"/>
          </w:tcPr>
          <w:p w14:paraId="10DF59F1"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Rash, n (%)</w:t>
            </w:r>
          </w:p>
          <w:p w14:paraId="638A2760" w14:textId="77777777" w:rsidR="008E7609" w:rsidRPr="00EB4567" w:rsidRDefault="008E7609" w:rsidP="00A14777">
            <w:pPr>
              <w:jc w:val="right"/>
              <w:rPr>
                <w:rFonts w:ascii="Arial Narrow" w:hAnsi="Arial Narrow"/>
                <w:sz w:val="20"/>
                <w:szCs w:val="20"/>
              </w:rPr>
            </w:pPr>
            <w:r w:rsidRPr="00EB4567">
              <w:rPr>
                <w:rFonts w:ascii="Arial Narrow" w:hAnsi="Arial Narrow"/>
                <w:sz w:val="20"/>
                <w:szCs w:val="20"/>
              </w:rPr>
              <w:t>Moderate</w:t>
            </w:r>
          </w:p>
          <w:p w14:paraId="461569E3" w14:textId="77777777" w:rsidR="008E7609" w:rsidRPr="00EB4567" w:rsidRDefault="008E7609" w:rsidP="00A14777">
            <w:pPr>
              <w:jc w:val="right"/>
              <w:rPr>
                <w:rFonts w:ascii="Arial Narrow" w:hAnsi="Arial Narrow"/>
                <w:sz w:val="20"/>
                <w:szCs w:val="20"/>
              </w:rPr>
            </w:pPr>
            <w:r w:rsidRPr="00EB4567">
              <w:rPr>
                <w:rFonts w:ascii="Arial Narrow" w:hAnsi="Arial Narrow"/>
                <w:sz w:val="20"/>
                <w:szCs w:val="20"/>
              </w:rPr>
              <w:t>Severe</w:t>
            </w:r>
          </w:p>
          <w:p w14:paraId="3E8C0567" w14:textId="77777777" w:rsidR="008E7609" w:rsidRPr="00EB4567" w:rsidRDefault="008E7609" w:rsidP="00A14777">
            <w:pPr>
              <w:jc w:val="right"/>
              <w:rPr>
                <w:rFonts w:ascii="Arial Narrow" w:hAnsi="Arial Narrow"/>
                <w:sz w:val="20"/>
                <w:szCs w:val="20"/>
              </w:rPr>
            </w:pPr>
            <w:r w:rsidRPr="00EB4567">
              <w:rPr>
                <w:rFonts w:ascii="Arial Narrow" w:hAnsi="Arial Narrow"/>
                <w:sz w:val="20"/>
                <w:szCs w:val="20"/>
              </w:rPr>
              <w:t>Leading to treatment discontinuation</w:t>
            </w:r>
          </w:p>
          <w:p w14:paraId="1CB81564" w14:textId="77777777" w:rsidR="008E7609" w:rsidRPr="00EB4567" w:rsidRDefault="008E7609" w:rsidP="00A14777">
            <w:pPr>
              <w:jc w:val="right"/>
              <w:rPr>
                <w:rFonts w:ascii="Arial Narrow" w:hAnsi="Arial Narrow"/>
                <w:sz w:val="20"/>
                <w:szCs w:val="20"/>
              </w:rPr>
            </w:pPr>
            <w:r w:rsidRPr="00EB4567">
              <w:rPr>
                <w:rFonts w:ascii="Arial Narrow" w:hAnsi="Arial Narrow"/>
                <w:sz w:val="20"/>
                <w:szCs w:val="20"/>
              </w:rPr>
              <w:t>Leading to treatment interruption</w:t>
            </w:r>
          </w:p>
        </w:tc>
        <w:tc>
          <w:tcPr>
            <w:tcW w:w="1843" w:type="dxa"/>
          </w:tcPr>
          <w:p w14:paraId="5D19500E"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3 (2.9%)</w:t>
            </w:r>
          </w:p>
          <w:p w14:paraId="2F2101CD"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1 (1.0%)</w:t>
            </w:r>
          </w:p>
          <w:p w14:paraId="204EF1B6"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0</w:t>
            </w:r>
          </w:p>
          <w:p w14:paraId="0F9B9D99"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0</w:t>
            </w:r>
          </w:p>
          <w:p w14:paraId="5FF9BF30"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0</w:t>
            </w:r>
          </w:p>
        </w:tc>
        <w:tc>
          <w:tcPr>
            <w:tcW w:w="2126" w:type="dxa"/>
          </w:tcPr>
          <w:p w14:paraId="0B286EA8"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55 (26.8%)</w:t>
            </w:r>
          </w:p>
          <w:p w14:paraId="2929CAD2"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23 (11.2%)</w:t>
            </w:r>
          </w:p>
          <w:p w14:paraId="43569F13"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5 (2.4%)</w:t>
            </w:r>
          </w:p>
          <w:p w14:paraId="6D216C00"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1 (0.5%)</w:t>
            </w:r>
          </w:p>
          <w:p w14:paraId="36391C82"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15 (7.3%)</w:t>
            </w:r>
          </w:p>
        </w:tc>
      </w:tr>
      <w:tr w:rsidR="008E7609" w:rsidRPr="00EB4567" w14:paraId="6BE84891" w14:textId="77777777" w:rsidTr="00A14777">
        <w:tc>
          <w:tcPr>
            <w:tcW w:w="5098" w:type="dxa"/>
          </w:tcPr>
          <w:p w14:paraId="62AA3DF3"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 xml:space="preserve">Alanine aminotransferase &gt;ULN, n (%) </w:t>
            </w:r>
          </w:p>
          <w:p w14:paraId="381782D9" w14:textId="77777777" w:rsidR="008E7609" w:rsidRPr="00EB4567" w:rsidRDefault="008E7609" w:rsidP="00A14777">
            <w:pPr>
              <w:jc w:val="right"/>
              <w:rPr>
                <w:rFonts w:ascii="Arial Narrow" w:hAnsi="Arial Narrow"/>
                <w:sz w:val="20"/>
                <w:szCs w:val="20"/>
              </w:rPr>
            </w:pPr>
            <w:r w:rsidRPr="00EB4567">
              <w:rPr>
                <w:rFonts w:ascii="Symbol" w:eastAsia="Symbol" w:hAnsi="Symbol" w:cs="Symbol"/>
                <w:sz w:val="20"/>
                <w:szCs w:val="20"/>
              </w:rPr>
              <w:t>£</w:t>
            </w:r>
            <w:r w:rsidRPr="00EB4567">
              <w:rPr>
                <w:rFonts w:ascii="Arial Narrow" w:hAnsi="Arial Narrow"/>
                <w:sz w:val="20"/>
                <w:szCs w:val="20"/>
              </w:rPr>
              <w:t xml:space="preserve">3 x ULN </w:t>
            </w:r>
          </w:p>
          <w:p w14:paraId="79038410" w14:textId="77777777" w:rsidR="008E7609" w:rsidRPr="00EB4567" w:rsidRDefault="008E7609" w:rsidP="00A14777">
            <w:pPr>
              <w:jc w:val="right"/>
              <w:rPr>
                <w:rFonts w:ascii="Arial Narrow" w:hAnsi="Arial Narrow"/>
                <w:sz w:val="20"/>
                <w:szCs w:val="20"/>
              </w:rPr>
            </w:pPr>
            <w:r w:rsidRPr="00EB4567">
              <w:rPr>
                <w:rFonts w:ascii="Arial Narrow" w:hAnsi="Arial Narrow"/>
                <w:sz w:val="20"/>
                <w:szCs w:val="20"/>
              </w:rPr>
              <w:t>&gt;3 x ULN</w:t>
            </w:r>
          </w:p>
        </w:tc>
        <w:tc>
          <w:tcPr>
            <w:tcW w:w="1843" w:type="dxa"/>
          </w:tcPr>
          <w:p w14:paraId="16EE53B9" w14:textId="77777777" w:rsidR="008E7609" w:rsidRPr="00EB4567" w:rsidRDefault="008E7609" w:rsidP="00A14777">
            <w:pPr>
              <w:rPr>
                <w:rFonts w:ascii="Arial Narrow" w:hAnsi="Arial Narrow"/>
                <w:sz w:val="20"/>
                <w:szCs w:val="20"/>
              </w:rPr>
            </w:pPr>
          </w:p>
          <w:p w14:paraId="500EA810"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13 (12.7%)</w:t>
            </w:r>
          </w:p>
          <w:p w14:paraId="5D524F11"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0</w:t>
            </w:r>
          </w:p>
        </w:tc>
        <w:tc>
          <w:tcPr>
            <w:tcW w:w="2126" w:type="dxa"/>
          </w:tcPr>
          <w:p w14:paraId="39B0368A" w14:textId="77777777" w:rsidR="008E7609" w:rsidRPr="00EB4567" w:rsidRDefault="008E7609" w:rsidP="00A14777">
            <w:pPr>
              <w:rPr>
                <w:rFonts w:ascii="Arial Narrow" w:hAnsi="Arial Narrow"/>
                <w:sz w:val="20"/>
                <w:szCs w:val="20"/>
              </w:rPr>
            </w:pPr>
          </w:p>
          <w:p w14:paraId="38290D2C"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38 (18.5%)</w:t>
            </w:r>
          </w:p>
          <w:p w14:paraId="19EB1DF0"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10 (4.9%)</w:t>
            </w:r>
          </w:p>
        </w:tc>
      </w:tr>
      <w:tr w:rsidR="008E7609" w:rsidRPr="00EB4567" w14:paraId="549402FB" w14:textId="77777777" w:rsidTr="00A14777">
        <w:tc>
          <w:tcPr>
            <w:tcW w:w="5098" w:type="dxa"/>
          </w:tcPr>
          <w:p w14:paraId="4934CE59"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Aspartate aminotransferase &gt;ULN, n (%)</w:t>
            </w:r>
          </w:p>
          <w:p w14:paraId="09DD06ED" w14:textId="77777777" w:rsidR="008E7609" w:rsidRPr="00EB4567" w:rsidRDefault="008E7609" w:rsidP="00A14777">
            <w:pPr>
              <w:jc w:val="right"/>
              <w:rPr>
                <w:rFonts w:ascii="Arial Narrow" w:hAnsi="Arial Narrow"/>
                <w:sz w:val="20"/>
                <w:szCs w:val="20"/>
              </w:rPr>
            </w:pPr>
            <w:r w:rsidRPr="00EB4567">
              <w:rPr>
                <w:rFonts w:ascii="Symbol" w:eastAsia="Symbol" w:hAnsi="Symbol" w:cs="Symbol"/>
                <w:sz w:val="20"/>
                <w:szCs w:val="20"/>
              </w:rPr>
              <w:t>£</w:t>
            </w:r>
            <w:r w:rsidRPr="00EB4567">
              <w:rPr>
                <w:rFonts w:ascii="Arial Narrow" w:hAnsi="Arial Narrow"/>
                <w:sz w:val="20"/>
                <w:szCs w:val="20"/>
              </w:rPr>
              <w:t>3 x ULN</w:t>
            </w:r>
          </w:p>
          <w:p w14:paraId="7F5F565C" w14:textId="77777777" w:rsidR="008E7609" w:rsidRPr="00EB4567" w:rsidRDefault="008E7609" w:rsidP="00A14777">
            <w:pPr>
              <w:jc w:val="right"/>
              <w:rPr>
                <w:rFonts w:ascii="Arial Narrow" w:hAnsi="Arial Narrow"/>
                <w:sz w:val="20"/>
                <w:szCs w:val="20"/>
              </w:rPr>
            </w:pPr>
            <w:r w:rsidRPr="00EB4567">
              <w:rPr>
                <w:rFonts w:ascii="Arial Narrow" w:hAnsi="Arial Narrow"/>
                <w:sz w:val="20"/>
                <w:szCs w:val="20"/>
              </w:rPr>
              <w:t>&gt;3 x ULN</w:t>
            </w:r>
          </w:p>
        </w:tc>
        <w:tc>
          <w:tcPr>
            <w:tcW w:w="1843" w:type="dxa"/>
          </w:tcPr>
          <w:p w14:paraId="07810455" w14:textId="77777777" w:rsidR="008E7609" w:rsidRPr="00EB4567" w:rsidRDefault="008E7609" w:rsidP="00A14777">
            <w:pPr>
              <w:rPr>
                <w:rFonts w:ascii="Arial Narrow" w:hAnsi="Arial Narrow"/>
                <w:sz w:val="20"/>
                <w:szCs w:val="20"/>
              </w:rPr>
            </w:pPr>
          </w:p>
          <w:p w14:paraId="7B8FDC8F"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16 (15.7%)</w:t>
            </w:r>
          </w:p>
          <w:p w14:paraId="590D562E"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0</w:t>
            </w:r>
          </w:p>
        </w:tc>
        <w:tc>
          <w:tcPr>
            <w:tcW w:w="2126" w:type="dxa"/>
          </w:tcPr>
          <w:p w14:paraId="6FB002B1" w14:textId="77777777" w:rsidR="008E7609" w:rsidRPr="00EB4567" w:rsidRDefault="008E7609" w:rsidP="00A14777">
            <w:pPr>
              <w:rPr>
                <w:rFonts w:ascii="Arial Narrow" w:hAnsi="Arial Narrow"/>
                <w:sz w:val="20"/>
                <w:szCs w:val="20"/>
              </w:rPr>
            </w:pPr>
          </w:p>
          <w:p w14:paraId="4E64344A"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42 (20.5%)</w:t>
            </w:r>
          </w:p>
          <w:p w14:paraId="7536DB9D"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10 (4.9%)</w:t>
            </w:r>
          </w:p>
        </w:tc>
      </w:tr>
      <w:tr w:rsidR="008E7609" w:rsidRPr="00EB4567" w14:paraId="1327F648" w14:textId="77777777" w:rsidTr="00A14777">
        <w:tc>
          <w:tcPr>
            <w:tcW w:w="5098" w:type="dxa"/>
          </w:tcPr>
          <w:p w14:paraId="4D433511"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Total bilirubin &gt;ULN, n (%)</w:t>
            </w:r>
          </w:p>
          <w:p w14:paraId="2657BDDF" w14:textId="77777777" w:rsidR="008E7609" w:rsidRPr="00EB4567" w:rsidRDefault="008E7609" w:rsidP="00A14777">
            <w:pPr>
              <w:jc w:val="right"/>
              <w:rPr>
                <w:rFonts w:ascii="Arial Narrow" w:hAnsi="Arial Narrow"/>
                <w:sz w:val="20"/>
                <w:szCs w:val="20"/>
                <w:lang w:val="en-US"/>
              </w:rPr>
            </w:pPr>
            <w:r w:rsidRPr="00EB4567">
              <w:rPr>
                <w:rFonts w:ascii="Arial Narrow" w:hAnsi="Arial Narrow"/>
                <w:sz w:val="20"/>
                <w:szCs w:val="20"/>
                <w:lang w:val="en-US"/>
              </w:rPr>
              <w:t>≤1.5 × ULN</w:t>
            </w:r>
          </w:p>
          <w:p w14:paraId="0F1BCEAF" w14:textId="77777777" w:rsidR="008E7609" w:rsidRPr="00EB4567" w:rsidRDefault="008E7609" w:rsidP="00A14777">
            <w:pPr>
              <w:jc w:val="right"/>
              <w:rPr>
                <w:rFonts w:ascii="Arial Narrow" w:hAnsi="Arial Narrow"/>
                <w:sz w:val="20"/>
                <w:szCs w:val="20"/>
              </w:rPr>
            </w:pPr>
            <w:r w:rsidRPr="00EB4567">
              <w:rPr>
                <w:rFonts w:ascii="Arial Narrow" w:hAnsi="Arial Narrow"/>
                <w:sz w:val="20"/>
                <w:szCs w:val="20"/>
              </w:rPr>
              <w:t>&gt;1.5 x ULN</w:t>
            </w:r>
          </w:p>
        </w:tc>
        <w:tc>
          <w:tcPr>
            <w:tcW w:w="1843" w:type="dxa"/>
          </w:tcPr>
          <w:p w14:paraId="38D4CBAB" w14:textId="77777777" w:rsidR="008E7609" w:rsidRPr="00EB4567" w:rsidRDefault="008E7609" w:rsidP="00A14777">
            <w:pPr>
              <w:rPr>
                <w:rFonts w:ascii="Arial Narrow" w:hAnsi="Arial Narrow"/>
                <w:sz w:val="20"/>
                <w:szCs w:val="20"/>
              </w:rPr>
            </w:pPr>
          </w:p>
          <w:p w14:paraId="56962C85"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7 (6.9%)</w:t>
            </w:r>
          </w:p>
          <w:p w14:paraId="5A36DC81"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4 (3.9%)</w:t>
            </w:r>
          </w:p>
        </w:tc>
        <w:tc>
          <w:tcPr>
            <w:tcW w:w="2126" w:type="dxa"/>
          </w:tcPr>
          <w:p w14:paraId="05B63A2D" w14:textId="77777777" w:rsidR="008E7609" w:rsidRPr="00EB4567" w:rsidRDefault="008E7609" w:rsidP="00A14777">
            <w:pPr>
              <w:rPr>
                <w:rFonts w:ascii="Arial Narrow" w:hAnsi="Arial Narrow"/>
                <w:sz w:val="20"/>
                <w:szCs w:val="20"/>
              </w:rPr>
            </w:pPr>
          </w:p>
          <w:p w14:paraId="3AE286BF"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33 (16.1%)</w:t>
            </w:r>
          </w:p>
          <w:p w14:paraId="1F582248" w14:textId="77777777" w:rsidR="008E7609" w:rsidRPr="00EB4567" w:rsidRDefault="008E7609" w:rsidP="00A14777">
            <w:pPr>
              <w:rPr>
                <w:rFonts w:ascii="Arial Narrow" w:hAnsi="Arial Narrow"/>
                <w:sz w:val="20"/>
                <w:szCs w:val="20"/>
              </w:rPr>
            </w:pPr>
            <w:r w:rsidRPr="00EB4567">
              <w:rPr>
                <w:rFonts w:ascii="Arial Narrow" w:hAnsi="Arial Narrow"/>
                <w:sz w:val="20"/>
                <w:szCs w:val="20"/>
              </w:rPr>
              <w:t>14 (6.8%)</w:t>
            </w:r>
          </w:p>
        </w:tc>
      </w:tr>
    </w:tbl>
    <w:p w14:paraId="7F1FDEA0" w14:textId="77777777" w:rsidR="008E7609" w:rsidRPr="00D8061A" w:rsidRDefault="008E7609" w:rsidP="00464596">
      <w:pPr>
        <w:pStyle w:val="TableFigureFooter"/>
      </w:pPr>
      <w:r w:rsidRPr="00D8061A">
        <w:t>Source: VX21-445-124 CSR: Table 12-1, p69; Table 12-2, pp70-71; Table 12-5, pp75-76; Table 12-6, pp77-79.</w:t>
      </w:r>
    </w:p>
    <w:p w14:paraId="04ACA25B" w14:textId="77777777" w:rsidR="008E7609" w:rsidRPr="00D8061A" w:rsidRDefault="008E7609" w:rsidP="00464596">
      <w:pPr>
        <w:pStyle w:val="TableFigureFooter"/>
      </w:pPr>
      <w:r w:rsidRPr="00D8061A">
        <w:t xml:space="preserve">AE = adverse event; SAE = serious adverse event; ULN = upper limit of normal. </w:t>
      </w:r>
    </w:p>
    <w:p w14:paraId="6DDD24B1" w14:textId="77777777" w:rsidR="008E7609" w:rsidRPr="00D8061A" w:rsidRDefault="008E7609" w:rsidP="00464596">
      <w:pPr>
        <w:pStyle w:val="TableFigureFooter"/>
      </w:pPr>
      <w:r w:rsidRPr="00D8061A">
        <w:t xml:space="preserve">1 The cause of death was lung cancer. </w:t>
      </w:r>
    </w:p>
    <w:p w14:paraId="57D59DE0" w14:textId="6ECE92EF" w:rsidR="008E7609" w:rsidRDefault="008E7609" w:rsidP="008E7609">
      <w:pPr>
        <w:pStyle w:val="3-BodyText"/>
        <w:numPr>
          <w:ilvl w:val="1"/>
          <w:numId w:val="1"/>
        </w:numPr>
      </w:pPr>
      <w:r>
        <w:t xml:space="preserve">As in previous studies, rash and liver abnormalities were associated with </w:t>
      </w:r>
      <w:r w:rsidR="00087D6A">
        <w:t xml:space="preserve">ELX/TEZ/IVA </w:t>
      </w:r>
      <w:r>
        <w:t xml:space="preserve">treatment, and </w:t>
      </w:r>
      <w:r w:rsidR="00A53966">
        <w:t xml:space="preserve">were </w:t>
      </w:r>
      <w:r>
        <w:t xml:space="preserve">common causes of treatment interruption and occasional causes of treatment discontinuation. </w:t>
      </w:r>
    </w:p>
    <w:p w14:paraId="04908C7F" w14:textId="415B9B7D" w:rsidR="007F1017" w:rsidRPr="0098262F" w:rsidRDefault="007F1017" w:rsidP="00D86231">
      <w:pPr>
        <w:pStyle w:val="4-SubsectionHeading"/>
      </w:pPr>
      <w:bookmarkStart w:id="46" w:name="_Toc22897643"/>
      <w:bookmarkStart w:id="47" w:name="_Toc188437185"/>
      <w:r w:rsidRPr="0098262F">
        <w:t>Benefits/harms</w:t>
      </w:r>
      <w:bookmarkEnd w:id="46"/>
      <w:bookmarkEnd w:id="47"/>
    </w:p>
    <w:p w14:paraId="7398D11E" w14:textId="66D39C5A" w:rsidR="007F1017" w:rsidRPr="0098262F" w:rsidRDefault="00311D9B" w:rsidP="009804DE">
      <w:pPr>
        <w:pStyle w:val="3-BodyText"/>
      </w:pPr>
      <w:r w:rsidRPr="0098262F">
        <w:t xml:space="preserve">A benefits and harms table is not presented as the submission </w:t>
      </w:r>
      <w:r w:rsidR="009804DE">
        <w:t xml:space="preserve">did not present comparative data to allow for a </w:t>
      </w:r>
      <w:r w:rsidR="0085309D" w:rsidRPr="0098262F">
        <w:t xml:space="preserve">quantitative </w:t>
      </w:r>
      <w:r w:rsidR="00E926A5" w:rsidRPr="0098262F">
        <w:t xml:space="preserve">comparison of the benefits and harms of </w:t>
      </w:r>
      <w:r w:rsidR="00087D6A">
        <w:t xml:space="preserve">ELX/TEZ/IVA, </w:t>
      </w:r>
      <w:r w:rsidR="009804DE">
        <w:t>TEZ/IVA, IVA or BSC</w:t>
      </w:r>
      <w:r w:rsidR="00E926A5" w:rsidRPr="0098262F">
        <w:t>.</w:t>
      </w:r>
    </w:p>
    <w:p w14:paraId="7A1772B6" w14:textId="23BB3145" w:rsidR="00B60939" w:rsidRPr="0098262F" w:rsidRDefault="00B60939" w:rsidP="00E9094A">
      <w:pPr>
        <w:pStyle w:val="4-SubsectionHeading"/>
      </w:pPr>
      <w:bookmarkStart w:id="48" w:name="_Toc22897644"/>
      <w:bookmarkStart w:id="49" w:name="_Toc188437186"/>
      <w:r w:rsidRPr="0098262F">
        <w:t>Clinical claim</w:t>
      </w:r>
      <w:bookmarkEnd w:id="48"/>
      <w:bookmarkEnd w:id="49"/>
    </w:p>
    <w:p w14:paraId="0452A1B1" w14:textId="2177671A" w:rsidR="00BC732E" w:rsidRPr="00BC732E" w:rsidRDefault="005F7588" w:rsidP="00A14777">
      <w:pPr>
        <w:pStyle w:val="3-BodyText"/>
      </w:pPr>
      <w:r w:rsidRPr="00BC732E">
        <w:rPr>
          <w:rFonts w:eastAsia="Calibri"/>
        </w:rPr>
        <w:t xml:space="preserve">The submission described </w:t>
      </w:r>
      <w:r w:rsidR="00087D6A">
        <w:t>ELX/TEZ/IVA</w:t>
      </w:r>
      <w:r w:rsidR="00BC732E" w:rsidRPr="00BC732E">
        <w:rPr>
          <w:rFonts w:eastAsia="Calibri"/>
        </w:rPr>
        <w:t xml:space="preserve"> </w:t>
      </w:r>
      <w:r w:rsidRPr="00BC732E">
        <w:rPr>
          <w:rFonts w:eastAsia="Calibri"/>
        </w:rPr>
        <w:t>as</w:t>
      </w:r>
      <w:r w:rsidR="00BC732E">
        <w:rPr>
          <w:rFonts w:eastAsia="Calibri"/>
        </w:rPr>
        <w:t>:</w:t>
      </w:r>
    </w:p>
    <w:p w14:paraId="28ADEBF0" w14:textId="7111BE31" w:rsidR="00BC732E" w:rsidRDefault="00BC732E" w:rsidP="008F6A0C">
      <w:pPr>
        <w:pStyle w:val="ListParagraph"/>
        <w:numPr>
          <w:ilvl w:val="1"/>
          <w:numId w:val="6"/>
        </w:numPr>
      </w:pPr>
      <w:r w:rsidRPr="000259B1">
        <w:t>superior in terms of effectiveness compared with IVA plus BSC in patients with mutations responsive to both IVA and ELX/TEZ/IVA</w:t>
      </w:r>
      <w:r>
        <w:t>,</w:t>
      </w:r>
    </w:p>
    <w:p w14:paraId="0BFAA773" w14:textId="77777777" w:rsidR="00BC732E" w:rsidRDefault="00BC732E" w:rsidP="008F6A0C">
      <w:pPr>
        <w:pStyle w:val="ListParagraph"/>
        <w:numPr>
          <w:ilvl w:val="1"/>
          <w:numId w:val="6"/>
        </w:numPr>
      </w:pPr>
      <w:r w:rsidRPr="000259B1">
        <w:lastRenderedPageBreak/>
        <w:t>superior in terms of effectiveness compared with TEZ/IVA plus BSC in patients with TEZ/IVA</w:t>
      </w:r>
      <w:r>
        <w:t>-</w:t>
      </w:r>
      <w:r w:rsidRPr="000259B1">
        <w:t>eligible residual function and non-canonical splice mutations</w:t>
      </w:r>
      <w:r>
        <w:t>,</w:t>
      </w:r>
    </w:p>
    <w:p w14:paraId="5F4ACA35" w14:textId="4F37C298" w:rsidR="00BC732E" w:rsidRDefault="00BC732E" w:rsidP="008F6A0C">
      <w:pPr>
        <w:pStyle w:val="ListParagraph"/>
        <w:numPr>
          <w:ilvl w:val="1"/>
          <w:numId w:val="6"/>
        </w:numPr>
      </w:pPr>
      <w:r w:rsidRPr="000259B1">
        <w:t>superior in terms of effectiveness compared with BSC in patients with all other mutations</w:t>
      </w:r>
      <w:r>
        <w:t>.</w:t>
      </w:r>
    </w:p>
    <w:p w14:paraId="100ED1EA" w14:textId="331CD472" w:rsidR="00BC732E" w:rsidRPr="00716907" w:rsidRDefault="00BD71CC" w:rsidP="00BC732E">
      <w:pPr>
        <w:pStyle w:val="3-BodyText"/>
        <w:rPr>
          <w:color w:val="0066FF"/>
        </w:rPr>
      </w:pPr>
      <w:r>
        <w:rPr>
          <w:rFonts w:eastAsia="Calibri"/>
        </w:rPr>
        <w:t>Th</w:t>
      </w:r>
      <w:r w:rsidR="00B25B24">
        <w:rPr>
          <w:rFonts w:eastAsia="Calibri"/>
        </w:rPr>
        <w:t>e</w:t>
      </w:r>
      <w:r>
        <w:rPr>
          <w:rFonts w:eastAsia="Calibri"/>
        </w:rPr>
        <w:t xml:space="preserve"> evaluation considered t</w:t>
      </w:r>
      <w:r w:rsidR="00BC732E" w:rsidRPr="00716907">
        <w:rPr>
          <w:rFonts w:eastAsia="Calibri"/>
        </w:rPr>
        <w:t xml:space="preserve">his claim was not adequately supported. </w:t>
      </w:r>
      <w:r w:rsidR="00070FFA" w:rsidRPr="00716907">
        <w:rPr>
          <w:rFonts w:eastAsia="Calibri"/>
        </w:rPr>
        <w:t>T</w:t>
      </w:r>
      <w:r w:rsidR="00BC732E" w:rsidRPr="00716907">
        <w:rPr>
          <w:rFonts w:eastAsia="Calibri"/>
        </w:rPr>
        <w:t xml:space="preserve">here was no systematic analysis presented of any comparative data </w:t>
      </w:r>
      <w:r w:rsidR="00EB5E28" w:rsidRPr="00716907">
        <w:rPr>
          <w:rFonts w:eastAsia="Calibri"/>
        </w:rPr>
        <w:t xml:space="preserve">or data </w:t>
      </w:r>
      <w:r w:rsidR="00BC732E" w:rsidRPr="00716907">
        <w:rPr>
          <w:rFonts w:eastAsia="Calibri"/>
        </w:rPr>
        <w:t>for patients switching between treatments</w:t>
      </w:r>
      <w:r w:rsidR="00070FFA" w:rsidRPr="00716907">
        <w:rPr>
          <w:rFonts w:eastAsia="Calibri"/>
        </w:rPr>
        <w:t xml:space="preserve"> to determine whether </w:t>
      </w:r>
      <w:r w:rsidR="00087D6A" w:rsidRPr="00716907">
        <w:t>ELX/TEZ/IVA</w:t>
      </w:r>
      <w:r w:rsidR="00070FFA" w:rsidRPr="00716907">
        <w:rPr>
          <w:rFonts w:eastAsia="Calibri"/>
        </w:rPr>
        <w:t xml:space="preserve"> was superior to either IVA or TEZ/IVA</w:t>
      </w:r>
      <w:r w:rsidR="00BC732E" w:rsidRPr="00716907">
        <w:rPr>
          <w:rFonts w:eastAsia="Calibri"/>
        </w:rPr>
        <w:t xml:space="preserve">. </w:t>
      </w:r>
      <w:r w:rsidR="00D170A1" w:rsidRPr="00716907">
        <w:rPr>
          <w:rFonts w:eastAsia="Calibri"/>
        </w:rPr>
        <w:t>The d</w:t>
      </w:r>
      <w:r w:rsidR="00070FFA" w:rsidRPr="00716907">
        <w:rPr>
          <w:rFonts w:eastAsia="Calibri"/>
        </w:rPr>
        <w:t>ata</w:t>
      </w:r>
      <w:r w:rsidR="00D170A1" w:rsidRPr="00716907">
        <w:rPr>
          <w:rFonts w:eastAsia="Calibri"/>
        </w:rPr>
        <w:t xml:space="preserve"> presented</w:t>
      </w:r>
      <w:r w:rsidR="00070FFA" w:rsidRPr="00716907">
        <w:rPr>
          <w:rFonts w:eastAsia="Calibri"/>
        </w:rPr>
        <w:t xml:space="preserve"> suggested that patients who switched to ELX/TEZ/IVA </w:t>
      </w:r>
      <w:r w:rsidR="00D170A1" w:rsidRPr="00716907">
        <w:rPr>
          <w:rFonts w:eastAsia="Calibri"/>
        </w:rPr>
        <w:t>from another CFTRm</w:t>
      </w:r>
      <w:r w:rsidR="00636B34" w:rsidRPr="00716907">
        <w:rPr>
          <w:rFonts w:eastAsia="Calibri"/>
        </w:rPr>
        <w:t>, in most cases IVA,</w:t>
      </w:r>
      <w:r w:rsidR="00D170A1" w:rsidRPr="00716907">
        <w:rPr>
          <w:rFonts w:eastAsia="Calibri"/>
        </w:rPr>
        <w:t xml:space="preserve"> obtained minimal additional benefit</w:t>
      </w:r>
      <w:r w:rsidR="00070FFA" w:rsidRPr="00716907">
        <w:rPr>
          <w:rFonts w:eastAsia="Calibri"/>
        </w:rPr>
        <w:t xml:space="preserve">.  </w:t>
      </w:r>
      <w:r w:rsidR="00BC732E" w:rsidRPr="00716907">
        <w:rPr>
          <w:rFonts w:eastAsia="Calibri"/>
        </w:rPr>
        <w:t xml:space="preserve">It is possible that for some mutations not otherwise </w:t>
      </w:r>
      <w:r w:rsidR="009804DE" w:rsidRPr="00716907">
        <w:rPr>
          <w:rFonts w:eastAsia="Calibri"/>
        </w:rPr>
        <w:t>eligible for treatment</w:t>
      </w:r>
      <w:r w:rsidR="00D769F0" w:rsidRPr="00716907">
        <w:rPr>
          <w:rFonts w:eastAsia="Calibri"/>
        </w:rPr>
        <w:t xml:space="preserve"> with a CFTR modulator</w:t>
      </w:r>
      <w:r w:rsidR="009804DE" w:rsidRPr="00716907">
        <w:rPr>
          <w:rFonts w:eastAsia="Calibri"/>
        </w:rPr>
        <w:t xml:space="preserve"> </w:t>
      </w:r>
      <w:r w:rsidR="00087D6A" w:rsidRPr="00716907">
        <w:t>ELX/TEZ/IVA</w:t>
      </w:r>
      <w:r w:rsidR="00087D6A" w:rsidRPr="00716907">
        <w:rPr>
          <w:rFonts w:eastAsia="Calibri"/>
        </w:rPr>
        <w:t xml:space="preserve"> </w:t>
      </w:r>
      <w:r w:rsidR="009804DE" w:rsidRPr="00716907">
        <w:rPr>
          <w:rFonts w:eastAsia="Calibri"/>
        </w:rPr>
        <w:t xml:space="preserve">may be effective but there </w:t>
      </w:r>
      <w:r w:rsidR="00070FFA" w:rsidRPr="00716907">
        <w:rPr>
          <w:rFonts w:eastAsia="Calibri"/>
        </w:rPr>
        <w:t>was</w:t>
      </w:r>
      <w:r w:rsidR="009804DE" w:rsidRPr="00716907">
        <w:rPr>
          <w:rFonts w:eastAsia="Calibri"/>
        </w:rPr>
        <w:t xml:space="preserve"> no evidence that it is the case </w:t>
      </w:r>
      <w:r w:rsidR="000A33F0" w:rsidRPr="00716907">
        <w:rPr>
          <w:rFonts w:eastAsia="Calibri"/>
        </w:rPr>
        <w:t>for</w:t>
      </w:r>
      <w:r w:rsidR="009804DE" w:rsidRPr="00716907">
        <w:rPr>
          <w:rFonts w:eastAsia="Calibri"/>
        </w:rPr>
        <w:t xml:space="preserve"> </w:t>
      </w:r>
      <w:r w:rsidR="009804DE" w:rsidRPr="00C1686D">
        <w:rPr>
          <w:rFonts w:eastAsia="Calibri"/>
        </w:rPr>
        <w:t>all</w:t>
      </w:r>
      <w:r w:rsidR="009804DE" w:rsidRPr="00716907">
        <w:rPr>
          <w:rFonts w:eastAsia="Calibri"/>
        </w:rPr>
        <w:t xml:space="preserve"> other mutations</w:t>
      </w:r>
      <w:r w:rsidR="00070FFA" w:rsidRPr="00716907">
        <w:rPr>
          <w:rFonts w:eastAsia="Calibri"/>
        </w:rPr>
        <w:t xml:space="preserve"> and </w:t>
      </w:r>
      <w:r w:rsidR="009804DE" w:rsidRPr="00716907">
        <w:rPr>
          <w:rFonts w:eastAsia="Calibri"/>
        </w:rPr>
        <w:t>for some mutations the</w:t>
      </w:r>
      <w:r w:rsidR="00070FFA" w:rsidRPr="00716907">
        <w:rPr>
          <w:rFonts w:eastAsia="Calibri"/>
        </w:rPr>
        <w:t xml:space="preserve"> </w:t>
      </w:r>
      <w:r w:rsidR="00940C3D" w:rsidRPr="00716907">
        <w:rPr>
          <w:rFonts w:eastAsia="Calibri"/>
        </w:rPr>
        <w:t xml:space="preserve">balance of </w:t>
      </w:r>
      <w:r w:rsidR="009804DE" w:rsidRPr="00716907">
        <w:rPr>
          <w:rFonts w:eastAsia="Calibri"/>
        </w:rPr>
        <w:t>evidence</w:t>
      </w:r>
      <w:r w:rsidR="00070FFA" w:rsidRPr="00716907">
        <w:rPr>
          <w:rFonts w:eastAsia="Calibri"/>
        </w:rPr>
        <w:t xml:space="preserve"> suggested</w:t>
      </w:r>
      <w:r w:rsidR="009804DE" w:rsidRPr="00716907">
        <w:rPr>
          <w:rFonts w:eastAsia="Calibri"/>
        </w:rPr>
        <w:t xml:space="preserve"> that </w:t>
      </w:r>
      <w:r w:rsidR="00087D6A" w:rsidRPr="00716907">
        <w:t>ELX/TEZ/IVA</w:t>
      </w:r>
      <w:r w:rsidR="00087D6A" w:rsidRPr="00716907">
        <w:rPr>
          <w:rFonts w:eastAsia="Calibri"/>
        </w:rPr>
        <w:t xml:space="preserve"> </w:t>
      </w:r>
      <w:r w:rsidR="009804DE" w:rsidRPr="00716907">
        <w:rPr>
          <w:rFonts w:eastAsia="Calibri"/>
        </w:rPr>
        <w:t>is not effective.</w:t>
      </w:r>
    </w:p>
    <w:p w14:paraId="7F613CD1" w14:textId="0C904907" w:rsidR="005F7588" w:rsidRPr="00CB3112" w:rsidRDefault="005F7588" w:rsidP="009804DE">
      <w:pPr>
        <w:pStyle w:val="3-BodyText"/>
        <w:rPr>
          <w:iCs/>
          <w:color w:val="0066FF"/>
        </w:rPr>
      </w:pPr>
      <w:r w:rsidRPr="009804DE">
        <w:rPr>
          <w:rFonts w:eastAsia="Calibri"/>
        </w:rPr>
        <w:t>The submission described</w:t>
      </w:r>
      <w:r w:rsidR="009804DE">
        <w:rPr>
          <w:rFonts w:eastAsia="Calibri"/>
        </w:rPr>
        <w:t xml:space="preserve"> </w:t>
      </w:r>
      <w:r w:rsidR="00087D6A">
        <w:t xml:space="preserve">ELX/TEZ/IVA </w:t>
      </w:r>
      <w:r w:rsidR="000A33F0">
        <w:t xml:space="preserve">as </w:t>
      </w:r>
      <w:r w:rsidR="009804DE" w:rsidRPr="000259B1">
        <w:t xml:space="preserve">comparable in terms of safety to IVA </w:t>
      </w:r>
      <w:r w:rsidR="009804DE">
        <w:t>plus</w:t>
      </w:r>
      <w:r w:rsidR="009804DE" w:rsidRPr="000259B1">
        <w:t xml:space="preserve"> BSC, TEZ/IVA </w:t>
      </w:r>
      <w:r w:rsidR="009804DE">
        <w:t>plus</w:t>
      </w:r>
      <w:r w:rsidR="009804DE" w:rsidRPr="000259B1">
        <w:t xml:space="preserve"> BSC and BSC alone</w:t>
      </w:r>
      <w:r w:rsidR="009804DE">
        <w:t>.</w:t>
      </w:r>
      <w:r w:rsidR="009804DE">
        <w:rPr>
          <w:color w:val="0066FF"/>
        </w:rPr>
        <w:t xml:space="preserve"> </w:t>
      </w:r>
      <w:r w:rsidRPr="00716907">
        <w:rPr>
          <w:rFonts w:eastAsia="Calibri"/>
          <w:iCs/>
        </w:rPr>
        <w:t xml:space="preserve">This claim was </w:t>
      </w:r>
      <w:r w:rsidR="007C70FF" w:rsidRPr="00716907">
        <w:rPr>
          <w:rFonts w:eastAsia="Calibri"/>
          <w:iCs/>
        </w:rPr>
        <w:t xml:space="preserve">not </w:t>
      </w:r>
      <w:r w:rsidRPr="00716907">
        <w:rPr>
          <w:rFonts w:eastAsia="Calibri"/>
          <w:iCs/>
        </w:rPr>
        <w:t>adequately supported</w:t>
      </w:r>
      <w:r w:rsidR="009804DE" w:rsidRPr="00716907">
        <w:rPr>
          <w:rFonts w:eastAsia="Calibri"/>
          <w:iCs/>
        </w:rPr>
        <w:t xml:space="preserve"> as there were no data to compare the safety of the </w:t>
      </w:r>
      <w:r w:rsidR="00940C3D" w:rsidRPr="00716907">
        <w:rPr>
          <w:rFonts w:eastAsia="Calibri"/>
          <w:iCs/>
        </w:rPr>
        <w:t>ELX/TEZ/IVA with TEZ/IVA or IVA alone,</w:t>
      </w:r>
      <w:r w:rsidR="009804DE" w:rsidRPr="00716907">
        <w:rPr>
          <w:rFonts w:eastAsia="Calibri"/>
          <w:iCs/>
        </w:rPr>
        <w:t xml:space="preserve"> and </w:t>
      </w:r>
      <w:r w:rsidR="00087D6A" w:rsidRPr="00716907">
        <w:rPr>
          <w:iCs/>
        </w:rPr>
        <w:t>ELX/TEZ/IVA</w:t>
      </w:r>
      <w:r w:rsidR="00087D6A" w:rsidRPr="00716907">
        <w:rPr>
          <w:rFonts w:eastAsia="Calibri"/>
          <w:iCs/>
        </w:rPr>
        <w:t xml:space="preserve"> </w:t>
      </w:r>
      <w:r w:rsidR="009804DE" w:rsidRPr="00716907">
        <w:rPr>
          <w:rFonts w:eastAsia="Calibri"/>
          <w:iCs/>
        </w:rPr>
        <w:t>was inferior with respect to BSC in terms of safety.</w:t>
      </w:r>
    </w:p>
    <w:p w14:paraId="3FC83C60" w14:textId="52149FCE" w:rsidR="004C4ACD" w:rsidRPr="00982E78" w:rsidRDefault="004C4ACD" w:rsidP="004C4ACD">
      <w:pPr>
        <w:pStyle w:val="3-BodyText"/>
        <w:rPr>
          <w:iCs/>
        </w:rPr>
      </w:pPr>
      <w:r w:rsidRPr="00982E78">
        <w:rPr>
          <w:iCs/>
        </w:rPr>
        <w:t xml:space="preserve">The PBAC considered the claim of superior comparative effectiveness versus </w:t>
      </w:r>
      <w:r w:rsidR="00D944EC" w:rsidRPr="00982E78">
        <w:rPr>
          <w:iCs/>
        </w:rPr>
        <w:t xml:space="preserve">IVA </w:t>
      </w:r>
      <w:r w:rsidR="00CD2DFD" w:rsidRPr="00982E78">
        <w:rPr>
          <w:iCs/>
        </w:rPr>
        <w:t xml:space="preserve">plus BSC </w:t>
      </w:r>
      <w:r w:rsidR="00D944EC" w:rsidRPr="00982E78">
        <w:rPr>
          <w:iCs/>
        </w:rPr>
        <w:t xml:space="preserve">and TEZ/IVA </w:t>
      </w:r>
      <w:r w:rsidR="00CD2DFD" w:rsidRPr="00982E78">
        <w:rPr>
          <w:iCs/>
        </w:rPr>
        <w:t xml:space="preserve">plus BSC </w:t>
      </w:r>
      <w:r w:rsidR="00D944EC" w:rsidRPr="00982E78">
        <w:rPr>
          <w:iCs/>
        </w:rPr>
        <w:t xml:space="preserve">was not supported by the data. </w:t>
      </w:r>
      <w:r w:rsidRPr="00982E78">
        <w:rPr>
          <w:iCs/>
        </w:rPr>
        <w:t>The PBAC considered that the claim of superior comparative effectiveness versus</w:t>
      </w:r>
      <w:r w:rsidR="00CD2DFD" w:rsidRPr="00982E78">
        <w:rPr>
          <w:iCs/>
        </w:rPr>
        <w:t xml:space="preserve"> BSC</w:t>
      </w:r>
      <w:r w:rsidRPr="00982E78">
        <w:rPr>
          <w:iCs/>
        </w:rPr>
        <w:t xml:space="preserve"> was uncertain but, overall, was likely to be reasonable.</w:t>
      </w:r>
    </w:p>
    <w:p w14:paraId="262A3471" w14:textId="597F25A7" w:rsidR="00CB3112" w:rsidRPr="00982E78" w:rsidRDefault="00E35426" w:rsidP="009804DE">
      <w:pPr>
        <w:pStyle w:val="3-BodyText"/>
        <w:rPr>
          <w:iCs/>
        </w:rPr>
      </w:pPr>
      <w:r w:rsidRPr="00982E78">
        <w:rPr>
          <w:iCs/>
        </w:rPr>
        <w:t xml:space="preserve">The PBAC considered the claim of </w:t>
      </w:r>
      <w:r w:rsidR="007D283A" w:rsidRPr="00982E78">
        <w:rPr>
          <w:iCs/>
        </w:rPr>
        <w:t xml:space="preserve">comparable safety compared to IVA, TEZ/IVA and BSC was not supported by the data.  </w:t>
      </w:r>
      <w:r w:rsidR="00F95931" w:rsidRPr="00982E78">
        <w:rPr>
          <w:iCs/>
        </w:rPr>
        <w:t xml:space="preserve"> </w:t>
      </w:r>
    </w:p>
    <w:p w14:paraId="74A1172E" w14:textId="128C170E" w:rsidR="00B60939" w:rsidRPr="0098262F" w:rsidRDefault="00B60939" w:rsidP="00E9094A">
      <w:pPr>
        <w:pStyle w:val="4-SubsectionHeading"/>
      </w:pPr>
      <w:bookmarkStart w:id="50" w:name="_Toc22897645"/>
      <w:bookmarkStart w:id="51" w:name="_Toc188437187"/>
      <w:r w:rsidRPr="0098262F">
        <w:t>Economic analysis</w:t>
      </w:r>
      <w:bookmarkEnd w:id="50"/>
      <w:bookmarkEnd w:id="51"/>
      <w:r w:rsidR="00491B3A" w:rsidRPr="0098262F">
        <w:t xml:space="preserve"> </w:t>
      </w:r>
    </w:p>
    <w:p w14:paraId="6107A2AA" w14:textId="0F195A1E" w:rsidR="00402812" w:rsidRDefault="001446B1" w:rsidP="007C3F26">
      <w:pPr>
        <w:pStyle w:val="3-BodyText"/>
      </w:pPr>
      <w:r>
        <w:t xml:space="preserve">The submission did not present an economic analysis. The submission stated that this approach was the same as that considered by the PBAC meeting in Nov 2023, for the submission for patients with </w:t>
      </w:r>
      <w:r w:rsidR="007C3F26">
        <w:t>o</w:t>
      </w:r>
      <w:r>
        <w:t>ne of 92 mu</w:t>
      </w:r>
      <w:r w:rsidR="007C3F26">
        <w:t>t</w:t>
      </w:r>
      <w:r>
        <w:t>ations responsive to IVA potentiation</w:t>
      </w:r>
      <w:r w:rsidR="007C3F26">
        <w:t xml:space="preserve"> based on clinical or in-vitro data.  The submission stated that based on the PBAC consideration that ‘ivacaftor was likely to be cost-effective’ if the unit price was no higher than the unit price of ELX/TEZ/IVA, the same approach could be accepted for the current application for patients with non-</w:t>
      </w:r>
      <w:r w:rsidR="007C3F26" w:rsidRPr="00CF03D5">
        <w:rPr>
          <w:i/>
          <w:iCs/>
        </w:rPr>
        <w:t>F508del</w:t>
      </w:r>
      <w:r w:rsidR="007C3F26">
        <w:t xml:space="preserve"> ELX/TEZ/IVA responsive mutations. </w:t>
      </w:r>
      <w:r>
        <w:t xml:space="preserve"> </w:t>
      </w:r>
    </w:p>
    <w:p w14:paraId="1C091ADA" w14:textId="165A2C1D" w:rsidR="00436FDA" w:rsidRPr="005169E3" w:rsidRDefault="00436FDA" w:rsidP="008C7D48">
      <w:pPr>
        <w:pStyle w:val="3-BodyText"/>
      </w:pPr>
      <w:r>
        <w:t>The submissions</w:t>
      </w:r>
      <w:r w:rsidR="008C7D48">
        <w:t xml:space="preserve"> requested </w:t>
      </w:r>
      <w:r>
        <w:t>the price of ELX/TEZ/IVA for the non-</w:t>
      </w:r>
      <w:r w:rsidRPr="004C13FB">
        <w:rPr>
          <w:i/>
          <w:iCs/>
        </w:rPr>
        <w:t>F508del</w:t>
      </w:r>
      <w:r>
        <w:t xml:space="preserve"> ELX/TEZ/IVA responsive patients be</w:t>
      </w:r>
      <w:r w:rsidR="00B76944">
        <w:t>ing</w:t>
      </w:r>
      <w:r>
        <w:t xml:space="preserve"> the same as the current effect</w:t>
      </w:r>
      <w:r w:rsidR="00B76944">
        <w:t>ive</w:t>
      </w:r>
      <w:r>
        <w:t xml:space="preserve"> price for the </w:t>
      </w:r>
      <w:r w:rsidR="005169E3" w:rsidRPr="004C13FB">
        <w:rPr>
          <w:i/>
          <w:iCs/>
        </w:rPr>
        <w:t>F508del</w:t>
      </w:r>
      <w:r w:rsidR="005169E3" w:rsidRPr="005169E3">
        <w:t xml:space="preserve"> </w:t>
      </w:r>
      <w:r w:rsidRPr="005169E3">
        <w:t>mutation group.</w:t>
      </w:r>
    </w:p>
    <w:p w14:paraId="472842D7" w14:textId="1D562D6D" w:rsidR="00C25D9C" w:rsidRPr="0098262F" w:rsidRDefault="00C25D9C" w:rsidP="00BB732D">
      <w:pPr>
        <w:pStyle w:val="4-SubsectionHeading"/>
      </w:pPr>
      <w:bookmarkStart w:id="52" w:name="_Toc22897646"/>
      <w:bookmarkStart w:id="53" w:name="_Toc188437188"/>
      <w:r w:rsidRPr="0098262F">
        <w:lastRenderedPageBreak/>
        <w:t>Drug cost/patient/year</w:t>
      </w:r>
      <w:bookmarkEnd w:id="52"/>
      <w:bookmarkEnd w:id="53"/>
    </w:p>
    <w:p w14:paraId="51691BD3" w14:textId="2F27A6C1" w:rsidR="00494207" w:rsidRPr="00F034D5" w:rsidRDefault="00E16AD8" w:rsidP="00F034D5">
      <w:pPr>
        <w:pStyle w:val="TableFigureHeading"/>
      </w:pPr>
      <w:bookmarkStart w:id="54" w:name="_Ref104805102"/>
      <w:r w:rsidRPr="00F034D5">
        <w:t xml:space="preserve">Table </w:t>
      </w:r>
      <w:r w:rsidR="00345E49">
        <w:fldChar w:fldCharType="begin"/>
      </w:r>
      <w:r w:rsidR="00345E49">
        <w:instrText xml:space="preserve"> SEQ Table \* ARABIC </w:instrText>
      </w:r>
      <w:r w:rsidR="00345E49">
        <w:fldChar w:fldCharType="separate"/>
      </w:r>
      <w:r w:rsidR="00343156">
        <w:rPr>
          <w:noProof/>
        </w:rPr>
        <w:t>10</w:t>
      </w:r>
      <w:r w:rsidR="00345E49">
        <w:rPr>
          <w:noProof/>
        </w:rPr>
        <w:fldChar w:fldCharType="end"/>
      </w:r>
      <w:bookmarkEnd w:id="54"/>
      <w:r w:rsidRPr="00F034D5">
        <w:t>:</w:t>
      </w:r>
      <w:r w:rsidR="00494207" w:rsidRPr="00F034D5">
        <w:t xml:space="preserve"> Drug cost per patient for proposed and comparator drugs</w:t>
      </w:r>
      <w:r w:rsidR="00713FFC">
        <w:t xml:space="preserve"> used in financial estimates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7"/>
        <w:gridCol w:w="1753"/>
        <w:gridCol w:w="1753"/>
        <w:gridCol w:w="1753"/>
        <w:gridCol w:w="1751"/>
      </w:tblGrid>
      <w:tr w:rsidR="009D3BBD" w:rsidRPr="0098262F" w14:paraId="21AC90BD" w14:textId="7753B2C3" w:rsidTr="009D3BBD">
        <w:trPr>
          <w:cantSplit/>
          <w:tblHeader/>
          <w:jc w:val="center"/>
        </w:trPr>
        <w:tc>
          <w:tcPr>
            <w:tcW w:w="1113" w:type="pct"/>
            <w:shd w:val="clear" w:color="auto" w:fill="auto"/>
            <w:vAlign w:val="center"/>
          </w:tcPr>
          <w:p w14:paraId="485D48B1" w14:textId="77777777" w:rsidR="009D3BBD" w:rsidRPr="0098262F" w:rsidRDefault="009D3BBD" w:rsidP="00E57692">
            <w:pPr>
              <w:pStyle w:val="In-tableHeading"/>
            </w:pPr>
          </w:p>
        </w:tc>
        <w:tc>
          <w:tcPr>
            <w:tcW w:w="972" w:type="pct"/>
            <w:shd w:val="clear" w:color="auto" w:fill="auto"/>
            <w:vAlign w:val="center"/>
          </w:tcPr>
          <w:p w14:paraId="3DBA7C60" w14:textId="76B313A9" w:rsidR="009D3BBD" w:rsidRPr="0098262F" w:rsidRDefault="009D3BBD" w:rsidP="00E57692">
            <w:pPr>
              <w:pStyle w:val="In-tableHeading"/>
            </w:pPr>
            <w:r>
              <w:t>ELX/TEZ/IVA</w:t>
            </w:r>
          </w:p>
          <w:p w14:paraId="3642530E" w14:textId="3F6C32BB" w:rsidR="009D3BBD" w:rsidRPr="0098262F" w:rsidRDefault="009D3BBD" w:rsidP="00E57692">
            <w:pPr>
              <w:pStyle w:val="In-tableHeading"/>
            </w:pPr>
          </w:p>
        </w:tc>
        <w:tc>
          <w:tcPr>
            <w:tcW w:w="972" w:type="pct"/>
          </w:tcPr>
          <w:p w14:paraId="32E8D248" w14:textId="0873205E" w:rsidR="009D3BBD" w:rsidRPr="0098262F" w:rsidRDefault="009D3BBD" w:rsidP="00E57692">
            <w:pPr>
              <w:pStyle w:val="In-tableHeading"/>
            </w:pPr>
            <w:r>
              <w:t>TEZ/IVA</w:t>
            </w:r>
          </w:p>
        </w:tc>
        <w:tc>
          <w:tcPr>
            <w:tcW w:w="972" w:type="pct"/>
          </w:tcPr>
          <w:p w14:paraId="17907128" w14:textId="7B8F0A6B" w:rsidR="009D3BBD" w:rsidRPr="0098262F" w:rsidRDefault="009D3BBD" w:rsidP="00E57692">
            <w:pPr>
              <w:pStyle w:val="In-tableHeading"/>
            </w:pPr>
            <w:r>
              <w:t>IVA (gating)</w:t>
            </w:r>
          </w:p>
        </w:tc>
        <w:tc>
          <w:tcPr>
            <w:tcW w:w="971" w:type="pct"/>
          </w:tcPr>
          <w:p w14:paraId="60FDE404" w14:textId="7F67BA02" w:rsidR="009D3BBD" w:rsidRDefault="009D3BBD" w:rsidP="00E57692">
            <w:pPr>
              <w:pStyle w:val="In-tableHeading"/>
            </w:pPr>
            <w:r>
              <w:t>IVA (non-gating)</w:t>
            </w:r>
          </w:p>
        </w:tc>
      </w:tr>
      <w:tr w:rsidR="009D3BBD" w:rsidRPr="0098262F" w14:paraId="745DAF0B" w14:textId="65745573" w:rsidTr="009D3BBD">
        <w:trPr>
          <w:cantSplit/>
          <w:jc w:val="center"/>
        </w:trPr>
        <w:tc>
          <w:tcPr>
            <w:tcW w:w="1113" w:type="pct"/>
            <w:shd w:val="clear" w:color="auto" w:fill="auto"/>
            <w:vAlign w:val="center"/>
          </w:tcPr>
          <w:p w14:paraId="743973CE" w14:textId="5DA5E8A7" w:rsidR="009D3BBD" w:rsidRPr="00F034D5" w:rsidRDefault="009D3BBD" w:rsidP="00F034D5">
            <w:pPr>
              <w:pStyle w:val="TableText"/>
            </w:pPr>
            <w:r>
              <w:t>AEMP per pack/28day supply (A)</w:t>
            </w:r>
          </w:p>
        </w:tc>
        <w:tc>
          <w:tcPr>
            <w:tcW w:w="972" w:type="pct"/>
            <w:shd w:val="clear" w:color="auto" w:fill="auto"/>
            <w:vAlign w:val="center"/>
          </w:tcPr>
          <w:p w14:paraId="5B1C9B2C" w14:textId="379FF09F" w:rsidR="009D3BBD" w:rsidRPr="0098262F" w:rsidRDefault="009D3BBD" w:rsidP="00C86198">
            <w:pPr>
              <w:pStyle w:val="TableText"/>
            </w:pPr>
            <w:r w:rsidRPr="00C86198">
              <w:t>$</w:t>
            </w:r>
            <w:r w:rsidR="004E7B37" w:rsidRPr="004E7B37">
              <w:rPr>
                <w:color w:val="000000"/>
                <w:spacing w:val="53"/>
                <w:shd w:val="solid" w:color="000000" w:fill="000000"/>
                <w:fitText w:val="330" w:id="-694516732"/>
                <w14:textFill>
                  <w14:solidFill>
                    <w14:srgbClr w14:val="000000">
                      <w14:alpha w14:val="100000"/>
                    </w14:srgbClr>
                  </w14:solidFill>
                </w14:textFill>
              </w:rPr>
              <w:t>|||</w:t>
            </w:r>
            <w:r w:rsidR="004E7B37" w:rsidRPr="004E7B37">
              <w:rPr>
                <w:color w:val="000000"/>
                <w:spacing w:val="1"/>
                <w:shd w:val="solid" w:color="000000" w:fill="000000"/>
                <w:fitText w:val="330" w:id="-694516732"/>
                <w14:textFill>
                  <w14:solidFill>
                    <w14:srgbClr w14:val="000000">
                      <w14:alpha w14:val="100000"/>
                    </w14:srgbClr>
                  </w14:solidFill>
                </w14:textFill>
              </w:rPr>
              <w:t>|</w:t>
            </w:r>
            <w:r>
              <w:t xml:space="preserve"> </w:t>
            </w:r>
          </w:p>
        </w:tc>
        <w:tc>
          <w:tcPr>
            <w:tcW w:w="972" w:type="pct"/>
          </w:tcPr>
          <w:p w14:paraId="113BCBDF" w14:textId="4A38E390" w:rsidR="009D3BBD" w:rsidRPr="00C86198" w:rsidRDefault="009D3BBD" w:rsidP="00C86198">
            <w:pPr>
              <w:pStyle w:val="TableText"/>
            </w:pPr>
            <w:r>
              <w:t>$</w:t>
            </w:r>
            <w:r w:rsidR="004E7B37" w:rsidRPr="004E7B37">
              <w:rPr>
                <w:color w:val="000000"/>
                <w:spacing w:val="53"/>
                <w:shd w:val="solid" w:color="000000" w:fill="000000"/>
                <w:fitText w:val="330" w:id="-694516731"/>
                <w14:textFill>
                  <w14:solidFill>
                    <w14:srgbClr w14:val="000000">
                      <w14:alpha w14:val="100000"/>
                    </w14:srgbClr>
                  </w14:solidFill>
                </w14:textFill>
              </w:rPr>
              <w:t>|||</w:t>
            </w:r>
            <w:r w:rsidR="004E7B37" w:rsidRPr="004E7B37">
              <w:rPr>
                <w:color w:val="000000"/>
                <w:spacing w:val="1"/>
                <w:shd w:val="solid" w:color="000000" w:fill="000000"/>
                <w:fitText w:val="330" w:id="-694516731"/>
                <w14:textFill>
                  <w14:solidFill>
                    <w14:srgbClr w14:val="000000">
                      <w14:alpha w14:val="100000"/>
                    </w14:srgbClr>
                  </w14:solidFill>
                </w14:textFill>
              </w:rPr>
              <w:t>|</w:t>
            </w:r>
          </w:p>
        </w:tc>
        <w:tc>
          <w:tcPr>
            <w:tcW w:w="972" w:type="pct"/>
          </w:tcPr>
          <w:p w14:paraId="7F439A1A" w14:textId="5B584A64" w:rsidR="009D3BBD" w:rsidRPr="00C86198" w:rsidRDefault="00C713EF" w:rsidP="00C86198">
            <w:pPr>
              <w:pStyle w:val="TableText"/>
            </w:pPr>
            <w:r>
              <w:t>$</w:t>
            </w:r>
            <w:r w:rsidR="004E7B37" w:rsidRPr="004E7B37">
              <w:rPr>
                <w:color w:val="000000"/>
                <w:spacing w:val="53"/>
                <w:shd w:val="solid" w:color="000000" w:fill="000000"/>
                <w:fitText w:val="330" w:id="-694516730"/>
                <w14:textFill>
                  <w14:solidFill>
                    <w14:srgbClr w14:val="000000">
                      <w14:alpha w14:val="100000"/>
                    </w14:srgbClr>
                  </w14:solidFill>
                </w14:textFill>
              </w:rPr>
              <w:t>|||</w:t>
            </w:r>
            <w:r w:rsidR="004E7B37" w:rsidRPr="004E7B37">
              <w:rPr>
                <w:color w:val="000000"/>
                <w:spacing w:val="1"/>
                <w:shd w:val="solid" w:color="000000" w:fill="000000"/>
                <w:fitText w:val="330" w:id="-694516730"/>
                <w14:textFill>
                  <w14:solidFill>
                    <w14:srgbClr w14:val="000000">
                      <w14:alpha w14:val="100000"/>
                    </w14:srgbClr>
                  </w14:solidFill>
                </w14:textFill>
              </w:rPr>
              <w:t>|</w:t>
            </w:r>
          </w:p>
        </w:tc>
        <w:tc>
          <w:tcPr>
            <w:tcW w:w="971" w:type="pct"/>
          </w:tcPr>
          <w:p w14:paraId="3AFF077A" w14:textId="7CC18A9C" w:rsidR="009D3BBD" w:rsidRPr="00C86198" w:rsidRDefault="00C713EF" w:rsidP="00C86198">
            <w:pPr>
              <w:pStyle w:val="TableText"/>
            </w:pPr>
            <w:r>
              <w:t>$</w:t>
            </w:r>
            <w:r w:rsidR="004E7B37" w:rsidRPr="004E7B37">
              <w:rPr>
                <w:color w:val="000000"/>
                <w:spacing w:val="53"/>
                <w:shd w:val="solid" w:color="000000" w:fill="000000"/>
                <w:fitText w:val="330" w:id="-694516729"/>
                <w14:textFill>
                  <w14:solidFill>
                    <w14:srgbClr w14:val="000000">
                      <w14:alpha w14:val="100000"/>
                    </w14:srgbClr>
                  </w14:solidFill>
                </w14:textFill>
              </w:rPr>
              <w:t>|||</w:t>
            </w:r>
            <w:r w:rsidR="004E7B37" w:rsidRPr="004E7B37">
              <w:rPr>
                <w:color w:val="000000"/>
                <w:spacing w:val="1"/>
                <w:shd w:val="solid" w:color="000000" w:fill="000000"/>
                <w:fitText w:val="330" w:id="-694516729"/>
                <w14:textFill>
                  <w14:solidFill>
                    <w14:srgbClr w14:val="000000">
                      <w14:alpha w14:val="100000"/>
                    </w14:srgbClr>
                  </w14:solidFill>
                </w14:textFill>
              </w:rPr>
              <w:t>|</w:t>
            </w:r>
          </w:p>
        </w:tc>
      </w:tr>
      <w:tr w:rsidR="009D3BBD" w:rsidRPr="0098262F" w14:paraId="0B84FE33" w14:textId="401FFA4F" w:rsidTr="009D3BBD">
        <w:trPr>
          <w:cantSplit/>
          <w:jc w:val="center"/>
        </w:trPr>
        <w:tc>
          <w:tcPr>
            <w:tcW w:w="1113" w:type="pct"/>
            <w:shd w:val="clear" w:color="auto" w:fill="auto"/>
            <w:vAlign w:val="center"/>
          </w:tcPr>
          <w:p w14:paraId="49111F6C" w14:textId="725FC36B" w:rsidR="009D3BBD" w:rsidRPr="00F034D5" w:rsidRDefault="009D3BBD" w:rsidP="00F034D5">
            <w:pPr>
              <w:pStyle w:val="TableText"/>
            </w:pPr>
            <w:r>
              <w:t>Compliance (B)</w:t>
            </w:r>
          </w:p>
        </w:tc>
        <w:tc>
          <w:tcPr>
            <w:tcW w:w="972" w:type="pct"/>
            <w:shd w:val="clear" w:color="auto" w:fill="auto"/>
            <w:vAlign w:val="center"/>
          </w:tcPr>
          <w:p w14:paraId="30EF57C3" w14:textId="4F00FC40" w:rsidR="009D3BBD" w:rsidRPr="0098262F" w:rsidRDefault="009D3BBD" w:rsidP="00C86198">
            <w:pPr>
              <w:pStyle w:val="TableText"/>
            </w:pPr>
            <w:r>
              <w:t>90%</w:t>
            </w:r>
          </w:p>
        </w:tc>
        <w:tc>
          <w:tcPr>
            <w:tcW w:w="972" w:type="pct"/>
          </w:tcPr>
          <w:p w14:paraId="430F4D12" w14:textId="1B52CE09" w:rsidR="009D3BBD" w:rsidRDefault="009D3BBD" w:rsidP="00C86198">
            <w:pPr>
              <w:pStyle w:val="TableText"/>
            </w:pPr>
            <w:r>
              <w:t>80%</w:t>
            </w:r>
          </w:p>
        </w:tc>
        <w:tc>
          <w:tcPr>
            <w:tcW w:w="972" w:type="pct"/>
          </w:tcPr>
          <w:p w14:paraId="38BDB914" w14:textId="70360E33" w:rsidR="009D3BBD" w:rsidRDefault="00C713EF" w:rsidP="00C86198">
            <w:pPr>
              <w:pStyle w:val="TableText"/>
            </w:pPr>
            <w:r>
              <w:t>80%</w:t>
            </w:r>
          </w:p>
        </w:tc>
        <w:tc>
          <w:tcPr>
            <w:tcW w:w="971" w:type="pct"/>
          </w:tcPr>
          <w:p w14:paraId="25D281B7" w14:textId="0069C41B" w:rsidR="009D3BBD" w:rsidRDefault="00C713EF" w:rsidP="00C86198">
            <w:pPr>
              <w:pStyle w:val="TableText"/>
            </w:pPr>
            <w:r>
              <w:t>90%</w:t>
            </w:r>
          </w:p>
        </w:tc>
      </w:tr>
      <w:tr w:rsidR="009D3BBD" w:rsidRPr="0098262F" w14:paraId="455F2922" w14:textId="74BC2610" w:rsidTr="009D3BBD">
        <w:trPr>
          <w:cantSplit/>
          <w:jc w:val="center"/>
        </w:trPr>
        <w:tc>
          <w:tcPr>
            <w:tcW w:w="1113" w:type="pct"/>
            <w:shd w:val="clear" w:color="auto" w:fill="auto"/>
            <w:vAlign w:val="center"/>
          </w:tcPr>
          <w:p w14:paraId="0818A7F9" w14:textId="5ED8E5FE" w:rsidR="009D3BBD" w:rsidRPr="00F034D5" w:rsidRDefault="009D3BBD" w:rsidP="00F034D5">
            <w:pPr>
              <w:pStyle w:val="TableText"/>
            </w:pPr>
            <w:r w:rsidRPr="00F034D5">
              <w:t xml:space="preserve">Cost/patient/year </w:t>
            </w:r>
            <w:r>
              <w:t>((365.25/28)pack/year*A*B</w:t>
            </w:r>
          </w:p>
        </w:tc>
        <w:tc>
          <w:tcPr>
            <w:tcW w:w="972" w:type="pct"/>
            <w:shd w:val="clear" w:color="auto" w:fill="auto"/>
            <w:vAlign w:val="center"/>
          </w:tcPr>
          <w:p w14:paraId="34F0ACD6" w14:textId="4D5ACA80" w:rsidR="009D3BBD" w:rsidRPr="0098262F" w:rsidRDefault="009D3BBD" w:rsidP="00C86198">
            <w:pPr>
              <w:pStyle w:val="TableText"/>
            </w:pPr>
            <w:r>
              <w:t>$</w:t>
            </w:r>
            <w:r w:rsidR="004E7B37" w:rsidRPr="004E7B37">
              <w:rPr>
                <w:color w:val="000000"/>
                <w:spacing w:val="53"/>
                <w:shd w:val="solid" w:color="000000" w:fill="000000"/>
                <w:fitText w:val="330" w:id="-694516728"/>
                <w14:textFill>
                  <w14:solidFill>
                    <w14:srgbClr w14:val="000000">
                      <w14:alpha w14:val="100000"/>
                    </w14:srgbClr>
                  </w14:solidFill>
                </w14:textFill>
              </w:rPr>
              <w:t>|||</w:t>
            </w:r>
            <w:r w:rsidR="004E7B37" w:rsidRPr="004E7B37">
              <w:rPr>
                <w:color w:val="000000"/>
                <w:spacing w:val="1"/>
                <w:shd w:val="solid" w:color="000000" w:fill="000000"/>
                <w:fitText w:val="330" w:id="-694516728"/>
                <w14:textFill>
                  <w14:solidFill>
                    <w14:srgbClr w14:val="000000">
                      <w14:alpha w14:val="100000"/>
                    </w14:srgbClr>
                  </w14:solidFill>
                </w14:textFill>
              </w:rPr>
              <w:t>|</w:t>
            </w:r>
          </w:p>
        </w:tc>
        <w:tc>
          <w:tcPr>
            <w:tcW w:w="972" w:type="pct"/>
          </w:tcPr>
          <w:p w14:paraId="7E8C312A" w14:textId="70FE7CAA" w:rsidR="009D3BBD" w:rsidRDefault="009D3BBD" w:rsidP="00C86198">
            <w:pPr>
              <w:pStyle w:val="TableText"/>
            </w:pPr>
            <w:r>
              <w:t>$</w:t>
            </w:r>
            <w:r w:rsidR="004E7B37" w:rsidRPr="004E7B37">
              <w:rPr>
                <w:color w:val="000000"/>
                <w:spacing w:val="53"/>
                <w:shd w:val="solid" w:color="000000" w:fill="000000"/>
                <w:fitText w:val="330" w:id="-694516727"/>
                <w14:textFill>
                  <w14:solidFill>
                    <w14:srgbClr w14:val="000000">
                      <w14:alpha w14:val="100000"/>
                    </w14:srgbClr>
                  </w14:solidFill>
                </w14:textFill>
              </w:rPr>
              <w:t>|||</w:t>
            </w:r>
            <w:r w:rsidR="004E7B37" w:rsidRPr="004E7B37">
              <w:rPr>
                <w:color w:val="000000"/>
                <w:spacing w:val="1"/>
                <w:shd w:val="solid" w:color="000000" w:fill="000000"/>
                <w:fitText w:val="330" w:id="-694516727"/>
                <w14:textFill>
                  <w14:solidFill>
                    <w14:srgbClr w14:val="000000">
                      <w14:alpha w14:val="100000"/>
                    </w14:srgbClr>
                  </w14:solidFill>
                </w14:textFill>
              </w:rPr>
              <w:t>|</w:t>
            </w:r>
          </w:p>
        </w:tc>
        <w:tc>
          <w:tcPr>
            <w:tcW w:w="972" w:type="pct"/>
          </w:tcPr>
          <w:p w14:paraId="5117B367" w14:textId="43D19E6C" w:rsidR="009D3BBD" w:rsidRDefault="00C713EF" w:rsidP="00C86198">
            <w:pPr>
              <w:pStyle w:val="TableText"/>
            </w:pPr>
            <w:r>
              <w:t>$</w:t>
            </w:r>
            <w:r w:rsidR="004E7B37" w:rsidRPr="004E7B37">
              <w:rPr>
                <w:color w:val="000000"/>
                <w:spacing w:val="53"/>
                <w:shd w:val="solid" w:color="000000" w:fill="000000"/>
                <w:fitText w:val="330" w:id="-694516726"/>
                <w14:textFill>
                  <w14:solidFill>
                    <w14:srgbClr w14:val="000000">
                      <w14:alpha w14:val="100000"/>
                    </w14:srgbClr>
                  </w14:solidFill>
                </w14:textFill>
              </w:rPr>
              <w:t>|||</w:t>
            </w:r>
            <w:r w:rsidR="004E7B37" w:rsidRPr="004E7B37">
              <w:rPr>
                <w:color w:val="000000"/>
                <w:spacing w:val="1"/>
                <w:shd w:val="solid" w:color="000000" w:fill="000000"/>
                <w:fitText w:val="330" w:id="-694516726"/>
                <w14:textFill>
                  <w14:solidFill>
                    <w14:srgbClr w14:val="000000">
                      <w14:alpha w14:val="100000"/>
                    </w14:srgbClr>
                  </w14:solidFill>
                </w14:textFill>
              </w:rPr>
              <w:t>|</w:t>
            </w:r>
          </w:p>
        </w:tc>
        <w:tc>
          <w:tcPr>
            <w:tcW w:w="971" w:type="pct"/>
          </w:tcPr>
          <w:p w14:paraId="710D264D" w14:textId="728B0F83" w:rsidR="009D3BBD" w:rsidRDefault="00C713EF" w:rsidP="00C86198">
            <w:pPr>
              <w:pStyle w:val="TableText"/>
            </w:pPr>
            <w:r>
              <w:t>$</w:t>
            </w:r>
            <w:r w:rsidR="004E7B37" w:rsidRPr="004E7B37">
              <w:rPr>
                <w:color w:val="000000"/>
                <w:spacing w:val="53"/>
                <w:shd w:val="solid" w:color="000000" w:fill="000000"/>
                <w:fitText w:val="330" w:id="-694516725"/>
                <w14:textFill>
                  <w14:solidFill>
                    <w14:srgbClr w14:val="000000">
                      <w14:alpha w14:val="100000"/>
                    </w14:srgbClr>
                  </w14:solidFill>
                </w14:textFill>
              </w:rPr>
              <w:t>|||</w:t>
            </w:r>
            <w:r w:rsidR="004E7B37" w:rsidRPr="004E7B37">
              <w:rPr>
                <w:color w:val="000000"/>
                <w:spacing w:val="1"/>
                <w:shd w:val="solid" w:color="000000" w:fill="000000"/>
                <w:fitText w:val="330" w:id="-694516725"/>
                <w14:textFill>
                  <w14:solidFill>
                    <w14:srgbClr w14:val="000000">
                      <w14:alpha w14:val="100000"/>
                    </w14:srgbClr>
                  </w14:solidFill>
                </w14:textFill>
              </w:rPr>
              <w:t>|</w:t>
            </w:r>
          </w:p>
        </w:tc>
      </w:tr>
    </w:tbl>
    <w:p w14:paraId="3DBFE151" w14:textId="188C81DF" w:rsidR="00494207" w:rsidRPr="0098262F" w:rsidRDefault="00494207" w:rsidP="003C51AF">
      <w:pPr>
        <w:pStyle w:val="FooterTableFigure"/>
      </w:pPr>
      <w:r w:rsidRPr="0098262F">
        <w:t xml:space="preserve">Source: </w:t>
      </w:r>
      <w:r w:rsidR="00C86198">
        <w:t>Calculated during the evaluation.</w:t>
      </w:r>
      <w:bookmarkStart w:id="55" w:name="_Hlk107307804"/>
    </w:p>
    <w:p w14:paraId="268768EF" w14:textId="05647456" w:rsidR="00B60939" w:rsidRPr="0098262F" w:rsidRDefault="00B60939" w:rsidP="002B05A1">
      <w:pPr>
        <w:pStyle w:val="4-SubsectionHeading"/>
      </w:pPr>
      <w:bookmarkStart w:id="56" w:name="_Toc22897647"/>
      <w:bookmarkStart w:id="57" w:name="_Toc188437189"/>
      <w:bookmarkEnd w:id="55"/>
      <w:r w:rsidRPr="0098262F">
        <w:t>Estimated PBS usage &amp; financial implications</w:t>
      </w:r>
      <w:bookmarkEnd w:id="56"/>
      <w:bookmarkEnd w:id="57"/>
    </w:p>
    <w:p w14:paraId="6F05CB17" w14:textId="0A25BCE5" w:rsidR="00436FDA" w:rsidRPr="00047165" w:rsidRDefault="00C25D9C" w:rsidP="002B05A1">
      <w:pPr>
        <w:pStyle w:val="3-BodyText"/>
      </w:pPr>
      <w:r w:rsidRPr="0098262F">
        <w:t xml:space="preserve">This submission </w:t>
      </w:r>
      <w:r w:rsidR="00B201A4" w:rsidRPr="0098262F">
        <w:t>w</w:t>
      </w:r>
      <w:r w:rsidR="004C13FB">
        <w:t>as</w:t>
      </w:r>
      <w:r w:rsidR="00E77952">
        <w:t xml:space="preserve"> </w:t>
      </w:r>
      <w:r w:rsidRPr="0098262F">
        <w:t>not</w:t>
      </w:r>
      <w:r w:rsidR="007C3F26">
        <w:t xml:space="preserve"> </w:t>
      </w:r>
      <w:r w:rsidRPr="0098262F">
        <w:t>considered by DUSC</w:t>
      </w:r>
      <w:r w:rsidRPr="0098262F">
        <w:rPr>
          <w:color w:val="0070C0"/>
        </w:rPr>
        <w:t>.</w:t>
      </w:r>
      <w:r w:rsidR="00BC591F" w:rsidRPr="0098262F">
        <w:rPr>
          <w:color w:val="0070C0"/>
        </w:rPr>
        <w:t xml:space="preserve"> </w:t>
      </w:r>
      <w:r w:rsidR="00104B82" w:rsidRPr="00047165">
        <w:t>A</w:t>
      </w:r>
      <w:r w:rsidR="00E10C19" w:rsidRPr="00047165">
        <w:t xml:space="preserve"> utilisation review of </w:t>
      </w:r>
      <w:r w:rsidR="00664D04" w:rsidRPr="00047165">
        <w:t xml:space="preserve">ELX/TEZ/IVA </w:t>
      </w:r>
      <w:r w:rsidR="00E10C19" w:rsidRPr="00047165">
        <w:t>is planned</w:t>
      </w:r>
      <w:r w:rsidR="00664D04" w:rsidRPr="00047165">
        <w:rPr>
          <w:rStyle w:val="FootnoteReference"/>
        </w:rPr>
        <w:footnoteReference w:id="3"/>
      </w:r>
      <w:r w:rsidR="00E10C19" w:rsidRPr="00047165">
        <w:t xml:space="preserve">. </w:t>
      </w:r>
    </w:p>
    <w:p w14:paraId="16EF4367" w14:textId="7FB95C5F" w:rsidR="002B05A1" w:rsidRPr="00703E30" w:rsidRDefault="00436FDA" w:rsidP="002B05A1">
      <w:pPr>
        <w:pStyle w:val="3-BodyText"/>
        <w:rPr>
          <w:color w:val="0066FF"/>
        </w:rPr>
      </w:pPr>
      <w:r w:rsidRPr="00E461C9">
        <w:t xml:space="preserve">The </w:t>
      </w:r>
      <w:r w:rsidR="00E461C9" w:rsidRPr="00E461C9">
        <w:t>submission</w:t>
      </w:r>
      <w:r w:rsidRPr="00E461C9">
        <w:t xml:space="preserve"> stated </w:t>
      </w:r>
      <w:r w:rsidR="00E461C9" w:rsidRPr="00E461C9">
        <w:t xml:space="preserve">that </w:t>
      </w:r>
      <w:r w:rsidRPr="00E461C9">
        <w:t xml:space="preserve">the approach to </w:t>
      </w:r>
      <w:r w:rsidR="00E461C9" w:rsidRPr="00E461C9">
        <w:t>estimating</w:t>
      </w:r>
      <w:r w:rsidRPr="00E461C9">
        <w:t xml:space="preserve"> the </w:t>
      </w:r>
      <w:r w:rsidR="00E461C9" w:rsidRPr="00E461C9">
        <w:t xml:space="preserve">usage and financial implications for listing ELX/TEZ/IVA for the new proposed populations was the same as that previously accepted by the PBAC in other submissions for CFTRm drugs.  </w:t>
      </w:r>
      <w:r w:rsidR="00E461C9">
        <w:t xml:space="preserve">The approach was a mix of epidemiological estimates for the currently untreated populations and estimates of switching from currently treated patient groups, based on age and mutation. The populations as identified in the submission are shown in </w:t>
      </w:r>
      <w:r w:rsidR="003C51AF">
        <w:fldChar w:fldCharType="begin"/>
      </w:r>
      <w:r w:rsidR="003C51AF">
        <w:instrText xml:space="preserve"> REF _Ref187750180 \h </w:instrText>
      </w:r>
      <w:r w:rsidR="003C51AF">
        <w:fldChar w:fldCharType="separate"/>
      </w:r>
      <w:r w:rsidR="00343156">
        <w:t xml:space="preserve">Figure </w:t>
      </w:r>
      <w:r w:rsidR="00343156">
        <w:rPr>
          <w:noProof/>
        </w:rPr>
        <w:t>1</w:t>
      </w:r>
      <w:r w:rsidR="003C51AF">
        <w:fldChar w:fldCharType="end"/>
      </w:r>
      <w:r w:rsidR="003C51AF">
        <w:t>.</w:t>
      </w:r>
    </w:p>
    <w:p w14:paraId="7C6E0004" w14:textId="77777777" w:rsidR="00703E30" w:rsidRPr="00E461C9" w:rsidRDefault="00703E30" w:rsidP="00703E30">
      <w:pPr>
        <w:pStyle w:val="3-BodyText"/>
        <w:numPr>
          <w:ilvl w:val="0"/>
          <w:numId w:val="0"/>
        </w:numPr>
        <w:ind w:left="720"/>
        <w:rPr>
          <w:color w:val="0066FF"/>
        </w:rPr>
      </w:pPr>
    </w:p>
    <w:p w14:paraId="33F1AC00" w14:textId="7CACE9E6" w:rsidR="00E461C9" w:rsidRPr="00F034D5" w:rsidRDefault="003C51AF" w:rsidP="003C51AF">
      <w:pPr>
        <w:pStyle w:val="TableFigureHeading"/>
      </w:pPr>
      <w:bookmarkStart w:id="58" w:name="_Ref187750180"/>
      <w:bookmarkStart w:id="59" w:name="_Toc107929429"/>
      <w:bookmarkStart w:id="60" w:name="_Toc148968595"/>
      <w:bookmarkStart w:id="61" w:name="_Toc148985537"/>
      <w:bookmarkStart w:id="62" w:name="_Toc149031499"/>
      <w:bookmarkStart w:id="63" w:name="_Toc149302418"/>
      <w:bookmarkStart w:id="64" w:name="_Toc181008106"/>
      <w:r>
        <w:t xml:space="preserve">Figure </w:t>
      </w:r>
      <w:r>
        <w:fldChar w:fldCharType="begin"/>
      </w:r>
      <w:r>
        <w:instrText xml:space="preserve"> SEQ Figure \* ARABIC </w:instrText>
      </w:r>
      <w:r>
        <w:fldChar w:fldCharType="separate"/>
      </w:r>
      <w:r w:rsidR="00343156">
        <w:rPr>
          <w:noProof/>
        </w:rPr>
        <w:t>1</w:t>
      </w:r>
      <w:r>
        <w:rPr>
          <w:noProof/>
        </w:rPr>
        <w:fldChar w:fldCharType="end"/>
      </w:r>
      <w:bookmarkEnd w:id="58"/>
      <w:r>
        <w:t xml:space="preserve">: </w:t>
      </w:r>
      <w:r w:rsidR="00E461C9" w:rsidRPr="00F034D5">
        <w:t>Eligible patient populations for ELX/TEZ/IVA</w:t>
      </w:r>
      <w:bookmarkEnd w:id="59"/>
      <w:bookmarkEnd w:id="60"/>
      <w:bookmarkEnd w:id="61"/>
      <w:bookmarkEnd w:id="62"/>
      <w:bookmarkEnd w:id="63"/>
      <w:bookmarkEnd w:id="64"/>
    </w:p>
    <w:p w14:paraId="59605CF5" w14:textId="77777777" w:rsidR="00E461C9" w:rsidRPr="00E63B67" w:rsidRDefault="00E461C9" w:rsidP="00E461C9">
      <w:r>
        <w:rPr>
          <w:noProof/>
        </w:rPr>
        <w:drawing>
          <wp:inline distT="0" distB="0" distL="0" distR="0" wp14:anchorId="4C61F94C" wp14:editId="65A5A40F">
            <wp:extent cx="6119605" cy="2083408"/>
            <wp:effectExtent l="0" t="0" r="0" b="0"/>
            <wp:docPr id="1158997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97939" name="Picture 1"/>
                    <pic:cNvPicPr>
                      <a:picLocks noChangeAspect="1" noChangeArrowheads="1"/>
                    </pic:cNvPicPr>
                  </pic:nvPicPr>
                  <pic:blipFill>
                    <a:blip r:embed="rId12">
                      <a:extLst>
                        <a:ext uri="{96DAC541-7B7A-43D3-8B79-37D633B846F1}">
                          <asvg:svgBlip xmlns:asvg="http://schemas.microsoft.com/office/drawing/2016/SVG/main" r:embed="rId13"/>
                        </a:ext>
                      </a:extLst>
                    </a:blip>
                    <a:stretch>
                      <a:fillRect/>
                    </a:stretch>
                  </pic:blipFill>
                  <pic:spPr bwMode="auto">
                    <a:xfrm>
                      <a:off x="0" y="0"/>
                      <a:ext cx="6119605" cy="2083408"/>
                    </a:xfrm>
                    <a:prstGeom prst="rect">
                      <a:avLst/>
                    </a:prstGeom>
                  </pic:spPr>
                </pic:pic>
              </a:graphicData>
            </a:graphic>
          </wp:inline>
        </w:drawing>
      </w:r>
    </w:p>
    <w:p w14:paraId="60DAFE7D" w14:textId="3B3CFF34" w:rsidR="00E461C9" w:rsidRPr="00E63B67" w:rsidRDefault="00E461C9" w:rsidP="00464596">
      <w:pPr>
        <w:pStyle w:val="TableFigureFooter"/>
      </w:pPr>
      <w:r>
        <w:t xml:space="preserve">Source: Figure 4.1, p117 of the submission.  CFTRm, </w:t>
      </w:r>
      <w:r w:rsidRPr="00E54A87">
        <w:t>Cystic fibrosis transmembrane conductance regulator</w:t>
      </w:r>
      <w:r>
        <w:t>; IVA, ivacaftor; RF, residual function; TRI, TRIKAFTA</w:t>
      </w:r>
      <w:r>
        <w:br/>
        <w:t>*</w:t>
      </w:r>
      <w:r w:rsidRPr="0085535C">
        <w:t>Non-</w:t>
      </w:r>
      <w:r w:rsidRPr="00EB53D5">
        <w:t>F808del</w:t>
      </w:r>
      <w:r w:rsidRPr="0085535C">
        <w:t xml:space="preserve"> includes any mutation that is not </w:t>
      </w:r>
      <w:r w:rsidRPr="00EB53D5">
        <w:t>F508del</w:t>
      </w:r>
      <w:r w:rsidRPr="0085535C">
        <w:t xml:space="preserve"> including those mutations listed for Second Allele</w:t>
      </w:r>
    </w:p>
    <w:p w14:paraId="3E885562" w14:textId="0B87D85D" w:rsidR="00E461C9" w:rsidRPr="00541DA6" w:rsidRDefault="00541DA6" w:rsidP="002B05A1">
      <w:pPr>
        <w:pStyle w:val="3-BodyText"/>
      </w:pPr>
      <w:r w:rsidRPr="00541DA6">
        <w:t>The potential population eligible for ELX/TEZ/IVA under the requested restriction</w:t>
      </w:r>
      <w:r>
        <w:t xml:space="preserve"> was estimated from data source</w:t>
      </w:r>
      <w:r w:rsidR="001030BF">
        <w:t>d</w:t>
      </w:r>
      <w:r>
        <w:t xml:space="preserve"> from the Australian Cystic Fibrosis Data Registry.</w:t>
      </w:r>
      <w:r w:rsidR="001030BF">
        <w:t xml:space="preserve"> A </w:t>
      </w:r>
      <w:r w:rsidR="001030BF">
        <w:lastRenderedPageBreak/>
        <w:t>‘bespoke’ analysis was carried out, using the 2023 CF population data stratified by age and genotype.</w:t>
      </w:r>
    </w:p>
    <w:p w14:paraId="04B31D2D" w14:textId="68980531" w:rsidR="0072416F" w:rsidRPr="0098262F" w:rsidRDefault="004658B5" w:rsidP="002B05A1">
      <w:pPr>
        <w:pStyle w:val="3-BodyText"/>
        <w:numPr>
          <w:ilvl w:val="0"/>
          <w:numId w:val="0"/>
        </w:numPr>
        <w:ind w:left="720"/>
        <w:rPr>
          <w:color w:val="0066FF"/>
        </w:rPr>
      </w:pPr>
      <w:r w:rsidRPr="0098262F">
        <w:rPr>
          <w:color w:val="0066FF"/>
        </w:rPr>
        <w:t xml:space="preserve"> </w:t>
      </w:r>
    </w:p>
    <w:p w14:paraId="3393BCE7" w14:textId="6C02C56A" w:rsidR="00E42F73" w:rsidRPr="00F034D5" w:rsidRDefault="00F034D5" w:rsidP="00F034D5">
      <w:pPr>
        <w:pStyle w:val="TableFigureHeading"/>
      </w:pPr>
      <w:r w:rsidRPr="00F034D5">
        <w:t xml:space="preserve">Table </w:t>
      </w:r>
      <w:r w:rsidR="00345E49">
        <w:fldChar w:fldCharType="begin"/>
      </w:r>
      <w:r w:rsidR="00345E49">
        <w:instrText xml:space="preserve"> SEQ Table \* ARABIC </w:instrText>
      </w:r>
      <w:r w:rsidR="00345E49">
        <w:fldChar w:fldCharType="separate"/>
      </w:r>
      <w:r w:rsidR="00343156">
        <w:rPr>
          <w:noProof/>
        </w:rPr>
        <w:t>11</w:t>
      </w:r>
      <w:r w:rsidR="00345E49">
        <w:rPr>
          <w:noProof/>
        </w:rPr>
        <w:fldChar w:fldCharType="end"/>
      </w:r>
      <w:r w:rsidRPr="00F034D5">
        <w:t xml:space="preserve">: </w:t>
      </w:r>
      <w:r w:rsidR="00E42F73" w:rsidRPr="00F034D5">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2047"/>
        <w:gridCol w:w="2189"/>
        <w:gridCol w:w="3068"/>
      </w:tblGrid>
      <w:tr w:rsidR="001030BF" w:rsidRPr="0098262F" w14:paraId="7AFD013A" w14:textId="77777777" w:rsidTr="00E10C19">
        <w:trPr>
          <w:tblHeader/>
        </w:trPr>
        <w:tc>
          <w:tcPr>
            <w:tcW w:w="950" w:type="pct"/>
            <w:shd w:val="clear" w:color="auto" w:fill="auto"/>
            <w:vAlign w:val="center"/>
          </w:tcPr>
          <w:p w14:paraId="45C2C4CE" w14:textId="370E9AAB" w:rsidR="001030BF" w:rsidRPr="000633DB" w:rsidRDefault="001030BF" w:rsidP="00B9224E">
            <w:pPr>
              <w:pStyle w:val="TableText"/>
              <w:rPr>
                <w:b/>
                <w:bCs w:val="0"/>
              </w:rPr>
            </w:pPr>
            <w:r w:rsidRPr="000633DB">
              <w:rPr>
                <w:b/>
                <w:bCs w:val="0"/>
              </w:rPr>
              <w:t>Parameter</w:t>
            </w:r>
          </w:p>
        </w:tc>
        <w:tc>
          <w:tcPr>
            <w:tcW w:w="1135" w:type="pct"/>
            <w:shd w:val="clear" w:color="auto" w:fill="auto"/>
            <w:vAlign w:val="center"/>
          </w:tcPr>
          <w:p w14:paraId="57546CB8" w14:textId="5039757D" w:rsidR="001030BF" w:rsidRPr="000633DB" w:rsidRDefault="001030BF" w:rsidP="00B9224E">
            <w:pPr>
              <w:pStyle w:val="TableText"/>
              <w:rPr>
                <w:b/>
                <w:bCs w:val="0"/>
              </w:rPr>
            </w:pPr>
            <w:r w:rsidRPr="000633DB">
              <w:rPr>
                <w:b/>
                <w:bCs w:val="0"/>
              </w:rPr>
              <w:t>Source</w:t>
            </w:r>
          </w:p>
        </w:tc>
        <w:tc>
          <w:tcPr>
            <w:tcW w:w="1214" w:type="pct"/>
            <w:shd w:val="clear" w:color="auto" w:fill="auto"/>
            <w:vAlign w:val="center"/>
          </w:tcPr>
          <w:p w14:paraId="5C04F956" w14:textId="2091DFA4" w:rsidR="001030BF" w:rsidRPr="000633DB" w:rsidRDefault="001030BF" w:rsidP="00B9224E">
            <w:pPr>
              <w:pStyle w:val="TableText"/>
              <w:rPr>
                <w:b/>
                <w:bCs w:val="0"/>
              </w:rPr>
            </w:pPr>
            <w:r w:rsidRPr="000633DB">
              <w:rPr>
                <w:b/>
                <w:bCs w:val="0"/>
              </w:rPr>
              <w:t>Estimate</w:t>
            </w:r>
          </w:p>
        </w:tc>
        <w:tc>
          <w:tcPr>
            <w:tcW w:w="1701" w:type="pct"/>
            <w:shd w:val="clear" w:color="auto" w:fill="auto"/>
            <w:vAlign w:val="center"/>
          </w:tcPr>
          <w:p w14:paraId="45DE44AA" w14:textId="4713F72E" w:rsidR="001030BF" w:rsidRPr="000633DB" w:rsidRDefault="001030BF" w:rsidP="00B9224E">
            <w:pPr>
              <w:pStyle w:val="TableText"/>
              <w:rPr>
                <w:b/>
                <w:bCs w:val="0"/>
              </w:rPr>
            </w:pPr>
            <w:r w:rsidRPr="000633DB">
              <w:rPr>
                <w:b/>
                <w:bCs w:val="0"/>
              </w:rPr>
              <w:t>Comment</w:t>
            </w:r>
          </w:p>
        </w:tc>
      </w:tr>
      <w:tr w:rsidR="001030BF" w:rsidRPr="0098262F" w14:paraId="4BEF206D" w14:textId="77777777" w:rsidTr="00E10C19">
        <w:tc>
          <w:tcPr>
            <w:tcW w:w="950" w:type="pct"/>
            <w:shd w:val="clear" w:color="auto" w:fill="auto"/>
            <w:vAlign w:val="center"/>
          </w:tcPr>
          <w:p w14:paraId="5724F53F" w14:textId="0C9E58D5" w:rsidR="001030BF" w:rsidRPr="0098262F" w:rsidRDefault="001030BF" w:rsidP="00B9224E">
            <w:pPr>
              <w:pStyle w:val="TableText"/>
            </w:pPr>
            <w:r>
              <w:t xml:space="preserve">Number of people with CF in Australia in 2022 (% of total) </w:t>
            </w:r>
          </w:p>
        </w:tc>
        <w:tc>
          <w:tcPr>
            <w:tcW w:w="1135" w:type="pct"/>
            <w:shd w:val="clear" w:color="auto" w:fill="auto"/>
            <w:vAlign w:val="center"/>
          </w:tcPr>
          <w:p w14:paraId="11AD79A9" w14:textId="28B13D11" w:rsidR="001030BF" w:rsidRPr="0098262F" w:rsidRDefault="001030BF" w:rsidP="00B9224E">
            <w:pPr>
              <w:pStyle w:val="TableText"/>
            </w:pPr>
            <w:r>
              <w:t>ACFDR August 2023 data request</w:t>
            </w:r>
          </w:p>
        </w:tc>
        <w:tc>
          <w:tcPr>
            <w:tcW w:w="1214" w:type="pct"/>
            <w:shd w:val="clear" w:color="auto" w:fill="auto"/>
            <w:vAlign w:val="center"/>
          </w:tcPr>
          <w:p w14:paraId="443C4072" w14:textId="58F71C8D" w:rsidR="009562A8" w:rsidRDefault="009562A8" w:rsidP="00B9224E">
            <w:pPr>
              <w:pStyle w:val="TableText"/>
            </w:pPr>
            <w:r>
              <w:t>All patients</w:t>
            </w:r>
            <w:r>
              <w:rPr>
                <w:rFonts w:ascii="Symbol" w:eastAsia="Symbol" w:hAnsi="Symbol" w:cs="Symbol"/>
              </w:rPr>
              <w:t>³</w:t>
            </w:r>
            <w:r>
              <w:t xml:space="preserve"> 2 years: 3</w:t>
            </w:r>
            <w:r w:rsidR="00F33520">
              <w:t>,</w:t>
            </w:r>
            <w:r>
              <w:t xml:space="preserve">671 </w:t>
            </w:r>
          </w:p>
          <w:p w14:paraId="5CA088B0" w14:textId="438D72BD" w:rsidR="001030BF" w:rsidRDefault="001030BF" w:rsidP="00B9224E">
            <w:pPr>
              <w:pStyle w:val="TableText"/>
            </w:pPr>
            <w:r>
              <w:t xml:space="preserve">2&lt;6 years:322 </w:t>
            </w:r>
            <w:r w:rsidR="009562A8">
              <w:t>(9%)</w:t>
            </w:r>
          </w:p>
          <w:p w14:paraId="6FC8C2C6" w14:textId="28303E8D" w:rsidR="001030BF" w:rsidRDefault="001030BF" w:rsidP="00B9224E">
            <w:pPr>
              <w:pStyle w:val="TableText"/>
            </w:pPr>
            <w:r>
              <w:t>6&lt;12 years: 515</w:t>
            </w:r>
            <w:r w:rsidR="009023ED">
              <w:t xml:space="preserve"> </w:t>
            </w:r>
            <w:r>
              <w:t>(14%)</w:t>
            </w:r>
          </w:p>
          <w:p w14:paraId="3326FD0A" w14:textId="06C755B9" w:rsidR="001030BF" w:rsidRDefault="001030BF" w:rsidP="00B9224E">
            <w:pPr>
              <w:pStyle w:val="TableText"/>
            </w:pPr>
            <w:r>
              <w:t xml:space="preserve">12+: </w:t>
            </w:r>
            <w:r w:rsidR="009562A8">
              <w:t>2</w:t>
            </w:r>
            <w:r w:rsidR="00F33520">
              <w:t>,</w:t>
            </w:r>
            <w:r w:rsidR="009562A8">
              <w:t>834 (77%)</w:t>
            </w:r>
          </w:p>
          <w:p w14:paraId="2974F923" w14:textId="676FBE57" w:rsidR="009562A8" w:rsidRPr="0098262F" w:rsidRDefault="009562A8" w:rsidP="00B9224E">
            <w:pPr>
              <w:pStyle w:val="TableText"/>
            </w:pPr>
          </w:p>
        </w:tc>
        <w:tc>
          <w:tcPr>
            <w:tcW w:w="1701" w:type="pct"/>
            <w:shd w:val="clear" w:color="auto" w:fill="auto"/>
            <w:vAlign w:val="center"/>
          </w:tcPr>
          <w:p w14:paraId="078672CF" w14:textId="2ADF35E6" w:rsidR="001030BF" w:rsidRPr="0098262F" w:rsidRDefault="009562A8" w:rsidP="00B9224E">
            <w:pPr>
              <w:pStyle w:val="TableText"/>
            </w:pPr>
            <w:r>
              <w:t>Data source previously accepted by PBAC</w:t>
            </w:r>
          </w:p>
        </w:tc>
      </w:tr>
      <w:tr w:rsidR="001030BF" w:rsidRPr="0098262F" w14:paraId="273D05F4" w14:textId="77777777" w:rsidTr="00E10C19">
        <w:tc>
          <w:tcPr>
            <w:tcW w:w="950" w:type="pct"/>
            <w:shd w:val="clear" w:color="auto" w:fill="auto"/>
            <w:vAlign w:val="center"/>
          </w:tcPr>
          <w:p w14:paraId="0152C8AA" w14:textId="31D6D7DF" w:rsidR="001030BF" w:rsidRPr="0098262F" w:rsidRDefault="009562A8" w:rsidP="00B9224E">
            <w:pPr>
              <w:pStyle w:val="TableText"/>
            </w:pPr>
            <w:r>
              <w:t>Number of net new patients with CF in Australia</w:t>
            </w:r>
          </w:p>
        </w:tc>
        <w:tc>
          <w:tcPr>
            <w:tcW w:w="1135" w:type="pct"/>
            <w:shd w:val="clear" w:color="auto" w:fill="auto"/>
            <w:vAlign w:val="center"/>
          </w:tcPr>
          <w:p w14:paraId="494A856C" w14:textId="407A6D6E" w:rsidR="001030BF" w:rsidRPr="0098262F" w:rsidRDefault="009562A8" w:rsidP="00B9224E">
            <w:pPr>
              <w:pStyle w:val="TableText"/>
            </w:pPr>
            <w:r>
              <w:t>ACFDR 2020-2023</w:t>
            </w:r>
          </w:p>
        </w:tc>
        <w:tc>
          <w:tcPr>
            <w:tcW w:w="1214" w:type="pct"/>
            <w:shd w:val="clear" w:color="auto" w:fill="auto"/>
            <w:vAlign w:val="center"/>
          </w:tcPr>
          <w:p w14:paraId="5FE8DC6D" w14:textId="24240A7E" w:rsidR="001030BF" w:rsidRPr="0098262F" w:rsidRDefault="009562A8" w:rsidP="00B9224E">
            <w:pPr>
              <w:pStyle w:val="TableText"/>
            </w:pPr>
            <w:r>
              <w:t>65</w:t>
            </w:r>
          </w:p>
        </w:tc>
        <w:tc>
          <w:tcPr>
            <w:tcW w:w="1701" w:type="pct"/>
            <w:shd w:val="clear" w:color="auto" w:fill="auto"/>
            <w:vAlign w:val="center"/>
          </w:tcPr>
          <w:p w14:paraId="035D240F" w14:textId="13EF6AAC" w:rsidR="001030BF" w:rsidRPr="0098262F" w:rsidRDefault="009562A8" w:rsidP="00B9224E">
            <w:pPr>
              <w:pStyle w:val="TableText"/>
            </w:pPr>
            <w:r>
              <w:t>Based on average of 81 new diagnoses per year less 16 deaths</w:t>
            </w:r>
          </w:p>
        </w:tc>
      </w:tr>
      <w:tr w:rsidR="001030BF" w:rsidRPr="0098262F" w14:paraId="72C9FBDD" w14:textId="77777777" w:rsidTr="00E10C19">
        <w:tc>
          <w:tcPr>
            <w:tcW w:w="950" w:type="pct"/>
            <w:shd w:val="clear" w:color="auto" w:fill="auto"/>
            <w:vAlign w:val="center"/>
          </w:tcPr>
          <w:p w14:paraId="2FBBDC67" w14:textId="7872EE7E" w:rsidR="001030BF" w:rsidRPr="0098262F" w:rsidRDefault="001030BF" w:rsidP="00B9224E">
            <w:pPr>
              <w:pStyle w:val="TableText"/>
            </w:pPr>
            <w:r w:rsidRPr="0098262F">
              <w:t>Uptake rate</w:t>
            </w:r>
          </w:p>
        </w:tc>
        <w:tc>
          <w:tcPr>
            <w:tcW w:w="1135" w:type="pct"/>
            <w:shd w:val="clear" w:color="auto" w:fill="auto"/>
            <w:vAlign w:val="center"/>
          </w:tcPr>
          <w:p w14:paraId="63616376" w14:textId="2C28A363" w:rsidR="001030BF" w:rsidRPr="0098262F" w:rsidRDefault="009050E4" w:rsidP="00B9224E">
            <w:pPr>
              <w:pStyle w:val="TableText"/>
            </w:pPr>
            <w:r>
              <w:t xml:space="preserve">Stated to be expected to be high as some patients have been ‘warehoused’ pending this </w:t>
            </w:r>
            <w:r w:rsidR="00F034D5">
              <w:t>submission</w:t>
            </w:r>
          </w:p>
        </w:tc>
        <w:tc>
          <w:tcPr>
            <w:tcW w:w="1214" w:type="pct"/>
            <w:shd w:val="clear" w:color="auto" w:fill="auto"/>
            <w:vAlign w:val="center"/>
          </w:tcPr>
          <w:p w14:paraId="550316FC" w14:textId="7ECB6D2B" w:rsidR="001030BF" w:rsidRPr="0098262F" w:rsidRDefault="00426552" w:rsidP="00B9224E">
            <w:pPr>
              <w:pStyle w:val="TableText"/>
            </w:pPr>
            <w:r>
              <w:t>95%</w:t>
            </w:r>
            <w:r w:rsidR="009050E4">
              <w:t xml:space="preserve"> years 1-6</w:t>
            </w:r>
          </w:p>
        </w:tc>
        <w:tc>
          <w:tcPr>
            <w:tcW w:w="1701" w:type="pct"/>
            <w:shd w:val="clear" w:color="auto" w:fill="auto"/>
            <w:vAlign w:val="center"/>
          </w:tcPr>
          <w:p w14:paraId="7295AAE5" w14:textId="26ED6B3E" w:rsidR="001030BF" w:rsidRPr="0098262F" w:rsidRDefault="001030BF" w:rsidP="00B9224E">
            <w:pPr>
              <w:pStyle w:val="TableText"/>
            </w:pPr>
          </w:p>
        </w:tc>
      </w:tr>
      <w:tr w:rsidR="00533596" w:rsidRPr="0098262F" w14:paraId="107AA2B1" w14:textId="77777777" w:rsidTr="00E10C19">
        <w:tc>
          <w:tcPr>
            <w:tcW w:w="950" w:type="pct"/>
            <w:shd w:val="clear" w:color="auto" w:fill="auto"/>
            <w:vAlign w:val="center"/>
          </w:tcPr>
          <w:p w14:paraId="279B627B" w14:textId="5CFC5491" w:rsidR="00533596" w:rsidRPr="0098262F" w:rsidRDefault="00533596" w:rsidP="00B9224E">
            <w:pPr>
              <w:pStyle w:val="TableText"/>
            </w:pPr>
            <w:r>
              <w:t>Switching assumptions</w:t>
            </w:r>
          </w:p>
        </w:tc>
        <w:tc>
          <w:tcPr>
            <w:tcW w:w="1135" w:type="pct"/>
            <w:shd w:val="clear" w:color="auto" w:fill="auto"/>
            <w:vAlign w:val="center"/>
          </w:tcPr>
          <w:p w14:paraId="0F1DCEBF" w14:textId="2E62FFB0" w:rsidR="00533596" w:rsidRPr="0098262F" w:rsidRDefault="00533596" w:rsidP="00B9224E">
            <w:pPr>
              <w:pStyle w:val="TableText"/>
            </w:pPr>
            <w:r>
              <w:t>Previous submission methodology ran</w:t>
            </w:r>
            <w:r w:rsidR="009050E4">
              <w:t>g</w:t>
            </w:r>
            <w:r>
              <w:t>ing fr</w:t>
            </w:r>
            <w:r w:rsidR="009050E4">
              <w:t>om</w:t>
            </w:r>
            <w:r>
              <w:t xml:space="preserve"> 100% to 60%</w:t>
            </w:r>
          </w:p>
        </w:tc>
        <w:tc>
          <w:tcPr>
            <w:tcW w:w="1214" w:type="pct"/>
            <w:shd w:val="clear" w:color="auto" w:fill="auto"/>
            <w:vAlign w:val="center"/>
          </w:tcPr>
          <w:p w14:paraId="778E8090" w14:textId="6A1D305C" w:rsidR="00533596" w:rsidRDefault="00533596" w:rsidP="00B9224E">
            <w:pPr>
              <w:pStyle w:val="TableText"/>
            </w:pPr>
            <w:r>
              <w:t xml:space="preserve">From </w:t>
            </w:r>
            <w:r w:rsidR="009023ED">
              <w:t>IVA (</w:t>
            </w:r>
            <w:r>
              <w:t>non-gating</w:t>
            </w:r>
            <w:r w:rsidR="00AF209B">
              <w:t>):</w:t>
            </w:r>
            <w:r>
              <w:t xml:space="preserve"> 100%</w:t>
            </w:r>
          </w:p>
          <w:p w14:paraId="656D74B5" w14:textId="266198FE" w:rsidR="00533596" w:rsidRDefault="00533596" w:rsidP="00B9224E">
            <w:pPr>
              <w:pStyle w:val="TableText"/>
            </w:pPr>
            <w:r>
              <w:t xml:space="preserve">From IVA, </w:t>
            </w:r>
            <w:r w:rsidR="009023ED">
              <w:t>gating:</w:t>
            </w:r>
            <w:r>
              <w:t xml:space="preserve"> 60%</w:t>
            </w:r>
          </w:p>
          <w:p w14:paraId="0591227F" w14:textId="12E3FFD7" w:rsidR="00533596" w:rsidRDefault="00533596" w:rsidP="00B9224E">
            <w:pPr>
              <w:pStyle w:val="TableText"/>
            </w:pPr>
            <w:r>
              <w:t xml:space="preserve"> From TEZ/IVA</w:t>
            </w:r>
            <w:r w:rsidR="00AF209B">
              <w:t>:</w:t>
            </w:r>
            <w:r>
              <w:t>100%</w:t>
            </w:r>
          </w:p>
        </w:tc>
        <w:tc>
          <w:tcPr>
            <w:tcW w:w="1701" w:type="pct"/>
            <w:shd w:val="clear" w:color="auto" w:fill="auto"/>
            <w:vAlign w:val="center"/>
          </w:tcPr>
          <w:p w14:paraId="2BE522F4" w14:textId="39CC5F0D" w:rsidR="00533596" w:rsidRPr="0098262F" w:rsidRDefault="00533596" w:rsidP="00B9224E">
            <w:pPr>
              <w:pStyle w:val="TableText"/>
            </w:pPr>
            <w:r>
              <w:t xml:space="preserve">Based on clinician feedback. </w:t>
            </w:r>
          </w:p>
        </w:tc>
      </w:tr>
      <w:tr w:rsidR="001030BF" w:rsidRPr="0098262F" w14:paraId="512A8938" w14:textId="77777777" w:rsidTr="00E10C19">
        <w:tc>
          <w:tcPr>
            <w:tcW w:w="950" w:type="pct"/>
            <w:shd w:val="clear" w:color="auto" w:fill="auto"/>
            <w:vAlign w:val="center"/>
          </w:tcPr>
          <w:p w14:paraId="006B470A" w14:textId="3D7CA25F" w:rsidR="001030BF" w:rsidRPr="0098262F" w:rsidRDefault="001030BF" w:rsidP="00B9224E">
            <w:pPr>
              <w:pStyle w:val="TableText"/>
            </w:pPr>
            <w:r w:rsidRPr="0098262F">
              <w:t>Compliance rate</w:t>
            </w:r>
          </w:p>
          <w:p w14:paraId="1F4C70A3" w14:textId="566F761F" w:rsidR="001030BF" w:rsidRPr="0098262F" w:rsidRDefault="001030BF" w:rsidP="00B9224E">
            <w:pPr>
              <w:pStyle w:val="TableText"/>
            </w:pPr>
          </w:p>
        </w:tc>
        <w:tc>
          <w:tcPr>
            <w:tcW w:w="1135" w:type="pct"/>
            <w:shd w:val="clear" w:color="auto" w:fill="auto"/>
            <w:vAlign w:val="center"/>
          </w:tcPr>
          <w:p w14:paraId="6D33E010" w14:textId="6546B746" w:rsidR="001030BF" w:rsidRPr="0098262F" w:rsidRDefault="004F793F" w:rsidP="00B9224E">
            <w:pPr>
              <w:pStyle w:val="TableText"/>
            </w:pPr>
            <w:r>
              <w:t>Same as used in the March 2024 IVA rare submission</w:t>
            </w:r>
          </w:p>
        </w:tc>
        <w:tc>
          <w:tcPr>
            <w:tcW w:w="1214" w:type="pct"/>
            <w:shd w:val="clear" w:color="auto" w:fill="auto"/>
            <w:vAlign w:val="center"/>
          </w:tcPr>
          <w:p w14:paraId="5289CDB1" w14:textId="716DFB23" w:rsidR="001030BF" w:rsidRPr="00E10C19" w:rsidRDefault="004F793F" w:rsidP="00B9224E">
            <w:pPr>
              <w:pStyle w:val="TableText"/>
            </w:pPr>
            <w:r w:rsidRPr="00E10C19">
              <w:t>90%</w:t>
            </w:r>
          </w:p>
        </w:tc>
        <w:tc>
          <w:tcPr>
            <w:tcW w:w="1701" w:type="pct"/>
            <w:shd w:val="clear" w:color="auto" w:fill="auto"/>
            <w:vAlign w:val="center"/>
          </w:tcPr>
          <w:p w14:paraId="0BA4ED26" w14:textId="5EA1A162" w:rsidR="001030BF" w:rsidRPr="00E10C19" w:rsidRDefault="004F793F" w:rsidP="00B9224E">
            <w:pPr>
              <w:pStyle w:val="TableText"/>
            </w:pPr>
            <w:r w:rsidRPr="00E10C19">
              <w:t>May be reasonable</w:t>
            </w:r>
          </w:p>
        </w:tc>
      </w:tr>
      <w:tr w:rsidR="001030BF" w:rsidRPr="0098262F" w14:paraId="18F4FF1F" w14:textId="77777777" w:rsidTr="00E10C19">
        <w:tc>
          <w:tcPr>
            <w:tcW w:w="950" w:type="pct"/>
            <w:shd w:val="clear" w:color="auto" w:fill="auto"/>
            <w:vAlign w:val="center"/>
          </w:tcPr>
          <w:p w14:paraId="09A388E2" w14:textId="74E0F832" w:rsidR="001030BF" w:rsidRPr="0098262F" w:rsidRDefault="009050E4" w:rsidP="00B9224E">
            <w:pPr>
              <w:pStyle w:val="TableText"/>
            </w:pPr>
            <w:r>
              <w:t>Discontinuation rate</w:t>
            </w:r>
          </w:p>
        </w:tc>
        <w:tc>
          <w:tcPr>
            <w:tcW w:w="1135" w:type="pct"/>
            <w:shd w:val="clear" w:color="auto" w:fill="auto"/>
            <w:vAlign w:val="center"/>
          </w:tcPr>
          <w:p w14:paraId="1FEAAE57" w14:textId="617F0F26" w:rsidR="001030BF" w:rsidRPr="0098262F" w:rsidRDefault="009050E4" w:rsidP="00B9224E">
            <w:pPr>
              <w:pStyle w:val="TableText"/>
            </w:pPr>
            <w:r>
              <w:t>Previous PBAC consideration of ELX/TEZ/IVA and clinical trials</w:t>
            </w:r>
          </w:p>
        </w:tc>
        <w:tc>
          <w:tcPr>
            <w:tcW w:w="1214" w:type="pct"/>
            <w:shd w:val="clear" w:color="auto" w:fill="auto"/>
            <w:vAlign w:val="center"/>
          </w:tcPr>
          <w:p w14:paraId="61C6F202" w14:textId="48B5E943" w:rsidR="001030BF" w:rsidRPr="0098262F" w:rsidRDefault="009050E4" w:rsidP="00B9224E">
            <w:pPr>
              <w:pStyle w:val="TableText"/>
            </w:pPr>
            <w:r>
              <w:t>1.4</w:t>
            </w:r>
            <w:r w:rsidR="006624A2">
              <w:t xml:space="preserve"> in Year 1; </w:t>
            </w:r>
            <w:r>
              <w:t>4.2%</w:t>
            </w:r>
            <w:r w:rsidR="006624A2">
              <w:t xml:space="preserve"> in Year 2</w:t>
            </w:r>
          </w:p>
        </w:tc>
        <w:tc>
          <w:tcPr>
            <w:tcW w:w="1701" w:type="pct"/>
            <w:shd w:val="clear" w:color="auto" w:fill="auto"/>
            <w:vAlign w:val="center"/>
          </w:tcPr>
          <w:p w14:paraId="283F2180" w14:textId="081FD23B" w:rsidR="001030BF" w:rsidRPr="0098262F" w:rsidRDefault="00E10C19" w:rsidP="00B9224E">
            <w:pPr>
              <w:pStyle w:val="TableText"/>
            </w:pPr>
            <w:r w:rsidRPr="00E10C19">
              <w:t>C</w:t>
            </w:r>
            <w:r w:rsidR="009050E4" w:rsidRPr="00E10C19">
              <w:t>onsistent with previous submissions</w:t>
            </w:r>
          </w:p>
        </w:tc>
      </w:tr>
      <w:tr w:rsidR="009050E4" w:rsidRPr="0098262F" w14:paraId="25DC23C5" w14:textId="77777777" w:rsidTr="00E10C19">
        <w:tc>
          <w:tcPr>
            <w:tcW w:w="950" w:type="pct"/>
            <w:shd w:val="clear" w:color="auto" w:fill="auto"/>
            <w:vAlign w:val="center"/>
          </w:tcPr>
          <w:p w14:paraId="45F7741A" w14:textId="51A23BA9" w:rsidR="009050E4" w:rsidRPr="0098262F" w:rsidRDefault="006B100E" w:rsidP="00B9224E">
            <w:pPr>
              <w:pStyle w:val="TableText"/>
            </w:pPr>
            <w:r>
              <w:t>Copayment</w:t>
            </w:r>
          </w:p>
        </w:tc>
        <w:tc>
          <w:tcPr>
            <w:tcW w:w="1135" w:type="pct"/>
            <w:shd w:val="clear" w:color="auto" w:fill="auto"/>
            <w:vAlign w:val="center"/>
          </w:tcPr>
          <w:p w14:paraId="412DD174" w14:textId="73EB79B9" w:rsidR="009050E4" w:rsidRPr="0098262F" w:rsidRDefault="006B100E" w:rsidP="00B9224E">
            <w:pPr>
              <w:pStyle w:val="TableText"/>
            </w:pPr>
            <w:r>
              <w:t xml:space="preserve">Assumed 100% of scripts dispensed in public hospital setting </w:t>
            </w:r>
          </w:p>
        </w:tc>
        <w:tc>
          <w:tcPr>
            <w:tcW w:w="1214" w:type="pct"/>
            <w:shd w:val="clear" w:color="auto" w:fill="auto"/>
            <w:vAlign w:val="center"/>
          </w:tcPr>
          <w:p w14:paraId="15C917F9" w14:textId="6C5B9776" w:rsidR="009050E4" w:rsidRPr="0098262F" w:rsidRDefault="006B100E" w:rsidP="00B9224E">
            <w:pPr>
              <w:pStyle w:val="TableText"/>
            </w:pPr>
            <w:r>
              <w:t>$13.90</w:t>
            </w:r>
          </w:p>
        </w:tc>
        <w:tc>
          <w:tcPr>
            <w:tcW w:w="1701" w:type="pct"/>
            <w:shd w:val="clear" w:color="auto" w:fill="auto"/>
            <w:vAlign w:val="center"/>
          </w:tcPr>
          <w:p w14:paraId="5EA97436" w14:textId="7267AE2D" w:rsidR="009050E4" w:rsidRPr="0098262F" w:rsidRDefault="006B100E" w:rsidP="00B9224E">
            <w:pPr>
              <w:pStyle w:val="TableText"/>
            </w:pPr>
            <w:r>
              <w:t>Consistent with previous submission</w:t>
            </w:r>
            <w:r w:rsidR="006624A2">
              <w:t xml:space="preserve">. Assumed no RPBS use. </w:t>
            </w:r>
          </w:p>
        </w:tc>
      </w:tr>
      <w:tr w:rsidR="006B100E" w:rsidRPr="0098262F" w14:paraId="6BD59BA8" w14:textId="77777777" w:rsidTr="00E10C19">
        <w:tc>
          <w:tcPr>
            <w:tcW w:w="950" w:type="pct"/>
            <w:shd w:val="clear" w:color="auto" w:fill="auto"/>
            <w:vAlign w:val="center"/>
          </w:tcPr>
          <w:p w14:paraId="410DA92D" w14:textId="0BB61BB2" w:rsidR="006B100E" w:rsidRPr="0098262F" w:rsidRDefault="006B100E" w:rsidP="00B9224E">
            <w:pPr>
              <w:pStyle w:val="TableText"/>
            </w:pPr>
            <w:r w:rsidRPr="0098262F">
              <w:t>Grandfathered patients</w:t>
            </w:r>
          </w:p>
        </w:tc>
        <w:tc>
          <w:tcPr>
            <w:tcW w:w="1135" w:type="pct"/>
            <w:shd w:val="clear" w:color="auto" w:fill="auto"/>
            <w:vAlign w:val="center"/>
          </w:tcPr>
          <w:p w14:paraId="441FEAC1" w14:textId="592DB117" w:rsidR="006B100E" w:rsidRPr="0098262F" w:rsidRDefault="00B76944" w:rsidP="00B9224E">
            <w:pPr>
              <w:pStyle w:val="TableText"/>
            </w:pPr>
            <w:r>
              <w:t>none</w:t>
            </w:r>
          </w:p>
        </w:tc>
        <w:tc>
          <w:tcPr>
            <w:tcW w:w="1214" w:type="pct"/>
            <w:shd w:val="clear" w:color="auto" w:fill="auto"/>
            <w:vAlign w:val="center"/>
          </w:tcPr>
          <w:p w14:paraId="177DCBED" w14:textId="77777777" w:rsidR="006B100E" w:rsidRPr="0098262F" w:rsidRDefault="006B100E" w:rsidP="00B9224E">
            <w:pPr>
              <w:pStyle w:val="TableText"/>
            </w:pPr>
          </w:p>
        </w:tc>
        <w:tc>
          <w:tcPr>
            <w:tcW w:w="1701" w:type="pct"/>
            <w:shd w:val="clear" w:color="auto" w:fill="auto"/>
            <w:vAlign w:val="center"/>
          </w:tcPr>
          <w:p w14:paraId="50050675" w14:textId="77777777" w:rsidR="006B100E" w:rsidRPr="0098262F" w:rsidRDefault="006B100E" w:rsidP="00B9224E">
            <w:pPr>
              <w:pStyle w:val="TableText"/>
            </w:pPr>
          </w:p>
        </w:tc>
      </w:tr>
      <w:tr w:rsidR="00CA4089" w:rsidRPr="0098262F" w14:paraId="724DCD6C" w14:textId="77777777" w:rsidTr="00E10C19">
        <w:tc>
          <w:tcPr>
            <w:tcW w:w="950" w:type="pct"/>
            <w:shd w:val="clear" w:color="auto" w:fill="auto"/>
            <w:vAlign w:val="center"/>
          </w:tcPr>
          <w:p w14:paraId="5636B430" w14:textId="72CD4485" w:rsidR="00CA4089" w:rsidRPr="0098262F" w:rsidRDefault="00CA4089" w:rsidP="00B9224E">
            <w:pPr>
              <w:pStyle w:val="TableText"/>
            </w:pPr>
            <w:r>
              <w:t>Effect</w:t>
            </w:r>
            <w:r w:rsidR="00F06302">
              <w:t>i</w:t>
            </w:r>
            <w:r>
              <w:t xml:space="preserve">ve prices for </w:t>
            </w:r>
            <w:r w:rsidR="009023ED">
              <w:t>IVA, TEZ</w:t>
            </w:r>
            <w:r w:rsidR="00F06302">
              <w:t xml:space="preserve"> /IVA, ELX/TEZ/IVA</w:t>
            </w:r>
          </w:p>
        </w:tc>
        <w:tc>
          <w:tcPr>
            <w:tcW w:w="1135" w:type="pct"/>
            <w:shd w:val="clear" w:color="auto" w:fill="auto"/>
            <w:vAlign w:val="center"/>
          </w:tcPr>
          <w:p w14:paraId="0BAB85FC" w14:textId="67033734" w:rsidR="00CA4089" w:rsidRDefault="00F06302" w:rsidP="00B9224E">
            <w:pPr>
              <w:pStyle w:val="TableText"/>
            </w:pPr>
            <w:r>
              <w:t xml:space="preserve">AEMP </w:t>
            </w:r>
          </w:p>
        </w:tc>
        <w:tc>
          <w:tcPr>
            <w:tcW w:w="1214" w:type="pct"/>
            <w:shd w:val="clear" w:color="auto" w:fill="auto"/>
            <w:vAlign w:val="center"/>
          </w:tcPr>
          <w:p w14:paraId="330FB70F" w14:textId="0CBF8609" w:rsidR="00CA4089" w:rsidRDefault="00F06302" w:rsidP="00B9224E">
            <w:pPr>
              <w:pStyle w:val="TableText"/>
            </w:pPr>
            <w:r>
              <w:t>IVA nonF/gating: $</w:t>
            </w:r>
            <w:r w:rsidR="004E7B37" w:rsidRPr="004E7B37">
              <w:rPr>
                <w:color w:val="000000"/>
                <w:spacing w:val="53"/>
                <w:shd w:val="solid" w:color="000000" w:fill="000000"/>
                <w:fitText w:val="330" w:id="-694516724"/>
                <w14:textFill>
                  <w14:solidFill>
                    <w14:srgbClr w14:val="000000">
                      <w14:alpha w14:val="100000"/>
                    </w14:srgbClr>
                  </w14:solidFill>
                </w14:textFill>
              </w:rPr>
              <w:t>|||</w:t>
            </w:r>
            <w:r w:rsidR="004E7B37" w:rsidRPr="004E7B37">
              <w:rPr>
                <w:color w:val="000000"/>
                <w:spacing w:val="1"/>
                <w:shd w:val="solid" w:color="000000" w:fill="000000"/>
                <w:fitText w:val="330" w:id="-694516724"/>
                <w14:textFill>
                  <w14:solidFill>
                    <w14:srgbClr w14:val="000000">
                      <w14:alpha w14:val="100000"/>
                    </w14:srgbClr>
                  </w14:solidFill>
                </w14:textFill>
              </w:rPr>
              <w:t>|</w:t>
            </w:r>
          </w:p>
          <w:p w14:paraId="500EF7EA" w14:textId="4AF7353B" w:rsidR="00F06302" w:rsidRDefault="00F06302" w:rsidP="00B9224E">
            <w:pPr>
              <w:pStyle w:val="TableText"/>
            </w:pPr>
            <w:r>
              <w:t>IVA non F/non G: $</w:t>
            </w:r>
            <w:r w:rsidR="004E7B37" w:rsidRPr="004E7B37">
              <w:rPr>
                <w:color w:val="000000"/>
                <w:spacing w:val="53"/>
                <w:shd w:val="solid" w:color="000000" w:fill="000000"/>
                <w:fitText w:val="330" w:id="-694516723"/>
                <w14:textFill>
                  <w14:solidFill>
                    <w14:srgbClr w14:val="000000">
                      <w14:alpha w14:val="100000"/>
                    </w14:srgbClr>
                  </w14:solidFill>
                </w14:textFill>
              </w:rPr>
              <w:t>|||</w:t>
            </w:r>
            <w:r w:rsidR="004E7B37" w:rsidRPr="004E7B37">
              <w:rPr>
                <w:color w:val="000000"/>
                <w:spacing w:val="1"/>
                <w:shd w:val="solid" w:color="000000" w:fill="000000"/>
                <w:fitText w:val="330" w:id="-694516723"/>
                <w14:textFill>
                  <w14:solidFill>
                    <w14:srgbClr w14:val="000000">
                      <w14:alpha w14:val="100000"/>
                    </w14:srgbClr>
                  </w14:solidFill>
                </w14:textFill>
              </w:rPr>
              <w:t>|</w:t>
            </w:r>
          </w:p>
          <w:p w14:paraId="5E78FA5D" w14:textId="2C1F828D" w:rsidR="00F06302" w:rsidRDefault="00F06302" w:rsidP="00B9224E">
            <w:pPr>
              <w:pStyle w:val="TableText"/>
            </w:pPr>
            <w:r>
              <w:t>TEZ/IVA: $</w:t>
            </w:r>
            <w:r w:rsidR="004E7B37" w:rsidRPr="004E7B37">
              <w:rPr>
                <w:color w:val="000000"/>
                <w:spacing w:val="53"/>
                <w:shd w:val="solid" w:color="000000" w:fill="000000"/>
                <w:fitText w:val="330" w:id="-694516722"/>
                <w14:textFill>
                  <w14:solidFill>
                    <w14:srgbClr w14:val="000000">
                      <w14:alpha w14:val="100000"/>
                    </w14:srgbClr>
                  </w14:solidFill>
                </w14:textFill>
              </w:rPr>
              <w:t>|||</w:t>
            </w:r>
            <w:r w:rsidR="004E7B37" w:rsidRPr="004E7B37">
              <w:rPr>
                <w:color w:val="000000"/>
                <w:spacing w:val="1"/>
                <w:shd w:val="solid" w:color="000000" w:fill="000000"/>
                <w:fitText w:val="330" w:id="-694516722"/>
                <w14:textFill>
                  <w14:solidFill>
                    <w14:srgbClr w14:val="000000">
                      <w14:alpha w14:val="100000"/>
                    </w14:srgbClr>
                  </w14:solidFill>
                </w14:textFill>
              </w:rPr>
              <w:t>|</w:t>
            </w:r>
          </w:p>
          <w:p w14:paraId="4E3FC147" w14:textId="5766E386" w:rsidR="00F06302" w:rsidRPr="0098262F" w:rsidRDefault="00F06302" w:rsidP="00B9224E">
            <w:pPr>
              <w:pStyle w:val="TableText"/>
            </w:pPr>
            <w:r>
              <w:t>ELX/TEZ/IVA: $</w:t>
            </w:r>
            <w:r w:rsidR="004E7B37" w:rsidRPr="004E7B37">
              <w:rPr>
                <w:color w:val="000000"/>
                <w:spacing w:val="53"/>
                <w:shd w:val="solid" w:color="000000" w:fill="000000"/>
                <w:fitText w:val="330" w:id="-694516721"/>
                <w14:textFill>
                  <w14:solidFill>
                    <w14:srgbClr w14:val="000000">
                      <w14:alpha w14:val="100000"/>
                    </w14:srgbClr>
                  </w14:solidFill>
                </w14:textFill>
              </w:rPr>
              <w:t>|||</w:t>
            </w:r>
            <w:r w:rsidR="004E7B37" w:rsidRPr="004E7B37">
              <w:rPr>
                <w:color w:val="000000"/>
                <w:spacing w:val="1"/>
                <w:shd w:val="solid" w:color="000000" w:fill="000000"/>
                <w:fitText w:val="330" w:id="-694516721"/>
                <w14:textFill>
                  <w14:solidFill>
                    <w14:srgbClr w14:val="000000">
                      <w14:alpha w14:val="100000"/>
                    </w14:srgbClr>
                  </w14:solidFill>
                </w14:textFill>
              </w:rPr>
              <w:t>|</w:t>
            </w:r>
          </w:p>
        </w:tc>
        <w:tc>
          <w:tcPr>
            <w:tcW w:w="1701" w:type="pct"/>
            <w:shd w:val="clear" w:color="auto" w:fill="auto"/>
            <w:vAlign w:val="center"/>
          </w:tcPr>
          <w:p w14:paraId="7EE6AB7D" w14:textId="35E92E7C" w:rsidR="00CA4089" w:rsidRPr="0098262F" w:rsidRDefault="0096038A" w:rsidP="00B9224E">
            <w:pPr>
              <w:pStyle w:val="TableText"/>
            </w:pPr>
            <w:r>
              <w:t xml:space="preserve">Assumed 100% public hospital use. </w:t>
            </w:r>
          </w:p>
        </w:tc>
      </w:tr>
      <w:tr w:rsidR="001030BF" w:rsidRPr="0098262F" w14:paraId="7B7FA999" w14:textId="77777777" w:rsidTr="00E10C19">
        <w:tc>
          <w:tcPr>
            <w:tcW w:w="950" w:type="pct"/>
            <w:shd w:val="clear" w:color="auto" w:fill="auto"/>
            <w:vAlign w:val="center"/>
          </w:tcPr>
          <w:p w14:paraId="2C67FF14" w14:textId="677EE830" w:rsidR="001030BF" w:rsidRPr="0098262F" w:rsidRDefault="001030BF" w:rsidP="00B9224E">
            <w:pPr>
              <w:pStyle w:val="TableText"/>
            </w:pPr>
            <w:r w:rsidRPr="0098262F">
              <w:t>MBS item</w:t>
            </w:r>
            <w:r w:rsidR="00C20D9E">
              <w:t>s</w:t>
            </w:r>
          </w:p>
        </w:tc>
        <w:tc>
          <w:tcPr>
            <w:tcW w:w="1135" w:type="pct"/>
            <w:shd w:val="clear" w:color="auto" w:fill="auto"/>
            <w:vAlign w:val="center"/>
          </w:tcPr>
          <w:p w14:paraId="27161179" w14:textId="77777777" w:rsidR="001030BF" w:rsidRDefault="00C20D9E" w:rsidP="00B9224E">
            <w:pPr>
              <w:pStyle w:val="TableText"/>
            </w:pPr>
            <w:r>
              <w:t>Liver Functions tests</w:t>
            </w:r>
          </w:p>
          <w:p w14:paraId="3F7797F8" w14:textId="5ACA251C" w:rsidR="00C20D9E" w:rsidRPr="0098262F" w:rsidRDefault="00F034D5" w:rsidP="00B9224E">
            <w:pPr>
              <w:pStyle w:val="TableText"/>
            </w:pPr>
            <w:r>
              <w:t>Ophthalmological</w:t>
            </w:r>
            <w:r w:rsidR="00C20D9E">
              <w:t xml:space="preserve"> review</w:t>
            </w:r>
          </w:p>
        </w:tc>
        <w:tc>
          <w:tcPr>
            <w:tcW w:w="1214" w:type="pct"/>
            <w:shd w:val="clear" w:color="auto" w:fill="auto"/>
            <w:vAlign w:val="center"/>
          </w:tcPr>
          <w:p w14:paraId="2A4C00F1" w14:textId="77777777" w:rsidR="001030BF" w:rsidRDefault="00C20D9E" w:rsidP="00B9224E">
            <w:pPr>
              <w:pStyle w:val="TableText"/>
            </w:pPr>
            <w:r>
              <w:t>MBS Item 66512, $17.70</w:t>
            </w:r>
          </w:p>
          <w:p w14:paraId="4E20196D" w14:textId="77777777" w:rsidR="00C20D9E" w:rsidRDefault="00C20D9E" w:rsidP="00B9224E">
            <w:pPr>
              <w:pStyle w:val="TableText"/>
            </w:pPr>
            <w:r>
              <w:t>MBS item 104, $98.50</w:t>
            </w:r>
          </w:p>
          <w:p w14:paraId="2CB17643" w14:textId="4FD8EE2E" w:rsidR="00C20D9E" w:rsidRPr="0098262F" w:rsidRDefault="00C20D9E" w:rsidP="00B9224E">
            <w:pPr>
              <w:pStyle w:val="TableText"/>
            </w:pPr>
            <w:r>
              <w:t xml:space="preserve">Expenditure calculated using default </w:t>
            </w:r>
            <w:r w:rsidR="004E7B37">
              <w:rPr>
                <w:color w:val="000000"/>
                <w:spacing w:val="52"/>
                <w:shd w:val="solid" w:color="000000" w:fill="000000"/>
                <w:fitText w:val="330" w:id="-694516720"/>
                <w14:textFill>
                  <w14:solidFill>
                    <w14:srgbClr w14:val="000000">
                      <w14:alpha w14:val="100000"/>
                    </w14:srgbClr>
                  </w14:solidFill>
                </w14:textFill>
              </w:rPr>
              <w:t>|||</w:t>
            </w:r>
            <w:r w:rsidR="004E7B37">
              <w:rPr>
                <w:color w:val="000000"/>
                <w:spacing w:val="2"/>
                <w:shd w:val="solid" w:color="000000" w:fill="000000"/>
                <w:fitText w:val="330" w:id="-694516720"/>
                <w14:textFill>
                  <w14:solidFill>
                    <w14:srgbClr w14:val="000000">
                      <w14:alpha w14:val="100000"/>
                    </w14:srgbClr>
                  </w14:solidFill>
                </w14:textFill>
              </w:rPr>
              <w:t>|</w:t>
            </w:r>
            <w:r>
              <w:t>% rebate.</w:t>
            </w:r>
          </w:p>
        </w:tc>
        <w:tc>
          <w:tcPr>
            <w:tcW w:w="1701" w:type="pct"/>
            <w:shd w:val="clear" w:color="auto" w:fill="auto"/>
            <w:vAlign w:val="center"/>
          </w:tcPr>
          <w:p w14:paraId="16591FD7" w14:textId="1E0D7D7C" w:rsidR="00C20D9E" w:rsidRDefault="00C20D9E" w:rsidP="00B9224E">
            <w:pPr>
              <w:pStyle w:val="TableText"/>
            </w:pPr>
            <w:r>
              <w:t>As for previous submissions:</w:t>
            </w:r>
          </w:p>
          <w:p w14:paraId="0397B372" w14:textId="3A4579A9" w:rsidR="00C20D9E" w:rsidRDefault="00C20D9E" w:rsidP="00B9224E">
            <w:pPr>
              <w:pStyle w:val="TableText"/>
            </w:pPr>
            <w:r>
              <w:t>LFTs every 3 months for the first year; annually thereafter.</w:t>
            </w:r>
          </w:p>
          <w:p w14:paraId="2F12B392" w14:textId="0693C05D" w:rsidR="001030BF" w:rsidRPr="0098262F" w:rsidRDefault="00C20D9E" w:rsidP="00B9224E">
            <w:pPr>
              <w:pStyle w:val="TableText"/>
            </w:pPr>
            <w:r>
              <w:t>2 ophthalmological visits in the first year of treatment.</w:t>
            </w:r>
          </w:p>
        </w:tc>
      </w:tr>
    </w:tbl>
    <w:p w14:paraId="348D349F" w14:textId="4D8D9CE7" w:rsidR="009562A8" w:rsidRPr="009562A8" w:rsidRDefault="00E42F73" w:rsidP="009562A8">
      <w:pPr>
        <w:pStyle w:val="FooterTableFigure"/>
      </w:pPr>
      <w:r w:rsidRPr="0098262F">
        <w:t>Source: Table</w:t>
      </w:r>
      <w:r w:rsidR="009562A8">
        <w:t xml:space="preserve"> </w:t>
      </w:r>
      <w:r w:rsidR="00C4449A">
        <w:t xml:space="preserve">4.2 </w:t>
      </w:r>
      <w:r w:rsidR="00C4449A" w:rsidRPr="0098262F">
        <w:t>p</w:t>
      </w:r>
      <w:r w:rsidR="009562A8">
        <w:t>119</w:t>
      </w:r>
      <w:r w:rsidR="00F06302">
        <w:t xml:space="preserve">, Table 4.20, p130, Table 4.25, p134 and text of Section 4 </w:t>
      </w:r>
      <w:r w:rsidRPr="0098262F">
        <w:t>of the submission.</w:t>
      </w:r>
      <w:r w:rsidR="009562A8">
        <w:t xml:space="preserve"> ACFDR=Australian Cystic Fibrosis Data Registry; CF= cystic fibrosis</w:t>
      </w:r>
      <w:r w:rsidR="00F06302">
        <w:t>; ELX/TEZ//IVA= elexacaftor/</w:t>
      </w:r>
      <w:r w:rsidR="00C4449A">
        <w:t>tezacaftor</w:t>
      </w:r>
      <w:r w:rsidR="00F06302">
        <w:t xml:space="preserve"> /ivacaftor; IVA=ivacaftor</w:t>
      </w:r>
    </w:p>
    <w:p w14:paraId="35E7E5B7" w14:textId="7A0B4C5D" w:rsidR="009562A8" w:rsidRDefault="009562A8" w:rsidP="009562A8">
      <w:pPr>
        <w:pStyle w:val="3-BodyText"/>
        <w:rPr>
          <w:i/>
          <w:iCs/>
        </w:rPr>
      </w:pPr>
      <w:r>
        <w:t xml:space="preserve">The </w:t>
      </w:r>
      <w:r w:rsidR="00E57692">
        <w:t>submission</w:t>
      </w:r>
      <w:r>
        <w:t xml:space="preserve"> estimated the number of patients eligible for ELX/TEZ/IVA by age and m</w:t>
      </w:r>
      <w:r w:rsidR="00E57692">
        <w:t>u</w:t>
      </w:r>
      <w:r>
        <w:t>tations, as show</w:t>
      </w:r>
      <w:r w:rsidR="00E57692">
        <w:t>n</w:t>
      </w:r>
      <w:r>
        <w:t xml:space="preserve"> in</w:t>
      </w:r>
      <w:r w:rsidR="003172F5">
        <w:t xml:space="preserve"> </w:t>
      </w:r>
      <w:r w:rsidR="003C51AF">
        <w:fldChar w:fldCharType="begin"/>
      </w:r>
      <w:r w:rsidR="003C51AF">
        <w:instrText xml:space="preserve"> REF _Ref184980919 \h </w:instrText>
      </w:r>
      <w:r w:rsidR="003C51AF">
        <w:fldChar w:fldCharType="separate"/>
      </w:r>
      <w:r w:rsidR="00343156">
        <w:t xml:space="preserve">Table </w:t>
      </w:r>
      <w:r w:rsidR="00343156">
        <w:rPr>
          <w:noProof/>
        </w:rPr>
        <w:t>12</w:t>
      </w:r>
      <w:r w:rsidR="003C51AF">
        <w:fldChar w:fldCharType="end"/>
      </w:r>
      <w:r w:rsidR="003C51AF">
        <w:t xml:space="preserve">. </w:t>
      </w:r>
    </w:p>
    <w:p w14:paraId="6B28DDD2" w14:textId="77777777" w:rsidR="004F793F" w:rsidRPr="00F75BA5" w:rsidRDefault="004F793F" w:rsidP="004D39E9">
      <w:pPr>
        <w:pStyle w:val="TableFigureHeading"/>
      </w:pPr>
    </w:p>
    <w:p w14:paraId="0365E879" w14:textId="64466C3F" w:rsidR="009562A8" w:rsidRDefault="004D39E9" w:rsidP="004D39E9">
      <w:pPr>
        <w:pStyle w:val="TableFigureHeading"/>
      </w:pPr>
      <w:bookmarkStart w:id="65" w:name="_Ref184980919"/>
      <w:r>
        <w:t xml:space="preserve">Table </w:t>
      </w:r>
      <w:r w:rsidR="00345E49">
        <w:fldChar w:fldCharType="begin"/>
      </w:r>
      <w:r w:rsidR="00345E49">
        <w:instrText xml:space="preserve"> SEQ Table \* ARABIC </w:instrText>
      </w:r>
      <w:r w:rsidR="00345E49">
        <w:fldChar w:fldCharType="separate"/>
      </w:r>
      <w:r w:rsidR="00343156">
        <w:rPr>
          <w:noProof/>
        </w:rPr>
        <w:t>12</w:t>
      </w:r>
      <w:r w:rsidR="00345E49">
        <w:rPr>
          <w:noProof/>
        </w:rPr>
        <w:fldChar w:fldCharType="end"/>
      </w:r>
      <w:bookmarkEnd w:id="65"/>
      <w:r>
        <w:t xml:space="preserve">: </w:t>
      </w:r>
      <w:r w:rsidR="009562A8">
        <w:t>Breakdown of non-</w:t>
      </w:r>
      <w:r w:rsidR="009562A8" w:rsidRPr="00B44B71">
        <w:t>F508del</w:t>
      </w:r>
      <w:r w:rsidR="009562A8">
        <w:t xml:space="preserve"> 202</w:t>
      </w:r>
      <w:r w:rsidR="0015607B">
        <w:t>3</w:t>
      </w:r>
      <w:r w:rsidR="009562A8">
        <w:t xml:space="preserve"> prevalent population eligible for ELX/TEZ/IVA by age and mutation, n (% of age total)</w:t>
      </w:r>
    </w:p>
    <w:tbl>
      <w:tblPr>
        <w:tblStyle w:val="HTATableshaded"/>
        <w:tblW w:w="5000" w:type="pct"/>
        <w:tblLayout w:type="fixed"/>
        <w:tblCellMar>
          <w:left w:w="57" w:type="dxa"/>
          <w:right w:w="57" w:type="dxa"/>
        </w:tblCellMar>
        <w:tblLook w:val="04A0" w:firstRow="1" w:lastRow="0" w:firstColumn="1" w:lastColumn="0" w:noHBand="0" w:noVBand="1"/>
      </w:tblPr>
      <w:tblGrid>
        <w:gridCol w:w="809"/>
        <w:gridCol w:w="919"/>
        <w:gridCol w:w="920"/>
        <w:gridCol w:w="920"/>
        <w:gridCol w:w="920"/>
        <w:gridCol w:w="920"/>
        <w:gridCol w:w="920"/>
        <w:gridCol w:w="920"/>
        <w:gridCol w:w="920"/>
        <w:gridCol w:w="849"/>
      </w:tblGrid>
      <w:tr w:rsidR="009562A8" w:rsidRPr="00F603F1" w14:paraId="6481F7D5" w14:textId="77777777" w:rsidTr="00E57692">
        <w:trPr>
          <w:cnfStyle w:val="100000000000" w:firstRow="1" w:lastRow="0" w:firstColumn="0" w:lastColumn="0" w:oddVBand="0" w:evenVBand="0" w:oddHBand="0" w:evenHBand="0" w:firstRowFirstColumn="0" w:firstRowLastColumn="0" w:lastRowFirstColumn="0" w:lastRowLastColumn="0"/>
          <w:trHeight w:val="256"/>
        </w:trPr>
        <w:tc>
          <w:tcPr>
            <w:tcW w:w="449" w:type="pct"/>
            <w:vMerge w:val="restart"/>
            <w:shd w:val="clear" w:color="auto" w:fill="auto"/>
          </w:tcPr>
          <w:p w14:paraId="779429B8" w14:textId="77777777" w:rsidR="009562A8" w:rsidRPr="004D39E9" w:rsidRDefault="009562A8" w:rsidP="00F034D5">
            <w:pPr>
              <w:pStyle w:val="In-tableHeading"/>
              <w:rPr>
                <w:bCs/>
                <w:sz w:val="20"/>
                <w:szCs w:val="20"/>
              </w:rPr>
            </w:pPr>
            <w:r w:rsidRPr="004D39E9">
              <w:rPr>
                <w:bCs/>
                <w:sz w:val="20"/>
                <w:szCs w:val="20"/>
              </w:rPr>
              <w:t>Age group</w:t>
            </w:r>
          </w:p>
          <w:p w14:paraId="0A1167CA" w14:textId="77777777" w:rsidR="009562A8" w:rsidRPr="00F034D5" w:rsidRDefault="009562A8" w:rsidP="00F034D5">
            <w:pPr>
              <w:pStyle w:val="In-tableHeading"/>
            </w:pPr>
          </w:p>
        </w:tc>
        <w:tc>
          <w:tcPr>
            <w:tcW w:w="4079" w:type="pct"/>
            <w:gridSpan w:val="8"/>
            <w:shd w:val="clear" w:color="auto" w:fill="auto"/>
            <w:noWrap/>
            <w:hideMark/>
          </w:tcPr>
          <w:p w14:paraId="58C77218" w14:textId="77777777" w:rsidR="009562A8" w:rsidRPr="004D39E9" w:rsidRDefault="009562A8" w:rsidP="004D39E9">
            <w:pPr>
              <w:pStyle w:val="In-tableHeading"/>
              <w:jc w:val="center"/>
              <w:rPr>
                <w:bCs/>
                <w:sz w:val="20"/>
                <w:szCs w:val="20"/>
              </w:rPr>
            </w:pPr>
            <w:r w:rsidRPr="004D39E9">
              <w:rPr>
                <w:bCs/>
                <w:sz w:val="20"/>
                <w:szCs w:val="20"/>
              </w:rPr>
              <w:t>non-F508del</w:t>
            </w:r>
          </w:p>
        </w:tc>
        <w:tc>
          <w:tcPr>
            <w:tcW w:w="472" w:type="pct"/>
            <w:vMerge w:val="restart"/>
            <w:shd w:val="clear" w:color="auto" w:fill="auto"/>
          </w:tcPr>
          <w:p w14:paraId="7670E805" w14:textId="067CD503" w:rsidR="009562A8" w:rsidRPr="004D39E9" w:rsidRDefault="009562A8" w:rsidP="00F034D5">
            <w:pPr>
              <w:pStyle w:val="In-tableHeading"/>
              <w:rPr>
                <w:b w:val="0"/>
                <w:sz w:val="20"/>
                <w:szCs w:val="20"/>
              </w:rPr>
            </w:pPr>
            <w:r w:rsidRPr="004D39E9">
              <w:rPr>
                <w:b w:val="0"/>
                <w:sz w:val="20"/>
                <w:szCs w:val="20"/>
              </w:rPr>
              <w:t>A</w:t>
            </w:r>
            <w:r w:rsidRPr="004D39E9">
              <w:rPr>
                <w:bCs/>
                <w:sz w:val="20"/>
                <w:szCs w:val="20"/>
              </w:rPr>
              <w:t xml:space="preserve">ll eligible for </w:t>
            </w:r>
            <w:r w:rsidR="00E57692" w:rsidRPr="004D39E9">
              <w:rPr>
                <w:bCs/>
                <w:sz w:val="20"/>
                <w:szCs w:val="20"/>
              </w:rPr>
              <w:t>E/T/I</w:t>
            </w:r>
            <w:r w:rsidRPr="004D39E9">
              <w:rPr>
                <w:bCs/>
                <w:sz w:val="20"/>
                <w:szCs w:val="20"/>
              </w:rPr>
              <w:t>(non-F)</w:t>
            </w:r>
          </w:p>
        </w:tc>
      </w:tr>
      <w:tr w:rsidR="009562A8" w:rsidRPr="00F603F1" w14:paraId="6A1BA76B" w14:textId="77777777" w:rsidTr="00E57692">
        <w:trPr>
          <w:trHeight w:val="256"/>
        </w:trPr>
        <w:tc>
          <w:tcPr>
            <w:tcW w:w="449" w:type="pct"/>
            <w:vMerge/>
            <w:shd w:val="clear" w:color="auto" w:fill="auto"/>
          </w:tcPr>
          <w:p w14:paraId="690D957F" w14:textId="77777777" w:rsidR="009562A8" w:rsidRPr="00F603F1" w:rsidRDefault="009562A8" w:rsidP="00B9224E">
            <w:pPr>
              <w:pStyle w:val="TableText"/>
            </w:pPr>
          </w:p>
        </w:tc>
        <w:tc>
          <w:tcPr>
            <w:tcW w:w="510" w:type="pct"/>
            <w:shd w:val="clear" w:color="auto" w:fill="auto"/>
            <w:noWrap/>
            <w:hideMark/>
          </w:tcPr>
          <w:p w14:paraId="492D1149" w14:textId="77777777" w:rsidR="009562A8" w:rsidRPr="004D39E9" w:rsidRDefault="009562A8" w:rsidP="00B9224E">
            <w:pPr>
              <w:pStyle w:val="TableText"/>
              <w:rPr>
                <w:b/>
                <w:bCs w:val="0"/>
              </w:rPr>
            </w:pPr>
            <w:r w:rsidRPr="004D39E9">
              <w:rPr>
                <w:b/>
                <w:bCs w:val="0"/>
              </w:rPr>
              <w:t>Gating</w:t>
            </w:r>
          </w:p>
        </w:tc>
        <w:tc>
          <w:tcPr>
            <w:tcW w:w="510" w:type="pct"/>
            <w:shd w:val="clear" w:color="auto" w:fill="auto"/>
            <w:noWrap/>
            <w:hideMark/>
          </w:tcPr>
          <w:p w14:paraId="60FD09CA" w14:textId="77777777" w:rsidR="009562A8" w:rsidRPr="004D39E9" w:rsidRDefault="009562A8" w:rsidP="00B9224E">
            <w:pPr>
              <w:pStyle w:val="TableText"/>
              <w:rPr>
                <w:b/>
                <w:bCs w:val="0"/>
              </w:rPr>
            </w:pPr>
            <w:r w:rsidRPr="004D39E9">
              <w:rPr>
                <w:b/>
                <w:bCs w:val="0"/>
              </w:rPr>
              <w:t>R117H</w:t>
            </w:r>
          </w:p>
        </w:tc>
        <w:tc>
          <w:tcPr>
            <w:tcW w:w="510" w:type="pct"/>
            <w:shd w:val="clear" w:color="auto" w:fill="auto"/>
            <w:noWrap/>
            <w:hideMark/>
          </w:tcPr>
          <w:p w14:paraId="666D7647" w14:textId="77777777" w:rsidR="009562A8" w:rsidRPr="004D39E9" w:rsidRDefault="009562A8" w:rsidP="00B9224E">
            <w:pPr>
              <w:pStyle w:val="TableText"/>
              <w:rPr>
                <w:b/>
                <w:bCs w:val="0"/>
              </w:rPr>
            </w:pPr>
            <w:r w:rsidRPr="004D39E9">
              <w:rPr>
                <w:b/>
                <w:bCs w:val="0"/>
              </w:rPr>
              <w:t>RF mutations x 20</w:t>
            </w:r>
          </w:p>
        </w:tc>
        <w:tc>
          <w:tcPr>
            <w:tcW w:w="510" w:type="pct"/>
            <w:shd w:val="clear" w:color="auto" w:fill="auto"/>
            <w:noWrap/>
            <w:hideMark/>
          </w:tcPr>
          <w:p w14:paraId="105F7137" w14:textId="77777777" w:rsidR="009562A8" w:rsidRPr="004D39E9" w:rsidRDefault="009562A8" w:rsidP="00B9224E">
            <w:pPr>
              <w:pStyle w:val="TableText"/>
              <w:rPr>
                <w:b/>
                <w:bCs w:val="0"/>
              </w:rPr>
            </w:pPr>
            <w:r w:rsidRPr="004D39E9">
              <w:rPr>
                <w:b/>
                <w:bCs w:val="0"/>
              </w:rPr>
              <w:t>IVA responsive in vitro</w:t>
            </w:r>
          </w:p>
        </w:tc>
        <w:tc>
          <w:tcPr>
            <w:tcW w:w="510" w:type="pct"/>
            <w:shd w:val="clear" w:color="auto" w:fill="E1EBF7" w:themeFill="text2" w:themeFillTint="1A"/>
            <w:noWrap/>
            <w:hideMark/>
          </w:tcPr>
          <w:p w14:paraId="38870247" w14:textId="77777777" w:rsidR="009562A8" w:rsidRPr="004D39E9" w:rsidRDefault="009562A8" w:rsidP="00B9224E">
            <w:pPr>
              <w:pStyle w:val="TableText"/>
              <w:rPr>
                <w:b/>
                <w:bCs w:val="0"/>
              </w:rPr>
            </w:pPr>
            <w:r w:rsidRPr="004D39E9">
              <w:rPr>
                <w:b/>
                <w:bCs w:val="0"/>
              </w:rPr>
              <w:t>N1303K</w:t>
            </w:r>
          </w:p>
        </w:tc>
        <w:tc>
          <w:tcPr>
            <w:tcW w:w="510" w:type="pct"/>
            <w:shd w:val="clear" w:color="auto" w:fill="E1EBF7" w:themeFill="text2" w:themeFillTint="1A"/>
            <w:noWrap/>
            <w:hideMark/>
          </w:tcPr>
          <w:p w14:paraId="2E6F3995" w14:textId="7D704D83" w:rsidR="009562A8" w:rsidRPr="004D39E9" w:rsidRDefault="00E57692" w:rsidP="00B9224E">
            <w:pPr>
              <w:pStyle w:val="TableText"/>
              <w:rPr>
                <w:b/>
                <w:bCs w:val="0"/>
              </w:rPr>
            </w:pPr>
            <w:r w:rsidRPr="004D39E9">
              <w:rPr>
                <w:b/>
                <w:bCs w:val="0"/>
              </w:rPr>
              <w:t>E/T/I</w:t>
            </w:r>
            <w:r w:rsidR="009562A8" w:rsidRPr="004D39E9">
              <w:rPr>
                <w:b/>
                <w:bCs w:val="0"/>
              </w:rPr>
              <w:t xml:space="preserve"> responsive mutations </w:t>
            </w:r>
          </w:p>
        </w:tc>
        <w:tc>
          <w:tcPr>
            <w:tcW w:w="510" w:type="pct"/>
            <w:shd w:val="clear" w:color="auto" w:fill="E1EBF7" w:themeFill="text2" w:themeFillTint="1A"/>
          </w:tcPr>
          <w:p w14:paraId="7C00D028" w14:textId="77777777" w:rsidR="009562A8" w:rsidRPr="004D39E9" w:rsidRDefault="009562A8" w:rsidP="00B9224E">
            <w:pPr>
              <w:pStyle w:val="TableText"/>
              <w:rPr>
                <w:b/>
                <w:bCs w:val="0"/>
              </w:rPr>
            </w:pPr>
            <w:r w:rsidRPr="004D39E9">
              <w:rPr>
                <w:b/>
                <w:bCs w:val="0"/>
              </w:rPr>
              <w:t>RF (non-canonical splice mutations x 5)</w:t>
            </w:r>
          </w:p>
        </w:tc>
        <w:tc>
          <w:tcPr>
            <w:tcW w:w="510" w:type="pct"/>
            <w:shd w:val="clear" w:color="auto" w:fill="E1EBF7" w:themeFill="text2" w:themeFillTint="1A"/>
          </w:tcPr>
          <w:p w14:paraId="463E963A" w14:textId="77777777" w:rsidR="009562A8" w:rsidRPr="004D39E9" w:rsidRDefault="009562A8" w:rsidP="00B9224E">
            <w:pPr>
              <w:pStyle w:val="TableText"/>
              <w:rPr>
                <w:b/>
                <w:bCs w:val="0"/>
              </w:rPr>
            </w:pPr>
            <w:r w:rsidRPr="004D39E9">
              <w:rPr>
                <w:b/>
                <w:bCs w:val="0"/>
              </w:rPr>
              <w:t>Non-canonical splice mutations x 14</w:t>
            </w:r>
          </w:p>
        </w:tc>
        <w:tc>
          <w:tcPr>
            <w:tcW w:w="472" w:type="pct"/>
            <w:vMerge/>
            <w:shd w:val="clear" w:color="auto" w:fill="auto"/>
          </w:tcPr>
          <w:p w14:paraId="6A16071C" w14:textId="77777777" w:rsidR="009562A8" w:rsidRPr="007F22BE" w:rsidRDefault="009562A8" w:rsidP="00B9224E">
            <w:pPr>
              <w:pStyle w:val="TableText"/>
            </w:pPr>
          </w:p>
        </w:tc>
      </w:tr>
      <w:tr w:rsidR="009562A8" w:rsidRPr="00F603F1" w14:paraId="4BDE0044" w14:textId="77777777" w:rsidTr="00A14777">
        <w:trPr>
          <w:trHeight w:val="256"/>
        </w:trPr>
        <w:tc>
          <w:tcPr>
            <w:tcW w:w="449" w:type="pct"/>
          </w:tcPr>
          <w:p w14:paraId="41F2A371" w14:textId="77777777" w:rsidR="009562A8" w:rsidRPr="00F603F1" w:rsidRDefault="009562A8" w:rsidP="00B9224E">
            <w:pPr>
              <w:pStyle w:val="TableText"/>
            </w:pPr>
            <w:r w:rsidRPr="00D70EF5">
              <w:t>2 &lt;6 yrs</w:t>
            </w:r>
          </w:p>
        </w:tc>
        <w:tc>
          <w:tcPr>
            <w:tcW w:w="510" w:type="pct"/>
            <w:noWrap/>
            <w:hideMark/>
          </w:tcPr>
          <w:p w14:paraId="1474EB4A" w14:textId="77777777" w:rsidR="009562A8" w:rsidRPr="00F603F1" w:rsidRDefault="009562A8" w:rsidP="00B9224E">
            <w:pPr>
              <w:pStyle w:val="TableText"/>
            </w:pPr>
            <w:r w:rsidRPr="00ED6F26">
              <w:t>7 (2.2%)</w:t>
            </w:r>
          </w:p>
        </w:tc>
        <w:tc>
          <w:tcPr>
            <w:tcW w:w="510" w:type="pct"/>
            <w:noWrap/>
            <w:hideMark/>
          </w:tcPr>
          <w:p w14:paraId="64732310" w14:textId="77777777" w:rsidR="009562A8" w:rsidRPr="00F603F1" w:rsidRDefault="009562A8" w:rsidP="00B9224E">
            <w:pPr>
              <w:pStyle w:val="TableText"/>
            </w:pPr>
            <w:r w:rsidRPr="00ED6F26">
              <w:t>2 (0.6%)</w:t>
            </w:r>
          </w:p>
        </w:tc>
        <w:tc>
          <w:tcPr>
            <w:tcW w:w="510" w:type="pct"/>
            <w:noWrap/>
            <w:hideMark/>
          </w:tcPr>
          <w:p w14:paraId="30150AF5" w14:textId="77777777" w:rsidR="009562A8" w:rsidRPr="00F603F1" w:rsidRDefault="009562A8" w:rsidP="00B9224E">
            <w:pPr>
              <w:pStyle w:val="TableText"/>
            </w:pPr>
            <w:r w:rsidRPr="00ED6F26">
              <w:t>3 (0.9%)</w:t>
            </w:r>
          </w:p>
        </w:tc>
        <w:tc>
          <w:tcPr>
            <w:tcW w:w="510" w:type="pct"/>
            <w:noWrap/>
            <w:hideMark/>
          </w:tcPr>
          <w:p w14:paraId="3252334B" w14:textId="77777777" w:rsidR="009562A8" w:rsidRPr="00F603F1" w:rsidRDefault="009562A8" w:rsidP="00B9224E">
            <w:pPr>
              <w:pStyle w:val="TableText"/>
            </w:pPr>
            <w:r w:rsidRPr="00ED6F26">
              <w:t>1 (0.3%)</w:t>
            </w:r>
          </w:p>
        </w:tc>
        <w:tc>
          <w:tcPr>
            <w:tcW w:w="510" w:type="pct"/>
            <w:shd w:val="clear" w:color="auto" w:fill="E1EBF7" w:themeFill="text2" w:themeFillTint="1A"/>
            <w:noWrap/>
            <w:hideMark/>
          </w:tcPr>
          <w:p w14:paraId="1686995E" w14:textId="77777777" w:rsidR="009562A8" w:rsidRPr="00F603F1" w:rsidRDefault="009562A8" w:rsidP="00B9224E">
            <w:pPr>
              <w:pStyle w:val="TableText"/>
            </w:pPr>
            <w:r w:rsidRPr="00ED6F26">
              <w:t>2 (0.6%)</w:t>
            </w:r>
          </w:p>
        </w:tc>
        <w:tc>
          <w:tcPr>
            <w:tcW w:w="510" w:type="pct"/>
            <w:shd w:val="clear" w:color="auto" w:fill="E1EBF7" w:themeFill="text2" w:themeFillTint="1A"/>
            <w:noWrap/>
            <w:hideMark/>
          </w:tcPr>
          <w:p w14:paraId="44B66BD0" w14:textId="77777777" w:rsidR="009562A8" w:rsidRPr="00F603F1" w:rsidRDefault="009562A8" w:rsidP="00B9224E">
            <w:pPr>
              <w:pStyle w:val="TableText"/>
            </w:pPr>
            <w:r w:rsidRPr="00ED6F26">
              <w:t>1 (0.3%)</w:t>
            </w:r>
          </w:p>
        </w:tc>
        <w:tc>
          <w:tcPr>
            <w:tcW w:w="510" w:type="pct"/>
            <w:shd w:val="clear" w:color="auto" w:fill="E1EBF7" w:themeFill="text2" w:themeFillTint="1A"/>
          </w:tcPr>
          <w:p w14:paraId="2552DB0A" w14:textId="77777777" w:rsidR="009562A8" w:rsidRPr="00F603F1" w:rsidRDefault="009562A8" w:rsidP="00B9224E">
            <w:pPr>
              <w:pStyle w:val="TableText"/>
            </w:pPr>
            <w:r w:rsidRPr="00ED6F26">
              <w:t>1 (0.3%)</w:t>
            </w:r>
          </w:p>
        </w:tc>
        <w:tc>
          <w:tcPr>
            <w:tcW w:w="510" w:type="pct"/>
            <w:shd w:val="clear" w:color="auto" w:fill="E1EBF7" w:themeFill="text2" w:themeFillTint="1A"/>
          </w:tcPr>
          <w:p w14:paraId="76A9C541" w14:textId="77777777" w:rsidR="009562A8" w:rsidRPr="008A5CA3" w:rsidRDefault="009562A8" w:rsidP="00B9224E">
            <w:pPr>
              <w:pStyle w:val="TableText"/>
            </w:pPr>
            <w:r w:rsidRPr="00ED6F26">
              <w:t>2 (0.6%)</w:t>
            </w:r>
          </w:p>
        </w:tc>
        <w:tc>
          <w:tcPr>
            <w:tcW w:w="472" w:type="pct"/>
          </w:tcPr>
          <w:p w14:paraId="6A013869" w14:textId="77777777" w:rsidR="009562A8" w:rsidRPr="007F22BE" w:rsidRDefault="009562A8" w:rsidP="00B9224E">
            <w:pPr>
              <w:pStyle w:val="TableText"/>
            </w:pPr>
            <w:r w:rsidRPr="00ED6F26">
              <w:t>19 (5.9%)</w:t>
            </w:r>
          </w:p>
        </w:tc>
      </w:tr>
      <w:tr w:rsidR="009562A8" w:rsidRPr="00F603F1" w14:paraId="63051813" w14:textId="77777777" w:rsidTr="00A14777">
        <w:trPr>
          <w:trHeight w:val="256"/>
        </w:trPr>
        <w:tc>
          <w:tcPr>
            <w:tcW w:w="449" w:type="pct"/>
          </w:tcPr>
          <w:p w14:paraId="1EBD0EAA" w14:textId="77777777" w:rsidR="009562A8" w:rsidRPr="00F603F1" w:rsidRDefault="009562A8" w:rsidP="00B9224E">
            <w:pPr>
              <w:pStyle w:val="TableText"/>
            </w:pPr>
            <w:r w:rsidRPr="00D70EF5">
              <w:t>6 &lt;12 yrs</w:t>
            </w:r>
          </w:p>
        </w:tc>
        <w:tc>
          <w:tcPr>
            <w:tcW w:w="510" w:type="pct"/>
            <w:noWrap/>
            <w:hideMark/>
          </w:tcPr>
          <w:p w14:paraId="55E8610E" w14:textId="77777777" w:rsidR="009562A8" w:rsidRPr="00F603F1" w:rsidRDefault="009562A8" w:rsidP="00B9224E">
            <w:pPr>
              <w:pStyle w:val="TableText"/>
            </w:pPr>
            <w:r w:rsidRPr="00ED6F26">
              <w:t>6 (1.2%)</w:t>
            </w:r>
          </w:p>
        </w:tc>
        <w:tc>
          <w:tcPr>
            <w:tcW w:w="510" w:type="pct"/>
            <w:noWrap/>
            <w:hideMark/>
          </w:tcPr>
          <w:p w14:paraId="4EE032FF" w14:textId="77777777" w:rsidR="009562A8" w:rsidRPr="00F603F1" w:rsidRDefault="009562A8" w:rsidP="00B9224E">
            <w:pPr>
              <w:pStyle w:val="TableText"/>
            </w:pPr>
            <w:r w:rsidRPr="00ED6F26">
              <w:t>8 (1.6%)</w:t>
            </w:r>
          </w:p>
        </w:tc>
        <w:tc>
          <w:tcPr>
            <w:tcW w:w="510" w:type="pct"/>
            <w:noWrap/>
            <w:hideMark/>
          </w:tcPr>
          <w:p w14:paraId="0A114379" w14:textId="77777777" w:rsidR="009562A8" w:rsidRPr="00F603F1" w:rsidRDefault="009562A8" w:rsidP="00B9224E">
            <w:pPr>
              <w:pStyle w:val="TableText"/>
            </w:pPr>
            <w:r w:rsidRPr="00ED6F26">
              <w:t>5 (1.0%)</w:t>
            </w:r>
          </w:p>
        </w:tc>
        <w:tc>
          <w:tcPr>
            <w:tcW w:w="510" w:type="pct"/>
            <w:noWrap/>
            <w:hideMark/>
          </w:tcPr>
          <w:p w14:paraId="53561C79" w14:textId="77777777" w:rsidR="009562A8" w:rsidRPr="00F603F1" w:rsidRDefault="009562A8" w:rsidP="00B9224E">
            <w:pPr>
              <w:pStyle w:val="TableText"/>
            </w:pPr>
            <w:r w:rsidRPr="00ED6F26">
              <w:t>0 (0.0%)</w:t>
            </w:r>
          </w:p>
        </w:tc>
        <w:tc>
          <w:tcPr>
            <w:tcW w:w="510" w:type="pct"/>
            <w:shd w:val="clear" w:color="auto" w:fill="E1EBF7" w:themeFill="text2" w:themeFillTint="1A"/>
            <w:noWrap/>
            <w:hideMark/>
          </w:tcPr>
          <w:p w14:paraId="298F2B8B" w14:textId="77777777" w:rsidR="009562A8" w:rsidRPr="00F603F1" w:rsidRDefault="009562A8" w:rsidP="00B9224E">
            <w:pPr>
              <w:pStyle w:val="TableText"/>
            </w:pPr>
            <w:r w:rsidRPr="00ED6F26">
              <w:t>0 (0.0%)</w:t>
            </w:r>
          </w:p>
        </w:tc>
        <w:tc>
          <w:tcPr>
            <w:tcW w:w="510" w:type="pct"/>
            <w:shd w:val="clear" w:color="auto" w:fill="E1EBF7" w:themeFill="text2" w:themeFillTint="1A"/>
            <w:noWrap/>
            <w:hideMark/>
          </w:tcPr>
          <w:p w14:paraId="74864850" w14:textId="77777777" w:rsidR="009562A8" w:rsidRPr="00F603F1" w:rsidRDefault="009562A8" w:rsidP="00B9224E">
            <w:pPr>
              <w:pStyle w:val="TableText"/>
            </w:pPr>
            <w:r w:rsidRPr="00ED6F26">
              <w:t>1 (0.2%)</w:t>
            </w:r>
          </w:p>
        </w:tc>
        <w:tc>
          <w:tcPr>
            <w:tcW w:w="510" w:type="pct"/>
            <w:shd w:val="clear" w:color="auto" w:fill="E1EBF7" w:themeFill="text2" w:themeFillTint="1A"/>
          </w:tcPr>
          <w:p w14:paraId="5E911694" w14:textId="77777777" w:rsidR="009562A8" w:rsidRPr="00F603F1" w:rsidRDefault="009562A8" w:rsidP="00B9224E">
            <w:pPr>
              <w:pStyle w:val="TableText"/>
            </w:pPr>
            <w:r w:rsidRPr="00ED6F26">
              <w:t>0 (0.0%)</w:t>
            </w:r>
          </w:p>
        </w:tc>
        <w:tc>
          <w:tcPr>
            <w:tcW w:w="510" w:type="pct"/>
            <w:shd w:val="clear" w:color="auto" w:fill="E1EBF7" w:themeFill="text2" w:themeFillTint="1A"/>
          </w:tcPr>
          <w:p w14:paraId="7F1C0CCB" w14:textId="77777777" w:rsidR="009562A8" w:rsidRPr="008A5CA3" w:rsidRDefault="009562A8" w:rsidP="00B9224E">
            <w:pPr>
              <w:pStyle w:val="TableText"/>
            </w:pPr>
            <w:r w:rsidRPr="00ED6F26">
              <w:t>1 (0.2%)</w:t>
            </w:r>
          </w:p>
        </w:tc>
        <w:tc>
          <w:tcPr>
            <w:tcW w:w="472" w:type="pct"/>
          </w:tcPr>
          <w:p w14:paraId="7223D090" w14:textId="77777777" w:rsidR="009562A8" w:rsidRPr="007F22BE" w:rsidRDefault="009562A8" w:rsidP="00B9224E">
            <w:pPr>
              <w:pStyle w:val="TableText"/>
            </w:pPr>
            <w:r w:rsidRPr="00ED6F26">
              <w:t>21 (4.1%)</w:t>
            </w:r>
          </w:p>
        </w:tc>
      </w:tr>
      <w:tr w:rsidR="009562A8" w:rsidRPr="00F603F1" w14:paraId="125C07AE" w14:textId="77777777" w:rsidTr="00A14777">
        <w:trPr>
          <w:trHeight w:val="256"/>
        </w:trPr>
        <w:tc>
          <w:tcPr>
            <w:tcW w:w="449" w:type="pct"/>
          </w:tcPr>
          <w:p w14:paraId="5579832B" w14:textId="77777777" w:rsidR="009562A8" w:rsidRPr="00F603F1" w:rsidRDefault="009562A8" w:rsidP="00B9224E">
            <w:pPr>
              <w:pStyle w:val="TableText"/>
            </w:pPr>
            <w:r w:rsidRPr="00D70EF5">
              <w:t>12+</w:t>
            </w:r>
          </w:p>
        </w:tc>
        <w:tc>
          <w:tcPr>
            <w:tcW w:w="510" w:type="pct"/>
            <w:noWrap/>
            <w:hideMark/>
          </w:tcPr>
          <w:p w14:paraId="31A9E289" w14:textId="77777777" w:rsidR="009562A8" w:rsidRPr="00F603F1" w:rsidRDefault="009562A8" w:rsidP="00B9224E">
            <w:pPr>
              <w:pStyle w:val="TableText"/>
            </w:pPr>
            <w:r w:rsidRPr="00ED6F26">
              <w:t>63 (2.2%)</w:t>
            </w:r>
          </w:p>
        </w:tc>
        <w:tc>
          <w:tcPr>
            <w:tcW w:w="510" w:type="pct"/>
            <w:noWrap/>
            <w:hideMark/>
          </w:tcPr>
          <w:p w14:paraId="5D647A69" w14:textId="77777777" w:rsidR="009562A8" w:rsidRPr="00F603F1" w:rsidRDefault="009562A8" w:rsidP="00B9224E">
            <w:pPr>
              <w:pStyle w:val="TableText"/>
            </w:pPr>
            <w:r w:rsidRPr="00ED6F26">
              <w:t>26 (0.9%)</w:t>
            </w:r>
          </w:p>
        </w:tc>
        <w:tc>
          <w:tcPr>
            <w:tcW w:w="510" w:type="pct"/>
            <w:noWrap/>
            <w:hideMark/>
          </w:tcPr>
          <w:p w14:paraId="72B8E369" w14:textId="77777777" w:rsidR="009562A8" w:rsidRPr="00F603F1" w:rsidRDefault="009562A8" w:rsidP="00B9224E">
            <w:pPr>
              <w:pStyle w:val="TableText"/>
            </w:pPr>
            <w:r w:rsidRPr="00ED6F26">
              <w:t>28 (1.0%)</w:t>
            </w:r>
          </w:p>
        </w:tc>
        <w:tc>
          <w:tcPr>
            <w:tcW w:w="510" w:type="pct"/>
            <w:noWrap/>
            <w:hideMark/>
          </w:tcPr>
          <w:p w14:paraId="39F9281C" w14:textId="77777777" w:rsidR="009562A8" w:rsidRPr="00F603F1" w:rsidRDefault="009562A8" w:rsidP="00B9224E">
            <w:pPr>
              <w:pStyle w:val="TableText"/>
            </w:pPr>
            <w:r w:rsidRPr="00ED6F26">
              <w:t>10 (0.4%)</w:t>
            </w:r>
          </w:p>
        </w:tc>
        <w:tc>
          <w:tcPr>
            <w:tcW w:w="510" w:type="pct"/>
            <w:shd w:val="clear" w:color="auto" w:fill="E1EBF7" w:themeFill="text2" w:themeFillTint="1A"/>
            <w:noWrap/>
            <w:hideMark/>
          </w:tcPr>
          <w:p w14:paraId="2684827B" w14:textId="77777777" w:rsidR="009562A8" w:rsidRPr="00F603F1" w:rsidRDefault="009562A8" w:rsidP="00B9224E">
            <w:pPr>
              <w:pStyle w:val="TableText"/>
            </w:pPr>
            <w:r w:rsidRPr="00ED6F26">
              <w:t>15 (0.5%)</w:t>
            </w:r>
          </w:p>
        </w:tc>
        <w:tc>
          <w:tcPr>
            <w:tcW w:w="510" w:type="pct"/>
            <w:shd w:val="clear" w:color="auto" w:fill="E1EBF7" w:themeFill="text2" w:themeFillTint="1A"/>
            <w:noWrap/>
            <w:hideMark/>
          </w:tcPr>
          <w:p w14:paraId="448E6706" w14:textId="77777777" w:rsidR="009562A8" w:rsidRPr="00F603F1" w:rsidRDefault="009562A8" w:rsidP="00B9224E">
            <w:pPr>
              <w:pStyle w:val="TableText"/>
            </w:pPr>
            <w:r w:rsidRPr="00ED6F26">
              <w:t>8 (0.3%)</w:t>
            </w:r>
          </w:p>
        </w:tc>
        <w:tc>
          <w:tcPr>
            <w:tcW w:w="510" w:type="pct"/>
          </w:tcPr>
          <w:p w14:paraId="26132FD1" w14:textId="77777777" w:rsidR="009562A8" w:rsidRPr="00F603F1" w:rsidRDefault="009562A8" w:rsidP="00B9224E">
            <w:pPr>
              <w:pStyle w:val="TableText"/>
            </w:pPr>
            <w:r w:rsidRPr="00ED6F26">
              <w:t>1 (0.0%)</w:t>
            </w:r>
          </w:p>
        </w:tc>
        <w:tc>
          <w:tcPr>
            <w:tcW w:w="510" w:type="pct"/>
            <w:shd w:val="clear" w:color="auto" w:fill="E1EBF7" w:themeFill="text2" w:themeFillTint="1A"/>
          </w:tcPr>
          <w:p w14:paraId="491E2836" w14:textId="77777777" w:rsidR="009562A8" w:rsidRPr="008A5CA3" w:rsidRDefault="009562A8" w:rsidP="00B9224E">
            <w:pPr>
              <w:pStyle w:val="TableText"/>
            </w:pPr>
            <w:r w:rsidRPr="00ED6F26">
              <w:t>2 (0.1%)</w:t>
            </w:r>
          </w:p>
        </w:tc>
        <w:tc>
          <w:tcPr>
            <w:tcW w:w="472" w:type="pct"/>
          </w:tcPr>
          <w:p w14:paraId="24F97DCE" w14:textId="77777777" w:rsidR="009562A8" w:rsidRPr="007F22BE" w:rsidRDefault="009562A8" w:rsidP="00B9224E">
            <w:pPr>
              <w:pStyle w:val="TableText"/>
            </w:pPr>
            <w:r w:rsidRPr="00ED6F26">
              <w:t>153 (5.4%)</w:t>
            </w:r>
          </w:p>
        </w:tc>
      </w:tr>
      <w:tr w:rsidR="009562A8" w:rsidRPr="00F603F1" w14:paraId="7B8D023E" w14:textId="77777777" w:rsidTr="00A14777">
        <w:trPr>
          <w:trHeight w:val="256"/>
        </w:trPr>
        <w:tc>
          <w:tcPr>
            <w:tcW w:w="449" w:type="pct"/>
          </w:tcPr>
          <w:p w14:paraId="6F9F4865" w14:textId="77777777" w:rsidR="009562A8" w:rsidRPr="00F603F1" w:rsidRDefault="009562A8" w:rsidP="00B9224E">
            <w:pPr>
              <w:pStyle w:val="TableText"/>
            </w:pPr>
            <w:r w:rsidRPr="00D70EF5">
              <w:t>Total</w:t>
            </w:r>
            <w:r>
              <w:t xml:space="preserve"> 2+ yrs</w:t>
            </w:r>
          </w:p>
        </w:tc>
        <w:tc>
          <w:tcPr>
            <w:tcW w:w="510" w:type="pct"/>
            <w:noWrap/>
            <w:hideMark/>
          </w:tcPr>
          <w:p w14:paraId="4CA92EA5" w14:textId="77777777" w:rsidR="009562A8" w:rsidRPr="00F603F1" w:rsidRDefault="009562A8" w:rsidP="00B9224E">
            <w:pPr>
              <w:pStyle w:val="TableText"/>
            </w:pPr>
            <w:r w:rsidRPr="00ED6F26">
              <w:t>76 (2.1%)</w:t>
            </w:r>
          </w:p>
        </w:tc>
        <w:tc>
          <w:tcPr>
            <w:tcW w:w="510" w:type="pct"/>
            <w:noWrap/>
            <w:hideMark/>
          </w:tcPr>
          <w:p w14:paraId="116F559F" w14:textId="77777777" w:rsidR="009562A8" w:rsidRPr="00F603F1" w:rsidRDefault="009562A8" w:rsidP="00B9224E">
            <w:pPr>
              <w:pStyle w:val="TableText"/>
            </w:pPr>
            <w:r w:rsidRPr="00ED6F26">
              <w:t>36 (1.0%)</w:t>
            </w:r>
          </w:p>
        </w:tc>
        <w:tc>
          <w:tcPr>
            <w:tcW w:w="510" w:type="pct"/>
            <w:noWrap/>
            <w:hideMark/>
          </w:tcPr>
          <w:p w14:paraId="77347AE4" w14:textId="77777777" w:rsidR="009562A8" w:rsidRPr="00F603F1" w:rsidRDefault="009562A8" w:rsidP="00B9224E">
            <w:pPr>
              <w:pStyle w:val="TableText"/>
            </w:pPr>
            <w:r w:rsidRPr="00ED6F26">
              <w:t>36 (1.0%)</w:t>
            </w:r>
          </w:p>
        </w:tc>
        <w:tc>
          <w:tcPr>
            <w:tcW w:w="510" w:type="pct"/>
            <w:noWrap/>
            <w:hideMark/>
          </w:tcPr>
          <w:p w14:paraId="335B7DA2" w14:textId="77777777" w:rsidR="009562A8" w:rsidRPr="00F603F1" w:rsidRDefault="009562A8" w:rsidP="00B9224E">
            <w:pPr>
              <w:pStyle w:val="TableText"/>
            </w:pPr>
            <w:r w:rsidRPr="00ED6F26">
              <w:t>11 (0.3%)</w:t>
            </w:r>
          </w:p>
        </w:tc>
        <w:tc>
          <w:tcPr>
            <w:tcW w:w="510" w:type="pct"/>
            <w:shd w:val="clear" w:color="auto" w:fill="E1EBF7" w:themeFill="text2" w:themeFillTint="1A"/>
            <w:noWrap/>
            <w:hideMark/>
          </w:tcPr>
          <w:p w14:paraId="57EF6C9E" w14:textId="77777777" w:rsidR="009562A8" w:rsidRPr="00F603F1" w:rsidRDefault="009562A8" w:rsidP="00B9224E">
            <w:pPr>
              <w:pStyle w:val="TableText"/>
            </w:pPr>
            <w:r w:rsidRPr="00ED6F26">
              <w:t>17 (0.5%)</w:t>
            </w:r>
          </w:p>
        </w:tc>
        <w:tc>
          <w:tcPr>
            <w:tcW w:w="510" w:type="pct"/>
            <w:shd w:val="clear" w:color="auto" w:fill="E1EBF7" w:themeFill="text2" w:themeFillTint="1A"/>
            <w:noWrap/>
            <w:hideMark/>
          </w:tcPr>
          <w:p w14:paraId="1726CF27" w14:textId="77777777" w:rsidR="009562A8" w:rsidRPr="00F603F1" w:rsidRDefault="009562A8" w:rsidP="00B9224E">
            <w:pPr>
              <w:pStyle w:val="TableText"/>
            </w:pPr>
            <w:r w:rsidRPr="00ED6F26">
              <w:t>10 (0.3%)</w:t>
            </w:r>
          </w:p>
        </w:tc>
        <w:tc>
          <w:tcPr>
            <w:tcW w:w="510" w:type="pct"/>
          </w:tcPr>
          <w:p w14:paraId="46E5D845" w14:textId="77777777" w:rsidR="009562A8" w:rsidRPr="00F603F1" w:rsidRDefault="009562A8" w:rsidP="00B9224E">
            <w:pPr>
              <w:pStyle w:val="TableText"/>
            </w:pPr>
            <w:r w:rsidRPr="00ED6F26">
              <w:t>2 (0.1%)</w:t>
            </w:r>
          </w:p>
        </w:tc>
        <w:tc>
          <w:tcPr>
            <w:tcW w:w="510" w:type="pct"/>
            <w:shd w:val="clear" w:color="auto" w:fill="E1EBF7" w:themeFill="text2" w:themeFillTint="1A"/>
          </w:tcPr>
          <w:p w14:paraId="7AA6A561" w14:textId="77777777" w:rsidR="009562A8" w:rsidRPr="008A5CA3" w:rsidRDefault="009562A8" w:rsidP="00B9224E">
            <w:pPr>
              <w:pStyle w:val="TableText"/>
            </w:pPr>
            <w:r w:rsidRPr="00ED6F26">
              <w:t>5 (0.1%)</w:t>
            </w:r>
          </w:p>
        </w:tc>
        <w:tc>
          <w:tcPr>
            <w:tcW w:w="472" w:type="pct"/>
          </w:tcPr>
          <w:p w14:paraId="66238408" w14:textId="77777777" w:rsidR="009562A8" w:rsidRPr="007F22BE" w:rsidRDefault="009562A8" w:rsidP="00B9224E">
            <w:pPr>
              <w:pStyle w:val="TableText"/>
            </w:pPr>
            <w:r w:rsidRPr="00ED6F26">
              <w:t>193 (5.3%)</w:t>
            </w:r>
          </w:p>
        </w:tc>
      </w:tr>
    </w:tbl>
    <w:p w14:paraId="00C8DABB" w14:textId="33C0795E" w:rsidR="00E57692" w:rsidRPr="00505ED1" w:rsidRDefault="009562A8" w:rsidP="00464596">
      <w:pPr>
        <w:pStyle w:val="TableFigureFooter"/>
        <w:rPr>
          <w:i w:val="0"/>
          <w:iCs w:val="0"/>
        </w:rPr>
      </w:pPr>
      <w:r w:rsidRPr="00505ED1">
        <w:rPr>
          <w:i w:val="0"/>
          <w:iCs w:val="0"/>
        </w:rPr>
        <w:t xml:space="preserve">Source: </w:t>
      </w:r>
      <w:r w:rsidR="00E57692" w:rsidRPr="00505ED1">
        <w:rPr>
          <w:i w:val="0"/>
          <w:iCs w:val="0"/>
        </w:rPr>
        <w:t xml:space="preserve"> Table 4.3, p 121 of the submission.  E/T/I = </w:t>
      </w:r>
      <w:r w:rsidR="00C4449A" w:rsidRPr="00505ED1">
        <w:rPr>
          <w:i w:val="0"/>
          <w:iCs w:val="0"/>
        </w:rPr>
        <w:t>elexacaftor</w:t>
      </w:r>
      <w:r w:rsidR="00E57692" w:rsidRPr="00505ED1">
        <w:rPr>
          <w:i w:val="0"/>
          <w:iCs w:val="0"/>
        </w:rPr>
        <w:t xml:space="preserve">/tezacaftor/ivacaftor; </w:t>
      </w:r>
      <w:r w:rsidRPr="00505ED1">
        <w:rPr>
          <w:i w:val="0"/>
          <w:iCs w:val="0"/>
        </w:rPr>
        <w:t>FRT</w:t>
      </w:r>
      <w:r w:rsidR="00E57692" w:rsidRPr="00505ED1">
        <w:rPr>
          <w:i w:val="0"/>
          <w:iCs w:val="0"/>
        </w:rPr>
        <w:t>=</w:t>
      </w:r>
      <w:r w:rsidRPr="00505ED1">
        <w:rPr>
          <w:i w:val="0"/>
          <w:iCs w:val="0"/>
        </w:rPr>
        <w:t xml:space="preserve"> Fischer Rat Thyroid; IVA</w:t>
      </w:r>
      <w:r w:rsidR="00E57692" w:rsidRPr="00505ED1">
        <w:rPr>
          <w:i w:val="0"/>
          <w:iCs w:val="0"/>
        </w:rPr>
        <w:t>=</w:t>
      </w:r>
      <w:r w:rsidRPr="00505ED1">
        <w:rPr>
          <w:i w:val="0"/>
          <w:iCs w:val="0"/>
        </w:rPr>
        <w:t>ivacaftor; resp</w:t>
      </w:r>
      <w:r w:rsidR="00E57692" w:rsidRPr="00505ED1">
        <w:rPr>
          <w:i w:val="0"/>
          <w:iCs w:val="0"/>
        </w:rPr>
        <w:t xml:space="preserve"> =</w:t>
      </w:r>
      <w:r w:rsidRPr="00505ED1">
        <w:rPr>
          <w:i w:val="0"/>
          <w:iCs w:val="0"/>
        </w:rPr>
        <w:t xml:space="preserve"> responsive; RF</w:t>
      </w:r>
      <w:r w:rsidR="00C4449A" w:rsidRPr="00505ED1">
        <w:rPr>
          <w:i w:val="0"/>
          <w:iCs w:val="0"/>
        </w:rPr>
        <w:t>= residual</w:t>
      </w:r>
      <w:r w:rsidRPr="00505ED1">
        <w:rPr>
          <w:i w:val="0"/>
          <w:iCs w:val="0"/>
        </w:rPr>
        <w:t xml:space="preserve"> function</w:t>
      </w:r>
      <w:r w:rsidR="00E57692" w:rsidRPr="00505ED1">
        <w:rPr>
          <w:i w:val="0"/>
          <w:iCs w:val="0"/>
        </w:rPr>
        <w:t xml:space="preserve">. </w:t>
      </w:r>
    </w:p>
    <w:p w14:paraId="6B9BEE78" w14:textId="24C6FC46" w:rsidR="009562A8" w:rsidRPr="00505ED1" w:rsidRDefault="009562A8" w:rsidP="00464596">
      <w:pPr>
        <w:pStyle w:val="TableFigureFooter"/>
        <w:rPr>
          <w:i w:val="0"/>
          <w:iCs w:val="0"/>
        </w:rPr>
      </w:pPr>
      <w:r w:rsidRPr="00505ED1">
        <w:rPr>
          <w:i w:val="0"/>
          <w:iCs w:val="0"/>
        </w:rPr>
        <w:t>Patients who are currently ineligible for CFTR modulator therapy under existing PBS restrictions are highlighted in blue.</w:t>
      </w:r>
    </w:p>
    <w:p w14:paraId="6511D308" w14:textId="09839E1A" w:rsidR="009562A8" w:rsidRDefault="00426552" w:rsidP="009562A8">
      <w:pPr>
        <w:pStyle w:val="3-BodyText"/>
      </w:pPr>
      <w:r>
        <w:t>As in previous submissions, eligible populations were estimated separately according to three groups: those eligible for treatment under the existing Deeds, who will switch to</w:t>
      </w:r>
      <w:r w:rsidR="00087D6A" w:rsidRPr="00087D6A">
        <w:t xml:space="preserve"> </w:t>
      </w:r>
      <w:r w:rsidR="00087D6A">
        <w:t>ELX/TEZ/IVA</w:t>
      </w:r>
      <w:r>
        <w:t>; those ineligible for use under the existing Deeds</w:t>
      </w:r>
      <w:r w:rsidR="00533596">
        <w:t>,</w:t>
      </w:r>
      <w:r>
        <w:t xml:space="preserve"> and those eligible but currently not on treatment. The populations treated with IVA were considered separately due to the different prices for patients with Gating and non-Gating </w:t>
      </w:r>
      <w:r w:rsidR="00533596">
        <w:t>mutations so there were four different populations in total:</w:t>
      </w:r>
    </w:p>
    <w:p w14:paraId="31E656A9" w14:textId="0D59B570" w:rsidR="00533596" w:rsidRDefault="00533596" w:rsidP="008F6A0C">
      <w:pPr>
        <w:pStyle w:val="3-BodyText"/>
        <w:numPr>
          <w:ilvl w:val="2"/>
          <w:numId w:val="7"/>
        </w:numPr>
        <w:ind w:left="1134"/>
      </w:pPr>
      <w:r>
        <w:t xml:space="preserve">IVA treated patients with IVA responsive </w:t>
      </w:r>
      <w:r w:rsidR="00C972FC">
        <w:t xml:space="preserve">mutation, </w:t>
      </w:r>
      <w:r>
        <w:t xml:space="preserve">excluding </w:t>
      </w:r>
      <w:r w:rsidR="00C972FC">
        <w:t>g</w:t>
      </w:r>
      <w:r>
        <w:t>ating mutations</w:t>
      </w:r>
      <w:r w:rsidR="00BF38AA">
        <w:t xml:space="preserve"> (referred to as ‘non-gating ‘in the tables)</w:t>
      </w:r>
    </w:p>
    <w:p w14:paraId="4571F6F5" w14:textId="3EE7060C" w:rsidR="00533596" w:rsidRDefault="00533596" w:rsidP="008F6A0C">
      <w:pPr>
        <w:pStyle w:val="3-BodyText"/>
        <w:numPr>
          <w:ilvl w:val="2"/>
          <w:numId w:val="7"/>
        </w:numPr>
        <w:ind w:left="1134"/>
      </w:pPr>
      <w:r>
        <w:t>IVA treated patients with gating mutations</w:t>
      </w:r>
      <w:r w:rsidR="00BF38AA">
        <w:t xml:space="preserve"> (referred to as ‘gating’ in the tables)</w:t>
      </w:r>
    </w:p>
    <w:p w14:paraId="0F33CFE7" w14:textId="392FF985" w:rsidR="00533596" w:rsidRDefault="00533596" w:rsidP="008F6A0C">
      <w:pPr>
        <w:pStyle w:val="3-BodyText"/>
        <w:numPr>
          <w:ilvl w:val="2"/>
          <w:numId w:val="7"/>
        </w:numPr>
        <w:ind w:left="1134"/>
      </w:pPr>
      <w:r>
        <w:t>Patients eligible for TEZ/IVA</w:t>
      </w:r>
    </w:p>
    <w:p w14:paraId="42B933ED" w14:textId="5D28177C" w:rsidR="00533596" w:rsidRDefault="00533596" w:rsidP="008F6A0C">
      <w:pPr>
        <w:pStyle w:val="3-BodyText"/>
        <w:numPr>
          <w:ilvl w:val="2"/>
          <w:numId w:val="7"/>
        </w:numPr>
        <w:ind w:left="1134"/>
      </w:pPr>
      <w:r>
        <w:t>Patients not currently eligible</w:t>
      </w:r>
      <w:r w:rsidR="009050E4">
        <w:t>.</w:t>
      </w:r>
    </w:p>
    <w:p w14:paraId="26FB6670" w14:textId="136842DC" w:rsidR="00B505C8" w:rsidRDefault="009050E4" w:rsidP="00A04039">
      <w:pPr>
        <w:pStyle w:val="3-BodyText"/>
      </w:pPr>
      <w:r>
        <w:t xml:space="preserve">Based on the number of patients with the specified mutations and those patients expected to switch from existing treatment, the total number of patients was estimated as shown in </w:t>
      </w:r>
      <w:r w:rsidR="003C51AF">
        <w:fldChar w:fldCharType="begin"/>
      </w:r>
      <w:r w:rsidR="003C51AF">
        <w:instrText xml:space="preserve"> REF _Ref104805295 \h </w:instrText>
      </w:r>
      <w:r w:rsidR="003C51AF">
        <w:fldChar w:fldCharType="separate"/>
      </w:r>
      <w:r w:rsidR="00343156" w:rsidRPr="004D39E9">
        <w:t xml:space="preserve">Table </w:t>
      </w:r>
      <w:r w:rsidR="00343156">
        <w:rPr>
          <w:noProof/>
        </w:rPr>
        <w:t>13</w:t>
      </w:r>
      <w:r w:rsidR="003C51AF">
        <w:fldChar w:fldCharType="end"/>
      </w:r>
      <w:r w:rsidR="001A0424">
        <w:t>5</w:t>
      </w:r>
      <w:r w:rsidR="003C51AF">
        <w:t>.</w:t>
      </w:r>
    </w:p>
    <w:p w14:paraId="577BFAC0" w14:textId="5FDDD321" w:rsidR="00A04039" w:rsidRPr="002B5C84" w:rsidRDefault="00521692" w:rsidP="00A04039">
      <w:pPr>
        <w:pStyle w:val="3-BodyText"/>
      </w:pPr>
      <w:r w:rsidRPr="00A04039">
        <w:rPr>
          <w:i/>
          <w:iCs/>
        </w:rPr>
        <w:t xml:space="preserve"> </w:t>
      </w:r>
      <w:r w:rsidRPr="002B5C84">
        <w:t>It was not clear why patients would switch from existing PBS listed treatment to ELX/TEZ/IVA. Although switch was reported in the observational data, it was not associated with improved outcomes.</w:t>
      </w:r>
      <w:r w:rsidR="00A04039" w:rsidRPr="00A04039">
        <w:t xml:space="preserve"> </w:t>
      </w:r>
      <w:r w:rsidR="00A04039" w:rsidRPr="0021060E">
        <w:t xml:space="preserve">The </w:t>
      </w:r>
      <w:r w:rsidR="00FF052C" w:rsidRPr="0021060E">
        <w:t xml:space="preserve">Pre-Sub-Committee Response </w:t>
      </w:r>
      <w:r w:rsidR="00A04039" w:rsidRPr="0021060E">
        <w:t>stated that Australian clinicians have consistently highlighted that ELX/TEZ/IVA is the preferred treatment for eligible patients and the reasons for switching to ELX/TEZ/IVA extend beyond outcomes reported in the submission and switching is expected on listing of ELX/TEZ/IVA for the requested indication.</w:t>
      </w:r>
    </w:p>
    <w:p w14:paraId="38EC053C" w14:textId="160B5FC8" w:rsidR="00C25D9C" w:rsidRPr="004D39E9" w:rsidRDefault="00E16AD8" w:rsidP="00E66911">
      <w:pPr>
        <w:pStyle w:val="TableFigureHeading"/>
      </w:pPr>
      <w:bookmarkStart w:id="66" w:name="_Ref104805295"/>
      <w:r w:rsidRPr="004D39E9">
        <w:lastRenderedPageBreak/>
        <w:t xml:space="preserve">Table </w:t>
      </w:r>
      <w:r w:rsidR="00345E49">
        <w:fldChar w:fldCharType="begin"/>
      </w:r>
      <w:r w:rsidR="00345E49">
        <w:instrText xml:space="preserve"> SEQ Table \* ARABIC </w:instrText>
      </w:r>
      <w:r w:rsidR="00345E49">
        <w:fldChar w:fldCharType="separate"/>
      </w:r>
      <w:r w:rsidR="00343156">
        <w:rPr>
          <w:noProof/>
        </w:rPr>
        <w:t>13</w:t>
      </w:r>
      <w:r w:rsidR="00345E49">
        <w:rPr>
          <w:noProof/>
        </w:rPr>
        <w:fldChar w:fldCharType="end"/>
      </w:r>
      <w:bookmarkEnd w:id="66"/>
      <w:r w:rsidRPr="004D39E9">
        <w:t>:</w:t>
      </w:r>
      <w:r w:rsidR="002A2F50" w:rsidRPr="004D39E9">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385A9D" w:rsidRPr="0098262F" w14:paraId="43A2A3A1" w14:textId="77777777" w:rsidTr="008A3158">
        <w:trPr>
          <w:tblHeader/>
        </w:trPr>
        <w:tc>
          <w:tcPr>
            <w:tcW w:w="1334" w:type="pct"/>
            <w:shd w:val="clear" w:color="auto" w:fill="auto"/>
            <w:vAlign w:val="center"/>
          </w:tcPr>
          <w:p w14:paraId="0A4E41E1" w14:textId="77777777" w:rsidR="00385A9D" w:rsidRPr="0098262F" w:rsidRDefault="00385A9D" w:rsidP="00B9224E">
            <w:pPr>
              <w:pStyle w:val="TableText"/>
            </w:pPr>
          </w:p>
        </w:tc>
        <w:tc>
          <w:tcPr>
            <w:tcW w:w="611" w:type="pct"/>
            <w:shd w:val="clear" w:color="auto" w:fill="auto"/>
            <w:vAlign w:val="center"/>
          </w:tcPr>
          <w:p w14:paraId="77420B6F" w14:textId="77777777" w:rsidR="00385A9D" w:rsidRPr="0098262F" w:rsidRDefault="00385A9D" w:rsidP="00B9224E">
            <w:pPr>
              <w:pStyle w:val="TableText"/>
            </w:pPr>
            <w:r w:rsidRPr="0098262F">
              <w:t>Year 1</w:t>
            </w:r>
          </w:p>
        </w:tc>
        <w:tc>
          <w:tcPr>
            <w:tcW w:w="611" w:type="pct"/>
            <w:shd w:val="clear" w:color="auto" w:fill="auto"/>
            <w:vAlign w:val="center"/>
          </w:tcPr>
          <w:p w14:paraId="3BBD9218" w14:textId="77777777" w:rsidR="00385A9D" w:rsidRPr="0098262F" w:rsidRDefault="00385A9D" w:rsidP="00B9224E">
            <w:pPr>
              <w:pStyle w:val="TableText"/>
            </w:pPr>
            <w:r w:rsidRPr="0098262F">
              <w:t>Year 2</w:t>
            </w:r>
          </w:p>
        </w:tc>
        <w:tc>
          <w:tcPr>
            <w:tcW w:w="611" w:type="pct"/>
            <w:shd w:val="clear" w:color="auto" w:fill="auto"/>
            <w:vAlign w:val="center"/>
          </w:tcPr>
          <w:p w14:paraId="729A646E" w14:textId="77777777" w:rsidR="00385A9D" w:rsidRPr="0098262F" w:rsidRDefault="00385A9D" w:rsidP="00B9224E">
            <w:pPr>
              <w:pStyle w:val="TableText"/>
            </w:pPr>
            <w:r w:rsidRPr="0098262F">
              <w:t>Year 3</w:t>
            </w:r>
          </w:p>
        </w:tc>
        <w:tc>
          <w:tcPr>
            <w:tcW w:w="611" w:type="pct"/>
            <w:shd w:val="clear" w:color="auto" w:fill="auto"/>
            <w:vAlign w:val="center"/>
          </w:tcPr>
          <w:p w14:paraId="280BB544" w14:textId="77777777" w:rsidR="00385A9D" w:rsidRPr="0098262F" w:rsidRDefault="00385A9D" w:rsidP="00B9224E">
            <w:pPr>
              <w:pStyle w:val="TableText"/>
            </w:pPr>
            <w:r w:rsidRPr="0098262F">
              <w:t>Year 4</w:t>
            </w:r>
          </w:p>
        </w:tc>
        <w:tc>
          <w:tcPr>
            <w:tcW w:w="611" w:type="pct"/>
            <w:shd w:val="clear" w:color="auto" w:fill="auto"/>
            <w:vAlign w:val="center"/>
          </w:tcPr>
          <w:p w14:paraId="6435BB5B" w14:textId="77777777" w:rsidR="00385A9D" w:rsidRPr="0098262F" w:rsidRDefault="00385A9D" w:rsidP="00B9224E">
            <w:pPr>
              <w:pStyle w:val="TableText"/>
            </w:pPr>
            <w:r w:rsidRPr="0098262F">
              <w:t>Year 5</w:t>
            </w:r>
          </w:p>
        </w:tc>
        <w:tc>
          <w:tcPr>
            <w:tcW w:w="611" w:type="pct"/>
          </w:tcPr>
          <w:p w14:paraId="7C618119" w14:textId="77777777" w:rsidR="00385A9D" w:rsidRPr="0098262F" w:rsidRDefault="00385A9D" w:rsidP="00B9224E">
            <w:pPr>
              <w:pStyle w:val="TableText"/>
            </w:pPr>
            <w:r w:rsidRPr="0098262F">
              <w:t>Year 6</w:t>
            </w:r>
          </w:p>
        </w:tc>
      </w:tr>
      <w:tr w:rsidR="009D4A28" w:rsidRPr="0098262F" w14:paraId="49DE0788" w14:textId="77777777" w:rsidTr="009D4A28">
        <w:tc>
          <w:tcPr>
            <w:tcW w:w="5000" w:type="pct"/>
            <w:gridSpan w:val="7"/>
            <w:shd w:val="clear" w:color="auto" w:fill="auto"/>
            <w:vAlign w:val="center"/>
          </w:tcPr>
          <w:p w14:paraId="4117D1F2" w14:textId="50FF1569" w:rsidR="009D4A28" w:rsidRDefault="009D4A28" w:rsidP="00B9224E">
            <w:pPr>
              <w:pStyle w:val="TableText"/>
            </w:pPr>
            <w:r w:rsidRPr="009D4A28">
              <w:rPr>
                <w:b/>
                <w:bCs w:val="0"/>
              </w:rPr>
              <w:t>Number of patients treated</w:t>
            </w:r>
          </w:p>
        </w:tc>
      </w:tr>
      <w:tr w:rsidR="00385A9D" w:rsidRPr="0098262F" w14:paraId="148A8EEF" w14:textId="77777777" w:rsidTr="008A3158">
        <w:tc>
          <w:tcPr>
            <w:tcW w:w="1334" w:type="pct"/>
            <w:shd w:val="clear" w:color="auto" w:fill="auto"/>
            <w:vAlign w:val="center"/>
          </w:tcPr>
          <w:p w14:paraId="201B6ECA" w14:textId="5AE20251" w:rsidR="003426C4" w:rsidRPr="0098262F" w:rsidRDefault="003426C4" w:rsidP="00B9224E">
            <w:pPr>
              <w:pStyle w:val="TableText"/>
              <w:rPr>
                <w:rFonts w:ascii="Times" w:hAnsi="Times"/>
              </w:rPr>
            </w:pPr>
            <w:r>
              <w:t>Currently C</w:t>
            </w:r>
            <w:r w:rsidR="00060254">
              <w:t>F</w:t>
            </w:r>
            <w:r>
              <w:t>TRm -naïve/ineligible</w:t>
            </w:r>
          </w:p>
        </w:tc>
        <w:tc>
          <w:tcPr>
            <w:tcW w:w="611" w:type="pct"/>
            <w:shd w:val="clear" w:color="auto" w:fill="auto"/>
            <w:vAlign w:val="center"/>
          </w:tcPr>
          <w:p w14:paraId="577607A9" w14:textId="5C8355CF" w:rsidR="00385A9D" w:rsidRPr="00321695" w:rsidRDefault="004E7B37" w:rsidP="00B9224E">
            <w:pPr>
              <w:pStyle w:val="TableText"/>
              <w:rPr>
                <w:highlight w:val="darkGray"/>
              </w:rPr>
            </w:pPr>
            <w:r w:rsidRPr="004E7B37">
              <w:rPr>
                <w:color w:val="000000"/>
                <w:spacing w:val="53"/>
                <w:shd w:val="solid" w:color="000000" w:fill="000000"/>
                <w:fitText w:val="330" w:id="-694516736"/>
                <w14:textFill>
                  <w14:solidFill>
                    <w14:srgbClr w14:val="000000">
                      <w14:alpha w14:val="100000"/>
                    </w14:srgbClr>
                  </w14:solidFill>
                </w14:textFill>
              </w:rPr>
              <w:t>|||</w:t>
            </w:r>
            <w:r w:rsidRPr="004E7B37">
              <w:rPr>
                <w:color w:val="000000"/>
                <w:spacing w:val="1"/>
                <w:shd w:val="solid" w:color="000000" w:fill="000000"/>
                <w:fitText w:val="330" w:id="-694516736"/>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6610B4C9" w14:textId="2F6D9406" w:rsidR="00385A9D" w:rsidRPr="00321695" w:rsidRDefault="004E7B37" w:rsidP="00B9224E">
            <w:pPr>
              <w:pStyle w:val="TableText"/>
              <w:rPr>
                <w:highlight w:val="darkGray"/>
              </w:rPr>
            </w:pPr>
            <w:r w:rsidRPr="004E7B37">
              <w:rPr>
                <w:color w:val="000000"/>
                <w:spacing w:val="53"/>
                <w:shd w:val="solid" w:color="000000" w:fill="000000"/>
                <w:fitText w:val="330" w:id="-694516735"/>
                <w14:textFill>
                  <w14:solidFill>
                    <w14:srgbClr w14:val="000000">
                      <w14:alpha w14:val="100000"/>
                    </w14:srgbClr>
                  </w14:solidFill>
                </w14:textFill>
              </w:rPr>
              <w:t>|||</w:t>
            </w:r>
            <w:r w:rsidRPr="004E7B37">
              <w:rPr>
                <w:color w:val="000000"/>
                <w:spacing w:val="1"/>
                <w:shd w:val="solid" w:color="000000" w:fill="000000"/>
                <w:fitText w:val="330" w:id="-694516735"/>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29F46D6B" w14:textId="5CEC22B4" w:rsidR="00385A9D" w:rsidRPr="00321695" w:rsidRDefault="004E7B37" w:rsidP="00B9224E">
            <w:pPr>
              <w:pStyle w:val="TableText"/>
              <w:rPr>
                <w:highlight w:val="darkGray"/>
              </w:rPr>
            </w:pPr>
            <w:r w:rsidRPr="004E7B37">
              <w:rPr>
                <w:color w:val="000000"/>
                <w:spacing w:val="53"/>
                <w:shd w:val="solid" w:color="000000" w:fill="000000"/>
                <w:fitText w:val="330" w:id="-694516734"/>
                <w14:textFill>
                  <w14:solidFill>
                    <w14:srgbClr w14:val="000000">
                      <w14:alpha w14:val="100000"/>
                    </w14:srgbClr>
                  </w14:solidFill>
                </w14:textFill>
              </w:rPr>
              <w:t>|||</w:t>
            </w:r>
            <w:r w:rsidRPr="004E7B37">
              <w:rPr>
                <w:color w:val="000000"/>
                <w:spacing w:val="1"/>
                <w:shd w:val="solid" w:color="000000" w:fill="000000"/>
                <w:fitText w:val="330" w:id="-694516734"/>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21167904" w14:textId="3691BD26" w:rsidR="00385A9D" w:rsidRPr="00321695" w:rsidRDefault="004E7B37" w:rsidP="00B9224E">
            <w:pPr>
              <w:pStyle w:val="TableText"/>
              <w:rPr>
                <w:highlight w:val="darkGray"/>
              </w:rPr>
            </w:pPr>
            <w:r w:rsidRPr="004E7B37">
              <w:rPr>
                <w:color w:val="000000"/>
                <w:spacing w:val="53"/>
                <w:shd w:val="solid" w:color="000000" w:fill="000000"/>
                <w:fitText w:val="330" w:id="-694516733"/>
                <w14:textFill>
                  <w14:solidFill>
                    <w14:srgbClr w14:val="000000">
                      <w14:alpha w14:val="100000"/>
                    </w14:srgbClr>
                  </w14:solidFill>
                </w14:textFill>
              </w:rPr>
              <w:t>|||</w:t>
            </w:r>
            <w:r w:rsidRPr="004E7B37">
              <w:rPr>
                <w:color w:val="000000"/>
                <w:spacing w:val="1"/>
                <w:shd w:val="solid" w:color="000000" w:fill="000000"/>
                <w:fitText w:val="330" w:id="-694516733"/>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762D4B71" w14:textId="536A9029" w:rsidR="00385A9D" w:rsidRPr="00321695" w:rsidRDefault="004E7B37" w:rsidP="00B9224E">
            <w:pPr>
              <w:pStyle w:val="TableText"/>
              <w:rPr>
                <w:highlight w:val="darkGray"/>
              </w:rPr>
            </w:pPr>
            <w:r w:rsidRPr="004E7B37">
              <w:rPr>
                <w:color w:val="000000"/>
                <w:spacing w:val="53"/>
                <w:shd w:val="solid" w:color="000000" w:fill="000000"/>
                <w:fitText w:val="330" w:id="-694516732"/>
                <w14:textFill>
                  <w14:solidFill>
                    <w14:srgbClr w14:val="000000">
                      <w14:alpha w14:val="100000"/>
                    </w14:srgbClr>
                  </w14:solidFill>
                </w14:textFill>
              </w:rPr>
              <w:t>|||</w:t>
            </w:r>
            <w:r w:rsidRPr="004E7B37">
              <w:rPr>
                <w:color w:val="000000"/>
                <w:spacing w:val="1"/>
                <w:shd w:val="solid" w:color="000000" w:fill="000000"/>
                <w:fitText w:val="330" w:id="-694516732"/>
                <w14:textFill>
                  <w14:solidFill>
                    <w14:srgbClr w14:val="000000">
                      <w14:alpha w14:val="100000"/>
                    </w14:srgbClr>
                  </w14:solidFill>
                </w14:textFill>
              </w:rPr>
              <w:t>|</w:t>
            </w:r>
            <w:r w:rsidR="00B60EF6" w:rsidRPr="00B60EF6">
              <w:rPr>
                <w:vertAlign w:val="superscript"/>
              </w:rPr>
              <w:t>1</w:t>
            </w:r>
          </w:p>
        </w:tc>
        <w:tc>
          <w:tcPr>
            <w:tcW w:w="611" w:type="pct"/>
          </w:tcPr>
          <w:p w14:paraId="42B428B5" w14:textId="6078B7EF" w:rsidR="00385A9D" w:rsidRPr="00321695" w:rsidRDefault="004E7B37" w:rsidP="00B9224E">
            <w:pPr>
              <w:pStyle w:val="TableText"/>
              <w:rPr>
                <w:highlight w:val="darkGray"/>
              </w:rPr>
            </w:pPr>
            <w:r w:rsidRPr="004E7B37">
              <w:rPr>
                <w:color w:val="000000"/>
                <w:spacing w:val="53"/>
                <w:shd w:val="solid" w:color="000000" w:fill="000000"/>
                <w:fitText w:val="330" w:id="-694516731"/>
                <w14:textFill>
                  <w14:solidFill>
                    <w14:srgbClr w14:val="000000">
                      <w14:alpha w14:val="100000"/>
                    </w14:srgbClr>
                  </w14:solidFill>
                </w14:textFill>
              </w:rPr>
              <w:t>|||</w:t>
            </w:r>
            <w:r w:rsidRPr="004E7B37">
              <w:rPr>
                <w:color w:val="000000"/>
                <w:spacing w:val="1"/>
                <w:shd w:val="solid" w:color="000000" w:fill="000000"/>
                <w:fitText w:val="330" w:id="-694516731"/>
                <w14:textFill>
                  <w14:solidFill>
                    <w14:srgbClr w14:val="000000">
                      <w14:alpha w14:val="100000"/>
                    </w14:srgbClr>
                  </w14:solidFill>
                </w14:textFill>
              </w:rPr>
              <w:t>|</w:t>
            </w:r>
            <w:r w:rsidR="00B60EF6" w:rsidRPr="00B60EF6">
              <w:rPr>
                <w:vertAlign w:val="superscript"/>
              </w:rPr>
              <w:t>1</w:t>
            </w:r>
          </w:p>
        </w:tc>
      </w:tr>
      <w:tr w:rsidR="003426C4" w:rsidRPr="0098262F" w14:paraId="1B4AA3AA" w14:textId="77777777" w:rsidTr="008A3158">
        <w:tc>
          <w:tcPr>
            <w:tcW w:w="1334" w:type="pct"/>
            <w:shd w:val="clear" w:color="auto" w:fill="auto"/>
            <w:vAlign w:val="center"/>
          </w:tcPr>
          <w:p w14:paraId="4A4B3596" w14:textId="2AB18E94" w:rsidR="003426C4" w:rsidRPr="0098262F" w:rsidRDefault="003426C4" w:rsidP="00B9224E">
            <w:pPr>
              <w:pStyle w:val="TableText"/>
            </w:pPr>
            <w:r>
              <w:t xml:space="preserve">Switching from IVA – </w:t>
            </w:r>
            <w:r w:rsidR="00AC3681">
              <w:t>non-</w:t>
            </w:r>
            <w:r>
              <w:t xml:space="preserve">gating </w:t>
            </w:r>
          </w:p>
        </w:tc>
        <w:tc>
          <w:tcPr>
            <w:tcW w:w="611" w:type="pct"/>
            <w:shd w:val="clear" w:color="auto" w:fill="auto"/>
            <w:vAlign w:val="center"/>
          </w:tcPr>
          <w:p w14:paraId="42539089" w14:textId="782C513A" w:rsidR="003426C4" w:rsidRPr="00321695" w:rsidRDefault="004E7B37" w:rsidP="00B9224E">
            <w:pPr>
              <w:pStyle w:val="TableText"/>
              <w:rPr>
                <w:highlight w:val="darkGray"/>
              </w:rPr>
            </w:pPr>
            <w:r w:rsidRPr="004E7B37">
              <w:rPr>
                <w:color w:val="000000"/>
                <w:spacing w:val="53"/>
                <w:shd w:val="solid" w:color="000000" w:fill="000000"/>
                <w:fitText w:val="330" w:id="-694516730"/>
                <w14:textFill>
                  <w14:solidFill>
                    <w14:srgbClr w14:val="000000">
                      <w14:alpha w14:val="100000"/>
                    </w14:srgbClr>
                  </w14:solidFill>
                </w14:textFill>
              </w:rPr>
              <w:t>|||</w:t>
            </w:r>
            <w:r w:rsidRPr="004E7B37">
              <w:rPr>
                <w:color w:val="000000"/>
                <w:spacing w:val="1"/>
                <w:shd w:val="solid" w:color="000000" w:fill="000000"/>
                <w:fitText w:val="330" w:id="-694516730"/>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1ADCB7D5" w14:textId="69042710" w:rsidR="003426C4" w:rsidRPr="00321695" w:rsidRDefault="004E7B37" w:rsidP="00B9224E">
            <w:pPr>
              <w:pStyle w:val="TableText"/>
              <w:rPr>
                <w:highlight w:val="darkGray"/>
              </w:rPr>
            </w:pPr>
            <w:r w:rsidRPr="004E7B37">
              <w:rPr>
                <w:color w:val="000000"/>
                <w:spacing w:val="53"/>
                <w:shd w:val="solid" w:color="000000" w:fill="000000"/>
                <w:fitText w:val="330" w:id="-694516729"/>
                <w14:textFill>
                  <w14:solidFill>
                    <w14:srgbClr w14:val="000000">
                      <w14:alpha w14:val="100000"/>
                    </w14:srgbClr>
                  </w14:solidFill>
                </w14:textFill>
              </w:rPr>
              <w:t>|||</w:t>
            </w:r>
            <w:r w:rsidRPr="004E7B37">
              <w:rPr>
                <w:color w:val="000000"/>
                <w:spacing w:val="1"/>
                <w:shd w:val="solid" w:color="000000" w:fill="000000"/>
                <w:fitText w:val="330" w:id="-694516729"/>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2085149D" w14:textId="24CDA8E8" w:rsidR="003426C4" w:rsidRPr="00321695" w:rsidRDefault="004E7B37" w:rsidP="00B9224E">
            <w:pPr>
              <w:pStyle w:val="TableText"/>
              <w:rPr>
                <w:highlight w:val="darkGray"/>
              </w:rPr>
            </w:pPr>
            <w:r w:rsidRPr="004E7B37">
              <w:rPr>
                <w:color w:val="000000"/>
                <w:spacing w:val="53"/>
                <w:shd w:val="solid" w:color="000000" w:fill="000000"/>
                <w:fitText w:val="330" w:id="-694516728"/>
                <w14:textFill>
                  <w14:solidFill>
                    <w14:srgbClr w14:val="000000">
                      <w14:alpha w14:val="100000"/>
                    </w14:srgbClr>
                  </w14:solidFill>
                </w14:textFill>
              </w:rPr>
              <w:t>|||</w:t>
            </w:r>
            <w:r w:rsidRPr="004E7B37">
              <w:rPr>
                <w:color w:val="000000"/>
                <w:spacing w:val="1"/>
                <w:shd w:val="solid" w:color="000000" w:fill="000000"/>
                <w:fitText w:val="330" w:id="-694516728"/>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2C748149" w14:textId="558496B4" w:rsidR="003426C4" w:rsidRPr="00321695" w:rsidRDefault="004E7B37" w:rsidP="00B9224E">
            <w:pPr>
              <w:pStyle w:val="TableText"/>
              <w:rPr>
                <w:highlight w:val="darkGray"/>
              </w:rPr>
            </w:pPr>
            <w:r w:rsidRPr="004E7B37">
              <w:rPr>
                <w:color w:val="000000"/>
                <w:spacing w:val="53"/>
                <w:shd w:val="solid" w:color="000000" w:fill="000000"/>
                <w:fitText w:val="330" w:id="-694516727"/>
                <w14:textFill>
                  <w14:solidFill>
                    <w14:srgbClr w14:val="000000">
                      <w14:alpha w14:val="100000"/>
                    </w14:srgbClr>
                  </w14:solidFill>
                </w14:textFill>
              </w:rPr>
              <w:t>|||</w:t>
            </w:r>
            <w:r w:rsidRPr="004E7B37">
              <w:rPr>
                <w:color w:val="000000"/>
                <w:spacing w:val="1"/>
                <w:shd w:val="solid" w:color="000000" w:fill="000000"/>
                <w:fitText w:val="330" w:id="-694516727"/>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0C90947B" w14:textId="56668DB7" w:rsidR="003426C4" w:rsidRPr="00321695" w:rsidRDefault="004E7B37" w:rsidP="00B9224E">
            <w:pPr>
              <w:pStyle w:val="TableText"/>
              <w:rPr>
                <w:highlight w:val="darkGray"/>
              </w:rPr>
            </w:pPr>
            <w:r w:rsidRPr="004E7B37">
              <w:rPr>
                <w:color w:val="000000"/>
                <w:spacing w:val="53"/>
                <w:shd w:val="solid" w:color="000000" w:fill="000000"/>
                <w:fitText w:val="330" w:id="-694516726"/>
                <w14:textFill>
                  <w14:solidFill>
                    <w14:srgbClr w14:val="000000">
                      <w14:alpha w14:val="100000"/>
                    </w14:srgbClr>
                  </w14:solidFill>
                </w14:textFill>
              </w:rPr>
              <w:t>|||</w:t>
            </w:r>
            <w:r w:rsidRPr="004E7B37">
              <w:rPr>
                <w:color w:val="000000"/>
                <w:spacing w:val="1"/>
                <w:shd w:val="solid" w:color="000000" w:fill="000000"/>
                <w:fitText w:val="330" w:id="-694516726"/>
                <w14:textFill>
                  <w14:solidFill>
                    <w14:srgbClr w14:val="000000">
                      <w14:alpha w14:val="100000"/>
                    </w14:srgbClr>
                  </w14:solidFill>
                </w14:textFill>
              </w:rPr>
              <w:t>|</w:t>
            </w:r>
            <w:r w:rsidR="00B60EF6" w:rsidRPr="00B60EF6">
              <w:rPr>
                <w:vertAlign w:val="superscript"/>
              </w:rPr>
              <w:t>1</w:t>
            </w:r>
          </w:p>
        </w:tc>
        <w:tc>
          <w:tcPr>
            <w:tcW w:w="611" w:type="pct"/>
          </w:tcPr>
          <w:p w14:paraId="219CE6B0" w14:textId="669E97A9" w:rsidR="003426C4" w:rsidRPr="00321695" w:rsidRDefault="004E7B37" w:rsidP="00B9224E">
            <w:pPr>
              <w:pStyle w:val="TableText"/>
              <w:rPr>
                <w:highlight w:val="darkGray"/>
              </w:rPr>
            </w:pPr>
            <w:r w:rsidRPr="004E7B37">
              <w:rPr>
                <w:color w:val="000000"/>
                <w:spacing w:val="53"/>
                <w:shd w:val="solid" w:color="000000" w:fill="000000"/>
                <w:fitText w:val="330" w:id="-694516725"/>
                <w14:textFill>
                  <w14:solidFill>
                    <w14:srgbClr w14:val="000000">
                      <w14:alpha w14:val="100000"/>
                    </w14:srgbClr>
                  </w14:solidFill>
                </w14:textFill>
              </w:rPr>
              <w:t>|||</w:t>
            </w:r>
            <w:r w:rsidRPr="004E7B37">
              <w:rPr>
                <w:color w:val="000000"/>
                <w:spacing w:val="1"/>
                <w:shd w:val="solid" w:color="000000" w:fill="000000"/>
                <w:fitText w:val="330" w:id="-694516725"/>
                <w14:textFill>
                  <w14:solidFill>
                    <w14:srgbClr w14:val="000000">
                      <w14:alpha w14:val="100000"/>
                    </w14:srgbClr>
                  </w14:solidFill>
                </w14:textFill>
              </w:rPr>
              <w:t>|</w:t>
            </w:r>
            <w:r w:rsidR="00B60EF6" w:rsidRPr="00B60EF6">
              <w:rPr>
                <w:vertAlign w:val="superscript"/>
              </w:rPr>
              <w:t>1</w:t>
            </w:r>
          </w:p>
        </w:tc>
      </w:tr>
      <w:tr w:rsidR="00385A9D" w:rsidRPr="0098262F" w14:paraId="1CEE4D09" w14:textId="77777777" w:rsidTr="008A3158">
        <w:tc>
          <w:tcPr>
            <w:tcW w:w="1334" w:type="pct"/>
            <w:shd w:val="clear" w:color="auto" w:fill="auto"/>
            <w:vAlign w:val="center"/>
          </w:tcPr>
          <w:p w14:paraId="229A1EDF" w14:textId="047AEECF" w:rsidR="00385A9D" w:rsidRPr="003426C4" w:rsidRDefault="003426C4" w:rsidP="00B9224E">
            <w:pPr>
              <w:pStyle w:val="TableText"/>
            </w:pPr>
            <w:r w:rsidRPr="003426C4">
              <w:t xml:space="preserve">Switching from IVA – gating </w:t>
            </w:r>
          </w:p>
        </w:tc>
        <w:tc>
          <w:tcPr>
            <w:tcW w:w="611" w:type="pct"/>
            <w:shd w:val="clear" w:color="auto" w:fill="auto"/>
            <w:vAlign w:val="center"/>
          </w:tcPr>
          <w:p w14:paraId="0D9F25C2" w14:textId="244CC546" w:rsidR="00385A9D" w:rsidRPr="00321695" w:rsidRDefault="004E7B37" w:rsidP="00B9224E">
            <w:pPr>
              <w:pStyle w:val="TableText"/>
              <w:rPr>
                <w:highlight w:val="darkGray"/>
              </w:rPr>
            </w:pPr>
            <w:r w:rsidRPr="004E7B37">
              <w:rPr>
                <w:color w:val="000000"/>
                <w:spacing w:val="53"/>
                <w:shd w:val="solid" w:color="000000" w:fill="000000"/>
                <w:fitText w:val="330" w:id="-694516724"/>
                <w14:textFill>
                  <w14:solidFill>
                    <w14:srgbClr w14:val="000000">
                      <w14:alpha w14:val="100000"/>
                    </w14:srgbClr>
                  </w14:solidFill>
                </w14:textFill>
              </w:rPr>
              <w:t>|||</w:t>
            </w:r>
            <w:r w:rsidRPr="004E7B37">
              <w:rPr>
                <w:color w:val="000000"/>
                <w:spacing w:val="1"/>
                <w:shd w:val="solid" w:color="000000" w:fill="000000"/>
                <w:fitText w:val="330" w:id="-694516724"/>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2D7847AA" w14:textId="215B462F" w:rsidR="00385A9D" w:rsidRPr="00321695" w:rsidRDefault="004E7B37" w:rsidP="00B9224E">
            <w:pPr>
              <w:pStyle w:val="TableText"/>
              <w:rPr>
                <w:highlight w:val="darkGray"/>
              </w:rPr>
            </w:pPr>
            <w:r w:rsidRPr="004E7B37">
              <w:rPr>
                <w:color w:val="000000"/>
                <w:spacing w:val="53"/>
                <w:shd w:val="solid" w:color="000000" w:fill="000000"/>
                <w:fitText w:val="330" w:id="-694516723"/>
                <w14:textFill>
                  <w14:solidFill>
                    <w14:srgbClr w14:val="000000">
                      <w14:alpha w14:val="100000"/>
                    </w14:srgbClr>
                  </w14:solidFill>
                </w14:textFill>
              </w:rPr>
              <w:t>|||</w:t>
            </w:r>
            <w:r w:rsidRPr="004E7B37">
              <w:rPr>
                <w:color w:val="000000"/>
                <w:spacing w:val="1"/>
                <w:shd w:val="solid" w:color="000000" w:fill="000000"/>
                <w:fitText w:val="330" w:id="-694516723"/>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7A620378" w14:textId="47CA13BB" w:rsidR="00385A9D" w:rsidRPr="00321695" w:rsidRDefault="004E7B37" w:rsidP="00B9224E">
            <w:pPr>
              <w:pStyle w:val="TableText"/>
              <w:rPr>
                <w:highlight w:val="darkGray"/>
              </w:rPr>
            </w:pPr>
            <w:r w:rsidRPr="004E7B37">
              <w:rPr>
                <w:color w:val="000000"/>
                <w:spacing w:val="53"/>
                <w:shd w:val="solid" w:color="000000" w:fill="000000"/>
                <w:fitText w:val="330" w:id="-694516722"/>
                <w14:textFill>
                  <w14:solidFill>
                    <w14:srgbClr w14:val="000000">
                      <w14:alpha w14:val="100000"/>
                    </w14:srgbClr>
                  </w14:solidFill>
                </w14:textFill>
              </w:rPr>
              <w:t>|||</w:t>
            </w:r>
            <w:r w:rsidRPr="004E7B37">
              <w:rPr>
                <w:color w:val="000000"/>
                <w:spacing w:val="1"/>
                <w:shd w:val="solid" w:color="000000" w:fill="000000"/>
                <w:fitText w:val="330" w:id="-694516722"/>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1D2C1413" w14:textId="0C015175" w:rsidR="00385A9D" w:rsidRPr="00321695" w:rsidRDefault="004E7B37" w:rsidP="00B9224E">
            <w:pPr>
              <w:pStyle w:val="TableText"/>
              <w:rPr>
                <w:highlight w:val="darkGray"/>
              </w:rPr>
            </w:pPr>
            <w:r w:rsidRPr="004E7B37">
              <w:rPr>
                <w:color w:val="000000"/>
                <w:spacing w:val="53"/>
                <w:shd w:val="solid" w:color="000000" w:fill="000000"/>
                <w:fitText w:val="330" w:id="-694516721"/>
                <w14:textFill>
                  <w14:solidFill>
                    <w14:srgbClr w14:val="000000">
                      <w14:alpha w14:val="100000"/>
                    </w14:srgbClr>
                  </w14:solidFill>
                </w14:textFill>
              </w:rPr>
              <w:t>|||</w:t>
            </w:r>
            <w:r w:rsidRPr="004E7B37">
              <w:rPr>
                <w:color w:val="000000"/>
                <w:spacing w:val="1"/>
                <w:shd w:val="solid" w:color="000000" w:fill="000000"/>
                <w:fitText w:val="330" w:id="-694516721"/>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3F0ACB95" w14:textId="7D4C9643" w:rsidR="00385A9D" w:rsidRPr="00321695" w:rsidRDefault="004E7B37" w:rsidP="00B9224E">
            <w:pPr>
              <w:pStyle w:val="TableText"/>
              <w:rPr>
                <w:highlight w:val="darkGray"/>
              </w:rPr>
            </w:pPr>
            <w:r w:rsidRPr="004E7B37">
              <w:rPr>
                <w:color w:val="000000"/>
                <w:spacing w:val="53"/>
                <w:shd w:val="solid" w:color="000000" w:fill="000000"/>
                <w:fitText w:val="330" w:id="-694516720"/>
                <w14:textFill>
                  <w14:solidFill>
                    <w14:srgbClr w14:val="000000">
                      <w14:alpha w14:val="100000"/>
                    </w14:srgbClr>
                  </w14:solidFill>
                </w14:textFill>
              </w:rPr>
              <w:t>|||</w:t>
            </w:r>
            <w:r w:rsidRPr="004E7B37">
              <w:rPr>
                <w:color w:val="000000"/>
                <w:spacing w:val="1"/>
                <w:shd w:val="solid" w:color="000000" w:fill="000000"/>
                <w:fitText w:val="330" w:id="-694516720"/>
                <w14:textFill>
                  <w14:solidFill>
                    <w14:srgbClr w14:val="000000">
                      <w14:alpha w14:val="100000"/>
                    </w14:srgbClr>
                  </w14:solidFill>
                </w14:textFill>
              </w:rPr>
              <w:t>|</w:t>
            </w:r>
            <w:r w:rsidR="00B60EF6" w:rsidRPr="00B60EF6">
              <w:rPr>
                <w:vertAlign w:val="superscript"/>
              </w:rPr>
              <w:t>1</w:t>
            </w:r>
          </w:p>
        </w:tc>
        <w:tc>
          <w:tcPr>
            <w:tcW w:w="611" w:type="pct"/>
          </w:tcPr>
          <w:p w14:paraId="1C30F331" w14:textId="7B9E7C4F" w:rsidR="00385A9D" w:rsidRPr="00321695" w:rsidRDefault="004E7B37" w:rsidP="00B9224E">
            <w:pPr>
              <w:pStyle w:val="TableText"/>
              <w:rPr>
                <w:highlight w:val="darkGray"/>
              </w:rPr>
            </w:pPr>
            <w:r w:rsidRPr="004E7B37">
              <w:rPr>
                <w:color w:val="000000"/>
                <w:spacing w:val="53"/>
                <w:shd w:val="solid" w:color="000000" w:fill="000000"/>
                <w:fitText w:val="330" w:id="-694516736"/>
                <w14:textFill>
                  <w14:solidFill>
                    <w14:srgbClr w14:val="000000">
                      <w14:alpha w14:val="100000"/>
                    </w14:srgbClr>
                  </w14:solidFill>
                </w14:textFill>
              </w:rPr>
              <w:t>|||</w:t>
            </w:r>
            <w:r w:rsidRPr="004E7B37">
              <w:rPr>
                <w:color w:val="000000"/>
                <w:spacing w:val="1"/>
                <w:shd w:val="solid" w:color="000000" w:fill="000000"/>
                <w:fitText w:val="330" w:id="-694516736"/>
                <w14:textFill>
                  <w14:solidFill>
                    <w14:srgbClr w14:val="000000">
                      <w14:alpha w14:val="100000"/>
                    </w14:srgbClr>
                  </w14:solidFill>
                </w14:textFill>
              </w:rPr>
              <w:t>|</w:t>
            </w:r>
            <w:r w:rsidR="00B60EF6" w:rsidRPr="00B60EF6">
              <w:rPr>
                <w:vertAlign w:val="superscript"/>
              </w:rPr>
              <w:t>1</w:t>
            </w:r>
          </w:p>
        </w:tc>
      </w:tr>
      <w:tr w:rsidR="003426C4" w:rsidRPr="0098262F" w14:paraId="36505E03" w14:textId="77777777" w:rsidTr="008A3158">
        <w:tc>
          <w:tcPr>
            <w:tcW w:w="1334" w:type="pct"/>
            <w:shd w:val="clear" w:color="auto" w:fill="auto"/>
            <w:vAlign w:val="center"/>
          </w:tcPr>
          <w:p w14:paraId="6CC628E1" w14:textId="47FE5587" w:rsidR="003426C4" w:rsidRPr="003426C4" w:rsidRDefault="003426C4" w:rsidP="00B9224E">
            <w:pPr>
              <w:pStyle w:val="TableText"/>
            </w:pPr>
            <w:r>
              <w:t>Switching from TEZ/IVA</w:t>
            </w:r>
          </w:p>
        </w:tc>
        <w:tc>
          <w:tcPr>
            <w:tcW w:w="611" w:type="pct"/>
            <w:shd w:val="clear" w:color="auto" w:fill="auto"/>
            <w:vAlign w:val="center"/>
          </w:tcPr>
          <w:p w14:paraId="091B420B" w14:textId="52428628" w:rsidR="003426C4" w:rsidRPr="00321695" w:rsidRDefault="004E7B37" w:rsidP="00B9224E">
            <w:pPr>
              <w:pStyle w:val="TableText"/>
              <w:rPr>
                <w:highlight w:val="darkGray"/>
              </w:rPr>
            </w:pPr>
            <w:r w:rsidRPr="004E7B37">
              <w:rPr>
                <w:color w:val="000000"/>
                <w:spacing w:val="53"/>
                <w:shd w:val="solid" w:color="000000" w:fill="000000"/>
                <w:fitText w:val="330" w:id="-694516735"/>
                <w14:textFill>
                  <w14:solidFill>
                    <w14:srgbClr w14:val="000000">
                      <w14:alpha w14:val="100000"/>
                    </w14:srgbClr>
                  </w14:solidFill>
                </w14:textFill>
              </w:rPr>
              <w:t>|||</w:t>
            </w:r>
            <w:r w:rsidRPr="004E7B37">
              <w:rPr>
                <w:color w:val="000000"/>
                <w:spacing w:val="1"/>
                <w:shd w:val="solid" w:color="000000" w:fill="000000"/>
                <w:fitText w:val="330" w:id="-694516735"/>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75C14EAC" w14:textId="4607A959" w:rsidR="003426C4" w:rsidRPr="00321695" w:rsidRDefault="004E7B37" w:rsidP="00B9224E">
            <w:pPr>
              <w:pStyle w:val="TableText"/>
              <w:rPr>
                <w:highlight w:val="darkGray"/>
              </w:rPr>
            </w:pPr>
            <w:r w:rsidRPr="004E7B37">
              <w:rPr>
                <w:color w:val="000000"/>
                <w:spacing w:val="53"/>
                <w:shd w:val="solid" w:color="000000" w:fill="000000"/>
                <w:fitText w:val="330" w:id="-694516734"/>
                <w14:textFill>
                  <w14:solidFill>
                    <w14:srgbClr w14:val="000000">
                      <w14:alpha w14:val="100000"/>
                    </w14:srgbClr>
                  </w14:solidFill>
                </w14:textFill>
              </w:rPr>
              <w:t>|||</w:t>
            </w:r>
            <w:r w:rsidRPr="004E7B37">
              <w:rPr>
                <w:color w:val="000000"/>
                <w:spacing w:val="1"/>
                <w:shd w:val="solid" w:color="000000" w:fill="000000"/>
                <w:fitText w:val="330" w:id="-694516734"/>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13F422E9" w14:textId="35380CAA" w:rsidR="003426C4" w:rsidRPr="00321695" w:rsidRDefault="004E7B37" w:rsidP="00B9224E">
            <w:pPr>
              <w:pStyle w:val="TableText"/>
              <w:rPr>
                <w:highlight w:val="darkGray"/>
              </w:rPr>
            </w:pPr>
            <w:r w:rsidRPr="004E7B37">
              <w:rPr>
                <w:color w:val="000000"/>
                <w:spacing w:val="53"/>
                <w:shd w:val="solid" w:color="000000" w:fill="000000"/>
                <w:fitText w:val="330" w:id="-694516733"/>
                <w14:textFill>
                  <w14:solidFill>
                    <w14:srgbClr w14:val="000000">
                      <w14:alpha w14:val="100000"/>
                    </w14:srgbClr>
                  </w14:solidFill>
                </w14:textFill>
              </w:rPr>
              <w:t>|||</w:t>
            </w:r>
            <w:r w:rsidRPr="004E7B37">
              <w:rPr>
                <w:color w:val="000000"/>
                <w:spacing w:val="1"/>
                <w:shd w:val="solid" w:color="000000" w:fill="000000"/>
                <w:fitText w:val="330" w:id="-694516733"/>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17EBF2E1" w14:textId="2B0A5CC5" w:rsidR="003426C4" w:rsidRPr="00321695" w:rsidRDefault="004E7B37" w:rsidP="00B9224E">
            <w:pPr>
              <w:pStyle w:val="TableText"/>
              <w:rPr>
                <w:highlight w:val="darkGray"/>
              </w:rPr>
            </w:pPr>
            <w:r w:rsidRPr="004E7B37">
              <w:rPr>
                <w:color w:val="000000"/>
                <w:spacing w:val="53"/>
                <w:shd w:val="solid" w:color="000000" w:fill="000000"/>
                <w:fitText w:val="330" w:id="-694516480"/>
                <w14:textFill>
                  <w14:solidFill>
                    <w14:srgbClr w14:val="000000">
                      <w14:alpha w14:val="100000"/>
                    </w14:srgbClr>
                  </w14:solidFill>
                </w14:textFill>
              </w:rPr>
              <w:t>|||</w:t>
            </w:r>
            <w:r w:rsidRPr="004E7B37">
              <w:rPr>
                <w:color w:val="000000"/>
                <w:spacing w:val="1"/>
                <w:shd w:val="solid" w:color="000000" w:fill="000000"/>
                <w:fitText w:val="330" w:id="-694516480"/>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51D157FC" w14:textId="18540D27" w:rsidR="003426C4" w:rsidRPr="00321695" w:rsidRDefault="004E7B37" w:rsidP="00B9224E">
            <w:pPr>
              <w:pStyle w:val="TableText"/>
              <w:rPr>
                <w:highlight w:val="darkGray"/>
              </w:rPr>
            </w:pPr>
            <w:r w:rsidRPr="004E7B37">
              <w:rPr>
                <w:color w:val="000000"/>
                <w:spacing w:val="53"/>
                <w:shd w:val="solid" w:color="000000" w:fill="000000"/>
                <w:fitText w:val="330" w:id="-694516479"/>
                <w14:textFill>
                  <w14:solidFill>
                    <w14:srgbClr w14:val="000000">
                      <w14:alpha w14:val="100000"/>
                    </w14:srgbClr>
                  </w14:solidFill>
                </w14:textFill>
              </w:rPr>
              <w:t>|||</w:t>
            </w:r>
            <w:r w:rsidRPr="004E7B37">
              <w:rPr>
                <w:color w:val="000000"/>
                <w:spacing w:val="1"/>
                <w:shd w:val="solid" w:color="000000" w:fill="000000"/>
                <w:fitText w:val="330" w:id="-694516479"/>
                <w14:textFill>
                  <w14:solidFill>
                    <w14:srgbClr w14:val="000000">
                      <w14:alpha w14:val="100000"/>
                    </w14:srgbClr>
                  </w14:solidFill>
                </w14:textFill>
              </w:rPr>
              <w:t>|</w:t>
            </w:r>
            <w:r w:rsidR="00B60EF6" w:rsidRPr="00B60EF6">
              <w:rPr>
                <w:vertAlign w:val="superscript"/>
              </w:rPr>
              <w:t>1</w:t>
            </w:r>
          </w:p>
        </w:tc>
        <w:tc>
          <w:tcPr>
            <w:tcW w:w="611" w:type="pct"/>
          </w:tcPr>
          <w:p w14:paraId="67294BDD" w14:textId="1AD1ECE3" w:rsidR="003426C4" w:rsidRPr="00321695" w:rsidRDefault="004E7B37" w:rsidP="00B9224E">
            <w:pPr>
              <w:pStyle w:val="TableText"/>
              <w:rPr>
                <w:highlight w:val="darkGray"/>
              </w:rPr>
            </w:pPr>
            <w:r w:rsidRPr="004E7B37">
              <w:rPr>
                <w:color w:val="000000"/>
                <w:spacing w:val="53"/>
                <w:shd w:val="solid" w:color="000000" w:fill="000000"/>
                <w:fitText w:val="330" w:id="-694516478"/>
                <w14:textFill>
                  <w14:solidFill>
                    <w14:srgbClr w14:val="000000">
                      <w14:alpha w14:val="100000"/>
                    </w14:srgbClr>
                  </w14:solidFill>
                </w14:textFill>
              </w:rPr>
              <w:t>|||</w:t>
            </w:r>
            <w:r w:rsidRPr="004E7B37">
              <w:rPr>
                <w:color w:val="000000"/>
                <w:spacing w:val="1"/>
                <w:shd w:val="solid" w:color="000000" w:fill="000000"/>
                <w:fitText w:val="330" w:id="-694516478"/>
                <w14:textFill>
                  <w14:solidFill>
                    <w14:srgbClr w14:val="000000">
                      <w14:alpha w14:val="100000"/>
                    </w14:srgbClr>
                  </w14:solidFill>
                </w14:textFill>
              </w:rPr>
              <w:t>|</w:t>
            </w:r>
            <w:r w:rsidR="00B60EF6" w:rsidRPr="00B60EF6">
              <w:rPr>
                <w:vertAlign w:val="superscript"/>
              </w:rPr>
              <w:t>1</w:t>
            </w:r>
          </w:p>
        </w:tc>
      </w:tr>
      <w:tr w:rsidR="003426C4" w:rsidRPr="0098262F" w14:paraId="27EF349A" w14:textId="77777777" w:rsidTr="008A3158">
        <w:tc>
          <w:tcPr>
            <w:tcW w:w="1334" w:type="pct"/>
            <w:shd w:val="clear" w:color="auto" w:fill="auto"/>
            <w:vAlign w:val="center"/>
          </w:tcPr>
          <w:p w14:paraId="415E6F3B" w14:textId="3E620AC6" w:rsidR="003426C4" w:rsidRPr="0098262F" w:rsidRDefault="003426C4" w:rsidP="00B9224E">
            <w:pPr>
              <w:pStyle w:val="TableText"/>
            </w:pPr>
            <w:r>
              <w:t xml:space="preserve">TOTAL </w:t>
            </w:r>
          </w:p>
        </w:tc>
        <w:tc>
          <w:tcPr>
            <w:tcW w:w="611" w:type="pct"/>
            <w:shd w:val="clear" w:color="auto" w:fill="auto"/>
            <w:vAlign w:val="center"/>
          </w:tcPr>
          <w:p w14:paraId="5EDE1488" w14:textId="051F8C15" w:rsidR="003426C4" w:rsidRPr="00321695" w:rsidRDefault="004E7B37" w:rsidP="00B9224E">
            <w:pPr>
              <w:pStyle w:val="TableText"/>
              <w:rPr>
                <w:highlight w:val="darkGray"/>
              </w:rPr>
            </w:pPr>
            <w:r w:rsidRPr="004E7B37">
              <w:rPr>
                <w:color w:val="000000"/>
                <w:spacing w:val="53"/>
                <w:shd w:val="solid" w:color="000000" w:fill="000000"/>
                <w:fitText w:val="330" w:id="-694516477"/>
                <w14:textFill>
                  <w14:solidFill>
                    <w14:srgbClr w14:val="000000">
                      <w14:alpha w14:val="100000"/>
                    </w14:srgbClr>
                  </w14:solidFill>
                </w14:textFill>
              </w:rPr>
              <w:t>|||</w:t>
            </w:r>
            <w:r w:rsidRPr="004E7B37">
              <w:rPr>
                <w:color w:val="000000"/>
                <w:spacing w:val="1"/>
                <w:shd w:val="solid" w:color="000000" w:fill="000000"/>
                <w:fitText w:val="330" w:id="-694516477"/>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08C6870B" w14:textId="1C440D2B" w:rsidR="003426C4" w:rsidRPr="00321695" w:rsidRDefault="004E7B37" w:rsidP="00B9224E">
            <w:pPr>
              <w:pStyle w:val="TableText"/>
              <w:rPr>
                <w:highlight w:val="darkGray"/>
              </w:rPr>
            </w:pPr>
            <w:r w:rsidRPr="004E7B37">
              <w:rPr>
                <w:color w:val="000000"/>
                <w:spacing w:val="53"/>
                <w:shd w:val="solid" w:color="000000" w:fill="000000"/>
                <w:fitText w:val="330" w:id="-694516476"/>
                <w14:textFill>
                  <w14:solidFill>
                    <w14:srgbClr w14:val="000000">
                      <w14:alpha w14:val="100000"/>
                    </w14:srgbClr>
                  </w14:solidFill>
                </w14:textFill>
              </w:rPr>
              <w:t>|||</w:t>
            </w:r>
            <w:r w:rsidRPr="004E7B37">
              <w:rPr>
                <w:color w:val="000000"/>
                <w:spacing w:val="1"/>
                <w:shd w:val="solid" w:color="000000" w:fill="000000"/>
                <w:fitText w:val="330" w:id="-694516476"/>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4337581C" w14:textId="04FF31CC" w:rsidR="003426C4" w:rsidRPr="00321695" w:rsidRDefault="004E7B37" w:rsidP="00B9224E">
            <w:pPr>
              <w:pStyle w:val="TableText"/>
              <w:rPr>
                <w:highlight w:val="darkGray"/>
              </w:rPr>
            </w:pPr>
            <w:r w:rsidRPr="004E7B37">
              <w:rPr>
                <w:color w:val="000000"/>
                <w:spacing w:val="53"/>
                <w:shd w:val="solid" w:color="000000" w:fill="000000"/>
                <w:fitText w:val="330" w:id="-694516475"/>
                <w14:textFill>
                  <w14:solidFill>
                    <w14:srgbClr w14:val="000000">
                      <w14:alpha w14:val="100000"/>
                    </w14:srgbClr>
                  </w14:solidFill>
                </w14:textFill>
              </w:rPr>
              <w:t>|||</w:t>
            </w:r>
            <w:r w:rsidRPr="004E7B37">
              <w:rPr>
                <w:color w:val="000000"/>
                <w:spacing w:val="1"/>
                <w:shd w:val="solid" w:color="000000" w:fill="000000"/>
                <w:fitText w:val="330" w:id="-694516475"/>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3D3BFCF8" w14:textId="38EFA3F4" w:rsidR="003426C4" w:rsidRPr="00321695" w:rsidRDefault="004E7B37" w:rsidP="00B9224E">
            <w:pPr>
              <w:pStyle w:val="TableText"/>
              <w:rPr>
                <w:highlight w:val="darkGray"/>
              </w:rPr>
            </w:pPr>
            <w:r w:rsidRPr="004E7B37">
              <w:rPr>
                <w:color w:val="000000"/>
                <w:spacing w:val="53"/>
                <w:shd w:val="solid" w:color="000000" w:fill="000000"/>
                <w:fitText w:val="330" w:id="-694516474"/>
                <w14:textFill>
                  <w14:solidFill>
                    <w14:srgbClr w14:val="000000">
                      <w14:alpha w14:val="100000"/>
                    </w14:srgbClr>
                  </w14:solidFill>
                </w14:textFill>
              </w:rPr>
              <w:t>|||</w:t>
            </w:r>
            <w:r w:rsidRPr="004E7B37">
              <w:rPr>
                <w:color w:val="000000"/>
                <w:spacing w:val="1"/>
                <w:shd w:val="solid" w:color="000000" w:fill="000000"/>
                <w:fitText w:val="330" w:id="-694516474"/>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416484EB" w14:textId="3D09D3F8" w:rsidR="003426C4" w:rsidRPr="00321695" w:rsidRDefault="004E7B37" w:rsidP="00B9224E">
            <w:pPr>
              <w:pStyle w:val="TableText"/>
              <w:rPr>
                <w:highlight w:val="darkGray"/>
              </w:rPr>
            </w:pPr>
            <w:r w:rsidRPr="004E7B37">
              <w:rPr>
                <w:color w:val="000000"/>
                <w:spacing w:val="53"/>
                <w:shd w:val="solid" w:color="000000" w:fill="000000"/>
                <w:fitText w:val="330" w:id="-694516473"/>
                <w14:textFill>
                  <w14:solidFill>
                    <w14:srgbClr w14:val="000000">
                      <w14:alpha w14:val="100000"/>
                    </w14:srgbClr>
                  </w14:solidFill>
                </w14:textFill>
              </w:rPr>
              <w:t>|||</w:t>
            </w:r>
            <w:r w:rsidRPr="004E7B37">
              <w:rPr>
                <w:color w:val="000000"/>
                <w:spacing w:val="1"/>
                <w:shd w:val="solid" w:color="000000" w:fill="000000"/>
                <w:fitText w:val="330" w:id="-694516473"/>
                <w14:textFill>
                  <w14:solidFill>
                    <w14:srgbClr w14:val="000000">
                      <w14:alpha w14:val="100000"/>
                    </w14:srgbClr>
                  </w14:solidFill>
                </w14:textFill>
              </w:rPr>
              <w:t>|</w:t>
            </w:r>
            <w:r w:rsidR="00B60EF6" w:rsidRPr="00B60EF6">
              <w:rPr>
                <w:vertAlign w:val="superscript"/>
              </w:rPr>
              <w:t>1</w:t>
            </w:r>
          </w:p>
        </w:tc>
        <w:tc>
          <w:tcPr>
            <w:tcW w:w="611" w:type="pct"/>
          </w:tcPr>
          <w:p w14:paraId="484C0882" w14:textId="18E670DC" w:rsidR="003426C4" w:rsidRPr="00321695" w:rsidRDefault="004E7B37" w:rsidP="00B9224E">
            <w:pPr>
              <w:pStyle w:val="TableText"/>
              <w:rPr>
                <w:highlight w:val="darkGray"/>
              </w:rPr>
            </w:pPr>
            <w:r w:rsidRPr="004E7B37">
              <w:rPr>
                <w:color w:val="000000"/>
                <w:spacing w:val="53"/>
                <w:shd w:val="solid" w:color="000000" w:fill="000000"/>
                <w:fitText w:val="330" w:id="-694516472"/>
                <w14:textFill>
                  <w14:solidFill>
                    <w14:srgbClr w14:val="000000">
                      <w14:alpha w14:val="100000"/>
                    </w14:srgbClr>
                  </w14:solidFill>
                </w14:textFill>
              </w:rPr>
              <w:t>|||</w:t>
            </w:r>
            <w:r w:rsidRPr="004E7B37">
              <w:rPr>
                <w:color w:val="000000"/>
                <w:spacing w:val="1"/>
                <w:shd w:val="solid" w:color="000000" w:fill="000000"/>
                <w:fitText w:val="330" w:id="-694516472"/>
                <w14:textFill>
                  <w14:solidFill>
                    <w14:srgbClr w14:val="000000">
                      <w14:alpha w14:val="100000"/>
                    </w14:srgbClr>
                  </w14:solidFill>
                </w14:textFill>
              </w:rPr>
              <w:t>|</w:t>
            </w:r>
            <w:r w:rsidR="00B60EF6" w:rsidRPr="00B60EF6">
              <w:rPr>
                <w:vertAlign w:val="superscript"/>
              </w:rPr>
              <w:t>1</w:t>
            </w:r>
          </w:p>
        </w:tc>
      </w:tr>
      <w:tr w:rsidR="003426C4" w:rsidRPr="0098262F" w14:paraId="615F119A" w14:textId="77777777" w:rsidTr="008A3158">
        <w:tc>
          <w:tcPr>
            <w:tcW w:w="1334" w:type="pct"/>
            <w:shd w:val="clear" w:color="auto" w:fill="auto"/>
            <w:vAlign w:val="center"/>
          </w:tcPr>
          <w:p w14:paraId="1DD65108" w14:textId="4267758C" w:rsidR="003426C4" w:rsidRPr="0098262F" w:rsidRDefault="00B76944" w:rsidP="00B9224E">
            <w:pPr>
              <w:pStyle w:val="TableText"/>
            </w:pPr>
            <w:r>
              <w:t>Annual initiating population</w:t>
            </w:r>
          </w:p>
        </w:tc>
        <w:tc>
          <w:tcPr>
            <w:tcW w:w="611" w:type="pct"/>
            <w:shd w:val="clear" w:color="auto" w:fill="auto"/>
            <w:vAlign w:val="center"/>
          </w:tcPr>
          <w:p w14:paraId="41EF55B4" w14:textId="45662342" w:rsidR="003426C4" w:rsidRPr="00321695" w:rsidRDefault="004E7B37" w:rsidP="00B9224E">
            <w:pPr>
              <w:pStyle w:val="TableText"/>
              <w:rPr>
                <w:highlight w:val="darkGray"/>
              </w:rPr>
            </w:pPr>
            <w:r w:rsidRPr="004E7B37">
              <w:rPr>
                <w:color w:val="000000"/>
                <w:spacing w:val="53"/>
                <w:shd w:val="solid" w:color="000000" w:fill="000000"/>
                <w:fitText w:val="330" w:id="-694516471"/>
                <w14:textFill>
                  <w14:solidFill>
                    <w14:srgbClr w14:val="000000">
                      <w14:alpha w14:val="100000"/>
                    </w14:srgbClr>
                  </w14:solidFill>
                </w14:textFill>
              </w:rPr>
              <w:t>|||</w:t>
            </w:r>
            <w:r w:rsidRPr="004E7B37">
              <w:rPr>
                <w:color w:val="000000"/>
                <w:spacing w:val="1"/>
                <w:shd w:val="solid" w:color="000000" w:fill="000000"/>
                <w:fitText w:val="330" w:id="-694516471"/>
                <w14:textFill>
                  <w14:solidFill>
                    <w14:srgbClr w14:val="000000">
                      <w14:alpha w14:val="100000"/>
                    </w14:srgbClr>
                  </w14:solidFill>
                </w14:textFill>
              </w:rPr>
              <w:t>|</w:t>
            </w:r>
            <w:r w:rsidR="00B60EF6" w:rsidRPr="00B60EF6">
              <w:rPr>
                <w:vertAlign w:val="superscript"/>
              </w:rPr>
              <w:t>1</w:t>
            </w:r>
          </w:p>
        </w:tc>
        <w:tc>
          <w:tcPr>
            <w:tcW w:w="611" w:type="pct"/>
            <w:shd w:val="clear" w:color="auto" w:fill="auto"/>
            <w:vAlign w:val="center"/>
          </w:tcPr>
          <w:p w14:paraId="15B7C444" w14:textId="6D18A80C" w:rsidR="003426C4" w:rsidRPr="00321695" w:rsidRDefault="004E7B37" w:rsidP="00B9224E">
            <w:pPr>
              <w:pStyle w:val="TableText"/>
              <w:rPr>
                <w:highlight w:val="darkGray"/>
              </w:rPr>
            </w:pPr>
            <w:r w:rsidRPr="004E7B37">
              <w:rPr>
                <w:color w:val="000000"/>
                <w:spacing w:val="53"/>
                <w:shd w:val="solid" w:color="000000" w:fill="000000"/>
                <w:fitText w:val="330" w:id="-694516470"/>
                <w14:textFill>
                  <w14:solidFill>
                    <w14:srgbClr w14:val="000000">
                      <w14:alpha w14:val="100000"/>
                    </w14:srgbClr>
                  </w14:solidFill>
                </w14:textFill>
              </w:rPr>
              <w:t>|||</w:t>
            </w:r>
            <w:r w:rsidRPr="004E7B37">
              <w:rPr>
                <w:color w:val="000000"/>
                <w:spacing w:val="1"/>
                <w:shd w:val="solid" w:color="000000" w:fill="000000"/>
                <w:fitText w:val="330" w:id="-694516470"/>
                <w14:textFill>
                  <w14:solidFill>
                    <w14:srgbClr w14:val="000000">
                      <w14:alpha w14:val="100000"/>
                    </w14:srgbClr>
                  </w14:solidFill>
                </w14:textFill>
              </w:rPr>
              <w:t>|</w:t>
            </w:r>
            <w:r w:rsidR="00B426C9" w:rsidRPr="00B60EF6">
              <w:rPr>
                <w:vertAlign w:val="superscript"/>
              </w:rPr>
              <w:t>1</w:t>
            </w:r>
          </w:p>
        </w:tc>
        <w:tc>
          <w:tcPr>
            <w:tcW w:w="611" w:type="pct"/>
            <w:shd w:val="clear" w:color="auto" w:fill="auto"/>
            <w:vAlign w:val="center"/>
          </w:tcPr>
          <w:p w14:paraId="45F1316E" w14:textId="17486DE0" w:rsidR="003426C4" w:rsidRPr="00321695" w:rsidRDefault="004E7B37" w:rsidP="00B9224E">
            <w:pPr>
              <w:pStyle w:val="TableText"/>
              <w:rPr>
                <w:highlight w:val="darkGray"/>
              </w:rPr>
            </w:pPr>
            <w:r w:rsidRPr="004E7B37">
              <w:rPr>
                <w:color w:val="000000"/>
                <w:spacing w:val="53"/>
                <w:shd w:val="solid" w:color="000000" w:fill="000000"/>
                <w:fitText w:val="330" w:id="-694516469"/>
                <w14:textFill>
                  <w14:solidFill>
                    <w14:srgbClr w14:val="000000">
                      <w14:alpha w14:val="100000"/>
                    </w14:srgbClr>
                  </w14:solidFill>
                </w14:textFill>
              </w:rPr>
              <w:t>|||</w:t>
            </w:r>
            <w:r w:rsidRPr="004E7B37">
              <w:rPr>
                <w:color w:val="000000"/>
                <w:spacing w:val="1"/>
                <w:shd w:val="solid" w:color="000000" w:fill="000000"/>
                <w:fitText w:val="330" w:id="-694516469"/>
                <w14:textFill>
                  <w14:solidFill>
                    <w14:srgbClr w14:val="000000">
                      <w14:alpha w14:val="100000"/>
                    </w14:srgbClr>
                  </w14:solidFill>
                </w14:textFill>
              </w:rPr>
              <w:t>|</w:t>
            </w:r>
            <w:r w:rsidR="00B426C9" w:rsidRPr="00B60EF6">
              <w:rPr>
                <w:vertAlign w:val="superscript"/>
              </w:rPr>
              <w:t>1</w:t>
            </w:r>
          </w:p>
        </w:tc>
        <w:tc>
          <w:tcPr>
            <w:tcW w:w="611" w:type="pct"/>
            <w:shd w:val="clear" w:color="auto" w:fill="auto"/>
            <w:vAlign w:val="center"/>
          </w:tcPr>
          <w:p w14:paraId="510222CD" w14:textId="577AFCD3" w:rsidR="003426C4" w:rsidRPr="00321695" w:rsidRDefault="004E7B37" w:rsidP="00B9224E">
            <w:pPr>
              <w:pStyle w:val="TableText"/>
              <w:rPr>
                <w:highlight w:val="darkGray"/>
              </w:rPr>
            </w:pPr>
            <w:r w:rsidRPr="004E7B37">
              <w:rPr>
                <w:color w:val="000000"/>
                <w:spacing w:val="53"/>
                <w:shd w:val="solid" w:color="000000" w:fill="000000"/>
                <w:fitText w:val="330" w:id="-694516468"/>
                <w14:textFill>
                  <w14:solidFill>
                    <w14:srgbClr w14:val="000000">
                      <w14:alpha w14:val="100000"/>
                    </w14:srgbClr>
                  </w14:solidFill>
                </w14:textFill>
              </w:rPr>
              <w:t>|||</w:t>
            </w:r>
            <w:r w:rsidRPr="004E7B37">
              <w:rPr>
                <w:color w:val="000000"/>
                <w:spacing w:val="1"/>
                <w:shd w:val="solid" w:color="000000" w:fill="000000"/>
                <w:fitText w:val="330" w:id="-694516468"/>
                <w14:textFill>
                  <w14:solidFill>
                    <w14:srgbClr w14:val="000000">
                      <w14:alpha w14:val="100000"/>
                    </w14:srgbClr>
                  </w14:solidFill>
                </w14:textFill>
              </w:rPr>
              <w:t>|</w:t>
            </w:r>
            <w:r w:rsidR="00B426C9" w:rsidRPr="00B60EF6">
              <w:rPr>
                <w:vertAlign w:val="superscript"/>
              </w:rPr>
              <w:t>1</w:t>
            </w:r>
          </w:p>
        </w:tc>
        <w:tc>
          <w:tcPr>
            <w:tcW w:w="611" w:type="pct"/>
            <w:shd w:val="clear" w:color="auto" w:fill="auto"/>
            <w:vAlign w:val="center"/>
          </w:tcPr>
          <w:p w14:paraId="59FDE425" w14:textId="5015338B" w:rsidR="003426C4" w:rsidRPr="00321695" w:rsidRDefault="004E7B37" w:rsidP="00B9224E">
            <w:pPr>
              <w:pStyle w:val="TableText"/>
              <w:rPr>
                <w:highlight w:val="darkGray"/>
              </w:rPr>
            </w:pPr>
            <w:r w:rsidRPr="004E7B37">
              <w:rPr>
                <w:color w:val="000000"/>
                <w:spacing w:val="53"/>
                <w:shd w:val="solid" w:color="000000" w:fill="000000"/>
                <w:fitText w:val="330" w:id="-694516467"/>
                <w14:textFill>
                  <w14:solidFill>
                    <w14:srgbClr w14:val="000000">
                      <w14:alpha w14:val="100000"/>
                    </w14:srgbClr>
                  </w14:solidFill>
                </w14:textFill>
              </w:rPr>
              <w:t>|||</w:t>
            </w:r>
            <w:r w:rsidRPr="004E7B37">
              <w:rPr>
                <w:color w:val="000000"/>
                <w:spacing w:val="1"/>
                <w:shd w:val="solid" w:color="000000" w:fill="000000"/>
                <w:fitText w:val="330" w:id="-694516467"/>
                <w14:textFill>
                  <w14:solidFill>
                    <w14:srgbClr w14:val="000000">
                      <w14:alpha w14:val="100000"/>
                    </w14:srgbClr>
                  </w14:solidFill>
                </w14:textFill>
              </w:rPr>
              <w:t>|</w:t>
            </w:r>
            <w:r w:rsidR="00B426C9" w:rsidRPr="00B60EF6">
              <w:rPr>
                <w:vertAlign w:val="superscript"/>
              </w:rPr>
              <w:t>1</w:t>
            </w:r>
          </w:p>
        </w:tc>
        <w:tc>
          <w:tcPr>
            <w:tcW w:w="611" w:type="pct"/>
          </w:tcPr>
          <w:p w14:paraId="7C2638D4" w14:textId="707628ED" w:rsidR="003426C4" w:rsidRPr="00321695" w:rsidRDefault="004E7B37" w:rsidP="00B9224E">
            <w:pPr>
              <w:pStyle w:val="TableText"/>
              <w:rPr>
                <w:highlight w:val="darkGray"/>
              </w:rPr>
            </w:pPr>
            <w:r w:rsidRPr="004E7B37">
              <w:rPr>
                <w:color w:val="000000"/>
                <w:spacing w:val="53"/>
                <w:shd w:val="solid" w:color="000000" w:fill="000000"/>
                <w:fitText w:val="330" w:id="-694516466"/>
                <w14:textFill>
                  <w14:solidFill>
                    <w14:srgbClr w14:val="000000">
                      <w14:alpha w14:val="100000"/>
                    </w14:srgbClr>
                  </w14:solidFill>
                </w14:textFill>
              </w:rPr>
              <w:t>|||</w:t>
            </w:r>
            <w:r w:rsidRPr="004E7B37">
              <w:rPr>
                <w:color w:val="000000"/>
                <w:spacing w:val="1"/>
                <w:shd w:val="solid" w:color="000000" w:fill="000000"/>
                <w:fitText w:val="330" w:id="-694516466"/>
                <w14:textFill>
                  <w14:solidFill>
                    <w14:srgbClr w14:val="000000">
                      <w14:alpha w14:val="100000"/>
                    </w14:srgbClr>
                  </w14:solidFill>
                </w14:textFill>
              </w:rPr>
              <w:t>|</w:t>
            </w:r>
            <w:r w:rsidR="00B426C9" w:rsidRPr="00B60EF6">
              <w:rPr>
                <w:vertAlign w:val="superscript"/>
              </w:rPr>
              <w:t>1</w:t>
            </w:r>
          </w:p>
        </w:tc>
      </w:tr>
      <w:tr w:rsidR="009D4A28" w:rsidRPr="0098262F" w14:paraId="4D4E657D" w14:textId="77777777" w:rsidTr="009D4A28">
        <w:tc>
          <w:tcPr>
            <w:tcW w:w="5000" w:type="pct"/>
            <w:gridSpan w:val="7"/>
            <w:shd w:val="clear" w:color="auto" w:fill="auto"/>
            <w:vAlign w:val="center"/>
          </w:tcPr>
          <w:p w14:paraId="46ABF121" w14:textId="10FDFBAB" w:rsidR="009D4A28" w:rsidRPr="0098262F" w:rsidRDefault="009D4A28" w:rsidP="00B9224E">
            <w:pPr>
              <w:pStyle w:val="TableText"/>
            </w:pPr>
            <w:r w:rsidRPr="009D4A28">
              <w:rPr>
                <w:b/>
                <w:bCs w:val="0"/>
              </w:rPr>
              <w:t>Number of scripts dispensed</w:t>
            </w:r>
            <w:r w:rsidRPr="009D4A28">
              <w:rPr>
                <w:b/>
                <w:bCs w:val="0"/>
                <w:vertAlign w:val="superscript"/>
              </w:rPr>
              <w:t>a</w:t>
            </w:r>
          </w:p>
        </w:tc>
      </w:tr>
      <w:tr w:rsidR="004F793F" w:rsidRPr="0098262F" w14:paraId="26FD7390" w14:textId="77777777" w:rsidTr="008A3158">
        <w:tc>
          <w:tcPr>
            <w:tcW w:w="1334" w:type="pct"/>
            <w:shd w:val="clear" w:color="auto" w:fill="auto"/>
            <w:vAlign w:val="center"/>
          </w:tcPr>
          <w:p w14:paraId="7073DD25" w14:textId="12F4089A" w:rsidR="004F793F" w:rsidRPr="0098262F" w:rsidRDefault="00175E7C" w:rsidP="00B9224E">
            <w:pPr>
              <w:pStyle w:val="TableText"/>
            </w:pPr>
            <w:r>
              <w:t xml:space="preserve">ELX/TEX/IVA </w:t>
            </w:r>
          </w:p>
        </w:tc>
        <w:tc>
          <w:tcPr>
            <w:tcW w:w="611" w:type="pct"/>
            <w:shd w:val="clear" w:color="auto" w:fill="auto"/>
            <w:vAlign w:val="center"/>
          </w:tcPr>
          <w:p w14:paraId="27F7CB94" w14:textId="7EA8C451" w:rsidR="004F793F" w:rsidRPr="00321695" w:rsidRDefault="004E7B37" w:rsidP="00B9224E">
            <w:pPr>
              <w:pStyle w:val="TableText"/>
              <w:rPr>
                <w:highlight w:val="darkGray"/>
              </w:rPr>
            </w:pPr>
            <w:r w:rsidRPr="004E7B37">
              <w:rPr>
                <w:color w:val="000000"/>
                <w:spacing w:val="53"/>
                <w:shd w:val="solid" w:color="000000" w:fill="000000"/>
                <w:fitText w:val="330" w:id="-694516465"/>
                <w14:textFill>
                  <w14:solidFill>
                    <w14:srgbClr w14:val="000000">
                      <w14:alpha w14:val="100000"/>
                    </w14:srgbClr>
                  </w14:solidFill>
                </w14:textFill>
              </w:rPr>
              <w:t>|||</w:t>
            </w:r>
            <w:r w:rsidRPr="004E7B37">
              <w:rPr>
                <w:color w:val="000000"/>
                <w:spacing w:val="1"/>
                <w:shd w:val="solid" w:color="000000" w:fill="000000"/>
                <w:fitText w:val="330" w:id="-694516465"/>
                <w14:textFill>
                  <w14:solidFill>
                    <w14:srgbClr w14:val="000000">
                      <w14:alpha w14:val="100000"/>
                    </w14:srgbClr>
                  </w14:solidFill>
                </w14:textFill>
              </w:rPr>
              <w:t>|</w:t>
            </w:r>
            <w:r w:rsidR="00B426C9" w:rsidRPr="00B426C9">
              <w:rPr>
                <w:vertAlign w:val="superscript"/>
              </w:rPr>
              <w:t>2</w:t>
            </w:r>
          </w:p>
        </w:tc>
        <w:tc>
          <w:tcPr>
            <w:tcW w:w="611" w:type="pct"/>
            <w:shd w:val="clear" w:color="auto" w:fill="auto"/>
            <w:vAlign w:val="center"/>
          </w:tcPr>
          <w:p w14:paraId="6849BF42" w14:textId="08C19394" w:rsidR="004F793F" w:rsidRPr="00321695" w:rsidRDefault="004E7B37" w:rsidP="00B9224E">
            <w:pPr>
              <w:pStyle w:val="TableText"/>
              <w:rPr>
                <w:highlight w:val="darkGray"/>
              </w:rPr>
            </w:pPr>
            <w:r w:rsidRPr="004E7B37">
              <w:rPr>
                <w:color w:val="000000"/>
                <w:spacing w:val="53"/>
                <w:shd w:val="solid" w:color="000000" w:fill="000000"/>
                <w:fitText w:val="330" w:id="-694516464"/>
                <w14:textFill>
                  <w14:solidFill>
                    <w14:srgbClr w14:val="000000">
                      <w14:alpha w14:val="100000"/>
                    </w14:srgbClr>
                  </w14:solidFill>
                </w14:textFill>
              </w:rPr>
              <w:t>|||</w:t>
            </w:r>
            <w:r w:rsidRPr="004E7B37">
              <w:rPr>
                <w:color w:val="000000"/>
                <w:spacing w:val="1"/>
                <w:shd w:val="solid" w:color="000000" w:fill="000000"/>
                <w:fitText w:val="330" w:id="-694516464"/>
                <w14:textFill>
                  <w14:solidFill>
                    <w14:srgbClr w14:val="000000">
                      <w14:alpha w14:val="100000"/>
                    </w14:srgbClr>
                  </w14:solidFill>
                </w14:textFill>
              </w:rPr>
              <w:t>|</w:t>
            </w:r>
            <w:r w:rsidR="00B426C9" w:rsidRPr="00B426C9">
              <w:rPr>
                <w:vertAlign w:val="superscript"/>
              </w:rPr>
              <w:t>2</w:t>
            </w:r>
          </w:p>
        </w:tc>
        <w:tc>
          <w:tcPr>
            <w:tcW w:w="611" w:type="pct"/>
            <w:shd w:val="clear" w:color="auto" w:fill="auto"/>
            <w:vAlign w:val="center"/>
          </w:tcPr>
          <w:p w14:paraId="703B46A7" w14:textId="26C7F5BF" w:rsidR="004F793F" w:rsidRPr="00321695" w:rsidRDefault="004E7B37" w:rsidP="00B9224E">
            <w:pPr>
              <w:pStyle w:val="TableText"/>
              <w:rPr>
                <w:highlight w:val="darkGray"/>
              </w:rPr>
            </w:pPr>
            <w:r w:rsidRPr="004E7B37">
              <w:rPr>
                <w:color w:val="000000"/>
                <w:spacing w:val="53"/>
                <w:shd w:val="solid" w:color="000000" w:fill="000000"/>
                <w:fitText w:val="330" w:id="-694516480"/>
                <w14:textFill>
                  <w14:solidFill>
                    <w14:srgbClr w14:val="000000">
                      <w14:alpha w14:val="100000"/>
                    </w14:srgbClr>
                  </w14:solidFill>
                </w14:textFill>
              </w:rPr>
              <w:t>|||</w:t>
            </w:r>
            <w:r w:rsidRPr="004E7B37">
              <w:rPr>
                <w:color w:val="000000"/>
                <w:spacing w:val="1"/>
                <w:shd w:val="solid" w:color="000000" w:fill="000000"/>
                <w:fitText w:val="330" w:id="-694516480"/>
                <w14:textFill>
                  <w14:solidFill>
                    <w14:srgbClr w14:val="000000">
                      <w14:alpha w14:val="100000"/>
                    </w14:srgbClr>
                  </w14:solidFill>
                </w14:textFill>
              </w:rPr>
              <w:t>|</w:t>
            </w:r>
            <w:r w:rsidR="00B426C9" w:rsidRPr="00B426C9">
              <w:rPr>
                <w:vertAlign w:val="superscript"/>
              </w:rPr>
              <w:t>2</w:t>
            </w:r>
          </w:p>
        </w:tc>
        <w:tc>
          <w:tcPr>
            <w:tcW w:w="611" w:type="pct"/>
            <w:shd w:val="clear" w:color="auto" w:fill="auto"/>
            <w:vAlign w:val="center"/>
          </w:tcPr>
          <w:p w14:paraId="2D12624A" w14:textId="1DC09143" w:rsidR="004F793F" w:rsidRPr="00321695" w:rsidRDefault="004E7B37" w:rsidP="00B9224E">
            <w:pPr>
              <w:pStyle w:val="TableText"/>
              <w:rPr>
                <w:highlight w:val="darkGray"/>
              </w:rPr>
            </w:pPr>
            <w:r w:rsidRPr="004E7B37">
              <w:rPr>
                <w:color w:val="000000"/>
                <w:spacing w:val="53"/>
                <w:shd w:val="solid" w:color="000000" w:fill="000000"/>
                <w:fitText w:val="330" w:id="-694516479"/>
                <w14:textFill>
                  <w14:solidFill>
                    <w14:srgbClr w14:val="000000">
                      <w14:alpha w14:val="100000"/>
                    </w14:srgbClr>
                  </w14:solidFill>
                </w14:textFill>
              </w:rPr>
              <w:t>|||</w:t>
            </w:r>
            <w:r w:rsidRPr="004E7B37">
              <w:rPr>
                <w:color w:val="000000"/>
                <w:spacing w:val="1"/>
                <w:shd w:val="solid" w:color="000000" w:fill="000000"/>
                <w:fitText w:val="330" w:id="-694516479"/>
                <w14:textFill>
                  <w14:solidFill>
                    <w14:srgbClr w14:val="000000">
                      <w14:alpha w14:val="100000"/>
                    </w14:srgbClr>
                  </w14:solidFill>
                </w14:textFill>
              </w:rPr>
              <w:t>|</w:t>
            </w:r>
            <w:r w:rsidR="00B426C9" w:rsidRPr="00B426C9">
              <w:rPr>
                <w:vertAlign w:val="superscript"/>
              </w:rPr>
              <w:t>2</w:t>
            </w:r>
          </w:p>
        </w:tc>
        <w:tc>
          <w:tcPr>
            <w:tcW w:w="611" w:type="pct"/>
            <w:shd w:val="clear" w:color="auto" w:fill="auto"/>
            <w:vAlign w:val="center"/>
          </w:tcPr>
          <w:p w14:paraId="355180D5" w14:textId="15347136" w:rsidR="004F793F" w:rsidRPr="00321695" w:rsidRDefault="004E7B37" w:rsidP="00B9224E">
            <w:pPr>
              <w:pStyle w:val="TableText"/>
              <w:rPr>
                <w:highlight w:val="darkGray"/>
              </w:rPr>
            </w:pPr>
            <w:r w:rsidRPr="004E7B37">
              <w:rPr>
                <w:color w:val="000000"/>
                <w:spacing w:val="53"/>
                <w:shd w:val="solid" w:color="000000" w:fill="000000"/>
                <w:fitText w:val="330" w:id="-694516478"/>
                <w14:textFill>
                  <w14:solidFill>
                    <w14:srgbClr w14:val="000000">
                      <w14:alpha w14:val="100000"/>
                    </w14:srgbClr>
                  </w14:solidFill>
                </w14:textFill>
              </w:rPr>
              <w:t>|||</w:t>
            </w:r>
            <w:r w:rsidRPr="004E7B37">
              <w:rPr>
                <w:color w:val="000000"/>
                <w:spacing w:val="1"/>
                <w:shd w:val="solid" w:color="000000" w:fill="000000"/>
                <w:fitText w:val="330" w:id="-694516478"/>
                <w14:textFill>
                  <w14:solidFill>
                    <w14:srgbClr w14:val="000000">
                      <w14:alpha w14:val="100000"/>
                    </w14:srgbClr>
                  </w14:solidFill>
                </w14:textFill>
              </w:rPr>
              <w:t>|</w:t>
            </w:r>
            <w:r w:rsidR="00B426C9" w:rsidRPr="00B426C9">
              <w:rPr>
                <w:vertAlign w:val="superscript"/>
              </w:rPr>
              <w:t>2</w:t>
            </w:r>
          </w:p>
        </w:tc>
        <w:tc>
          <w:tcPr>
            <w:tcW w:w="611" w:type="pct"/>
          </w:tcPr>
          <w:p w14:paraId="12C83DF4" w14:textId="31F851B0" w:rsidR="004F793F" w:rsidRPr="00321695" w:rsidRDefault="004E7B37" w:rsidP="00B9224E">
            <w:pPr>
              <w:pStyle w:val="TableText"/>
              <w:rPr>
                <w:highlight w:val="darkGray"/>
              </w:rPr>
            </w:pPr>
            <w:r w:rsidRPr="004E7B37">
              <w:rPr>
                <w:color w:val="000000"/>
                <w:spacing w:val="53"/>
                <w:shd w:val="solid" w:color="000000" w:fill="000000"/>
                <w:fitText w:val="330" w:id="-694516477"/>
                <w14:textFill>
                  <w14:solidFill>
                    <w14:srgbClr w14:val="000000">
                      <w14:alpha w14:val="100000"/>
                    </w14:srgbClr>
                  </w14:solidFill>
                </w14:textFill>
              </w:rPr>
              <w:t>|||</w:t>
            </w:r>
            <w:r w:rsidRPr="004E7B37">
              <w:rPr>
                <w:color w:val="000000"/>
                <w:spacing w:val="1"/>
                <w:shd w:val="solid" w:color="000000" w:fill="000000"/>
                <w:fitText w:val="330" w:id="-694516477"/>
                <w14:textFill>
                  <w14:solidFill>
                    <w14:srgbClr w14:val="000000">
                      <w14:alpha w14:val="100000"/>
                    </w14:srgbClr>
                  </w14:solidFill>
                </w14:textFill>
              </w:rPr>
              <w:t>|</w:t>
            </w:r>
            <w:r w:rsidR="00B426C9" w:rsidRPr="00B426C9">
              <w:rPr>
                <w:vertAlign w:val="superscript"/>
              </w:rPr>
              <w:t>2</w:t>
            </w:r>
          </w:p>
        </w:tc>
      </w:tr>
      <w:tr w:rsidR="00B76944" w:rsidRPr="0098262F" w14:paraId="1D95F9D3" w14:textId="77777777" w:rsidTr="008A3158">
        <w:tc>
          <w:tcPr>
            <w:tcW w:w="1334" w:type="pct"/>
            <w:shd w:val="clear" w:color="auto" w:fill="auto"/>
            <w:vAlign w:val="center"/>
          </w:tcPr>
          <w:p w14:paraId="31D8BB93" w14:textId="5CE4EBF2" w:rsidR="00B76944" w:rsidRDefault="00B76944" w:rsidP="00B9224E">
            <w:pPr>
              <w:pStyle w:val="TableText"/>
            </w:pPr>
            <w:r>
              <w:t>Ivacaftor scripts replaced – non gating</w:t>
            </w:r>
          </w:p>
        </w:tc>
        <w:tc>
          <w:tcPr>
            <w:tcW w:w="611" w:type="pct"/>
            <w:shd w:val="clear" w:color="auto" w:fill="auto"/>
            <w:vAlign w:val="center"/>
          </w:tcPr>
          <w:p w14:paraId="62A0CE11" w14:textId="3B382603" w:rsidR="00B76944" w:rsidRDefault="00B76944" w:rsidP="00B9224E">
            <w:pPr>
              <w:pStyle w:val="TableText"/>
            </w:pPr>
            <w:r>
              <w:t>-</w:t>
            </w:r>
            <w:r w:rsidR="004E7B37" w:rsidRPr="004E7B37">
              <w:rPr>
                <w:color w:val="000000"/>
                <w:spacing w:val="53"/>
                <w:shd w:val="solid" w:color="000000" w:fill="000000"/>
                <w:fitText w:val="330" w:id="-694516476"/>
                <w14:textFill>
                  <w14:solidFill>
                    <w14:srgbClr w14:val="000000">
                      <w14:alpha w14:val="100000"/>
                    </w14:srgbClr>
                  </w14:solidFill>
                </w14:textFill>
              </w:rPr>
              <w:t>|||</w:t>
            </w:r>
            <w:r w:rsidR="004E7B37" w:rsidRPr="004E7B37">
              <w:rPr>
                <w:color w:val="000000"/>
                <w:spacing w:val="1"/>
                <w:shd w:val="solid" w:color="000000" w:fill="000000"/>
                <w:fitText w:val="330" w:id="-694516476"/>
                <w14:textFill>
                  <w14:solidFill>
                    <w14:srgbClr w14:val="000000">
                      <w14:alpha w14:val="100000"/>
                    </w14:srgbClr>
                  </w14:solidFill>
                </w14:textFill>
              </w:rPr>
              <w:t>|</w:t>
            </w:r>
            <w:r w:rsidR="00B426C9" w:rsidRPr="00B426C9">
              <w:rPr>
                <w:vertAlign w:val="superscript"/>
              </w:rPr>
              <w:t>2</w:t>
            </w:r>
          </w:p>
        </w:tc>
        <w:tc>
          <w:tcPr>
            <w:tcW w:w="611" w:type="pct"/>
            <w:shd w:val="clear" w:color="auto" w:fill="auto"/>
            <w:vAlign w:val="center"/>
          </w:tcPr>
          <w:p w14:paraId="4E0E4FF2" w14:textId="5AEF6785" w:rsidR="00B76944" w:rsidRDefault="00B76944" w:rsidP="00B9224E">
            <w:pPr>
              <w:pStyle w:val="TableText"/>
            </w:pPr>
            <w:r>
              <w:t>-</w:t>
            </w:r>
            <w:r w:rsidR="004E7B37" w:rsidRPr="004E7B37">
              <w:rPr>
                <w:color w:val="000000"/>
                <w:spacing w:val="53"/>
                <w:shd w:val="solid" w:color="000000" w:fill="000000"/>
                <w:fitText w:val="330" w:id="-694516475"/>
                <w14:textFill>
                  <w14:solidFill>
                    <w14:srgbClr w14:val="000000">
                      <w14:alpha w14:val="100000"/>
                    </w14:srgbClr>
                  </w14:solidFill>
                </w14:textFill>
              </w:rPr>
              <w:t>|||</w:t>
            </w:r>
            <w:r w:rsidR="004E7B37" w:rsidRPr="004E7B37">
              <w:rPr>
                <w:color w:val="000000"/>
                <w:spacing w:val="1"/>
                <w:shd w:val="solid" w:color="000000" w:fill="000000"/>
                <w:fitText w:val="330" w:id="-694516475"/>
                <w14:textFill>
                  <w14:solidFill>
                    <w14:srgbClr w14:val="000000">
                      <w14:alpha w14:val="100000"/>
                    </w14:srgbClr>
                  </w14:solidFill>
                </w14:textFill>
              </w:rPr>
              <w:t>|</w:t>
            </w:r>
            <w:r w:rsidR="00B426C9" w:rsidRPr="00B426C9">
              <w:rPr>
                <w:vertAlign w:val="superscript"/>
              </w:rPr>
              <w:t>2</w:t>
            </w:r>
          </w:p>
        </w:tc>
        <w:tc>
          <w:tcPr>
            <w:tcW w:w="611" w:type="pct"/>
            <w:shd w:val="clear" w:color="auto" w:fill="auto"/>
            <w:vAlign w:val="center"/>
          </w:tcPr>
          <w:p w14:paraId="161DD4BA" w14:textId="7B21CD1F" w:rsidR="00B76944" w:rsidRDefault="00B76944" w:rsidP="00B9224E">
            <w:pPr>
              <w:pStyle w:val="TableText"/>
            </w:pPr>
            <w:r>
              <w:t>-</w:t>
            </w:r>
            <w:r w:rsidR="004E7B37" w:rsidRPr="004E7B37">
              <w:rPr>
                <w:color w:val="000000"/>
                <w:spacing w:val="53"/>
                <w:shd w:val="solid" w:color="000000" w:fill="000000"/>
                <w:fitText w:val="330" w:id="-694516474"/>
                <w14:textFill>
                  <w14:solidFill>
                    <w14:srgbClr w14:val="000000">
                      <w14:alpha w14:val="100000"/>
                    </w14:srgbClr>
                  </w14:solidFill>
                </w14:textFill>
              </w:rPr>
              <w:t>|||</w:t>
            </w:r>
            <w:r w:rsidR="004E7B37" w:rsidRPr="004E7B37">
              <w:rPr>
                <w:color w:val="000000"/>
                <w:spacing w:val="1"/>
                <w:shd w:val="solid" w:color="000000" w:fill="000000"/>
                <w:fitText w:val="330" w:id="-694516474"/>
                <w14:textFill>
                  <w14:solidFill>
                    <w14:srgbClr w14:val="000000">
                      <w14:alpha w14:val="100000"/>
                    </w14:srgbClr>
                  </w14:solidFill>
                </w14:textFill>
              </w:rPr>
              <w:t>|</w:t>
            </w:r>
            <w:r w:rsidR="00B426C9" w:rsidRPr="00B426C9">
              <w:rPr>
                <w:vertAlign w:val="superscript"/>
              </w:rPr>
              <w:t>2</w:t>
            </w:r>
          </w:p>
        </w:tc>
        <w:tc>
          <w:tcPr>
            <w:tcW w:w="611" w:type="pct"/>
            <w:shd w:val="clear" w:color="auto" w:fill="auto"/>
            <w:vAlign w:val="center"/>
          </w:tcPr>
          <w:p w14:paraId="1176A6EF" w14:textId="7CB6C6F7" w:rsidR="00B76944" w:rsidRDefault="00B76944" w:rsidP="00B9224E">
            <w:pPr>
              <w:pStyle w:val="TableText"/>
            </w:pPr>
            <w:r>
              <w:t>-</w:t>
            </w:r>
            <w:r w:rsidR="004E7B37" w:rsidRPr="004E7B37">
              <w:rPr>
                <w:color w:val="000000"/>
                <w:spacing w:val="53"/>
                <w:shd w:val="solid" w:color="000000" w:fill="000000"/>
                <w:fitText w:val="330" w:id="-694516473"/>
                <w14:textFill>
                  <w14:solidFill>
                    <w14:srgbClr w14:val="000000">
                      <w14:alpha w14:val="100000"/>
                    </w14:srgbClr>
                  </w14:solidFill>
                </w14:textFill>
              </w:rPr>
              <w:t>|||</w:t>
            </w:r>
            <w:r w:rsidR="004E7B37" w:rsidRPr="004E7B37">
              <w:rPr>
                <w:color w:val="000000"/>
                <w:spacing w:val="1"/>
                <w:shd w:val="solid" w:color="000000" w:fill="000000"/>
                <w:fitText w:val="330" w:id="-694516473"/>
                <w14:textFill>
                  <w14:solidFill>
                    <w14:srgbClr w14:val="000000">
                      <w14:alpha w14:val="100000"/>
                    </w14:srgbClr>
                  </w14:solidFill>
                </w14:textFill>
              </w:rPr>
              <w:t>|</w:t>
            </w:r>
            <w:r w:rsidR="00B426C9" w:rsidRPr="00B426C9">
              <w:rPr>
                <w:vertAlign w:val="superscript"/>
              </w:rPr>
              <w:t>2</w:t>
            </w:r>
          </w:p>
        </w:tc>
        <w:tc>
          <w:tcPr>
            <w:tcW w:w="611" w:type="pct"/>
            <w:shd w:val="clear" w:color="auto" w:fill="auto"/>
            <w:vAlign w:val="center"/>
          </w:tcPr>
          <w:p w14:paraId="0FEEDD9E" w14:textId="6A8D0765" w:rsidR="00B76944" w:rsidRDefault="00B76944" w:rsidP="00B9224E">
            <w:pPr>
              <w:pStyle w:val="TableText"/>
            </w:pPr>
            <w:r>
              <w:t>-</w:t>
            </w:r>
            <w:r w:rsidR="004E7B37" w:rsidRPr="004E7B37">
              <w:rPr>
                <w:color w:val="000000"/>
                <w:spacing w:val="53"/>
                <w:shd w:val="solid" w:color="000000" w:fill="000000"/>
                <w:fitText w:val="330" w:id="-694516472"/>
                <w14:textFill>
                  <w14:solidFill>
                    <w14:srgbClr w14:val="000000">
                      <w14:alpha w14:val="100000"/>
                    </w14:srgbClr>
                  </w14:solidFill>
                </w14:textFill>
              </w:rPr>
              <w:t>|||</w:t>
            </w:r>
            <w:r w:rsidR="004E7B37" w:rsidRPr="004E7B37">
              <w:rPr>
                <w:color w:val="000000"/>
                <w:spacing w:val="1"/>
                <w:shd w:val="solid" w:color="000000" w:fill="000000"/>
                <w:fitText w:val="330" w:id="-694516472"/>
                <w14:textFill>
                  <w14:solidFill>
                    <w14:srgbClr w14:val="000000">
                      <w14:alpha w14:val="100000"/>
                    </w14:srgbClr>
                  </w14:solidFill>
                </w14:textFill>
              </w:rPr>
              <w:t>|</w:t>
            </w:r>
            <w:r w:rsidR="00B426C9" w:rsidRPr="00B426C9">
              <w:rPr>
                <w:vertAlign w:val="superscript"/>
              </w:rPr>
              <w:t>2</w:t>
            </w:r>
          </w:p>
        </w:tc>
        <w:tc>
          <w:tcPr>
            <w:tcW w:w="611" w:type="pct"/>
          </w:tcPr>
          <w:p w14:paraId="59B8B21D" w14:textId="00BF3E0B" w:rsidR="00B76944" w:rsidRDefault="00B76944" w:rsidP="00B9224E">
            <w:pPr>
              <w:pStyle w:val="TableText"/>
            </w:pPr>
            <w:r>
              <w:t>-</w:t>
            </w:r>
            <w:r w:rsidR="004E7B37" w:rsidRPr="004E7B37">
              <w:rPr>
                <w:color w:val="000000"/>
                <w:spacing w:val="53"/>
                <w:shd w:val="solid" w:color="000000" w:fill="000000"/>
                <w:fitText w:val="330" w:id="-694516471"/>
                <w14:textFill>
                  <w14:solidFill>
                    <w14:srgbClr w14:val="000000">
                      <w14:alpha w14:val="100000"/>
                    </w14:srgbClr>
                  </w14:solidFill>
                </w14:textFill>
              </w:rPr>
              <w:t>|||</w:t>
            </w:r>
            <w:r w:rsidR="004E7B37" w:rsidRPr="004E7B37">
              <w:rPr>
                <w:color w:val="000000"/>
                <w:spacing w:val="1"/>
                <w:shd w:val="solid" w:color="000000" w:fill="000000"/>
                <w:fitText w:val="330" w:id="-694516471"/>
                <w14:textFill>
                  <w14:solidFill>
                    <w14:srgbClr w14:val="000000">
                      <w14:alpha w14:val="100000"/>
                    </w14:srgbClr>
                  </w14:solidFill>
                </w14:textFill>
              </w:rPr>
              <w:t>|</w:t>
            </w:r>
            <w:r w:rsidR="00B426C9" w:rsidRPr="00B426C9">
              <w:rPr>
                <w:vertAlign w:val="superscript"/>
              </w:rPr>
              <w:t>2</w:t>
            </w:r>
          </w:p>
        </w:tc>
      </w:tr>
      <w:tr w:rsidR="00B76944" w:rsidRPr="0098262F" w14:paraId="037D0580" w14:textId="77777777" w:rsidTr="00B76944">
        <w:trPr>
          <w:trHeight w:val="63"/>
        </w:trPr>
        <w:tc>
          <w:tcPr>
            <w:tcW w:w="1334" w:type="pct"/>
            <w:shd w:val="clear" w:color="auto" w:fill="auto"/>
            <w:vAlign w:val="center"/>
          </w:tcPr>
          <w:p w14:paraId="0D7E8D3D" w14:textId="26113FDD" w:rsidR="00B76944" w:rsidRDefault="00B76944" w:rsidP="00B9224E">
            <w:pPr>
              <w:pStyle w:val="TableText"/>
            </w:pPr>
            <w:r>
              <w:t>Ivacaftor scripts replaced - gating</w:t>
            </w:r>
          </w:p>
        </w:tc>
        <w:tc>
          <w:tcPr>
            <w:tcW w:w="611" w:type="pct"/>
            <w:shd w:val="clear" w:color="auto" w:fill="auto"/>
            <w:vAlign w:val="center"/>
          </w:tcPr>
          <w:p w14:paraId="4AFD2697" w14:textId="6FF3550E" w:rsidR="00B76944" w:rsidRDefault="00B76944" w:rsidP="00B9224E">
            <w:pPr>
              <w:pStyle w:val="TableText"/>
            </w:pPr>
            <w:r>
              <w:t>-</w:t>
            </w:r>
            <w:r w:rsidR="004E7B37" w:rsidRPr="004E7B37">
              <w:rPr>
                <w:color w:val="000000"/>
                <w:spacing w:val="53"/>
                <w:shd w:val="solid" w:color="000000" w:fill="000000"/>
                <w:fitText w:val="330" w:id="-694516470"/>
                <w14:textFill>
                  <w14:solidFill>
                    <w14:srgbClr w14:val="000000">
                      <w14:alpha w14:val="100000"/>
                    </w14:srgbClr>
                  </w14:solidFill>
                </w14:textFill>
              </w:rPr>
              <w:t>|||</w:t>
            </w:r>
            <w:r w:rsidR="004E7B37" w:rsidRPr="004E7B37">
              <w:rPr>
                <w:color w:val="000000"/>
                <w:spacing w:val="1"/>
                <w:shd w:val="solid" w:color="000000" w:fill="000000"/>
                <w:fitText w:val="330" w:id="-694516470"/>
                <w14:textFill>
                  <w14:solidFill>
                    <w14:srgbClr w14:val="000000">
                      <w14:alpha w14:val="100000"/>
                    </w14:srgbClr>
                  </w14:solidFill>
                </w14:textFill>
              </w:rPr>
              <w:t>|</w:t>
            </w:r>
            <w:r w:rsidR="00B426C9" w:rsidRPr="00B60EF6">
              <w:rPr>
                <w:vertAlign w:val="superscript"/>
              </w:rPr>
              <w:t>1</w:t>
            </w:r>
          </w:p>
        </w:tc>
        <w:tc>
          <w:tcPr>
            <w:tcW w:w="611" w:type="pct"/>
            <w:shd w:val="clear" w:color="auto" w:fill="auto"/>
            <w:vAlign w:val="center"/>
          </w:tcPr>
          <w:p w14:paraId="6CBE48FE" w14:textId="636E700B" w:rsidR="00B76944" w:rsidRDefault="00B76944" w:rsidP="00B9224E">
            <w:pPr>
              <w:pStyle w:val="TableText"/>
            </w:pPr>
            <w:r>
              <w:t>-</w:t>
            </w:r>
            <w:r w:rsidR="004E7B37" w:rsidRPr="004E7B37">
              <w:rPr>
                <w:color w:val="000000"/>
                <w:spacing w:val="53"/>
                <w:shd w:val="solid" w:color="000000" w:fill="000000"/>
                <w:fitText w:val="330" w:id="-694516469"/>
                <w14:textFill>
                  <w14:solidFill>
                    <w14:srgbClr w14:val="000000">
                      <w14:alpha w14:val="100000"/>
                    </w14:srgbClr>
                  </w14:solidFill>
                </w14:textFill>
              </w:rPr>
              <w:t>|||</w:t>
            </w:r>
            <w:r w:rsidR="004E7B37" w:rsidRPr="004E7B37">
              <w:rPr>
                <w:color w:val="000000"/>
                <w:spacing w:val="1"/>
                <w:shd w:val="solid" w:color="000000" w:fill="000000"/>
                <w:fitText w:val="330" w:id="-694516469"/>
                <w14:textFill>
                  <w14:solidFill>
                    <w14:srgbClr w14:val="000000">
                      <w14:alpha w14:val="100000"/>
                    </w14:srgbClr>
                  </w14:solidFill>
                </w14:textFill>
              </w:rPr>
              <w:t>|</w:t>
            </w:r>
            <w:r w:rsidR="00B426C9" w:rsidRPr="00B60EF6">
              <w:rPr>
                <w:vertAlign w:val="superscript"/>
              </w:rPr>
              <w:t>1</w:t>
            </w:r>
          </w:p>
        </w:tc>
        <w:tc>
          <w:tcPr>
            <w:tcW w:w="611" w:type="pct"/>
            <w:shd w:val="clear" w:color="auto" w:fill="auto"/>
            <w:vAlign w:val="center"/>
          </w:tcPr>
          <w:p w14:paraId="5B0325D1" w14:textId="04A722FC" w:rsidR="00B76944" w:rsidRDefault="00B76944" w:rsidP="00B9224E">
            <w:pPr>
              <w:pStyle w:val="TableText"/>
            </w:pPr>
            <w:r>
              <w:t>-</w:t>
            </w:r>
            <w:r w:rsidR="004E7B37" w:rsidRPr="004E7B37">
              <w:rPr>
                <w:color w:val="000000"/>
                <w:spacing w:val="53"/>
                <w:shd w:val="solid" w:color="000000" w:fill="000000"/>
                <w:fitText w:val="330" w:id="-694516468"/>
                <w14:textFill>
                  <w14:solidFill>
                    <w14:srgbClr w14:val="000000">
                      <w14:alpha w14:val="100000"/>
                    </w14:srgbClr>
                  </w14:solidFill>
                </w14:textFill>
              </w:rPr>
              <w:t>|||</w:t>
            </w:r>
            <w:r w:rsidR="004E7B37" w:rsidRPr="004E7B37">
              <w:rPr>
                <w:color w:val="000000"/>
                <w:spacing w:val="1"/>
                <w:shd w:val="solid" w:color="000000" w:fill="000000"/>
                <w:fitText w:val="330" w:id="-694516468"/>
                <w14:textFill>
                  <w14:solidFill>
                    <w14:srgbClr w14:val="000000">
                      <w14:alpha w14:val="100000"/>
                    </w14:srgbClr>
                  </w14:solidFill>
                </w14:textFill>
              </w:rPr>
              <w:t>|</w:t>
            </w:r>
            <w:r w:rsidR="00B426C9" w:rsidRPr="00B426C9">
              <w:rPr>
                <w:vertAlign w:val="superscript"/>
              </w:rPr>
              <w:t>2</w:t>
            </w:r>
          </w:p>
        </w:tc>
        <w:tc>
          <w:tcPr>
            <w:tcW w:w="611" w:type="pct"/>
            <w:shd w:val="clear" w:color="auto" w:fill="auto"/>
            <w:vAlign w:val="center"/>
          </w:tcPr>
          <w:p w14:paraId="22CEB232" w14:textId="70CAA1E1" w:rsidR="00B76944" w:rsidRDefault="00B76944" w:rsidP="00B9224E">
            <w:pPr>
              <w:pStyle w:val="TableText"/>
            </w:pPr>
            <w:r>
              <w:t>-</w:t>
            </w:r>
            <w:r w:rsidR="004E7B37" w:rsidRPr="004E7B37">
              <w:rPr>
                <w:color w:val="000000"/>
                <w:spacing w:val="53"/>
                <w:shd w:val="solid" w:color="000000" w:fill="000000"/>
                <w:fitText w:val="330" w:id="-694516467"/>
                <w14:textFill>
                  <w14:solidFill>
                    <w14:srgbClr w14:val="000000">
                      <w14:alpha w14:val="100000"/>
                    </w14:srgbClr>
                  </w14:solidFill>
                </w14:textFill>
              </w:rPr>
              <w:t>|||</w:t>
            </w:r>
            <w:r w:rsidR="004E7B37" w:rsidRPr="004E7B37">
              <w:rPr>
                <w:color w:val="000000"/>
                <w:spacing w:val="1"/>
                <w:shd w:val="solid" w:color="000000" w:fill="000000"/>
                <w:fitText w:val="330" w:id="-694516467"/>
                <w14:textFill>
                  <w14:solidFill>
                    <w14:srgbClr w14:val="000000">
                      <w14:alpha w14:val="100000"/>
                    </w14:srgbClr>
                  </w14:solidFill>
                </w14:textFill>
              </w:rPr>
              <w:t>|</w:t>
            </w:r>
            <w:r w:rsidR="00B426C9" w:rsidRPr="00B426C9">
              <w:rPr>
                <w:vertAlign w:val="superscript"/>
              </w:rPr>
              <w:t>2</w:t>
            </w:r>
          </w:p>
        </w:tc>
        <w:tc>
          <w:tcPr>
            <w:tcW w:w="611" w:type="pct"/>
            <w:shd w:val="clear" w:color="auto" w:fill="auto"/>
            <w:vAlign w:val="center"/>
          </w:tcPr>
          <w:p w14:paraId="6E96F7E3" w14:textId="7AEEA89B" w:rsidR="00B76944" w:rsidRDefault="00B76944" w:rsidP="00B9224E">
            <w:pPr>
              <w:pStyle w:val="TableText"/>
            </w:pPr>
            <w:r>
              <w:t>-</w:t>
            </w:r>
            <w:r w:rsidR="004E7B37" w:rsidRPr="004E7B37">
              <w:rPr>
                <w:color w:val="000000"/>
                <w:spacing w:val="53"/>
                <w:shd w:val="solid" w:color="000000" w:fill="000000"/>
                <w:fitText w:val="330" w:id="-694516466"/>
                <w14:textFill>
                  <w14:solidFill>
                    <w14:srgbClr w14:val="000000">
                      <w14:alpha w14:val="100000"/>
                    </w14:srgbClr>
                  </w14:solidFill>
                </w14:textFill>
              </w:rPr>
              <w:t>|||</w:t>
            </w:r>
            <w:r w:rsidR="004E7B37" w:rsidRPr="004E7B37">
              <w:rPr>
                <w:color w:val="000000"/>
                <w:spacing w:val="1"/>
                <w:shd w:val="solid" w:color="000000" w:fill="000000"/>
                <w:fitText w:val="330" w:id="-694516466"/>
                <w14:textFill>
                  <w14:solidFill>
                    <w14:srgbClr w14:val="000000">
                      <w14:alpha w14:val="100000"/>
                    </w14:srgbClr>
                  </w14:solidFill>
                </w14:textFill>
              </w:rPr>
              <w:t>|</w:t>
            </w:r>
            <w:r w:rsidR="00B426C9" w:rsidRPr="00B426C9">
              <w:rPr>
                <w:vertAlign w:val="superscript"/>
              </w:rPr>
              <w:t>2</w:t>
            </w:r>
          </w:p>
        </w:tc>
        <w:tc>
          <w:tcPr>
            <w:tcW w:w="611" w:type="pct"/>
          </w:tcPr>
          <w:p w14:paraId="30B0A37F" w14:textId="245A851F" w:rsidR="00B76944" w:rsidRDefault="00B76944" w:rsidP="00B9224E">
            <w:pPr>
              <w:pStyle w:val="TableText"/>
            </w:pPr>
            <w:r>
              <w:t>-</w:t>
            </w:r>
            <w:r w:rsidR="004E7B37" w:rsidRPr="004E7B37">
              <w:rPr>
                <w:color w:val="000000"/>
                <w:spacing w:val="53"/>
                <w:shd w:val="solid" w:color="000000" w:fill="000000"/>
                <w:fitText w:val="330" w:id="-694516465"/>
                <w14:textFill>
                  <w14:solidFill>
                    <w14:srgbClr w14:val="000000">
                      <w14:alpha w14:val="100000"/>
                    </w14:srgbClr>
                  </w14:solidFill>
                </w14:textFill>
              </w:rPr>
              <w:t>|||</w:t>
            </w:r>
            <w:r w:rsidR="004E7B37" w:rsidRPr="004E7B37">
              <w:rPr>
                <w:color w:val="000000"/>
                <w:spacing w:val="1"/>
                <w:shd w:val="solid" w:color="000000" w:fill="000000"/>
                <w:fitText w:val="330" w:id="-694516465"/>
                <w14:textFill>
                  <w14:solidFill>
                    <w14:srgbClr w14:val="000000">
                      <w14:alpha w14:val="100000"/>
                    </w14:srgbClr>
                  </w14:solidFill>
                </w14:textFill>
              </w:rPr>
              <w:t>|</w:t>
            </w:r>
            <w:r w:rsidR="00B426C9" w:rsidRPr="00B426C9">
              <w:rPr>
                <w:vertAlign w:val="superscript"/>
              </w:rPr>
              <w:t>2</w:t>
            </w:r>
          </w:p>
        </w:tc>
      </w:tr>
      <w:tr w:rsidR="00B76944" w:rsidRPr="0098262F" w14:paraId="0FFAE62C" w14:textId="77777777" w:rsidTr="008A3158">
        <w:tc>
          <w:tcPr>
            <w:tcW w:w="1334" w:type="pct"/>
            <w:shd w:val="clear" w:color="auto" w:fill="auto"/>
            <w:vAlign w:val="center"/>
          </w:tcPr>
          <w:p w14:paraId="3262207E" w14:textId="40716D1E" w:rsidR="00B76944" w:rsidRDefault="00B76944" w:rsidP="00B9224E">
            <w:pPr>
              <w:pStyle w:val="TableText"/>
            </w:pPr>
            <w:r>
              <w:t>TEZ/IVA scripts replaced</w:t>
            </w:r>
          </w:p>
        </w:tc>
        <w:tc>
          <w:tcPr>
            <w:tcW w:w="611" w:type="pct"/>
            <w:shd w:val="clear" w:color="auto" w:fill="auto"/>
            <w:vAlign w:val="center"/>
          </w:tcPr>
          <w:p w14:paraId="79854E32" w14:textId="60604421" w:rsidR="00B76944" w:rsidRDefault="00CA4089" w:rsidP="00B9224E">
            <w:pPr>
              <w:pStyle w:val="TableText"/>
            </w:pPr>
            <w:r>
              <w:t>-</w:t>
            </w:r>
            <w:r w:rsidR="004E7B37" w:rsidRPr="004E7B37">
              <w:rPr>
                <w:color w:val="000000"/>
                <w:spacing w:val="53"/>
                <w:shd w:val="solid" w:color="000000" w:fill="000000"/>
                <w:fitText w:val="330" w:id="-694516464"/>
                <w14:textFill>
                  <w14:solidFill>
                    <w14:srgbClr w14:val="000000">
                      <w14:alpha w14:val="100000"/>
                    </w14:srgbClr>
                  </w14:solidFill>
                </w14:textFill>
              </w:rPr>
              <w:t>|||</w:t>
            </w:r>
            <w:r w:rsidR="004E7B37" w:rsidRPr="004E7B37">
              <w:rPr>
                <w:color w:val="000000"/>
                <w:spacing w:val="1"/>
                <w:shd w:val="solid" w:color="000000" w:fill="000000"/>
                <w:fitText w:val="330" w:id="-694516464"/>
                <w14:textFill>
                  <w14:solidFill>
                    <w14:srgbClr w14:val="000000">
                      <w14:alpha w14:val="100000"/>
                    </w14:srgbClr>
                  </w14:solidFill>
                </w14:textFill>
              </w:rPr>
              <w:t>|</w:t>
            </w:r>
            <w:r w:rsidR="00B426C9" w:rsidRPr="00B60EF6">
              <w:rPr>
                <w:vertAlign w:val="superscript"/>
              </w:rPr>
              <w:t>1</w:t>
            </w:r>
          </w:p>
        </w:tc>
        <w:tc>
          <w:tcPr>
            <w:tcW w:w="611" w:type="pct"/>
            <w:shd w:val="clear" w:color="auto" w:fill="auto"/>
            <w:vAlign w:val="center"/>
          </w:tcPr>
          <w:p w14:paraId="0A15DEDC" w14:textId="54A7A6E0" w:rsidR="00B76944" w:rsidRDefault="00CA4089" w:rsidP="00B9224E">
            <w:pPr>
              <w:pStyle w:val="TableText"/>
            </w:pPr>
            <w:r>
              <w:t>-</w:t>
            </w:r>
            <w:r w:rsidR="004E7B37" w:rsidRPr="004E7B37">
              <w:rPr>
                <w:color w:val="000000"/>
                <w:spacing w:val="53"/>
                <w:shd w:val="solid" w:color="000000" w:fill="000000"/>
                <w:fitText w:val="330" w:id="-694516480"/>
                <w14:textFill>
                  <w14:solidFill>
                    <w14:srgbClr w14:val="000000">
                      <w14:alpha w14:val="100000"/>
                    </w14:srgbClr>
                  </w14:solidFill>
                </w14:textFill>
              </w:rPr>
              <w:t>|||</w:t>
            </w:r>
            <w:r w:rsidR="004E7B37" w:rsidRPr="004E7B37">
              <w:rPr>
                <w:color w:val="000000"/>
                <w:spacing w:val="1"/>
                <w:shd w:val="solid" w:color="000000" w:fill="000000"/>
                <w:fitText w:val="330" w:id="-694516480"/>
                <w14:textFill>
                  <w14:solidFill>
                    <w14:srgbClr w14:val="000000">
                      <w14:alpha w14:val="100000"/>
                    </w14:srgbClr>
                  </w14:solidFill>
                </w14:textFill>
              </w:rPr>
              <w:t>|</w:t>
            </w:r>
            <w:r w:rsidR="00B426C9" w:rsidRPr="00B60EF6">
              <w:rPr>
                <w:vertAlign w:val="superscript"/>
              </w:rPr>
              <w:t>1</w:t>
            </w:r>
          </w:p>
        </w:tc>
        <w:tc>
          <w:tcPr>
            <w:tcW w:w="611" w:type="pct"/>
            <w:shd w:val="clear" w:color="auto" w:fill="auto"/>
            <w:vAlign w:val="center"/>
          </w:tcPr>
          <w:p w14:paraId="041359CB" w14:textId="6A0C9968" w:rsidR="00B76944" w:rsidRDefault="00CA4089" w:rsidP="00B9224E">
            <w:pPr>
              <w:pStyle w:val="TableText"/>
            </w:pPr>
            <w:r>
              <w:t>-</w:t>
            </w:r>
            <w:r w:rsidR="004E7B37" w:rsidRPr="004E7B37">
              <w:rPr>
                <w:color w:val="000000"/>
                <w:spacing w:val="53"/>
                <w:shd w:val="solid" w:color="000000" w:fill="000000"/>
                <w:fitText w:val="330" w:id="-694516479"/>
                <w14:textFill>
                  <w14:solidFill>
                    <w14:srgbClr w14:val="000000">
                      <w14:alpha w14:val="100000"/>
                    </w14:srgbClr>
                  </w14:solidFill>
                </w14:textFill>
              </w:rPr>
              <w:t>|||</w:t>
            </w:r>
            <w:r w:rsidR="004E7B37" w:rsidRPr="004E7B37">
              <w:rPr>
                <w:color w:val="000000"/>
                <w:spacing w:val="1"/>
                <w:shd w:val="solid" w:color="000000" w:fill="000000"/>
                <w:fitText w:val="330" w:id="-694516479"/>
                <w14:textFill>
                  <w14:solidFill>
                    <w14:srgbClr w14:val="000000">
                      <w14:alpha w14:val="100000"/>
                    </w14:srgbClr>
                  </w14:solidFill>
                </w14:textFill>
              </w:rPr>
              <w:t>|</w:t>
            </w:r>
            <w:r w:rsidR="00B426C9" w:rsidRPr="00B60EF6">
              <w:rPr>
                <w:vertAlign w:val="superscript"/>
              </w:rPr>
              <w:t>1</w:t>
            </w:r>
          </w:p>
        </w:tc>
        <w:tc>
          <w:tcPr>
            <w:tcW w:w="611" w:type="pct"/>
            <w:shd w:val="clear" w:color="auto" w:fill="auto"/>
            <w:vAlign w:val="center"/>
          </w:tcPr>
          <w:p w14:paraId="7568793D" w14:textId="274E502E" w:rsidR="00B76944" w:rsidRDefault="00CA4089" w:rsidP="00B9224E">
            <w:pPr>
              <w:pStyle w:val="TableText"/>
            </w:pPr>
            <w:r>
              <w:t>-</w:t>
            </w:r>
            <w:r w:rsidR="004E7B37" w:rsidRPr="004E7B37">
              <w:rPr>
                <w:color w:val="000000"/>
                <w:spacing w:val="53"/>
                <w:shd w:val="solid" w:color="000000" w:fill="000000"/>
                <w:fitText w:val="330" w:id="-694516478"/>
                <w14:textFill>
                  <w14:solidFill>
                    <w14:srgbClr w14:val="000000">
                      <w14:alpha w14:val="100000"/>
                    </w14:srgbClr>
                  </w14:solidFill>
                </w14:textFill>
              </w:rPr>
              <w:t>|||</w:t>
            </w:r>
            <w:r w:rsidR="004E7B37" w:rsidRPr="004E7B37">
              <w:rPr>
                <w:color w:val="000000"/>
                <w:spacing w:val="1"/>
                <w:shd w:val="solid" w:color="000000" w:fill="000000"/>
                <w:fitText w:val="330" w:id="-694516478"/>
                <w14:textFill>
                  <w14:solidFill>
                    <w14:srgbClr w14:val="000000">
                      <w14:alpha w14:val="100000"/>
                    </w14:srgbClr>
                  </w14:solidFill>
                </w14:textFill>
              </w:rPr>
              <w:t>|</w:t>
            </w:r>
            <w:r w:rsidR="00B426C9" w:rsidRPr="00B60EF6">
              <w:rPr>
                <w:vertAlign w:val="superscript"/>
              </w:rPr>
              <w:t>1</w:t>
            </w:r>
          </w:p>
        </w:tc>
        <w:tc>
          <w:tcPr>
            <w:tcW w:w="611" w:type="pct"/>
            <w:shd w:val="clear" w:color="auto" w:fill="auto"/>
            <w:vAlign w:val="center"/>
          </w:tcPr>
          <w:p w14:paraId="440017B7" w14:textId="46CBA788" w:rsidR="00B76944" w:rsidRDefault="00CA4089" w:rsidP="00B9224E">
            <w:pPr>
              <w:pStyle w:val="TableText"/>
            </w:pPr>
            <w:r>
              <w:t>-</w:t>
            </w:r>
            <w:r w:rsidR="004E7B37" w:rsidRPr="004E7B37">
              <w:rPr>
                <w:color w:val="000000"/>
                <w:spacing w:val="53"/>
                <w:shd w:val="solid" w:color="000000" w:fill="000000"/>
                <w:fitText w:val="330" w:id="-694516477"/>
                <w14:textFill>
                  <w14:solidFill>
                    <w14:srgbClr w14:val="000000">
                      <w14:alpha w14:val="100000"/>
                    </w14:srgbClr>
                  </w14:solidFill>
                </w14:textFill>
              </w:rPr>
              <w:t>|||</w:t>
            </w:r>
            <w:r w:rsidR="004E7B37" w:rsidRPr="004E7B37">
              <w:rPr>
                <w:color w:val="000000"/>
                <w:spacing w:val="1"/>
                <w:shd w:val="solid" w:color="000000" w:fill="000000"/>
                <w:fitText w:val="330" w:id="-694516477"/>
                <w14:textFill>
                  <w14:solidFill>
                    <w14:srgbClr w14:val="000000">
                      <w14:alpha w14:val="100000"/>
                    </w14:srgbClr>
                  </w14:solidFill>
                </w14:textFill>
              </w:rPr>
              <w:t>|</w:t>
            </w:r>
            <w:r w:rsidR="00B426C9" w:rsidRPr="00B60EF6">
              <w:rPr>
                <w:vertAlign w:val="superscript"/>
              </w:rPr>
              <w:t>1</w:t>
            </w:r>
          </w:p>
        </w:tc>
        <w:tc>
          <w:tcPr>
            <w:tcW w:w="611" w:type="pct"/>
          </w:tcPr>
          <w:p w14:paraId="529A9960" w14:textId="6206E7EF" w:rsidR="00B76944" w:rsidRDefault="00CA4089" w:rsidP="00B9224E">
            <w:pPr>
              <w:pStyle w:val="TableText"/>
            </w:pPr>
            <w:r>
              <w:t>-</w:t>
            </w:r>
            <w:r w:rsidR="004E7B37" w:rsidRPr="004E7B37">
              <w:rPr>
                <w:color w:val="000000"/>
                <w:spacing w:val="53"/>
                <w:shd w:val="solid" w:color="000000" w:fill="000000"/>
                <w:fitText w:val="330" w:id="-694516476"/>
                <w14:textFill>
                  <w14:solidFill>
                    <w14:srgbClr w14:val="000000">
                      <w14:alpha w14:val="100000"/>
                    </w14:srgbClr>
                  </w14:solidFill>
                </w14:textFill>
              </w:rPr>
              <w:t>|||</w:t>
            </w:r>
            <w:r w:rsidR="004E7B37" w:rsidRPr="004E7B37">
              <w:rPr>
                <w:color w:val="000000"/>
                <w:spacing w:val="1"/>
                <w:shd w:val="solid" w:color="000000" w:fill="000000"/>
                <w:fitText w:val="330" w:id="-694516476"/>
                <w14:textFill>
                  <w14:solidFill>
                    <w14:srgbClr w14:val="000000">
                      <w14:alpha w14:val="100000"/>
                    </w14:srgbClr>
                  </w14:solidFill>
                </w14:textFill>
              </w:rPr>
              <w:t>|</w:t>
            </w:r>
            <w:r w:rsidR="00B426C9" w:rsidRPr="00B60EF6">
              <w:rPr>
                <w:vertAlign w:val="superscript"/>
              </w:rPr>
              <w:t>1</w:t>
            </w:r>
          </w:p>
        </w:tc>
      </w:tr>
      <w:tr w:rsidR="00385A9D" w:rsidRPr="0098262F" w14:paraId="1E699D47" w14:textId="77777777" w:rsidTr="009C3A3A">
        <w:tc>
          <w:tcPr>
            <w:tcW w:w="5000" w:type="pct"/>
            <w:gridSpan w:val="7"/>
            <w:shd w:val="clear" w:color="auto" w:fill="auto"/>
            <w:vAlign w:val="center"/>
          </w:tcPr>
          <w:p w14:paraId="7D0E0884" w14:textId="0993517B" w:rsidR="00385A9D" w:rsidRPr="009D4A28" w:rsidRDefault="00385A9D" w:rsidP="00B9224E">
            <w:pPr>
              <w:pStyle w:val="TableText"/>
              <w:rPr>
                <w:b/>
                <w:bCs w:val="0"/>
              </w:rPr>
            </w:pPr>
            <w:r w:rsidRPr="009D4A28">
              <w:rPr>
                <w:b/>
                <w:bCs w:val="0"/>
              </w:rPr>
              <w:t xml:space="preserve">Estimated financial implications of </w:t>
            </w:r>
            <w:r w:rsidR="00B76944" w:rsidRPr="009D4A28">
              <w:rPr>
                <w:b/>
                <w:bCs w:val="0"/>
              </w:rPr>
              <w:t xml:space="preserve">ELX/TEZ/IVA </w:t>
            </w:r>
          </w:p>
        </w:tc>
      </w:tr>
      <w:tr w:rsidR="00B76944" w:rsidRPr="0098262F" w14:paraId="4B4ACF1A" w14:textId="77777777" w:rsidTr="00A14777">
        <w:tc>
          <w:tcPr>
            <w:tcW w:w="1334" w:type="pct"/>
            <w:shd w:val="clear" w:color="auto" w:fill="auto"/>
            <w:vAlign w:val="center"/>
          </w:tcPr>
          <w:p w14:paraId="467993BD" w14:textId="722CE228" w:rsidR="00B76944" w:rsidRPr="0098262F" w:rsidRDefault="00B76944" w:rsidP="00B9224E">
            <w:pPr>
              <w:pStyle w:val="TableText"/>
            </w:pPr>
            <w:r w:rsidRPr="0098262F">
              <w:t>Cost to PBS/RPBS less copayments</w:t>
            </w:r>
            <w:r w:rsidR="00C524BB">
              <w:t>, ELX/TEZ/IVA</w:t>
            </w:r>
          </w:p>
        </w:tc>
        <w:tc>
          <w:tcPr>
            <w:tcW w:w="611" w:type="pct"/>
            <w:shd w:val="clear" w:color="auto" w:fill="auto"/>
          </w:tcPr>
          <w:p w14:paraId="4125A2B6" w14:textId="03A1382E" w:rsidR="00B76944" w:rsidRPr="00FD5829" w:rsidRDefault="004E7B37" w:rsidP="00B9224E">
            <w:pPr>
              <w:pStyle w:val="TableText"/>
              <w:rPr>
                <w:highlight w:val="darkGray"/>
              </w:rPr>
            </w:pPr>
            <w:r w:rsidRPr="004E7B37">
              <w:rPr>
                <w:color w:val="000000"/>
                <w:spacing w:val="53"/>
                <w:shd w:val="solid" w:color="000000" w:fill="000000"/>
                <w:fitText w:val="330" w:id="-694516475"/>
                <w14:textFill>
                  <w14:solidFill>
                    <w14:srgbClr w14:val="000000">
                      <w14:alpha w14:val="100000"/>
                    </w14:srgbClr>
                  </w14:solidFill>
                </w14:textFill>
              </w:rPr>
              <w:t>|||</w:t>
            </w:r>
            <w:r w:rsidRPr="004E7B37">
              <w:rPr>
                <w:color w:val="000000"/>
                <w:spacing w:val="1"/>
                <w:shd w:val="solid" w:color="000000" w:fill="000000"/>
                <w:fitText w:val="330" w:id="-694516475"/>
                <w14:textFill>
                  <w14:solidFill>
                    <w14:srgbClr w14:val="000000">
                      <w14:alpha w14:val="100000"/>
                    </w14:srgbClr>
                  </w14:solidFill>
                </w14:textFill>
              </w:rPr>
              <w:t>|</w:t>
            </w:r>
            <w:r w:rsidR="00B426C9" w:rsidRPr="00B426C9">
              <w:rPr>
                <w:vertAlign w:val="superscript"/>
              </w:rPr>
              <w:t>3</w:t>
            </w:r>
          </w:p>
        </w:tc>
        <w:tc>
          <w:tcPr>
            <w:tcW w:w="611" w:type="pct"/>
            <w:shd w:val="clear" w:color="auto" w:fill="auto"/>
          </w:tcPr>
          <w:p w14:paraId="5BDFECEB" w14:textId="19B57DC4" w:rsidR="00B76944" w:rsidRPr="00FD5829" w:rsidRDefault="004E7B37" w:rsidP="00B9224E">
            <w:pPr>
              <w:pStyle w:val="TableText"/>
              <w:rPr>
                <w:highlight w:val="darkGray"/>
              </w:rPr>
            </w:pPr>
            <w:r w:rsidRPr="004E7B37">
              <w:rPr>
                <w:color w:val="000000"/>
                <w:spacing w:val="53"/>
                <w:shd w:val="solid" w:color="000000" w:fill="000000"/>
                <w:fitText w:val="330" w:id="-694516474"/>
                <w14:textFill>
                  <w14:solidFill>
                    <w14:srgbClr w14:val="000000">
                      <w14:alpha w14:val="100000"/>
                    </w14:srgbClr>
                  </w14:solidFill>
                </w14:textFill>
              </w:rPr>
              <w:t>|||</w:t>
            </w:r>
            <w:r w:rsidRPr="004E7B37">
              <w:rPr>
                <w:color w:val="000000"/>
                <w:spacing w:val="1"/>
                <w:shd w:val="solid" w:color="000000" w:fill="000000"/>
                <w:fitText w:val="330" w:id="-694516474"/>
                <w14:textFill>
                  <w14:solidFill>
                    <w14:srgbClr w14:val="000000">
                      <w14:alpha w14:val="100000"/>
                    </w14:srgbClr>
                  </w14:solidFill>
                </w14:textFill>
              </w:rPr>
              <w:t>|</w:t>
            </w:r>
            <w:r w:rsidR="00B426C9" w:rsidRPr="00B426C9">
              <w:rPr>
                <w:vertAlign w:val="superscript"/>
              </w:rPr>
              <w:t>3</w:t>
            </w:r>
          </w:p>
        </w:tc>
        <w:tc>
          <w:tcPr>
            <w:tcW w:w="611" w:type="pct"/>
            <w:shd w:val="clear" w:color="auto" w:fill="auto"/>
          </w:tcPr>
          <w:p w14:paraId="3890D42E" w14:textId="17A7224B" w:rsidR="00B76944" w:rsidRPr="00FD5829" w:rsidRDefault="004E7B37" w:rsidP="00B9224E">
            <w:pPr>
              <w:pStyle w:val="TableText"/>
              <w:rPr>
                <w:highlight w:val="darkGray"/>
              </w:rPr>
            </w:pPr>
            <w:r w:rsidRPr="004E7B37">
              <w:rPr>
                <w:color w:val="000000"/>
                <w:spacing w:val="53"/>
                <w:shd w:val="solid" w:color="000000" w:fill="000000"/>
                <w:fitText w:val="330" w:id="-694516473"/>
                <w14:textFill>
                  <w14:solidFill>
                    <w14:srgbClr w14:val="000000">
                      <w14:alpha w14:val="100000"/>
                    </w14:srgbClr>
                  </w14:solidFill>
                </w14:textFill>
              </w:rPr>
              <w:t>|||</w:t>
            </w:r>
            <w:r w:rsidRPr="004E7B37">
              <w:rPr>
                <w:color w:val="000000"/>
                <w:spacing w:val="1"/>
                <w:shd w:val="solid" w:color="000000" w:fill="000000"/>
                <w:fitText w:val="330" w:id="-694516473"/>
                <w14:textFill>
                  <w14:solidFill>
                    <w14:srgbClr w14:val="000000">
                      <w14:alpha w14:val="100000"/>
                    </w14:srgbClr>
                  </w14:solidFill>
                </w14:textFill>
              </w:rPr>
              <w:t>|</w:t>
            </w:r>
            <w:r w:rsidR="00B426C9" w:rsidRPr="00B426C9">
              <w:rPr>
                <w:vertAlign w:val="superscript"/>
              </w:rPr>
              <w:t>3</w:t>
            </w:r>
          </w:p>
        </w:tc>
        <w:tc>
          <w:tcPr>
            <w:tcW w:w="611" w:type="pct"/>
            <w:shd w:val="clear" w:color="auto" w:fill="auto"/>
          </w:tcPr>
          <w:p w14:paraId="2728B643" w14:textId="4C13FCDB" w:rsidR="00B76944" w:rsidRPr="00FD5829" w:rsidRDefault="004E7B37" w:rsidP="00B9224E">
            <w:pPr>
              <w:pStyle w:val="TableText"/>
              <w:rPr>
                <w:highlight w:val="darkGray"/>
              </w:rPr>
            </w:pPr>
            <w:r w:rsidRPr="004E7B37">
              <w:rPr>
                <w:color w:val="000000"/>
                <w:spacing w:val="53"/>
                <w:shd w:val="solid" w:color="000000" w:fill="000000"/>
                <w:fitText w:val="330" w:id="-694516472"/>
                <w14:textFill>
                  <w14:solidFill>
                    <w14:srgbClr w14:val="000000">
                      <w14:alpha w14:val="100000"/>
                    </w14:srgbClr>
                  </w14:solidFill>
                </w14:textFill>
              </w:rPr>
              <w:t>|||</w:t>
            </w:r>
            <w:r w:rsidRPr="004E7B37">
              <w:rPr>
                <w:color w:val="000000"/>
                <w:spacing w:val="1"/>
                <w:shd w:val="solid" w:color="000000" w:fill="000000"/>
                <w:fitText w:val="330" w:id="-694516472"/>
                <w14:textFill>
                  <w14:solidFill>
                    <w14:srgbClr w14:val="000000">
                      <w14:alpha w14:val="100000"/>
                    </w14:srgbClr>
                  </w14:solidFill>
                </w14:textFill>
              </w:rPr>
              <w:t>|</w:t>
            </w:r>
            <w:r w:rsidR="00B426C9" w:rsidRPr="00B426C9">
              <w:rPr>
                <w:vertAlign w:val="superscript"/>
              </w:rPr>
              <w:t>3</w:t>
            </w:r>
          </w:p>
        </w:tc>
        <w:tc>
          <w:tcPr>
            <w:tcW w:w="611" w:type="pct"/>
            <w:shd w:val="clear" w:color="auto" w:fill="auto"/>
          </w:tcPr>
          <w:p w14:paraId="5FE5021A" w14:textId="547C4914" w:rsidR="00B76944" w:rsidRPr="00FD5829" w:rsidRDefault="004E7B37" w:rsidP="00B9224E">
            <w:pPr>
              <w:pStyle w:val="TableText"/>
              <w:rPr>
                <w:highlight w:val="darkGray"/>
              </w:rPr>
            </w:pPr>
            <w:r w:rsidRPr="004E7B37">
              <w:rPr>
                <w:color w:val="000000"/>
                <w:spacing w:val="53"/>
                <w:shd w:val="solid" w:color="000000" w:fill="000000"/>
                <w:fitText w:val="330" w:id="-694516471"/>
                <w14:textFill>
                  <w14:solidFill>
                    <w14:srgbClr w14:val="000000">
                      <w14:alpha w14:val="100000"/>
                    </w14:srgbClr>
                  </w14:solidFill>
                </w14:textFill>
              </w:rPr>
              <w:t>|||</w:t>
            </w:r>
            <w:r w:rsidRPr="004E7B37">
              <w:rPr>
                <w:color w:val="000000"/>
                <w:spacing w:val="1"/>
                <w:shd w:val="solid" w:color="000000" w:fill="000000"/>
                <w:fitText w:val="330" w:id="-694516471"/>
                <w14:textFill>
                  <w14:solidFill>
                    <w14:srgbClr w14:val="000000">
                      <w14:alpha w14:val="100000"/>
                    </w14:srgbClr>
                  </w14:solidFill>
                </w14:textFill>
              </w:rPr>
              <w:t>|</w:t>
            </w:r>
            <w:r w:rsidR="00B426C9" w:rsidRPr="00B426C9">
              <w:rPr>
                <w:vertAlign w:val="superscript"/>
              </w:rPr>
              <w:t>3</w:t>
            </w:r>
          </w:p>
        </w:tc>
        <w:tc>
          <w:tcPr>
            <w:tcW w:w="611" w:type="pct"/>
          </w:tcPr>
          <w:p w14:paraId="6F8E9082" w14:textId="3FD9CAE5" w:rsidR="00B76944" w:rsidRPr="00FD5829" w:rsidRDefault="004E7B37" w:rsidP="00B9224E">
            <w:pPr>
              <w:pStyle w:val="TableText"/>
              <w:rPr>
                <w:highlight w:val="darkGray"/>
              </w:rPr>
            </w:pPr>
            <w:r w:rsidRPr="004E7B37">
              <w:rPr>
                <w:color w:val="000000"/>
                <w:spacing w:val="53"/>
                <w:shd w:val="solid" w:color="000000" w:fill="000000"/>
                <w:fitText w:val="330" w:id="-694516470"/>
                <w14:textFill>
                  <w14:solidFill>
                    <w14:srgbClr w14:val="000000">
                      <w14:alpha w14:val="100000"/>
                    </w14:srgbClr>
                  </w14:solidFill>
                </w14:textFill>
              </w:rPr>
              <w:t>|||</w:t>
            </w:r>
            <w:r w:rsidRPr="004E7B37">
              <w:rPr>
                <w:color w:val="000000"/>
                <w:spacing w:val="1"/>
                <w:shd w:val="solid" w:color="000000" w:fill="000000"/>
                <w:fitText w:val="330" w:id="-694516470"/>
                <w14:textFill>
                  <w14:solidFill>
                    <w14:srgbClr w14:val="000000">
                      <w14:alpha w14:val="100000"/>
                    </w14:srgbClr>
                  </w14:solidFill>
                </w14:textFill>
              </w:rPr>
              <w:t>|</w:t>
            </w:r>
            <w:r w:rsidR="00B426C9" w:rsidRPr="00B426C9">
              <w:rPr>
                <w:vertAlign w:val="superscript"/>
              </w:rPr>
              <w:t>3</w:t>
            </w:r>
          </w:p>
        </w:tc>
      </w:tr>
      <w:tr w:rsidR="00B76944" w:rsidRPr="009D4A28" w14:paraId="344AC0E2" w14:textId="77777777" w:rsidTr="009C3A3A">
        <w:tc>
          <w:tcPr>
            <w:tcW w:w="5000" w:type="pct"/>
            <w:gridSpan w:val="7"/>
            <w:shd w:val="clear" w:color="auto" w:fill="auto"/>
            <w:vAlign w:val="center"/>
          </w:tcPr>
          <w:p w14:paraId="0FF7E64D" w14:textId="6823E05C" w:rsidR="00B76944" w:rsidRPr="009D4A28" w:rsidRDefault="00B76944" w:rsidP="00B9224E">
            <w:pPr>
              <w:pStyle w:val="TableText"/>
              <w:rPr>
                <w:b/>
                <w:bCs w:val="0"/>
              </w:rPr>
            </w:pPr>
            <w:r w:rsidRPr="009D4A28">
              <w:rPr>
                <w:b/>
                <w:bCs w:val="0"/>
              </w:rPr>
              <w:t>Estimated financial implications for ivacaftor and TEZ/IVA</w:t>
            </w:r>
          </w:p>
        </w:tc>
      </w:tr>
      <w:tr w:rsidR="00F06302" w:rsidRPr="0098262F" w14:paraId="0CE077D9" w14:textId="77777777" w:rsidTr="00A14777">
        <w:tc>
          <w:tcPr>
            <w:tcW w:w="1334" w:type="pct"/>
            <w:shd w:val="clear" w:color="auto" w:fill="auto"/>
            <w:vAlign w:val="center"/>
          </w:tcPr>
          <w:p w14:paraId="40F6A2C5" w14:textId="66D6EAA0" w:rsidR="00F06302" w:rsidRPr="0098262F" w:rsidRDefault="00F06302" w:rsidP="00B9224E">
            <w:pPr>
              <w:pStyle w:val="TableText"/>
            </w:pPr>
            <w:r w:rsidRPr="0098262F">
              <w:t>Cost to PBS/RPBS less copayments</w:t>
            </w:r>
            <w:r>
              <w:t xml:space="preserve"> – IVA, non gating</w:t>
            </w:r>
          </w:p>
        </w:tc>
        <w:tc>
          <w:tcPr>
            <w:tcW w:w="611" w:type="pct"/>
            <w:shd w:val="clear" w:color="auto" w:fill="auto"/>
          </w:tcPr>
          <w:p w14:paraId="50CF2446" w14:textId="42A6CB32" w:rsidR="00F06302" w:rsidRPr="00FD5829" w:rsidRDefault="004E7B37" w:rsidP="00B9224E">
            <w:pPr>
              <w:pStyle w:val="TableText"/>
              <w:rPr>
                <w:highlight w:val="darkGray"/>
              </w:rPr>
            </w:pPr>
            <w:r w:rsidRPr="004E7B37">
              <w:rPr>
                <w:color w:val="000000"/>
                <w:spacing w:val="53"/>
                <w:shd w:val="solid" w:color="000000" w:fill="000000"/>
                <w:fitText w:val="330" w:id="-694516469"/>
                <w14:textFill>
                  <w14:solidFill>
                    <w14:srgbClr w14:val="000000">
                      <w14:alpha w14:val="100000"/>
                    </w14:srgbClr>
                  </w14:solidFill>
                </w14:textFill>
              </w:rPr>
              <w:t>|||</w:t>
            </w:r>
            <w:r w:rsidRPr="004E7B37">
              <w:rPr>
                <w:color w:val="000000"/>
                <w:spacing w:val="1"/>
                <w:shd w:val="solid" w:color="000000" w:fill="000000"/>
                <w:fitText w:val="330" w:id="-694516469"/>
                <w14:textFill>
                  <w14:solidFill>
                    <w14:srgbClr w14:val="000000">
                      <w14:alpha w14:val="100000"/>
                    </w14:srgbClr>
                  </w14:solidFill>
                </w14:textFill>
              </w:rPr>
              <w:t>|</w:t>
            </w:r>
            <w:r w:rsidR="008032C5" w:rsidRPr="008032C5">
              <w:rPr>
                <w:vertAlign w:val="superscript"/>
              </w:rPr>
              <w:t>4</w:t>
            </w:r>
          </w:p>
        </w:tc>
        <w:tc>
          <w:tcPr>
            <w:tcW w:w="611" w:type="pct"/>
            <w:shd w:val="clear" w:color="auto" w:fill="auto"/>
          </w:tcPr>
          <w:p w14:paraId="35AF80ED" w14:textId="2293AEA2" w:rsidR="00F06302" w:rsidRPr="00FD5829" w:rsidRDefault="004E7B37" w:rsidP="00B9224E">
            <w:pPr>
              <w:pStyle w:val="TableText"/>
              <w:rPr>
                <w:highlight w:val="darkGray"/>
              </w:rPr>
            </w:pPr>
            <w:r w:rsidRPr="004E7B37">
              <w:rPr>
                <w:color w:val="000000"/>
                <w:spacing w:val="53"/>
                <w:shd w:val="solid" w:color="000000" w:fill="000000"/>
                <w:fitText w:val="330" w:id="-694516468"/>
                <w14:textFill>
                  <w14:solidFill>
                    <w14:srgbClr w14:val="000000">
                      <w14:alpha w14:val="100000"/>
                    </w14:srgbClr>
                  </w14:solidFill>
                </w14:textFill>
              </w:rPr>
              <w:t>|||</w:t>
            </w:r>
            <w:r w:rsidRPr="004E7B37">
              <w:rPr>
                <w:color w:val="000000"/>
                <w:spacing w:val="1"/>
                <w:shd w:val="solid" w:color="000000" w:fill="000000"/>
                <w:fitText w:val="330" w:id="-694516468"/>
                <w14:textFill>
                  <w14:solidFill>
                    <w14:srgbClr w14:val="000000">
                      <w14:alpha w14:val="100000"/>
                    </w14:srgbClr>
                  </w14:solidFill>
                </w14:textFill>
              </w:rPr>
              <w:t>|</w:t>
            </w:r>
            <w:r w:rsidR="008032C5" w:rsidRPr="008032C5">
              <w:rPr>
                <w:vertAlign w:val="superscript"/>
              </w:rPr>
              <w:t>4</w:t>
            </w:r>
          </w:p>
        </w:tc>
        <w:tc>
          <w:tcPr>
            <w:tcW w:w="611" w:type="pct"/>
            <w:shd w:val="clear" w:color="auto" w:fill="auto"/>
          </w:tcPr>
          <w:p w14:paraId="28F1C25D" w14:textId="4B4A32C5" w:rsidR="00F06302" w:rsidRPr="00FD5829" w:rsidRDefault="004E7B37" w:rsidP="00B9224E">
            <w:pPr>
              <w:pStyle w:val="TableText"/>
              <w:rPr>
                <w:highlight w:val="darkGray"/>
              </w:rPr>
            </w:pPr>
            <w:r w:rsidRPr="004E7B37">
              <w:rPr>
                <w:color w:val="000000"/>
                <w:spacing w:val="53"/>
                <w:shd w:val="solid" w:color="000000" w:fill="000000"/>
                <w:fitText w:val="330" w:id="-694516467"/>
                <w14:textFill>
                  <w14:solidFill>
                    <w14:srgbClr w14:val="000000">
                      <w14:alpha w14:val="100000"/>
                    </w14:srgbClr>
                  </w14:solidFill>
                </w14:textFill>
              </w:rPr>
              <w:t>|||</w:t>
            </w:r>
            <w:r w:rsidRPr="004E7B37">
              <w:rPr>
                <w:color w:val="000000"/>
                <w:spacing w:val="1"/>
                <w:shd w:val="solid" w:color="000000" w:fill="000000"/>
                <w:fitText w:val="330" w:id="-694516467"/>
                <w14:textFill>
                  <w14:solidFill>
                    <w14:srgbClr w14:val="000000">
                      <w14:alpha w14:val="100000"/>
                    </w14:srgbClr>
                  </w14:solidFill>
                </w14:textFill>
              </w:rPr>
              <w:t>|</w:t>
            </w:r>
            <w:r w:rsidR="008032C5" w:rsidRPr="008032C5">
              <w:rPr>
                <w:vertAlign w:val="superscript"/>
              </w:rPr>
              <w:t>4</w:t>
            </w:r>
          </w:p>
        </w:tc>
        <w:tc>
          <w:tcPr>
            <w:tcW w:w="611" w:type="pct"/>
            <w:shd w:val="clear" w:color="auto" w:fill="auto"/>
          </w:tcPr>
          <w:p w14:paraId="5DBA4173" w14:textId="2F821290" w:rsidR="00F06302" w:rsidRPr="00FD5829" w:rsidRDefault="004E7B37" w:rsidP="00B9224E">
            <w:pPr>
              <w:pStyle w:val="TableText"/>
              <w:rPr>
                <w:highlight w:val="darkGray"/>
              </w:rPr>
            </w:pPr>
            <w:r w:rsidRPr="004E7B37">
              <w:rPr>
                <w:color w:val="000000"/>
                <w:spacing w:val="53"/>
                <w:shd w:val="solid" w:color="000000" w:fill="000000"/>
                <w:fitText w:val="330" w:id="-694516466"/>
                <w14:textFill>
                  <w14:solidFill>
                    <w14:srgbClr w14:val="000000">
                      <w14:alpha w14:val="100000"/>
                    </w14:srgbClr>
                  </w14:solidFill>
                </w14:textFill>
              </w:rPr>
              <w:t>|||</w:t>
            </w:r>
            <w:r w:rsidRPr="004E7B37">
              <w:rPr>
                <w:color w:val="000000"/>
                <w:spacing w:val="1"/>
                <w:shd w:val="solid" w:color="000000" w:fill="000000"/>
                <w:fitText w:val="330" w:id="-694516466"/>
                <w14:textFill>
                  <w14:solidFill>
                    <w14:srgbClr w14:val="000000">
                      <w14:alpha w14:val="100000"/>
                    </w14:srgbClr>
                  </w14:solidFill>
                </w14:textFill>
              </w:rPr>
              <w:t>|</w:t>
            </w:r>
            <w:r w:rsidR="008032C5" w:rsidRPr="008032C5">
              <w:rPr>
                <w:vertAlign w:val="superscript"/>
              </w:rPr>
              <w:t>4</w:t>
            </w:r>
          </w:p>
        </w:tc>
        <w:tc>
          <w:tcPr>
            <w:tcW w:w="611" w:type="pct"/>
            <w:shd w:val="clear" w:color="auto" w:fill="auto"/>
          </w:tcPr>
          <w:p w14:paraId="4D6DC68C" w14:textId="74385E1E" w:rsidR="00F06302" w:rsidRPr="00FD5829" w:rsidRDefault="004E7B37" w:rsidP="00B9224E">
            <w:pPr>
              <w:pStyle w:val="TableText"/>
              <w:rPr>
                <w:highlight w:val="darkGray"/>
              </w:rPr>
            </w:pPr>
            <w:r w:rsidRPr="004E7B37">
              <w:rPr>
                <w:color w:val="000000"/>
                <w:spacing w:val="53"/>
                <w:shd w:val="solid" w:color="000000" w:fill="000000"/>
                <w:fitText w:val="330" w:id="-694516465"/>
                <w14:textFill>
                  <w14:solidFill>
                    <w14:srgbClr w14:val="000000">
                      <w14:alpha w14:val="100000"/>
                    </w14:srgbClr>
                  </w14:solidFill>
                </w14:textFill>
              </w:rPr>
              <w:t>|||</w:t>
            </w:r>
            <w:r w:rsidRPr="004E7B37">
              <w:rPr>
                <w:color w:val="000000"/>
                <w:spacing w:val="1"/>
                <w:shd w:val="solid" w:color="000000" w:fill="000000"/>
                <w:fitText w:val="330" w:id="-694516465"/>
                <w14:textFill>
                  <w14:solidFill>
                    <w14:srgbClr w14:val="000000">
                      <w14:alpha w14:val="100000"/>
                    </w14:srgbClr>
                  </w14:solidFill>
                </w14:textFill>
              </w:rPr>
              <w:t>|</w:t>
            </w:r>
            <w:r w:rsidR="008032C5" w:rsidRPr="008032C5">
              <w:rPr>
                <w:vertAlign w:val="superscript"/>
              </w:rPr>
              <w:t>4</w:t>
            </w:r>
          </w:p>
        </w:tc>
        <w:tc>
          <w:tcPr>
            <w:tcW w:w="611" w:type="pct"/>
          </w:tcPr>
          <w:p w14:paraId="0766C6AC" w14:textId="5C5117C7" w:rsidR="00F06302" w:rsidRPr="00FD5829" w:rsidRDefault="004E7B37" w:rsidP="00B9224E">
            <w:pPr>
              <w:pStyle w:val="TableText"/>
              <w:rPr>
                <w:highlight w:val="darkGray"/>
              </w:rPr>
            </w:pPr>
            <w:r w:rsidRPr="004E7B37">
              <w:rPr>
                <w:color w:val="000000"/>
                <w:spacing w:val="53"/>
                <w:shd w:val="solid" w:color="000000" w:fill="000000"/>
                <w:fitText w:val="330" w:id="-694516464"/>
                <w14:textFill>
                  <w14:solidFill>
                    <w14:srgbClr w14:val="000000">
                      <w14:alpha w14:val="100000"/>
                    </w14:srgbClr>
                  </w14:solidFill>
                </w14:textFill>
              </w:rPr>
              <w:t>|||</w:t>
            </w:r>
            <w:r w:rsidRPr="004E7B37">
              <w:rPr>
                <w:color w:val="000000"/>
                <w:spacing w:val="1"/>
                <w:shd w:val="solid" w:color="000000" w:fill="000000"/>
                <w:fitText w:val="330" w:id="-694516464"/>
                <w14:textFill>
                  <w14:solidFill>
                    <w14:srgbClr w14:val="000000">
                      <w14:alpha w14:val="100000"/>
                    </w14:srgbClr>
                  </w14:solidFill>
                </w14:textFill>
              </w:rPr>
              <w:t>|</w:t>
            </w:r>
            <w:r w:rsidR="008032C5" w:rsidRPr="008032C5">
              <w:rPr>
                <w:vertAlign w:val="superscript"/>
              </w:rPr>
              <w:t>4</w:t>
            </w:r>
          </w:p>
        </w:tc>
      </w:tr>
      <w:tr w:rsidR="00F06302" w:rsidRPr="0098262F" w14:paraId="2BEBB69B" w14:textId="77777777" w:rsidTr="00A14777">
        <w:tc>
          <w:tcPr>
            <w:tcW w:w="1334" w:type="pct"/>
            <w:shd w:val="clear" w:color="auto" w:fill="auto"/>
            <w:vAlign w:val="center"/>
          </w:tcPr>
          <w:p w14:paraId="4A456907" w14:textId="04F43EA0" w:rsidR="00F06302" w:rsidRPr="0098262F" w:rsidRDefault="00F06302" w:rsidP="00B9224E">
            <w:pPr>
              <w:pStyle w:val="TableText"/>
            </w:pPr>
            <w:r>
              <w:t>Cost to PBS/RPBS less co-payments – IVA, gating</w:t>
            </w:r>
          </w:p>
        </w:tc>
        <w:tc>
          <w:tcPr>
            <w:tcW w:w="611" w:type="pct"/>
            <w:shd w:val="clear" w:color="auto" w:fill="auto"/>
          </w:tcPr>
          <w:p w14:paraId="63DB047D" w14:textId="744B7BEA" w:rsidR="00F06302" w:rsidRPr="00FD5829" w:rsidRDefault="004E7B37" w:rsidP="00B9224E">
            <w:pPr>
              <w:pStyle w:val="TableText"/>
              <w:rPr>
                <w:highlight w:val="darkGray"/>
              </w:rPr>
            </w:pPr>
            <w:r w:rsidRPr="004E7B37">
              <w:rPr>
                <w:color w:val="000000"/>
                <w:spacing w:val="53"/>
                <w:shd w:val="solid" w:color="000000" w:fill="000000"/>
                <w:fitText w:val="330" w:id="-694516480"/>
                <w14:textFill>
                  <w14:solidFill>
                    <w14:srgbClr w14:val="000000">
                      <w14:alpha w14:val="100000"/>
                    </w14:srgbClr>
                  </w14:solidFill>
                </w14:textFill>
              </w:rPr>
              <w:t>|||</w:t>
            </w:r>
            <w:r w:rsidRPr="004E7B37">
              <w:rPr>
                <w:color w:val="000000"/>
                <w:spacing w:val="1"/>
                <w:shd w:val="solid" w:color="000000" w:fill="000000"/>
                <w:fitText w:val="330" w:id="-694516480"/>
                <w14:textFill>
                  <w14:solidFill>
                    <w14:srgbClr w14:val="000000">
                      <w14:alpha w14:val="100000"/>
                    </w14:srgbClr>
                  </w14:solidFill>
                </w14:textFill>
              </w:rPr>
              <w:t>|</w:t>
            </w:r>
            <w:r w:rsidR="008032C5" w:rsidRPr="008032C5">
              <w:rPr>
                <w:vertAlign w:val="superscript"/>
              </w:rPr>
              <w:t>4</w:t>
            </w:r>
          </w:p>
        </w:tc>
        <w:tc>
          <w:tcPr>
            <w:tcW w:w="611" w:type="pct"/>
            <w:shd w:val="clear" w:color="auto" w:fill="auto"/>
          </w:tcPr>
          <w:p w14:paraId="64480C2B" w14:textId="61B3F2CE" w:rsidR="00F06302" w:rsidRPr="00FD5829" w:rsidRDefault="004E7B37" w:rsidP="00B9224E">
            <w:pPr>
              <w:pStyle w:val="TableText"/>
              <w:rPr>
                <w:highlight w:val="darkGray"/>
              </w:rPr>
            </w:pPr>
            <w:r w:rsidRPr="004E7B37">
              <w:rPr>
                <w:color w:val="000000"/>
                <w:spacing w:val="53"/>
                <w:shd w:val="solid" w:color="000000" w:fill="000000"/>
                <w:fitText w:val="330" w:id="-694516479"/>
                <w14:textFill>
                  <w14:solidFill>
                    <w14:srgbClr w14:val="000000">
                      <w14:alpha w14:val="100000"/>
                    </w14:srgbClr>
                  </w14:solidFill>
                </w14:textFill>
              </w:rPr>
              <w:t>|||</w:t>
            </w:r>
            <w:r w:rsidRPr="004E7B37">
              <w:rPr>
                <w:color w:val="000000"/>
                <w:spacing w:val="1"/>
                <w:shd w:val="solid" w:color="000000" w:fill="000000"/>
                <w:fitText w:val="330" w:id="-694516479"/>
                <w14:textFill>
                  <w14:solidFill>
                    <w14:srgbClr w14:val="000000">
                      <w14:alpha w14:val="100000"/>
                    </w14:srgbClr>
                  </w14:solidFill>
                </w14:textFill>
              </w:rPr>
              <w:t>|</w:t>
            </w:r>
            <w:r w:rsidR="008032C5" w:rsidRPr="008032C5">
              <w:rPr>
                <w:vertAlign w:val="superscript"/>
              </w:rPr>
              <w:t>4</w:t>
            </w:r>
          </w:p>
        </w:tc>
        <w:tc>
          <w:tcPr>
            <w:tcW w:w="611" w:type="pct"/>
            <w:shd w:val="clear" w:color="auto" w:fill="auto"/>
          </w:tcPr>
          <w:p w14:paraId="3B07C8E1" w14:textId="486B05B6" w:rsidR="00F06302" w:rsidRPr="00FD5829" w:rsidRDefault="004E7B37" w:rsidP="00B9224E">
            <w:pPr>
              <w:pStyle w:val="TableText"/>
              <w:rPr>
                <w:highlight w:val="darkGray"/>
              </w:rPr>
            </w:pPr>
            <w:r w:rsidRPr="004E7B37">
              <w:rPr>
                <w:color w:val="000000"/>
                <w:spacing w:val="53"/>
                <w:shd w:val="solid" w:color="000000" w:fill="000000"/>
                <w:fitText w:val="330" w:id="-694516478"/>
                <w14:textFill>
                  <w14:solidFill>
                    <w14:srgbClr w14:val="000000">
                      <w14:alpha w14:val="100000"/>
                    </w14:srgbClr>
                  </w14:solidFill>
                </w14:textFill>
              </w:rPr>
              <w:t>|||</w:t>
            </w:r>
            <w:r w:rsidRPr="004E7B37">
              <w:rPr>
                <w:color w:val="000000"/>
                <w:spacing w:val="1"/>
                <w:shd w:val="solid" w:color="000000" w:fill="000000"/>
                <w:fitText w:val="330" w:id="-694516478"/>
                <w14:textFill>
                  <w14:solidFill>
                    <w14:srgbClr w14:val="000000">
                      <w14:alpha w14:val="100000"/>
                    </w14:srgbClr>
                  </w14:solidFill>
                </w14:textFill>
              </w:rPr>
              <w:t>|</w:t>
            </w:r>
            <w:r w:rsidR="008032C5" w:rsidRPr="008032C5">
              <w:rPr>
                <w:vertAlign w:val="superscript"/>
              </w:rPr>
              <w:t>4</w:t>
            </w:r>
          </w:p>
        </w:tc>
        <w:tc>
          <w:tcPr>
            <w:tcW w:w="611" w:type="pct"/>
            <w:shd w:val="clear" w:color="auto" w:fill="auto"/>
          </w:tcPr>
          <w:p w14:paraId="34B231DC" w14:textId="018AAAC2" w:rsidR="00F06302" w:rsidRPr="00FD5829" w:rsidRDefault="004E7B37" w:rsidP="00B9224E">
            <w:pPr>
              <w:pStyle w:val="TableText"/>
              <w:rPr>
                <w:highlight w:val="darkGray"/>
              </w:rPr>
            </w:pPr>
            <w:r w:rsidRPr="004E7B37">
              <w:rPr>
                <w:color w:val="000000"/>
                <w:spacing w:val="53"/>
                <w:shd w:val="solid" w:color="000000" w:fill="000000"/>
                <w:fitText w:val="330" w:id="-694516477"/>
                <w14:textFill>
                  <w14:solidFill>
                    <w14:srgbClr w14:val="000000">
                      <w14:alpha w14:val="100000"/>
                    </w14:srgbClr>
                  </w14:solidFill>
                </w14:textFill>
              </w:rPr>
              <w:t>|||</w:t>
            </w:r>
            <w:r w:rsidRPr="004E7B37">
              <w:rPr>
                <w:color w:val="000000"/>
                <w:spacing w:val="1"/>
                <w:shd w:val="solid" w:color="000000" w:fill="000000"/>
                <w:fitText w:val="330" w:id="-694516477"/>
                <w14:textFill>
                  <w14:solidFill>
                    <w14:srgbClr w14:val="000000">
                      <w14:alpha w14:val="100000"/>
                    </w14:srgbClr>
                  </w14:solidFill>
                </w14:textFill>
              </w:rPr>
              <w:t>|</w:t>
            </w:r>
            <w:r w:rsidR="008032C5" w:rsidRPr="008032C5">
              <w:rPr>
                <w:vertAlign w:val="superscript"/>
              </w:rPr>
              <w:t>4</w:t>
            </w:r>
          </w:p>
        </w:tc>
        <w:tc>
          <w:tcPr>
            <w:tcW w:w="611" w:type="pct"/>
            <w:shd w:val="clear" w:color="auto" w:fill="auto"/>
          </w:tcPr>
          <w:p w14:paraId="332FA1C2" w14:textId="2C4CEB24" w:rsidR="00F06302" w:rsidRPr="00FD5829" w:rsidRDefault="004E7B37" w:rsidP="00B9224E">
            <w:pPr>
              <w:pStyle w:val="TableText"/>
              <w:rPr>
                <w:highlight w:val="darkGray"/>
              </w:rPr>
            </w:pPr>
            <w:r w:rsidRPr="004E7B37">
              <w:rPr>
                <w:color w:val="000000"/>
                <w:spacing w:val="53"/>
                <w:shd w:val="solid" w:color="000000" w:fill="000000"/>
                <w:fitText w:val="330" w:id="-694516476"/>
                <w14:textFill>
                  <w14:solidFill>
                    <w14:srgbClr w14:val="000000">
                      <w14:alpha w14:val="100000"/>
                    </w14:srgbClr>
                  </w14:solidFill>
                </w14:textFill>
              </w:rPr>
              <w:t>|||</w:t>
            </w:r>
            <w:r w:rsidRPr="004E7B37">
              <w:rPr>
                <w:color w:val="000000"/>
                <w:spacing w:val="1"/>
                <w:shd w:val="solid" w:color="000000" w:fill="000000"/>
                <w:fitText w:val="330" w:id="-694516476"/>
                <w14:textFill>
                  <w14:solidFill>
                    <w14:srgbClr w14:val="000000">
                      <w14:alpha w14:val="100000"/>
                    </w14:srgbClr>
                  </w14:solidFill>
                </w14:textFill>
              </w:rPr>
              <w:t>|</w:t>
            </w:r>
            <w:r w:rsidR="008032C5" w:rsidRPr="008032C5">
              <w:rPr>
                <w:vertAlign w:val="superscript"/>
              </w:rPr>
              <w:t>4</w:t>
            </w:r>
          </w:p>
        </w:tc>
        <w:tc>
          <w:tcPr>
            <w:tcW w:w="611" w:type="pct"/>
          </w:tcPr>
          <w:p w14:paraId="455D6B57" w14:textId="61990521" w:rsidR="00F06302" w:rsidRPr="00FD5829" w:rsidRDefault="004E7B37" w:rsidP="00B9224E">
            <w:pPr>
              <w:pStyle w:val="TableText"/>
              <w:rPr>
                <w:highlight w:val="darkGray"/>
              </w:rPr>
            </w:pPr>
            <w:r w:rsidRPr="004E7B37">
              <w:rPr>
                <w:color w:val="000000"/>
                <w:spacing w:val="53"/>
                <w:shd w:val="solid" w:color="000000" w:fill="000000"/>
                <w:fitText w:val="330" w:id="-694516475"/>
                <w14:textFill>
                  <w14:solidFill>
                    <w14:srgbClr w14:val="000000">
                      <w14:alpha w14:val="100000"/>
                    </w14:srgbClr>
                  </w14:solidFill>
                </w14:textFill>
              </w:rPr>
              <w:t>|||</w:t>
            </w:r>
            <w:r w:rsidRPr="004E7B37">
              <w:rPr>
                <w:color w:val="000000"/>
                <w:spacing w:val="1"/>
                <w:shd w:val="solid" w:color="000000" w:fill="000000"/>
                <w:fitText w:val="330" w:id="-694516475"/>
                <w14:textFill>
                  <w14:solidFill>
                    <w14:srgbClr w14:val="000000">
                      <w14:alpha w14:val="100000"/>
                    </w14:srgbClr>
                  </w14:solidFill>
                </w14:textFill>
              </w:rPr>
              <w:t>|</w:t>
            </w:r>
            <w:r w:rsidR="008032C5" w:rsidRPr="008032C5">
              <w:rPr>
                <w:vertAlign w:val="superscript"/>
              </w:rPr>
              <w:t>4</w:t>
            </w:r>
          </w:p>
        </w:tc>
      </w:tr>
      <w:tr w:rsidR="00C524BB" w:rsidRPr="0098262F" w14:paraId="7E18A408" w14:textId="77777777" w:rsidTr="00A14777">
        <w:tc>
          <w:tcPr>
            <w:tcW w:w="1334" w:type="pct"/>
            <w:shd w:val="clear" w:color="auto" w:fill="auto"/>
            <w:vAlign w:val="center"/>
          </w:tcPr>
          <w:p w14:paraId="492B621C" w14:textId="60D106D8" w:rsidR="00C524BB" w:rsidRPr="0098262F" w:rsidRDefault="00C524BB" w:rsidP="00B9224E">
            <w:pPr>
              <w:pStyle w:val="TableText"/>
            </w:pPr>
            <w:r>
              <w:t>Cost to PBS/RPBS less copayments - TEZ/IVA</w:t>
            </w:r>
          </w:p>
        </w:tc>
        <w:tc>
          <w:tcPr>
            <w:tcW w:w="611" w:type="pct"/>
            <w:shd w:val="clear" w:color="auto" w:fill="auto"/>
          </w:tcPr>
          <w:p w14:paraId="205FA0EB" w14:textId="4DA06C47" w:rsidR="00C524BB" w:rsidRPr="00FD5829" w:rsidRDefault="004E7B37" w:rsidP="00B9224E">
            <w:pPr>
              <w:pStyle w:val="TableText"/>
              <w:rPr>
                <w:highlight w:val="darkGray"/>
              </w:rPr>
            </w:pPr>
            <w:r w:rsidRPr="004E7B37">
              <w:rPr>
                <w:color w:val="000000"/>
                <w:spacing w:val="53"/>
                <w:shd w:val="solid" w:color="000000" w:fill="000000"/>
                <w:fitText w:val="330" w:id="-694516474"/>
                <w14:textFill>
                  <w14:solidFill>
                    <w14:srgbClr w14:val="000000">
                      <w14:alpha w14:val="100000"/>
                    </w14:srgbClr>
                  </w14:solidFill>
                </w14:textFill>
              </w:rPr>
              <w:t>|||</w:t>
            </w:r>
            <w:r w:rsidRPr="004E7B37">
              <w:rPr>
                <w:color w:val="000000"/>
                <w:spacing w:val="1"/>
                <w:shd w:val="solid" w:color="000000" w:fill="000000"/>
                <w:fitText w:val="330" w:id="-694516474"/>
                <w14:textFill>
                  <w14:solidFill>
                    <w14:srgbClr w14:val="000000">
                      <w14:alpha w14:val="100000"/>
                    </w14:srgbClr>
                  </w14:solidFill>
                </w14:textFill>
              </w:rPr>
              <w:t>|</w:t>
            </w:r>
            <w:r w:rsidR="008032C5" w:rsidRPr="008032C5">
              <w:rPr>
                <w:vertAlign w:val="superscript"/>
              </w:rPr>
              <w:t>4</w:t>
            </w:r>
          </w:p>
        </w:tc>
        <w:tc>
          <w:tcPr>
            <w:tcW w:w="611" w:type="pct"/>
            <w:shd w:val="clear" w:color="auto" w:fill="auto"/>
          </w:tcPr>
          <w:p w14:paraId="0FAD1B8F" w14:textId="56B91B82" w:rsidR="00C524BB" w:rsidRPr="00FD5829" w:rsidRDefault="004E7B37" w:rsidP="00B9224E">
            <w:pPr>
              <w:pStyle w:val="TableText"/>
              <w:rPr>
                <w:highlight w:val="darkGray"/>
              </w:rPr>
            </w:pPr>
            <w:r w:rsidRPr="004E7B37">
              <w:rPr>
                <w:color w:val="000000"/>
                <w:spacing w:val="53"/>
                <w:shd w:val="solid" w:color="000000" w:fill="000000"/>
                <w:fitText w:val="330" w:id="-694516473"/>
                <w14:textFill>
                  <w14:solidFill>
                    <w14:srgbClr w14:val="000000">
                      <w14:alpha w14:val="100000"/>
                    </w14:srgbClr>
                  </w14:solidFill>
                </w14:textFill>
              </w:rPr>
              <w:t>|||</w:t>
            </w:r>
            <w:r w:rsidRPr="004E7B37">
              <w:rPr>
                <w:color w:val="000000"/>
                <w:spacing w:val="1"/>
                <w:shd w:val="solid" w:color="000000" w:fill="000000"/>
                <w:fitText w:val="330" w:id="-694516473"/>
                <w14:textFill>
                  <w14:solidFill>
                    <w14:srgbClr w14:val="000000">
                      <w14:alpha w14:val="100000"/>
                    </w14:srgbClr>
                  </w14:solidFill>
                </w14:textFill>
              </w:rPr>
              <w:t>|</w:t>
            </w:r>
            <w:r w:rsidR="008032C5" w:rsidRPr="008032C5">
              <w:rPr>
                <w:vertAlign w:val="superscript"/>
              </w:rPr>
              <w:t>4</w:t>
            </w:r>
          </w:p>
        </w:tc>
        <w:tc>
          <w:tcPr>
            <w:tcW w:w="611" w:type="pct"/>
            <w:shd w:val="clear" w:color="auto" w:fill="auto"/>
          </w:tcPr>
          <w:p w14:paraId="7F06FBA9" w14:textId="7BC65CB3" w:rsidR="00C524BB" w:rsidRPr="00FD5829" w:rsidRDefault="004E7B37" w:rsidP="00B9224E">
            <w:pPr>
              <w:pStyle w:val="TableText"/>
              <w:rPr>
                <w:highlight w:val="darkGray"/>
              </w:rPr>
            </w:pPr>
            <w:r w:rsidRPr="004E7B37">
              <w:rPr>
                <w:color w:val="000000"/>
                <w:spacing w:val="53"/>
                <w:shd w:val="solid" w:color="000000" w:fill="000000"/>
                <w:fitText w:val="330" w:id="-694516472"/>
                <w14:textFill>
                  <w14:solidFill>
                    <w14:srgbClr w14:val="000000">
                      <w14:alpha w14:val="100000"/>
                    </w14:srgbClr>
                  </w14:solidFill>
                </w14:textFill>
              </w:rPr>
              <w:t>|||</w:t>
            </w:r>
            <w:r w:rsidRPr="004E7B37">
              <w:rPr>
                <w:color w:val="000000"/>
                <w:spacing w:val="1"/>
                <w:shd w:val="solid" w:color="000000" w:fill="000000"/>
                <w:fitText w:val="330" w:id="-694516472"/>
                <w14:textFill>
                  <w14:solidFill>
                    <w14:srgbClr w14:val="000000">
                      <w14:alpha w14:val="100000"/>
                    </w14:srgbClr>
                  </w14:solidFill>
                </w14:textFill>
              </w:rPr>
              <w:t>|</w:t>
            </w:r>
            <w:r w:rsidR="008032C5" w:rsidRPr="008032C5">
              <w:rPr>
                <w:vertAlign w:val="superscript"/>
              </w:rPr>
              <w:t>4</w:t>
            </w:r>
          </w:p>
        </w:tc>
        <w:tc>
          <w:tcPr>
            <w:tcW w:w="611" w:type="pct"/>
            <w:shd w:val="clear" w:color="auto" w:fill="auto"/>
          </w:tcPr>
          <w:p w14:paraId="49F183DF" w14:textId="1C25F83E" w:rsidR="00C524BB" w:rsidRPr="00FD5829" w:rsidRDefault="004E7B37" w:rsidP="00B9224E">
            <w:pPr>
              <w:pStyle w:val="TableText"/>
              <w:rPr>
                <w:highlight w:val="darkGray"/>
              </w:rPr>
            </w:pPr>
            <w:r w:rsidRPr="004E7B37">
              <w:rPr>
                <w:color w:val="000000"/>
                <w:spacing w:val="53"/>
                <w:shd w:val="solid" w:color="000000" w:fill="000000"/>
                <w:fitText w:val="330" w:id="-694516471"/>
                <w14:textFill>
                  <w14:solidFill>
                    <w14:srgbClr w14:val="000000">
                      <w14:alpha w14:val="100000"/>
                    </w14:srgbClr>
                  </w14:solidFill>
                </w14:textFill>
              </w:rPr>
              <w:t>|||</w:t>
            </w:r>
            <w:r w:rsidRPr="004E7B37">
              <w:rPr>
                <w:color w:val="000000"/>
                <w:spacing w:val="1"/>
                <w:shd w:val="solid" w:color="000000" w:fill="000000"/>
                <w:fitText w:val="330" w:id="-694516471"/>
                <w14:textFill>
                  <w14:solidFill>
                    <w14:srgbClr w14:val="000000">
                      <w14:alpha w14:val="100000"/>
                    </w14:srgbClr>
                  </w14:solidFill>
                </w14:textFill>
              </w:rPr>
              <w:t>|</w:t>
            </w:r>
            <w:r w:rsidR="008032C5" w:rsidRPr="008032C5">
              <w:rPr>
                <w:vertAlign w:val="superscript"/>
              </w:rPr>
              <w:t>4</w:t>
            </w:r>
          </w:p>
        </w:tc>
        <w:tc>
          <w:tcPr>
            <w:tcW w:w="611" w:type="pct"/>
            <w:shd w:val="clear" w:color="auto" w:fill="auto"/>
          </w:tcPr>
          <w:p w14:paraId="515CD70E" w14:textId="0D3C4D14" w:rsidR="00C524BB" w:rsidRPr="00FD5829" w:rsidRDefault="004E7B37" w:rsidP="00B9224E">
            <w:pPr>
              <w:pStyle w:val="TableText"/>
              <w:rPr>
                <w:highlight w:val="darkGray"/>
              </w:rPr>
            </w:pPr>
            <w:r w:rsidRPr="004E7B37">
              <w:rPr>
                <w:color w:val="000000"/>
                <w:spacing w:val="53"/>
                <w:shd w:val="solid" w:color="000000" w:fill="000000"/>
                <w:fitText w:val="330" w:id="-694516470"/>
                <w14:textFill>
                  <w14:solidFill>
                    <w14:srgbClr w14:val="000000">
                      <w14:alpha w14:val="100000"/>
                    </w14:srgbClr>
                  </w14:solidFill>
                </w14:textFill>
              </w:rPr>
              <w:t>|||</w:t>
            </w:r>
            <w:r w:rsidRPr="004E7B37">
              <w:rPr>
                <w:color w:val="000000"/>
                <w:spacing w:val="1"/>
                <w:shd w:val="solid" w:color="000000" w:fill="000000"/>
                <w:fitText w:val="330" w:id="-694516470"/>
                <w14:textFill>
                  <w14:solidFill>
                    <w14:srgbClr w14:val="000000">
                      <w14:alpha w14:val="100000"/>
                    </w14:srgbClr>
                  </w14:solidFill>
                </w14:textFill>
              </w:rPr>
              <w:t>|</w:t>
            </w:r>
            <w:r w:rsidR="008032C5" w:rsidRPr="008032C5">
              <w:rPr>
                <w:vertAlign w:val="superscript"/>
              </w:rPr>
              <w:t>4</w:t>
            </w:r>
          </w:p>
        </w:tc>
        <w:tc>
          <w:tcPr>
            <w:tcW w:w="611" w:type="pct"/>
          </w:tcPr>
          <w:p w14:paraId="71B31424" w14:textId="67AED8AD" w:rsidR="00C524BB" w:rsidRPr="00FD5829" w:rsidRDefault="004E7B37" w:rsidP="00B9224E">
            <w:pPr>
              <w:pStyle w:val="TableText"/>
              <w:rPr>
                <w:highlight w:val="darkGray"/>
              </w:rPr>
            </w:pPr>
            <w:r w:rsidRPr="004E7B37">
              <w:rPr>
                <w:color w:val="000000"/>
                <w:spacing w:val="53"/>
                <w:shd w:val="solid" w:color="000000" w:fill="000000"/>
                <w:fitText w:val="330" w:id="-694516469"/>
                <w14:textFill>
                  <w14:solidFill>
                    <w14:srgbClr w14:val="000000">
                      <w14:alpha w14:val="100000"/>
                    </w14:srgbClr>
                  </w14:solidFill>
                </w14:textFill>
              </w:rPr>
              <w:t>|||</w:t>
            </w:r>
            <w:r w:rsidRPr="004E7B37">
              <w:rPr>
                <w:color w:val="000000"/>
                <w:spacing w:val="1"/>
                <w:shd w:val="solid" w:color="000000" w:fill="000000"/>
                <w:fitText w:val="330" w:id="-694516469"/>
                <w14:textFill>
                  <w14:solidFill>
                    <w14:srgbClr w14:val="000000">
                      <w14:alpha w14:val="100000"/>
                    </w14:srgbClr>
                  </w14:solidFill>
                </w14:textFill>
              </w:rPr>
              <w:t>|</w:t>
            </w:r>
            <w:r w:rsidR="008032C5" w:rsidRPr="008032C5">
              <w:rPr>
                <w:vertAlign w:val="superscript"/>
              </w:rPr>
              <w:t>4</w:t>
            </w:r>
          </w:p>
        </w:tc>
      </w:tr>
      <w:tr w:rsidR="00C524BB" w:rsidRPr="0098262F" w14:paraId="1B45F7A0" w14:textId="77777777" w:rsidTr="00A14777">
        <w:tc>
          <w:tcPr>
            <w:tcW w:w="1334" w:type="pct"/>
            <w:shd w:val="clear" w:color="auto" w:fill="auto"/>
            <w:vAlign w:val="center"/>
          </w:tcPr>
          <w:p w14:paraId="74687363" w14:textId="302E0CC6" w:rsidR="00C524BB" w:rsidRPr="0098262F" w:rsidRDefault="00C524BB" w:rsidP="00B9224E">
            <w:pPr>
              <w:pStyle w:val="TableText"/>
            </w:pPr>
            <w:r>
              <w:t>TOTAL</w:t>
            </w:r>
          </w:p>
        </w:tc>
        <w:tc>
          <w:tcPr>
            <w:tcW w:w="611" w:type="pct"/>
            <w:shd w:val="clear" w:color="auto" w:fill="auto"/>
          </w:tcPr>
          <w:p w14:paraId="661F8F3A" w14:textId="5627FDF5" w:rsidR="00C524BB" w:rsidRPr="00FD5829" w:rsidRDefault="004E7B37" w:rsidP="00B9224E">
            <w:pPr>
              <w:pStyle w:val="TableText"/>
              <w:rPr>
                <w:highlight w:val="darkGray"/>
              </w:rPr>
            </w:pPr>
            <w:r w:rsidRPr="004E7B37">
              <w:rPr>
                <w:color w:val="000000"/>
                <w:spacing w:val="53"/>
                <w:shd w:val="solid" w:color="000000" w:fill="000000"/>
                <w:fitText w:val="330" w:id="-694516468"/>
                <w14:textFill>
                  <w14:solidFill>
                    <w14:srgbClr w14:val="000000">
                      <w14:alpha w14:val="100000"/>
                    </w14:srgbClr>
                  </w14:solidFill>
                </w14:textFill>
              </w:rPr>
              <w:t>|||</w:t>
            </w:r>
            <w:r w:rsidRPr="004E7B37">
              <w:rPr>
                <w:color w:val="000000"/>
                <w:spacing w:val="1"/>
                <w:shd w:val="solid" w:color="000000" w:fill="000000"/>
                <w:fitText w:val="330" w:id="-694516468"/>
                <w14:textFill>
                  <w14:solidFill>
                    <w14:srgbClr w14:val="000000">
                      <w14:alpha w14:val="100000"/>
                    </w14:srgbClr>
                  </w14:solidFill>
                </w14:textFill>
              </w:rPr>
              <w:t>|</w:t>
            </w:r>
            <w:r w:rsidR="008032C5" w:rsidRPr="008032C5">
              <w:rPr>
                <w:vertAlign w:val="superscript"/>
              </w:rPr>
              <w:t>4</w:t>
            </w:r>
          </w:p>
        </w:tc>
        <w:tc>
          <w:tcPr>
            <w:tcW w:w="611" w:type="pct"/>
            <w:shd w:val="clear" w:color="auto" w:fill="auto"/>
          </w:tcPr>
          <w:p w14:paraId="63C6A46C" w14:textId="35C90FCB" w:rsidR="00C524BB" w:rsidRPr="00FD5829" w:rsidRDefault="004E7B37" w:rsidP="00B9224E">
            <w:pPr>
              <w:pStyle w:val="TableText"/>
              <w:rPr>
                <w:highlight w:val="darkGray"/>
              </w:rPr>
            </w:pPr>
            <w:r w:rsidRPr="004E7B37">
              <w:rPr>
                <w:color w:val="000000"/>
                <w:spacing w:val="53"/>
                <w:shd w:val="solid" w:color="000000" w:fill="000000"/>
                <w:fitText w:val="330" w:id="-694516467"/>
                <w14:textFill>
                  <w14:solidFill>
                    <w14:srgbClr w14:val="000000">
                      <w14:alpha w14:val="100000"/>
                    </w14:srgbClr>
                  </w14:solidFill>
                </w14:textFill>
              </w:rPr>
              <w:t>|||</w:t>
            </w:r>
            <w:r w:rsidRPr="004E7B37">
              <w:rPr>
                <w:color w:val="000000"/>
                <w:spacing w:val="1"/>
                <w:shd w:val="solid" w:color="000000" w:fill="000000"/>
                <w:fitText w:val="330" w:id="-694516467"/>
                <w14:textFill>
                  <w14:solidFill>
                    <w14:srgbClr w14:val="000000">
                      <w14:alpha w14:val="100000"/>
                    </w14:srgbClr>
                  </w14:solidFill>
                </w14:textFill>
              </w:rPr>
              <w:t>|</w:t>
            </w:r>
            <w:r w:rsidR="008559E9" w:rsidRPr="008032C5">
              <w:rPr>
                <w:vertAlign w:val="superscript"/>
              </w:rPr>
              <w:t>4</w:t>
            </w:r>
          </w:p>
        </w:tc>
        <w:tc>
          <w:tcPr>
            <w:tcW w:w="611" w:type="pct"/>
            <w:shd w:val="clear" w:color="auto" w:fill="auto"/>
          </w:tcPr>
          <w:p w14:paraId="569EA2D8" w14:textId="28ACFD49" w:rsidR="00C524BB" w:rsidRPr="00FD5829" w:rsidRDefault="004E7B37" w:rsidP="00B9224E">
            <w:pPr>
              <w:pStyle w:val="TableText"/>
              <w:rPr>
                <w:highlight w:val="darkGray"/>
              </w:rPr>
            </w:pPr>
            <w:r w:rsidRPr="004E7B37">
              <w:rPr>
                <w:color w:val="000000"/>
                <w:spacing w:val="53"/>
                <w:shd w:val="solid" w:color="000000" w:fill="000000"/>
                <w:fitText w:val="330" w:id="-694516466"/>
                <w14:textFill>
                  <w14:solidFill>
                    <w14:srgbClr w14:val="000000">
                      <w14:alpha w14:val="100000"/>
                    </w14:srgbClr>
                  </w14:solidFill>
                </w14:textFill>
              </w:rPr>
              <w:t>|||</w:t>
            </w:r>
            <w:r w:rsidRPr="004E7B37">
              <w:rPr>
                <w:color w:val="000000"/>
                <w:spacing w:val="1"/>
                <w:shd w:val="solid" w:color="000000" w:fill="000000"/>
                <w:fitText w:val="330" w:id="-694516466"/>
                <w14:textFill>
                  <w14:solidFill>
                    <w14:srgbClr w14:val="000000">
                      <w14:alpha w14:val="100000"/>
                    </w14:srgbClr>
                  </w14:solidFill>
                </w14:textFill>
              </w:rPr>
              <w:t>|</w:t>
            </w:r>
            <w:r w:rsidR="008559E9" w:rsidRPr="008032C5">
              <w:rPr>
                <w:vertAlign w:val="superscript"/>
              </w:rPr>
              <w:t>4</w:t>
            </w:r>
          </w:p>
        </w:tc>
        <w:tc>
          <w:tcPr>
            <w:tcW w:w="611" w:type="pct"/>
            <w:shd w:val="clear" w:color="auto" w:fill="auto"/>
          </w:tcPr>
          <w:p w14:paraId="1EDA099E" w14:textId="6F800622" w:rsidR="00C524BB" w:rsidRPr="00FD5829" w:rsidRDefault="004E7B37" w:rsidP="00B9224E">
            <w:pPr>
              <w:pStyle w:val="TableText"/>
              <w:rPr>
                <w:highlight w:val="darkGray"/>
              </w:rPr>
            </w:pPr>
            <w:r w:rsidRPr="004E7B37">
              <w:rPr>
                <w:color w:val="000000"/>
                <w:spacing w:val="53"/>
                <w:shd w:val="solid" w:color="000000" w:fill="000000"/>
                <w:fitText w:val="330" w:id="-694516465"/>
                <w14:textFill>
                  <w14:solidFill>
                    <w14:srgbClr w14:val="000000">
                      <w14:alpha w14:val="100000"/>
                    </w14:srgbClr>
                  </w14:solidFill>
                </w14:textFill>
              </w:rPr>
              <w:t>|||</w:t>
            </w:r>
            <w:r w:rsidRPr="004E7B37">
              <w:rPr>
                <w:color w:val="000000"/>
                <w:spacing w:val="1"/>
                <w:shd w:val="solid" w:color="000000" w:fill="000000"/>
                <w:fitText w:val="330" w:id="-694516465"/>
                <w14:textFill>
                  <w14:solidFill>
                    <w14:srgbClr w14:val="000000">
                      <w14:alpha w14:val="100000"/>
                    </w14:srgbClr>
                  </w14:solidFill>
                </w14:textFill>
              </w:rPr>
              <w:t>|</w:t>
            </w:r>
            <w:r w:rsidR="008559E9" w:rsidRPr="008032C5">
              <w:rPr>
                <w:vertAlign w:val="superscript"/>
              </w:rPr>
              <w:t>4</w:t>
            </w:r>
          </w:p>
        </w:tc>
        <w:tc>
          <w:tcPr>
            <w:tcW w:w="611" w:type="pct"/>
            <w:shd w:val="clear" w:color="auto" w:fill="auto"/>
          </w:tcPr>
          <w:p w14:paraId="2DAFC160" w14:textId="587983F3" w:rsidR="00C524BB" w:rsidRPr="00FD5829" w:rsidRDefault="004E7B37" w:rsidP="00B9224E">
            <w:pPr>
              <w:pStyle w:val="TableText"/>
              <w:rPr>
                <w:highlight w:val="darkGray"/>
              </w:rPr>
            </w:pPr>
            <w:r w:rsidRPr="004E7B37">
              <w:rPr>
                <w:color w:val="000000"/>
                <w:spacing w:val="53"/>
                <w:shd w:val="solid" w:color="000000" w:fill="000000"/>
                <w:fitText w:val="330" w:id="-694516464"/>
                <w14:textFill>
                  <w14:solidFill>
                    <w14:srgbClr w14:val="000000">
                      <w14:alpha w14:val="100000"/>
                    </w14:srgbClr>
                  </w14:solidFill>
                </w14:textFill>
              </w:rPr>
              <w:t>|||</w:t>
            </w:r>
            <w:r w:rsidRPr="004E7B37">
              <w:rPr>
                <w:color w:val="000000"/>
                <w:spacing w:val="1"/>
                <w:shd w:val="solid" w:color="000000" w:fill="000000"/>
                <w:fitText w:val="330" w:id="-694516464"/>
                <w14:textFill>
                  <w14:solidFill>
                    <w14:srgbClr w14:val="000000">
                      <w14:alpha w14:val="100000"/>
                    </w14:srgbClr>
                  </w14:solidFill>
                </w14:textFill>
              </w:rPr>
              <w:t>|</w:t>
            </w:r>
            <w:r w:rsidR="008559E9" w:rsidRPr="008032C5">
              <w:rPr>
                <w:vertAlign w:val="superscript"/>
              </w:rPr>
              <w:t>4</w:t>
            </w:r>
          </w:p>
        </w:tc>
        <w:tc>
          <w:tcPr>
            <w:tcW w:w="611" w:type="pct"/>
          </w:tcPr>
          <w:p w14:paraId="4A9A4495" w14:textId="64ABA3F2" w:rsidR="00C524BB" w:rsidRPr="00FD5829" w:rsidRDefault="004E7B37" w:rsidP="00B9224E">
            <w:pPr>
              <w:pStyle w:val="TableText"/>
              <w:rPr>
                <w:highlight w:val="darkGray"/>
              </w:rPr>
            </w:pPr>
            <w:r w:rsidRPr="004E7B37">
              <w:rPr>
                <w:color w:val="000000"/>
                <w:spacing w:val="53"/>
                <w:shd w:val="solid" w:color="000000" w:fill="000000"/>
                <w:fitText w:val="330" w:id="-694516480"/>
                <w14:textFill>
                  <w14:solidFill>
                    <w14:srgbClr w14:val="000000">
                      <w14:alpha w14:val="100000"/>
                    </w14:srgbClr>
                  </w14:solidFill>
                </w14:textFill>
              </w:rPr>
              <w:t>|||</w:t>
            </w:r>
            <w:r w:rsidRPr="004E7B37">
              <w:rPr>
                <w:color w:val="000000"/>
                <w:spacing w:val="1"/>
                <w:shd w:val="solid" w:color="000000" w:fill="000000"/>
                <w:fitText w:val="330" w:id="-694516480"/>
                <w14:textFill>
                  <w14:solidFill>
                    <w14:srgbClr w14:val="000000">
                      <w14:alpha w14:val="100000"/>
                    </w14:srgbClr>
                  </w14:solidFill>
                </w14:textFill>
              </w:rPr>
              <w:t>|</w:t>
            </w:r>
            <w:r w:rsidR="008559E9" w:rsidRPr="008032C5">
              <w:rPr>
                <w:vertAlign w:val="superscript"/>
              </w:rPr>
              <w:t>4</w:t>
            </w:r>
          </w:p>
        </w:tc>
      </w:tr>
      <w:tr w:rsidR="00C524BB" w:rsidRPr="006F273C" w14:paraId="4FA07BD8" w14:textId="77777777" w:rsidTr="009C3A3A">
        <w:tc>
          <w:tcPr>
            <w:tcW w:w="5000" w:type="pct"/>
            <w:gridSpan w:val="7"/>
            <w:shd w:val="clear" w:color="auto" w:fill="auto"/>
            <w:vAlign w:val="center"/>
          </w:tcPr>
          <w:p w14:paraId="1A627EA0" w14:textId="5A4B8AA2" w:rsidR="00C524BB" w:rsidRPr="006F273C" w:rsidRDefault="00C524BB" w:rsidP="00B9224E">
            <w:pPr>
              <w:pStyle w:val="TableText"/>
              <w:rPr>
                <w:b/>
                <w:bCs w:val="0"/>
              </w:rPr>
            </w:pPr>
            <w:r w:rsidRPr="006F273C">
              <w:rPr>
                <w:b/>
                <w:bCs w:val="0"/>
              </w:rPr>
              <w:t>Net financial implications</w:t>
            </w:r>
            <w:r w:rsidRPr="006F273C">
              <w:rPr>
                <w:b/>
                <w:bCs w:val="0"/>
                <w:color w:val="4BACC6" w:themeColor="accent5"/>
              </w:rPr>
              <w:t xml:space="preserve"> </w:t>
            </w:r>
          </w:p>
        </w:tc>
      </w:tr>
      <w:tr w:rsidR="00C524BB" w:rsidRPr="0098262F" w14:paraId="3F33D4C6" w14:textId="77777777" w:rsidTr="00A14777">
        <w:tc>
          <w:tcPr>
            <w:tcW w:w="1334" w:type="pct"/>
            <w:shd w:val="clear" w:color="auto" w:fill="auto"/>
            <w:vAlign w:val="center"/>
          </w:tcPr>
          <w:p w14:paraId="5ABBDE64" w14:textId="77777777" w:rsidR="00C524BB" w:rsidRPr="0098262F" w:rsidRDefault="00C524BB" w:rsidP="00B9224E">
            <w:pPr>
              <w:pStyle w:val="TableText"/>
            </w:pPr>
            <w:r w:rsidRPr="0098262F">
              <w:t>Net cost to PBS/RPBS</w:t>
            </w:r>
          </w:p>
        </w:tc>
        <w:tc>
          <w:tcPr>
            <w:tcW w:w="611" w:type="pct"/>
            <w:shd w:val="clear" w:color="auto" w:fill="auto"/>
          </w:tcPr>
          <w:p w14:paraId="744F82C2" w14:textId="366A531A" w:rsidR="00C524BB" w:rsidRPr="00FD5829" w:rsidRDefault="004E7B37" w:rsidP="00B9224E">
            <w:pPr>
              <w:pStyle w:val="TableText"/>
              <w:rPr>
                <w:highlight w:val="darkGray"/>
              </w:rPr>
            </w:pPr>
            <w:r w:rsidRPr="004E7B37">
              <w:rPr>
                <w:color w:val="000000"/>
                <w:spacing w:val="53"/>
                <w:shd w:val="solid" w:color="000000" w:fill="000000"/>
                <w:fitText w:val="330" w:id="-694516479"/>
                <w14:textFill>
                  <w14:solidFill>
                    <w14:srgbClr w14:val="000000">
                      <w14:alpha w14:val="100000"/>
                    </w14:srgbClr>
                  </w14:solidFill>
                </w14:textFill>
              </w:rPr>
              <w:t>|||</w:t>
            </w:r>
            <w:r w:rsidRPr="004E7B37">
              <w:rPr>
                <w:color w:val="000000"/>
                <w:spacing w:val="1"/>
                <w:shd w:val="solid" w:color="000000" w:fill="000000"/>
                <w:fitText w:val="330" w:id="-694516479"/>
                <w14:textFill>
                  <w14:solidFill>
                    <w14:srgbClr w14:val="000000">
                      <w14:alpha w14:val="100000"/>
                    </w14:srgbClr>
                  </w14:solidFill>
                </w14:textFill>
              </w:rPr>
              <w:t>|</w:t>
            </w:r>
            <w:r w:rsidR="00376E62" w:rsidRPr="00376E62">
              <w:rPr>
                <w:vertAlign w:val="superscript"/>
              </w:rPr>
              <w:t>5</w:t>
            </w:r>
          </w:p>
        </w:tc>
        <w:tc>
          <w:tcPr>
            <w:tcW w:w="611" w:type="pct"/>
            <w:shd w:val="clear" w:color="auto" w:fill="auto"/>
          </w:tcPr>
          <w:p w14:paraId="295843EA" w14:textId="2C2350F2" w:rsidR="00C524BB" w:rsidRPr="00FD5829" w:rsidRDefault="004E7B37" w:rsidP="00B9224E">
            <w:pPr>
              <w:pStyle w:val="TableText"/>
              <w:rPr>
                <w:highlight w:val="darkGray"/>
              </w:rPr>
            </w:pPr>
            <w:r w:rsidRPr="004E7B37">
              <w:rPr>
                <w:color w:val="000000"/>
                <w:spacing w:val="53"/>
                <w:shd w:val="solid" w:color="000000" w:fill="000000"/>
                <w:fitText w:val="330" w:id="-694516478"/>
                <w14:textFill>
                  <w14:solidFill>
                    <w14:srgbClr w14:val="000000">
                      <w14:alpha w14:val="100000"/>
                    </w14:srgbClr>
                  </w14:solidFill>
                </w14:textFill>
              </w:rPr>
              <w:t>|||</w:t>
            </w:r>
            <w:r w:rsidRPr="004E7B37">
              <w:rPr>
                <w:color w:val="000000"/>
                <w:spacing w:val="1"/>
                <w:shd w:val="solid" w:color="000000" w:fill="000000"/>
                <w:fitText w:val="330" w:id="-694516478"/>
                <w14:textFill>
                  <w14:solidFill>
                    <w14:srgbClr w14:val="000000">
                      <w14:alpha w14:val="100000"/>
                    </w14:srgbClr>
                  </w14:solidFill>
                </w14:textFill>
              </w:rPr>
              <w:t>|</w:t>
            </w:r>
            <w:r w:rsidR="00376E62" w:rsidRPr="00376E62">
              <w:rPr>
                <w:vertAlign w:val="superscript"/>
              </w:rPr>
              <w:t>5</w:t>
            </w:r>
          </w:p>
        </w:tc>
        <w:tc>
          <w:tcPr>
            <w:tcW w:w="611" w:type="pct"/>
            <w:shd w:val="clear" w:color="auto" w:fill="auto"/>
          </w:tcPr>
          <w:p w14:paraId="3A32302A" w14:textId="46CE446D" w:rsidR="00C524BB" w:rsidRPr="00FD5829" w:rsidRDefault="004E7B37" w:rsidP="00B9224E">
            <w:pPr>
              <w:pStyle w:val="TableText"/>
              <w:rPr>
                <w:highlight w:val="darkGray"/>
              </w:rPr>
            </w:pPr>
            <w:r w:rsidRPr="004E7B37">
              <w:rPr>
                <w:color w:val="000000"/>
                <w:spacing w:val="53"/>
                <w:shd w:val="solid" w:color="000000" w:fill="000000"/>
                <w:fitText w:val="330" w:id="-694516477"/>
                <w14:textFill>
                  <w14:solidFill>
                    <w14:srgbClr w14:val="000000">
                      <w14:alpha w14:val="100000"/>
                    </w14:srgbClr>
                  </w14:solidFill>
                </w14:textFill>
              </w:rPr>
              <w:t>|||</w:t>
            </w:r>
            <w:r w:rsidRPr="004E7B37">
              <w:rPr>
                <w:color w:val="000000"/>
                <w:spacing w:val="1"/>
                <w:shd w:val="solid" w:color="000000" w:fill="000000"/>
                <w:fitText w:val="330" w:id="-694516477"/>
                <w14:textFill>
                  <w14:solidFill>
                    <w14:srgbClr w14:val="000000">
                      <w14:alpha w14:val="100000"/>
                    </w14:srgbClr>
                  </w14:solidFill>
                </w14:textFill>
              </w:rPr>
              <w:t>|</w:t>
            </w:r>
            <w:r w:rsidR="00376E62" w:rsidRPr="00376E62">
              <w:rPr>
                <w:vertAlign w:val="superscript"/>
              </w:rPr>
              <w:t>5</w:t>
            </w:r>
          </w:p>
        </w:tc>
        <w:tc>
          <w:tcPr>
            <w:tcW w:w="611" w:type="pct"/>
            <w:shd w:val="clear" w:color="auto" w:fill="auto"/>
          </w:tcPr>
          <w:p w14:paraId="326E9207" w14:textId="1FB567A9" w:rsidR="00C524BB" w:rsidRPr="00FD5829" w:rsidRDefault="004E7B37" w:rsidP="00B9224E">
            <w:pPr>
              <w:pStyle w:val="TableText"/>
              <w:rPr>
                <w:highlight w:val="darkGray"/>
              </w:rPr>
            </w:pPr>
            <w:r w:rsidRPr="004E7B37">
              <w:rPr>
                <w:color w:val="000000"/>
                <w:spacing w:val="53"/>
                <w:shd w:val="solid" w:color="000000" w:fill="000000"/>
                <w:fitText w:val="330" w:id="-694516476"/>
                <w14:textFill>
                  <w14:solidFill>
                    <w14:srgbClr w14:val="000000">
                      <w14:alpha w14:val="100000"/>
                    </w14:srgbClr>
                  </w14:solidFill>
                </w14:textFill>
              </w:rPr>
              <w:t>|||</w:t>
            </w:r>
            <w:r w:rsidRPr="004E7B37">
              <w:rPr>
                <w:color w:val="000000"/>
                <w:spacing w:val="1"/>
                <w:shd w:val="solid" w:color="000000" w:fill="000000"/>
                <w:fitText w:val="330" w:id="-694516476"/>
                <w14:textFill>
                  <w14:solidFill>
                    <w14:srgbClr w14:val="000000">
                      <w14:alpha w14:val="100000"/>
                    </w14:srgbClr>
                  </w14:solidFill>
                </w14:textFill>
              </w:rPr>
              <w:t>|</w:t>
            </w:r>
            <w:r w:rsidR="00376E62" w:rsidRPr="00376E62">
              <w:rPr>
                <w:vertAlign w:val="superscript"/>
              </w:rPr>
              <w:t>5</w:t>
            </w:r>
          </w:p>
        </w:tc>
        <w:tc>
          <w:tcPr>
            <w:tcW w:w="611" w:type="pct"/>
            <w:shd w:val="clear" w:color="auto" w:fill="auto"/>
          </w:tcPr>
          <w:p w14:paraId="56E4D70E" w14:textId="2A88AA09" w:rsidR="00C524BB" w:rsidRPr="00FD5829" w:rsidRDefault="004E7B37" w:rsidP="00B9224E">
            <w:pPr>
              <w:pStyle w:val="TableText"/>
              <w:rPr>
                <w:highlight w:val="darkGray"/>
              </w:rPr>
            </w:pPr>
            <w:r w:rsidRPr="004E7B37">
              <w:rPr>
                <w:color w:val="000000"/>
                <w:spacing w:val="53"/>
                <w:shd w:val="solid" w:color="000000" w:fill="000000"/>
                <w:fitText w:val="330" w:id="-694516475"/>
                <w14:textFill>
                  <w14:solidFill>
                    <w14:srgbClr w14:val="000000">
                      <w14:alpha w14:val="100000"/>
                    </w14:srgbClr>
                  </w14:solidFill>
                </w14:textFill>
              </w:rPr>
              <w:t>|||</w:t>
            </w:r>
            <w:r w:rsidRPr="004E7B37">
              <w:rPr>
                <w:color w:val="000000"/>
                <w:spacing w:val="1"/>
                <w:shd w:val="solid" w:color="000000" w:fill="000000"/>
                <w:fitText w:val="330" w:id="-694516475"/>
                <w14:textFill>
                  <w14:solidFill>
                    <w14:srgbClr w14:val="000000">
                      <w14:alpha w14:val="100000"/>
                    </w14:srgbClr>
                  </w14:solidFill>
                </w14:textFill>
              </w:rPr>
              <w:t>|</w:t>
            </w:r>
            <w:r w:rsidR="00376E62" w:rsidRPr="00376E62">
              <w:rPr>
                <w:vertAlign w:val="superscript"/>
              </w:rPr>
              <w:t>5</w:t>
            </w:r>
          </w:p>
        </w:tc>
        <w:tc>
          <w:tcPr>
            <w:tcW w:w="611" w:type="pct"/>
          </w:tcPr>
          <w:p w14:paraId="241B1CFD" w14:textId="1D41FC23" w:rsidR="00C524BB" w:rsidRPr="00FD5829" w:rsidRDefault="004E7B37" w:rsidP="00B9224E">
            <w:pPr>
              <w:pStyle w:val="TableText"/>
              <w:rPr>
                <w:highlight w:val="darkGray"/>
              </w:rPr>
            </w:pPr>
            <w:r w:rsidRPr="004E7B37">
              <w:rPr>
                <w:color w:val="000000"/>
                <w:spacing w:val="53"/>
                <w:shd w:val="solid" w:color="000000" w:fill="000000"/>
                <w:fitText w:val="330" w:id="-694516474"/>
                <w14:textFill>
                  <w14:solidFill>
                    <w14:srgbClr w14:val="000000">
                      <w14:alpha w14:val="100000"/>
                    </w14:srgbClr>
                  </w14:solidFill>
                </w14:textFill>
              </w:rPr>
              <w:t>|||</w:t>
            </w:r>
            <w:r w:rsidRPr="004E7B37">
              <w:rPr>
                <w:color w:val="000000"/>
                <w:spacing w:val="1"/>
                <w:shd w:val="solid" w:color="000000" w:fill="000000"/>
                <w:fitText w:val="330" w:id="-694516474"/>
                <w14:textFill>
                  <w14:solidFill>
                    <w14:srgbClr w14:val="000000">
                      <w14:alpha w14:val="100000"/>
                    </w14:srgbClr>
                  </w14:solidFill>
                </w14:textFill>
              </w:rPr>
              <w:t>|</w:t>
            </w:r>
            <w:r w:rsidR="00376E62" w:rsidRPr="00376E62">
              <w:rPr>
                <w:vertAlign w:val="superscript"/>
              </w:rPr>
              <w:t>5</w:t>
            </w:r>
          </w:p>
        </w:tc>
      </w:tr>
      <w:tr w:rsidR="00C20D9E" w:rsidRPr="0098262F" w14:paraId="571B64F4" w14:textId="77777777" w:rsidTr="00A14777">
        <w:tc>
          <w:tcPr>
            <w:tcW w:w="1334" w:type="pct"/>
            <w:shd w:val="clear" w:color="auto" w:fill="auto"/>
            <w:vAlign w:val="center"/>
          </w:tcPr>
          <w:p w14:paraId="427698FB" w14:textId="221872FC" w:rsidR="00C20D9E" w:rsidRPr="0098262F" w:rsidRDefault="00C20D9E" w:rsidP="00B9224E">
            <w:pPr>
              <w:pStyle w:val="TableText"/>
              <w:rPr>
                <w:rFonts w:ascii="Times" w:hAnsi="Times"/>
              </w:rPr>
            </w:pPr>
            <w:r w:rsidRPr="0098262F">
              <w:t>Net cost to MBS</w:t>
            </w:r>
          </w:p>
        </w:tc>
        <w:tc>
          <w:tcPr>
            <w:tcW w:w="611" w:type="pct"/>
            <w:shd w:val="clear" w:color="auto" w:fill="auto"/>
          </w:tcPr>
          <w:p w14:paraId="5AD7A1FC" w14:textId="3F8DF7F1" w:rsidR="00C20D9E" w:rsidRPr="00FD5829" w:rsidRDefault="004E7B37" w:rsidP="00B9224E">
            <w:pPr>
              <w:pStyle w:val="TableText"/>
              <w:rPr>
                <w:highlight w:val="darkGray"/>
              </w:rPr>
            </w:pPr>
            <w:r w:rsidRPr="004E7B37">
              <w:rPr>
                <w:color w:val="000000"/>
                <w:spacing w:val="53"/>
                <w:shd w:val="solid" w:color="000000" w:fill="000000"/>
                <w:fitText w:val="330" w:id="-694516473"/>
                <w14:textFill>
                  <w14:solidFill>
                    <w14:srgbClr w14:val="000000">
                      <w14:alpha w14:val="100000"/>
                    </w14:srgbClr>
                  </w14:solidFill>
                </w14:textFill>
              </w:rPr>
              <w:t>|||</w:t>
            </w:r>
            <w:r w:rsidRPr="004E7B37">
              <w:rPr>
                <w:color w:val="000000"/>
                <w:spacing w:val="1"/>
                <w:shd w:val="solid" w:color="000000" w:fill="000000"/>
                <w:fitText w:val="330" w:id="-694516473"/>
                <w14:textFill>
                  <w14:solidFill>
                    <w14:srgbClr w14:val="000000">
                      <w14:alpha w14:val="100000"/>
                    </w14:srgbClr>
                  </w14:solidFill>
                </w14:textFill>
              </w:rPr>
              <w:t>|</w:t>
            </w:r>
            <w:r w:rsidR="00376E62" w:rsidRPr="00376E62">
              <w:rPr>
                <w:vertAlign w:val="superscript"/>
              </w:rPr>
              <w:t>5</w:t>
            </w:r>
          </w:p>
        </w:tc>
        <w:tc>
          <w:tcPr>
            <w:tcW w:w="611" w:type="pct"/>
            <w:shd w:val="clear" w:color="auto" w:fill="auto"/>
          </w:tcPr>
          <w:p w14:paraId="1D6E215B" w14:textId="6BCF7104" w:rsidR="00C20D9E" w:rsidRPr="00FD5829" w:rsidRDefault="004E7B37" w:rsidP="00B9224E">
            <w:pPr>
              <w:pStyle w:val="TableText"/>
              <w:rPr>
                <w:highlight w:val="darkGray"/>
              </w:rPr>
            </w:pPr>
            <w:r w:rsidRPr="004E7B37">
              <w:rPr>
                <w:color w:val="000000"/>
                <w:spacing w:val="53"/>
                <w:shd w:val="solid" w:color="000000" w:fill="000000"/>
                <w:fitText w:val="330" w:id="-694516472"/>
                <w14:textFill>
                  <w14:solidFill>
                    <w14:srgbClr w14:val="000000">
                      <w14:alpha w14:val="100000"/>
                    </w14:srgbClr>
                  </w14:solidFill>
                </w14:textFill>
              </w:rPr>
              <w:t>|||</w:t>
            </w:r>
            <w:r w:rsidRPr="004E7B37">
              <w:rPr>
                <w:color w:val="000000"/>
                <w:spacing w:val="1"/>
                <w:shd w:val="solid" w:color="000000" w:fill="000000"/>
                <w:fitText w:val="330" w:id="-694516472"/>
                <w14:textFill>
                  <w14:solidFill>
                    <w14:srgbClr w14:val="000000">
                      <w14:alpha w14:val="100000"/>
                    </w14:srgbClr>
                  </w14:solidFill>
                </w14:textFill>
              </w:rPr>
              <w:t>|</w:t>
            </w:r>
            <w:r w:rsidR="00376E62" w:rsidRPr="00376E62">
              <w:rPr>
                <w:vertAlign w:val="superscript"/>
              </w:rPr>
              <w:t>5</w:t>
            </w:r>
          </w:p>
        </w:tc>
        <w:tc>
          <w:tcPr>
            <w:tcW w:w="611" w:type="pct"/>
            <w:shd w:val="clear" w:color="auto" w:fill="auto"/>
          </w:tcPr>
          <w:p w14:paraId="25026D9D" w14:textId="34B8A56B" w:rsidR="00C20D9E" w:rsidRPr="00FD5829" w:rsidRDefault="004E7B37" w:rsidP="00B9224E">
            <w:pPr>
              <w:pStyle w:val="TableText"/>
              <w:rPr>
                <w:highlight w:val="darkGray"/>
              </w:rPr>
            </w:pPr>
            <w:r w:rsidRPr="004E7B37">
              <w:rPr>
                <w:color w:val="000000"/>
                <w:spacing w:val="53"/>
                <w:shd w:val="solid" w:color="000000" w:fill="000000"/>
                <w:fitText w:val="330" w:id="-694516471"/>
                <w14:textFill>
                  <w14:solidFill>
                    <w14:srgbClr w14:val="000000">
                      <w14:alpha w14:val="100000"/>
                    </w14:srgbClr>
                  </w14:solidFill>
                </w14:textFill>
              </w:rPr>
              <w:t>|||</w:t>
            </w:r>
            <w:r w:rsidRPr="004E7B37">
              <w:rPr>
                <w:color w:val="000000"/>
                <w:spacing w:val="1"/>
                <w:shd w:val="solid" w:color="000000" w:fill="000000"/>
                <w:fitText w:val="330" w:id="-694516471"/>
                <w14:textFill>
                  <w14:solidFill>
                    <w14:srgbClr w14:val="000000">
                      <w14:alpha w14:val="100000"/>
                    </w14:srgbClr>
                  </w14:solidFill>
                </w14:textFill>
              </w:rPr>
              <w:t>|</w:t>
            </w:r>
            <w:r w:rsidR="00376E62" w:rsidRPr="00376E62">
              <w:rPr>
                <w:vertAlign w:val="superscript"/>
              </w:rPr>
              <w:t>5</w:t>
            </w:r>
          </w:p>
        </w:tc>
        <w:tc>
          <w:tcPr>
            <w:tcW w:w="611" w:type="pct"/>
            <w:shd w:val="clear" w:color="auto" w:fill="auto"/>
          </w:tcPr>
          <w:p w14:paraId="6933D36F" w14:textId="0D4D3FF6" w:rsidR="00C20D9E" w:rsidRPr="00FD5829" w:rsidRDefault="004E7B37" w:rsidP="00B9224E">
            <w:pPr>
              <w:pStyle w:val="TableText"/>
              <w:rPr>
                <w:highlight w:val="darkGray"/>
              </w:rPr>
            </w:pPr>
            <w:r w:rsidRPr="004E7B37">
              <w:rPr>
                <w:color w:val="000000"/>
                <w:spacing w:val="53"/>
                <w:shd w:val="solid" w:color="000000" w:fill="000000"/>
                <w:fitText w:val="330" w:id="-694516470"/>
                <w14:textFill>
                  <w14:solidFill>
                    <w14:srgbClr w14:val="000000">
                      <w14:alpha w14:val="100000"/>
                    </w14:srgbClr>
                  </w14:solidFill>
                </w14:textFill>
              </w:rPr>
              <w:t>|||</w:t>
            </w:r>
            <w:r w:rsidRPr="004E7B37">
              <w:rPr>
                <w:color w:val="000000"/>
                <w:spacing w:val="1"/>
                <w:shd w:val="solid" w:color="000000" w:fill="000000"/>
                <w:fitText w:val="330" w:id="-694516470"/>
                <w14:textFill>
                  <w14:solidFill>
                    <w14:srgbClr w14:val="000000">
                      <w14:alpha w14:val="100000"/>
                    </w14:srgbClr>
                  </w14:solidFill>
                </w14:textFill>
              </w:rPr>
              <w:t>|</w:t>
            </w:r>
            <w:r w:rsidR="00376E62" w:rsidRPr="00376E62">
              <w:rPr>
                <w:vertAlign w:val="superscript"/>
              </w:rPr>
              <w:t>5</w:t>
            </w:r>
          </w:p>
        </w:tc>
        <w:tc>
          <w:tcPr>
            <w:tcW w:w="611" w:type="pct"/>
            <w:shd w:val="clear" w:color="auto" w:fill="auto"/>
          </w:tcPr>
          <w:p w14:paraId="04433A65" w14:textId="7BC07CA9" w:rsidR="00C20D9E" w:rsidRPr="00FD5829" w:rsidRDefault="004E7B37" w:rsidP="00B9224E">
            <w:pPr>
              <w:pStyle w:val="TableText"/>
              <w:rPr>
                <w:highlight w:val="darkGray"/>
              </w:rPr>
            </w:pPr>
            <w:r w:rsidRPr="004E7B37">
              <w:rPr>
                <w:color w:val="000000"/>
                <w:spacing w:val="53"/>
                <w:shd w:val="solid" w:color="000000" w:fill="000000"/>
                <w:fitText w:val="330" w:id="-694516469"/>
                <w14:textFill>
                  <w14:solidFill>
                    <w14:srgbClr w14:val="000000">
                      <w14:alpha w14:val="100000"/>
                    </w14:srgbClr>
                  </w14:solidFill>
                </w14:textFill>
              </w:rPr>
              <w:t>|||</w:t>
            </w:r>
            <w:r w:rsidRPr="004E7B37">
              <w:rPr>
                <w:color w:val="000000"/>
                <w:spacing w:val="1"/>
                <w:shd w:val="solid" w:color="000000" w:fill="000000"/>
                <w:fitText w:val="330" w:id="-694516469"/>
                <w14:textFill>
                  <w14:solidFill>
                    <w14:srgbClr w14:val="000000">
                      <w14:alpha w14:val="100000"/>
                    </w14:srgbClr>
                  </w14:solidFill>
                </w14:textFill>
              </w:rPr>
              <w:t>|</w:t>
            </w:r>
            <w:r w:rsidR="00376E62" w:rsidRPr="00376E62">
              <w:rPr>
                <w:vertAlign w:val="superscript"/>
              </w:rPr>
              <w:t>5</w:t>
            </w:r>
          </w:p>
        </w:tc>
        <w:tc>
          <w:tcPr>
            <w:tcW w:w="611" w:type="pct"/>
          </w:tcPr>
          <w:p w14:paraId="2223EBD7" w14:textId="5EC9B729" w:rsidR="00C20D9E" w:rsidRPr="00FD5829" w:rsidRDefault="004E7B37" w:rsidP="00B9224E">
            <w:pPr>
              <w:pStyle w:val="TableText"/>
              <w:rPr>
                <w:highlight w:val="darkGray"/>
              </w:rPr>
            </w:pPr>
            <w:r w:rsidRPr="004E7B37">
              <w:rPr>
                <w:color w:val="000000"/>
                <w:spacing w:val="53"/>
                <w:shd w:val="solid" w:color="000000" w:fill="000000"/>
                <w:fitText w:val="330" w:id="-694516468"/>
                <w14:textFill>
                  <w14:solidFill>
                    <w14:srgbClr w14:val="000000">
                      <w14:alpha w14:val="100000"/>
                    </w14:srgbClr>
                  </w14:solidFill>
                </w14:textFill>
              </w:rPr>
              <w:t>|||</w:t>
            </w:r>
            <w:r w:rsidRPr="004E7B37">
              <w:rPr>
                <w:color w:val="000000"/>
                <w:spacing w:val="1"/>
                <w:shd w:val="solid" w:color="000000" w:fill="000000"/>
                <w:fitText w:val="330" w:id="-694516468"/>
                <w14:textFill>
                  <w14:solidFill>
                    <w14:srgbClr w14:val="000000">
                      <w14:alpha w14:val="100000"/>
                    </w14:srgbClr>
                  </w14:solidFill>
                </w14:textFill>
              </w:rPr>
              <w:t>|</w:t>
            </w:r>
            <w:r w:rsidR="00376E62" w:rsidRPr="00376E62">
              <w:rPr>
                <w:vertAlign w:val="superscript"/>
              </w:rPr>
              <w:t>5</w:t>
            </w:r>
          </w:p>
        </w:tc>
      </w:tr>
      <w:tr w:rsidR="00C20D9E" w:rsidRPr="0098262F" w14:paraId="123830C0" w14:textId="77777777" w:rsidTr="008A3158">
        <w:tc>
          <w:tcPr>
            <w:tcW w:w="1334" w:type="pct"/>
            <w:shd w:val="clear" w:color="auto" w:fill="auto"/>
            <w:vAlign w:val="center"/>
          </w:tcPr>
          <w:p w14:paraId="50FCDA47" w14:textId="1D7810BD" w:rsidR="00C20D9E" w:rsidRPr="0098262F" w:rsidRDefault="00C20D9E" w:rsidP="00B9224E">
            <w:pPr>
              <w:pStyle w:val="TableText"/>
            </w:pPr>
            <w:r w:rsidRPr="0098262F">
              <w:t>Net cost to PBS/RPBS/MBS</w:t>
            </w:r>
          </w:p>
        </w:tc>
        <w:tc>
          <w:tcPr>
            <w:tcW w:w="611" w:type="pct"/>
            <w:shd w:val="clear" w:color="auto" w:fill="auto"/>
            <w:vAlign w:val="center"/>
          </w:tcPr>
          <w:p w14:paraId="0F4EB661" w14:textId="0C2F4AB3" w:rsidR="00C20D9E" w:rsidRPr="00FD5829" w:rsidRDefault="004E7B37" w:rsidP="00B9224E">
            <w:pPr>
              <w:pStyle w:val="TableText"/>
              <w:rPr>
                <w:highlight w:val="darkGray"/>
              </w:rPr>
            </w:pPr>
            <w:r w:rsidRPr="004E7B37">
              <w:rPr>
                <w:color w:val="000000"/>
                <w:spacing w:val="53"/>
                <w:shd w:val="solid" w:color="000000" w:fill="000000"/>
                <w:fitText w:val="330" w:id="-694516467"/>
                <w14:textFill>
                  <w14:solidFill>
                    <w14:srgbClr w14:val="000000">
                      <w14:alpha w14:val="100000"/>
                    </w14:srgbClr>
                  </w14:solidFill>
                </w14:textFill>
              </w:rPr>
              <w:t>|||</w:t>
            </w:r>
            <w:r w:rsidRPr="004E7B37">
              <w:rPr>
                <w:color w:val="000000"/>
                <w:spacing w:val="1"/>
                <w:shd w:val="solid" w:color="000000" w:fill="000000"/>
                <w:fitText w:val="330" w:id="-694516467"/>
                <w14:textFill>
                  <w14:solidFill>
                    <w14:srgbClr w14:val="000000">
                      <w14:alpha w14:val="100000"/>
                    </w14:srgbClr>
                  </w14:solidFill>
                </w14:textFill>
              </w:rPr>
              <w:t>|</w:t>
            </w:r>
            <w:r w:rsidR="00376E62" w:rsidRPr="00376E62">
              <w:rPr>
                <w:vertAlign w:val="superscript"/>
              </w:rPr>
              <w:t>5</w:t>
            </w:r>
          </w:p>
        </w:tc>
        <w:tc>
          <w:tcPr>
            <w:tcW w:w="611" w:type="pct"/>
            <w:shd w:val="clear" w:color="auto" w:fill="auto"/>
            <w:vAlign w:val="center"/>
          </w:tcPr>
          <w:p w14:paraId="59B75FE2" w14:textId="4CD2E527" w:rsidR="00C20D9E" w:rsidRPr="00FD5829" w:rsidRDefault="004E7B37" w:rsidP="00B9224E">
            <w:pPr>
              <w:pStyle w:val="TableText"/>
              <w:rPr>
                <w:highlight w:val="darkGray"/>
              </w:rPr>
            </w:pPr>
            <w:r w:rsidRPr="004E7B37">
              <w:rPr>
                <w:color w:val="000000"/>
                <w:spacing w:val="53"/>
                <w:shd w:val="solid" w:color="000000" w:fill="000000"/>
                <w:fitText w:val="330" w:id="-694516466"/>
                <w14:textFill>
                  <w14:solidFill>
                    <w14:srgbClr w14:val="000000">
                      <w14:alpha w14:val="100000"/>
                    </w14:srgbClr>
                  </w14:solidFill>
                </w14:textFill>
              </w:rPr>
              <w:t>|||</w:t>
            </w:r>
            <w:r w:rsidRPr="004E7B37">
              <w:rPr>
                <w:color w:val="000000"/>
                <w:spacing w:val="1"/>
                <w:shd w:val="solid" w:color="000000" w:fill="000000"/>
                <w:fitText w:val="330" w:id="-694516466"/>
                <w14:textFill>
                  <w14:solidFill>
                    <w14:srgbClr w14:val="000000">
                      <w14:alpha w14:val="100000"/>
                    </w14:srgbClr>
                  </w14:solidFill>
                </w14:textFill>
              </w:rPr>
              <w:t>|</w:t>
            </w:r>
            <w:r w:rsidR="00376E62" w:rsidRPr="00376E62">
              <w:rPr>
                <w:vertAlign w:val="superscript"/>
              </w:rPr>
              <w:t>5</w:t>
            </w:r>
          </w:p>
        </w:tc>
        <w:tc>
          <w:tcPr>
            <w:tcW w:w="611" w:type="pct"/>
            <w:shd w:val="clear" w:color="auto" w:fill="auto"/>
            <w:vAlign w:val="center"/>
          </w:tcPr>
          <w:p w14:paraId="6AE6473A" w14:textId="1A75495A" w:rsidR="00C20D9E" w:rsidRPr="00FD5829" w:rsidRDefault="004E7B37" w:rsidP="00B9224E">
            <w:pPr>
              <w:pStyle w:val="TableText"/>
              <w:rPr>
                <w:highlight w:val="darkGray"/>
              </w:rPr>
            </w:pPr>
            <w:r w:rsidRPr="004E7B37">
              <w:rPr>
                <w:color w:val="000000"/>
                <w:spacing w:val="53"/>
                <w:shd w:val="solid" w:color="000000" w:fill="000000"/>
                <w:fitText w:val="330" w:id="-694516465"/>
                <w14:textFill>
                  <w14:solidFill>
                    <w14:srgbClr w14:val="000000">
                      <w14:alpha w14:val="100000"/>
                    </w14:srgbClr>
                  </w14:solidFill>
                </w14:textFill>
              </w:rPr>
              <w:t>|||</w:t>
            </w:r>
            <w:r w:rsidRPr="004E7B37">
              <w:rPr>
                <w:color w:val="000000"/>
                <w:spacing w:val="1"/>
                <w:shd w:val="solid" w:color="000000" w:fill="000000"/>
                <w:fitText w:val="330" w:id="-694516465"/>
                <w14:textFill>
                  <w14:solidFill>
                    <w14:srgbClr w14:val="000000">
                      <w14:alpha w14:val="100000"/>
                    </w14:srgbClr>
                  </w14:solidFill>
                </w14:textFill>
              </w:rPr>
              <w:t>|</w:t>
            </w:r>
            <w:r w:rsidR="00376E62" w:rsidRPr="00376E62">
              <w:rPr>
                <w:vertAlign w:val="superscript"/>
              </w:rPr>
              <w:t>5</w:t>
            </w:r>
          </w:p>
        </w:tc>
        <w:tc>
          <w:tcPr>
            <w:tcW w:w="611" w:type="pct"/>
            <w:shd w:val="clear" w:color="auto" w:fill="auto"/>
            <w:vAlign w:val="center"/>
          </w:tcPr>
          <w:p w14:paraId="1F476C04" w14:textId="20353E9E" w:rsidR="00C20D9E" w:rsidRPr="00FD5829" w:rsidRDefault="004E7B37" w:rsidP="00B9224E">
            <w:pPr>
              <w:pStyle w:val="TableText"/>
              <w:rPr>
                <w:highlight w:val="darkGray"/>
              </w:rPr>
            </w:pPr>
            <w:r w:rsidRPr="004E7B37">
              <w:rPr>
                <w:color w:val="000000"/>
                <w:spacing w:val="53"/>
                <w:shd w:val="solid" w:color="000000" w:fill="000000"/>
                <w:fitText w:val="330" w:id="-694516464"/>
                <w14:textFill>
                  <w14:solidFill>
                    <w14:srgbClr w14:val="000000">
                      <w14:alpha w14:val="100000"/>
                    </w14:srgbClr>
                  </w14:solidFill>
                </w14:textFill>
              </w:rPr>
              <w:t>|||</w:t>
            </w:r>
            <w:r w:rsidRPr="004E7B37">
              <w:rPr>
                <w:color w:val="000000"/>
                <w:spacing w:val="1"/>
                <w:shd w:val="solid" w:color="000000" w:fill="000000"/>
                <w:fitText w:val="330" w:id="-694516464"/>
                <w14:textFill>
                  <w14:solidFill>
                    <w14:srgbClr w14:val="000000">
                      <w14:alpha w14:val="100000"/>
                    </w14:srgbClr>
                  </w14:solidFill>
                </w14:textFill>
              </w:rPr>
              <w:t>|</w:t>
            </w:r>
            <w:r w:rsidR="00376E62" w:rsidRPr="00376E62">
              <w:rPr>
                <w:vertAlign w:val="superscript"/>
              </w:rPr>
              <w:t>5</w:t>
            </w:r>
          </w:p>
        </w:tc>
        <w:tc>
          <w:tcPr>
            <w:tcW w:w="611" w:type="pct"/>
            <w:shd w:val="clear" w:color="auto" w:fill="auto"/>
            <w:vAlign w:val="center"/>
          </w:tcPr>
          <w:p w14:paraId="12079751" w14:textId="21BDC66F" w:rsidR="00C20D9E" w:rsidRPr="00FD5829" w:rsidRDefault="004E7B37" w:rsidP="00B9224E">
            <w:pPr>
              <w:pStyle w:val="TableText"/>
              <w:rPr>
                <w:highlight w:val="darkGray"/>
              </w:rPr>
            </w:pPr>
            <w:r w:rsidRPr="004E7B37">
              <w:rPr>
                <w:color w:val="000000"/>
                <w:spacing w:val="53"/>
                <w:shd w:val="solid" w:color="000000" w:fill="000000"/>
                <w:fitText w:val="330" w:id="-694516480"/>
                <w14:textFill>
                  <w14:solidFill>
                    <w14:srgbClr w14:val="000000">
                      <w14:alpha w14:val="100000"/>
                    </w14:srgbClr>
                  </w14:solidFill>
                </w14:textFill>
              </w:rPr>
              <w:t>|||</w:t>
            </w:r>
            <w:r w:rsidRPr="004E7B37">
              <w:rPr>
                <w:color w:val="000000"/>
                <w:spacing w:val="1"/>
                <w:shd w:val="solid" w:color="000000" w:fill="000000"/>
                <w:fitText w:val="330" w:id="-694516480"/>
                <w14:textFill>
                  <w14:solidFill>
                    <w14:srgbClr w14:val="000000">
                      <w14:alpha w14:val="100000"/>
                    </w14:srgbClr>
                  </w14:solidFill>
                </w14:textFill>
              </w:rPr>
              <w:t>|</w:t>
            </w:r>
            <w:r w:rsidR="00376E62" w:rsidRPr="00376E62">
              <w:rPr>
                <w:vertAlign w:val="superscript"/>
              </w:rPr>
              <w:t>5</w:t>
            </w:r>
          </w:p>
        </w:tc>
        <w:tc>
          <w:tcPr>
            <w:tcW w:w="611" w:type="pct"/>
          </w:tcPr>
          <w:p w14:paraId="4844CB4D" w14:textId="0A9F3BDA" w:rsidR="00C20D9E" w:rsidRPr="00FD5829" w:rsidRDefault="004E7B37" w:rsidP="00B9224E">
            <w:pPr>
              <w:pStyle w:val="TableText"/>
              <w:rPr>
                <w:highlight w:val="darkGray"/>
              </w:rPr>
            </w:pPr>
            <w:r w:rsidRPr="004E7B37">
              <w:rPr>
                <w:color w:val="000000"/>
                <w:spacing w:val="53"/>
                <w:shd w:val="solid" w:color="000000" w:fill="000000"/>
                <w:fitText w:val="330" w:id="-694516479"/>
                <w14:textFill>
                  <w14:solidFill>
                    <w14:srgbClr w14:val="000000">
                      <w14:alpha w14:val="100000"/>
                    </w14:srgbClr>
                  </w14:solidFill>
                </w14:textFill>
              </w:rPr>
              <w:t>|||</w:t>
            </w:r>
            <w:r w:rsidRPr="004E7B37">
              <w:rPr>
                <w:color w:val="000000"/>
                <w:spacing w:val="1"/>
                <w:shd w:val="solid" w:color="000000" w:fill="000000"/>
                <w:fitText w:val="330" w:id="-694516479"/>
                <w14:textFill>
                  <w14:solidFill>
                    <w14:srgbClr w14:val="000000">
                      <w14:alpha w14:val="100000"/>
                    </w14:srgbClr>
                  </w14:solidFill>
                </w14:textFill>
              </w:rPr>
              <w:t>|</w:t>
            </w:r>
            <w:r w:rsidR="00376E62" w:rsidRPr="00376E62">
              <w:rPr>
                <w:vertAlign w:val="superscript"/>
              </w:rPr>
              <w:t>5</w:t>
            </w:r>
          </w:p>
        </w:tc>
      </w:tr>
    </w:tbl>
    <w:p w14:paraId="484CF5B6" w14:textId="7ED4096E" w:rsidR="00620C25" w:rsidRPr="0098262F" w:rsidRDefault="00620C25" w:rsidP="00620C25">
      <w:pPr>
        <w:pStyle w:val="FooterTableFigure"/>
      </w:pPr>
      <w:r w:rsidRPr="0098262F">
        <w:t>Source:</w:t>
      </w:r>
      <w:r w:rsidR="003426C4">
        <w:t xml:space="preserve"> </w:t>
      </w:r>
      <w:r w:rsidR="00C524BB">
        <w:t>T</w:t>
      </w:r>
      <w:r w:rsidR="003426C4">
        <w:t>ables 4.5</w:t>
      </w:r>
      <w:r w:rsidR="00A36E22">
        <w:t>, 4.6</w:t>
      </w:r>
      <w:r w:rsidR="003426C4">
        <w:t>, 4.7</w:t>
      </w:r>
      <w:r w:rsidR="000A15A2">
        <w:t xml:space="preserve">, </w:t>
      </w:r>
      <w:r w:rsidR="000A15A2" w:rsidRPr="0098262F">
        <w:t>4.13</w:t>
      </w:r>
      <w:r w:rsidR="00B76944">
        <w:t>, 4.14, 4.17</w:t>
      </w:r>
      <w:r w:rsidR="00C524BB">
        <w:t>, 4.26, 4.28</w:t>
      </w:r>
      <w:r w:rsidR="00ED2F26">
        <w:t>, 4.31</w:t>
      </w:r>
      <w:r w:rsidR="00C524BB">
        <w:t>;</w:t>
      </w:r>
      <w:r w:rsidR="003426C4">
        <w:t xml:space="preserve"> </w:t>
      </w:r>
      <w:r w:rsidRPr="0098262F">
        <w:t>of the submission.</w:t>
      </w:r>
    </w:p>
    <w:p w14:paraId="141BE2D9" w14:textId="77777777" w:rsidR="00613384" w:rsidRDefault="00E466F3" w:rsidP="00613384">
      <w:pPr>
        <w:pStyle w:val="FooterTableFigure"/>
      </w:pPr>
      <w:r w:rsidRPr="0098262F">
        <w:rPr>
          <w:vertAlign w:val="superscript"/>
        </w:rPr>
        <w:t>a</w:t>
      </w:r>
      <w:r w:rsidR="00606FBA" w:rsidRPr="0098262F">
        <w:t xml:space="preserve"> </w:t>
      </w:r>
      <w:r w:rsidRPr="0098262F">
        <w:t xml:space="preserve">Assuming </w:t>
      </w:r>
      <w:r w:rsidR="00740346">
        <w:t>11.74 scripts</w:t>
      </w:r>
      <w:r w:rsidRPr="0098262F">
        <w:t xml:space="preserve"> per year as estimated by the submission.</w:t>
      </w:r>
      <w:r w:rsidR="00613384" w:rsidRPr="00613384">
        <w:t xml:space="preserve"> </w:t>
      </w:r>
    </w:p>
    <w:p w14:paraId="67130B29" w14:textId="0366A6DB" w:rsidR="00613384" w:rsidRDefault="00613384" w:rsidP="00613384">
      <w:pPr>
        <w:pStyle w:val="FooterTableFigure"/>
      </w:pPr>
      <w:r>
        <w:t xml:space="preserve">The redacted values correspond to the following ranges </w:t>
      </w:r>
    </w:p>
    <w:p w14:paraId="3DF3BAAE" w14:textId="77777777" w:rsidR="00B426C9" w:rsidRDefault="00613384" w:rsidP="00613384">
      <w:pPr>
        <w:pStyle w:val="FooterTableFigure"/>
      </w:pPr>
      <w:r>
        <w:t>1</w:t>
      </w:r>
      <w:r w:rsidR="00B426C9">
        <w:t xml:space="preserve"> &lt;500</w:t>
      </w:r>
    </w:p>
    <w:p w14:paraId="7CA76D38" w14:textId="77777777" w:rsidR="000F4DAA" w:rsidRDefault="00B426C9" w:rsidP="00613384">
      <w:pPr>
        <w:pStyle w:val="FooterTableFigure"/>
      </w:pPr>
      <w:r>
        <w:t xml:space="preserve">2 </w:t>
      </w:r>
      <w:r w:rsidR="00613384">
        <w:t xml:space="preserve"> 500 to &lt; 5,000</w:t>
      </w:r>
      <w:r w:rsidR="000F4DAA">
        <w:t xml:space="preserve"> </w:t>
      </w:r>
    </w:p>
    <w:p w14:paraId="60A0000E" w14:textId="26AE02A0" w:rsidR="00613384" w:rsidRDefault="000F4DAA" w:rsidP="00613384">
      <w:pPr>
        <w:pStyle w:val="FooterTableFigure"/>
      </w:pPr>
      <w:r>
        <w:t xml:space="preserve">3 </w:t>
      </w:r>
      <w:r w:rsidRPr="000F4DAA">
        <w:t>$10 million to &lt; $20 million</w:t>
      </w:r>
    </w:p>
    <w:p w14:paraId="7F0D79E5" w14:textId="77777777" w:rsidR="008B6D7C" w:rsidRDefault="009E628F" w:rsidP="002A4B34">
      <w:pPr>
        <w:pStyle w:val="FooterTableFigure"/>
      </w:pPr>
      <w:r>
        <w:t xml:space="preserve">4 </w:t>
      </w:r>
      <w:r w:rsidR="00613384">
        <w:t>net cost saving</w:t>
      </w:r>
    </w:p>
    <w:p w14:paraId="5D68A556" w14:textId="277AB76D" w:rsidR="002A4B34" w:rsidRPr="002A4B34" w:rsidRDefault="002A4B34" w:rsidP="002A4B34">
      <w:pPr>
        <w:pStyle w:val="FooterTableFigure"/>
      </w:pPr>
      <w:r>
        <w:t xml:space="preserve">5 </w:t>
      </w:r>
      <w:bookmarkStart w:id="67" w:name="_Hlk113629090"/>
      <w:r w:rsidRPr="002A4B34">
        <w:t>$0 to &lt; $10 million</w:t>
      </w:r>
    </w:p>
    <w:bookmarkEnd w:id="67"/>
    <w:p w14:paraId="65E99FBE" w14:textId="129BB9D9" w:rsidR="00E466F3" w:rsidRPr="0098262F" w:rsidRDefault="00E466F3" w:rsidP="00613384">
      <w:pPr>
        <w:pStyle w:val="FooterTableFigure"/>
      </w:pPr>
    </w:p>
    <w:p w14:paraId="2FB0D0A9" w14:textId="36ACFB40" w:rsidR="00ED2F26" w:rsidRPr="00ED2F26" w:rsidRDefault="000902D9" w:rsidP="00606FBA">
      <w:pPr>
        <w:pStyle w:val="3-BodyText"/>
        <w:rPr>
          <w:color w:val="0066FF"/>
        </w:rPr>
      </w:pPr>
      <w:r w:rsidRPr="0098262F">
        <w:t xml:space="preserve">The total cost to the PBS/RPBS of listing </w:t>
      </w:r>
      <w:r w:rsidR="00DD1F91">
        <w:t>ELX/TEZ/IVA</w:t>
      </w:r>
      <w:r w:rsidRPr="0098262F">
        <w:t xml:space="preserve"> was estimated </w:t>
      </w:r>
      <w:r w:rsidR="00A05C32" w:rsidRPr="0098262F">
        <w:t>to be</w:t>
      </w:r>
      <w:r w:rsidRPr="0098262F">
        <w:t xml:space="preserve"> </w:t>
      </w:r>
      <w:r w:rsidR="00331505" w:rsidRPr="00331505">
        <w:t>$10 million to &lt; $20 million</w:t>
      </w:r>
      <w:r w:rsidR="00B21875">
        <w:t xml:space="preserve"> </w:t>
      </w:r>
      <w:r w:rsidRPr="0098262F">
        <w:t xml:space="preserve">in Year 6, and a total of </w:t>
      </w:r>
      <w:r w:rsidR="008B6D7C" w:rsidRPr="008B6D7C">
        <w:t>$100 million to &lt; $200 million</w:t>
      </w:r>
      <w:r w:rsidR="00B21875">
        <w:t xml:space="preserve"> </w:t>
      </w:r>
      <w:r w:rsidRPr="0098262F">
        <w:t>in the first 6 years of listing</w:t>
      </w:r>
      <w:r w:rsidRPr="0098262F">
        <w:rPr>
          <w:color w:val="3366FF"/>
        </w:rPr>
        <w:t xml:space="preserve">. </w:t>
      </w:r>
      <w:r w:rsidR="002068A0" w:rsidRPr="00C524BB">
        <w:rPr>
          <w:iCs/>
        </w:rPr>
        <w:t>The net cost to the PBS</w:t>
      </w:r>
      <w:r w:rsidR="00B94D0A">
        <w:rPr>
          <w:iCs/>
        </w:rPr>
        <w:t>/PBS</w:t>
      </w:r>
      <w:r w:rsidR="002068A0" w:rsidRPr="00C524BB">
        <w:rPr>
          <w:iCs/>
        </w:rPr>
        <w:t xml:space="preserve"> </w:t>
      </w:r>
      <w:r w:rsidR="00B94D0A">
        <w:rPr>
          <w:iCs/>
        </w:rPr>
        <w:t>accounting for reduced use of other CFTR modulators</w:t>
      </w:r>
      <w:r w:rsidR="00C524BB">
        <w:rPr>
          <w:iCs/>
        </w:rPr>
        <w:t xml:space="preserve">, </w:t>
      </w:r>
      <w:r w:rsidR="00DD1F91">
        <w:rPr>
          <w:iCs/>
        </w:rPr>
        <w:t xml:space="preserve">was estimated to be </w:t>
      </w:r>
      <w:r w:rsidR="00673D99" w:rsidRPr="00673D99">
        <w:rPr>
          <w:iCs/>
        </w:rPr>
        <w:t>$0 to &lt; $10 million</w:t>
      </w:r>
      <w:r w:rsidR="00B21875">
        <w:rPr>
          <w:iCs/>
        </w:rPr>
        <w:t xml:space="preserve"> </w:t>
      </w:r>
      <w:r w:rsidR="00DD1F91">
        <w:rPr>
          <w:iCs/>
        </w:rPr>
        <w:t xml:space="preserve">in Year 6 and a total of </w:t>
      </w:r>
      <w:r w:rsidR="00673D99" w:rsidRPr="00673D99">
        <w:rPr>
          <w:iCs/>
        </w:rPr>
        <w:t>$0 to &lt; $10 million</w:t>
      </w:r>
      <w:r w:rsidR="00B21875">
        <w:rPr>
          <w:iCs/>
        </w:rPr>
        <w:t xml:space="preserve"> </w:t>
      </w:r>
      <w:r w:rsidR="00DD1F91">
        <w:rPr>
          <w:iCs/>
        </w:rPr>
        <w:t>in the first 6 years of treatment.</w:t>
      </w:r>
      <w:r w:rsidR="00BF38AA" w:rsidDel="00BF38AA">
        <w:rPr>
          <w:iCs/>
        </w:rPr>
        <w:t xml:space="preserve"> </w:t>
      </w:r>
    </w:p>
    <w:p w14:paraId="37E432B8" w14:textId="06599DD2" w:rsidR="00DF321D" w:rsidRPr="003C618A" w:rsidRDefault="00E47465" w:rsidP="00606FBA">
      <w:pPr>
        <w:pStyle w:val="3-BodyText"/>
      </w:pPr>
      <w:r w:rsidRPr="003C618A">
        <w:t xml:space="preserve">The pre-PBAC response </w:t>
      </w:r>
      <w:r w:rsidR="00F840F2">
        <w:rPr>
          <w:iCs/>
        </w:rPr>
        <w:t>stated</w:t>
      </w:r>
      <w:r w:rsidR="00F04266" w:rsidRPr="003C618A">
        <w:t xml:space="preserve"> the ACM </w:t>
      </w:r>
      <w:r w:rsidR="002108BE">
        <w:rPr>
          <w:iCs/>
        </w:rPr>
        <w:t>advice</w:t>
      </w:r>
      <w:r w:rsidR="00934ADE" w:rsidRPr="003C618A">
        <w:t xml:space="preserve"> </w:t>
      </w:r>
      <w:r w:rsidR="00A121D8">
        <w:rPr>
          <w:iCs/>
        </w:rPr>
        <w:t xml:space="preserve">will capture </w:t>
      </w:r>
      <w:r w:rsidR="00A05C19">
        <w:rPr>
          <w:iCs/>
        </w:rPr>
        <w:t xml:space="preserve">approximately </w:t>
      </w:r>
      <w:r w:rsidR="00673D99">
        <w:rPr>
          <w:iCs/>
        </w:rPr>
        <w:t xml:space="preserve">&lt;500 </w:t>
      </w:r>
      <w:r w:rsidR="00A121D8">
        <w:rPr>
          <w:iCs/>
        </w:rPr>
        <w:t xml:space="preserve">more patients </w:t>
      </w:r>
      <w:r w:rsidR="00A05C19">
        <w:rPr>
          <w:iCs/>
        </w:rPr>
        <w:t>per year than estimated in the submission</w:t>
      </w:r>
      <w:r w:rsidR="00F11535">
        <w:rPr>
          <w:iCs/>
        </w:rPr>
        <w:t>.</w:t>
      </w:r>
      <w:r w:rsidR="006B756D">
        <w:rPr>
          <w:iCs/>
        </w:rPr>
        <w:t xml:space="preserve"> The PBAC noted the basis for th</w:t>
      </w:r>
      <w:r w:rsidR="00B93E4A">
        <w:rPr>
          <w:iCs/>
        </w:rPr>
        <w:t xml:space="preserve">e increased patient population and the number of additional patients </w:t>
      </w:r>
      <w:r w:rsidR="006B756D">
        <w:rPr>
          <w:iCs/>
        </w:rPr>
        <w:t xml:space="preserve"> was unclear.  </w:t>
      </w:r>
    </w:p>
    <w:p w14:paraId="6015A395" w14:textId="1016EC89" w:rsidR="00576972" w:rsidRPr="0098262F" w:rsidRDefault="00576972" w:rsidP="00606FBA">
      <w:pPr>
        <w:pStyle w:val="4-SubsectionHeading"/>
      </w:pPr>
      <w:bookmarkStart w:id="68" w:name="_Toc22897649"/>
      <w:bookmarkStart w:id="69" w:name="_Toc188437191"/>
      <w:r w:rsidRPr="0098262F">
        <w:lastRenderedPageBreak/>
        <w:t>Financial Management – Risk Sharing Arrangements</w:t>
      </w:r>
      <w:bookmarkEnd w:id="68"/>
      <w:bookmarkEnd w:id="69"/>
    </w:p>
    <w:p w14:paraId="25BA2464" w14:textId="2FEB1A44" w:rsidR="00894CD6" w:rsidRDefault="00DE6F17" w:rsidP="004C2AC2">
      <w:pPr>
        <w:pStyle w:val="3-BodyText"/>
        <w:rPr>
          <w:color w:val="0066FF"/>
        </w:rPr>
      </w:pPr>
      <w:bookmarkStart w:id="70" w:name="_Ref194418307"/>
      <w:r>
        <w:t xml:space="preserve">The submission proposed that the requested population for ELX/TEZ/IVA in this submission be included in the existing Deed </w:t>
      </w:r>
      <w:r w:rsidRPr="007A6ACF">
        <w:t>with no change to the subsidisation caps</w:t>
      </w:r>
      <w:r w:rsidR="00576972" w:rsidRPr="007A6ACF">
        <w:rPr>
          <w:color w:val="0066FF"/>
        </w:rPr>
        <w:t>.</w:t>
      </w:r>
      <w:bookmarkEnd w:id="70"/>
      <w:r w:rsidR="00F61C18" w:rsidRPr="0098262F">
        <w:rPr>
          <w:color w:val="0066FF"/>
        </w:rPr>
        <w:t xml:space="preserve"> </w:t>
      </w:r>
    </w:p>
    <w:p w14:paraId="6B73458D" w14:textId="70DAEB72" w:rsidR="00130651" w:rsidRPr="00047165" w:rsidRDefault="00E21844" w:rsidP="000577C1">
      <w:pPr>
        <w:pStyle w:val="3-BodyText"/>
      </w:pPr>
      <w:r w:rsidRPr="00047165">
        <w:t xml:space="preserve">Information for the shared CF cap is provided in </w:t>
      </w:r>
      <w:r w:rsidR="003C51AF">
        <w:fldChar w:fldCharType="begin"/>
      </w:r>
      <w:r w:rsidR="003C51AF">
        <w:instrText xml:space="preserve"> REF _Ref184389557 \h </w:instrText>
      </w:r>
      <w:r w:rsidR="003C51AF">
        <w:fldChar w:fldCharType="separate"/>
      </w:r>
      <w:r w:rsidR="00343156" w:rsidRPr="00B42881">
        <w:t>Table </w:t>
      </w:r>
      <w:r w:rsidR="00343156">
        <w:rPr>
          <w:noProof/>
        </w:rPr>
        <w:t>14</w:t>
      </w:r>
      <w:r w:rsidR="003C51AF">
        <w:fldChar w:fldCharType="end"/>
      </w:r>
      <w:r w:rsidR="003C51AF">
        <w:t xml:space="preserve">. </w:t>
      </w:r>
      <w:r w:rsidR="000577C1" w:rsidRPr="00047165">
        <w:t>Ivacaftor was included</w:t>
      </w:r>
      <w:r w:rsidR="00D5567A" w:rsidRPr="00047165">
        <w:t xml:space="preserve"> </w:t>
      </w:r>
      <w:r w:rsidR="000577C1" w:rsidRPr="00047165">
        <w:t xml:space="preserve">in the shared cap in June 2024. </w:t>
      </w:r>
    </w:p>
    <w:p w14:paraId="2CF04124" w14:textId="4EBD2E93" w:rsidR="00A2358D" w:rsidRPr="00B42881" w:rsidRDefault="00A2358D" w:rsidP="00A2358D">
      <w:pPr>
        <w:pStyle w:val="TableFigureHeading"/>
      </w:pPr>
      <w:bookmarkStart w:id="71" w:name="_Ref184389557"/>
      <w:r w:rsidRPr="00B42881">
        <w:t>Table </w:t>
      </w:r>
      <w:r w:rsidR="00345E49" w:rsidRPr="00B42881">
        <w:fldChar w:fldCharType="begin"/>
      </w:r>
      <w:r w:rsidR="00345E49" w:rsidRPr="00B42881">
        <w:instrText xml:space="preserve"> SEQ Table \* ARABIC </w:instrText>
      </w:r>
      <w:r w:rsidR="00345E49" w:rsidRPr="00B42881">
        <w:fldChar w:fldCharType="separate"/>
      </w:r>
      <w:r w:rsidR="00343156">
        <w:rPr>
          <w:noProof/>
        </w:rPr>
        <w:t>14</w:t>
      </w:r>
      <w:r w:rsidR="00345E49" w:rsidRPr="00B42881">
        <w:rPr>
          <w:noProof/>
        </w:rPr>
        <w:fldChar w:fldCharType="end"/>
      </w:r>
      <w:bookmarkEnd w:id="71"/>
      <w:r w:rsidRPr="00B42881">
        <w:t>: Current RSA for IVA, LUM/IVA, TEZ/IVA and ELX/TEZ/IVA</w:t>
      </w:r>
      <w:r w:rsidR="00D5567A" w:rsidRPr="00B42881">
        <w:t xml:space="preserve"> (</w:t>
      </w:r>
      <w:r w:rsidR="004E7B37" w:rsidRPr="004E7B37">
        <w:rPr>
          <w:color w:val="000000"/>
          <w:spacing w:val="58"/>
          <w:shd w:val="solid" w:color="000000" w:fill="000000"/>
          <w:fitText w:val="360" w:id="-694516478"/>
          <w14:textFill>
            <w14:solidFill>
              <w14:srgbClr w14:val="000000">
                <w14:alpha w14:val="100000"/>
              </w14:srgbClr>
            </w14:solidFill>
          </w14:textFill>
        </w:rPr>
        <w:t>|||</w:t>
      </w:r>
      <w:r w:rsidR="004E7B37" w:rsidRPr="004E7B37">
        <w:rPr>
          <w:color w:val="000000"/>
          <w:spacing w:val="3"/>
          <w:shd w:val="solid" w:color="000000" w:fill="000000"/>
          <w:fitText w:val="360" w:id="-694516478"/>
          <w14:textFill>
            <w14:solidFill>
              <w14:srgbClr w14:val="000000">
                <w14:alpha w14:val="100000"/>
              </w14:srgbClr>
            </w14:solidFill>
          </w14:textFill>
        </w:rPr>
        <w:t>|</w:t>
      </w:r>
      <w:r w:rsidR="00D5567A" w:rsidRPr="00B42881">
        <w:t>% rebate for expenditure over the cap)</w:t>
      </w:r>
    </w:p>
    <w:tbl>
      <w:tblPr>
        <w:tblStyle w:val="HTATableshaded"/>
        <w:tblW w:w="5000" w:type="pct"/>
        <w:tblLook w:val="04A0" w:firstRow="1" w:lastRow="0" w:firstColumn="1" w:lastColumn="0" w:noHBand="0" w:noVBand="1"/>
      </w:tblPr>
      <w:tblGrid>
        <w:gridCol w:w="1857"/>
        <w:gridCol w:w="1611"/>
        <w:gridCol w:w="1773"/>
        <w:gridCol w:w="2183"/>
        <w:gridCol w:w="1593"/>
      </w:tblGrid>
      <w:tr w:rsidR="00A2358D" w:rsidRPr="00897D15" w14:paraId="1D4179CF" w14:textId="77777777" w:rsidTr="004E7B37">
        <w:trPr>
          <w:cnfStyle w:val="100000000000" w:firstRow="1" w:lastRow="0" w:firstColumn="0" w:lastColumn="0" w:oddVBand="0" w:evenVBand="0" w:oddHBand="0" w:evenHBand="0" w:firstRowFirstColumn="0" w:firstRowLastColumn="0" w:lastRowFirstColumn="0" w:lastRowLastColumn="0"/>
          <w:trHeight w:val="315"/>
        </w:trPr>
        <w:tc>
          <w:tcPr>
            <w:tcW w:w="1030" w:type="pct"/>
            <w:noWrap/>
            <w:hideMark/>
          </w:tcPr>
          <w:p w14:paraId="17FFC07F" w14:textId="4E274337" w:rsidR="00A2358D" w:rsidRPr="00B42881" w:rsidRDefault="00A2358D" w:rsidP="00A14777">
            <w:pPr>
              <w:pStyle w:val="In-tableHeading"/>
              <w:rPr>
                <w:bCs/>
                <w:sz w:val="20"/>
                <w:szCs w:val="20"/>
              </w:rPr>
            </w:pPr>
            <w:r w:rsidRPr="00B42881">
              <w:rPr>
                <w:bCs/>
                <w:sz w:val="20"/>
                <w:szCs w:val="20"/>
              </w:rPr>
              <w:t xml:space="preserve">Cap Year </w:t>
            </w:r>
          </w:p>
        </w:tc>
        <w:tc>
          <w:tcPr>
            <w:tcW w:w="824" w:type="pct"/>
            <w:noWrap/>
            <w:hideMark/>
          </w:tcPr>
          <w:p w14:paraId="49888760" w14:textId="02C43DE1" w:rsidR="00A2358D" w:rsidRPr="00B42881" w:rsidRDefault="00A2358D" w:rsidP="00A14777">
            <w:pPr>
              <w:pStyle w:val="In-tableHeading"/>
              <w:rPr>
                <w:bCs/>
                <w:sz w:val="20"/>
                <w:szCs w:val="20"/>
              </w:rPr>
            </w:pPr>
            <w:r w:rsidRPr="00B42881">
              <w:rPr>
                <w:bCs/>
                <w:sz w:val="20"/>
                <w:szCs w:val="20"/>
              </w:rPr>
              <w:t>Cap Threshold</w:t>
            </w:r>
            <w:r w:rsidR="00B42881">
              <w:rPr>
                <w:bCs/>
                <w:sz w:val="20"/>
                <w:szCs w:val="20"/>
              </w:rPr>
              <w:t xml:space="preserve"> ($)</w:t>
            </w:r>
          </w:p>
        </w:tc>
        <w:tc>
          <w:tcPr>
            <w:tcW w:w="1029" w:type="pct"/>
            <w:hideMark/>
          </w:tcPr>
          <w:p w14:paraId="15BE5368" w14:textId="78BC4A09" w:rsidR="00A2358D" w:rsidRPr="00B42881" w:rsidRDefault="00A2358D" w:rsidP="00A14777">
            <w:pPr>
              <w:pStyle w:val="In-tableHeading"/>
              <w:rPr>
                <w:bCs/>
                <w:sz w:val="20"/>
                <w:szCs w:val="20"/>
              </w:rPr>
            </w:pPr>
            <w:r w:rsidRPr="00B42881">
              <w:rPr>
                <w:bCs/>
                <w:sz w:val="20"/>
                <w:szCs w:val="20"/>
              </w:rPr>
              <w:t>Total Commonwealth payment </w:t>
            </w:r>
            <w:r w:rsidR="00B42881">
              <w:rPr>
                <w:bCs/>
                <w:sz w:val="20"/>
                <w:szCs w:val="20"/>
              </w:rPr>
              <w:t>($)</w:t>
            </w:r>
          </w:p>
        </w:tc>
        <w:tc>
          <w:tcPr>
            <w:tcW w:w="1234" w:type="pct"/>
            <w:hideMark/>
          </w:tcPr>
          <w:p w14:paraId="419274FA" w14:textId="77777777" w:rsidR="00A2358D" w:rsidRPr="00B42881" w:rsidRDefault="00A2358D" w:rsidP="00A14777">
            <w:pPr>
              <w:pStyle w:val="In-tableHeading"/>
              <w:rPr>
                <w:bCs/>
                <w:sz w:val="20"/>
                <w:szCs w:val="20"/>
              </w:rPr>
            </w:pPr>
            <w:r w:rsidRPr="00B42881">
              <w:rPr>
                <w:bCs/>
                <w:sz w:val="20"/>
                <w:szCs w:val="20"/>
              </w:rPr>
              <w:t>% market share by drug</w:t>
            </w:r>
          </w:p>
        </w:tc>
        <w:tc>
          <w:tcPr>
            <w:tcW w:w="883" w:type="pct"/>
            <w:noWrap/>
            <w:hideMark/>
          </w:tcPr>
          <w:p w14:paraId="2A9E7D81" w14:textId="77777777" w:rsidR="00A2358D" w:rsidRPr="00B42881" w:rsidRDefault="00A2358D" w:rsidP="00A14777">
            <w:pPr>
              <w:pStyle w:val="In-tableHeading"/>
              <w:rPr>
                <w:bCs/>
                <w:sz w:val="20"/>
                <w:szCs w:val="20"/>
              </w:rPr>
            </w:pPr>
            <w:r w:rsidRPr="00B42881">
              <w:rPr>
                <w:bCs/>
                <w:sz w:val="20"/>
                <w:szCs w:val="20"/>
              </w:rPr>
              <w:t>% of Cap reached</w:t>
            </w:r>
          </w:p>
        </w:tc>
      </w:tr>
      <w:tr w:rsidR="00A2358D" w:rsidRPr="00897D15" w14:paraId="4447FB58" w14:textId="77777777" w:rsidTr="004E7B37">
        <w:trPr>
          <w:trHeight w:val="315"/>
        </w:trPr>
        <w:tc>
          <w:tcPr>
            <w:tcW w:w="1030" w:type="pct"/>
            <w:noWrap/>
            <w:hideMark/>
          </w:tcPr>
          <w:p w14:paraId="73EAB9A9" w14:textId="77777777" w:rsidR="00A2358D" w:rsidRPr="00FE7BAB" w:rsidRDefault="00A2358D" w:rsidP="00A14777">
            <w:pPr>
              <w:pStyle w:val="TableText"/>
            </w:pPr>
            <w:r w:rsidRPr="00FE7BAB">
              <w:t>1 Year (Apr-22 – Mar 23)</w:t>
            </w:r>
          </w:p>
        </w:tc>
        <w:tc>
          <w:tcPr>
            <w:tcW w:w="824" w:type="pct"/>
            <w:tcBorders>
              <w:bottom w:val="single" w:sz="4" w:space="0" w:color="auto"/>
            </w:tcBorders>
            <w:shd w:val="solid" w:color="000000" w:fill="000000"/>
            <w:noWrap/>
            <w:hideMark/>
          </w:tcPr>
          <w:p w14:paraId="0EE182D5" w14:textId="6011A1ED" w:rsidR="00A2358D" w:rsidRPr="00B42881" w:rsidRDefault="004E7B37" w:rsidP="00A14777">
            <w:pPr>
              <w:pStyle w:val="TableText"/>
              <w:rPr>
                <w:highlight w:val="darkGray"/>
              </w:rPr>
            </w:pPr>
            <w:r w:rsidRPr="004E7B37">
              <w:rPr>
                <w:color w:val="000000"/>
                <w:spacing w:val="213"/>
                <w:fitText w:val="290" w:id="-694516477"/>
                <w14:textFill>
                  <w14:solidFill>
                    <w14:srgbClr w14:val="000000">
                      <w14:alpha w14:val="100000"/>
                    </w14:srgbClr>
                  </w14:solidFill>
                </w14:textFill>
              </w:rPr>
              <w:t>|</w:t>
            </w:r>
            <w:r w:rsidRPr="004E7B37">
              <w:rPr>
                <w:color w:val="000000"/>
                <w:fitText w:val="290" w:id="-694516477"/>
                <w14:textFill>
                  <w14:solidFill>
                    <w14:srgbClr w14:val="000000">
                      <w14:alpha w14:val="100000"/>
                    </w14:srgbClr>
                  </w14:solidFill>
                </w14:textFill>
              </w:rPr>
              <w:t>|</w:t>
            </w:r>
          </w:p>
        </w:tc>
        <w:tc>
          <w:tcPr>
            <w:tcW w:w="1029" w:type="pct"/>
            <w:tcBorders>
              <w:bottom w:val="single" w:sz="4" w:space="0" w:color="auto"/>
            </w:tcBorders>
            <w:shd w:val="solid" w:color="000000" w:fill="000000"/>
          </w:tcPr>
          <w:p w14:paraId="7C64D15C" w14:textId="2D0B7EB6" w:rsidR="00A2358D" w:rsidRPr="00B42881" w:rsidRDefault="004E7B37" w:rsidP="00A14777">
            <w:pPr>
              <w:pStyle w:val="TableText"/>
              <w:rPr>
                <w:highlight w:val="darkGray"/>
              </w:rPr>
            </w:pPr>
            <w:r w:rsidRPr="004E7B37">
              <w:rPr>
                <w:color w:val="000000"/>
                <w:spacing w:val="213"/>
                <w:fitText w:val="290" w:id="-694516476"/>
                <w14:textFill>
                  <w14:solidFill>
                    <w14:srgbClr w14:val="000000">
                      <w14:alpha w14:val="100000"/>
                    </w14:srgbClr>
                  </w14:solidFill>
                </w14:textFill>
              </w:rPr>
              <w:t>|</w:t>
            </w:r>
            <w:r w:rsidRPr="004E7B37">
              <w:rPr>
                <w:color w:val="000000"/>
                <w:fitText w:val="290" w:id="-694516476"/>
                <w14:textFill>
                  <w14:solidFill>
                    <w14:srgbClr w14:val="000000">
                      <w14:alpha w14:val="100000"/>
                    </w14:srgbClr>
                  </w14:solidFill>
                </w14:textFill>
              </w:rPr>
              <w:t>|</w:t>
            </w:r>
          </w:p>
        </w:tc>
        <w:tc>
          <w:tcPr>
            <w:tcW w:w="1234" w:type="pct"/>
            <w:hideMark/>
          </w:tcPr>
          <w:p w14:paraId="42C0A82A" w14:textId="5CD9CD1B" w:rsidR="00A2358D" w:rsidRPr="00B42881" w:rsidRDefault="00A2358D" w:rsidP="00A14777">
            <w:pPr>
              <w:pStyle w:val="TableText"/>
            </w:pPr>
            <w:r w:rsidRPr="00B42881">
              <w:t xml:space="preserve">LUM/IVA: </w:t>
            </w:r>
            <w:r w:rsidR="004E7B37" w:rsidRPr="004E7B37">
              <w:rPr>
                <w:color w:val="000000"/>
                <w:spacing w:val="223"/>
                <w:shd w:val="solid" w:color="000000" w:fill="000000"/>
                <w:fitText w:val="300" w:id="-694516475"/>
                <w14:textFill>
                  <w14:solidFill>
                    <w14:srgbClr w14:val="000000">
                      <w14:alpha w14:val="100000"/>
                    </w14:srgbClr>
                  </w14:solidFill>
                </w14:textFill>
              </w:rPr>
              <w:t>|</w:t>
            </w:r>
            <w:r w:rsidR="004E7B37" w:rsidRPr="004E7B37">
              <w:rPr>
                <w:color w:val="000000"/>
                <w:spacing w:val="1"/>
                <w:shd w:val="solid" w:color="000000" w:fill="000000"/>
                <w:fitText w:val="300" w:id="-694516475"/>
                <w14:textFill>
                  <w14:solidFill>
                    <w14:srgbClr w14:val="000000">
                      <w14:alpha w14:val="100000"/>
                    </w14:srgbClr>
                  </w14:solidFill>
                </w14:textFill>
              </w:rPr>
              <w:t>|</w:t>
            </w:r>
            <w:r w:rsidRPr="00B42881">
              <w:t xml:space="preserve">%; TEZ/IVA: </w:t>
            </w:r>
            <w:r w:rsidR="004E7B37" w:rsidRPr="004E7B37">
              <w:rPr>
                <w:color w:val="000000"/>
                <w:spacing w:val="213"/>
                <w:shd w:val="solid" w:color="000000" w:fill="000000"/>
                <w:fitText w:val="290" w:id="-694516474"/>
                <w14:textFill>
                  <w14:solidFill>
                    <w14:srgbClr w14:val="000000">
                      <w14:alpha w14:val="100000"/>
                    </w14:srgbClr>
                  </w14:solidFill>
                </w14:textFill>
              </w:rPr>
              <w:t>|</w:t>
            </w:r>
            <w:r w:rsidR="004E7B37" w:rsidRPr="004E7B37">
              <w:rPr>
                <w:color w:val="000000"/>
                <w:spacing w:val="1"/>
                <w:shd w:val="solid" w:color="000000" w:fill="000000"/>
                <w:fitText w:val="290" w:id="-694516474"/>
                <w14:textFill>
                  <w14:solidFill>
                    <w14:srgbClr w14:val="000000">
                      <w14:alpha w14:val="100000"/>
                    </w14:srgbClr>
                  </w14:solidFill>
                </w14:textFill>
              </w:rPr>
              <w:t>|</w:t>
            </w:r>
            <w:r w:rsidRPr="00B42881">
              <w:t xml:space="preserve">%; ELX/TEZ/IVA: </w:t>
            </w:r>
            <w:r w:rsidR="004E7B37" w:rsidRPr="004E7B37">
              <w:rPr>
                <w:color w:val="000000"/>
                <w:spacing w:val="213"/>
                <w:shd w:val="solid" w:color="000000" w:fill="000000"/>
                <w:fitText w:val="290" w:id="-694516473"/>
                <w14:textFill>
                  <w14:solidFill>
                    <w14:srgbClr w14:val="000000">
                      <w14:alpha w14:val="100000"/>
                    </w14:srgbClr>
                  </w14:solidFill>
                </w14:textFill>
              </w:rPr>
              <w:t>|</w:t>
            </w:r>
            <w:r w:rsidR="004E7B37" w:rsidRPr="004E7B37">
              <w:rPr>
                <w:color w:val="000000"/>
                <w:spacing w:val="1"/>
                <w:shd w:val="solid" w:color="000000" w:fill="000000"/>
                <w:fitText w:val="290" w:id="-694516473"/>
                <w14:textFill>
                  <w14:solidFill>
                    <w14:srgbClr w14:val="000000">
                      <w14:alpha w14:val="100000"/>
                    </w14:srgbClr>
                  </w14:solidFill>
                </w14:textFill>
              </w:rPr>
              <w:t>|</w:t>
            </w:r>
            <w:r w:rsidRPr="00B42881">
              <w:t>%</w:t>
            </w:r>
          </w:p>
        </w:tc>
        <w:tc>
          <w:tcPr>
            <w:tcW w:w="883" w:type="pct"/>
            <w:noWrap/>
            <w:hideMark/>
          </w:tcPr>
          <w:p w14:paraId="740022E7" w14:textId="549101CC" w:rsidR="00A2358D" w:rsidRPr="00B42881" w:rsidRDefault="004E7B37" w:rsidP="00A14777">
            <w:pPr>
              <w:pStyle w:val="TableText"/>
            </w:pPr>
            <w:r w:rsidRPr="004E7B37">
              <w:rPr>
                <w:color w:val="000000"/>
                <w:spacing w:val="213"/>
                <w:shd w:val="solid" w:color="000000" w:fill="000000"/>
                <w:fitText w:val="290" w:id="-694516472"/>
                <w14:textFill>
                  <w14:solidFill>
                    <w14:srgbClr w14:val="000000">
                      <w14:alpha w14:val="100000"/>
                    </w14:srgbClr>
                  </w14:solidFill>
                </w14:textFill>
              </w:rPr>
              <w:t>|</w:t>
            </w:r>
            <w:r w:rsidRPr="004E7B37">
              <w:rPr>
                <w:color w:val="000000"/>
                <w:spacing w:val="1"/>
                <w:shd w:val="solid" w:color="000000" w:fill="000000"/>
                <w:fitText w:val="290" w:id="-694516472"/>
                <w14:textFill>
                  <w14:solidFill>
                    <w14:srgbClr w14:val="000000">
                      <w14:alpha w14:val="100000"/>
                    </w14:srgbClr>
                  </w14:solidFill>
                </w14:textFill>
              </w:rPr>
              <w:t>|</w:t>
            </w:r>
            <w:r w:rsidR="00A2358D" w:rsidRPr="00B42881">
              <w:t>%</w:t>
            </w:r>
          </w:p>
        </w:tc>
      </w:tr>
      <w:tr w:rsidR="00A2358D" w:rsidRPr="00897D15" w14:paraId="29D73FCE" w14:textId="77777777" w:rsidTr="004E7B37">
        <w:trPr>
          <w:trHeight w:val="315"/>
        </w:trPr>
        <w:tc>
          <w:tcPr>
            <w:tcW w:w="1030" w:type="pct"/>
            <w:noWrap/>
            <w:hideMark/>
          </w:tcPr>
          <w:p w14:paraId="18822986" w14:textId="77777777" w:rsidR="00A2358D" w:rsidRPr="00FE7BAB" w:rsidRDefault="00A2358D" w:rsidP="00A14777">
            <w:pPr>
              <w:pStyle w:val="TableText"/>
            </w:pPr>
            <w:r w:rsidRPr="00FE7BAB">
              <w:t>2 Year (Apr-23 – Mar 24)</w:t>
            </w:r>
          </w:p>
        </w:tc>
        <w:tc>
          <w:tcPr>
            <w:tcW w:w="824" w:type="pct"/>
            <w:tcBorders>
              <w:bottom w:val="single" w:sz="4" w:space="0" w:color="auto"/>
            </w:tcBorders>
            <w:shd w:val="solid" w:color="000000" w:fill="000000"/>
            <w:noWrap/>
            <w:hideMark/>
          </w:tcPr>
          <w:p w14:paraId="547FC941" w14:textId="751F71BC" w:rsidR="00A2358D" w:rsidRPr="00B42881" w:rsidRDefault="004E7B37" w:rsidP="00A14777">
            <w:pPr>
              <w:pStyle w:val="TableText"/>
              <w:rPr>
                <w:highlight w:val="darkGray"/>
              </w:rPr>
            </w:pPr>
            <w:r w:rsidRPr="004E7B37">
              <w:rPr>
                <w:color w:val="000000"/>
                <w:spacing w:val="213"/>
                <w:fitText w:val="290" w:id="-694516471"/>
                <w14:textFill>
                  <w14:solidFill>
                    <w14:srgbClr w14:val="000000">
                      <w14:alpha w14:val="100000"/>
                    </w14:srgbClr>
                  </w14:solidFill>
                </w14:textFill>
              </w:rPr>
              <w:t>|</w:t>
            </w:r>
            <w:r w:rsidRPr="004E7B37">
              <w:rPr>
                <w:color w:val="000000"/>
                <w:fitText w:val="290" w:id="-694516471"/>
                <w14:textFill>
                  <w14:solidFill>
                    <w14:srgbClr w14:val="000000">
                      <w14:alpha w14:val="100000"/>
                    </w14:srgbClr>
                  </w14:solidFill>
                </w14:textFill>
              </w:rPr>
              <w:t>|</w:t>
            </w:r>
          </w:p>
        </w:tc>
        <w:tc>
          <w:tcPr>
            <w:tcW w:w="1029" w:type="pct"/>
            <w:tcBorders>
              <w:bottom w:val="single" w:sz="4" w:space="0" w:color="auto"/>
            </w:tcBorders>
            <w:shd w:val="solid" w:color="000000" w:fill="000000"/>
          </w:tcPr>
          <w:p w14:paraId="455898B5" w14:textId="7B6982C2" w:rsidR="00A2358D" w:rsidRPr="00B42881" w:rsidRDefault="004E7B37" w:rsidP="00A14777">
            <w:pPr>
              <w:pStyle w:val="TableText"/>
              <w:rPr>
                <w:highlight w:val="darkGray"/>
              </w:rPr>
            </w:pPr>
            <w:r w:rsidRPr="004E7B37">
              <w:rPr>
                <w:color w:val="000000"/>
                <w:spacing w:val="213"/>
                <w:fitText w:val="290" w:id="-694516470"/>
                <w14:textFill>
                  <w14:solidFill>
                    <w14:srgbClr w14:val="000000">
                      <w14:alpha w14:val="100000"/>
                    </w14:srgbClr>
                  </w14:solidFill>
                </w14:textFill>
              </w:rPr>
              <w:t>|</w:t>
            </w:r>
            <w:r w:rsidRPr="004E7B37">
              <w:rPr>
                <w:color w:val="000000"/>
                <w:fitText w:val="290" w:id="-694516470"/>
                <w14:textFill>
                  <w14:solidFill>
                    <w14:srgbClr w14:val="000000">
                      <w14:alpha w14:val="100000"/>
                    </w14:srgbClr>
                  </w14:solidFill>
                </w14:textFill>
              </w:rPr>
              <w:t>|</w:t>
            </w:r>
          </w:p>
        </w:tc>
        <w:tc>
          <w:tcPr>
            <w:tcW w:w="1234" w:type="pct"/>
            <w:hideMark/>
          </w:tcPr>
          <w:p w14:paraId="72E72647" w14:textId="5AF29466" w:rsidR="00A2358D" w:rsidRPr="00B42881" w:rsidRDefault="00A2358D" w:rsidP="00A14777">
            <w:pPr>
              <w:pStyle w:val="TableText"/>
            </w:pPr>
            <w:r w:rsidRPr="00B42881">
              <w:t xml:space="preserve">LUM/IVA: </w:t>
            </w:r>
            <w:r w:rsidR="004E7B37" w:rsidRPr="004E7B37">
              <w:rPr>
                <w:color w:val="000000"/>
                <w:spacing w:val="223"/>
                <w:shd w:val="solid" w:color="000000" w:fill="000000"/>
                <w:fitText w:val="300" w:id="-694516469"/>
                <w14:textFill>
                  <w14:solidFill>
                    <w14:srgbClr w14:val="000000">
                      <w14:alpha w14:val="100000"/>
                    </w14:srgbClr>
                  </w14:solidFill>
                </w14:textFill>
              </w:rPr>
              <w:t>|</w:t>
            </w:r>
            <w:r w:rsidR="004E7B37" w:rsidRPr="004E7B37">
              <w:rPr>
                <w:color w:val="000000"/>
                <w:spacing w:val="1"/>
                <w:shd w:val="solid" w:color="000000" w:fill="000000"/>
                <w:fitText w:val="300" w:id="-694516469"/>
                <w14:textFill>
                  <w14:solidFill>
                    <w14:srgbClr w14:val="000000">
                      <w14:alpha w14:val="100000"/>
                    </w14:srgbClr>
                  </w14:solidFill>
                </w14:textFill>
              </w:rPr>
              <w:t>|</w:t>
            </w:r>
            <w:r w:rsidRPr="00B42881">
              <w:t xml:space="preserve">%; TEZ/IVA: </w:t>
            </w:r>
            <w:r w:rsidR="004E7B37" w:rsidRPr="004E7B37">
              <w:rPr>
                <w:color w:val="000000"/>
                <w:spacing w:val="213"/>
                <w:shd w:val="solid" w:color="000000" w:fill="000000"/>
                <w:fitText w:val="290" w:id="-694516468"/>
                <w14:textFill>
                  <w14:solidFill>
                    <w14:srgbClr w14:val="000000">
                      <w14:alpha w14:val="100000"/>
                    </w14:srgbClr>
                  </w14:solidFill>
                </w14:textFill>
              </w:rPr>
              <w:t>|</w:t>
            </w:r>
            <w:r w:rsidR="004E7B37" w:rsidRPr="004E7B37">
              <w:rPr>
                <w:color w:val="000000"/>
                <w:spacing w:val="1"/>
                <w:shd w:val="solid" w:color="000000" w:fill="000000"/>
                <w:fitText w:val="290" w:id="-694516468"/>
                <w14:textFill>
                  <w14:solidFill>
                    <w14:srgbClr w14:val="000000">
                      <w14:alpha w14:val="100000"/>
                    </w14:srgbClr>
                  </w14:solidFill>
                </w14:textFill>
              </w:rPr>
              <w:t>|</w:t>
            </w:r>
            <w:r w:rsidRPr="00B42881">
              <w:t>% ELX/TEZ/IVA:</w:t>
            </w:r>
            <w:r w:rsidR="004E7B37" w:rsidRPr="004E7B37">
              <w:rPr>
                <w:color w:val="000000"/>
                <w:spacing w:val="223"/>
                <w:shd w:val="solid" w:color="000000" w:fill="000000"/>
                <w:fitText w:val="300" w:id="-694516467"/>
                <w14:textFill>
                  <w14:solidFill>
                    <w14:srgbClr w14:val="000000">
                      <w14:alpha w14:val="100000"/>
                    </w14:srgbClr>
                  </w14:solidFill>
                </w14:textFill>
              </w:rPr>
              <w:t>|</w:t>
            </w:r>
            <w:r w:rsidR="004E7B37" w:rsidRPr="004E7B37">
              <w:rPr>
                <w:color w:val="000000"/>
                <w:spacing w:val="1"/>
                <w:shd w:val="solid" w:color="000000" w:fill="000000"/>
                <w:fitText w:val="300" w:id="-694516467"/>
                <w14:textFill>
                  <w14:solidFill>
                    <w14:srgbClr w14:val="000000">
                      <w14:alpha w14:val="100000"/>
                    </w14:srgbClr>
                  </w14:solidFill>
                </w14:textFill>
              </w:rPr>
              <w:t>|</w:t>
            </w:r>
            <w:r w:rsidRPr="00B42881">
              <w:t>%</w:t>
            </w:r>
          </w:p>
        </w:tc>
        <w:tc>
          <w:tcPr>
            <w:tcW w:w="883" w:type="pct"/>
            <w:noWrap/>
            <w:hideMark/>
          </w:tcPr>
          <w:p w14:paraId="28B4596C" w14:textId="4B76804E" w:rsidR="00A2358D" w:rsidRPr="00B42881" w:rsidRDefault="004E7B37" w:rsidP="00A14777">
            <w:pPr>
              <w:pStyle w:val="TableText"/>
            </w:pPr>
            <w:r w:rsidRPr="004E7B37">
              <w:rPr>
                <w:color w:val="000000"/>
                <w:spacing w:val="213"/>
                <w:shd w:val="solid" w:color="000000" w:fill="000000"/>
                <w:fitText w:val="290" w:id="-694516466"/>
                <w14:textFill>
                  <w14:solidFill>
                    <w14:srgbClr w14:val="000000">
                      <w14:alpha w14:val="100000"/>
                    </w14:srgbClr>
                  </w14:solidFill>
                </w14:textFill>
              </w:rPr>
              <w:t>|</w:t>
            </w:r>
            <w:r w:rsidRPr="004E7B37">
              <w:rPr>
                <w:color w:val="000000"/>
                <w:spacing w:val="1"/>
                <w:shd w:val="solid" w:color="000000" w:fill="000000"/>
                <w:fitText w:val="290" w:id="-694516466"/>
                <w14:textFill>
                  <w14:solidFill>
                    <w14:srgbClr w14:val="000000">
                      <w14:alpha w14:val="100000"/>
                    </w14:srgbClr>
                  </w14:solidFill>
                </w14:textFill>
              </w:rPr>
              <w:t>|</w:t>
            </w:r>
            <w:r w:rsidR="00A432E4" w:rsidRPr="00B42881">
              <w:t>%</w:t>
            </w:r>
          </w:p>
        </w:tc>
      </w:tr>
      <w:tr w:rsidR="007E65B6" w:rsidRPr="00897D15" w14:paraId="056A69B4" w14:textId="77777777" w:rsidTr="004E7B37">
        <w:trPr>
          <w:trHeight w:val="315"/>
        </w:trPr>
        <w:tc>
          <w:tcPr>
            <w:tcW w:w="1030" w:type="pct"/>
            <w:noWrap/>
            <w:hideMark/>
          </w:tcPr>
          <w:p w14:paraId="41B784D2" w14:textId="77777777" w:rsidR="007E65B6" w:rsidRPr="00FE7BAB" w:rsidRDefault="007E65B6" w:rsidP="007E65B6">
            <w:pPr>
              <w:pStyle w:val="TableText"/>
            </w:pPr>
            <w:r w:rsidRPr="00FE7BAB">
              <w:t>3 Year (Apr-24 – Mar 25)</w:t>
            </w:r>
          </w:p>
        </w:tc>
        <w:tc>
          <w:tcPr>
            <w:tcW w:w="824" w:type="pct"/>
            <w:tcBorders>
              <w:bottom w:val="single" w:sz="4" w:space="0" w:color="auto"/>
            </w:tcBorders>
            <w:shd w:val="solid" w:color="000000" w:fill="000000"/>
            <w:noWrap/>
          </w:tcPr>
          <w:p w14:paraId="386F54F7" w14:textId="43679AB4" w:rsidR="007E65B6" w:rsidRPr="00B42881" w:rsidRDefault="004E7B37" w:rsidP="007E65B6">
            <w:pPr>
              <w:pStyle w:val="TableText"/>
              <w:rPr>
                <w:highlight w:val="darkGray"/>
              </w:rPr>
            </w:pPr>
            <w:r w:rsidRPr="004E7B37">
              <w:rPr>
                <w:color w:val="000000"/>
                <w:spacing w:val="213"/>
                <w:fitText w:val="290" w:id="-694516465"/>
                <w14:textFill>
                  <w14:solidFill>
                    <w14:srgbClr w14:val="000000">
                      <w14:alpha w14:val="100000"/>
                    </w14:srgbClr>
                  </w14:solidFill>
                </w14:textFill>
              </w:rPr>
              <w:t>|</w:t>
            </w:r>
            <w:r w:rsidRPr="004E7B37">
              <w:rPr>
                <w:color w:val="000000"/>
                <w:fitText w:val="290" w:id="-694516465"/>
                <w14:textFill>
                  <w14:solidFill>
                    <w14:srgbClr w14:val="000000">
                      <w14:alpha w14:val="100000"/>
                    </w14:srgbClr>
                  </w14:solidFill>
                </w14:textFill>
              </w:rPr>
              <w:t>|</w:t>
            </w:r>
          </w:p>
        </w:tc>
        <w:tc>
          <w:tcPr>
            <w:tcW w:w="1029" w:type="pct"/>
            <w:shd w:val="solid" w:color="000000" w:fill="000000"/>
          </w:tcPr>
          <w:p w14:paraId="221B580E" w14:textId="276ACFC6" w:rsidR="007E65B6" w:rsidRPr="00B42881" w:rsidRDefault="004E7B37" w:rsidP="007E65B6">
            <w:pPr>
              <w:pStyle w:val="TableText"/>
              <w:rPr>
                <w:highlight w:val="darkGray"/>
              </w:rPr>
            </w:pPr>
            <w:r w:rsidRPr="004E7B37">
              <w:rPr>
                <w:color w:val="000000"/>
                <w:spacing w:val="213"/>
                <w:fitText w:val="290" w:id="-694516464"/>
                <w14:textFill>
                  <w14:solidFill>
                    <w14:srgbClr w14:val="000000">
                      <w14:alpha w14:val="100000"/>
                    </w14:srgbClr>
                  </w14:solidFill>
                </w14:textFill>
              </w:rPr>
              <w:t>|</w:t>
            </w:r>
            <w:r w:rsidRPr="004E7B37">
              <w:rPr>
                <w:color w:val="000000"/>
                <w:fitText w:val="290" w:id="-694516464"/>
                <w14:textFill>
                  <w14:solidFill>
                    <w14:srgbClr w14:val="000000">
                      <w14:alpha w14:val="100000"/>
                    </w14:srgbClr>
                  </w14:solidFill>
                </w14:textFill>
              </w:rPr>
              <w:t>|</w:t>
            </w:r>
          </w:p>
        </w:tc>
        <w:tc>
          <w:tcPr>
            <w:tcW w:w="1234" w:type="pct"/>
          </w:tcPr>
          <w:p w14:paraId="0E0DE023" w14:textId="37188677" w:rsidR="007E65B6" w:rsidRPr="00B42881" w:rsidRDefault="007E65B6" w:rsidP="007E65B6">
            <w:pPr>
              <w:pStyle w:val="TableText"/>
            </w:pPr>
            <w:r w:rsidRPr="00B42881">
              <w:t xml:space="preserve">LUM/IVA: </w:t>
            </w:r>
            <w:r w:rsidR="004E7B37" w:rsidRPr="004E7B37">
              <w:rPr>
                <w:color w:val="000000"/>
                <w:spacing w:val="223"/>
                <w:shd w:val="solid" w:color="000000" w:fill="000000"/>
                <w:fitText w:val="300" w:id="-694516480"/>
                <w14:textFill>
                  <w14:solidFill>
                    <w14:srgbClr w14:val="000000">
                      <w14:alpha w14:val="100000"/>
                    </w14:srgbClr>
                  </w14:solidFill>
                </w14:textFill>
              </w:rPr>
              <w:t>|</w:t>
            </w:r>
            <w:r w:rsidR="004E7B37" w:rsidRPr="004E7B37">
              <w:rPr>
                <w:color w:val="000000"/>
                <w:spacing w:val="1"/>
                <w:shd w:val="solid" w:color="000000" w:fill="000000"/>
                <w:fitText w:val="300" w:id="-694516480"/>
                <w14:textFill>
                  <w14:solidFill>
                    <w14:srgbClr w14:val="000000">
                      <w14:alpha w14:val="100000"/>
                    </w14:srgbClr>
                  </w14:solidFill>
                </w14:textFill>
              </w:rPr>
              <w:t>|</w:t>
            </w:r>
            <w:r w:rsidRPr="00B42881">
              <w:t xml:space="preserve">%; TEZ/IVA: </w:t>
            </w:r>
            <w:r w:rsidR="004E7B37" w:rsidRPr="004E7B37">
              <w:rPr>
                <w:color w:val="000000"/>
                <w:spacing w:val="213"/>
                <w:shd w:val="solid" w:color="000000" w:fill="000000"/>
                <w:fitText w:val="290" w:id="-694516479"/>
                <w14:textFill>
                  <w14:solidFill>
                    <w14:srgbClr w14:val="000000">
                      <w14:alpha w14:val="100000"/>
                    </w14:srgbClr>
                  </w14:solidFill>
                </w14:textFill>
              </w:rPr>
              <w:t>|</w:t>
            </w:r>
            <w:r w:rsidR="004E7B37" w:rsidRPr="004E7B37">
              <w:rPr>
                <w:color w:val="000000"/>
                <w:spacing w:val="1"/>
                <w:shd w:val="solid" w:color="000000" w:fill="000000"/>
                <w:fitText w:val="290" w:id="-694516479"/>
                <w14:textFill>
                  <w14:solidFill>
                    <w14:srgbClr w14:val="000000">
                      <w14:alpha w14:val="100000"/>
                    </w14:srgbClr>
                  </w14:solidFill>
                </w14:textFill>
              </w:rPr>
              <w:t>|</w:t>
            </w:r>
            <w:r w:rsidRPr="00B42881">
              <w:t>% ELX/TEZ/IVA:</w:t>
            </w:r>
            <w:r w:rsidR="004E7B37" w:rsidRPr="004E7B37">
              <w:rPr>
                <w:color w:val="000000"/>
                <w:spacing w:val="223"/>
                <w:shd w:val="solid" w:color="000000" w:fill="000000"/>
                <w:fitText w:val="300" w:id="-694516478"/>
                <w14:textFill>
                  <w14:solidFill>
                    <w14:srgbClr w14:val="000000">
                      <w14:alpha w14:val="100000"/>
                    </w14:srgbClr>
                  </w14:solidFill>
                </w14:textFill>
              </w:rPr>
              <w:t>|</w:t>
            </w:r>
            <w:r w:rsidR="004E7B37" w:rsidRPr="004E7B37">
              <w:rPr>
                <w:color w:val="000000"/>
                <w:spacing w:val="1"/>
                <w:shd w:val="solid" w:color="000000" w:fill="000000"/>
                <w:fitText w:val="300" w:id="-694516478"/>
                <w14:textFill>
                  <w14:solidFill>
                    <w14:srgbClr w14:val="000000">
                      <w14:alpha w14:val="100000"/>
                    </w14:srgbClr>
                  </w14:solidFill>
                </w14:textFill>
              </w:rPr>
              <w:t>|</w:t>
            </w:r>
            <w:r w:rsidRPr="00B42881">
              <w:t xml:space="preserve">%; IVA </w:t>
            </w:r>
            <w:r w:rsidR="004E7B37" w:rsidRPr="004E7B37">
              <w:rPr>
                <w:color w:val="000000"/>
                <w:spacing w:val="213"/>
                <w:shd w:val="solid" w:color="000000" w:fill="000000"/>
                <w:fitText w:val="290" w:id="-694516477"/>
                <w14:textFill>
                  <w14:solidFill>
                    <w14:srgbClr w14:val="000000">
                      <w14:alpha w14:val="100000"/>
                    </w14:srgbClr>
                  </w14:solidFill>
                </w14:textFill>
              </w:rPr>
              <w:t>|</w:t>
            </w:r>
            <w:r w:rsidR="004E7B37" w:rsidRPr="004E7B37">
              <w:rPr>
                <w:color w:val="000000"/>
                <w:spacing w:val="1"/>
                <w:shd w:val="solid" w:color="000000" w:fill="000000"/>
                <w:fitText w:val="290" w:id="-694516477"/>
                <w14:textFill>
                  <w14:solidFill>
                    <w14:srgbClr w14:val="000000">
                      <w14:alpha w14:val="100000"/>
                    </w14:srgbClr>
                  </w14:solidFill>
                </w14:textFill>
              </w:rPr>
              <w:t>|</w:t>
            </w:r>
            <w:r w:rsidRPr="00B42881">
              <w:t>%</w:t>
            </w:r>
          </w:p>
        </w:tc>
        <w:tc>
          <w:tcPr>
            <w:tcW w:w="883" w:type="pct"/>
            <w:noWrap/>
          </w:tcPr>
          <w:p w14:paraId="455C6A64" w14:textId="6660BFF9" w:rsidR="007E65B6" w:rsidRPr="00B42881" w:rsidRDefault="004E7B37" w:rsidP="007E65B6">
            <w:pPr>
              <w:pStyle w:val="TableText"/>
            </w:pPr>
            <w:r w:rsidRPr="004E7B37">
              <w:rPr>
                <w:color w:val="000000"/>
                <w:spacing w:val="213"/>
                <w:shd w:val="solid" w:color="000000" w:fill="000000"/>
                <w:fitText w:val="290" w:id="-694516476"/>
                <w14:textFill>
                  <w14:solidFill>
                    <w14:srgbClr w14:val="000000">
                      <w14:alpha w14:val="100000"/>
                    </w14:srgbClr>
                  </w14:solidFill>
                </w14:textFill>
              </w:rPr>
              <w:t>|</w:t>
            </w:r>
            <w:r w:rsidRPr="004E7B37">
              <w:rPr>
                <w:color w:val="000000"/>
                <w:spacing w:val="1"/>
                <w:shd w:val="solid" w:color="000000" w:fill="000000"/>
                <w:fitText w:val="290" w:id="-694516476"/>
                <w14:textFill>
                  <w14:solidFill>
                    <w14:srgbClr w14:val="000000">
                      <w14:alpha w14:val="100000"/>
                    </w14:srgbClr>
                  </w14:solidFill>
                </w14:textFill>
              </w:rPr>
              <w:t>|</w:t>
            </w:r>
            <w:r w:rsidR="007E65B6" w:rsidRPr="00B42881">
              <w:t>%</w:t>
            </w:r>
          </w:p>
        </w:tc>
      </w:tr>
      <w:tr w:rsidR="007E65B6" w:rsidRPr="00897D15" w14:paraId="2E273897" w14:textId="77777777" w:rsidTr="004E7B37">
        <w:trPr>
          <w:trHeight w:val="315"/>
        </w:trPr>
        <w:tc>
          <w:tcPr>
            <w:tcW w:w="1030" w:type="pct"/>
            <w:noWrap/>
            <w:hideMark/>
          </w:tcPr>
          <w:p w14:paraId="5E65DD07" w14:textId="77777777" w:rsidR="007E65B6" w:rsidRPr="00FE7BAB" w:rsidRDefault="007E65B6" w:rsidP="007E65B6">
            <w:pPr>
              <w:pStyle w:val="TableText"/>
            </w:pPr>
            <w:r w:rsidRPr="00FE7BAB">
              <w:t>4 Year (Apr-25 – Mar 26)</w:t>
            </w:r>
          </w:p>
        </w:tc>
        <w:tc>
          <w:tcPr>
            <w:tcW w:w="824" w:type="pct"/>
            <w:tcBorders>
              <w:bottom w:val="single" w:sz="4" w:space="0" w:color="auto"/>
            </w:tcBorders>
            <w:shd w:val="solid" w:color="000000" w:fill="000000"/>
            <w:noWrap/>
          </w:tcPr>
          <w:p w14:paraId="04DD500E" w14:textId="63671F12" w:rsidR="007E65B6" w:rsidRPr="00B42881" w:rsidRDefault="004E7B37" w:rsidP="007E65B6">
            <w:pPr>
              <w:pStyle w:val="TableText"/>
              <w:rPr>
                <w:highlight w:val="darkGray"/>
              </w:rPr>
            </w:pPr>
            <w:r w:rsidRPr="004E7B37">
              <w:rPr>
                <w:color w:val="000000"/>
                <w:spacing w:val="213"/>
                <w:fitText w:val="290" w:id="-694516475"/>
                <w14:textFill>
                  <w14:solidFill>
                    <w14:srgbClr w14:val="000000">
                      <w14:alpha w14:val="100000"/>
                    </w14:srgbClr>
                  </w14:solidFill>
                </w14:textFill>
              </w:rPr>
              <w:t>|</w:t>
            </w:r>
            <w:r w:rsidRPr="004E7B37">
              <w:rPr>
                <w:color w:val="000000"/>
                <w:fitText w:val="290" w:id="-694516475"/>
                <w14:textFill>
                  <w14:solidFill>
                    <w14:srgbClr w14:val="000000">
                      <w14:alpha w14:val="100000"/>
                    </w14:srgbClr>
                  </w14:solidFill>
                </w14:textFill>
              </w:rPr>
              <w:t>|</w:t>
            </w:r>
          </w:p>
        </w:tc>
        <w:tc>
          <w:tcPr>
            <w:tcW w:w="1029" w:type="pct"/>
          </w:tcPr>
          <w:p w14:paraId="3954DBE3" w14:textId="08C0CC74" w:rsidR="007E65B6" w:rsidRPr="00897D15" w:rsidRDefault="007E65B6" w:rsidP="007E65B6">
            <w:pPr>
              <w:pStyle w:val="TableText"/>
              <w:rPr>
                <w:highlight w:val="yellow"/>
              </w:rPr>
            </w:pPr>
          </w:p>
        </w:tc>
        <w:tc>
          <w:tcPr>
            <w:tcW w:w="1234" w:type="pct"/>
          </w:tcPr>
          <w:p w14:paraId="07847327" w14:textId="35662A71" w:rsidR="007E65B6" w:rsidRPr="00897D15" w:rsidRDefault="007E65B6" w:rsidP="007E65B6">
            <w:pPr>
              <w:pStyle w:val="TableText"/>
              <w:rPr>
                <w:highlight w:val="yellow"/>
              </w:rPr>
            </w:pPr>
          </w:p>
        </w:tc>
        <w:tc>
          <w:tcPr>
            <w:tcW w:w="883" w:type="pct"/>
            <w:noWrap/>
          </w:tcPr>
          <w:p w14:paraId="7F4250EB" w14:textId="569F46E5" w:rsidR="007E65B6" w:rsidRPr="00897D15" w:rsidRDefault="007E65B6" w:rsidP="007E65B6">
            <w:pPr>
              <w:pStyle w:val="TableText"/>
              <w:rPr>
                <w:highlight w:val="yellow"/>
              </w:rPr>
            </w:pPr>
          </w:p>
        </w:tc>
      </w:tr>
      <w:tr w:rsidR="007E65B6" w:rsidRPr="00897D15" w14:paraId="0B5F99B2" w14:textId="77777777" w:rsidTr="004E7B37">
        <w:trPr>
          <w:trHeight w:val="315"/>
        </w:trPr>
        <w:tc>
          <w:tcPr>
            <w:tcW w:w="1030" w:type="pct"/>
            <w:noWrap/>
            <w:hideMark/>
          </w:tcPr>
          <w:p w14:paraId="31B2BE04" w14:textId="77777777" w:rsidR="007E65B6" w:rsidRPr="00FE7BAB" w:rsidRDefault="007E65B6" w:rsidP="007E65B6">
            <w:pPr>
              <w:pStyle w:val="TableText"/>
            </w:pPr>
            <w:r w:rsidRPr="00FE7BAB">
              <w:t>5 Year (Apr-26 – Mar 27)</w:t>
            </w:r>
          </w:p>
        </w:tc>
        <w:tc>
          <w:tcPr>
            <w:tcW w:w="824" w:type="pct"/>
            <w:shd w:val="solid" w:color="000000" w:fill="000000"/>
            <w:noWrap/>
          </w:tcPr>
          <w:p w14:paraId="31306C08" w14:textId="7837ACC1" w:rsidR="007E65B6" w:rsidRPr="00B42881" w:rsidRDefault="004E7B37" w:rsidP="007E65B6">
            <w:pPr>
              <w:pStyle w:val="TableText"/>
              <w:rPr>
                <w:highlight w:val="darkGray"/>
              </w:rPr>
            </w:pPr>
            <w:r w:rsidRPr="004E7B37">
              <w:rPr>
                <w:color w:val="000000"/>
                <w:spacing w:val="213"/>
                <w:fitText w:val="290" w:id="-694516474"/>
                <w14:textFill>
                  <w14:solidFill>
                    <w14:srgbClr w14:val="000000">
                      <w14:alpha w14:val="100000"/>
                    </w14:srgbClr>
                  </w14:solidFill>
                </w14:textFill>
              </w:rPr>
              <w:t>|</w:t>
            </w:r>
            <w:r w:rsidRPr="004E7B37">
              <w:rPr>
                <w:color w:val="000000"/>
                <w:fitText w:val="290" w:id="-694516474"/>
                <w14:textFill>
                  <w14:solidFill>
                    <w14:srgbClr w14:val="000000">
                      <w14:alpha w14:val="100000"/>
                    </w14:srgbClr>
                  </w14:solidFill>
                </w14:textFill>
              </w:rPr>
              <w:t>|</w:t>
            </w:r>
          </w:p>
        </w:tc>
        <w:tc>
          <w:tcPr>
            <w:tcW w:w="1029" w:type="pct"/>
          </w:tcPr>
          <w:p w14:paraId="29AD3ACF" w14:textId="376FB38E" w:rsidR="007E65B6" w:rsidRPr="00897D15" w:rsidRDefault="007E65B6" w:rsidP="007E65B6">
            <w:pPr>
              <w:pStyle w:val="TableText"/>
              <w:rPr>
                <w:highlight w:val="yellow"/>
              </w:rPr>
            </w:pPr>
          </w:p>
        </w:tc>
        <w:tc>
          <w:tcPr>
            <w:tcW w:w="1234" w:type="pct"/>
          </w:tcPr>
          <w:p w14:paraId="75B5F11C" w14:textId="44247FED" w:rsidR="007E65B6" w:rsidRPr="00897D15" w:rsidRDefault="007E65B6" w:rsidP="007E65B6">
            <w:pPr>
              <w:pStyle w:val="TableText"/>
              <w:rPr>
                <w:highlight w:val="yellow"/>
              </w:rPr>
            </w:pPr>
          </w:p>
        </w:tc>
        <w:tc>
          <w:tcPr>
            <w:tcW w:w="883" w:type="pct"/>
            <w:noWrap/>
          </w:tcPr>
          <w:p w14:paraId="5FEFBE2C" w14:textId="32079F43" w:rsidR="007E65B6" w:rsidRPr="00897D15" w:rsidRDefault="007E65B6" w:rsidP="007E65B6">
            <w:pPr>
              <w:pStyle w:val="TableText"/>
              <w:rPr>
                <w:highlight w:val="yellow"/>
              </w:rPr>
            </w:pPr>
          </w:p>
        </w:tc>
      </w:tr>
    </w:tbl>
    <w:p w14:paraId="6D97F0DE" w14:textId="60C0E359" w:rsidR="00A2358D" w:rsidRPr="00377919" w:rsidRDefault="00A2358D" w:rsidP="00464596">
      <w:pPr>
        <w:pStyle w:val="TableFigureFooter"/>
        <w:rPr>
          <w:rFonts w:eastAsiaTheme="minorHAnsi"/>
          <w:i w:val="0"/>
          <w:iCs w:val="0"/>
          <w:vertAlign w:val="baseline"/>
        </w:rPr>
      </w:pPr>
      <w:r w:rsidRPr="00377919">
        <w:rPr>
          <w:rFonts w:eastAsiaTheme="minorHAnsi"/>
          <w:i w:val="0"/>
          <w:iCs w:val="0"/>
          <w:vertAlign w:val="baseline"/>
        </w:rPr>
        <w:t>Source: Department of Health</w:t>
      </w:r>
    </w:p>
    <w:p w14:paraId="79005F1E" w14:textId="73819063" w:rsidR="00A2358D" w:rsidRPr="00377919" w:rsidRDefault="00A2358D" w:rsidP="00464596">
      <w:pPr>
        <w:pStyle w:val="TableFigureFooter"/>
        <w:rPr>
          <w:rFonts w:eastAsiaTheme="minorHAnsi"/>
          <w:i w:val="0"/>
          <w:iCs w:val="0"/>
          <w:vertAlign w:val="baseline"/>
        </w:rPr>
      </w:pPr>
      <w:r w:rsidRPr="00377919">
        <w:rPr>
          <w:rFonts w:eastAsiaTheme="minorHAnsi"/>
          <w:i w:val="0"/>
          <w:iCs w:val="0"/>
          <w:vertAlign w:val="baseline"/>
        </w:rPr>
        <w:t xml:space="preserve">ELX/TEZ/IVA = elexacaftor/tezacaftor/ivacaftor; </w:t>
      </w:r>
      <w:r w:rsidR="00CD288C" w:rsidRPr="00377919">
        <w:rPr>
          <w:rFonts w:eastAsiaTheme="minorHAnsi"/>
          <w:i w:val="0"/>
          <w:iCs w:val="0"/>
          <w:vertAlign w:val="baseline"/>
        </w:rPr>
        <w:t xml:space="preserve">IVA = ivacaftor; </w:t>
      </w:r>
      <w:r w:rsidRPr="00377919">
        <w:rPr>
          <w:rFonts w:eastAsiaTheme="minorHAnsi"/>
          <w:i w:val="0"/>
          <w:iCs w:val="0"/>
          <w:vertAlign w:val="baseline"/>
        </w:rPr>
        <w:t>LUM/IVA = lumacaftor/ivacaftor; TEZ/IVA = tezacaftor/ivacaftor</w:t>
      </w:r>
    </w:p>
    <w:p w14:paraId="7E91A40E" w14:textId="480ACC90" w:rsidR="0078234E" w:rsidRPr="00505850" w:rsidRDefault="00A2358D" w:rsidP="00464596">
      <w:pPr>
        <w:pStyle w:val="TableFigureFooter"/>
        <w:rPr>
          <w:rFonts w:eastAsiaTheme="minorHAnsi"/>
          <w:i w:val="0"/>
          <w:iCs w:val="0"/>
          <w:vertAlign w:val="baseline"/>
        </w:rPr>
      </w:pPr>
      <w:r w:rsidRPr="00377919">
        <w:rPr>
          <w:rFonts w:eastAsiaTheme="minorHAnsi"/>
          <w:i w:val="0"/>
          <w:iCs w:val="0"/>
          <w:vertAlign w:val="baseline"/>
        </w:rPr>
        <w:t>Note: </w:t>
      </w:r>
      <w:r w:rsidR="0078234E" w:rsidRPr="00377919">
        <w:rPr>
          <w:rFonts w:ascii="Aptos" w:eastAsiaTheme="minorHAnsi" w:hAnsi="Aptos" w:cs="Calibri"/>
          <w:i w:val="0"/>
          <w:iCs w:val="0"/>
          <w:sz w:val="22"/>
          <w:vertAlign w:val="baseline"/>
          <w:lang w:eastAsia="en-US"/>
        </w:rPr>
        <w:t xml:space="preserve"> </w:t>
      </w:r>
      <w:r w:rsidR="0078234E" w:rsidRPr="00377919">
        <w:rPr>
          <w:rFonts w:eastAsiaTheme="minorHAnsi"/>
          <w:i w:val="0"/>
          <w:iCs w:val="0"/>
          <w:vertAlign w:val="baseline"/>
        </w:rPr>
        <w:t xml:space="preserve">Year 3 contains </w:t>
      </w:r>
      <w:r w:rsidR="00166EC8" w:rsidRPr="00377919">
        <w:rPr>
          <w:rFonts w:eastAsiaTheme="minorHAnsi"/>
          <w:i w:val="0"/>
          <w:iCs w:val="0"/>
          <w:vertAlign w:val="baseline"/>
        </w:rPr>
        <w:t>10</w:t>
      </w:r>
      <w:r w:rsidR="0078234E" w:rsidRPr="00377919">
        <w:rPr>
          <w:rFonts w:eastAsiaTheme="minorHAnsi"/>
          <w:i w:val="0"/>
          <w:iCs w:val="0"/>
          <w:vertAlign w:val="baseline"/>
        </w:rPr>
        <w:t xml:space="preserve"> months of data only and the draft amounts may change subject to end of financial year adjustments</w:t>
      </w:r>
      <w:r w:rsidR="004E7B37" w:rsidRPr="00B3533C">
        <w:rPr>
          <w:rFonts w:eastAsiaTheme="minorHAnsi"/>
          <w:i w:val="0"/>
          <w:iCs w:val="0"/>
          <w:color w:val="000000"/>
          <w:spacing w:val="223"/>
          <w:shd w:val="solid" w:color="000000" w:fill="000000"/>
          <w:fitText w:val="300" w:id="-694516473"/>
          <w:vertAlign w:val="baseline"/>
          <w14:textFill>
            <w14:solidFill>
              <w14:srgbClr w14:val="000000">
                <w14:alpha w14:val="100000"/>
              </w14:srgbClr>
            </w14:solidFill>
          </w14:textFill>
        </w:rPr>
        <w:t>|</w:t>
      </w:r>
      <w:r w:rsidR="004E7B37" w:rsidRPr="00B3533C">
        <w:rPr>
          <w:rFonts w:eastAsiaTheme="minorHAnsi"/>
          <w:i w:val="0"/>
          <w:iCs w:val="0"/>
          <w:color w:val="000000"/>
          <w:spacing w:val="1"/>
          <w:shd w:val="solid" w:color="000000" w:fill="000000"/>
          <w:fitText w:val="300" w:id="-694516473"/>
          <w:vertAlign w:val="baseline"/>
          <w14:textFill>
            <w14:solidFill>
              <w14:srgbClr w14:val="000000">
                <w14:alpha w14:val="100000"/>
              </w14:srgbClr>
            </w14:solidFill>
          </w14:textFill>
        </w:rPr>
        <w:t>|</w:t>
      </w:r>
    </w:p>
    <w:p w14:paraId="593ABF0D" w14:textId="77777777" w:rsidR="00B72B20" w:rsidRDefault="00B72B20" w:rsidP="00F4296C">
      <w:pPr>
        <w:rPr>
          <w:rFonts w:asciiTheme="minorHAnsi" w:hAnsiTheme="minorHAnsi"/>
          <w:i/>
          <w:iCs/>
          <w:szCs w:val="22"/>
        </w:rPr>
      </w:pPr>
    </w:p>
    <w:p w14:paraId="68D57B37" w14:textId="77777777" w:rsidR="00B72B20" w:rsidRPr="0090150D" w:rsidRDefault="00B72B20" w:rsidP="00B72B20">
      <w:pPr>
        <w:pStyle w:val="2-SectionHeading"/>
        <w:numPr>
          <w:ilvl w:val="0"/>
          <w:numId w:val="1"/>
        </w:numPr>
      </w:pPr>
      <w:r w:rsidRPr="0090150D">
        <w:t>PBAC Outcome</w:t>
      </w:r>
    </w:p>
    <w:p w14:paraId="5470D01E" w14:textId="7A7CB880" w:rsidR="003D1677" w:rsidRPr="00377919" w:rsidRDefault="003D1677" w:rsidP="003D1677">
      <w:pPr>
        <w:pStyle w:val="3-BodyText"/>
      </w:pPr>
      <w:r>
        <w:t xml:space="preserve">The PBAC recommended that the listing of </w:t>
      </w:r>
      <w:r w:rsidRPr="00547CE7">
        <w:t>elexacaftor/tezacaftor/ivacaftor (ELX/TEZ/IVA) for the treatment of cystic fibrosis (CF)</w:t>
      </w:r>
      <w:r>
        <w:t xml:space="preserve"> be extended to include</w:t>
      </w:r>
      <w:r w:rsidRPr="00547CE7">
        <w:t xml:space="preserve"> </w:t>
      </w:r>
      <w:r>
        <w:t xml:space="preserve">patients who have at least one mutation in the </w:t>
      </w:r>
      <w:r w:rsidRPr="00560C5A">
        <w:rPr>
          <w:lang w:val="en-GB"/>
        </w:rPr>
        <w:t>cystic fibrosis</w:t>
      </w:r>
      <w:r>
        <w:rPr>
          <w:lang w:val="en-GB"/>
        </w:rPr>
        <w:t xml:space="preserve"> </w:t>
      </w:r>
      <w:r w:rsidRPr="00560C5A">
        <w:rPr>
          <w:lang w:val="en-GB"/>
        </w:rPr>
        <w:t>transmembrane conductance regulator</w:t>
      </w:r>
      <w:r>
        <w:t xml:space="preserve"> (CFTR) gene that is responsive to </w:t>
      </w:r>
      <w:r w:rsidRPr="00547CE7">
        <w:t>ELX/TEZ/IVA</w:t>
      </w:r>
      <w:r>
        <w:t xml:space="preserve"> based on clinical and/or </w:t>
      </w:r>
      <w:r>
        <w:rPr>
          <w:i/>
          <w:iCs/>
        </w:rPr>
        <w:t>in</w:t>
      </w:r>
      <w:r w:rsidRPr="00452FEE">
        <w:rPr>
          <w:i/>
          <w:iCs/>
        </w:rPr>
        <w:t xml:space="preserve"> vitro</w:t>
      </w:r>
      <w:r>
        <w:t xml:space="preserve"> assay data. </w:t>
      </w:r>
      <w:r w:rsidR="0093506D">
        <w:t xml:space="preserve"> </w:t>
      </w:r>
      <w:r w:rsidR="0093506D" w:rsidRPr="0093506D">
        <w:t xml:space="preserve">The PBAC noted the clinical benefit was uncertain but it was reasonable for </w:t>
      </w:r>
      <w:r w:rsidR="0093506D">
        <w:t xml:space="preserve">ELX/TEZ/IVA </w:t>
      </w:r>
      <w:r w:rsidR="0093506D" w:rsidRPr="0093506D">
        <w:t xml:space="preserve">to be available for this population, some of whom do not currently have access to CFTR modulators. The PBAC considered </w:t>
      </w:r>
      <w:r w:rsidR="0093506D">
        <w:t xml:space="preserve">ELX/TEZ/IVA </w:t>
      </w:r>
      <w:r w:rsidR="0093506D" w:rsidRPr="0093506D">
        <w:t>was likely to be cost-effective for this population at the current PBS price</w:t>
      </w:r>
      <w:r w:rsidR="00E46CE6">
        <w:t>, noting that</w:t>
      </w:r>
      <w:r w:rsidR="0093506D" w:rsidRPr="0093506D">
        <w:t xml:space="preserve"> this population </w:t>
      </w:r>
      <w:r w:rsidR="00E46CE6">
        <w:t>sh</w:t>
      </w:r>
      <w:r w:rsidR="0093506D" w:rsidRPr="0093506D">
        <w:t xml:space="preserve">ould be included in the current risk sharing arrangement for CFTR </w:t>
      </w:r>
      <w:r w:rsidR="0093506D" w:rsidRPr="00377919">
        <w:t>modulators with no increase in expenditure caps.</w:t>
      </w:r>
    </w:p>
    <w:p w14:paraId="0B411FD4" w14:textId="2D4F8732" w:rsidR="009F3457" w:rsidRDefault="009F3457" w:rsidP="003D1677">
      <w:pPr>
        <w:pStyle w:val="3-BodyText"/>
      </w:pPr>
      <w:r w:rsidRPr="009F3457">
        <w:t xml:space="preserve">The PBAC acknowledged the consumer comments strongly supported the extension of the listing for </w:t>
      </w:r>
      <w:r>
        <w:t>ELX/TEZ/IVA.</w:t>
      </w:r>
    </w:p>
    <w:p w14:paraId="3E6FD266" w14:textId="2AAF51D8" w:rsidR="00B43570" w:rsidRDefault="00B43570" w:rsidP="00120B54">
      <w:pPr>
        <w:pStyle w:val="3-BodyText"/>
      </w:pPr>
      <w:r>
        <w:t>The PBAC</w:t>
      </w:r>
      <w:r w:rsidR="00E37352">
        <w:t xml:space="preserve"> </w:t>
      </w:r>
      <w:r w:rsidR="00ED6A29">
        <w:t xml:space="preserve">considered the proposed restriction criteria were appropriate but that some </w:t>
      </w:r>
      <w:r w:rsidR="00E80129">
        <w:t>amendments</w:t>
      </w:r>
      <w:r w:rsidR="00ED6A29">
        <w:t xml:space="preserve"> may be required to remove reference to the list of mutations </w:t>
      </w:r>
      <w:r w:rsidR="00E80129">
        <w:t>in the TGA approved Product Information</w:t>
      </w:r>
      <w:r w:rsidR="00ED6A29">
        <w:t xml:space="preserve"> (see paragraphs</w:t>
      </w:r>
      <w:r w:rsidR="00E37352">
        <w:t xml:space="preserve"> </w:t>
      </w:r>
      <w:r w:rsidR="00E80129">
        <w:fldChar w:fldCharType="begin"/>
      </w:r>
      <w:r w:rsidR="00E80129">
        <w:instrText xml:space="preserve"> REF _Ref194575465 \r \h </w:instrText>
      </w:r>
      <w:r w:rsidR="00E80129">
        <w:fldChar w:fldCharType="separate"/>
      </w:r>
      <w:r w:rsidR="00343156">
        <w:t>2.2</w:t>
      </w:r>
      <w:r w:rsidR="00E80129">
        <w:fldChar w:fldCharType="end"/>
      </w:r>
      <w:r w:rsidR="00E80129">
        <w:t xml:space="preserve"> and </w:t>
      </w:r>
      <w:r w:rsidR="00E80129">
        <w:fldChar w:fldCharType="begin"/>
      </w:r>
      <w:r w:rsidR="00E80129">
        <w:instrText xml:space="preserve"> REF _Ref194575470 \r \h </w:instrText>
      </w:r>
      <w:r w:rsidR="00E80129">
        <w:fldChar w:fldCharType="separate"/>
      </w:r>
      <w:r w:rsidR="00343156">
        <w:t>2.3</w:t>
      </w:r>
      <w:r w:rsidR="00E80129">
        <w:fldChar w:fldCharType="end"/>
      </w:r>
      <w:r w:rsidR="00281022">
        <w:t>)</w:t>
      </w:r>
      <w:r w:rsidR="00E80129">
        <w:t xml:space="preserve">, </w:t>
      </w:r>
      <w:r w:rsidR="00ED6A29">
        <w:t xml:space="preserve">depending on the final </w:t>
      </w:r>
      <w:r w:rsidR="00281022">
        <w:t>TGA approval</w:t>
      </w:r>
      <w:r w:rsidR="00E80129">
        <w:t>.</w:t>
      </w:r>
      <w:r w:rsidR="00BD5F6F" w:rsidDel="00003900">
        <w:t xml:space="preserve"> </w:t>
      </w:r>
      <w:r w:rsidR="00BD5F6F" w:rsidRPr="00BD5F6F" w:rsidDel="00003900">
        <w:t xml:space="preserve"> </w:t>
      </w:r>
      <w:r w:rsidR="00BD5F6F" w:rsidDel="00003900">
        <w:t xml:space="preserve"> </w:t>
      </w:r>
    </w:p>
    <w:p w14:paraId="47E22E70" w14:textId="0D9AEF4E" w:rsidR="00A11888" w:rsidRDefault="00BA0943" w:rsidP="003D1677">
      <w:pPr>
        <w:pStyle w:val="3-BodyText"/>
      </w:pPr>
      <w:r>
        <w:t>The PB</w:t>
      </w:r>
      <w:r w:rsidR="00E51E99">
        <w:t>A</w:t>
      </w:r>
      <w:r>
        <w:t>C advised the listing for</w:t>
      </w:r>
      <w:r w:rsidR="004C51F0">
        <w:t xml:space="preserve"> the ELX 50 mg/ TEZ 25 mg/ IVA 37.5 mg tablet</w:t>
      </w:r>
      <w:r w:rsidR="0010043E">
        <w:t xml:space="preserve"> presentation</w:t>
      </w:r>
      <w:r w:rsidR="004C51F0">
        <w:t xml:space="preserve"> could be made available for patients aged 2 to 6 year</w:t>
      </w:r>
      <w:r w:rsidR="006644EC">
        <w:t>s</w:t>
      </w:r>
      <w:r w:rsidR="00887888">
        <w:t xml:space="preserve"> </w:t>
      </w:r>
      <w:r w:rsidR="001B3CDD">
        <w:t xml:space="preserve">(as requested in </w:t>
      </w:r>
      <w:r w:rsidR="001B3CDD">
        <w:lastRenderedPageBreak/>
        <w:t xml:space="preserve">the pre-PBAC response, see paragraph </w:t>
      </w:r>
      <w:r w:rsidR="000A7787">
        <w:fldChar w:fldCharType="begin"/>
      </w:r>
      <w:r w:rsidR="000A7787">
        <w:instrText xml:space="preserve"> REF _Ref194499825 \r \h </w:instrText>
      </w:r>
      <w:r w:rsidR="000A7787">
        <w:fldChar w:fldCharType="separate"/>
      </w:r>
      <w:r w:rsidR="00343156">
        <w:t>3.3</w:t>
      </w:r>
      <w:r w:rsidR="000A7787">
        <w:fldChar w:fldCharType="end"/>
      </w:r>
      <w:r w:rsidR="000A7787">
        <w:t xml:space="preserve">). </w:t>
      </w:r>
      <w:r w:rsidR="00084DDB">
        <w:t>The PBAC noted this would provide</w:t>
      </w:r>
      <w:r w:rsidR="00887888">
        <w:t xml:space="preserve"> young</w:t>
      </w:r>
      <w:r w:rsidR="006644EC">
        <w:t xml:space="preserve"> </w:t>
      </w:r>
      <w:r w:rsidR="00084DDB">
        <w:t xml:space="preserve">patients </w:t>
      </w:r>
      <w:r w:rsidR="004A3ECF">
        <w:t xml:space="preserve">and their carers </w:t>
      </w:r>
      <w:r w:rsidR="00084DDB">
        <w:t xml:space="preserve">with </w:t>
      </w:r>
      <w:r w:rsidR="006644EC">
        <w:t xml:space="preserve">a </w:t>
      </w:r>
      <w:r w:rsidR="00084DDB">
        <w:t xml:space="preserve">choice regarding the most appropriate dosage form.  </w:t>
      </w:r>
    </w:p>
    <w:p w14:paraId="1DD8FE80" w14:textId="7FB12C95" w:rsidR="00A11888" w:rsidRDefault="00A9641A" w:rsidP="003D1677">
      <w:pPr>
        <w:pStyle w:val="3-BodyText"/>
      </w:pPr>
      <w:r>
        <w:t xml:space="preserve">The PBAC noted the submission nominated IVA </w:t>
      </w:r>
      <w:r w:rsidR="00DD4BDB">
        <w:t>+ BSC</w:t>
      </w:r>
      <w:r w:rsidR="00C96B2C">
        <w:t xml:space="preserve">, TEZ/IVA + BSC and BSC alone as comparators, depending on the mutation and age of patients.  </w:t>
      </w:r>
      <w:r w:rsidR="00744F78">
        <w:t>The PBAC considered the nominated comparators were reasonable</w:t>
      </w:r>
      <w:r w:rsidR="00EF452E">
        <w:t>;</w:t>
      </w:r>
      <w:r w:rsidR="00744F78">
        <w:t xml:space="preserve"> </w:t>
      </w:r>
      <w:r w:rsidR="00EF452E" w:rsidRPr="00EF452E">
        <w:t>however,</w:t>
      </w:r>
      <w:r w:rsidR="00EF452E">
        <w:t xml:space="preserve"> </w:t>
      </w:r>
      <w:r w:rsidR="00EF452E" w:rsidRPr="00EF452E">
        <w:t xml:space="preserve">it would have been informative to compare commencing treatment </w:t>
      </w:r>
      <w:r w:rsidR="00EF452E">
        <w:t xml:space="preserve">with ELX/TEV/IVA at 2 years </w:t>
      </w:r>
      <w:r w:rsidR="00EF452E" w:rsidRPr="00EF452E">
        <w:t xml:space="preserve">with commencing treatment </w:t>
      </w:r>
      <w:r w:rsidR="00EF452E">
        <w:t xml:space="preserve">with TEZ/IVA at 12 years of </w:t>
      </w:r>
      <w:r w:rsidR="00EF452E" w:rsidRPr="00EF452E">
        <w:t>age</w:t>
      </w:r>
      <w:r w:rsidR="009B10CF">
        <w:t xml:space="preserve"> for some populations</w:t>
      </w:r>
      <w:r w:rsidR="00EF452E" w:rsidRPr="00EF452E">
        <w:t>.</w:t>
      </w:r>
      <w:r w:rsidR="00B017C8">
        <w:t xml:space="preserve"> The PBAC </w:t>
      </w:r>
      <w:r w:rsidR="0028181D">
        <w:t xml:space="preserve">noted </w:t>
      </w:r>
      <w:r w:rsidR="00B017C8">
        <w:t xml:space="preserve">there was no comparative evidence </w:t>
      </w:r>
      <w:r w:rsidR="00405136">
        <w:t>versus IVA or TEZ/IVA in the relevant populations</w:t>
      </w:r>
      <w:r w:rsidR="00F013F1">
        <w:t xml:space="preserve"> presented</w:t>
      </w:r>
      <w:r w:rsidR="00405136">
        <w:t xml:space="preserve">.  </w:t>
      </w:r>
    </w:p>
    <w:p w14:paraId="2CF67BCA" w14:textId="63A21C4B" w:rsidR="005353B1" w:rsidRPr="00F91CC3" w:rsidRDefault="00BE03D9" w:rsidP="005353B1">
      <w:pPr>
        <w:pStyle w:val="3-BodyText"/>
        <w:numPr>
          <w:ilvl w:val="1"/>
          <w:numId w:val="1"/>
        </w:numPr>
        <w:spacing w:before="0" w:after="120"/>
      </w:pPr>
      <w:r>
        <w:t>The PBAC noted the submission presented data</w:t>
      </w:r>
      <w:r w:rsidR="000D5476">
        <w:t xml:space="preserve"> from a number of data sources (see </w:t>
      </w:r>
      <w:r w:rsidR="000D5476">
        <w:fldChar w:fldCharType="begin"/>
      </w:r>
      <w:r w:rsidR="000D5476">
        <w:instrText xml:space="preserve"> REF _Ref183597760 \h </w:instrText>
      </w:r>
      <w:r w:rsidR="000D5476">
        <w:fldChar w:fldCharType="separate"/>
      </w:r>
      <w:r w:rsidR="00343156" w:rsidRPr="00067939">
        <w:t xml:space="preserve">Table </w:t>
      </w:r>
      <w:r w:rsidR="00343156">
        <w:rPr>
          <w:noProof/>
        </w:rPr>
        <w:t>4</w:t>
      </w:r>
      <w:r w:rsidR="000D5476">
        <w:fldChar w:fldCharType="end"/>
      </w:r>
      <w:r w:rsidR="000D5476">
        <w:t xml:space="preserve">) to support the clinical claim that ELX/ TEZ/IVA has superior </w:t>
      </w:r>
      <w:r w:rsidR="00CD2DFD">
        <w:t xml:space="preserve">effectiveness </w:t>
      </w:r>
      <w:r w:rsidR="005E7470">
        <w:t>versus the nominated comparator</w:t>
      </w:r>
      <w:r w:rsidR="00F3655B">
        <w:t>s</w:t>
      </w:r>
      <w:r w:rsidR="005E7470">
        <w:t>.</w:t>
      </w:r>
      <w:r w:rsidR="007A547A">
        <w:t xml:space="preserve"> Overall, the PBAC noted </w:t>
      </w:r>
      <w:r w:rsidR="00A85C80" w:rsidRPr="00A85C80">
        <w:t>ELX/TEZ/IVA treatment was associated with decreases in sweat chloride and increases in ppFEV</w:t>
      </w:r>
      <w:r w:rsidR="00A85C80" w:rsidRPr="007A547A">
        <w:rPr>
          <w:vertAlign w:val="subscript"/>
        </w:rPr>
        <w:t>1</w:t>
      </w:r>
      <w:r w:rsidR="00AE12FB">
        <w:t xml:space="preserve">. The PBAC noted there was a </w:t>
      </w:r>
      <w:r w:rsidR="005C7904">
        <w:t xml:space="preserve">wide </w:t>
      </w:r>
      <w:r w:rsidR="006F1A5F">
        <w:t>variation i</w:t>
      </w:r>
      <w:r w:rsidR="005C7904">
        <w:t xml:space="preserve">n </w:t>
      </w:r>
      <w:r w:rsidR="006F1A5F">
        <w:t>response across the different mutations</w:t>
      </w:r>
      <w:r w:rsidR="00D32C6A">
        <w:t xml:space="preserve"> and limited information for some mutations; however, t</w:t>
      </w:r>
      <w:r w:rsidR="005353B1" w:rsidRPr="00F91CC3">
        <w:t xml:space="preserve">he PBAC acknowledged the challenges associated with conducting clinical trials in patients with rare mutations. The PBAC considered that, overall, treatment with </w:t>
      </w:r>
      <w:r w:rsidR="005353B1">
        <w:t xml:space="preserve">ELX/TEZ/IVA </w:t>
      </w:r>
      <w:r w:rsidR="005353B1" w:rsidRPr="00F91CC3">
        <w:t>was likely to provide a clinical benefit in the requested populations; however, the magnitude of the benefit was uncertain.</w:t>
      </w:r>
    </w:p>
    <w:p w14:paraId="619476E3" w14:textId="27DEC7DD" w:rsidR="005A4DB8" w:rsidRPr="00F91CC3" w:rsidRDefault="005A4DB8" w:rsidP="005A4DB8">
      <w:pPr>
        <w:pStyle w:val="3-BodyText"/>
        <w:numPr>
          <w:ilvl w:val="1"/>
          <w:numId w:val="1"/>
        </w:numPr>
        <w:spacing w:before="0" w:after="120"/>
        <w:rPr>
          <w:i/>
        </w:rPr>
      </w:pPr>
      <w:r w:rsidRPr="00F91CC3">
        <w:rPr>
          <w:iCs/>
        </w:rPr>
        <w:t>The PBAC considered the claim that</w:t>
      </w:r>
      <w:r w:rsidR="00B931D0">
        <w:rPr>
          <w:iCs/>
        </w:rPr>
        <w:t xml:space="preserve"> ELX/TEZ/IVA </w:t>
      </w:r>
      <w:r w:rsidRPr="00F91CC3">
        <w:rPr>
          <w:iCs/>
        </w:rPr>
        <w:t xml:space="preserve">had comparable safety to </w:t>
      </w:r>
      <w:r w:rsidR="00B931D0">
        <w:rPr>
          <w:iCs/>
        </w:rPr>
        <w:t xml:space="preserve">the nominated comparators </w:t>
      </w:r>
      <w:r w:rsidRPr="00F91CC3">
        <w:rPr>
          <w:iCs/>
        </w:rPr>
        <w:t xml:space="preserve">was </w:t>
      </w:r>
      <w:r w:rsidR="00B931D0">
        <w:rPr>
          <w:iCs/>
        </w:rPr>
        <w:t>not supported by</w:t>
      </w:r>
      <w:r w:rsidR="0063616B">
        <w:rPr>
          <w:iCs/>
        </w:rPr>
        <w:t xml:space="preserve"> data presented. </w:t>
      </w:r>
      <w:r w:rsidR="004D43DA">
        <w:rPr>
          <w:iCs/>
        </w:rPr>
        <w:t>However, t</w:t>
      </w:r>
      <w:r w:rsidR="005E4E2B">
        <w:rPr>
          <w:iCs/>
        </w:rPr>
        <w:t xml:space="preserve">he PBAC noted </w:t>
      </w:r>
      <w:r w:rsidRPr="00F91CC3">
        <w:rPr>
          <w:iCs/>
        </w:rPr>
        <w:t>the incidence and type of adverse events were similar to that observed in other populations</w:t>
      </w:r>
      <w:r w:rsidRPr="00F91CC3">
        <w:rPr>
          <w:i/>
        </w:rPr>
        <w:t>.</w:t>
      </w:r>
    </w:p>
    <w:p w14:paraId="280FD679" w14:textId="77777777" w:rsidR="007E44B3" w:rsidRDefault="00A11888" w:rsidP="007E44B3">
      <w:pPr>
        <w:pStyle w:val="3-BodyText"/>
        <w:numPr>
          <w:ilvl w:val="1"/>
          <w:numId w:val="1"/>
        </w:numPr>
        <w:spacing w:before="0" w:after="120"/>
      </w:pPr>
      <w:r w:rsidRPr="0011368A">
        <w:t xml:space="preserve">The PBAC noted no economic evaluation was presented, with the sponsor requesting </w:t>
      </w:r>
      <w:r w:rsidR="005A3213">
        <w:t xml:space="preserve">ELX/TEZ/IVA </w:t>
      </w:r>
      <w:r w:rsidRPr="0011368A">
        <w:t>be made available for</w:t>
      </w:r>
      <w:r w:rsidR="005A3213">
        <w:t xml:space="preserve"> this population</w:t>
      </w:r>
      <w:r w:rsidRPr="0011368A">
        <w:t xml:space="preserve"> at the same price as it is currently reimbursed through the PBS on the basis of equity</w:t>
      </w:r>
      <w:r w:rsidR="005A3213">
        <w:t xml:space="preserve"> of access for patients with very rare mutations</w:t>
      </w:r>
      <w:r w:rsidRPr="0011368A">
        <w:t>.</w:t>
      </w:r>
      <w:r>
        <w:t xml:space="preserve"> </w:t>
      </w:r>
      <w:r w:rsidRPr="0012637F">
        <w:t xml:space="preserve">The PBAC recalled it had initially recommended the listing of CFTR modulators with high and likely underestimated </w:t>
      </w:r>
      <w:r>
        <w:t xml:space="preserve">incremental cost effectiveness ratios </w:t>
      </w:r>
      <w:r w:rsidRPr="0012637F">
        <w:t xml:space="preserve">on the basis of high clinical need. </w:t>
      </w:r>
      <w:r>
        <w:t xml:space="preserve">The PBAC noted that, over time, expanded populations (i.e., </w:t>
      </w:r>
      <w:r w:rsidRPr="0012637F">
        <w:t>for younger patients and those with rarer mutations</w:t>
      </w:r>
      <w:r>
        <w:t xml:space="preserve">) have been recommended for listing. </w:t>
      </w:r>
      <w:r w:rsidRPr="0012637F">
        <w:t>The PBAC noted the magnitude of clinical benefit is less certain in the expanded populations, and this may result in use that is less cost effective overall. </w:t>
      </w:r>
      <w:r>
        <w:t xml:space="preserve"> </w:t>
      </w:r>
    </w:p>
    <w:p w14:paraId="47176E25" w14:textId="5906BED5" w:rsidR="002439E4" w:rsidRDefault="002439E4" w:rsidP="002439E4">
      <w:pPr>
        <w:pStyle w:val="3-BodyText"/>
      </w:pPr>
      <w:r w:rsidRPr="00473CE6">
        <w:t>The PBAC considered that the methodology for estimating the number of additional patients that would be eligible for</w:t>
      </w:r>
      <w:r>
        <w:t xml:space="preserve"> ELX/TEZ/IVA</w:t>
      </w:r>
      <w:r w:rsidRPr="00473CE6">
        <w:t xml:space="preserve"> and the estimated financial impact was reasonable.</w:t>
      </w:r>
      <w:r w:rsidR="00876537">
        <w:t xml:space="preserve"> </w:t>
      </w:r>
    </w:p>
    <w:p w14:paraId="68E96EFC" w14:textId="536DB1D1" w:rsidR="002439E4" w:rsidRPr="00404E24" w:rsidRDefault="002439E4" w:rsidP="002439E4">
      <w:pPr>
        <w:pStyle w:val="3-BodyText"/>
      </w:pPr>
      <w:r w:rsidRPr="00F91CC3">
        <w:rPr>
          <w:bCs/>
        </w:rPr>
        <w:t>The PBAC advised that the extended population should be in included in the existing</w:t>
      </w:r>
      <w:r>
        <w:rPr>
          <w:bCs/>
        </w:rPr>
        <w:t xml:space="preserve"> Risk Sharing Arrangement with </w:t>
      </w:r>
      <w:r w:rsidRPr="00377919">
        <w:rPr>
          <w:bCs/>
        </w:rPr>
        <w:t xml:space="preserve">no increase in expenditure caps as proposed in the submission (see paragraph </w:t>
      </w:r>
      <w:r w:rsidRPr="00377919">
        <w:rPr>
          <w:bCs/>
        </w:rPr>
        <w:fldChar w:fldCharType="begin"/>
      </w:r>
      <w:r w:rsidRPr="00377919">
        <w:rPr>
          <w:bCs/>
        </w:rPr>
        <w:instrText xml:space="preserve"> REF _Ref194418307 \r \h </w:instrText>
      </w:r>
      <w:r w:rsidR="00377919">
        <w:rPr>
          <w:bCs/>
        </w:rPr>
        <w:instrText xml:space="preserve"> \* MERGEFORMAT </w:instrText>
      </w:r>
      <w:r w:rsidRPr="00377919">
        <w:rPr>
          <w:bCs/>
        </w:rPr>
      </w:r>
      <w:r w:rsidRPr="00377919">
        <w:rPr>
          <w:bCs/>
        </w:rPr>
        <w:fldChar w:fldCharType="separate"/>
      </w:r>
      <w:r w:rsidR="00343156">
        <w:rPr>
          <w:bCs/>
        </w:rPr>
        <w:t>6.37</w:t>
      </w:r>
      <w:r w:rsidRPr="00377919">
        <w:rPr>
          <w:bCs/>
        </w:rPr>
        <w:fldChar w:fldCharType="end"/>
      </w:r>
      <w:r w:rsidRPr="00377919">
        <w:rPr>
          <w:bCs/>
        </w:rPr>
        <w:t>).</w:t>
      </w:r>
      <w:r>
        <w:rPr>
          <w:bCs/>
        </w:rPr>
        <w:t xml:space="preserve">   </w:t>
      </w:r>
    </w:p>
    <w:p w14:paraId="755E963B" w14:textId="014EA31B" w:rsidR="007E44B3" w:rsidRPr="00F91CC3" w:rsidRDefault="007E44B3" w:rsidP="007E44B3">
      <w:pPr>
        <w:widowControl w:val="0"/>
        <w:numPr>
          <w:ilvl w:val="1"/>
          <w:numId w:val="1"/>
        </w:numPr>
        <w:spacing w:after="120"/>
        <w:ind w:left="862"/>
        <w:rPr>
          <w:rFonts w:asciiTheme="minorHAnsi" w:hAnsiTheme="minorHAnsi"/>
          <w:snapToGrid w:val="0"/>
        </w:rPr>
      </w:pPr>
      <w:r w:rsidRPr="00F91CC3">
        <w:rPr>
          <w:rFonts w:asciiTheme="minorHAnsi" w:hAnsiTheme="minorHAnsi" w:cstheme="minorHAnsi"/>
        </w:rPr>
        <w:t xml:space="preserve">The PBAC found that the criteria prescribed by the </w:t>
      </w:r>
      <w:r w:rsidRPr="00F91CC3">
        <w:rPr>
          <w:rFonts w:asciiTheme="minorHAnsi" w:hAnsiTheme="minorHAnsi" w:cstheme="minorHAnsi"/>
          <w:i/>
        </w:rPr>
        <w:t xml:space="preserve">National Health (Pharmaceuticals </w:t>
      </w:r>
      <w:r w:rsidRPr="00F91CC3">
        <w:rPr>
          <w:rFonts w:asciiTheme="minorHAnsi" w:hAnsiTheme="minorHAnsi" w:cstheme="minorHAnsi"/>
          <w:i/>
        </w:rPr>
        <w:lastRenderedPageBreak/>
        <w:t>and Vaccines – Cost Recovery) Regulations 2022</w:t>
      </w:r>
      <w:r w:rsidRPr="00F91CC3">
        <w:rPr>
          <w:rFonts w:asciiTheme="minorHAnsi" w:hAnsiTheme="minorHAnsi" w:cstheme="minorHAnsi"/>
        </w:rPr>
        <w:t xml:space="preserve"> for Pricing Pathway A were not met. Specifically, the PBAC found that in the circumstances of its recommendation for</w:t>
      </w:r>
      <w:r w:rsidR="0048451A">
        <w:rPr>
          <w:rFonts w:asciiTheme="minorHAnsi" w:hAnsiTheme="minorHAnsi" w:cstheme="minorHAnsi"/>
        </w:rPr>
        <w:t xml:space="preserve"> ELX/TEZ/IVA</w:t>
      </w:r>
      <w:r w:rsidRPr="00F91CC3">
        <w:rPr>
          <w:rFonts w:asciiTheme="minorHAnsi" w:hAnsiTheme="minorHAnsi" w:cstheme="minorHAnsi"/>
        </w:rPr>
        <w:t>:</w:t>
      </w:r>
    </w:p>
    <w:p w14:paraId="48B638CA" w14:textId="00F6EADF" w:rsidR="007E44B3" w:rsidRPr="00F91CC3" w:rsidRDefault="007E44B3" w:rsidP="007E44B3">
      <w:pPr>
        <w:widowControl w:val="0"/>
        <w:numPr>
          <w:ilvl w:val="1"/>
          <w:numId w:val="24"/>
        </w:numPr>
        <w:spacing w:after="120"/>
        <w:ind w:left="1080"/>
        <w:rPr>
          <w:rFonts w:asciiTheme="minorHAnsi" w:hAnsiTheme="minorHAnsi" w:cstheme="minorHAnsi"/>
        </w:rPr>
      </w:pPr>
      <w:r w:rsidRPr="00F91CC3">
        <w:rPr>
          <w:rFonts w:asciiTheme="minorHAnsi" w:hAnsiTheme="minorHAnsi" w:cstheme="minorHAnsi"/>
        </w:rPr>
        <w:t xml:space="preserve">Based on the available evidence the magnitude of benefit of treatment with </w:t>
      </w:r>
      <w:r w:rsidR="0048451A">
        <w:rPr>
          <w:rFonts w:asciiTheme="minorHAnsi" w:hAnsiTheme="minorHAnsi" w:cstheme="minorHAnsi"/>
        </w:rPr>
        <w:t xml:space="preserve">ELX/TEZ/IVA </w:t>
      </w:r>
      <w:r w:rsidRPr="00F91CC3">
        <w:rPr>
          <w:rFonts w:asciiTheme="minorHAnsi" w:hAnsiTheme="minorHAnsi" w:cstheme="minorHAnsi"/>
        </w:rPr>
        <w:t xml:space="preserve">was not able to be quantified, and therefore the criteria of having a substantial and clinically relevant improvement in efficacy compared to </w:t>
      </w:r>
      <w:r w:rsidR="00BA6648">
        <w:rPr>
          <w:rFonts w:asciiTheme="minorHAnsi" w:hAnsiTheme="minorHAnsi" w:cstheme="minorHAnsi"/>
        </w:rPr>
        <w:t>the nominated comparator</w:t>
      </w:r>
      <w:r w:rsidR="00DA3B06">
        <w:rPr>
          <w:rFonts w:asciiTheme="minorHAnsi" w:hAnsiTheme="minorHAnsi" w:cstheme="minorHAnsi"/>
        </w:rPr>
        <w:t>s</w:t>
      </w:r>
      <w:r w:rsidR="00BA6648">
        <w:rPr>
          <w:rFonts w:asciiTheme="minorHAnsi" w:hAnsiTheme="minorHAnsi" w:cstheme="minorHAnsi"/>
        </w:rPr>
        <w:t xml:space="preserve"> </w:t>
      </w:r>
      <w:r w:rsidRPr="00F91CC3">
        <w:rPr>
          <w:rFonts w:asciiTheme="minorHAnsi" w:hAnsiTheme="minorHAnsi" w:cstheme="minorHAnsi"/>
        </w:rPr>
        <w:t xml:space="preserve">was not met; </w:t>
      </w:r>
    </w:p>
    <w:p w14:paraId="11AD71D5" w14:textId="77777777" w:rsidR="007E44B3" w:rsidRPr="00F91CC3" w:rsidRDefault="007E44B3" w:rsidP="007E44B3">
      <w:pPr>
        <w:widowControl w:val="0"/>
        <w:numPr>
          <w:ilvl w:val="1"/>
          <w:numId w:val="24"/>
        </w:numPr>
        <w:spacing w:after="120"/>
        <w:ind w:left="1080"/>
        <w:rPr>
          <w:rFonts w:asciiTheme="minorHAnsi" w:hAnsiTheme="minorHAnsi" w:cstheme="minorHAnsi"/>
        </w:rPr>
      </w:pPr>
      <w:r w:rsidRPr="00F91CC3">
        <w:rPr>
          <w:rFonts w:asciiTheme="minorHAnsi" w:hAnsiTheme="minorHAnsi" w:cstheme="minorHAnsi"/>
        </w:rPr>
        <w:t xml:space="preserve">The treatment is expected to address a high and urgent unmet clinical need for some of the additional population as there are no alternative treatment options; </w:t>
      </w:r>
    </w:p>
    <w:p w14:paraId="45F4A0B1" w14:textId="77777777" w:rsidR="007E44B3" w:rsidRPr="00F91CC3" w:rsidRDefault="007E44B3" w:rsidP="007E44B3">
      <w:pPr>
        <w:widowControl w:val="0"/>
        <w:numPr>
          <w:ilvl w:val="1"/>
          <w:numId w:val="24"/>
        </w:numPr>
        <w:spacing w:after="120"/>
        <w:ind w:left="1080"/>
        <w:rPr>
          <w:rFonts w:asciiTheme="minorHAnsi" w:hAnsiTheme="minorHAnsi" w:cstheme="minorHAnsi"/>
        </w:rPr>
      </w:pPr>
      <w:r w:rsidRPr="00F91CC3">
        <w:rPr>
          <w:rFonts w:asciiTheme="minorHAnsi" w:hAnsiTheme="minorHAnsi" w:cstheme="minorHAnsi"/>
        </w:rPr>
        <w:t xml:space="preserve">It was not necessary to make a finding in relation to whether it would be in the public interest for the subsequent pricing application to be progressed under Pricing Pathway A because one or more of the preceding tests had failed. </w:t>
      </w:r>
    </w:p>
    <w:p w14:paraId="54C57580" w14:textId="77777777" w:rsidR="007E44B3" w:rsidRPr="00F91CC3" w:rsidRDefault="007E44B3" w:rsidP="007E44B3">
      <w:pPr>
        <w:widowControl w:val="0"/>
        <w:numPr>
          <w:ilvl w:val="1"/>
          <w:numId w:val="1"/>
        </w:numPr>
        <w:spacing w:after="120"/>
        <w:rPr>
          <w:rFonts w:asciiTheme="minorHAnsi" w:hAnsiTheme="minorHAnsi"/>
          <w:bCs/>
          <w:snapToGrid w:val="0"/>
        </w:rPr>
      </w:pPr>
      <w:r w:rsidRPr="00F91CC3">
        <w:rPr>
          <w:rFonts w:asciiTheme="minorHAnsi" w:hAnsiTheme="minorHAnsi"/>
          <w:bCs/>
          <w:snapToGrid w:val="0"/>
        </w:rPr>
        <w:t xml:space="preserve">The PBAC noted that this submission is not eligible for an Independent Review as it received a positive recommendation. </w:t>
      </w:r>
    </w:p>
    <w:p w14:paraId="3639891D" w14:textId="77777777" w:rsidR="007E44B3" w:rsidRPr="00F91CC3" w:rsidRDefault="007E44B3" w:rsidP="007E44B3">
      <w:pPr>
        <w:pStyle w:val="3-BodyText"/>
        <w:numPr>
          <w:ilvl w:val="0"/>
          <w:numId w:val="0"/>
        </w:numPr>
        <w:rPr>
          <w:b/>
          <w:bCs/>
        </w:rPr>
      </w:pPr>
    </w:p>
    <w:p w14:paraId="584E00AA" w14:textId="77777777" w:rsidR="007E44B3" w:rsidRPr="00F91CC3" w:rsidRDefault="007E44B3" w:rsidP="007E44B3">
      <w:pPr>
        <w:pStyle w:val="3-BodyText"/>
        <w:numPr>
          <w:ilvl w:val="0"/>
          <w:numId w:val="0"/>
        </w:numPr>
        <w:rPr>
          <w:b/>
          <w:bCs/>
        </w:rPr>
      </w:pPr>
      <w:r w:rsidRPr="00F91CC3">
        <w:rPr>
          <w:b/>
          <w:bCs/>
        </w:rPr>
        <w:t>Outcome:</w:t>
      </w:r>
    </w:p>
    <w:p w14:paraId="437C5F83" w14:textId="77777777" w:rsidR="007E44B3" w:rsidRPr="00F91CC3" w:rsidRDefault="007E44B3" w:rsidP="007E44B3">
      <w:pPr>
        <w:rPr>
          <w:rFonts w:asciiTheme="minorHAnsi" w:hAnsiTheme="minorHAnsi"/>
          <w:bCs/>
          <w:snapToGrid w:val="0"/>
        </w:rPr>
      </w:pPr>
      <w:r w:rsidRPr="00F91CC3">
        <w:rPr>
          <w:rFonts w:asciiTheme="minorHAnsi" w:hAnsiTheme="minorHAnsi"/>
          <w:bCs/>
          <w:snapToGrid w:val="0"/>
        </w:rPr>
        <w:t xml:space="preserve">Recommended </w:t>
      </w:r>
    </w:p>
    <w:p w14:paraId="0CE8406C" w14:textId="77777777" w:rsidR="00B72B20" w:rsidRDefault="00B72B20" w:rsidP="00F4296C">
      <w:pPr>
        <w:rPr>
          <w:rFonts w:asciiTheme="minorHAnsi" w:hAnsiTheme="minorHAnsi"/>
          <w:i/>
          <w:iCs/>
          <w:szCs w:val="22"/>
        </w:rPr>
      </w:pPr>
    </w:p>
    <w:p w14:paraId="63262715" w14:textId="77777777" w:rsidR="00885184" w:rsidRPr="00907671" w:rsidRDefault="00885184" w:rsidP="00885184">
      <w:pPr>
        <w:pStyle w:val="2-SectionHeading"/>
        <w:numPr>
          <w:ilvl w:val="0"/>
          <w:numId w:val="1"/>
        </w:numPr>
      </w:pPr>
      <w:bookmarkStart w:id="72" w:name="_Toc188437193"/>
      <w:r w:rsidRPr="00907671">
        <w:t>Recommended listing</w:t>
      </w:r>
    </w:p>
    <w:p w14:paraId="5B90169B" w14:textId="6CD50F35" w:rsidR="00885184" w:rsidRPr="00525B39" w:rsidRDefault="00885184" w:rsidP="00885184">
      <w:pPr>
        <w:pStyle w:val="3-BodyText"/>
        <w:rPr>
          <w:snapToGrid w:val="0"/>
        </w:rPr>
      </w:pPr>
      <w:r w:rsidRPr="00525B39">
        <w:rPr>
          <w:snapToGrid w:val="0"/>
        </w:rPr>
        <w:t xml:space="preserve">Amend </w:t>
      </w:r>
      <w:r>
        <w:rPr>
          <w:snapToGrid w:val="0"/>
        </w:rPr>
        <w:t xml:space="preserve">existing </w:t>
      </w:r>
      <w:r w:rsidRPr="00525B39">
        <w:rPr>
          <w:snapToGrid w:val="0"/>
        </w:rPr>
        <w:t>listing as follows</w:t>
      </w:r>
      <w:r w:rsidR="00E1489D">
        <w:rPr>
          <w:snapToGrid w:val="0"/>
        </w:rPr>
        <w:t xml:space="preserve"> (</w:t>
      </w:r>
      <w:r w:rsidR="00C62A59" w:rsidRPr="00C62A59">
        <w:rPr>
          <w:snapToGrid w:val="0"/>
        </w:rPr>
        <w:t>additions are in italics and deletions are in strikethrough</w:t>
      </w:r>
      <w:r w:rsidR="00E55729">
        <w:rPr>
          <w:snapToGrid w:val="0"/>
        </w:rPr>
        <w:t>)</w:t>
      </w:r>
      <w:r w:rsidRPr="00525B39">
        <w:rPr>
          <w:snapToGrid w:val="0"/>
        </w:rPr>
        <w:t>:</w:t>
      </w:r>
    </w:p>
    <w:p w14:paraId="47B27E6B" w14:textId="4067C6BD" w:rsidR="0035026C" w:rsidRPr="00DF50C7" w:rsidRDefault="0035026C" w:rsidP="0035026C">
      <w:pPr>
        <w:pStyle w:val="Heading2"/>
        <w:rPr>
          <w:b w:val="0"/>
          <w:snapToGrid w:val="0"/>
          <w:sz w:val="2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84"/>
        <w:gridCol w:w="2410"/>
        <w:gridCol w:w="1134"/>
        <w:gridCol w:w="992"/>
        <w:gridCol w:w="992"/>
        <w:gridCol w:w="709"/>
        <w:gridCol w:w="1508"/>
      </w:tblGrid>
      <w:tr w:rsidR="0035026C" w:rsidRPr="001428E9" w14:paraId="409DE086" w14:textId="77777777" w:rsidTr="002B7BB5">
        <w:trPr>
          <w:cantSplit/>
          <w:trHeight w:val="20"/>
        </w:trPr>
        <w:tc>
          <w:tcPr>
            <w:tcW w:w="3682" w:type="dxa"/>
            <w:gridSpan w:val="3"/>
            <w:vAlign w:val="center"/>
          </w:tcPr>
          <w:p w14:paraId="25A89AF6" w14:textId="77777777" w:rsidR="0035026C" w:rsidRPr="001428E9" w:rsidRDefault="0035026C" w:rsidP="00E66911">
            <w:pPr>
              <w:keepLines/>
              <w:rPr>
                <w:rFonts w:ascii="Arial Narrow" w:hAnsi="Arial Narrow"/>
                <w:b/>
                <w:bCs/>
                <w:sz w:val="20"/>
                <w:szCs w:val="20"/>
              </w:rPr>
            </w:pPr>
            <w:r w:rsidRPr="001428E9">
              <w:rPr>
                <w:rFonts w:ascii="Arial Narrow" w:hAnsi="Arial Narrow"/>
                <w:b/>
                <w:bCs/>
                <w:sz w:val="20"/>
                <w:szCs w:val="20"/>
              </w:rPr>
              <w:t>MEDICINAL PRODUCT</w:t>
            </w:r>
          </w:p>
          <w:p w14:paraId="504DA77B" w14:textId="77777777" w:rsidR="0035026C" w:rsidRPr="001428E9" w:rsidRDefault="0035026C" w:rsidP="00E66911">
            <w:pPr>
              <w:keepLines/>
              <w:rPr>
                <w:rFonts w:ascii="Arial Narrow" w:hAnsi="Arial Narrow"/>
                <w:b/>
                <w:sz w:val="20"/>
                <w:szCs w:val="20"/>
              </w:rPr>
            </w:pPr>
            <w:r w:rsidRPr="001428E9">
              <w:rPr>
                <w:rFonts w:ascii="Arial Narrow" w:hAnsi="Arial Narrow"/>
                <w:b/>
                <w:bCs/>
                <w:sz w:val="20"/>
                <w:szCs w:val="20"/>
              </w:rPr>
              <w:t>medicinal product pack</w:t>
            </w:r>
          </w:p>
        </w:tc>
        <w:tc>
          <w:tcPr>
            <w:tcW w:w="1134" w:type="dxa"/>
            <w:vAlign w:val="center"/>
          </w:tcPr>
          <w:p w14:paraId="4E1F0AE6" w14:textId="77777777" w:rsidR="0035026C" w:rsidRPr="001428E9" w:rsidRDefault="0035026C" w:rsidP="00E66911">
            <w:pPr>
              <w:keepLines/>
              <w:jc w:val="center"/>
              <w:rPr>
                <w:rFonts w:ascii="Arial Narrow" w:hAnsi="Arial Narrow"/>
                <w:b/>
                <w:sz w:val="20"/>
                <w:szCs w:val="20"/>
              </w:rPr>
            </w:pPr>
            <w:r w:rsidRPr="001428E9">
              <w:rPr>
                <w:rFonts w:ascii="Arial Narrow" w:hAnsi="Arial Narrow"/>
                <w:b/>
                <w:sz w:val="20"/>
                <w:szCs w:val="20"/>
              </w:rPr>
              <w:t>PBS item code</w:t>
            </w:r>
          </w:p>
        </w:tc>
        <w:tc>
          <w:tcPr>
            <w:tcW w:w="992" w:type="dxa"/>
            <w:vAlign w:val="center"/>
          </w:tcPr>
          <w:p w14:paraId="17F20501" w14:textId="77777777" w:rsidR="0035026C" w:rsidRPr="001428E9" w:rsidRDefault="0035026C" w:rsidP="00E66911">
            <w:pPr>
              <w:keepLines/>
              <w:jc w:val="center"/>
              <w:rPr>
                <w:rFonts w:ascii="Arial Narrow" w:hAnsi="Arial Narrow"/>
                <w:b/>
                <w:sz w:val="20"/>
                <w:szCs w:val="20"/>
              </w:rPr>
            </w:pPr>
            <w:r w:rsidRPr="001428E9">
              <w:rPr>
                <w:rFonts w:ascii="Arial Narrow" w:hAnsi="Arial Narrow"/>
                <w:b/>
                <w:sz w:val="20"/>
                <w:szCs w:val="20"/>
              </w:rPr>
              <w:t>Max. qty packs</w:t>
            </w:r>
          </w:p>
        </w:tc>
        <w:tc>
          <w:tcPr>
            <w:tcW w:w="992" w:type="dxa"/>
            <w:vAlign w:val="center"/>
          </w:tcPr>
          <w:p w14:paraId="3AB6BCF9" w14:textId="77777777" w:rsidR="0035026C" w:rsidRPr="001428E9" w:rsidRDefault="0035026C" w:rsidP="00E66911">
            <w:pPr>
              <w:keepLines/>
              <w:jc w:val="center"/>
              <w:rPr>
                <w:rFonts w:ascii="Arial Narrow" w:hAnsi="Arial Narrow"/>
                <w:b/>
                <w:sz w:val="20"/>
                <w:szCs w:val="20"/>
              </w:rPr>
            </w:pPr>
            <w:r w:rsidRPr="001428E9">
              <w:rPr>
                <w:rFonts w:ascii="Arial Narrow" w:hAnsi="Arial Narrow"/>
                <w:b/>
                <w:sz w:val="20"/>
                <w:szCs w:val="20"/>
              </w:rPr>
              <w:t>Max. qty units</w:t>
            </w:r>
          </w:p>
        </w:tc>
        <w:tc>
          <w:tcPr>
            <w:tcW w:w="709" w:type="dxa"/>
            <w:vAlign w:val="center"/>
          </w:tcPr>
          <w:p w14:paraId="0F7C6C7C" w14:textId="77777777" w:rsidR="0035026C" w:rsidRPr="001428E9" w:rsidRDefault="0035026C" w:rsidP="00E66911">
            <w:pPr>
              <w:keepLines/>
              <w:jc w:val="center"/>
              <w:rPr>
                <w:rFonts w:ascii="Arial Narrow" w:hAnsi="Arial Narrow"/>
                <w:b/>
                <w:sz w:val="20"/>
                <w:szCs w:val="20"/>
              </w:rPr>
            </w:pPr>
            <w:r w:rsidRPr="001428E9">
              <w:rPr>
                <w:rFonts w:ascii="Arial Narrow" w:hAnsi="Arial Narrow"/>
                <w:b/>
                <w:sz w:val="20"/>
                <w:szCs w:val="20"/>
              </w:rPr>
              <w:t>№.of</w:t>
            </w:r>
          </w:p>
          <w:p w14:paraId="335A8439" w14:textId="77777777" w:rsidR="0035026C" w:rsidRPr="001428E9" w:rsidRDefault="0035026C" w:rsidP="00E66911">
            <w:pPr>
              <w:keepLines/>
              <w:jc w:val="center"/>
              <w:rPr>
                <w:rFonts w:ascii="Arial Narrow" w:hAnsi="Arial Narrow"/>
                <w:b/>
                <w:sz w:val="20"/>
                <w:szCs w:val="20"/>
              </w:rPr>
            </w:pPr>
            <w:r w:rsidRPr="001428E9">
              <w:rPr>
                <w:rFonts w:ascii="Arial Narrow" w:hAnsi="Arial Narrow"/>
                <w:b/>
                <w:sz w:val="20"/>
                <w:szCs w:val="20"/>
              </w:rPr>
              <w:t>Rpts</w:t>
            </w:r>
          </w:p>
        </w:tc>
        <w:tc>
          <w:tcPr>
            <w:tcW w:w="1508" w:type="dxa"/>
            <w:vAlign w:val="center"/>
          </w:tcPr>
          <w:p w14:paraId="328F5ADF" w14:textId="77777777" w:rsidR="0035026C" w:rsidRPr="001428E9" w:rsidRDefault="0035026C" w:rsidP="00E66911">
            <w:pPr>
              <w:keepLines/>
              <w:rPr>
                <w:rFonts w:ascii="Arial Narrow" w:hAnsi="Arial Narrow"/>
                <w:b/>
                <w:sz w:val="20"/>
                <w:szCs w:val="20"/>
                <w:lang w:val="fr-FR"/>
              </w:rPr>
            </w:pPr>
            <w:r w:rsidRPr="001428E9">
              <w:rPr>
                <w:rFonts w:ascii="Arial Narrow" w:hAnsi="Arial Narrow"/>
                <w:b/>
                <w:sz w:val="20"/>
                <w:szCs w:val="20"/>
              </w:rPr>
              <w:t>Available brands</w:t>
            </w:r>
          </w:p>
        </w:tc>
      </w:tr>
      <w:tr w:rsidR="0035026C" w:rsidRPr="001428E9" w14:paraId="41C90C9F" w14:textId="77777777" w:rsidTr="002B7BB5">
        <w:trPr>
          <w:cantSplit/>
          <w:trHeight w:val="20"/>
        </w:trPr>
        <w:tc>
          <w:tcPr>
            <w:tcW w:w="9017" w:type="dxa"/>
            <w:gridSpan w:val="8"/>
            <w:vAlign w:val="center"/>
          </w:tcPr>
          <w:p w14:paraId="03BB4169" w14:textId="77777777" w:rsidR="0035026C" w:rsidRPr="001428E9" w:rsidRDefault="0035026C" w:rsidP="00E66911">
            <w:pPr>
              <w:keepLines/>
              <w:rPr>
                <w:rFonts w:ascii="Arial Narrow" w:hAnsi="Arial Narrow"/>
                <w:sz w:val="20"/>
                <w:szCs w:val="20"/>
              </w:rPr>
            </w:pPr>
            <w:r w:rsidRPr="000C405D">
              <w:rPr>
                <w:rFonts w:ascii="Arial Narrow" w:hAnsi="Arial Narrow"/>
                <w:sz w:val="20"/>
                <w:szCs w:val="20"/>
              </w:rPr>
              <w:t>ELEXACAFTOR+TEZACAFTOR+IVACAFTOR (&amp;) IVACAFTOR</w:t>
            </w:r>
          </w:p>
        </w:tc>
      </w:tr>
      <w:tr w:rsidR="0035026C" w:rsidRPr="001428E9" w14:paraId="10D34774" w14:textId="77777777" w:rsidTr="002B7BB5">
        <w:trPr>
          <w:cantSplit/>
          <w:trHeight w:val="20"/>
        </w:trPr>
        <w:tc>
          <w:tcPr>
            <w:tcW w:w="3682" w:type="dxa"/>
            <w:gridSpan w:val="3"/>
          </w:tcPr>
          <w:p w14:paraId="58F6016F" w14:textId="77777777" w:rsidR="0035026C" w:rsidRPr="001428E9" w:rsidRDefault="0035026C" w:rsidP="00E66911">
            <w:pPr>
              <w:keepLines/>
              <w:rPr>
                <w:rFonts w:ascii="Arial Narrow" w:hAnsi="Arial Narrow"/>
                <w:sz w:val="20"/>
                <w:szCs w:val="20"/>
              </w:rPr>
            </w:pPr>
            <w:r w:rsidRPr="00C8249A">
              <w:rPr>
                <w:rFonts w:ascii="Arial Narrow" w:hAnsi="Arial Narrow"/>
                <w:bCs/>
                <w:sz w:val="20"/>
              </w:rPr>
              <w:t>Elexacaftor 100 mg + tezacaftor 50 mg + ivacaftor 75 mg granules [28] (&amp;) ivacaftor 75mg granules [28], 56 sachets</w:t>
            </w:r>
          </w:p>
        </w:tc>
        <w:tc>
          <w:tcPr>
            <w:tcW w:w="1134" w:type="dxa"/>
            <w:vAlign w:val="center"/>
          </w:tcPr>
          <w:p w14:paraId="70A1D8B6" w14:textId="77777777" w:rsidR="0035026C" w:rsidRPr="004C6266" w:rsidRDefault="0035026C" w:rsidP="00E66911">
            <w:pPr>
              <w:keepNext/>
              <w:jc w:val="center"/>
              <w:rPr>
                <w:rFonts w:ascii="Arial Narrow" w:hAnsi="Arial Narrow"/>
                <w:sz w:val="20"/>
              </w:rPr>
            </w:pPr>
            <w:r w:rsidRPr="00C8495E">
              <w:rPr>
                <w:rFonts w:ascii="Arial Narrow" w:hAnsi="Arial Narrow"/>
                <w:sz w:val="20"/>
              </w:rPr>
              <w:t>14228W 14280N</w:t>
            </w:r>
          </w:p>
        </w:tc>
        <w:tc>
          <w:tcPr>
            <w:tcW w:w="992" w:type="dxa"/>
            <w:vAlign w:val="center"/>
          </w:tcPr>
          <w:p w14:paraId="0C03B2B6" w14:textId="77777777" w:rsidR="0035026C" w:rsidRPr="001428E9" w:rsidRDefault="0035026C" w:rsidP="00E66911">
            <w:pPr>
              <w:keepLines/>
              <w:jc w:val="center"/>
              <w:rPr>
                <w:rFonts w:ascii="Arial Narrow" w:hAnsi="Arial Narrow"/>
                <w:sz w:val="20"/>
                <w:szCs w:val="20"/>
              </w:rPr>
            </w:pPr>
            <w:r w:rsidRPr="001428E9">
              <w:rPr>
                <w:rFonts w:ascii="Arial Narrow" w:hAnsi="Arial Narrow"/>
                <w:sz w:val="20"/>
                <w:szCs w:val="20"/>
              </w:rPr>
              <w:t>1</w:t>
            </w:r>
          </w:p>
        </w:tc>
        <w:tc>
          <w:tcPr>
            <w:tcW w:w="992" w:type="dxa"/>
            <w:vAlign w:val="center"/>
          </w:tcPr>
          <w:p w14:paraId="04EB9583" w14:textId="77777777" w:rsidR="0035026C" w:rsidRPr="001428E9" w:rsidRDefault="0035026C" w:rsidP="00E66911">
            <w:pPr>
              <w:keepLines/>
              <w:jc w:val="center"/>
              <w:rPr>
                <w:rFonts w:ascii="Arial Narrow" w:hAnsi="Arial Narrow"/>
                <w:sz w:val="20"/>
                <w:szCs w:val="20"/>
              </w:rPr>
            </w:pPr>
            <w:r>
              <w:rPr>
                <w:rFonts w:ascii="Arial Narrow" w:hAnsi="Arial Narrow"/>
                <w:sz w:val="20"/>
                <w:szCs w:val="20"/>
              </w:rPr>
              <w:t>1</w:t>
            </w:r>
          </w:p>
        </w:tc>
        <w:tc>
          <w:tcPr>
            <w:tcW w:w="709" w:type="dxa"/>
            <w:vAlign w:val="center"/>
          </w:tcPr>
          <w:p w14:paraId="5CD36834" w14:textId="77777777" w:rsidR="0035026C" w:rsidRPr="001428E9" w:rsidRDefault="0035026C" w:rsidP="00E66911">
            <w:pPr>
              <w:keepLines/>
              <w:jc w:val="center"/>
              <w:rPr>
                <w:rFonts w:ascii="Arial Narrow" w:hAnsi="Arial Narrow"/>
                <w:sz w:val="20"/>
                <w:szCs w:val="20"/>
              </w:rPr>
            </w:pPr>
            <w:r w:rsidRPr="001428E9">
              <w:rPr>
                <w:rFonts w:ascii="Arial Narrow" w:hAnsi="Arial Narrow"/>
                <w:sz w:val="20"/>
                <w:szCs w:val="20"/>
              </w:rPr>
              <w:t>5</w:t>
            </w:r>
          </w:p>
        </w:tc>
        <w:tc>
          <w:tcPr>
            <w:tcW w:w="1508" w:type="dxa"/>
            <w:vAlign w:val="center"/>
          </w:tcPr>
          <w:p w14:paraId="355173C6" w14:textId="77777777" w:rsidR="0035026C" w:rsidRPr="001428E9" w:rsidRDefault="0035026C" w:rsidP="00E66911">
            <w:pPr>
              <w:keepLines/>
              <w:rPr>
                <w:rFonts w:ascii="Arial Narrow" w:hAnsi="Arial Narrow"/>
                <w:sz w:val="20"/>
                <w:szCs w:val="20"/>
              </w:rPr>
            </w:pPr>
            <w:r w:rsidRPr="00C8249A">
              <w:rPr>
                <w:rFonts w:ascii="Arial Narrow" w:hAnsi="Arial Narrow"/>
                <w:sz w:val="20"/>
              </w:rPr>
              <w:t>Trikafta</w:t>
            </w:r>
            <w:r w:rsidRPr="001428E9">
              <w:rPr>
                <w:rFonts w:ascii="Arial Narrow" w:hAnsi="Arial Narrow"/>
                <w:sz w:val="20"/>
                <w:szCs w:val="20"/>
              </w:rPr>
              <w:t xml:space="preserve"> </w:t>
            </w:r>
          </w:p>
        </w:tc>
      </w:tr>
      <w:tr w:rsidR="0035026C" w:rsidRPr="001428E9" w14:paraId="0E202EE6" w14:textId="77777777" w:rsidTr="002B7BB5">
        <w:trPr>
          <w:cantSplit/>
          <w:trHeight w:val="20"/>
        </w:trPr>
        <w:tc>
          <w:tcPr>
            <w:tcW w:w="3682" w:type="dxa"/>
            <w:gridSpan w:val="3"/>
          </w:tcPr>
          <w:p w14:paraId="1468DC6C" w14:textId="77777777" w:rsidR="0035026C" w:rsidRPr="001428E9" w:rsidRDefault="0035026C" w:rsidP="00E66911">
            <w:pPr>
              <w:keepLines/>
              <w:rPr>
                <w:rFonts w:ascii="Arial Narrow" w:hAnsi="Arial Narrow"/>
                <w:sz w:val="20"/>
                <w:szCs w:val="20"/>
              </w:rPr>
            </w:pPr>
            <w:r w:rsidRPr="00C8249A">
              <w:rPr>
                <w:rFonts w:ascii="Arial Narrow" w:hAnsi="Arial Narrow"/>
                <w:bCs/>
                <w:sz w:val="20"/>
              </w:rPr>
              <w:t>Elexacaftor 80 mg + tezacaftor 40 mg + ivacaftor 60 mg granules [28] (&amp;) ivacaftor 59.5 mg granules [28], 56 sachets</w:t>
            </w:r>
          </w:p>
        </w:tc>
        <w:tc>
          <w:tcPr>
            <w:tcW w:w="1134" w:type="dxa"/>
            <w:vAlign w:val="center"/>
          </w:tcPr>
          <w:p w14:paraId="15DCE651" w14:textId="77777777" w:rsidR="0035026C" w:rsidRPr="004C6266" w:rsidRDefault="0035026C" w:rsidP="00E66911">
            <w:pPr>
              <w:keepNext/>
              <w:jc w:val="center"/>
              <w:rPr>
                <w:rFonts w:ascii="Arial Narrow" w:hAnsi="Arial Narrow"/>
                <w:sz w:val="20"/>
                <w:lang w:val="fr-FR"/>
              </w:rPr>
            </w:pPr>
            <w:r w:rsidRPr="005E7B80">
              <w:rPr>
                <w:rFonts w:ascii="Arial Narrow" w:hAnsi="Arial Narrow"/>
                <w:sz w:val="20"/>
                <w:lang w:val="fr-FR"/>
              </w:rPr>
              <w:t>14227T 14279M</w:t>
            </w:r>
          </w:p>
        </w:tc>
        <w:tc>
          <w:tcPr>
            <w:tcW w:w="992" w:type="dxa"/>
            <w:vAlign w:val="center"/>
          </w:tcPr>
          <w:p w14:paraId="567C650D" w14:textId="77777777" w:rsidR="0035026C" w:rsidRPr="001428E9" w:rsidRDefault="0035026C" w:rsidP="00E66911">
            <w:pPr>
              <w:keepLines/>
              <w:jc w:val="center"/>
              <w:rPr>
                <w:rFonts w:ascii="Arial Narrow" w:hAnsi="Arial Narrow"/>
                <w:sz w:val="20"/>
                <w:szCs w:val="20"/>
              </w:rPr>
            </w:pPr>
            <w:r w:rsidRPr="001428E9">
              <w:rPr>
                <w:rFonts w:ascii="Arial Narrow" w:hAnsi="Arial Narrow"/>
                <w:sz w:val="20"/>
                <w:szCs w:val="20"/>
              </w:rPr>
              <w:t>1</w:t>
            </w:r>
          </w:p>
        </w:tc>
        <w:tc>
          <w:tcPr>
            <w:tcW w:w="992" w:type="dxa"/>
            <w:vAlign w:val="center"/>
          </w:tcPr>
          <w:p w14:paraId="7D3D8354" w14:textId="77777777" w:rsidR="0035026C" w:rsidRPr="001428E9" w:rsidRDefault="0035026C" w:rsidP="00E66911">
            <w:pPr>
              <w:keepLines/>
              <w:jc w:val="center"/>
              <w:rPr>
                <w:rFonts w:ascii="Arial Narrow" w:hAnsi="Arial Narrow"/>
                <w:sz w:val="20"/>
                <w:szCs w:val="20"/>
              </w:rPr>
            </w:pPr>
            <w:r>
              <w:rPr>
                <w:rFonts w:ascii="Arial Narrow" w:hAnsi="Arial Narrow"/>
                <w:sz w:val="20"/>
                <w:szCs w:val="20"/>
              </w:rPr>
              <w:t>1</w:t>
            </w:r>
          </w:p>
        </w:tc>
        <w:tc>
          <w:tcPr>
            <w:tcW w:w="709" w:type="dxa"/>
            <w:vAlign w:val="center"/>
          </w:tcPr>
          <w:p w14:paraId="3BE42507" w14:textId="77777777" w:rsidR="0035026C" w:rsidRPr="001428E9" w:rsidRDefault="0035026C" w:rsidP="00E66911">
            <w:pPr>
              <w:keepLines/>
              <w:jc w:val="center"/>
              <w:rPr>
                <w:rFonts w:ascii="Arial Narrow" w:hAnsi="Arial Narrow"/>
                <w:sz w:val="20"/>
                <w:szCs w:val="20"/>
              </w:rPr>
            </w:pPr>
            <w:r w:rsidRPr="001428E9">
              <w:rPr>
                <w:rFonts w:ascii="Arial Narrow" w:hAnsi="Arial Narrow"/>
                <w:sz w:val="20"/>
                <w:szCs w:val="20"/>
              </w:rPr>
              <w:t>5</w:t>
            </w:r>
          </w:p>
        </w:tc>
        <w:tc>
          <w:tcPr>
            <w:tcW w:w="1508" w:type="dxa"/>
            <w:vAlign w:val="center"/>
          </w:tcPr>
          <w:p w14:paraId="3A6D4C98" w14:textId="77777777" w:rsidR="0035026C" w:rsidRPr="001428E9" w:rsidRDefault="0035026C" w:rsidP="00E66911">
            <w:pPr>
              <w:keepLines/>
              <w:rPr>
                <w:rFonts w:ascii="Arial Narrow" w:hAnsi="Arial Narrow"/>
                <w:sz w:val="20"/>
                <w:szCs w:val="20"/>
              </w:rPr>
            </w:pPr>
            <w:r w:rsidRPr="00C8249A">
              <w:rPr>
                <w:rFonts w:ascii="Arial Narrow" w:hAnsi="Arial Narrow"/>
                <w:sz w:val="20"/>
              </w:rPr>
              <w:t>Trikafta</w:t>
            </w:r>
            <w:r w:rsidRPr="001428E9">
              <w:rPr>
                <w:rFonts w:ascii="Arial Narrow" w:hAnsi="Arial Narrow"/>
                <w:sz w:val="20"/>
                <w:szCs w:val="20"/>
              </w:rPr>
              <w:t xml:space="preserve"> </w:t>
            </w:r>
          </w:p>
        </w:tc>
      </w:tr>
      <w:tr w:rsidR="0078146B" w:rsidRPr="001428E9" w14:paraId="419576EC" w14:textId="77777777" w:rsidTr="002B7BB5">
        <w:trPr>
          <w:cantSplit/>
          <w:trHeight w:val="20"/>
        </w:trPr>
        <w:tc>
          <w:tcPr>
            <w:tcW w:w="3682" w:type="dxa"/>
            <w:gridSpan w:val="3"/>
          </w:tcPr>
          <w:p w14:paraId="624D9286" w14:textId="68ABC795" w:rsidR="0078146B" w:rsidRPr="00C8249A" w:rsidRDefault="0078146B" w:rsidP="0078146B">
            <w:pPr>
              <w:keepLines/>
              <w:rPr>
                <w:rFonts w:ascii="Arial Narrow" w:hAnsi="Arial Narrow"/>
                <w:bCs/>
                <w:sz w:val="20"/>
              </w:rPr>
            </w:pPr>
            <w:r w:rsidRPr="00A92539">
              <w:rPr>
                <w:rFonts w:ascii="Arial Narrow" w:hAnsi="Arial Narrow" w:cstheme="minorHAnsi"/>
                <w:bCs/>
                <w:sz w:val="20"/>
              </w:rPr>
              <w:t>Elexacaftor 50 mg + tezacaftor 25 mg + ivacaftor 37.5 mg tablet [56] (&amp;) ivacaftor 75 mg tablet [28], 84</w:t>
            </w:r>
          </w:p>
        </w:tc>
        <w:tc>
          <w:tcPr>
            <w:tcW w:w="1134" w:type="dxa"/>
            <w:vAlign w:val="center"/>
          </w:tcPr>
          <w:p w14:paraId="21149B70" w14:textId="77777777" w:rsidR="0078146B" w:rsidRPr="004D110F" w:rsidRDefault="0078146B" w:rsidP="0078146B">
            <w:pPr>
              <w:keepNext/>
              <w:jc w:val="center"/>
              <w:rPr>
                <w:rFonts w:ascii="Arial Narrow" w:hAnsi="Arial Narrow"/>
                <w:sz w:val="20"/>
              </w:rPr>
            </w:pPr>
            <w:r w:rsidRPr="004D110F">
              <w:rPr>
                <w:rFonts w:ascii="Arial Narrow" w:hAnsi="Arial Narrow"/>
                <w:sz w:val="20"/>
              </w:rPr>
              <w:t>1</w:t>
            </w:r>
            <w:r>
              <w:rPr>
                <w:rFonts w:ascii="Arial Narrow" w:hAnsi="Arial Narrow"/>
                <w:sz w:val="20"/>
              </w:rPr>
              <w:t>3276R</w:t>
            </w:r>
          </w:p>
          <w:p w14:paraId="54FAFBE4" w14:textId="2E9BD847" w:rsidR="0078146B" w:rsidRPr="005E7B80" w:rsidRDefault="0078146B" w:rsidP="0078146B">
            <w:pPr>
              <w:keepNext/>
              <w:jc w:val="center"/>
              <w:rPr>
                <w:rFonts w:ascii="Arial Narrow" w:hAnsi="Arial Narrow"/>
                <w:sz w:val="20"/>
                <w:lang w:val="fr-FR"/>
              </w:rPr>
            </w:pPr>
            <w:r w:rsidRPr="004D110F">
              <w:rPr>
                <w:rFonts w:ascii="Arial Narrow" w:hAnsi="Arial Narrow"/>
                <w:sz w:val="20"/>
              </w:rPr>
              <w:t>1</w:t>
            </w:r>
            <w:r>
              <w:rPr>
                <w:rFonts w:ascii="Arial Narrow" w:hAnsi="Arial Narrow"/>
                <w:sz w:val="20"/>
              </w:rPr>
              <w:t>3266F</w:t>
            </w:r>
          </w:p>
        </w:tc>
        <w:tc>
          <w:tcPr>
            <w:tcW w:w="992" w:type="dxa"/>
            <w:vAlign w:val="center"/>
          </w:tcPr>
          <w:p w14:paraId="3B9E322B" w14:textId="2BC4E54D" w:rsidR="0078146B" w:rsidRPr="001428E9" w:rsidRDefault="0078146B" w:rsidP="0078146B">
            <w:pPr>
              <w:keepLines/>
              <w:jc w:val="center"/>
              <w:rPr>
                <w:rFonts w:ascii="Arial Narrow" w:hAnsi="Arial Narrow"/>
                <w:sz w:val="20"/>
                <w:szCs w:val="20"/>
              </w:rPr>
            </w:pPr>
            <w:r w:rsidRPr="001428E9">
              <w:rPr>
                <w:rFonts w:ascii="Arial Narrow" w:hAnsi="Arial Narrow"/>
                <w:sz w:val="20"/>
                <w:szCs w:val="20"/>
              </w:rPr>
              <w:t>1</w:t>
            </w:r>
          </w:p>
        </w:tc>
        <w:tc>
          <w:tcPr>
            <w:tcW w:w="992" w:type="dxa"/>
            <w:vAlign w:val="center"/>
          </w:tcPr>
          <w:p w14:paraId="3EF77B61" w14:textId="3B9D75B8" w:rsidR="0078146B" w:rsidRDefault="0078146B" w:rsidP="0078146B">
            <w:pPr>
              <w:keepLines/>
              <w:jc w:val="center"/>
              <w:rPr>
                <w:rFonts w:ascii="Arial Narrow" w:hAnsi="Arial Narrow"/>
                <w:sz w:val="20"/>
                <w:szCs w:val="20"/>
              </w:rPr>
            </w:pPr>
            <w:r>
              <w:rPr>
                <w:rFonts w:ascii="Arial Narrow" w:hAnsi="Arial Narrow"/>
                <w:sz w:val="20"/>
                <w:szCs w:val="20"/>
              </w:rPr>
              <w:t>1</w:t>
            </w:r>
          </w:p>
        </w:tc>
        <w:tc>
          <w:tcPr>
            <w:tcW w:w="709" w:type="dxa"/>
            <w:vAlign w:val="center"/>
          </w:tcPr>
          <w:p w14:paraId="37451753" w14:textId="22B9D6E8" w:rsidR="0078146B" w:rsidRPr="001428E9" w:rsidRDefault="0078146B" w:rsidP="0078146B">
            <w:pPr>
              <w:keepLines/>
              <w:jc w:val="center"/>
              <w:rPr>
                <w:rFonts w:ascii="Arial Narrow" w:hAnsi="Arial Narrow"/>
                <w:sz w:val="20"/>
                <w:szCs w:val="20"/>
              </w:rPr>
            </w:pPr>
            <w:r w:rsidRPr="001428E9">
              <w:rPr>
                <w:rFonts w:ascii="Arial Narrow" w:hAnsi="Arial Narrow"/>
                <w:sz w:val="20"/>
                <w:szCs w:val="20"/>
              </w:rPr>
              <w:t>5</w:t>
            </w:r>
          </w:p>
        </w:tc>
        <w:tc>
          <w:tcPr>
            <w:tcW w:w="1508" w:type="dxa"/>
            <w:vAlign w:val="center"/>
          </w:tcPr>
          <w:p w14:paraId="709C91E2" w14:textId="4E764B90" w:rsidR="0078146B" w:rsidRPr="00C8249A" w:rsidRDefault="0078146B" w:rsidP="0078146B">
            <w:pPr>
              <w:keepLines/>
              <w:rPr>
                <w:rFonts w:ascii="Arial Narrow" w:hAnsi="Arial Narrow"/>
                <w:sz w:val="20"/>
              </w:rPr>
            </w:pPr>
            <w:r w:rsidRPr="00C8249A">
              <w:rPr>
                <w:rFonts w:ascii="Arial Narrow" w:hAnsi="Arial Narrow"/>
                <w:sz w:val="20"/>
              </w:rPr>
              <w:t>Trikafta</w:t>
            </w:r>
            <w:r w:rsidRPr="001428E9">
              <w:rPr>
                <w:rFonts w:ascii="Arial Narrow" w:hAnsi="Arial Narrow"/>
                <w:sz w:val="20"/>
                <w:szCs w:val="20"/>
              </w:rPr>
              <w:t xml:space="preserve"> </w:t>
            </w:r>
          </w:p>
        </w:tc>
      </w:tr>
      <w:tr w:rsidR="0078146B" w:rsidRPr="001428E9" w14:paraId="34C702DF" w14:textId="77777777" w:rsidTr="002B7BB5">
        <w:trPr>
          <w:cantSplit/>
          <w:trHeight w:val="20"/>
        </w:trPr>
        <w:tc>
          <w:tcPr>
            <w:tcW w:w="3682" w:type="dxa"/>
            <w:gridSpan w:val="3"/>
          </w:tcPr>
          <w:p w14:paraId="5C70943D" w14:textId="2B3D9F84" w:rsidR="0078146B" w:rsidRPr="00C8249A" w:rsidRDefault="0078146B" w:rsidP="0078146B">
            <w:pPr>
              <w:keepLines/>
              <w:rPr>
                <w:rFonts w:ascii="Arial Narrow" w:hAnsi="Arial Narrow"/>
                <w:bCs/>
                <w:sz w:val="20"/>
              </w:rPr>
            </w:pPr>
            <w:r w:rsidRPr="00A92539">
              <w:rPr>
                <w:rFonts w:ascii="Arial Narrow" w:hAnsi="Arial Narrow" w:cstheme="minorHAnsi"/>
                <w:bCs/>
                <w:sz w:val="20"/>
              </w:rPr>
              <w:t>Elexacaftor 100 mg + tezacaftor 50 mg + ivacaftor 75 mg tablet [56] (&amp;) ivacaftor 150 mg tablet [28], 84</w:t>
            </w:r>
          </w:p>
        </w:tc>
        <w:tc>
          <w:tcPr>
            <w:tcW w:w="1134" w:type="dxa"/>
            <w:vAlign w:val="center"/>
          </w:tcPr>
          <w:p w14:paraId="65F3D22F" w14:textId="761D5A60" w:rsidR="0078146B" w:rsidRPr="005E7B80" w:rsidRDefault="0078146B" w:rsidP="0078146B">
            <w:pPr>
              <w:keepNext/>
              <w:jc w:val="center"/>
              <w:rPr>
                <w:rFonts w:ascii="Arial Narrow" w:hAnsi="Arial Narrow"/>
                <w:sz w:val="20"/>
                <w:lang w:val="fr-FR"/>
              </w:rPr>
            </w:pPr>
            <w:r w:rsidRPr="005E7B80">
              <w:rPr>
                <w:rFonts w:ascii="Arial Narrow" w:hAnsi="Arial Narrow"/>
                <w:sz w:val="20"/>
                <w:lang w:val="fr-FR"/>
              </w:rPr>
              <w:t>12936W 12938Y</w:t>
            </w:r>
          </w:p>
        </w:tc>
        <w:tc>
          <w:tcPr>
            <w:tcW w:w="992" w:type="dxa"/>
            <w:vAlign w:val="center"/>
          </w:tcPr>
          <w:p w14:paraId="55D32FBD" w14:textId="5F210365" w:rsidR="0078146B" w:rsidRPr="001428E9" w:rsidRDefault="0078146B" w:rsidP="0078146B">
            <w:pPr>
              <w:keepLines/>
              <w:jc w:val="center"/>
              <w:rPr>
                <w:rFonts w:ascii="Arial Narrow" w:hAnsi="Arial Narrow"/>
                <w:sz w:val="20"/>
                <w:szCs w:val="20"/>
              </w:rPr>
            </w:pPr>
            <w:r w:rsidRPr="001428E9">
              <w:rPr>
                <w:rFonts w:ascii="Arial Narrow" w:hAnsi="Arial Narrow"/>
                <w:sz w:val="20"/>
                <w:szCs w:val="20"/>
              </w:rPr>
              <w:t>1</w:t>
            </w:r>
          </w:p>
        </w:tc>
        <w:tc>
          <w:tcPr>
            <w:tcW w:w="992" w:type="dxa"/>
            <w:vAlign w:val="center"/>
          </w:tcPr>
          <w:p w14:paraId="21DB3742" w14:textId="108C1089" w:rsidR="0078146B" w:rsidRDefault="0078146B" w:rsidP="0078146B">
            <w:pPr>
              <w:keepLines/>
              <w:jc w:val="center"/>
              <w:rPr>
                <w:rFonts w:ascii="Arial Narrow" w:hAnsi="Arial Narrow"/>
                <w:sz w:val="20"/>
                <w:szCs w:val="20"/>
              </w:rPr>
            </w:pPr>
            <w:r>
              <w:rPr>
                <w:rFonts w:ascii="Arial Narrow" w:hAnsi="Arial Narrow"/>
                <w:sz w:val="20"/>
                <w:szCs w:val="20"/>
              </w:rPr>
              <w:t>1</w:t>
            </w:r>
          </w:p>
        </w:tc>
        <w:tc>
          <w:tcPr>
            <w:tcW w:w="709" w:type="dxa"/>
            <w:vAlign w:val="center"/>
          </w:tcPr>
          <w:p w14:paraId="71E3B165" w14:textId="68631F40" w:rsidR="0078146B" w:rsidRPr="001428E9" w:rsidRDefault="0078146B" w:rsidP="0078146B">
            <w:pPr>
              <w:keepLines/>
              <w:jc w:val="center"/>
              <w:rPr>
                <w:rFonts w:ascii="Arial Narrow" w:hAnsi="Arial Narrow"/>
                <w:sz w:val="20"/>
                <w:szCs w:val="20"/>
              </w:rPr>
            </w:pPr>
            <w:r w:rsidRPr="001428E9">
              <w:rPr>
                <w:rFonts w:ascii="Arial Narrow" w:hAnsi="Arial Narrow"/>
                <w:sz w:val="20"/>
                <w:szCs w:val="20"/>
              </w:rPr>
              <w:t>5</w:t>
            </w:r>
          </w:p>
        </w:tc>
        <w:tc>
          <w:tcPr>
            <w:tcW w:w="1508" w:type="dxa"/>
            <w:vAlign w:val="center"/>
          </w:tcPr>
          <w:p w14:paraId="47196867" w14:textId="3DB2BF07" w:rsidR="0078146B" w:rsidRPr="00C8249A" w:rsidRDefault="0078146B" w:rsidP="0078146B">
            <w:pPr>
              <w:keepLines/>
              <w:rPr>
                <w:rFonts w:ascii="Arial Narrow" w:hAnsi="Arial Narrow"/>
                <w:sz w:val="20"/>
              </w:rPr>
            </w:pPr>
            <w:r w:rsidRPr="00C8249A">
              <w:rPr>
                <w:rFonts w:ascii="Arial Narrow" w:hAnsi="Arial Narrow"/>
                <w:sz w:val="20"/>
              </w:rPr>
              <w:t>Trikafta</w:t>
            </w:r>
            <w:r w:rsidRPr="001428E9">
              <w:rPr>
                <w:rFonts w:ascii="Arial Narrow" w:hAnsi="Arial Narrow"/>
                <w:sz w:val="20"/>
                <w:szCs w:val="20"/>
              </w:rPr>
              <w:t xml:space="preserve"> </w:t>
            </w:r>
          </w:p>
        </w:tc>
      </w:tr>
      <w:tr w:rsidR="0078146B" w:rsidRPr="001428E9" w14:paraId="296D6351" w14:textId="77777777" w:rsidTr="002B7BB5">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03B3F291" w14:textId="77777777" w:rsidR="0078146B" w:rsidRPr="001428E9" w:rsidRDefault="0078146B" w:rsidP="0078146B">
            <w:pPr>
              <w:rPr>
                <w:rFonts w:ascii="Arial Narrow" w:hAnsi="Arial Narrow"/>
                <w:sz w:val="20"/>
                <w:szCs w:val="20"/>
              </w:rPr>
            </w:pPr>
          </w:p>
        </w:tc>
      </w:tr>
      <w:tr w:rsidR="0078146B" w:rsidRPr="001428E9" w14:paraId="79BE1A92" w14:textId="77777777" w:rsidTr="002B7BB5">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6487EE91" w14:textId="77777777" w:rsidR="0078146B" w:rsidRPr="001428E9" w:rsidRDefault="0078146B" w:rsidP="0078146B">
            <w:pPr>
              <w:jc w:val="center"/>
              <w:rPr>
                <w:rFonts w:ascii="Arial Narrow" w:hAnsi="Arial Narrow"/>
                <w:b/>
                <w:sz w:val="20"/>
                <w:szCs w:val="20"/>
              </w:rPr>
            </w:pPr>
            <w:r w:rsidRPr="001428E9">
              <w:rPr>
                <w:rFonts w:ascii="Arial Narrow" w:hAnsi="Arial Narrow"/>
                <w:b/>
                <w:sz w:val="20"/>
                <w:szCs w:val="20"/>
              </w:rPr>
              <w:t>Concept ID</w:t>
            </w:r>
            <w:r>
              <w:rPr>
                <w:rFonts w:ascii="Arial Narrow" w:hAnsi="Arial Narrow"/>
                <w:b/>
                <w:sz w:val="20"/>
                <w:szCs w:val="20"/>
              </w:rPr>
              <w:t xml:space="preserve"> </w:t>
            </w:r>
            <w:r w:rsidRPr="001428E9">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DD83034" w14:textId="77777777" w:rsidR="0078146B" w:rsidRPr="001428E9" w:rsidRDefault="0078146B" w:rsidP="0078146B">
            <w:pPr>
              <w:keepLines/>
              <w:jc w:val="left"/>
              <w:rPr>
                <w:rFonts w:ascii="Arial Narrow" w:hAnsi="Arial Narrow"/>
                <w:sz w:val="20"/>
                <w:szCs w:val="20"/>
              </w:rPr>
            </w:pPr>
            <w:r w:rsidRPr="001428E9">
              <w:rPr>
                <w:rFonts w:ascii="Arial Narrow" w:hAnsi="Arial Narrow"/>
                <w:b/>
                <w:sz w:val="20"/>
                <w:szCs w:val="20"/>
              </w:rPr>
              <w:t>Category / Program:</w:t>
            </w:r>
            <w:r w:rsidRPr="001428E9">
              <w:rPr>
                <w:rFonts w:ascii="Arial Narrow" w:hAnsi="Arial Narrow"/>
                <w:color w:val="FF0000"/>
                <w:sz w:val="20"/>
                <w:szCs w:val="20"/>
              </w:rPr>
              <w:t xml:space="preserve"> </w:t>
            </w:r>
            <w:r>
              <w:rPr>
                <w:rFonts w:ascii="Arial Narrow" w:eastAsia="Calibri" w:hAnsi="Arial Narrow"/>
                <w:sz w:val="20"/>
                <w:szCs w:val="20"/>
              </w:rPr>
              <w:br/>
            </w:r>
            <w:r>
              <w:rPr>
                <w:rFonts w:ascii="Arial Narrow" w:eastAsia="Calibri" w:hAnsi="Arial Narrow"/>
                <w:sz w:val="20"/>
                <w:szCs w:val="20"/>
              </w:rPr>
              <w:fldChar w:fldCharType="begin">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Section 100 – Highly Specialised Drugs Program – Public (Code HB)</w:t>
            </w:r>
            <w:r w:rsidRPr="001428E9">
              <w:rPr>
                <w:rFonts w:ascii="Arial Narrow" w:eastAsia="Calibri" w:hAnsi="Arial Narrow"/>
                <w:color w:val="FF0000"/>
                <w:sz w:val="20"/>
                <w:szCs w:val="20"/>
              </w:rPr>
              <w:t xml:space="preserve"> </w:t>
            </w:r>
            <w:r>
              <w:rPr>
                <w:rFonts w:ascii="Arial Narrow" w:eastAsia="Calibri" w:hAnsi="Arial Narrow"/>
                <w:sz w:val="20"/>
                <w:szCs w:val="20"/>
              </w:rPr>
              <w:t>/ Private (Code HS)</w:t>
            </w:r>
          </w:p>
        </w:tc>
      </w:tr>
      <w:tr w:rsidR="0078146B" w:rsidRPr="001428E9" w14:paraId="12772B12" w14:textId="77777777" w:rsidTr="002B7BB5">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0D0E5185" w14:textId="77777777" w:rsidR="0078146B" w:rsidRPr="001428E9" w:rsidRDefault="0078146B" w:rsidP="0078146B">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95A262B" w14:textId="77777777" w:rsidR="0078146B" w:rsidRPr="001428E9" w:rsidRDefault="0078146B" w:rsidP="0078146B">
            <w:pPr>
              <w:keepLines/>
              <w:rPr>
                <w:rFonts w:ascii="Arial Narrow" w:hAnsi="Arial Narrow"/>
                <w:b/>
                <w:sz w:val="20"/>
                <w:szCs w:val="20"/>
              </w:rPr>
            </w:pPr>
            <w:r w:rsidRPr="001428E9">
              <w:rPr>
                <w:rFonts w:ascii="Arial Narrow" w:hAnsi="Arial Narrow"/>
                <w:b/>
                <w:sz w:val="20"/>
                <w:szCs w:val="20"/>
              </w:rPr>
              <w:t>Prescriber type:</w:t>
            </w:r>
            <w:r>
              <w:rPr>
                <w:rFonts w:ascii="Arial Narrow" w:hAnsi="Arial Narrow"/>
                <w:b/>
                <w:sz w:val="20"/>
                <w:szCs w:val="20"/>
              </w:rPr>
              <w:t xml:space="preserve">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 xml:space="preserve">Medical Practitioners </w:t>
            </w:r>
          </w:p>
        </w:tc>
      </w:tr>
      <w:tr w:rsidR="0078146B" w:rsidRPr="001428E9" w14:paraId="26415E57" w14:textId="77777777" w:rsidTr="002B7BB5">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00BC174D" w14:textId="77777777" w:rsidR="0078146B" w:rsidRPr="001428E9" w:rsidRDefault="0078146B" w:rsidP="0078146B">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AD69C92" w14:textId="77777777" w:rsidR="0078146B" w:rsidRPr="0090360C" w:rsidRDefault="0078146B" w:rsidP="0078146B">
            <w:pPr>
              <w:keepLines/>
              <w:rPr>
                <w:rFonts w:ascii="Arial Narrow" w:hAnsi="Arial Narrow"/>
                <w:b/>
                <w:sz w:val="20"/>
                <w:szCs w:val="20"/>
              </w:rPr>
            </w:pPr>
            <w:r w:rsidRPr="001428E9">
              <w:rPr>
                <w:rFonts w:ascii="Arial Narrow" w:hAnsi="Arial Narrow"/>
                <w:b/>
                <w:sz w:val="20"/>
                <w:szCs w:val="20"/>
              </w:rPr>
              <w:t xml:space="preserve">Restriction type: </w:t>
            </w:r>
            <w:r>
              <w:rPr>
                <w:rFonts w:ascii="Arial Narrow" w:eastAsia="Calibri" w:hAnsi="Arial Narrow"/>
                <w:sz w:val="20"/>
                <w:szCs w:val="20"/>
              </w:rPr>
              <w:fldChar w:fldCharType="begin">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Authority Required (</w:t>
            </w:r>
            <w:r>
              <w:rPr>
                <w:rFonts w:ascii="Arial Narrow" w:eastAsia="Calibri" w:hAnsi="Arial Narrow"/>
                <w:sz w:val="20"/>
                <w:szCs w:val="20"/>
              </w:rPr>
              <w:t xml:space="preserve">FULL assessment) </w:t>
            </w:r>
            <w:r w:rsidRPr="001428E9">
              <w:rPr>
                <w:rFonts w:ascii="Arial Narrow" w:eastAsia="Calibri" w:hAnsi="Arial Narrow"/>
                <w:sz w:val="20"/>
                <w:szCs w:val="20"/>
              </w:rPr>
              <w:t xml:space="preserve">in writing only via post/HPOS upload) </w:t>
            </w:r>
          </w:p>
        </w:tc>
      </w:tr>
      <w:tr w:rsidR="0078146B" w:rsidRPr="001428E9" w14:paraId="75609826" w14:textId="77777777" w:rsidTr="002B7BB5">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bottom w:val="single" w:sz="4" w:space="0" w:color="auto"/>
              <w:right w:val="single" w:sz="4" w:space="0" w:color="auto"/>
            </w:tcBorders>
          </w:tcPr>
          <w:p w14:paraId="34CCF19E" w14:textId="77777777" w:rsidR="0078146B" w:rsidRPr="001428E9" w:rsidRDefault="0078146B" w:rsidP="0078146B">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55E1536" w14:textId="77777777" w:rsidR="0078146B" w:rsidRPr="00A65248" w:rsidRDefault="0078146B" w:rsidP="0078146B">
            <w:pPr>
              <w:keepLines/>
              <w:rPr>
                <w:rFonts w:ascii="Arial Narrow" w:hAnsi="Arial Narrow"/>
                <w:b/>
                <w:color w:val="FF0000"/>
                <w:sz w:val="20"/>
                <w:szCs w:val="20"/>
              </w:rPr>
            </w:pPr>
            <w:r>
              <w:rPr>
                <w:rFonts w:ascii="Arial Narrow" w:hAnsi="Arial Narrow"/>
                <w:b/>
                <w:sz w:val="20"/>
                <w:szCs w:val="20"/>
              </w:rPr>
              <w:t xml:space="preserve">Authority type: </w:t>
            </w:r>
            <w:r>
              <w:rPr>
                <w:rFonts w:ascii="Arial Narrow" w:eastAsia="Calibri" w:hAnsi="Arial Narrow"/>
                <w:sz w:val="20"/>
                <w:szCs w:val="20"/>
              </w:rPr>
              <w:fldChar w:fldCharType="begin">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Complex Authority Required (CAR)</w:t>
            </w:r>
          </w:p>
        </w:tc>
      </w:tr>
      <w:tr w:rsidR="0078146B" w:rsidRPr="001428E9" w14:paraId="2485B70B" w14:textId="77777777" w:rsidTr="002B7BB5">
        <w:tblPrEx>
          <w:tblCellMar>
            <w:top w:w="15" w:type="dxa"/>
            <w:bottom w:w="15" w:type="dxa"/>
          </w:tblCellMar>
          <w:tblLook w:val="04A0" w:firstRow="1" w:lastRow="0" w:firstColumn="1" w:lastColumn="0" w:noHBand="0" w:noVBand="1"/>
        </w:tblPrEx>
        <w:trPr>
          <w:trHeight w:val="20"/>
        </w:trPr>
        <w:tc>
          <w:tcPr>
            <w:tcW w:w="488" w:type="dxa"/>
            <w:vMerge w:val="restart"/>
            <w:tcBorders>
              <w:left w:val="single" w:sz="4" w:space="0" w:color="auto"/>
              <w:right w:val="single" w:sz="4" w:space="0" w:color="auto"/>
            </w:tcBorders>
            <w:textDirection w:val="btLr"/>
            <w:vAlign w:val="center"/>
          </w:tcPr>
          <w:p w14:paraId="15B9DA5A" w14:textId="77777777" w:rsidR="0078146B" w:rsidRPr="001428E9" w:rsidRDefault="0078146B" w:rsidP="0078146B">
            <w:pPr>
              <w:jc w:val="center"/>
              <w:rPr>
                <w:rFonts w:ascii="Arial Narrow" w:hAnsi="Arial Narrow"/>
                <w:sz w:val="20"/>
                <w:szCs w:val="20"/>
              </w:rPr>
            </w:pPr>
            <w:r w:rsidRPr="001428E9">
              <w:rPr>
                <w:rFonts w:ascii="Arial Narrow" w:hAnsi="Arial Narrow"/>
                <w:sz w:val="20"/>
                <w:szCs w:val="20"/>
              </w:rPr>
              <w:t>Prescribing rule level</w:t>
            </w:r>
          </w:p>
        </w:tc>
        <w:tc>
          <w:tcPr>
            <w:tcW w:w="784" w:type="dxa"/>
          </w:tcPr>
          <w:p w14:paraId="15FA5B95" w14:textId="527B193F" w:rsidR="0078146B" w:rsidRPr="001428E9" w:rsidRDefault="0078146B" w:rsidP="0078146B">
            <w:pPr>
              <w:jc w:val="center"/>
              <w:rPr>
                <w:rFonts w:ascii="Arial Narrow" w:hAnsi="Arial Narrow"/>
                <w:color w:val="333333"/>
                <w:sz w:val="20"/>
                <w:szCs w:val="20"/>
              </w:rPr>
            </w:pPr>
          </w:p>
        </w:tc>
        <w:tc>
          <w:tcPr>
            <w:tcW w:w="7745" w:type="dxa"/>
            <w:gridSpan w:val="6"/>
          </w:tcPr>
          <w:p w14:paraId="40980F0A" w14:textId="77777777" w:rsidR="0078146B" w:rsidRPr="001428E9" w:rsidRDefault="0078146B" w:rsidP="0078146B">
            <w:pPr>
              <w:rPr>
                <w:rFonts w:ascii="Arial Narrow" w:hAnsi="Arial Narrow"/>
                <w:color w:val="333333"/>
                <w:sz w:val="20"/>
                <w:szCs w:val="20"/>
              </w:rPr>
            </w:pPr>
            <w:r w:rsidRPr="00DA3AF2">
              <w:rPr>
                <w:rFonts w:ascii="Arial Narrow" w:hAnsi="Arial Narrow"/>
                <w:b/>
                <w:bCs/>
                <w:sz w:val="20"/>
                <w:szCs w:val="20"/>
              </w:rPr>
              <w:t>Administrative Advice:</w:t>
            </w:r>
            <w:r>
              <w:rPr>
                <w:rFonts w:ascii="Arial Narrow" w:hAnsi="Arial Narrow"/>
                <w:b/>
                <w:bCs/>
                <w:sz w:val="20"/>
                <w:szCs w:val="20"/>
              </w:rPr>
              <w:t xml:space="preserve"> </w:t>
            </w:r>
            <w:r w:rsidRPr="00DA3AF2">
              <w:rPr>
                <w:rFonts w:ascii="Arial Narrow" w:hAnsi="Arial Narrow"/>
                <w:color w:val="333333"/>
                <w:sz w:val="20"/>
                <w:szCs w:val="20"/>
              </w:rPr>
              <w:t>No increase in the maximum quantity or number of units may be authorised.</w:t>
            </w:r>
          </w:p>
        </w:tc>
      </w:tr>
      <w:tr w:rsidR="0078146B" w:rsidRPr="001428E9" w14:paraId="02C450F4" w14:textId="77777777" w:rsidTr="002B7BB5">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cPr>
          <w:p w14:paraId="38CBF49E" w14:textId="77777777" w:rsidR="0078146B" w:rsidRPr="001428E9" w:rsidRDefault="0078146B" w:rsidP="0078146B">
            <w:pPr>
              <w:rPr>
                <w:rFonts w:ascii="Arial Narrow" w:hAnsi="Arial Narrow"/>
                <w:sz w:val="20"/>
                <w:szCs w:val="20"/>
              </w:rPr>
            </w:pPr>
          </w:p>
        </w:tc>
        <w:tc>
          <w:tcPr>
            <w:tcW w:w="784" w:type="dxa"/>
          </w:tcPr>
          <w:p w14:paraId="03742027" w14:textId="57845B4E" w:rsidR="0078146B" w:rsidRPr="001428E9" w:rsidRDefault="0078146B" w:rsidP="0078146B">
            <w:pPr>
              <w:jc w:val="center"/>
              <w:rPr>
                <w:rFonts w:ascii="Arial Narrow" w:hAnsi="Arial Narrow"/>
                <w:color w:val="333333"/>
                <w:sz w:val="20"/>
                <w:szCs w:val="20"/>
              </w:rPr>
            </w:pPr>
          </w:p>
        </w:tc>
        <w:tc>
          <w:tcPr>
            <w:tcW w:w="7745" w:type="dxa"/>
            <w:gridSpan w:val="6"/>
          </w:tcPr>
          <w:p w14:paraId="190227FA" w14:textId="77777777" w:rsidR="0078146B" w:rsidRPr="001428E9" w:rsidRDefault="0078146B" w:rsidP="0078146B">
            <w:pPr>
              <w:rPr>
                <w:rFonts w:ascii="Arial Narrow" w:hAnsi="Arial Narrow"/>
                <w:b/>
                <w:bCs/>
                <w:color w:val="333333"/>
                <w:sz w:val="20"/>
                <w:szCs w:val="20"/>
              </w:rPr>
            </w:pPr>
            <w:r w:rsidRPr="00DA3AF2">
              <w:rPr>
                <w:rFonts w:ascii="Arial Narrow" w:hAnsi="Arial Narrow"/>
                <w:b/>
                <w:bCs/>
                <w:sz w:val="20"/>
                <w:szCs w:val="20"/>
              </w:rPr>
              <w:t>Administrative Advice:</w:t>
            </w:r>
            <w:r>
              <w:rPr>
                <w:rFonts w:ascii="Arial Narrow" w:hAnsi="Arial Narrow"/>
                <w:b/>
                <w:bCs/>
                <w:sz w:val="20"/>
                <w:szCs w:val="20"/>
              </w:rPr>
              <w:t xml:space="preserve"> </w:t>
            </w:r>
            <w:r w:rsidRPr="00DA3AF2">
              <w:rPr>
                <w:rFonts w:ascii="Arial Narrow" w:hAnsi="Arial Narrow"/>
                <w:color w:val="333333"/>
                <w:sz w:val="20"/>
                <w:szCs w:val="20"/>
              </w:rPr>
              <w:t>No increase in the maximum number of repeats may be authorised.</w:t>
            </w:r>
          </w:p>
        </w:tc>
      </w:tr>
      <w:tr w:rsidR="0078146B" w:rsidRPr="001428E9" w14:paraId="537132A4" w14:textId="77777777" w:rsidTr="002B7BB5">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cPr>
          <w:p w14:paraId="40625DC8" w14:textId="77777777" w:rsidR="0078146B" w:rsidRPr="001428E9" w:rsidRDefault="0078146B" w:rsidP="0078146B">
            <w:pPr>
              <w:rPr>
                <w:rFonts w:ascii="Arial Narrow" w:hAnsi="Arial Narrow"/>
                <w:sz w:val="20"/>
                <w:szCs w:val="20"/>
              </w:rPr>
            </w:pPr>
          </w:p>
        </w:tc>
        <w:tc>
          <w:tcPr>
            <w:tcW w:w="784" w:type="dxa"/>
          </w:tcPr>
          <w:p w14:paraId="18B4A3E4" w14:textId="0BAF9BE0" w:rsidR="0078146B" w:rsidRPr="001428E9" w:rsidRDefault="0078146B" w:rsidP="0078146B">
            <w:pPr>
              <w:jc w:val="center"/>
              <w:rPr>
                <w:rFonts w:ascii="Arial Narrow" w:hAnsi="Arial Narrow"/>
                <w:color w:val="333333"/>
                <w:sz w:val="20"/>
                <w:szCs w:val="20"/>
              </w:rPr>
            </w:pPr>
          </w:p>
        </w:tc>
        <w:tc>
          <w:tcPr>
            <w:tcW w:w="7745" w:type="dxa"/>
            <w:gridSpan w:val="6"/>
          </w:tcPr>
          <w:p w14:paraId="65003153" w14:textId="77777777" w:rsidR="0078146B" w:rsidRPr="00DA3AF2" w:rsidRDefault="0078146B" w:rsidP="0078146B">
            <w:pPr>
              <w:rPr>
                <w:rFonts w:ascii="Arial Narrow" w:hAnsi="Arial Narrow"/>
                <w:color w:val="333333"/>
                <w:sz w:val="20"/>
                <w:szCs w:val="20"/>
              </w:rPr>
            </w:pPr>
            <w:r w:rsidRPr="00DA3AF2">
              <w:rPr>
                <w:rFonts w:ascii="Arial Narrow" w:hAnsi="Arial Narrow"/>
                <w:b/>
                <w:bCs/>
                <w:sz w:val="20"/>
                <w:szCs w:val="20"/>
              </w:rPr>
              <w:t>Administrative Advice:</w:t>
            </w:r>
            <w:r>
              <w:rPr>
                <w:rFonts w:ascii="Arial Narrow" w:hAnsi="Arial Narrow"/>
                <w:b/>
                <w:bCs/>
                <w:sz w:val="20"/>
                <w:szCs w:val="20"/>
              </w:rPr>
              <w:t xml:space="preserve"> </w:t>
            </w:r>
            <w:r w:rsidRPr="00DA3AF2">
              <w:rPr>
                <w:rFonts w:ascii="Arial Narrow" w:hAnsi="Arial Narrow"/>
                <w:color w:val="333333"/>
                <w:sz w:val="20"/>
                <w:szCs w:val="20"/>
              </w:rPr>
              <w:t>Special Pricing Arrangements apply.</w:t>
            </w:r>
          </w:p>
        </w:tc>
      </w:tr>
      <w:tr w:rsidR="0078146B" w:rsidRPr="001428E9" w14:paraId="65B93773" w14:textId="77777777" w:rsidTr="002B7BB5">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cPr>
          <w:p w14:paraId="38B0903A" w14:textId="77777777" w:rsidR="0078146B" w:rsidRPr="001428E9" w:rsidRDefault="0078146B" w:rsidP="0078146B">
            <w:pPr>
              <w:rPr>
                <w:rFonts w:ascii="Arial Narrow" w:hAnsi="Arial Narrow"/>
                <w:sz w:val="20"/>
                <w:szCs w:val="20"/>
              </w:rPr>
            </w:pPr>
          </w:p>
        </w:tc>
        <w:tc>
          <w:tcPr>
            <w:tcW w:w="784" w:type="dxa"/>
            <w:vAlign w:val="center"/>
          </w:tcPr>
          <w:p w14:paraId="6899C1F5" w14:textId="6AFBA05D" w:rsidR="0078146B" w:rsidRPr="001428E9" w:rsidRDefault="0078146B" w:rsidP="0078146B">
            <w:pPr>
              <w:jc w:val="center"/>
              <w:rPr>
                <w:rFonts w:ascii="Arial Narrow" w:hAnsi="Arial Narrow"/>
                <w:color w:val="333333"/>
                <w:sz w:val="20"/>
                <w:szCs w:val="20"/>
              </w:rPr>
            </w:pPr>
          </w:p>
        </w:tc>
        <w:tc>
          <w:tcPr>
            <w:tcW w:w="7745" w:type="dxa"/>
            <w:gridSpan w:val="6"/>
            <w:vAlign w:val="center"/>
          </w:tcPr>
          <w:p w14:paraId="6DB2B961" w14:textId="77777777" w:rsidR="0078146B" w:rsidRPr="00F66864" w:rsidRDefault="0078146B" w:rsidP="0078146B">
            <w:pPr>
              <w:rPr>
                <w:rFonts w:ascii="Arial Narrow" w:hAnsi="Arial Narrow"/>
                <w:color w:val="333333"/>
                <w:sz w:val="20"/>
                <w:szCs w:val="20"/>
              </w:rPr>
            </w:pPr>
            <w:r w:rsidRPr="00F66864">
              <w:rPr>
                <w:rFonts w:ascii="Arial Narrow" w:hAnsi="Arial Narrow"/>
                <w:b/>
                <w:bCs/>
                <w:color w:val="333333"/>
                <w:sz w:val="20"/>
                <w:szCs w:val="20"/>
              </w:rPr>
              <w:t>Administrative Advice:</w:t>
            </w:r>
          </w:p>
          <w:p w14:paraId="7C7EB539" w14:textId="77777777" w:rsidR="0078146B" w:rsidRPr="00F66864" w:rsidRDefault="0078146B" w:rsidP="0078146B">
            <w:pPr>
              <w:rPr>
                <w:rFonts w:ascii="Arial Narrow" w:hAnsi="Arial Narrow"/>
                <w:color w:val="333333"/>
                <w:sz w:val="20"/>
                <w:szCs w:val="20"/>
              </w:rPr>
            </w:pPr>
            <w:r w:rsidRPr="00F66864">
              <w:rPr>
                <w:rFonts w:ascii="Arial Narrow" w:hAnsi="Arial Narrow"/>
                <w:color w:val="333333"/>
                <w:sz w:val="20"/>
                <w:szCs w:val="20"/>
              </w:rPr>
              <w:t>Any queries concerning the arrangements to prescribe may be directed to Services Australia on 1800 700 270 (hours of operation 8 a.m. to 5 p.m. Monday to Friday).</w:t>
            </w:r>
          </w:p>
          <w:p w14:paraId="23FB36A2" w14:textId="77777777" w:rsidR="0078146B" w:rsidRPr="00F66864" w:rsidRDefault="0078146B" w:rsidP="0078146B">
            <w:pPr>
              <w:rPr>
                <w:rFonts w:ascii="Arial Narrow" w:hAnsi="Arial Narrow"/>
                <w:color w:val="333333"/>
                <w:sz w:val="20"/>
                <w:szCs w:val="20"/>
              </w:rPr>
            </w:pPr>
            <w:r w:rsidRPr="00F66864">
              <w:rPr>
                <w:rFonts w:ascii="Arial Narrow" w:hAnsi="Arial Narrow"/>
                <w:color w:val="333333"/>
                <w:sz w:val="20"/>
                <w:szCs w:val="20"/>
              </w:rPr>
              <w:t>Prescribing information (including Authority Application forms and other relevant documentation as applicable) is available on the Services Australia website at www.servicesaustralia.gov.au</w:t>
            </w:r>
          </w:p>
          <w:p w14:paraId="776BA01E" w14:textId="77777777" w:rsidR="0078146B" w:rsidRPr="00F66864" w:rsidRDefault="0078146B" w:rsidP="0078146B">
            <w:pPr>
              <w:rPr>
                <w:rFonts w:ascii="Arial Narrow" w:hAnsi="Arial Narrow"/>
                <w:color w:val="333333"/>
                <w:sz w:val="20"/>
                <w:szCs w:val="20"/>
              </w:rPr>
            </w:pPr>
            <w:r w:rsidRPr="00F66864">
              <w:rPr>
                <w:rFonts w:ascii="Arial Narrow" w:hAnsi="Arial Narrow"/>
                <w:color w:val="333333"/>
                <w:sz w:val="20"/>
                <w:szCs w:val="20"/>
              </w:rPr>
              <w:t>Applications for authority to prescribe should be submitted online using the form upload facility in Health Professional Online Services (HPOS) at www.servicesaustralia.gov.au/hpos</w:t>
            </w:r>
          </w:p>
          <w:p w14:paraId="76EA92BC" w14:textId="77777777" w:rsidR="0078146B" w:rsidRPr="00F66864" w:rsidRDefault="0078146B" w:rsidP="0078146B">
            <w:pPr>
              <w:rPr>
                <w:rFonts w:ascii="Arial Narrow" w:hAnsi="Arial Narrow"/>
                <w:color w:val="333333"/>
                <w:sz w:val="20"/>
                <w:szCs w:val="20"/>
              </w:rPr>
            </w:pPr>
            <w:r w:rsidRPr="00F66864">
              <w:rPr>
                <w:rFonts w:ascii="Arial Narrow" w:hAnsi="Arial Narrow"/>
                <w:color w:val="333333"/>
                <w:sz w:val="20"/>
                <w:szCs w:val="20"/>
              </w:rPr>
              <w:t>Or mailed to:</w:t>
            </w:r>
          </w:p>
          <w:p w14:paraId="200C2F9C" w14:textId="77777777" w:rsidR="0078146B" w:rsidRPr="00F66864" w:rsidRDefault="0078146B" w:rsidP="0078146B">
            <w:pPr>
              <w:rPr>
                <w:rFonts w:ascii="Arial Narrow" w:hAnsi="Arial Narrow"/>
                <w:color w:val="333333"/>
                <w:sz w:val="20"/>
                <w:szCs w:val="20"/>
              </w:rPr>
            </w:pPr>
            <w:r w:rsidRPr="00F66864">
              <w:rPr>
                <w:rFonts w:ascii="Arial Narrow" w:hAnsi="Arial Narrow"/>
                <w:color w:val="333333"/>
                <w:sz w:val="20"/>
                <w:szCs w:val="20"/>
              </w:rPr>
              <w:t>Services Australia</w:t>
            </w:r>
          </w:p>
          <w:p w14:paraId="0E8B2A26" w14:textId="77777777" w:rsidR="0078146B" w:rsidRPr="00F66864" w:rsidRDefault="0078146B" w:rsidP="0078146B">
            <w:pPr>
              <w:rPr>
                <w:rFonts w:ascii="Arial Narrow" w:hAnsi="Arial Narrow"/>
                <w:color w:val="333333"/>
                <w:sz w:val="20"/>
                <w:szCs w:val="20"/>
              </w:rPr>
            </w:pPr>
            <w:r w:rsidRPr="00F66864">
              <w:rPr>
                <w:rFonts w:ascii="Arial Narrow" w:hAnsi="Arial Narrow"/>
                <w:color w:val="333333"/>
                <w:sz w:val="20"/>
                <w:szCs w:val="20"/>
              </w:rPr>
              <w:t>Complex Drugs</w:t>
            </w:r>
          </w:p>
          <w:p w14:paraId="0BDCA94F" w14:textId="77777777" w:rsidR="0078146B" w:rsidRPr="00F66864" w:rsidRDefault="0078146B" w:rsidP="0078146B">
            <w:pPr>
              <w:rPr>
                <w:rFonts w:ascii="Arial Narrow" w:hAnsi="Arial Narrow"/>
                <w:color w:val="333333"/>
                <w:sz w:val="20"/>
                <w:szCs w:val="20"/>
              </w:rPr>
            </w:pPr>
            <w:r w:rsidRPr="00F66864">
              <w:rPr>
                <w:rFonts w:ascii="Arial Narrow" w:hAnsi="Arial Narrow"/>
                <w:color w:val="333333"/>
                <w:sz w:val="20"/>
                <w:szCs w:val="20"/>
              </w:rPr>
              <w:t>Reply Paid 9826</w:t>
            </w:r>
          </w:p>
          <w:p w14:paraId="2B57E356" w14:textId="77777777" w:rsidR="0078146B" w:rsidRPr="00DA3AF2" w:rsidRDefault="0078146B" w:rsidP="0078146B">
            <w:pPr>
              <w:rPr>
                <w:rFonts w:ascii="Arial Narrow" w:hAnsi="Arial Narrow"/>
                <w:color w:val="333333"/>
                <w:sz w:val="20"/>
                <w:szCs w:val="20"/>
              </w:rPr>
            </w:pPr>
            <w:r w:rsidRPr="00F66864">
              <w:rPr>
                <w:rFonts w:ascii="Arial Narrow" w:hAnsi="Arial Narrow"/>
                <w:color w:val="333333"/>
                <w:sz w:val="20"/>
                <w:szCs w:val="20"/>
              </w:rPr>
              <w:t>HOBART TAS 7001</w:t>
            </w:r>
          </w:p>
        </w:tc>
      </w:tr>
      <w:tr w:rsidR="0078146B" w:rsidRPr="001428E9" w14:paraId="01505B3E" w14:textId="77777777" w:rsidTr="002B7BB5">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bottom w:val="single" w:sz="4" w:space="0" w:color="auto"/>
              <w:right w:val="single" w:sz="4" w:space="0" w:color="auto"/>
            </w:tcBorders>
          </w:tcPr>
          <w:p w14:paraId="0D91357C" w14:textId="77777777" w:rsidR="0078146B" w:rsidRPr="001428E9" w:rsidRDefault="0078146B" w:rsidP="0078146B">
            <w:pPr>
              <w:rPr>
                <w:rFonts w:ascii="Arial Narrow" w:hAnsi="Arial Narrow"/>
                <w:sz w:val="20"/>
                <w:szCs w:val="20"/>
              </w:rPr>
            </w:pPr>
          </w:p>
        </w:tc>
        <w:tc>
          <w:tcPr>
            <w:tcW w:w="784" w:type="dxa"/>
            <w:vAlign w:val="center"/>
          </w:tcPr>
          <w:p w14:paraId="16BD8F72" w14:textId="5243EE45" w:rsidR="0078146B" w:rsidRPr="001428E9" w:rsidRDefault="0078146B" w:rsidP="0078146B">
            <w:pPr>
              <w:jc w:val="center"/>
              <w:rPr>
                <w:rFonts w:ascii="Arial Narrow" w:hAnsi="Arial Narrow"/>
                <w:color w:val="333333"/>
                <w:sz w:val="20"/>
                <w:szCs w:val="20"/>
              </w:rPr>
            </w:pPr>
          </w:p>
        </w:tc>
        <w:tc>
          <w:tcPr>
            <w:tcW w:w="7745" w:type="dxa"/>
            <w:gridSpan w:val="6"/>
            <w:vAlign w:val="center"/>
          </w:tcPr>
          <w:p w14:paraId="0134C124" w14:textId="77777777" w:rsidR="0078146B" w:rsidRPr="00BC2B4A" w:rsidRDefault="0078146B" w:rsidP="0078146B">
            <w:pPr>
              <w:rPr>
                <w:rFonts w:ascii="Arial Narrow" w:hAnsi="Arial Narrow"/>
                <w:color w:val="333333"/>
                <w:sz w:val="20"/>
                <w:szCs w:val="20"/>
              </w:rPr>
            </w:pPr>
            <w:r w:rsidRPr="00BC2B4A">
              <w:rPr>
                <w:rFonts w:ascii="Arial Narrow" w:hAnsi="Arial Narrow"/>
                <w:b/>
                <w:bCs/>
                <w:color w:val="333333"/>
                <w:sz w:val="20"/>
                <w:szCs w:val="20"/>
              </w:rPr>
              <w:t>Administrative Advice:</w:t>
            </w:r>
          </w:p>
          <w:p w14:paraId="5FE22272" w14:textId="77777777" w:rsidR="0078146B" w:rsidRPr="00DA3AF2" w:rsidRDefault="0078146B" w:rsidP="0078146B">
            <w:pPr>
              <w:rPr>
                <w:rFonts w:ascii="Arial Narrow" w:hAnsi="Arial Narrow"/>
                <w:color w:val="333333"/>
                <w:sz w:val="20"/>
                <w:szCs w:val="20"/>
              </w:rPr>
            </w:pPr>
            <w:r w:rsidRPr="00BC2B4A">
              <w:rPr>
                <w:rFonts w:ascii="Arial Narrow" w:hAnsi="Arial Narrow"/>
                <w:color w:val="333333"/>
                <w:sz w:val="20"/>
                <w:szCs w:val="20"/>
              </w:rPr>
              <w:t>For the purposes of this restriction, PBS-subsidised 'CFTR modulator' means ivacaftor, lumacaftor/ivacaftor, tezacaftor/ivacaftor and elexacaftor/ tezacaftor/ ivacaftor.</w:t>
            </w:r>
          </w:p>
        </w:tc>
      </w:tr>
      <w:tr w:rsidR="0078146B" w:rsidRPr="001428E9" w14:paraId="022CF74F" w14:textId="77777777" w:rsidTr="002B7BB5">
        <w:tblPrEx>
          <w:tblCellMar>
            <w:top w:w="15" w:type="dxa"/>
            <w:bottom w:w="15" w:type="dxa"/>
          </w:tblCellMar>
          <w:tblLook w:val="04A0" w:firstRow="1" w:lastRow="0" w:firstColumn="1" w:lastColumn="0" w:noHBand="0" w:noVBand="1"/>
        </w:tblPrEx>
        <w:trPr>
          <w:cantSplit/>
          <w:trHeight w:val="211"/>
        </w:trPr>
        <w:tc>
          <w:tcPr>
            <w:tcW w:w="1272" w:type="dxa"/>
            <w:gridSpan w:val="2"/>
            <w:vAlign w:val="center"/>
          </w:tcPr>
          <w:p w14:paraId="02C900B7" w14:textId="77777777" w:rsidR="0078146B" w:rsidRPr="001428E9" w:rsidRDefault="0078146B" w:rsidP="0078146B">
            <w:pPr>
              <w:keepLines/>
              <w:jc w:val="center"/>
              <w:rPr>
                <w:rFonts w:ascii="Arial Narrow" w:hAnsi="Arial Narrow"/>
                <w:color w:val="333333"/>
                <w:sz w:val="20"/>
                <w:szCs w:val="20"/>
              </w:rPr>
            </w:pPr>
          </w:p>
        </w:tc>
        <w:tc>
          <w:tcPr>
            <w:tcW w:w="7745" w:type="dxa"/>
            <w:gridSpan w:val="6"/>
            <w:vAlign w:val="center"/>
          </w:tcPr>
          <w:p w14:paraId="742D1FE1" w14:textId="77777777" w:rsidR="0078146B" w:rsidRPr="001428E9" w:rsidRDefault="0078146B" w:rsidP="0078146B">
            <w:pPr>
              <w:keepLines/>
              <w:rPr>
                <w:rFonts w:ascii="Arial Narrow" w:hAnsi="Arial Narrow"/>
                <w:bCs/>
                <w:color w:val="333333"/>
                <w:sz w:val="20"/>
                <w:szCs w:val="20"/>
              </w:rPr>
            </w:pPr>
            <w:r w:rsidRPr="001428E9">
              <w:rPr>
                <w:rFonts w:ascii="Arial Narrow" w:hAnsi="Arial Narrow"/>
                <w:b/>
                <w:bCs/>
                <w:color w:val="333333"/>
                <w:sz w:val="20"/>
                <w:szCs w:val="20"/>
              </w:rPr>
              <w:t xml:space="preserve">Condition: </w:t>
            </w:r>
            <w:r w:rsidRPr="003F72CC">
              <w:rPr>
                <w:rFonts w:ascii="Arial Narrow" w:hAnsi="Arial Narrow"/>
                <w:bCs/>
                <w:color w:val="333333"/>
                <w:sz w:val="20"/>
                <w:szCs w:val="20"/>
              </w:rPr>
              <w:t>Cystic fibrosis</w:t>
            </w:r>
          </w:p>
        </w:tc>
      </w:tr>
      <w:tr w:rsidR="0078146B" w:rsidRPr="001428E9" w14:paraId="3E7A87FD"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hideMark/>
          </w:tcPr>
          <w:p w14:paraId="12184088" w14:textId="1318A8DB" w:rsidR="0078146B" w:rsidRPr="001428E9" w:rsidRDefault="0078146B" w:rsidP="0078146B">
            <w:pPr>
              <w:keepLines/>
              <w:jc w:val="center"/>
              <w:rPr>
                <w:rFonts w:ascii="Arial Narrow" w:hAnsi="Arial Narrow"/>
                <w:color w:val="333333"/>
                <w:sz w:val="20"/>
                <w:szCs w:val="20"/>
              </w:rPr>
            </w:pPr>
          </w:p>
        </w:tc>
        <w:tc>
          <w:tcPr>
            <w:tcW w:w="7745" w:type="dxa"/>
            <w:gridSpan w:val="6"/>
            <w:vAlign w:val="center"/>
            <w:hideMark/>
          </w:tcPr>
          <w:p w14:paraId="4770690A" w14:textId="77777777" w:rsidR="0078146B" w:rsidRPr="001428E9" w:rsidRDefault="0078146B" w:rsidP="0078146B">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sidRPr="003F72CC">
              <w:rPr>
                <w:rFonts w:ascii="Arial Narrow" w:hAnsi="Arial Narrow"/>
                <w:bCs/>
                <w:color w:val="333333"/>
                <w:sz w:val="20"/>
                <w:szCs w:val="20"/>
              </w:rPr>
              <w:t>Cystic fibrosis</w:t>
            </w:r>
          </w:p>
        </w:tc>
      </w:tr>
      <w:tr w:rsidR="0078146B" w:rsidRPr="001428E9" w14:paraId="4196B6FE" w14:textId="77777777" w:rsidTr="002B7BB5">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7DBFC933" w14:textId="77777777" w:rsidR="0078146B" w:rsidRPr="001428E9" w:rsidRDefault="0078146B" w:rsidP="0078146B">
            <w:pPr>
              <w:keepLines/>
              <w:rPr>
                <w:rFonts w:ascii="Arial Narrow" w:hAnsi="Arial Narrow"/>
                <w:b/>
                <w:bCs/>
                <w:color w:val="333333"/>
                <w:sz w:val="20"/>
                <w:szCs w:val="20"/>
              </w:rPr>
            </w:pPr>
            <w:r w:rsidRPr="003178B5">
              <w:rPr>
                <w:rFonts w:ascii="Arial Narrow" w:hAnsi="Arial Narrow"/>
                <w:b/>
                <w:bCs/>
                <w:color w:val="333333"/>
                <w:sz w:val="20"/>
                <w:szCs w:val="20"/>
              </w:rPr>
              <w:t>Restriction Summary [new</w:t>
            </w:r>
            <w:r>
              <w:rPr>
                <w:rFonts w:ascii="Arial Narrow" w:hAnsi="Arial Narrow"/>
                <w:b/>
                <w:bCs/>
                <w:color w:val="333333"/>
                <w:sz w:val="20"/>
                <w:szCs w:val="20"/>
              </w:rPr>
              <w:t>1</w:t>
            </w:r>
            <w:r w:rsidRPr="003178B5">
              <w:rPr>
                <w:rFonts w:ascii="Arial Narrow" w:hAnsi="Arial Narrow"/>
                <w:b/>
                <w:bCs/>
                <w:color w:val="333333"/>
                <w:sz w:val="20"/>
                <w:szCs w:val="20"/>
              </w:rPr>
              <w:t>] / Treatment of Concept: [new</w:t>
            </w:r>
            <w:r>
              <w:rPr>
                <w:rFonts w:ascii="Arial Narrow" w:hAnsi="Arial Narrow"/>
                <w:b/>
                <w:bCs/>
                <w:color w:val="333333"/>
                <w:sz w:val="20"/>
                <w:szCs w:val="20"/>
              </w:rPr>
              <w:t>1A</w:t>
            </w:r>
            <w:r w:rsidRPr="003178B5">
              <w:rPr>
                <w:rFonts w:ascii="Arial Narrow" w:hAnsi="Arial Narrow"/>
                <w:b/>
                <w:bCs/>
                <w:color w:val="333333"/>
                <w:sz w:val="20"/>
                <w:szCs w:val="20"/>
              </w:rPr>
              <w:t>]</w:t>
            </w:r>
          </w:p>
        </w:tc>
      </w:tr>
      <w:tr w:rsidR="0078146B" w:rsidRPr="001428E9" w14:paraId="439D1824"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DF705B7" w14:textId="77777777" w:rsidR="0078146B" w:rsidRPr="00F21880" w:rsidRDefault="0078146B" w:rsidP="0078146B">
            <w:pPr>
              <w:keepLines/>
              <w:jc w:val="center"/>
              <w:rPr>
                <w:rFonts w:ascii="Arial Narrow" w:hAnsi="Arial Narrow"/>
                <w:color w:val="333333"/>
                <w:sz w:val="20"/>
                <w:szCs w:val="20"/>
              </w:rPr>
            </w:pPr>
          </w:p>
        </w:tc>
        <w:tc>
          <w:tcPr>
            <w:tcW w:w="7745" w:type="dxa"/>
            <w:gridSpan w:val="6"/>
            <w:vAlign w:val="center"/>
          </w:tcPr>
          <w:p w14:paraId="18A31659" w14:textId="77777777" w:rsidR="0078146B" w:rsidRPr="001428E9" w:rsidRDefault="0078146B" w:rsidP="0078146B">
            <w:pPr>
              <w:keepLines/>
              <w:rPr>
                <w:rFonts w:ascii="Arial Narrow" w:hAnsi="Arial Narrow"/>
                <w:b/>
                <w:bCs/>
                <w:color w:val="333333"/>
                <w:sz w:val="20"/>
                <w:szCs w:val="20"/>
              </w:rPr>
            </w:pPr>
            <w:r w:rsidRPr="00C8249A">
              <w:rPr>
                <w:rFonts w:ascii="Arial Narrow" w:hAnsi="Arial Narrow"/>
                <w:b/>
                <w:bCs/>
                <w:sz w:val="20"/>
              </w:rPr>
              <w:t>Treatment Phase:</w:t>
            </w:r>
            <w:r w:rsidRPr="00C8249A">
              <w:rPr>
                <w:rFonts w:ascii="Arial Narrow" w:hAnsi="Arial Narrow"/>
                <w:bCs/>
                <w:sz w:val="20"/>
              </w:rPr>
              <w:t xml:space="preserve"> Initial treatment</w:t>
            </w:r>
          </w:p>
        </w:tc>
      </w:tr>
      <w:tr w:rsidR="0078146B" w:rsidRPr="001428E9" w14:paraId="48F166EC"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CB405AD" w14:textId="77777777" w:rsidR="0078146B" w:rsidRPr="00F21880" w:rsidRDefault="0078146B" w:rsidP="0078146B">
            <w:pPr>
              <w:keepLines/>
              <w:jc w:val="center"/>
              <w:rPr>
                <w:rFonts w:ascii="Arial Narrow" w:hAnsi="Arial Narrow"/>
                <w:color w:val="333333"/>
                <w:sz w:val="20"/>
                <w:szCs w:val="20"/>
              </w:rPr>
            </w:pPr>
          </w:p>
        </w:tc>
        <w:tc>
          <w:tcPr>
            <w:tcW w:w="7745" w:type="dxa"/>
            <w:gridSpan w:val="6"/>
          </w:tcPr>
          <w:p w14:paraId="214AAD91" w14:textId="77777777" w:rsidR="0078146B" w:rsidRPr="001428E9" w:rsidRDefault="0078146B" w:rsidP="0078146B">
            <w:pPr>
              <w:keepLines/>
              <w:rPr>
                <w:rFonts w:ascii="Arial Narrow" w:hAnsi="Arial Narrow"/>
                <w:b/>
                <w:bCs/>
                <w:color w:val="333333"/>
                <w:sz w:val="20"/>
                <w:szCs w:val="20"/>
              </w:rPr>
            </w:pPr>
            <w:r w:rsidRPr="00C8249A">
              <w:rPr>
                <w:rFonts w:ascii="Arial Narrow" w:hAnsi="Arial Narrow"/>
                <w:b/>
                <w:bCs/>
                <w:sz w:val="20"/>
              </w:rPr>
              <w:t>Treatment criteria:</w:t>
            </w:r>
          </w:p>
        </w:tc>
      </w:tr>
      <w:tr w:rsidR="0078146B" w:rsidRPr="001428E9" w14:paraId="3203ED69"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0063E01" w14:textId="3412A097" w:rsidR="0078146B" w:rsidRPr="00F21880" w:rsidRDefault="0078146B" w:rsidP="0078146B">
            <w:pPr>
              <w:keepLines/>
              <w:jc w:val="center"/>
              <w:rPr>
                <w:rFonts w:ascii="Arial Narrow" w:hAnsi="Arial Narrow"/>
                <w:color w:val="333333"/>
                <w:sz w:val="20"/>
                <w:szCs w:val="20"/>
              </w:rPr>
            </w:pPr>
          </w:p>
        </w:tc>
        <w:tc>
          <w:tcPr>
            <w:tcW w:w="7745" w:type="dxa"/>
            <w:gridSpan w:val="6"/>
          </w:tcPr>
          <w:p w14:paraId="3A859723" w14:textId="77777777" w:rsidR="0078146B" w:rsidRPr="001428E9" w:rsidRDefault="0078146B" w:rsidP="0078146B">
            <w:pPr>
              <w:keepLines/>
              <w:rPr>
                <w:rFonts w:ascii="Arial Narrow" w:hAnsi="Arial Narrow"/>
                <w:b/>
                <w:bCs/>
                <w:color w:val="333333"/>
                <w:sz w:val="20"/>
                <w:szCs w:val="20"/>
              </w:rPr>
            </w:pPr>
            <w:r w:rsidRPr="00C8249A">
              <w:rPr>
                <w:rFonts w:ascii="Arial Narrow" w:hAnsi="Arial Narrow"/>
                <w:bCs/>
                <w:sz w:val="20"/>
              </w:rPr>
              <w:t>Must be treated by a specialist respiratory physician with expertise in cystic fibrosis or in consultation with a specialist respiratory physician with expertise in cystic fibrosis if attendance is not possible due to geographic isolation</w:t>
            </w:r>
          </w:p>
        </w:tc>
      </w:tr>
      <w:tr w:rsidR="0078146B" w:rsidRPr="001428E9" w14:paraId="3E203CBF"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BB7AADC" w14:textId="77777777" w:rsidR="0078146B" w:rsidRPr="00F21880" w:rsidRDefault="0078146B" w:rsidP="0078146B">
            <w:pPr>
              <w:keepLines/>
              <w:jc w:val="center"/>
              <w:rPr>
                <w:rFonts w:ascii="Arial Narrow" w:hAnsi="Arial Narrow"/>
                <w:color w:val="333333"/>
                <w:sz w:val="20"/>
                <w:szCs w:val="20"/>
              </w:rPr>
            </w:pPr>
          </w:p>
        </w:tc>
        <w:tc>
          <w:tcPr>
            <w:tcW w:w="7745" w:type="dxa"/>
            <w:gridSpan w:val="6"/>
          </w:tcPr>
          <w:p w14:paraId="3022B255" w14:textId="77777777" w:rsidR="0078146B" w:rsidRPr="001428E9" w:rsidRDefault="0078146B" w:rsidP="0078146B">
            <w:pPr>
              <w:keepLines/>
              <w:rPr>
                <w:rFonts w:ascii="Arial Narrow" w:hAnsi="Arial Narrow"/>
                <w:b/>
                <w:bCs/>
                <w:color w:val="333333"/>
                <w:sz w:val="20"/>
                <w:szCs w:val="20"/>
              </w:rPr>
            </w:pPr>
            <w:r w:rsidRPr="00C8249A">
              <w:rPr>
                <w:rFonts w:ascii="Arial Narrow" w:hAnsi="Arial Narrow"/>
                <w:b/>
                <w:bCs/>
                <w:sz w:val="20"/>
              </w:rPr>
              <w:t>AND</w:t>
            </w:r>
          </w:p>
        </w:tc>
      </w:tr>
      <w:tr w:rsidR="0078146B" w:rsidRPr="001428E9" w14:paraId="0839A473"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5C74B5E" w14:textId="77777777" w:rsidR="0078146B" w:rsidRPr="00F21880" w:rsidRDefault="0078146B" w:rsidP="0078146B">
            <w:pPr>
              <w:keepLines/>
              <w:jc w:val="center"/>
              <w:rPr>
                <w:rFonts w:ascii="Arial Narrow" w:hAnsi="Arial Narrow"/>
                <w:color w:val="333333"/>
                <w:sz w:val="20"/>
                <w:szCs w:val="20"/>
              </w:rPr>
            </w:pPr>
          </w:p>
        </w:tc>
        <w:tc>
          <w:tcPr>
            <w:tcW w:w="7745" w:type="dxa"/>
            <w:gridSpan w:val="6"/>
          </w:tcPr>
          <w:p w14:paraId="79A34922" w14:textId="77777777" w:rsidR="0078146B" w:rsidRPr="001428E9" w:rsidRDefault="0078146B" w:rsidP="0078146B">
            <w:pPr>
              <w:keepLines/>
              <w:rPr>
                <w:rFonts w:ascii="Arial Narrow" w:hAnsi="Arial Narrow"/>
                <w:b/>
                <w:bCs/>
                <w:color w:val="333333"/>
                <w:sz w:val="20"/>
                <w:szCs w:val="20"/>
              </w:rPr>
            </w:pPr>
            <w:r w:rsidRPr="00C8249A">
              <w:rPr>
                <w:rFonts w:ascii="Arial Narrow" w:hAnsi="Arial Narrow"/>
                <w:b/>
                <w:bCs/>
                <w:sz w:val="20"/>
              </w:rPr>
              <w:t>Treatment criteria:</w:t>
            </w:r>
          </w:p>
        </w:tc>
      </w:tr>
      <w:tr w:rsidR="0078146B" w:rsidRPr="001428E9" w14:paraId="24217BEC"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6669670" w14:textId="49A7A230" w:rsidR="0078146B" w:rsidRPr="00F21880" w:rsidRDefault="0078146B" w:rsidP="0078146B">
            <w:pPr>
              <w:keepLines/>
              <w:jc w:val="center"/>
              <w:rPr>
                <w:rFonts w:ascii="Arial Narrow" w:hAnsi="Arial Narrow"/>
                <w:color w:val="333333"/>
                <w:sz w:val="20"/>
                <w:szCs w:val="20"/>
              </w:rPr>
            </w:pPr>
          </w:p>
        </w:tc>
        <w:tc>
          <w:tcPr>
            <w:tcW w:w="7745" w:type="dxa"/>
            <w:gridSpan w:val="6"/>
          </w:tcPr>
          <w:p w14:paraId="48A6052D" w14:textId="77777777" w:rsidR="0078146B" w:rsidRPr="001428E9" w:rsidRDefault="0078146B" w:rsidP="0078146B">
            <w:pPr>
              <w:keepLines/>
              <w:rPr>
                <w:rFonts w:ascii="Arial Narrow" w:hAnsi="Arial Narrow"/>
                <w:b/>
                <w:bCs/>
                <w:color w:val="333333"/>
                <w:sz w:val="20"/>
                <w:szCs w:val="20"/>
              </w:rPr>
            </w:pPr>
            <w:r w:rsidRPr="00C8249A">
              <w:rPr>
                <w:rFonts w:ascii="Arial Narrow" w:hAnsi="Arial Narrow"/>
                <w:bCs/>
                <w:sz w:val="20"/>
              </w:rPr>
              <w:t>Must be treated in a centre with expertise in cystic fibrosis or in consultation with a centre with expertise in cystic fibrosis if attendance is not possible due to geographic isolation</w:t>
            </w:r>
          </w:p>
        </w:tc>
      </w:tr>
      <w:tr w:rsidR="0078146B" w:rsidRPr="001428E9" w14:paraId="50181C3B"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39BC7C7" w14:textId="77777777" w:rsidR="0078146B" w:rsidRPr="00F21880" w:rsidRDefault="0078146B" w:rsidP="0078146B">
            <w:pPr>
              <w:keepLines/>
              <w:jc w:val="center"/>
              <w:rPr>
                <w:rFonts w:ascii="Arial Narrow" w:hAnsi="Arial Narrow"/>
                <w:color w:val="333333"/>
                <w:sz w:val="20"/>
                <w:szCs w:val="20"/>
              </w:rPr>
            </w:pPr>
          </w:p>
        </w:tc>
        <w:tc>
          <w:tcPr>
            <w:tcW w:w="7745" w:type="dxa"/>
            <w:gridSpan w:val="6"/>
          </w:tcPr>
          <w:p w14:paraId="7A4BFC39" w14:textId="77777777" w:rsidR="0078146B" w:rsidRPr="001428E9" w:rsidRDefault="0078146B" w:rsidP="0078146B">
            <w:pPr>
              <w:keepLines/>
              <w:rPr>
                <w:rFonts w:ascii="Arial Narrow" w:hAnsi="Arial Narrow"/>
                <w:b/>
                <w:bCs/>
                <w:color w:val="333333"/>
                <w:sz w:val="20"/>
                <w:szCs w:val="20"/>
              </w:rPr>
            </w:pPr>
            <w:r w:rsidRPr="00C8249A">
              <w:rPr>
                <w:rFonts w:ascii="Arial Narrow" w:hAnsi="Arial Narrow"/>
                <w:b/>
                <w:bCs/>
                <w:sz w:val="20"/>
              </w:rPr>
              <w:t>AND</w:t>
            </w:r>
          </w:p>
        </w:tc>
      </w:tr>
      <w:tr w:rsidR="0078146B" w:rsidRPr="001428E9" w14:paraId="4D4DC854"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7FFD149" w14:textId="77777777" w:rsidR="0078146B" w:rsidRPr="00F21880" w:rsidRDefault="0078146B" w:rsidP="0078146B">
            <w:pPr>
              <w:keepLines/>
              <w:jc w:val="center"/>
              <w:rPr>
                <w:rFonts w:ascii="Arial Narrow" w:hAnsi="Arial Narrow"/>
                <w:color w:val="333333"/>
                <w:sz w:val="20"/>
                <w:szCs w:val="20"/>
              </w:rPr>
            </w:pPr>
          </w:p>
        </w:tc>
        <w:tc>
          <w:tcPr>
            <w:tcW w:w="7745" w:type="dxa"/>
            <w:gridSpan w:val="6"/>
          </w:tcPr>
          <w:p w14:paraId="3C0CACCB" w14:textId="77777777" w:rsidR="0078146B" w:rsidRPr="001428E9" w:rsidRDefault="0078146B" w:rsidP="0078146B">
            <w:pPr>
              <w:keepLines/>
              <w:rPr>
                <w:rFonts w:ascii="Arial Narrow" w:hAnsi="Arial Narrow"/>
                <w:b/>
                <w:bCs/>
                <w:color w:val="333333"/>
                <w:sz w:val="20"/>
                <w:szCs w:val="20"/>
              </w:rPr>
            </w:pPr>
            <w:r w:rsidRPr="00C8249A">
              <w:rPr>
                <w:rFonts w:ascii="Arial Narrow" w:hAnsi="Arial Narrow"/>
                <w:b/>
                <w:bCs/>
                <w:sz w:val="20"/>
              </w:rPr>
              <w:t>Clinical criteria:</w:t>
            </w:r>
          </w:p>
        </w:tc>
      </w:tr>
      <w:tr w:rsidR="0078146B" w:rsidRPr="001428E9" w14:paraId="2669DA74"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17883CF" w14:textId="277B58EB" w:rsidR="0078146B" w:rsidRPr="00F21880" w:rsidRDefault="0078146B" w:rsidP="0078146B">
            <w:pPr>
              <w:keepLines/>
              <w:jc w:val="center"/>
              <w:rPr>
                <w:rFonts w:ascii="Arial Narrow" w:hAnsi="Arial Narrow"/>
                <w:color w:val="333333"/>
                <w:sz w:val="20"/>
                <w:szCs w:val="20"/>
              </w:rPr>
            </w:pPr>
          </w:p>
        </w:tc>
        <w:tc>
          <w:tcPr>
            <w:tcW w:w="7745" w:type="dxa"/>
            <w:gridSpan w:val="6"/>
          </w:tcPr>
          <w:p w14:paraId="576565C7" w14:textId="77777777" w:rsidR="0078146B" w:rsidRPr="006279EB" w:rsidRDefault="0078146B" w:rsidP="0078146B">
            <w:pPr>
              <w:keepLines/>
              <w:rPr>
                <w:rFonts w:ascii="Arial Narrow" w:hAnsi="Arial Narrow"/>
                <w:strike/>
                <w:sz w:val="20"/>
              </w:rPr>
            </w:pPr>
            <w:r w:rsidRPr="006279EB">
              <w:rPr>
                <w:rFonts w:ascii="Arial Narrow" w:hAnsi="Arial Narrow"/>
                <w:strike/>
                <w:sz w:val="20"/>
              </w:rPr>
              <w:t>Patient must have at least one F508del mutation in the cystic fibrosis transmembrane conductance (CFTR) gene</w:t>
            </w:r>
          </w:p>
          <w:p w14:paraId="67FE6B5E" w14:textId="77777777" w:rsidR="0078146B" w:rsidRPr="001428E9" w:rsidRDefault="0078146B" w:rsidP="0078146B">
            <w:pPr>
              <w:keepLines/>
              <w:rPr>
                <w:rFonts w:ascii="Arial Narrow" w:hAnsi="Arial Narrow"/>
                <w:b/>
                <w:bCs/>
                <w:color w:val="333333"/>
                <w:sz w:val="20"/>
                <w:szCs w:val="20"/>
              </w:rPr>
            </w:pPr>
            <w:r w:rsidRPr="004D269F">
              <w:rPr>
                <w:rFonts w:ascii="Arial Narrow" w:hAnsi="Arial Narrow"/>
                <w:sz w:val="20"/>
              </w:rPr>
              <w:t xml:space="preserve">Patient must have at least one mutation in the CFTR gene that is responsive to </w:t>
            </w:r>
            <w:r>
              <w:rPr>
                <w:rFonts w:ascii="Arial Narrow" w:hAnsi="Arial Narrow"/>
                <w:sz w:val="20"/>
              </w:rPr>
              <w:t>elexacaftor/tezacaftor/</w:t>
            </w:r>
            <w:r w:rsidRPr="004D269F">
              <w:rPr>
                <w:rFonts w:ascii="Arial Narrow" w:hAnsi="Arial Narrow"/>
                <w:sz w:val="20"/>
              </w:rPr>
              <w:t>ivacaftor potentiation based on clinical and/or in vitro assay data</w:t>
            </w:r>
          </w:p>
        </w:tc>
      </w:tr>
      <w:tr w:rsidR="0078146B" w:rsidRPr="001428E9" w14:paraId="2F16DD91"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5EE5DCC" w14:textId="77777777" w:rsidR="0078146B" w:rsidRPr="00F21880" w:rsidRDefault="0078146B" w:rsidP="0078146B">
            <w:pPr>
              <w:keepLines/>
              <w:jc w:val="center"/>
              <w:rPr>
                <w:rFonts w:ascii="Arial Narrow" w:hAnsi="Arial Narrow"/>
                <w:color w:val="333333"/>
                <w:sz w:val="20"/>
                <w:szCs w:val="20"/>
              </w:rPr>
            </w:pPr>
          </w:p>
        </w:tc>
        <w:tc>
          <w:tcPr>
            <w:tcW w:w="7745" w:type="dxa"/>
            <w:gridSpan w:val="6"/>
          </w:tcPr>
          <w:p w14:paraId="649123CA" w14:textId="77777777" w:rsidR="0078146B" w:rsidRPr="001428E9" w:rsidRDefault="0078146B" w:rsidP="0078146B">
            <w:pPr>
              <w:keepLines/>
              <w:rPr>
                <w:rFonts w:ascii="Arial Narrow" w:hAnsi="Arial Narrow"/>
                <w:b/>
                <w:bCs/>
                <w:color w:val="333333"/>
                <w:sz w:val="20"/>
                <w:szCs w:val="20"/>
              </w:rPr>
            </w:pPr>
            <w:r w:rsidRPr="00C8249A">
              <w:rPr>
                <w:rFonts w:ascii="Arial Narrow" w:hAnsi="Arial Narrow"/>
                <w:b/>
                <w:bCs/>
                <w:sz w:val="20"/>
              </w:rPr>
              <w:t>AND</w:t>
            </w:r>
          </w:p>
        </w:tc>
      </w:tr>
      <w:tr w:rsidR="0078146B" w:rsidRPr="001428E9" w14:paraId="192DA696"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B3ECDB5" w14:textId="77777777" w:rsidR="0078146B" w:rsidRPr="00F21880" w:rsidRDefault="0078146B" w:rsidP="0078146B">
            <w:pPr>
              <w:keepLines/>
              <w:jc w:val="center"/>
              <w:rPr>
                <w:rFonts w:ascii="Arial Narrow" w:hAnsi="Arial Narrow"/>
                <w:color w:val="333333"/>
                <w:sz w:val="20"/>
                <w:szCs w:val="20"/>
              </w:rPr>
            </w:pPr>
          </w:p>
        </w:tc>
        <w:tc>
          <w:tcPr>
            <w:tcW w:w="7745" w:type="dxa"/>
            <w:gridSpan w:val="6"/>
          </w:tcPr>
          <w:p w14:paraId="53665DE9" w14:textId="77777777" w:rsidR="0078146B" w:rsidRPr="001428E9" w:rsidRDefault="0078146B" w:rsidP="0078146B">
            <w:pPr>
              <w:keepLines/>
              <w:rPr>
                <w:rFonts w:ascii="Arial Narrow" w:hAnsi="Arial Narrow"/>
                <w:b/>
                <w:bCs/>
                <w:color w:val="333333"/>
                <w:sz w:val="20"/>
                <w:szCs w:val="20"/>
              </w:rPr>
            </w:pPr>
            <w:r w:rsidRPr="00C8249A">
              <w:rPr>
                <w:rFonts w:ascii="Arial Narrow" w:hAnsi="Arial Narrow"/>
                <w:b/>
                <w:bCs/>
                <w:sz w:val="20"/>
              </w:rPr>
              <w:t>Clinical criteria:</w:t>
            </w:r>
          </w:p>
        </w:tc>
      </w:tr>
      <w:tr w:rsidR="0078146B" w:rsidRPr="001428E9" w14:paraId="28AAD2F3"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75C9466" w14:textId="420F0670" w:rsidR="0078146B" w:rsidRPr="00F21880" w:rsidRDefault="0078146B" w:rsidP="0078146B">
            <w:pPr>
              <w:keepLines/>
              <w:jc w:val="center"/>
              <w:rPr>
                <w:rFonts w:ascii="Arial Narrow" w:hAnsi="Arial Narrow"/>
                <w:color w:val="333333"/>
                <w:sz w:val="20"/>
                <w:szCs w:val="20"/>
              </w:rPr>
            </w:pPr>
          </w:p>
        </w:tc>
        <w:tc>
          <w:tcPr>
            <w:tcW w:w="7745" w:type="dxa"/>
            <w:gridSpan w:val="6"/>
          </w:tcPr>
          <w:p w14:paraId="05B5C09C" w14:textId="77777777" w:rsidR="0078146B" w:rsidRPr="001428E9" w:rsidRDefault="0078146B" w:rsidP="0078146B">
            <w:pPr>
              <w:keepLines/>
              <w:rPr>
                <w:rFonts w:ascii="Arial Narrow" w:hAnsi="Arial Narrow"/>
                <w:b/>
                <w:bCs/>
                <w:color w:val="333333"/>
                <w:sz w:val="20"/>
                <w:szCs w:val="20"/>
              </w:rPr>
            </w:pPr>
            <w:r w:rsidRPr="00C8249A">
              <w:rPr>
                <w:rFonts w:ascii="Arial Narrow" w:hAnsi="Arial Narrow"/>
                <w:sz w:val="20"/>
              </w:rPr>
              <w:t>The treatment must be given concomitantly with standard therapy for this condition</w:t>
            </w:r>
          </w:p>
        </w:tc>
      </w:tr>
      <w:tr w:rsidR="0078146B" w:rsidRPr="001428E9" w14:paraId="05CE0D1A"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C6B898C" w14:textId="77777777" w:rsidR="0078146B" w:rsidRPr="00F21880" w:rsidRDefault="0078146B" w:rsidP="0078146B">
            <w:pPr>
              <w:keepLines/>
              <w:jc w:val="center"/>
              <w:rPr>
                <w:rFonts w:ascii="Arial Narrow" w:hAnsi="Arial Narrow"/>
                <w:color w:val="333333"/>
                <w:sz w:val="20"/>
                <w:szCs w:val="20"/>
              </w:rPr>
            </w:pPr>
          </w:p>
        </w:tc>
        <w:tc>
          <w:tcPr>
            <w:tcW w:w="7745" w:type="dxa"/>
            <w:gridSpan w:val="6"/>
          </w:tcPr>
          <w:p w14:paraId="04888E77" w14:textId="77777777" w:rsidR="0078146B" w:rsidRPr="001428E9" w:rsidRDefault="0078146B" w:rsidP="0078146B">
            <w:pPr>
              <w:keepLines/>
              <w:rPr>
                <w:rFonts w:ascii="Arial Narrow" w:hAnsi="Arial Narrow"/>
                <w:b/>
                <w:bCs/>
                <w:color w:val="333333"/>
                <w:sz w:val="20"/>
                <w:szCs w:val="20"/>
              </w:rPr>
            </w:pPr>
            <w:r w:rsidRPr="00C8249A">
              <w:rPr>
                <w:rFonts w:ascii="Arial Narrow" w:hAnsi="Arial Narrow"/>
                <w:b/>
                <w:bCs/>
                <w:sz w:val="20"/>
              </w:rPr>
              <w:t>AND</w:t>
            </w:r>
          </w:p>
        </w:tc>
      </w:tr>
      <w:tr w:rsidR="0078146B" w:rsidRPr="001428E9" w14:paraId="3F529D7C"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CD955D1" w14:textId="77777777" w:rsidR="0078146B" w:rsidRPr="00F21880" w:rsidRDefault="0078146B" w:rsidP="0078146B">
            <w:pPr>
              <w:keepLines/>
              <w:jc w:val="center"/>
              <w:rPr>
                <w:rFonts w:ascii="Arial Narrow" w:hAnsi="Arial Narrow"/>
                <w:color w:val="333333"/>
                <w:sz w:val="20"/>
                <w:szCs w:val="20"/>
              </w:rPr>
            </w:pPr>
          </w:p>
        </w:tc>
        <w:tc>
          <w:tcPr>
            <w:tcW w:w="7745" w:type="dxa"/>
            <w:gridSpan w:val="6"/>
          </w:tcPr>
          <w:p w14:paraId="48BE15AE" w14:textId="77777777" w:rsidR="0078146B" w:rsidRPr="001428E9" w:rsidRDefault="0078146B" w:rsidP="0078146B">
            <w:pPr>
              <w:keepLines/>
              <w:rPr>
                <w:rFonts w:ascii="Arial Narrow" w:hAnsi="Arial Narrow"/>
                <w:b/>
                <w:bCs/>
                <w:color w:val="333333"/>
                <w:sz w:val="20"/>
                <w:szCs w:val="20"/>
              </w:rPr>
            </w:pPr>
            <w:r w:rsidRPr="00C8249A">
              <w:rPr>
                <w:rFonts w:ascii="Arial Narrow" w:hAnsi="Arial Narrow"/>
                <w:b/>
                <w:bCs/>
                <w:sz w:val="20"/>
              </w:rPr>
              <w:t>Clinical Criteria:</w:t>
            </w:r>
          </w:p>
        </w:tc>
      </w:tr>
      <w:tr w:rsidR="0078146B" w:rsidRPr="001428E9" w14:paraId="69E3B39F"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F707FC0" w14:textId="5576D313" w:rsidR="0078146B" w:rsidRPr="00F21880" w:rsidRDefault="0078146B" w:rsidP="0078146B">
            <w:pPr>
              <w:keepLines/>
              <w:jc w:val="center"/>
              <w:rPr>
                <w:rFonts w:ascii="Arial Narrow" w:hAnsi="Arial Narrow"/>
                <w:color w:val="333333"/>
                <w:sz w:val="20"/>
                <w:szCs w:val="20"/>
              </w:rPr>
            </w:pPr>
          </w:p>
        </w:tc>
        <w:tc>
          <w:tcPr>
            <w:tcW w:w="7745" w:type="dxa"/>
            <w:gridSpan w:val="6"/>
          </w:tcPr>
          <w:p w14:paraId="79E1E38E" w14:textId="77777777" w:rsidR="0078146B" w:rsidRPr="001428E9" w:rsidRDefault="0078146B" w:rsidP="0078146B">
            <w:pPr>
              <w:keepLines/>
              <w:rPr>
                <w:rFonts w:ascii="Arial Narrow" w:hAnsi="Arial Narrow"/>
                <w:b/>
                <w:bCs/>
                <w:color w:val="333333"/>
                <w:sz w:val="20"/>
                <w:szCs w:val="20"/>
              </w:rPr>
            </w:pPr>
            <w:r w:rsidRPr="00C8249A">
              <w:rPr>
                <w:rFonts w:ascii="Arial Narrow" w:hAnsi="Arial Narrow"/>
                <w:sz w:val="20"/>
              </w:rPr>
              <w:t>Patient must have either chronic sinopulmonary disease or gastrointestinal and nutritional abnormalities, prior to initiating treatment with this drug</w:t>
            </w:r>
          </w:p>
        </w:tc>
      </w:tr>
      <w:tr w:rsidR="0078146B" w:rsidRPr="001428E9" w14:paraId="7E4DEB1C"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F6ED079" w14:textId="77777777" w:rsidR="0078146B" w:rsidRPr="009A21F6" w:rsidRDefault="0078146B" w:rsidP="0078146B">
            <w:pPr>
              <w:keepLines/>
              <w:jc w:val="center"/>
              <w:rPr>
                <w:rFonts w:ascii="Arial Narrow" w:hAnsi="Arial Narrow"/>
                <w:color w:val="333333"/>
                <w:sz w:val="20"/>
                <w:szCs w:val="20"/>
              </w:rPr>
            </w:pPr>
          </w:p>
        </w:tc>
        <w:tc>
          <w:tcPr>
            <w:tcW w:w="7745" w:type="dxa"/>
            <w:gridSpan w:val="6"/>
          </w:tcPr>
          <w:p w14:paraId="39409982" w14:textId="53219CBB" w:rsidR="0078146B" w:rsidRPr="006972BC" w:rsidRDefault="0078146B" w:rsidP="0078146B">
            <w:pPr>
              <w:keepLines/>
              <w:rPr>
                <w:rFonts w:ascii="Arial Narrow" w:hAnsi="Arial Narrow"/>
                <w:i/>
                <w:color w:val="000000" w:themeColor="text1"/>
                <w:sz w:val="20"/>
              </w:rPr>
            </w:pPr>
            <w:r w:rsidRPr="00332B61">
              <w:rPr>
                <w:rFonts w:ascii="Arial Narrow" w:eastAsia="Calibri" w:hAnsi="Arial Narrow"/>
                <w:b/>
                <w:color w:val="000000" w:themeColor="text1"/>
                <w:sz w:val="20"/>
              </w:rPr>
              <w:t>Population criteria:</w:t>
            </w:r>
            <w:r w:rsidRPr="006972BC">
              <w:rPr>
                <w:rFonts w:ascii="Arial Narrow" w:eastAsia="Calibri" w:hAnsi="Arial Narrow" w:cs="Calibri"/>
                <w:i/>
                <w:color w:val="000000" w:themeColor="text1"/>
                <w:sz w:val="20"/>
              </w:rPr>
              <w:t xml:space="preserve"> </w:t>
            </w:r>
            <w:r w:rsidRPr="00090499">
              <w:rPr>
                <w:rFonts w:ascii="Arial Narrow" w:eastAsia="Calibri" w:hAnsi="Arial Narrow" w:cs="Calibri"/>
                <w:b/>
                <w:i/>
                <w:color w:val="000000" w:themeColor="text1"/>
                <w:sz w:val="20"/>
                <w:u w:val="single"/>
              </w:rPr>
              <w:t>(specific to ELX 100mg + TEZ 50mg + IVA 75mg (&amp;) IVA 75mg)</w:t>
            </w:r>
            <w:r>
              <w:rPr>
                <w:rFonts w:ascii="Arial Narrow" w:eastAsia="Calibri" w:hAnsi="Arial Narrow" w:cs="Calibri"/>
                <w:b/>
                <w:i/>
                <w:color w:val="000000" w:themeColor="text1"/>
                <w:sz w:val="20"/>
                <w:u w:val="single"/>
              </w:rPr>
              <w:t xml:space="preserve"> – granules </w:t>
            </w:r>
          </w:p>
        </w:tc>
      </w:tr>
      <w:tr w:rsidR="0078146B" w:rsidRPr="001428E9" w14:paraId="37E2A331" w14:textId="77777777" w:rsidTr="00DB55B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D4B4759" w14:textId="4A8C5851" w:rsidR="0078146B" w:rsidRPr="00AA09BE" w:rsidRDefault="0078146B" w:rsidP="0078146B">
            <w:pPr>
              <w:keepLines/>
              <w:jc w:val="center"/>
              <w:rPr>
                <w:rFonts w:ascii="Arial Narrow" w:hAnsi="Arial Narrow"/>
                <w:color w:val="333333"/>
                <w:sz w:val="20"/>
                <w:szCs w:val="20"/>
              </w:rPr>
            </w:pPr>
          </w:p>
        </w:tc>
        <w:tc>
          <w:tcPr>
            <w:tcW w:w="7745" w:type="dxa"/>
            <w:gridSpan w:val="6"/>
            <w:vAlign w:val="center"/>
          </w:tcPr>
          <w:p w14:paraId="7BFD1A30" w14:textId="7D174BD8" w:rsidR="0078146B" w:rsidRPr="00DF50C7" w:rsidRDefault="0078146B" w:rsidP="0078146B">
            <w:pPr>
              <w:keepLines/>
              <w:rPr>
                <w:rFonts w:ascii="Arial Narrow" w:eastAsia="Calibri" w:hAnsi="Arial Narrow"/>
                <w:i/>
                <w:color w:val="95B3D7" w:themeColor="accent1" w:themeTint="99"/>
                <w:sz w:val="20"/>
              </w:rPr>
            </w:pPr>
            <w:r w:rsidRPr="00C8249A">
              <w:rPr>
                <w:rFonts w:ascii="Arial Narrow" w:hAnsi="Arial Narrow"/>
                <w:sz w:val="20"/>
              </w:rPr>
              <w:t>Patient must be</w:t>
            </w:r>
            <w:r>
              <w:rPr>
                <w:rFonts w:ascii="Arial Narrow" w:hAnsi="Arial Narrow"/>
                <w:sz w:val="20"/>
              </w:rPr>
              <w:t xml:space="preserve"> </w:t>
            </w:r>
            <w:r w:rsidRPr="00C8249A">
              <w:rPr>
                <w:rFonts w:ascii="Arial Narrow" w:hAnsi="Arial Narrow"/>
                <w:sz w:val="20"/>
              </w:rPr>
              <w:t xml:space="preserve">2 to </w:t>
            </w:r>
            <w:r w:rsidR="00D41552">
              <w:rPr>
                <w:rFonts w:ascii="Arial Narrow" w:hAnsi="Arial Narrow"/>
                <w:sz w:val="20"/>
              </w:rPr>
              <w:t>5</w:t>
            </w:r>
            <w:r w:rsidRPr="00C8249A">
              <w:rPr>
                <w:rFonts w:ascii="Arial Narrow" w:hAnsi="Arial Narrow"/>
                <w:sz w:val="20"/>
              </w:rPr>
              <w:t xml:space="preserve"> years </w:t>
            </w:r>
            <w:r w:rsidRPr="002D03AB">
              <w:rPr>
                <w:rFonts w:ascii="Arial Narrow" w:hAnsi="Arial Narrow"/>
                <w:sz w:val="20"/>
              </w:rPr>
              <w:t>of age</w:t>
            </w:r>
            <w:r>
              <w:rPr>
                <w:rFonts w:ascii="Arial Narrow" w:hAnsi="Arial Narrow"/>
                <w:strike/>
                <w:sz w:val="20"/>
              </w:rPr>
              <w:t xml:space="preserve"> </w:t>
            </w:r>
          </w:p>
        </w:tc>
      </w:tr>
      <w:tr w:rsidR="0078146B" w:rsidRPr="001428E9" w14:paraId="31943612"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68904BE" w14:textId="77777777" w:rsidR="0078146B" w:rsidRPr="00F21880" w:rsidRDefault="0078146B" w:rsidP="0078146B">
            <w:pPr>
              <w:keepLines/>
              <w:jc w:val="center"/>
              <w:rPr>
                <w:rFonts w:ascii="Arial Narrow" w:hAnsi="Arial Narrow"/>
                <w:color w:val="333333"/>
                <w:sz w:val="20"/>
                <w:szCs w:val="20"/>
              </w:rPr>
            </w:pPr>
          </w:p>
        </w:tc>
        <w:tc>
          <w:tcPr>
            <w:tcW w:w="7745" w:type="dxa"/>
            <w:gridSpan w:val="6"/>
          </w:tcPr>
          <w:p w14:paraId="6187CB6E" w14:textId="2F0A0247" w:rsidR="0078146B" w:rsidRPr="001428E9" w:rsidRDefault="0078146B" w:rsidP="0078146B">
            <w:pPr>
              <w:keepLines/>
              <w:rPr>
                <w:rFonts w:ascii="Arial Narrow" w:hAnsi="Arial Narrow"/>
                <w:b/>
                <w:bCs/>
                <w:color w:val="333333"/>
                <w:sz w:val="20"/>
                <w:szCs w:val="20"/>
              </w:rPr>
            </w:pPr>
            <w:r w:rsidRPr="00C8249A">
              <w:rPr>
                <w:rFonts w:ascii="Arial Narrow" w:hAnsi="Arial Narrow"/>
                <w:b/>
                <w:bCs/>
                <w:sz w:val="20"/>
              </w:rPr>
              <w:t>Population criteria:</w:t>
            </w:r>
            <w:r>
              <w:rPr>
                <w:rFonts w:ascii="Arial Narrow" w:hAnsi="Arial Narrow"/>
                <w:b/>
                <w:bCs/>
                <w:sz w:val="20"/>
              </w:rPr>
              <w:t xml:space="preserve"> </w:t>
            </w:r>
            <w:r w:rsidRPr="00090499">
              <w:rPr>
                <w:rFonts w:ascii="Arial Narrow" w:eastAsia="Calibri" w:hAnsi="Arial Narrow" w:cs="Calibri"/>
                <w:b/>
                <w:i/>
                <w:sz w:val="20"/>
                <w:u w:val="single"/>
              </w:rPr>
              <w:t>(specific to ELX 80mg + TEZ 40mg + IVA 60mg (&amp;) IVA 59.5mg)</w:t>
            </w:r>
            <w:r>
              <w:rPr>
                <w:rFonts w:ascii="Arial Narrow" w:eastAsia="Calibri" w:hAnsi="Arial Narrow" w:cs="Calibri"/>
                <w:b/>
                <w:i/>
                <w:sz w:val="20"/>
                <w:u w:val="single"/>
              </w:rPr>
              <w:t xml:space="preserve"> – granules</w:t>
            </w:r>
          </w:p>
        </w:tc>
      </w:tr>
      <w:tr w:rsidR="0078146B" w:rsidRPr="001428E9" w14:paraId="77A3E5A1" w14:textId="77777777" w:rsidTr="007973ED">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DEB14BA" w14:textId="05250228" w:rsidR="0078146B" w:rsidRPr="001428E9" w:rsidRDefault="0078146B" w:rsidP="0078146B">
            <w:pPr>
              <w:jc w:val="center"/>
              <w:rPr>
                <w:rFonts w:ascii="Arial Narrow" w:hAnsi="Arial Narrow"/>
                <w:color w:val="333333"/>
                <w:sz w:val="20"/>
                <w:szCs w:val="20"/>
              </w:rPr>
            </w:pPr>
          </w:p>
        </w:tc>
        <w:tc>
          <w:tcPr>
            <w:tcW w:w="7745" w:type="dxa"/>
            <w:gridSpan w:val="6"/>
            <w:hideMark/>
          </w:tcPr>
          <w:p w14:paraId="5E86E249" w14:textId="77777777" w:rsidR="0078146B" w:rsidRPr="001428E9" w:rsidRDefault="0078146B" w:rsidP="0078146B">
            <w:pPr>
              <w:rPr>
                <w:rFonts w:ascii="Arial Narrow" w:hAnsi="Arial Narrow"/>
                <w:sz w:val="20"/>
                <w:szCs w:val="20"/>
              </w:rPr>
            </w:pPr>
            <w:r w:rsidRPr="00C8249A">
              <w:rPr>
                <w:rFonts w:ascii="Arial Narrow" w:hAnsi="Arial Narrow"/>
                <w:sz w:val="20"/>
              </w:rPr>
              <w:t>Patient must be 2 to 5 years of age</w:t>
            </w:r>
          </w:p>
        </w:tc>
      </w:tr>
      <w:tr w:rsidR="0078146B" w:rsidRPr="001428E9" w14:paraId="3AF9EAEB"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CC0E78D" w14:textId="77777777" w:rsidR="0078146B" w:rsidRPr="008A32CE" w:rsidRDefault="0078146B" w:rsidP="0078146B">
            <w:pPr>
              <w:jc w:val="center"/>
              <w:rPr>
                <w:rFonts w:ascii="Arial Narrow" w:hAnsi="Arial Narrow"/>
                <w:color w:val="333333"/>
                <w:sz w:val="20"/>
                <w:szCs w:val="20"/>
              </w:rPr>
            </w:pPr>
          </w:p>
        </w:tc>
        <w:tc>
          <w:tcPr>
            <w:tcW w:w="7745" w:type="dxa"/>
            <w:gridSpan w:val="6"/>
          </w:tcPr>
          <w:p w14:paraId="0F7FF580" w14:textId="599507A0" w:rsidR="0078146B" w:rsidRPr="00C8249A" w:rsidRDefault="0078146B" w:rsidP="0078146B">
            <w:pPr>
              <w:rPr>
                <w:rFonts w:ascii="Arial Narrow" w:hAnsi="Arial Narrow"/>
                <w:sz w:val="20"/>
              </w:rPr>
            </w:pPr>
            <w:r w:rsidRPr="00C8249A">
              <w:rPr>
                <w:rFonts w:ascii="Arial Narrow" w:hAnsi="Arial Narrow"/>
                <w:b/>
                <w:bCs/>
                <w:sz w:val="20"/>
              </w:rPr>
              <w:t>Population criteria:</w:t>
            </w:r>
            <w:r w:rsidRPr="009E0B1C">
              <w:rPr>
                <w:rFonts w:ascii="Arial Narrow" w:hAnsi="Arial Narrow"/>
                <w:b/>
                <w:sz w:val="20"/>
              </w:rPr>
              <w:t xml:space="preserve"> </w:t>
            </w:r>
            <w:r w:rsidRPr="00665EA4">
              <w:rPr>
                <w:rFonts w:ascii="Arial Narrow" w:hAnsi="Arial Narrow"/>
                <w:b/>
                <w:i/>
                <w:iCs/>
                <w:sz w:val="20"/>
                <w:u w:val="single"/>
              </w:rPr>
              <w:t>(specific to ELX 100mg + TEZ 50mg + IVA 75mg (&amp;) IVA 150mg) – tablets</w:t>
            </w:r>
            <w:r>
              <w:rPr>
                <w:rFonts w:ascii="Arial Narrow" w:hAnsi="Arial Narrow"/>
                <w:b/>
                <w:sz w:val="20"/>
              </w:rPr>
              <w:t xml:space="preserve"> </w:t>
            </w:r>
          </w:p>
        </w:tc>
      </w:tr>
      <w:tr w:rsidR="0078146B" w:rsidRPr="001428E9" w14:paraId="6758A80F"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FEF7898" w14:textId="77D06D21" w:rsidR="0078146B" w:rsidRPr="008A32CE" w:rsidRDefault="0078146B" w:rsidP="0078146B">
            <w:pPr>
              <w:jc w:val="center"/>
              <w:rPr>
                <w:rFonts w:ascii="Arial Narrow" w:hAnsi="Arial Narrow"/>
                <w:color w:val="333333"/>
                <w:sz w:val="20"/>
                <w:szCs w:val="20"/>
              </w:rPr>
            </w:pPr>
          </w:p>
        </w:tc>
        <w:tc>
          <w:tcPr>
            <w:tcW w:w="7745" w:type="dxa"/>
            <w:gridSpan w:val="6"/>
          </w:tcPr>
          <w:p w14:paraId="00F237F0" w14:textId="0748166B" w:rsidR="0078146B" w:rsidRPr="00C8249A" w:rsidRDefault="0078146B" w:rsidP="0078146B">
            <w:pPr>
              <w:rPr>
                <w:rFonts w:ascii="Arial Narrow" w:hAnsi="Arial Narrow"/>
                <w:sz w:val="20"/>
              </w:rPr>
            </w:pPr>
            <w:r w:rsidRPr="00C8249A">
              <w:rPr>
                <w:rFonts w:ascii="Arial Narrow" w:hAnsi="Arial Narrow"/>
                <w:sz w:val="20"/>
              </w:rPr>
              <w:t xml:space="preserve">Patient must be </w:t>
            </w:r>
            <w:r>
              <w:rPr>
                <w:rFonts w:ascii="Arial Narrow" w:hAnsi="Arial Narrow"/>
                <w:sz w:val="20"/>
              </w:rPr>
              <w:t>at least 6</w:t>
            </w:r>
            <w:r w:rsidRPr="00C8249A">
              <w:rPr>
                <w:rFonts w:ascii="Arial Narrow" w:hAnsi="Arial Narrow"/>
                <w:sz w:val="20"/>
              </w:rPr>
              <w:t xml:space="preserve"> years of age</w:t>
            </w:r>
          </w:p>
        </w:tc>
      </w:tr>
      <w:tr w:rsidR="0078146B" w:rsidRPr="001428E9" w14:paraId="33DBBE30"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C52DC2C" w14:textId="77777777" w:rsidR="0078146B" w:rsidRPr="009B67AB" w:rsidRDefault="0078146B" w:rsidP="0078146B">
            <w:pPr>
              <w:jc w:val="center"/>
              <w:rPr>
                <w:rFonts w:ascii="Arial Narrow" w:hAnsi="Arial Narrow"/>
                <w:color w:val="333333"/>
                <w:sz w:val="20"/>
                <w:szCs w:val="20"/>
              </w:rPr>
            </w:pPr>
          </w:p>
        </w:tc>
        <w:tc>
          <w:tcPr>
            <w:tcW w:w="7745" w:type="dxa"/>
            <w:gridSpan w:val="6"/>
          </w:tcPr>
          <w:p w14:paraId="41D56DA2" w14:textId="5A7FB480" w:rsidR="0078146B" w:rsidRPr="00C8249A" w:rsidRDefault="0078146B" w:rsidP="0078146B">
            <w:pPr>
              <w:rPr>
                <w:rFonts w:ascii="Arial Narrow" w:hAnsi="Arial Narrow"/>
                <w:sz w:val="20"/>
              </w:rPr>
            </w:pPr>
            <w:r w:rsidRPr="00C8575B">
              <w:rPr>
                <w:rFonts w:ascii="Arial Narrow" w:hAnsi="Arial Narrow"/>
                <w:b/>
                <w:sz w:val="20"/>
              </w:rPr>
              <w:t>Population criteria</w:t>
            </w:r>
            <w:r w:rsidRPr="000449E6">
              <w:rPr>
                <w:rFonts w:ascii="Arial Narrow" w:hAnsi="Arial Narrow"/>
                <w:b/>
                <w:i/>
                <w:sz w:val="20"/>
              </w:rPr>
              <w:t xml:space="preserve">: </w:t>
            </w:r>
            <w:r w:rsidRPr="000449E6">
              <w:rPr>
                <w:rFonts w:ascii="Arial Narrow" w:hAnsi="Arial Narrow"/>
                <w:b/>
                <w:i/>
                <w:sz w:val="20"/>
                <w:u w:val="single"/>
              </w:rPr>
              <w:t>(specific to ELX 50mg + TEZ 25mg + IVA 37.5mg (&amp;) IVA 75mg) – tablets</w:t>
            </w:r>
            <w:r>
              <w:rPr>
                <w:rFonts w:ascii="Arial Narrow" w:hAnsi="Arial Narrow"/>
                <w:b/>
                <w:sz w:val="20"/>
              </w:rPr>
              <w:t xml:space="preserve"> </w:t>
            </w:r>
          </w:p>
        </w:tc>
      </w:tr>
      <w:tr w:rsidR="0078146B" w:rsidRPr="001428E9" w14:paraId="32982F0E"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97ADE7E" w14:textId="4FE452C1" w:rsidR="0078146B" w:rsidRPr="0065326C" w:rsidRDefault="0078146B" w:rsidP="0078146B">
            <w:pPr>
              <w:jc w:val="center"/>
              <w:rPr>
                <w:rFonts w:ascii="Arial Narrow" w:hAnsi="Arial Narrow"/>
                <w:sz w:val="20"/>
                <w:szCs w:val="20"/>
              </w:rPr>
            </w:pPr>
          </w:p>
        </w:tc>
        <w:tc>
          <w:tcPr>
            <w:tcW w:w="7745" w:type="dxa"/>
            <w:gridSpan w:val="6"/>
            <w:vAlign w:val="center"/>
          </w:tcPr>
          <w:p w14:paraId="09B652EE" w14:textId="645CA855" w:rsidR="0078146B" w:rsidRPr="0064364C" w:rsidRDefault="0078146B" w:rsidP="0078146B">
            <w:pPr>
              <w:rPr>
                <w:rFonts w:ascii="Arial Narrow" w:hAnsi="Arial Narrow"/>
                <w:sz w:val="20"/>
              </w:rPr>
            </w:pPr>
            <w:r w:rsidRPr="00C8249A">
              <w:rPr>
                <w:rFonts w:ascii="Arial Narrow" w:hAnsi="Arial Narrow"/>
                <w:sz w:val="20"/>
              </w:rPr>
              <w:t>Patient must be</w:t>
            </w:r>
            <w:r>
              <w:rPr>
                <w:rFonts w:ascii="Arial Narrow" w:hAnsi="Arial Narrow"/>
                <w:sz w:val="20"/>
              </w:rPr>
              <w:t xml:space="preserve"> </w:t>
            </w:r>
            <w:r w:rsidRPr="00AF306B">
              <w:rPr>
                <w:rFonts w:ascii="Arial Narrow" w:hAnsi="Arial Narrow"/>
                <w:sz w:val="20"/>
              </w:rPr>
              <w:t xml:space="preserve">aged </w:t>
            </w:r>
            <w:r w:rsidRPr="0078146B">
              <w:rPr>
                <w:rFonts w:ascii="Arial Narrow" w:hAnsi="Arial Narrow"/>
                <w:sz w:val="20"/>
              </w:rPr>
              <w:t>between</w:t>
            </w:r>
            <w:r w:rsidRPr="00C8249A">
              <w:rPr>
                <w:rFonts w:ascii="Arial Narrow" w:hAnsi="Arial Narrow"/>
                <w:sz w:val="20"/>
              </w:rPr>
              <w:t xml:space="preserve"> </w:t>
            </w:r>
            <w:r w:rsidR="002D03AB" w:rsidRPr="009C5164">
              <w:rPr>
                <w:rFonts w:ascii="Arial Narrow" w:hAnsi="Arial Narrow"/>
                <w:strike/>
                <w:sz w:val="20"/>
              </w:rPr>
              <w:t>6</w:t>
            </w:r>
            <w:r w:rsidR="002D03AB">
              <w:rPr>
                <w:rFonts w:ascii="Arial Narrow" w:hAnsi="Arial Narrow"/>
                <w:sz w:val="20"/>
              </w:rPr>
              <w:t xml:space="preserve"> </w:t>
            </w:r>
            <w:r>
              <w:rPr>
                <w:rFonts w:ascii="Arial Narrow" w:hAnsi="Arial Narrow"/>
                <w:i/>
                <w:sz w:val="20"/>
              </w:rPr>
              <w:t>2</w:t>
            </w:r>
            <w:r w:rsidRPr="00AF306B">
              <w:rPr>
                <w:rFonts w:ascii="Arial Narrow" w:hAnsi="Arial Narrow"/>
                <w:i/>
                <w:sz w:val="20"/>
              </w:rPr>
              <w:t xml:space="preserve"> </w:t>
            </w:r>
            <w:r w:rsidRPr="0064364C">
              <w:rPr>
                <w:rFonts w:ascii="Arial Narrow" w:hAnsi="Arial Narrow"/>
                <w:sz w:val="20"/>
              </w:rPr>
              <w:t>and 11 years inclusive</w:t>
            </w:r>
          </w:p>
        </w:tc>
      </w:tr>
      <w:tr w:rsidR="0078146B" w:rsidRPr="001428E9" w14:paraId="767778F8"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5AD4CE5" w14:textId="77777777" w:rsidR="0078146B" w:rsidRPr="001428E9" w:rsidRDefault="0078146B" w:rsidP="0078146B">
            <w:pPr>
              <w:jc w:val="center"/>
              <w:rPr>
                <w:rFonts w:ascii="Arial Narrow" w:hAnsi="Arial Narrow"/>
                <w:color w:val="333333"/>
                <w:sz w:val="20"/>
                <w:szCs w:val="20"/>
              </w:rPr>
            </w:pPr>
          </w:p>
        </w:tc>
        <w:tc>
          <w:tcPr>
            <w:tcW w:w="7745" w:type="dxa"/>
            <w:gridSpan w:val="6"/>
            <w:hideMark/>
          </w:tcPr>
          <w:p w14:paraId="446BCD53" w14:textId="77777777" w:rsidR="0078146B" w:rsidRPr="009B7709" w:rsidRDefault="0078146B" w:rsidP="0078146B">
            <w:pPr>
              <w:spacing w:after="20"/>
              <w:rPr>
                <w:rFonts w:ascii="Arial Narrow" w:hAnsi="Arial Narrow"/>
                <w:b/>
                <w:bCs/>
                <w:sz w:val="20"/>
              </w:rPr>
            </w:pPr>
            <w:r w:rsidRPr="009B7709">
              <w:rPr>
                <w:rFonts w:ascii="Arial Narrow" w:hAnsi="Arial Narrow"/>
                <w:b/>
                <w:bCs/>
                <w:sz w:val="20"/>
              </w:rPr>
              <w:t>Prescribing instructions:</w:t>
            </w:r>
          </w:p>
          <w:p w14:paraId="76B0C4B6" w14:textId="77777777" w:rsidR="0078146B" w:rsidRPr="001428E9" w:rsidRDefault="0078146B" w:rsidP="0078146B">
            <w:pPr>
              <w:rPr>
                <w:rFonts w:ascii="Arial Narrow" w:hAnsi="Arial Narrow"/>
                <w:color w:val="333333"/>
                <w:sz w:val="20"/>
                <w:szCs w:val="20"/>
              </w:rPr>
            </w:pPr>
            <w:r w:rsidRPr="009B7709">
              <w:rPr>
                <w:rFonts w:ascii="Arial Narrow" w:hAnsi="Arial Narrow"/>
                <w:sz w:val="20"/>
              </w:rPr>
              <w:t xml:space="preserve">For the purposes of this restriction, the list of mutations considered to be responsive to </w:t>
            </w:r>
            <w:r>
              <w:rPr>
                <w:rFonts w:ascii="Arial Narrow" w:hAnsi="Arial Narrow"/>
                <w:sz w:val="20"/>
              </w:rPr>
              <w:t>elexacaftor/tezacaftor/</w:t>
            </w:r>
            <w:r w:rsidRPr="009B7709">
              <w:rPr>
                <w:rFonts w:ascii="Arial Narrow" w:hAnsi="Arial Narrow"/>
                <w:sz w:val="20"/>
              </w:rPr>
              <w:t>ivacaftor is defined in the TGA approved Product Information</w:t>
            </w:r>
          </w:p>
        </w:tc>
      </w:tr>
      <w:tr w:rsidR="0078146B" w:rsidRPr="001428E9" w14:paraId="0799BF19"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068AFDD" w14:textId="0547A6A9" w:rsidR="0078146B" w:rsidRPr="001428E9" w:rsidRDefault="0078146B" w:rsidP="0078146B">
            <w:pPr>
              <w:jc w:val="center"/>
              <w:rPr>
                <w:rFonts w:ascii="Arial Narrow" w:hAnsi="Arial Narrow"/>
                <w:color w:val="333333"/>
                <w:sz w:val="20"/>
                <w:szCs w:val="20"/>
              </w:rPr>
            </w:pPr>
          </w:p>
        </w:tc>
        <w:tc>
          <w:tcPr>
            <w:tcW w:w="7745" w:type="dxa"/>
            <w:gridSpan w:val="6"/>
            <w:hideMark/>
          </w:tcPr>
          <w:p w14:paraId="2B2F8F2C" w14:textId="77777777" w:rsidR="0078146B" w:rsidRPr="00C8249A" w:rsidRDefault="0078146B" w:rsidP="0078146B">
            <w:pPr>
              <w:spacing w:after="20"/>
              <w:rPr>
                <w:rFonts w:ascii="Arial Narrow" w:hAnsi="Arial Narrow"/>
                <w:sz w:val="20"/>
              </w:rPr>
            </w:pPr>
            <w:r w:rsidRPr="00C8249A">
              <w:rPr>
                <w:rFonts w:ascii="Arial Narrow" w:hAnsi="Arial Narrow"/>
                <w:b/>
                <w:bCs/>
                <w:sz w:val="20"/>
              </w:rPr>
              <w:t>Prescribing instructions:</w:t>
            </w:r>
          </w:p>
          <w:p w14:paraId="5A945550" w14:textId="77777777" w:rsidR="0078146B" w:rsidRPr="001428E9" w:rsidRDefault="0078146B" w:rsidP="0078146B">
            <w:pPr>
              <w:rPr>
                <w:rFonts w:ascii="Arial Narrow" w:hAnsi="Arial Narrow"/>
                <w:color w:val="333333"/>
                <w:sz w:val="20"/>
                <w:szCs w:val="20"/>
              </w:rPr>
            </w:pPr>
            <w:r w:rsidRPr="00C8249A">
              <w:rPr>
                <w:rFonts w:ascii="Arial Narrow" w:hAnsi="Arial Narrow"/>
                <w:sz w:val="20"/>
              </w:rPr>
              <w:t xml:space="preserve">This pharmaceutical benefit is not PBS-subsidised for this condition in a patient who is currently receiving one of the strong CYP3A4 inducers outlined in the Product Information. </w:t>
            </w:r>
          </w:p>
        </w:tc>
      </w:tr>
      <w:tr w:rsidR="0078146B" w:rsidRPr="001428E9" w14:paraId="57C0A072"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B39EEE3" w14:textId="28D14E21" w:rsidR="0078146B" w:rsidRPr="003D6757" w:rsidRDefault="0078146B" w:rsidP="0078146B">
            <w:pPr>
              <w:jc w:val="center"/>
              <w:rPr>
                <w:rFonts w:ascii="Arial Narrow" w:hAnsi="Arial Narrow"/>
                <w:strike/>
                <w:color w:val="333333"/>
                <w:sz w:val="20"/>
                <w:szCs w:val="20"/>
              </w:rPr>
            </w:pPr>
          </w:p>
        </w:tc>
        <w:tc>
          <w:tcPr>
            <w:tcW w:w="7745" w:type="dxa"/>
            <w:gridSpan w:val="6"/>
          </w:tcPr>
          <w:p w14:paraId="44695806" w14:textId="77777777" w:rsidR="0078146B" w:rsidRPr="00303A9D" w:rsidRDefault="0078146B" w:rsidP="0078146B">
            <w:pPr>
              <w:spacing w:after="20"/>
              <w:rPr>
                <w:rFonts w:ascii="Arial Narrow" w:hAnsi="Arial Narrow"/>
                <w:b/>
                <w:bCs/>
                <w:strike/>
                <w:sz w:val="20"/>
              </w:rPr>
            </w:pPr>
            <w:r w:rsidRPr="00303A9D">
              <w:rPr>
                <w:rFonts w:ascii="Arial Narrow" w:hAnsi="Arial Narrow"/>
                <w:b/>
                <w:bCs/>
                <w:strike/>
                <w:sz w:val="20"/>
              </w:rPr>
              <w:t>Prescribing Instructions:</w:t>
            </w:r>
          </w:p>
          <w:p w14:paraId="1862BEEA" w14:textId="6655024F" w:rsidR="0078146B" w:rsidRPr="00303A9D" w:rsidRDefault="0078146B" w:rsidP="0078146B">
            <w:pPr>
              <w:spacing w:after="20"/>
              <w:rPr>
                <w:rFonts w:ascii="Arial Narrow" w:hAnsi="Arial Narrow"/>
                <w:strike/>
                <w:sz w:val="20"/>
              </w:rPr>
            </w:pPr>
            <w:r w:rsidRPr="00303A9D">
              <w:rPr>
                <w:rFonts w:ascii="Arial Narrow" w:hAnsi="Arial Narrow"/>
                <w:strike/>
                <w:sz w:val="20"/>
              </w:rPr>
              <w:t>The authority application must be</w:t>
            </w:r>
            <w:r w:rsidRPr="003D6757">
              <w:rPr>
                <w:rFonts w:ascii="Arial Narrow" w:hAnsi="Arial Narrow"/>
                <w:i/>
                <w:iCs/>
                <w:strike/>
                <w:sz w:val="20"/>
              </w:rPr>
              <w:t xml:space="preserve"> via the Online PBS Authorities System, or</w:t>
            </w:r>
            <w:r w:rsidRPr="00303A9D">
              <w:rPr>
                <w:rFonts w:ascii="Arial Narrow" w:hAnsi="Arial Narrow"/>
                <w:strike/>
                <w:sz w:val="20"/>
              </w:rPr>
              <w:t xml:space="preserve"> in writing and must include:</w:t>
            </w:r>
          </w:p>
          <w:p w14:paraId="1F42DD98" w14:textId="77777777" w:rsidR="0078146B" w:rsidRPr="00303A9D" w:rsidRDefault="0078146B" w:rsidP="0078146B">
            <w:pPr>
              <w:spacing w:after="20"/>
              <w:rPr>
                <w:rFonts w:ascii="Arial Narrow" w:hAnsi="Arial Narrow"/>
                <w:strike/>
                <w:sz w:val="20"/>
              </w:rPr>
            </w:pPr>
            <w:r w:rsidRPr="00303A9D">
              <w:rPr>
                <w:rFonts w:ascii="Arial Narrow" w:hAnsi="Arial Narrow"/>
                <w:strike/>
                <w:sz w:val="20"/>
              </w:rPr>
              <w:t>(1) details of the proposed prescription; and</w:t>
            </w:r>
          </w:p>
          <w:p w14:paraId="633BC7BD" w14:textId="77777777" w:rsidR="0078146B" w:rsidRPr="00303A9D" w:rsidRDefault="0078146B" w:rsidP="0078146B">
            <w:pPr>
              <w:spacing w:after="20"/>
              <w:rPr>
                <w:rFonts w:ascii="Arial Narrow" w:hAnsi="Arial Narrow"/>
                <w:strike/>
                <w:sz w:val="20"/>
              </w:rPr>
            </w:pPr>
            <w:r w:rsidRPr="00303A9D">
              <w:rPr>
                <w:rFonts w:ascii="Arial Narrow" w:hAnsi="Arial Narrow"/>
                <w:strike/>
                <w:sz w:val="20"/>
              </w:rPr>
              <w:t>(2) a completed Cystic Fibrosis Authority Application Supporting Information Form; and</w:t>
            </w:r>
          </w:p>
          <w:p w14:paraId="076A8E5B" w14:textId="77777777" w:rsidR="0078146B" w:rsidRPr="00303A9D" w:rsidRDefault="0078146B" w:rsidP="0078146B">
            <w:pPr>
              <w:spacing w:after="20"/>
              <w:rPr>
                <w:rFonts w:ascii="Arial Narrow" w:hAnsi="Arial Narrow"/>
                <w:strike/>
                <w:sz w:val="20"/>
              </w:rPr>
            </w:pPr>
            <w:r w:rsidRPr="00303A9D">
              <w:rPr>
                <w:rFonts w:ascii="Arial Narrow" w:hAnsi="Arial Narrow"/>
                <w:strike/>
                <w:sz w:val="20"/>
              </w:rPr>
              <w:t>(3) details of the pathology report substantiating the patient having at least one F508del mutation - quote each of the: (i) name of the pathology report provider, (ii) date of pathology report, (iii) unique identifying number/code that links the pathology result to the individual patient; and</w:t>
            </w:r>
          </w:p>
          <w:p w14:paraId="088E5788" w14:textId="6D8231B7" w:rsidR="0078146B" w:rsidRPr="003D6757" w:rsidRDefault="0078146B" w:rsidP="0078146B">
            <w:pPr>
              <w:spacing w:after="20"/>
              <w:rPr>
                <w:rFonts w:ascii="Arial Narrow" w:hAnsi="Arial Narrow"/>
                <w:strike/>
                <w:sz w:val="20"/>
              </w:rPr>
            </w:pPr>
            <w:r w:rsidRPr="00303A9D">
              <w:rPr>
                <w:rFonts w:ascii="Arial Narrow" w:hAnsi="Arial Narrow"/>
                <w:strike/>
                <w:sz w:val="20"/>
              </w:rPr>
              <w:t>(4) current CYP3A4 inhibitors, CYP3A4 inducers and IV antibiotics.</w:t>
            </w:r>
          </w:p>
        </w:tc>
      </w:tr>
      <w:tr w:rsidR="0078146B" w:rsidRPr="001428E9" w14:paraId="7407814A"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044DE2D" w14:textId="00AF0C54" w:rsidR="0078146B" w:rsidRPr="003D6757" w:rsidRDefault="0078146B" w:rsidP="0078146B">
            <w:pPr>
              <w:jc w:val="center"/>
              <w:rPr>
                <w:rFonts w:ascii="Arial Narrow" w:hAnsi="Arial Narrow"/>
                <w:i/>
                <w:sz w:val="20"/>
                <w:szCs w:val="20"/>
              </w:rPr>
            </w:pPr>
          </w:p>
        </w:tc>
        <w:tc>
          <w:tcPr>
            <w:tcW w:w="7745" w:type="dxa"/>
            <w:gridSpan w:val="6"/>
            <w:hideMark/>
          </w:tcPr>
          <w:p w14:paraId="5D0C31BF" w14:textId="77777777" w:rsidR="0078146B" w:rsidRPr="003D6757" w:rsidRDefault="0078146B" w:rsidP="0078146B">
            <w:pPr>
              <w:spacing w:after="20"/>
              <w:rPr>
                <w:rFonts w:ascii="Arial Narrow" w:hAnsi="Arial Narrow"/>
                <w:i/>
                <w:sz w:val="20"/>
              </w:rPr>
            </w:pPr>
            <w:r w:rsidRPr="003D6757">
              <w:rPr>
                <w:rFonts w:ascii="Arial Narrow" w:hAnsi="Arial Narrow"/>
                <w:b/>
                <w:i/>
                <w:sz w:val="20"/>
              </w:rPr>
              <w:t>Prescribing instructions:</w:t>
            </w:r>
          </w:p>
          <w:p w14:paraId="37DD5E94" w14:textId="44DC3558" w:rsidR="0078146B" w:rsidRPr="003D6757" w:rsidRDefault="0078146B" w:rsidP="0078146B">
            <w:pPr>
              <w:spacing w:after="20"/>
              <w:rPr>
                <w:rFonts w:ascii="Arial Narrow" w:hAnsi="Arial Narrow"/>
                <w:i/>
                <w:sz w:val="20"/>
              </w:rPr>
            </w:pPr>
            <w:r w:rsidRPr="003D6757">
              <w:rPr>
                <w:rFonts w:ascii="Arial Narrow" w:hAnsi="Arial Narrow"/>
                <w:i/>
                <w:sz w:val="20"/>
              </w:rPr>
              <w:t xml:space="preserve">The authority application must be </w:t>
            </w:r>
            <w:r w:rsidRPr="003D6757">
              <w:rPr>
                <w:rFonts w:ascii="Arial Narrow" w:hAnsi="Arial Narrow"/>
                <w:i/>
                <w:iCs/>
                <w:sz w:val="20"/>
              </w:rPr>
              <w:t>via the Online PBS Authorities System, or</w:t>
            </w:r>
            <w:r w:rsidRPr="003D6757">
              <w:rPr>
                <w:rFonts w:ascii="Arial Narrow" w:hAnsi="Arial Narrow"/>
                <w:i/>
                <w:sz w:val="20"/>
              </w:rPr>
              <w:t xml:space="preserve"> in writing </w:t>
            </w:r>
            <w:r w:rsidRPr="003D6757">
              <w:rPr>
                <w:rFonts w:ascii="Arial Narrow" w:hAnsi="Arial Narrow"/>
                <w:i/>
                <w:iCs/>
                <w:sz w:val="20"/>
              </w:rPr>
              <w:t>via HPOS form upload or mail</w:t>
            </w:r>
            <w:r w:rsidRPr="003D6757">
              <w:rPr>
                <w:rFonts w:ascii="Arial Narrow" w:hAnsi="Arial Narrow"/>
                <w:i/>
                <w:sz w:val="20"/>
              </w:rPr>
              <w:t xml:space="preserve"> and must include:</w:t>
            </w:r>
          </w:p>
          <w:p w14:paraId="160CBCA3" w14:textId="1894A8FF" w:rsidR="0078146B" w:rsidRPr="003D6757" w:rsidRDefault="0078146B" w:rsidP="0078146B">
            <w:pPr>
              <w:spacing w:after="20"/>
              <w:rPr>
                <w:rFonts w:ascii="Arial Narrow" w:hAnsi="Arial Narrow"/>
                <w:i/>
                <w:sz w:val="20"/>
              </w:rPr>
            </w:pPr>
            <w:r w:rsidRPr="003D6757">
              <w:rPr>
                <w:rFonts w:ascii="Arial Narrow" w:hAnsi="Arial Narrow"/>
                <w:i/>
                <w:iCs/>
                <w:sz w:val="20"/>
              </w:rPr>
              <w:t>(1</w:t>
            </w:r>
            <w:r w:rsidRPr="003D6757">
              <w:rPr>
                <w:rFonts w:ascii="Arial Narrow" w:hAnsi="Arial Narrow"/>
                <w:i/>
                <w:sz w:val="20"/>
              </w:rPr>
              <w:t>) details of the pathology report substantiating the specific mutation considered to be responsive to elexacaftor/tezacaftor/ivacaftor as listed in the TGA approved PI - quote each of the: (i) the specific mutation listed in the TGA approved PI: (ii) name of the pathology report provider, (iii) date of pathology report, (iv) unique identifying number/code that links the pathology result to the individual patient; and</w:t>
            </w:r>
          </w:p>
          <w:p w14:paraId="01AD64FA" w14:textId="003C49EB" w:rsidR="0078146B" w:rsidRPr="003D6757" w:rsidRDefault="0078146B" w:rsidP="0078146B">
            <w:pPr>
              <w:rPr>
                <w:rFonts w:ascii="Arial Narrow" w:hAnsi="Arial Narrow"/>
                <w:i/>
                <w:sz w:val="20"/>
                <w:szCs w:val="20"/>
              </w:rPr>
            </w:pPr>
            <w:r w:rsidRPr="003D6757">
              <w:rPr>
                <w:rFonts w:ascii="Arial Narrow" w:hAnsi="Arial Narrow"/>
                <w:i/>
                <w:sz w:val="20"/>
              </w:rPr>
              <w:t>(</w:t>
            </w:r>
            <w:r w:rsidRPr="003D6757">
              <w:rPr>
                <w:rFonts w:ascii="Arial Narrow" w:hAnsi="Arial Narrow"/>
                <w:i/>
                <w:iCs/>
                <w:sz w:val="20"/>
              </w:rPr>
              <w:t>2</w:t>
            </w:r>
            <w:r w:rsidRPr="003D6757">
              <w:rPr>
                <w:rFonts w:ascii="Arial Narrow" w:hAnsi="Arial Narrow"/>
                <w:i/>
                <w:sz w:val="20"/>
              </w:rPr>
              <w:t>) current CYP3A4 inhibitors, CYP3A4 inducers and IV antibiotics</w:t>
            </w:r>
          </w:p>
        </w:tc>
      </w:tr>
      <w:tr w:rsidR="0078146B" w:rsidRPr="001428E9" w14:paraId="6F47499A" w14:textId="77777777" w:rsidTr="006903FF">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035C172" w14:textId="567898CE" w:rsidR="0078146B" w:rsidRPr="005402D3" w:rsidRDefault="0078146B" w:rsidP="0078146B">
            <w:pPr>
              <w:jc w:val="center"/>
              <w:rPr>
                <w:rFonts w:ascii="Arial Narrow" w:hAnsi="Arial Narrow"/>
                <w:i/>
                <w:iCs/>
                <w:sz w:val="20"/>
                <w:szCs w:val="20"/>
              </w:rPr>
            </w:pPr>
          </w:p>
        </w:tc>
        <w:tc>
          <w:tcPr>
            <w:tcW w:w="7745" w:type="dxa"/>
            <w:gridSpan w:val="6"/>
            <w:vAlign w:val="center"/>
          </w:tcPr>
          <w:p w14:paraId="2580D9B5" w14:textId="77777777" w:rsidR="0078146B" w:rsidRPr="005402D3" w:rsidRDefault="0078146B" w:rsidP="0078146B">
            <w:pPr>
              <w:rPr>
                <w:rFonts w:ascii="Arial Narrow" w:hAnsi="Arial Narrow"/>
                <w:b/>
                <w:bCs/>
                <w:i/>
                <w:iCs/>
                <w:sz w:val="20"/>
                <w:szCs w:val="20"/>
              </w:rPr>
            </w:pPr>
            <w:r w:rsidRPr="005402D3">
              <w:rPr>
                <w:rFonts w:ascii="Arial Narrow" w:hAnsi="Arial Narrow"/>
                <w:b/>
                <w:bCs/>
                <w:i/>
                <w:iCs/>
                <w:sz w:val="20"/>
                <w:szCs w:val="20"/>
              </w:rPr>
              <w:t>Prescribing Instructions:</w:t>
            </w:r>
          </w:p>
          <w:p w14:paraId="5B2CAAC7" w14:textId="77777777" w:rsidR="0078146B" w:rsidRPr="005402D3" w:rsidRDefault="0078146B" w:rsidP="0078146B">
            <w:pPr>
              <w:rPr>
                <w:rFonts w:ascii="Arial Narrow" w:hAnsi="Arial Narrow"/>
                <w:i/>
                <w:iCs/>
                <w:sz w:val="20"/>
                <w:szCs w:val="20"/>
              </w:rPr>
            </w:pPr>
            <w:r w:rsidRPr="005402D3">
              <w:rPr>
                <w:rFonts w:ascii="Arial Narrow" w:hAnsi="Arial Narrow"/>
                <w:i/>
                <w:iCs/>
                <w:sz w:val="20"/>
                <w:szCs w:val="20"/>
              </w:rPr>
              <w:t>If the application is submitted through HPOS form upload or mail, it must include:</w:t>
            </w:r>
          </w:p>
          <w:p w14:paraId="5BA06CB5" w14:textId="77777777" w:rsidR="0078146B" w:rsidRPr="005402D3" w:rsidRDefault="0078146B" w:rsidP="0078146B">
            <w:pPr>
              <w:rPr>
                <w:rFonts w:ascii="Arial Narrow" w:hAnsi="Arial Narrow"/>
                <w:i/>
                <w:iCs/>
                <w:sz w:val="20"/>
                <w:szCs w:val="20"/>
              </w:rPr>
            </w:pPr>
            <w:r w:rsidRPr="005402D3">
              <w:rPr>
                <w:rFonts w:ascii="Arial Narrow" w:hAnsi="Arial Narrow"/>
                <w:i/>
                <w:iCs/>
                <w:sz w:val="20"/>
                <w:szCs w:val="20"/>
              </w:rPr>
              <w:t>(i) details of the proposed prescription; and</w:t>
            </w:r>
          </w:p>
          <w:p w14:paraId="194B0D3B" w14:textId="3477427B" w:rsidR="0078146B" w:rsidRPr="005402D3" w:rsidRDefault="0078146B" w:rsidP="0078146B">
            <w:pPr>
              <w:spacing w:after="20"/>
              <w:rPr>
                <w:rFonts w:ascii="Arial Narrow" w:hAnsi="Arial Narrow"/>
                <w:b/>
                <w:bCs/>
                <w:i/>
                <w:iCs/>
                <w:sz w:val="20"/>
              </w:rPr>
            </w:pPr>
            <w:r w:rsidRPr="005402D3">
              <w:rPr>
                <w:rFonts w:ascii="Arial Narrow" w:hAnsi="Arial Narrow"/>
                <w:i/>
                <w:iCs/>
                <w:sz w:val="20"/>
                <w:szCs w:val="20"/>
              </w:rPr>
              <w:t>(ii) a completed authority application form relevant to the indication and treatment phase (the latest version is located on the website specified in the Administrative Advice).</w:t>
            </w:r>
          </w:p>
        </w:tc>
      </w:tr>
      <w:tr w:rsidR="0078146B" w:rsidRPr="001428E9" w14:paraId="2503F35D"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EF7F61C" w14:textId="77777777" w:rsidR="0078146B" w:rsidRPr="001428E9" w:rsidRDefault="0078146B" w:rsidP="0078146B">
            <w:pPr>
              <w:jc w:val="center"/>
              <w:rPr>
                <w:rFonts w:ascii="Arial Narrow" w:hAnsi="Arial Narrow"/>
                <w:color w:val="333333"/>
                <w:sz w:val="20"/>
                <w:szCs w:val="20"/>
              </w:rPr>
            </w:pPr>
          </w:p>
        </w:tc>
        <w:tc>
          <w:tcPr>
            <w:tcW w:w="7745" w:type="dxa"/>
            <w:gridSpan w:val="6"/>
            <w:vAlign w:val="center"/>
          </w:tcPr>
          <w:p w14:paraId="69A9753F" w14:textId="77777777" w:rsidR="0078146B" w:rsidRPr="001428E9" w:rsidRDefault="0078146B" w:rsidP="0078146B">
            <w:pPr>
              <w:rPr>
                <w:rFonts w:ascii="Arial Narrow" w:hAnsi="Arial Narrow"/>
                <w:color w:val="FF0000"/>
                <w:sz w:val="20"/>
                <w:szCs w:val="20"/>
              </w:rPr>
            </w:pPr>
          </w:p>
        </w:tc>
      </w:tr>
      <w:tr w:rsidR="0078146B" w:rsidRPr="001428E9" w14:paraId="347EA413" w14:textId="77777777" w:rsidTr="002B7BB5">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239C0BD5" w14:textId="77777777" w:rsidR="0078146B" w:rsidRPr="001428E9" w:rsidRDefault="0078146B" w:rsidP="0078146B">
            <w:pPr>
              <w:rPr>
                <w:rFonts w:ascii="Arial Narrow" w:hAnsi="Arial Narrow"/>
                <w:color w:val="333333"/>
                <w:sz w:val="20"/>
                <w:szCs w:val="20"/>
              </w:rPr>
            </w:pPr>
            <w:r w:rsidRPr="003178B5">
              <w:rPr>
                <w:rFonts w:ascii="Arial Narrow" w:hAnsi="Arial Narrow"/>
                <w:b/>
                <w:bCs/>
                <w:color w:val="333333"/>
                <w:sz w:val="20"/>
                <w:szCs w:val="20"/>
              </w:rPr>
              <w:t>Restriction Summary [new</w:t>
            </w:r>
            <w:r>
              <w:rPr>
                <w:rFonts w:ascii="Arial Narrow" w:hAnsi="Arial Narrow"/>
                <w:b/>
                <w:bCs/>
                <w:color w:val="333333"/>
                <w:sz w:val="20"/>
                <w:szCs w:val="20"/>
              </w:rPr>
              <w:t>2</w:t>
            </w:r>
            <w:r w:rsidRPr="003178B5">
              <w:rPr>
                <w:rFonts w:ascii="Arial Narrow" w:hAnsi="Arial Narrow"/>
                <w:b/>
                <w:bCs/>
                <w:color w:val="333333"/>
                <w:sz w:val="20"/>
                <w:szCs w:val="20"/>
              </w:rPr>
              <w:t>] / Treatment of Concept: [new</w:t>
            </w:r>
            <w:r>
              <w:rPr>
                <w:rFonts w:ascii="Arial Narrow" w:hAnsi="Arial Narrow"/>
                <w:b/>
                <w:bCs/>
                <w:color w:val="333333"/>
                <w:sz w:val="20"/>
                <w:szCs w:val="20"/>
              </w:rPr>
              <w:t>2A</w:t>
            </w:r>
            <w:r w:rsidRPr="003178B5">
              <w:rPr>
                <w:rFonts w:ascii="Arial Narrow" w:hAnsi="Arial Narrow"/>
                <w:b/>
                <w:bCs/>
                <w:color w:val="333333"/>
                <w:sz w:val="20"/>
                <w:szCs w:val="20"/>
              </w:rPr>
              <w:t>]</w:t>
            </w:r>
          </w:p>
        </w:tc>
      </w:tr>
      <w:tr w:rsidR="0078146B" w:rsidRPr="001428E9" w14:paraId="393869B5"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969417E" w14:textId="77777777" w:rsidR="0078146B" w:rsidRPr="001428E9" w:rsidRDefault="0078146B" w:rsidP="0078146B">
            <w:pPr>
              <w:jc w:val="center"/>
              <w:rPr>
                <w:rFonts w:ascii="Arial Narrow" w:hAnsi="Arial Narrow"/>
                <w:color w:val="333333"/>
                <w:sz w:val="20"/>
                <w:szCs w:val="20"/>
              </w:rPr>
            </w:pPr>
          </w:p>
        </w:tc>
        <w:tc>
          <w:tcPr>
            <w:tcW w:w="7745" w:type="dxa"/>
            <w:gridSpan w:val="6"/>
            <w:vAlign w:val="center"/>
          </w:tcPr>
          <w:p w14:paraId="560281BF" w14:textId="77777777" w:rsidR="0078146B" w:rsidRPr="001428E9" w:rsidRDefault="0078146B" w:rsidP="0078146B">
            <w:pPr>
              <w:rPr>
                <w:rFonts w:ascii="Arial Narrow" w:hAnsi="Arial Narrow"/>
                <w:color w:val="333333"/>
                <w:sz w:val="20"/>
                <w:szCs w:val="20"/>
              </w:rPr>
            </w:pPr>
            <w:r w:rsidRPr="00C8249A">
              <w:rPr>
                <w:rFonts w:ascii="Arial Narrow" w:hAnsi="Arial Narrow"/>
                <w:b/>
                <w:bCs/>
                <w:sz w:val="20"/>
              </w:rPr>
              <w:t>Treatment Phase:</w:t>
            </w:r>
            <w:r w:rsidRPr="00C8249A">
              <w:rPr>
                <w:rFonts w:ascii="Arial Narrow" w:hAnsi="Arial Narrow"/>
                <w:bCs/>
                <w:sz w:val="20"/>
              </w:rPr>
              <w:t xml:space="preserve"> </w:t>
            </w:r>
            <w:r w:rsidRPr="00E1281B">
              <w:rPr>
                <w:rFonts w:ascii="Arial Narrow" w:hAnsi="Arial Narrow"/>
                <w:bCs/>
                <w:sz w:val="20"/>
              </w:rPr>
              <w:t xml:space="preserve">Continuing </w:t>
            </w:r>
            <w:r w:rsidRPr="00C8249A">
              <w:rPr>
                <w:rFonts w:ascii="Arial Narrow" w:hAnsi="Arial Narrow"/>
                <w:bCs/>
                <w:sz w:val="20"/>
              </w:rPr>
              <w:t>treatment</w:t>
            </w:r>
          </w:p>
        </w:tc>
      </w:tr>
      <w:tr w:rsidR="0078146B" w:rsidRPr="001428E9" w14:paraId="1AF3AF74"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43C1F1E" w14:textId="77777777" w:rsidR="0078146B" w:rsidRPr="001428E9" w:rsidRDefault="0078146B" w:rsidP="0078146B">
            <w:pPr>
              <w:jc w:val="center"/>
              <w:rPr>
                <w:rFonts w:ascii="Arial Narrow" w:hAnsi="Arial Narrow"/>
                <w:color w:val="333333"/>
                <w:sz w:val="20"/>
                <w:szCs w:val="20"/>
              </w:rPr>
            </w:pPr>
          </w:p>
        </w:tc>
        <w:tc>
          <w:tcPr>
            <w:tcW w:w="7745" w:type="dxa"/>
            <w:gridSpan w:val="6"/>
          </w:tcPr>
          <w:p w14:paraId="51829DFC" w14:textId="77777777" w:rsidR="0078146B" w:rsidRPr="001428E9" w:rsidRDefault="0078146B" w:rsidP="0078146B">
            <w:pPr>
              <w:rPr>
                <w:rFonts w:ascii="Arial Narrow" w:hAnsi="Arial Narrow"/>
                <w:color w:val="333333"/>
                <w:sz w:val="20"/>
                <w:szCs w:val="20"/>
              </w:rPr>
            </w:pPr>
            <w:r w:rsidRPr="00B27754">
              <w:rPr>
                <w:rFonts w:ascii="Arial Narrow" w:hAnsi="Arial Narrow"/>
                <w:b/>
                <w:bCs/>
                <w:sz w:val="20"/>
              </w:rPr>
              <w:t>Treatment criteria:</w:t>
            </w:r>
          </w:p>
        </w:tc>
      </w:tr>
      <w:tr w:rsidR="0078146B" w:rsidRPr="001428E9" w14:paraId="0D97BC12"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19EC5FE" w14:textId="6B8AE9B5" w:rsidR="0078146B" w:rsidRPr="001428E9" w:rsidRDefault="0078146B" w:rsidP="0078146B">
            <w:pPr>
              <w:keepNext/>
              <w:jc w:val="center"/>
              <w:rPr>
                <w:rFonts w:ascii="Arial Narrow" w:hAnsi="Arial Narrow"/>
                <w:color w:val="333333"/>
                <w:sz w:val="20"/>
                <w:szCs w:val="20"/>
              </w:rPr>
            </w:pPr>
          </w:p>
        </w:tc>
        <w:tc>
          <w:tcPr>
            <w:tcW w:w="7745" w:type="dxa"/>
            <w:gridSpan w:val="6"/>
          </w:tcPr>
          <w:p w14:paraId="131E5461" w14:textId="77777777" w:rsidR="0078146B" w:rsidRPr="001428E9" w:rsidRDefault="0078146B" w:rsidP="0078146B">
            <w:pPr>
              <w:keepNext/>
              <w:rPr>
                <w:rFonts w:ascii="Arial Narrow" w:hAnsi="Arial Narrow"/>
                <w:color w:val="333333"/>
                <w:sz w:val="20"/>
                <w:szCs w:val="20"/>
              </w:rPr>
            </w:pPr>
            <w:r w:rsidRPr="00B27754">
              <w:rPr>
                <w:rFonts w:ascii="Arial Narrow" w:hAnsi="Arial Narrow"/>
                <w:bCs/>
                <w:sz w:val="20"/>
              </w:rPr>
              <w:t>Must be treated by a specialist respiratory physician with expertise in cystic fibrosis or in consultation with a specialist respiratory physician with expertise in cystic fibrosis if attendance is not possible due to geographic isolation</w:t>
            </w:r>
          </w:p>
        </w:tc>
      </w:tr>
      <w:tr w:rsidR="0078146B" w:rsidRPr="001428E9" w14:paraId="470C8A9A"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116C62C" w14:textId="77777777" w:rsidR="0078146B" w:rsidRPr="001428E9" w:rsidRDefault="0078146B" w:rsidP="0078146B">
            <w:pPr>
              <w:jc w:val="center"/>
              <w:rPr>
                <w:rFonts w:ascii="Arial Narrow" w:hAnsi="Arial Narrow"/>
                <w:color w:val="333333"/>
                <w:sz w:val="20"/>
                <w:szCs w:val="20"/>
              </w:rPr>
            </w:pPr>
          </w:p>
        </w:tc>
        <w:tc>
          <w:tcPr>
            <w:tcW w:w="7745" w:type="dxa"/>
            <w:gridSpan w:val="6"/>
          </w:tcPr>
          <w:p w14:paraId="31BD5256" w14:textId="77777777" w:rsidR="0078146B" w:rsidRPr="001428E9" w:rsidRDefault="0078146B" w:rsidP="0078146B">
            <w:pPr>
              <w:autoSpaceDE w:val="0"/>
              <w:autoSpaceDN w:val="0"/>
              <w:adjustRightInd w:val="0"/>
              <w:rPr>
                <w:rFonts w:ascii="Arial Narrow" w:hAnsi="Arial Narrow" w:cs="Arial Narrow"/>
                <w:i/>
                <w:iCs/>
                <w:sz w:val="20"/>
                <w:szCs w:val="20"/>
              </w:rPr>
            </w:pPr>
            <w:r w:rsidRPr="00B27754">
              <w:rPr>
                <w:rFonts w:ascii="Arial Narrow" w:hAnsi="Arial Narrow"/>
                <w:b/>
                <w:bCs/>
                <w:sz w:val="20"/>
              </w:rPr>
              <w:t>AND</w:t>
            </w:r>
          </w:p>
        </w:tc>
      </w:tr>
      <w:tr w:rsidR="0078146B" w:rsidRPr="001428E9" w14:paraId="7046008A"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72E1C39" w14:textId="77777777" w:rsidR="0078146B" w:rsidRPr="001428E9" w:rsidRDefault="0078146B" w:rsidP="0078146B">
            <w:pPr>
              <w:jc w:val="center"/>
              <w:rPr>
                <w:rFonts w:ascii="Arial Narrow" w:hAnsi="Arial Narrow"/>
                <w:color w:val="333333"/>
                <w:sz w:val="20"/>
                <w:szCs w:val="20"/>
              </w:rPr>
            </w:pPr>
          </w:p>
        </w:tc>
        <w:tc>
          <w:tcPr>
            <w:tcW w:w="7745" w:type="dxa"/>
            <w:gridSpan w:val="6"/>
          </w:tcPr>
          <w:p w14:paraId="4EFD8E39" w14:textId="77777777" w:rsidR="0078146B" w:rsidRPr="001428E9" w:rsidRDefault="0078146B" w:rsidP="0078146B">
            <w:pPr>
              <w:autoSpaceDE w:val="0"/>
              <w:autoSpaceDN w:val="0"/>
              <w:adjustRightInd w:val="0"/>
              <w:rPr>
                <w:rFonts w:ascii="Arial Narrow" w:hAnsi="Arial Narrow" w:cs="Arial Narrow"/>
                <w:i/>
                <w:iCs/>
                <w:sz w:val="20"/>
                <w:szCs w:val="20"/>
              </w:rPr>
            </w:pPr>
            <w:r w:rsidRPr="00B27754">
              <w:rPr>
                <w:rFonts w:ascii="Arial Narrow" w:hAnsi="Arial Narrow"/>
                <w:b/>
                <w:bCs/>
                <w:sz w:val="20"/>
              </w:rPr>
              <w:t>Treatment criteria:</w:t>
            </w:r>
          </w:p>
        </w:tc>
      </w:tr>
      <w:tr w:rsidR="0078146B" w:rsidRPr="001428E9" w14:paraId="4C8B504C"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88F942F" w14:textId="4B34A603" w:rsidR="0078146B" w:rsidRPr="001428E9" w:rsidRDefault="0078146B" w:rsidP="0078146B">
            <w:pPr>
              <w:jc w:val="center"/>
              <w:rPr>
                <w:rFonts w:ascii="Arial Narrow" w:hAnsi="Arial Narrow"/>
                <w:color w:val="333333"/>
                <w:sz w:val="20"/>
                <w:szCs w:val="20"/>
              </w:rPr>
            </w:pPr>
          </w:p>
        </w:tc>
        <w:tc>
          <w:tcPr>
            <w:tcW w:w="7745" w:type="dxa"/>
            <w:gridSpan w:val="6"/>
          </w:tcPr>
          <w:p w14:paraId="4734B833" w14:textId="77777777" w:rsidR="0078146B" w:rsidRPr="001428E9" w:rsidRDefault="0078146B" w:rsidP="0078146B">
            <w:pPr>
              <w:rPr>
                <w:rFonts w:ascii="Arial Narrow" w:hAnsi="Arial Narrow"/>
                <w:b/>
                <w:bCs/>
                <w:color w:val="333333"/>
                <w:sz w:val="20"/>
                <w:szCs w:val="20"/>
              </w:rPr>
            </w:pPr>
            <w:r w:rsidRPr="00B27754">
              <w:rPr>
                <w:rFonts w:ascii="Arial Narrow" w:hAnsi="Arial Narrow"/>
                <w:bCs/>
                <w:sz w:val="20"/>
              </w:rPr>
              <w:t>Must be treated in a centre with expertise in cystic fibrosis or in consultation with a centre with expertise in cystic fibrosis if attendance is not possible due to geographic isolation</w:t>
            </w:r>
          </w:p>
        </w:tc>
      </w:tr>
      <w:tr w:rsidR="0078146B" w:rsidRPr="001428E9" w14:paraId="3CB3FB03"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794504C" w14:textId="77777777" w:rsidR="0078146B" w:rsidRPr="001428E9" w:rsidRDefault="0078146B" w:rsidP="0078146B">
            <w:pPr>
              <w:jc w:val="center"/>
              <w:rPr>
                <w:rFonts w:ascii="Arial Narrow" w:hAnsi="Arial Narrow"/>
                <w:color w:val="333333"/>
                <w:sz w:val="20"/>
                <w:szCs w:val="20"/>
              </w:rPr>
            </w:pPr>
          </w:p>
        </w:tc>
        <w:tc>
          <w:tcPr>
            <w:tcW w:w="7745" w:type="dxa"/>
            <w:gridSpan w:val="6"/>
          </w:tcPr>
          <w:p w14:paraId="2FD94189" w14:textId="77777777" w:rsidR="0078146B" w:rsidRPr="001428E9" w:rsidRDefault="0078146B" w:rsidP="0078146B">
            <w:pPr>
              <w:rPr>
                <w:rFonts w:ascii="Arial Narrow" w:hAnsi="Arial Narrow"/>
                <w:b/>
                <w:bCs/>
                <w:color w:val="333333"/>
                <w:sz w:val="20"/>
                <w:szCs w:val="20"/>
              </w:rPr>
            </w:pPr>
            <w:r w:rsidRPr="00B27754">
              <w:rPr>
                <w:rFonts w:ascii="Arial Narrow" w:hAnsi="Arial Narrow"/>
                <w:b/>
                <w:bCs/>
                <w:sz w:val="20"/>
              </w:rPr>
              <w:t>AND</w:t>
            </w:r>
          </w:p>
        </w:tc>
      </w:tr>
      <w:tr w:rsidR="0078146B" w:rsidRPr="001428E9" w14:paraId="30E00AEA"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FB17E8D" w14:textId="77777777" w:rsidR="0078146B" w:rsidRPr="001428E9" w:rsidRDefault="0078146B" w:rsidP="0078146B">
            <w:pPr>
              <w:jc w:val="center"/>
              <w:rPr>
                <w:rFonts w:ascii="Arial Narrow" w:hAnsi="Arial Narrow"/>
                <w:color w:val="333333"/>
                <w:sz w:val="20"/>
                <w:szCs w:val="20"/>
              </w:rPr>
            </w:pPr>
          </w:p>
        </w:tc>
        <w:tc>
          <w:tcPr>
            <w:tcW w:w="7745" w:type="dxa"/>
            <w:gridSpan w:val="6"/>
          </w:tcPr>
          <w:p w14:paraId="3750C69B" w14:textId="77777777" w:rsidR="0078146B" w:rsidRPr="001428E9" w:rsidRDefault="0078146B" w:rsidP="0078146B">
            <w:pPr>
              <w:rPr>
                <w:rFonts w:ascii="Arial Narrow" w:hAnsi="Arial Narrow"/>
                <w:color w:val="333333"/>
                <w:sz w:val="20"/>
                <w:szCs w:val="20"/>
              </w:rPr>
            </w:pPr>
            <w:r w:rsidRPr="00B27754">
              <w:rPr>
                <w:rFonts w:ascii="Arial Narrow" w:hAnsi="Arial Narrow"/>
                <w:b/>
                <w:bCs/>
                <w:sz w:val="20"/>
              </w:rPr>
              <w:t>Clinical criteria:</w:t>
            </w:r>
          </w:p>
        </w:tc>
      </w:tr>
      <w:tr w:rsidR="0078146B" w:rsidRPr="001428E9" w14:paraId="5B6D9E11"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E0F8E59" w14:textId="3DD1923D" w:rsidR="0078146B" w:rsidRPr="001428E9" w:rsidRDefault="0078146B" w:rsidP="0078146B">
            <w:pPr>
              <w:jc w:val="center"/>
              <w:rPr>
                <w:rFonts w:ascii="Arial Narrow" w:hAnsi="Arial Narrow"/>
                <w:color w:val="333333"/>
                <w:sz w:val="20"/>
                <w:szCs w:val="20"/>
              </w:rPr>
            </w:pPr>
          </w:p>
        </w:tc>
        <w:tc>
          <w:tcPr>
            <w:tcW w:w="7745" w:type="dxa"/>
            <w:gridSpan w:val="6"/>
          </w:tcPr>
          <w:p w14:paraId="55D4AFEB" w14:textId="77777777" w:rsidR="0078146B" w:rsidRPr="001428E9" w:rsidRDefault="0078146B" w:rsidP="0078146B">
            <w:pPr>
              <w:rPr>
                <w:rFonts w:ascii="Arial Narrow" w:hAnsi="Arial Narrow"/>
                <w:color w:val="333333"/>
                <w:sz w:val="20"/>
                <w:szCs w:val="20"/>
              </w:rPr>
            </w:pPr>
            <w:r w:rsidRPr="00B27754">
              <w:rPr>
                <w:rFonts w:ascii="Arial Narrow" w:hAnsi="Arial Narrow"/>
                <w:sz w:val="20"/>
              </w:rPr>
              <w:t xml:space="preserve">Patient must have previously received PBS-subsidised treatment with this drug for this condition </w:t>
            </w:r>
          </w:p>
        </w:tc>
      </w:tr>
      <w:tr w:rsidR="0078146B" w:rsidRPr="001428E9" w14:paraId="19ABF008"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755C7E6" w14:textId="77777777" w:rsidR="0078146B" w:rsidRPr="001428E9" w:rsidRDefault="0078146B" w:rsidP="0078146B">
            <w:pPr>
              <w:jc w:val="center"/>
              <w:rPr>
                <w:rFonts w:ascii="Arial Narrow" w:hAnsi="Arial Narrow"/>
                <w:color w:val="333333"/>
                <w:sz w:val="20"/>
                <w:szCs w:val="20"/>
              </w:rPr>
            </w:pPr>
          </w:p>
        </w:tc>
        <w:tc>
          <w:tcPr>
            <w:tcW w:w="7745" w:type="dxa"/>
            <w:gridSpan w:val="6"/>
          </w:tcPr>
          <w:p w14:paraId="50E26E3D" w14:textId="77777777" w:rsidR="0078146B" w:rsidRPr="001428E9" w:rsidRDefault="0078146B" w:rsidP="0078146B">
            <w:pPr>
              <w:rPr>
                <w:rFonts w:ascii="Arial Narrow" w:hAnsi="Arial Narrow"/>
                <w:color w:val="333333"/>
                <w:sz w:val="20"/>
                <w:szCs w:val="20"/>
              </w:rPr>
            </w:pPr>
            <w:r w:rsidRPr="00B27754">
              <w:rPr>
                <w:rFonts w:ascii="Arial Narrow" w:hAnsi="Arial Narrow"/>
                <w:b/>
                <w:bCs/>
                <w:sz w:val="20"/>
              </w:rPr>
              <w:t>AND</w:t>
            </w:r>
          </w:p>
        </w:tc>
      </w:tr>
      <w:tr w:rsidR="0078146B" w:rsidRPr="001428E9" w14:paraId="1A5C64DB"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4241C86" w14:textId="77777777" w:rsidR="0078146B" w:rsidRPr="001428E9" w:rsidRDefault="0078146B" w:rsidP="0078146B">
            <w:pPr>
              <w:jc w:val="center"/>
              <w:rPr>
                <w:rFonts w:ascii="Arial Narrow" w:hAnsi="Arial Narrow"/>
                <w:color w:val="333333"/>
                <w:sz w:val="20"/>
                <w:szCs w:val="20"/>
              </w:rPr>
            </w:pPr>
          </w:p>
        </w:tc>
        <w:tc>
          <w:tcPr>
            <w:tcW w:w="7745" w:type="dxa"/>
            <w:gridSpan w:val="6"/>
          </w:tcPr>
          <w:p w14:paraId="286734AC" w14:textId="77777777" w:rsidR="0078146B" w:rsidRPr="001428E9" w:rsidRDefault="0078146B" w:rsidP="0078146B">
            <w:pPr>
              <w:rPr>
                <w:rFonts w:ascii="Arial Narrow" w:hAnsi="Arial Narrow"/>
                <w:color w:val="333333"/>
                <w:sz w:val="20"/>
                <w:szCs w:val="20"/>
              </w:rPr>
            </w:pPr>
            <w:r w:rsidRPr="00B27754">
              <w:rPr>
                <w:rFonts w:ascii="Arial Narrow" w:hAnsi="Arial Narrow"/>
                <w:b/>
                <w:bCs/>
                <w:sz w:val="20"/>
              </w:rPr>
              <w:t>Clinical criteria:</w:t>
            </w:r>
          </w:p>
        </w:tc>
      </w:tr>
      <w:tr w:rsidR="0078146B" w:rsidRPr="001428E9" w14:paraId="2C921410"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595EC24" w14:textId="2BE3FD23" w:rsidR="0078146B" w:rsidRPr="001428E9" w:rsidRDefault="0078146B" w:rsidP="0078146B">
            <w:pPr>
              <w:jc w:val="center"/>
              <w:rPr>
                <w:rFonts w:ascii="Arial Narrow" w:hAnsi="Arial Narrow"/>
                <w:color w:val="333333"/>
                <w:sz w:val="20"/>
                <w:szCs w:val="20"/>
              </w:rPr>
            </w:pPr>
          </w:p>
        </w:tc>
        <w:tc>
          <w:tcPr>
            <w:tcW w:w="7745" w:type="dxa"/>
            <w:gridSpan w:val="6"/>
          </w:tcPr>
          <w:p w14:paraId="4390FEF7" w14:textId="77777777" w:rsidR="0078146B" w:rsidRPr="001428E9" w:rsidRDefault="0078146B" w:rsidP="0078146B">
            <w:pPr>
              <w:rPr>
                <w:rFonts w:ascii="Arial Narrow" w:hAnsi="Arial Narrow"/>
                <w:color w:val="333333"/>
                <w:sz w:val="20"/>
                <w:szCs w:val="20"/>
              </w:rPr>
            </w:pPr>
            <w:r w:rsidRPr="00B27754">
              <w:rPr>
                <w:rFonts w:ascii="Arial Narrow" w:hAnsi="Arial Narrow"/>
                <w:sz w:val="20"/>
              </w:rPr>
              <w:t>The treatment must be given concomitantly with standard therapy for this condition.</w:t>
            </w:r>
          </w:p>
        </w:tc>
      </w:tr>
      <w:tr w:rsidR="0078146B" w:rsidRPr="001428E9" w14:paraId="5F7323A1"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B18647A" w14:textId="77777777" w:rsidR="0078146B" w:rsidRPr="001428E9" w:rsidRDefault="0078146B" w:rsidP="0078146B">
            <w:pPr>
              <w:jc w:val="center"/>
              <w:rPr>
                <w:rFonts w:ascii="Arial Narrow" w:hAnsi="Arial Narrow"/>
                <w:color w:val="333333"/>
                <w:sz w:val="20"/>
                <w:szCs w:val="20"/>
              </w:rPr>
            </w:pPr>
          </w:p>
        </w:tc>
        <w:tc>
          <w:tcPr>
            <w:tcW w:w="7745" w:type="dxa"/>
            <w:gridSpan w:val="6"/>
          </w:tcPr>
          <w:p w14:paraId="71D3A523" w14:textId="77777777" w:rsidR="0078146B" w:rsidRPr="001428E9" w:rsidRDefault="0078146B" w:rsidP="0078146B">
            <w:pPr>
              <w:rPr>
                <w:rFonts w:ascii="Arial Narrow" w:hAnsi="Arial Narrow"/>
                <w:color w:val="333333"/>
                <w:sz w:val="20"/>
                <w:szCs w:val="20"/>
              </w:rPr>
            </w:pPr>
            <w:r w:rsidRPr="00B27754">
              <w:rPr>
                <w:rFonts w:ascii="Arial Narrow" w:hAnsi="Arial Narrow"/>
                <w:b/>
                <w:bCs/>
                <w:sz w:val="20"/>
              </w:rPr>
              <w:t>AND</w:t>
            </w:r>
          </w:p>
        </w:tc>
      </w:tr>
      <w:tr w:rsidR="00D65F14" w:rsidRPr="001428E9" w14:paraId="07C095F3"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396547E" w14:textId="77777777" w:rsidR="00D65F14" w:rsidRPr="001428E9" w:rsidRDefault="00D65F14" w:rsidP="00D65F14">
            <w:pPr>
              <w:jc w:val="center"/>
              <w:rPr>
                <w:rFonts w:ascii="Arial Narrow" w:hAnsi="Arial Narrow"/>
                <w:color w:val="333333"/>
                <w:sz w:val="20"/>
                <w:szCs w:val="20"/>
              </w:rPr>
            </w:pPr>
          </w:p>
        </w:tc>
        <w:tc>
          <w:tcPr>
            <w:tcW w:w="7745" w:type="dxa"/>
            <w:gridSpan w:val="6"/>
          </w:tcPr>
          <w:p w14:paraId="1934557F" w14:textId="108D0C1B" w:rsidR="00D65F14" w:rsidRPr="00B27754" w:rsidRDefault="00D65F14" w:rsidP="00D65F14">
            <w:pPr>
              <w:rPr>
                <w:rFonts w:ascii="Arial Narrow" w:hAnsi="Arial Narrow"/>
                <w:b/>
                <w:bCs/>
                <w:sz w:val="20"/>
              </w:rPr>
            </w:pPr>
            <w:r w:rsidRPr="00332B61">
              <w:rPr>
                <w:rFonts w:ascii="Arial Narrow" w:eastAsia="Calibri" w:hAnsi="Arial Narrow"/>
                <w:b/>
                <w:color w:val="000000" w:themeColor="text1"/>
                <w:sz w:val="20"/>
              </w:rPr>
              <w:t>Population criteria:</w:t>
            </w:r>
            <w:r w:rsidRPr="006972BC">
              <w:rPr>
                <w:rFonts w:ascii="Arial Narrow" w:eastAsia="Calibri" w:hAnsi="Arial Narrow" w:cs="Calibri"/>
                <w:i/>
                <w:color w:val="000000" w:themeColor="text1"/>
                <w:sz w:val="20"/>
              </w:rPr>
              <w:t xml:space="preserve"> </w:t>
            </w:r>
            <w:r w:rsidRPr="00090499">
              <w:rPr>
                <w:rFonts w:ascii="Arial Narrow" w:eastAsia="Calibri" w:hAnsi="Arial Narrow" w:cs="Calibri"/>
                <w:b/>
                <w:i/>
                <w:color w:val="000000" w:themeColor="text1"/>
                <w:sz w:val="20"/>
                <w:u w:val="single"/>
              </w:rPr>
              <w:t>(specific to ELX 100mg + TEZ 50mg + IVA 75mg (&amp;) IVA 75mg)</w:t>
            </w:r>
            <w:r>
              <w:rPr>
                <w:rFonts w:ascii="Arial Narrow" w:eastAsia="Calibri" w:hAnsi="Arial Narrow" w:cs="Calibri"/>
                <w:b/>
                <w:i/>
                <w:color w:val="000000" w:themeColor="text1"/>
                <w:sz w:val="20"/>
                <w:u w:val="single"/>
              </w:rPr>
              <w:t xml:space="preserve"> – granules </w:t>
            </w:r>
          </w:p>
        </w:tc>
      </w:tr>
      <w:tr w:rsidR="00D65F14" w:rsidRPr="001428E9" w14:paraId="0231698D"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B4AC09B" w14:textId="6472EC6C" w:rsidR="00D65F14" w:rsidRPr="001428E9" w:rsidRDefault="00D65F14" w:rsidP="00D65F14">
            <w:pPr>
              <w:jc w:val="center"/>
              <w:rPr>
                <w:rFonts w:ascii="Arial Narrow" w:hAnsi="Arial Narrow"/>
                <w:color w:val="333333"/>
                <w:sz w:val="20"/>
                <w:szCs w:val="20"/>
              </w:rPr>
            </w:pPr>
          </w:p>
        </w:tc>
        <w:tc>
          <w:tcPr>
            <w:tcW w:w="7745" w:type="dxa"/>
            <w:gridSpan w:val="6"/>
            <w:vAlign w:val="center"/>
          </w:tcPr>
          <w:p w14:paraId="2DCBE588" w14:textId="7C5FBB47" w:rsidR="00D65F14" w:rsidRPr="00B27754" w:rsidRDefault="00D65F14" w:rsidP="00D65F14">
            <w:pPr>
              <w:rPr>
                <w:rFonts w:ascii="Arial Narrow" w:hAnsi="Arial Narrow"/>
                <w:b/>
                <w:bCs/>
                <w:sz w:val="20"/>
              </w:rPr>
            </w:pPr>
            <w:r w:rsidRPr="00C8249A">
              <w:rPr>
                <w:rFonts w:ascii="Arial Narrow" w:hAnsi="Arial Narrow"/>
                <w:sz w:val="20"/>
              </w:rPr>
              <w:t>Patient must be</w:t>
            </w:r>
            <w:r>
              <w:rPr>
                <w:rFonts w:ascii="Arial Narrow" w:hAnsi="Arial Narrow"/>
                <w:sz w:val="20"/>
              </w:rPr>
              <w:t xml:space="preserve"> </w:t>
            </w:r>
            <w:r w:rsidRPr="00C8249A">
              <w:rPr>
                <w:rFonts w:ascii="Arial Narrow" w:hAnsi="Arial Narrow"/>
                <w:sz w:val="20"/>
              </w:rPr>
              <w:t xml:space="preserve">2 to </w:t>
            </w:r>
            <w:r w:rsidR="00D41552">
              <w:rPr>
                <w:rFonts w:ascii="Arial Narrow" w:hAnsi="Arial Narrow"/>
                <w:sz w:val="20"/>
              </w:rPr>
              <w:t>5</w:t>
            </w:r>
            <w:r w:rsidRPr="00C8249A">
              <w:rPr>
                <w:rFonts w:ascii="Arial Narrow" w:hAnsi="Arial Narrow"/>
                <w:sz w:val="20"/>
              </w:rPr>
              <w:t xml:space="preserve"> years </w:t>
            </w:r>
            <w:r w:rsidRPr="002D03AB">
              <w:rPr>
                <w:rFonts w:ascii="Arial Narrow" w:hAnsi="Arial Narrow"/>
                <w:sz w:val="20"/>
              </w:rPr>
              <w:t>of age</w:t>
            </w:r>
            <w:r>
              <w:rPr>
                <w:rFonts w:ascii="Arial Narrow" w:hAnsi="Arial Narrow"/>
                <w:strike/>
                <w:sz w:val="20"/>
              </w:rPr>
              <w:t xml:space="preserve"> </w:t>
            </w:r>
          </w:p>
        </w:tc>
      </w:tr>
      <w:tr w:rsidR="00D65F14" w:rsidRPr="001428E9" w14:paraId="3E67393D"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33909FF" w14:textId="77777777" w:rsidR="00D65F14" w:rsidRPr="001428E9" w:rsidRDefault="00D65F14" w:rsidP="00D65F14">
            <w:pPr>
              <w:jc w:val="center"/>
              <w:rPr>
                <w:rFonts w:ascii="Arial Narrow" w:hAnsi="Arial Narrow"/>
                <w:color w:val="333333"/>
                <w:sz w:val="20"/>
                <w:szCs w:val="20"/>
              </w:rPr>
            </w:pPr>
          </w:p>
        </w:tc>
        <w:tc>
          <w:tcPr>
            <w:tcW w:w="7745" w:type="dxa"/>
            <w:gridSpan w:val="6"/>
          </w:tcPr>
          <w:p w14:paraId="4E416908" w14:textId="577D9C44" w:rsidR="00D65F14" w:rsidRPr="00B27754" w:rsidRDefault="00D65F14" w:rsidP="00D65F14">
            <w:pPr>
              <w:rPr>
                <w:rFonts w:ascii="Arial Narrow" w:hAnsi="Arial Narrow"/>
                <w:b/>
                <w:bCs/>
                <w:sz w:val="20"/>
              </w:rPr>
            </w:pPr>
            <w:r w:rsidRPr="00C8249A">
              <w:rPr>
                <w:rFonts w:ascii="Arial Narrow" w:hAnsi="Arial Narrow"/>
                <w:b/>
                <w:bCs/>
                <w:sz w:val="20"/>
              </w:rPr>
              <w:t>Population criteria:</w:t>
            </w:r>
            <w:r>
              <w:rPr>
                <w:rFonts w:ascii="Arial Narrow" w:hAnsi="Arial Narrow"/>
                <w:b/>
                <w:bCs/>
                <w:sz w:val="20"/>
              </w:rPr>
              <w:t xml:space="preserve"> </w:t>
            </w:r>
            <w:r w:rsidRPr="00090499">
              <w:rPr>
                <w:rFonts w:ascii="Arial Narrow" w:eastAsia="Calibri" w:hAnsi="Arial Narrow" w:cs="Calibri"/>
                <w:b/>
                <w:i/>
                <w:sz w:val="20"/>
                <w:u w:val="single"/>
              </w:rPr>
              <w:t>(specific to ELX 80mg + TEZ 40mg + IVA 60mg (&amp;) IVA 59.5mg)</w:t>
            </w:r>
            <w:r>
              <w:rPr>
                <w:rFonts w:ascii="Arial Narrow" w:eastAsia="Calibri" w:hAnsi="Arial Narrow" w:cs="Calibri"/>
                <w:b/>
                <w:i/>
                <w:sz w:val="20"/>
                <w:u w:val="single"/>
              </w:rPr>
              <w:t xml:space="preserve"> – granules</w:t>
            </w:r>
          </w:p>
        </w:tc>
      </w:tr>
      <w:tr w:rsidR="00D65F14" w:rsidRPr="001428E9" w14:paraId="3EC647F7"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13B8101" w14:textId="27E4DABB" w:rsidR="00D65F14" w:rsidRPr="001428E9" w:rsidRDefault="00D65F14" w:rsidP="00D65F14">
            <w:pPr>
              <w:jc w:val="center"/>
              <w:rPr>
                <w:rFonts w:ascii="Arial Narrow" w:hAnsi="Arial Narrow"/>
                <w:color w:val="333333"/>
                <w:sz w:val="20"/>
                <w:szCs w:val="20"/>
              </w:rPr>
            </w:pPr>
          </w:p>
        </w:tc>
        <w:tc>
          <w:tcPr>
            <w:tcW w:w="7745" w:type="dxa"/>
            <w:gridSpan w:val="6"/>
          </w:tcPr>
          <w:p w14:paraId="22D0C946" w14:textId="3370DA02" w:rsidR="00D65F14" w:rsidRPr="00B27754" w:rsidRDefault="00D65F14" w:rsidP="00D65F14">
            <w:pPr>
              <w:rPr>
                <w:rFonts w:ascii="Arial Narrow" w:hAnsi="Arial Narrow"/>
                <w:b/>
                <w:bCs/>
                <w:sz w:val="20"/>
              </w:rPr>
            </w:pPr>
            <w:r w:rsidRPr="00C8249A">
              <w:rPr>
                <w:rFonts w:ascii="Arial Narrow" w:hAnsi="Arial Narrow"/>
                <w:sz w:val="20"/>
              </w:rPr>
              <w:t>Patient must be 2 to 5 years of age</w:t>
            </w:r>
          </w:p>
        </w:tc>
      </w:tr>
      <w:tr w:rsidR="00D65F14" w:rsidRPr="001428E9" w14:paraId="6C296A7F"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0AC775F" w14:textId="77777777" w:rsidR="00D65F14" w:rsidRPr="001428E9" w:rsidRDefault="00D65F14" w:rsidP="00D65F14">
            <w:pPr>
              <w:jc w:val="center"/>
              <w:rPr>
                <w:rFonts w:ascii="Arial Narrow" w:hAnsi="Arial Narrow"/>
                <w:color w:val="333333"/>
                <w:sz w:val="20"/>
                <w:szCs w:val="20"/>
              </w:rPr>
            </w:pPr>
          </w:p>
        </w:tc>
        <w:tc>
          <w:tcPr>
            <w:tcW w:w="7745" w:type="dxa"/>
            <w:gridSpan w:val="6"/>
          </w:tcPr>
          <w:p w14:paraId="036C4897" w14:textId="0B68575F" w:rsidR="00D65F14" w:rsidRPr="00B27754" w:rsidRDefault="00D65F14" w:rsidP="00D65F14">
            <w:pPr>
              <w:rPr>
                <w:rFonts w:ascii="Arial Narrow" w:hAnsi="Arial Narrow"/>
                <w:b/>
                <w:bCs/>
                <w:sz w:val="20"/>
              </w:rPr>
            </w:pPr>
            <w:r w:rsidRPr="00C8249A">
              <w:rPr>
                <w:rFonts w:ascii="Arial Narrow" w:hAnsi="Arial Narrow"/>
                <w:b/>
                <w:bCs/>
                <w:sz w:val="20"/>
              </w:rPr>
              <w:t>Population criteria:</w:t>
            </w:r>
            <w:r w:rsidRPr="009E0B1C">
              <w:rPr>
                <w:rFonts w:ascii="Arial Narrow" w:hAnsi="Arial Narrow"/>
                <w:b/>
                <w:sz w:val="20"/>
              </w:rPr>
              <w:t xml:space="preserve"> </w:t>
            </w:r>
            <w:r w:rsidRPr="00665EA4">
              <w:rPr>
                <w:rFonts w:ascii="Arial Narrow" w:hAnsi="Arial Narrow"/>
                <w:b/>
                <w:i/>
                <w:iCs/>
                <w:sz w:val="20"/>
                <w:u w:val="single"/>
              </w:rPr>
              <w:t>(specific to ELX 100mg + TEZ 50mg + IVA 75mg (&amp;) IVA 150mg) – tablets</w:t>
            </w:r>
            <w:r>
              <w:rPr>
                <w:rFonts w:ascii="Arial Narrow" w:hAnsi="Arial Narrow"/>
                <w:b/>
                <w:sz w:val="20"/>
              </w:rPr>
              <w:t xml:space="preserve"> </w:t>
            </w:r>
          </w:p>
        </w:tc>
      </w:tr>
      <w:tr w:rsidR="00D65F14" w:rsidRPr="001428E9" w14:paraId="67B5CF8B"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E599638" w14:textId="11A7F634" w:rsidR="00D65F14" w:rsidRPr="001428E9" w:rsidRDefault="00D65F14" w:rsidP="00D65F14">
            <w:pPr>
              <w:jc w:val="center"/>
              <w:rPr>
                <w:rFonts w:ascii="Arial Narrow" w:hAnsi="Arial Narrow"/>
                <w:color w:val="333333"/>
                <w:sz w:val="20"/>
                <w:szCs w:val="20"/>
              </w:rPr>
            </w:pPr>
          </w:p>
        </w:tc>
        <w:tc>
          <w:tcPr>
            <w:tcW w:w="7745" w:type="dxa"/>
            <w:gridSpan w:val="6"/>
          </w:tcPr>
          <w:p w14:paraId="1DE4A5B5" w14:textId="58ED8578" w:rsidR="00D65F14" w:rsidRPr="00B27754" w:rsidRDefault="00D65F14" w:rsidP="00D65F14">
            <w:pPr>
              <w:rPr>
                <w:rFonts w:ascii="Arial Narrow" w:hAnsi="Arial Narrow"/>
                <w:b/>
                <w:bCs/>
                <w:sz w:val="20"/>
              </w:rPr>
            </w:pPr>
            <w:r w:rsidRPr="00C8249A">
              <w:rPr>
                <w:rFonts w:ascii="Arial Narrow" w:hAnsi="Arial Narrow"/>
                <w:sz w:val="20"/>
              </w:rPr>
              <w:t xml:space="preserve">Patient must be </w:t>
            </w:r>
            <w:r>
              <w:rPr>
                <w:rFonts w:ascii="Arial Narrow" w:hAnsi="Arial Narrow"/>
                <w:sz w:val="20"/>
              </w:rPr>
              <w:t>at least 6</w:t>
            </w:r>
            <w:r w:rsidRPr="00C8249A">
              <w:rPr>
                <w:rFonts w:ascii="Arial Narrow" w:hAnsi="Arial Narrow"/>
                <w:sz w:val="20"/>
              </w:rPr>
              <w:t xml:space="preserve"> years of age</w:t>
            </w:r>
          </w:p>
        </w:tc>
      </w:tr>
      <w:tr w:rsidR="00D65F14" w:rsidRPr="001428E9" w14:paraId="22D52579"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17ECC82" w14:textId="77777777" w:rsidR="00D65F14" w:rsidRPr="001428E9" w:rsidRDefault="00D65F14" w:rsidP="00D65F14">
            <w:pPr>
              <w:jc w:val="center"/>
              <w:rPr>
                <w:rFonts w:ascii="Arial Narrow" w:hAnsi="Arial Narrow"/>
                <w:color w:val="333333"/>
                <w:sz w:val="20"/>
                <w:szCs w:val="20"/>
              </w:rPr>
            </w:pPr>
          </w:p>
        </w:tc>
        <w:tc>
          <w:tcPr>
            <w:tcW w:w="7745" w:type="dxa"/>
            <w:gridSpan w:val="6"/>
          </w:tcPr>
          <w:p w14:paraId="587886B8" w14:textId="2B263B31" w:rsidR="00D65F14" w:rsidRPr="00B27754" w:rsidRDefault="00D65F14" w:rsidP="00D65F14">
            <w:pPr>
              <w:rPr>
                <w:rFonts w:ascii="Arial Narrow" w:hAnsi="Arial Narrow"/>
                <w:b/>
                <w:bCs/>
                <w:sz w:val="20"/>
              </w:rPr>
            </w:pPr>
            <w:r w:rsidRPr="00C8575B">
              <w:rPr>
                <w:rFonts w:ascii="Arial Narrow" w:hAnsi="Arial Narrow"/>
                <w:b/>
                <w:sz w:val="20"/>
              </w:rPr>
              <w:t>Population criteria</w:t>
            </w:r>
            <w:r w:rsidRPr="000449E6">
              <w:rPr>
                <w:rFonts w:ascii="Arial Narrow" w:hAnsi="Arial Narrow"/>
                <w:b/>
                <w:i/>
                <w:iCs/>
                <w:sz w:val="20"/>
              </w:rPr>
              <w:t xml:space="preserve">: </w:t>
            </w:r>
            <w:r w:rsidRPr="000449E6">
              <w:rPr>
                <w:rFonts w:ascii="Arial Narrow" w:hAnsi="Arial Narrow"/>
                <w:b/>
                <w:i/>
                <w:iCs/>
                <w:sz w:val="20"/>
                <w:u w:val="single"/>
              </w:rPr>
              <w:t>(specific to ELX 50mg + TEZ 25mg + IVA 37.5mg (&amp;) IVA 75mg) – tablets</w:t>
            </w:r>
            <w:r>
              <w:rPr>
                <w:rFonts w:ascii="Arial Narrow" w:hAnsi="Arial Narrow"/>
                <w:b/>
                <w:sz w:val="20"/>
              </w:rPr>
              <w:t xml:space="preserve"> </w:t>
            </w:r>
          </w:p>
        </w:tc>
      </w:tr>
      <w:tr w:rsidR="00D65F14" w:rsidRPr="001428E9" w14:paraId="52DDEFA1"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63E263D" w14:textId="4E3EC36D" w:rsidR="00D65F14" w:rsidRPr="001428E9" w:rsidRDefault="00D65F14" w:rsidP="00D65F14">
            <w:pPr>
              <w:jc w:val="center"/>
              <w:rPr>
                <w:rFonts w:ascii="Arial Narrow" w:hAnsi="Arial Narrow"/>
                <w:color w:val="333333"/>
                <w:sz w:val="20"/>
                <w:szCs w:val="20"/>
              </w:rPr>
            </w:pPr>
          </w:p>
        </w:tc>
        <w:tc>
          <w:tcPr>
            <w:tcW w:w="7745" w:type="dxa"/>
            <w:gridSpan w:val="6"/>
            <w:vAlign w:val="center"/>
          </w:tcPr>
          <w:p w14:paraId="194DA5CA" w14:textId="6F027C15" w:rsidR="00D65F14" w:rsidRPr="00B27754" w:rsidRDefault="00D65F14" w:rsidP="00D65F14">
            <w:pPr>
              <w:rPr>
                <w:rFonts w:ascii="Arial Narrow" w:hAnsi="Arial Narrow"/>
                <w:b/>
                <w:bCs/>
                <w:sz w:val="20"/>
              </w:rPr>
            </w:pPr>
            <w:r w:rsidRPr="00C8249A">
              <w:rPr>
                <w:rFonts w:ascii="Arial Narrow" w:hAnsi="Arial Narrow"/>
                <w:sz w:val="20"/>
              </w:rPr>
              <w:t>Patient must be</w:t>
            </w:r>
            <w:r>
              <w:rPr>
                <w:rFonts w:ascii="Arial Narrow" w:hAnsi="Arial Narrow"/>
                <w:sz w:val="20"/>
              </w:rPr>
              <w:t xml:space="preserve"> </w:t>
            </w:r>
            <w:r w:rsidRPr="006972BC">
              <w:rPr>
                <w:rFonts w:ascii="Arial Narrow" w:hAnsi="Arial Narrow"/>
                <w:i/>
                <w:iCs/>
                <w:sz w:val="20"/>
              </w:rPr>
              <w:t xml:space="preserve">aged </w:t>
            </w:r>
            <w:r w:rsidRPr="0078146B">
              <w:rPr>
                <w:rFonts w:ascii="Arial Narrow" w:hAnsi="Arial Narrow"/>
                <w:sz w:val="20"/>
              </w:rPr>
              <w:t>between</w:t>
            </w:r>
            <w:r w:rsidRPr="00C8249A">
              <w:rPr>
                <w:rFonts w:ascii="Arial Narrow" w:hAnsi="Arial Narrow"/>
                <w:sz w:val="20"/>
              </w:rPr>
              <w:t xml:space="preserve"> </w:t>
            </w:r>
            <w:r w:rsidRPr="009C5164">
              <w:rPr>
                <w:rFonts w:ascii="Arial Narrow" w:hAnsi="Arial Narrow"/>
                <w:strike/>
                <w:sz w:val="20"/>
              </w:rPr>
              <w:t>6</w:t>
            </w:r>
            <w:r>
              <w:rPr>
                <w:rFonts w:ascii="Arial Narrow" w:hAnsi="Arial Narrow"/>
                <w:sz w:val="20"/>
              </w:rPr>
              <w:t xml:space="preserve"> </w:t>
            </w:r>
            <w:r>
              <w:rPr>
                <w:rFonts w:ascii="Arial Narrow" w:hAnsi="Arial Narrow"/>
                <w:i/>
                <w:sz w:val="20"/>
              </w:rPr>
              <w:t>2</w:t>
            </w:r>
            <w:r w:rsidRPr="0064364C">
              <w:rPr>
                <w:rFonts w:ascii="Arial Narrow" w:hAnsi="Arial Narrow"/>
                <w:sz w:val="20"/>
              </w:rPr>
              <w:t xml:space="preserve"> and 11 years inclusive</w:t>
            </w:r>
          </w:p>
        </w:tc>
      </w:tr>
      <w:tr w:rsidR="0078146B" w:rsidRPr="001428E9" w14:paraId="3C0F3BBC"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88EB320" w14:textId="77777777" w:rsidR="0078146B" w:rsidRPr="001428E9" w:rsidRDefault="0078146B" w:rsidP="0078146B">
            <w:pPr>
              <w:jc w:val="center"/>
              <w:rPr>
                <w:rFonts w:ascii="Arial Narrow" w:hAnsi="Arial Narrow"/>
                <w:color w:val="333333"/>
                <w:sz w:val="20"/>
                <w:szCs w:val="20"/>
              </w:rPr>
            </w:pPr>
          </w:p>
        </w:tc>
        <w:tc>
          <w:tcPr>
            <w:tcW w:w="7745" w:type="dxa"/>
            <w:gridSpan w:val="6"/>
          </w:tcPr>
          <w:p w14:paraId="357A9E14" w14:textId="77777777" w:rsidR="0078146B" w:rsidRPr="001428E9" w:rsidRDefault="0078146B" w:rsidP="0078146B">
            <w:pPr>
              <w:rPr>
                <w:rFonts w:ascii="Arial Narrow" w:hAnsi="Arial Narrow"/>
                <w:color w:val="333333"/>
                <w:sz w:val="20"/>
                <w:szCs w:val="20"/>
              </w:rPr>
            </w:pPr>
          </w:p>
        </w:tc>
      </w:tr>
      <w:tr w:rsidR="0078146B" w:rsidRPr="001428E9" w14:paraId="19C4D537"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F73664D" w14:textId="58DC0DA1" w:rsidR="0078146B" w:rsidRPr="009E0B1C" w:rsidRDefault="0078146B" w:rsidP="0078146B">
            <w:pPr>
              <w:jc w:val="center"/>
              <w:rPr>
                <w:rFonts w:ascii="Arial Narrow" w:hAnsi="Arial Narrow"/>
                <w:sz w:val="20"/>
                <w:szCs w:val="20"/>
              </w:rPr>
            </w:pPr>
          </w:p>
        </w:tc>
        <w:tc>
          <w:tcPr>
            <w:tcW w:w="7745" w:type="dxa"/>
            <w:gridSpan w:val="6"/>
          </w:tcPr>
          <w:p w14:paraId="79286AFD" w14:textId="77777777" w:rsidR="0078146B" w:rsidRPr="00B27754" w:rsidRDefault="0078146B" w:rsidP="0078146B">
            <w:pPr>
              <w:spacing w:after="20"/>
              <w:rPr>
                <w:rFonts w:ascii="Arial Narrow" w:hAnsi="Arial Narrow"/>
                <w:sz w:val="20"/>
              </w:rPr>
            </w:pPr>
            <w:r w:rsidRPr="00B27754">
              <w:rPr>
                <w:rFonts w:ascii="Arial Narrow" w:hAnsi="Arial Narrow"/>
                <w:b/>
                <w:bCs/>
                <w:sz w:val="20"/>
              </w:rPr>
              <w:t>Prescribing instructions:</w:t>
            </w:r>
          </w:p>
          <w:p w14:paraId="1E9D7601" w14:textId="77777777" w:rsidR="0078146B" w:rsidRPr="009E0B1C" w:rsidRDefault="0078146B" w:rsidP="0078146B">
            <w:pPr>
              <w:rPr>
                <w:rFonts w:ascii="Arial Narrow" w:hAnsi="Arial Narrow"/>
                <w:sz w:val="20"/>
                <w:szCs w:val="20"/>
              </w:rPr>
            </w:pPr>
            <w:r w:rsidRPr="00B27754">
              <w:rPr>
                <w:rFonts w:ascii="Arial Narrow" w:hAnsi="Arial Narrow"/>
                <w:sz w:val="20"/>
              </w:rPr>
              <w:t xml:space="preserve">This pharmaceutical benefit is not PBS-subsidised for this condition in a patient who is currently receiving one of the strong CYP3A4 inducers outlined in the Product Information. </w:t>
            </w:r>
          </w:p>
        </w:tc>
      </w:tr>
      <w:tr w:rsidR="0078146B" w:rsidRPr="001428E9" w14:paraId="764F64E5"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F345215" w14:textId="34DD638F" w:rsidR="0078146B" w:rsidRPr="009E0B1C" w:rsidRDefault="0078146B" w:rsidP="0078146B">
            <w:pPr>
              <w:jc w:val="center"/>
              <w:rPr>
                <w:rFonts w:ascii="Arial Narrow" w:hAnsi="Arial Narrow"/>
                <w:sz w:val="20"/>
                <w:szCs w:val="20"/>
              </w:rPr>
            </w:pPr>
          </w:p>
        </w:tc>
        <w:tc>
          <w:tcPr>
            <w:tcW w:w="7745" w:type="dxa"/>
            <w:gridSpan w:val="6"/>
          </w:tcPr>
          <w:p w14:paraId="053DC4D4" w14:textId="77777777" w:rsidR="0078146B" w:rsidRPr="009E0B1C" w:rsidRDefault="0078146B" w:rsidP="0078146B">
            <w:pPr>
              <w:spacing w:after="20"/>
              <w:rPr>
                <w:rFonts w:ascii="Arial Narrow" w:hAnsi="Arial Narrow"/>
                <w:i/>
                <w:sz w:val="20"/>
              </w:rPr>
            </w:pPr>
            <w:r w:rsidRPr="009E0B1C">
              <w:rPr>
                <w:rFonts w:ascii="Arial Narrow" w:hAnsi="Arial Narrow"/>
                <w:b/>
                <w:i/>
                <w:sz w:val="20"/>
              </w:rPr>
              <w:t>Prescribing instructions:</w:t>
            </w:r>
          </w:p>
          <w:p w14:paraId="5C5A7179" w14:textId="77777777" w:rsidR="0078146B" w:rsidRPr="009E0B1C" w:rsidRDefault="0078146B" w:rsidP="0078146B">
            <w:pPr>
              <w:spacing w:after="20"/>
              <w:rPr>
                <w:rFonts w:ascii="Arial Narrow" w:hAnsi="Arial Narrow"/>
                <w:sz w:val="20"/>
              </w:rPr>
            </w:pPr>
            <w:r w:rsidRPr="009E0B1C">
              <w:rPr>
                <w:rFonts w:ascii="Arial Narrow" w:hAnsi="Arial Narrow"/>
                <w:sz w:val="20"/>
              </w:rPr>
              <w:t xml:space="preserve">The authority application must be </w:t>
            </w:r>
            <w:r w:rsidRPr="005402D3">
              <w:rPr>
                <w:rFonts w:ascii="Arial Narrow" w:hAnsi="Arial Narrow"/>
                <w:i/>
                <w:sz w:val="20"/>
              </w:rPr>
              <w:t>via the Online PBS Authorities System, or</w:t>
            </w:r>
            <w:r w:rsidRPr="00C8249A">
              <w:rPr>
                <w:rFonts w:ascii="Arial Narrow" w:hAnsi="Arial Narrow"/>
                <w:sz w:val="20"/>
              </w:rPr>
              <w:t xml:space="preserve"> </w:t>
            </w:r>
            <w:r w:rsidRPr="009E0B1C">
              <w:rPr>
                <w:rFonts w:ascii="Arial Narrow" w:hAnsi="Arial Narrow"/>
                <w:sz w:val="20"/>
              </w:rPr>
              <w:t xml:space="preserve">in writing </w:t>
            </w:r>
            <w:r w:rsidRPr="005402D3">
              <w:rPr>
                <w:rFonts w:ascii="Arial Narrow" w:hAnsi="Arial Narrow"/>
                <w:i/>
                <w:sz w:val="20"/>
              </w:rPr>
              <w:t>via HPOS form upload or mail</w:t>
            </w:r>
            <w:r>
              <w:rPr>
                <w:rFonts w:ascii="Arial Narrow" w:hAnsi="Arial Narrow"/>
                <w:sz w:val="20"/>
              </w:rPr>
              <w:t xml:space="preserve"> </w:t>
            </w:r>
            <w:r w:rsidRPr="009E0B1C">
              <w:rPr>
                <w:rFonts w:ascii="Arial Narrow" w:hAnsi="Arial Narrow"/>
                <w:sz w:val="20"/>
              </w:rPr>
              <w:t>and must include:</w:t>
            </w:r>
          </w:p>
          <w:p w14:paraId="048FAEE0" w14:textId="77777777" w:rsidR="0078146B" w:rsidRPr="00E960BC" w:rsidRDefault="0078146B" w:rsidP="0078146B">
            <w:pPr>
              <w:keepNext/>
              <w:spacing w:after="20"/>
              <w:rPr>
                <w:rFonts w:ascii="Arial Narrow" w:hAnsi="Arial Narrow"/>
                <w:strike/>
                <w:sz w:val="20"/>
              </w:rPr>
            </w:pPr>
            <w:r w:rsidRPr="000C1378">
              <w:rPr>
                <w:rFonts w:ascii="Arial Narrow" w:hAnsi="Arial Narrow"/>
                <w:strike/>
                <w:sz w:val="20"/>
              </w:rPr>
              <w:t>(</w:t>
            </w:r>
            <w:r w:rsidRPr="00E960BC">
              <w:rPr>
                <w:rFonts w:ascii="Arial Narrow" w:hAnsi="Arial Narrow"/>
                <w:strike/>
                <w:sz w:val="20"/>
              </w:rPr>
              <w:t xml:space="preserve">1) </w:t>
            </w:r>
            <w:r w:rsidRPr="00E960BC">
              <w:rPr>
                <w:rFonts w:ascii="Arial Narrow" w:hAnsi="Arial Narrow"/>
                <w:i/>
                <w:strike/>
                <w:sz w:val="20"/>
              </w:rPr>
              <w:t>details of the proposed</w:t>
            </w:r>
            <w:r w:rsidRPr="00E960BC">
              <w:rPr>
                <w:rFonts w:ascii="Arial Narrow" w:hAnsi="Arial Narrow"/>
                <w:strike/>
                <w:sz w:val="20"/>
              </w:rPr>
              <w:t xml:space="preserve"> a completed authority prescription form; and</w:t>
            </w:r>
          </w:p>
          <w:p w14:paraId="53E0E8CA" w14:textId="20569E99" w:rsidR="0078146B" w:rsidRPr="009E0B1C" w:rsidRDefault="0078146B" w:rsidP="0078146B">
            <w:pPr>
              <w:keepNext/>
              <w:spacing w:after="20"/>
              <w:rPr>
                <w:rFonts w:ascii="Arial Narrow" w:hAnsi="Arial Narrow"/>
                <w:b/>
                <w:sz w:val="20"/>
                <w:szCs w:val="20"/>
              </w:rPr>
            </w:pPr>
            <w:r w:rsidRPr="00E960BC">
              <w:rPr>
                <w:rFonts w:ascii="Arial Narrow" w:hAnsi="Arial Narrow"/>
                <w:strike/>
                <w:sz w:val="20"/>
              </w:rPr>
              <w:t xml:space="preserve">(2) a completed Cystic Fibrosis elexacaftor, tezacaftor with ivacaftor </w:t>
            </w:r>
            <w:r w:rsidRPr="00E960BC">
              <w:rPr>
                <w:rFonts w:ascii="Arial Narrow" w:hAnsi="Arial Narrow"/>
                <w:i/>
                <w:strike/>
                <w:sz w:val="20"/>
              </w:rPr>
              <w:t>PBS</w:t>
            </w:r>
            <w:r w:rsidRPr="00E960BC">
              <w:rPr>
                <w:rFonts w:ascii="Arial Narrow" w:hAnsi="Arial Narrow"/>
                <w:strike/>
                <w:sz w:val="20"/>
              </w:rPr>
              <w:t xml:space="preserve"> Authority Application Supporting Information Form </w:t>
            </w:r>
            <w:r w:rsidRPr="00E960BC">
              <w:rPr>
                <w:rFonts w:ascii="Arial Narrow" w:hAnsi="Arial Narrow"/>
                <w:i/>
                <w:strike/>
                <w:sz w:val="20"/>
              </w:rPr>
              <w:t xml:space="preserve">relevant to the indication and treatment phase (the latest version is located on the website specified in the Administrative Advice) which includes details of any </w:t>
            </w:r>
            <w:r w:rsidRPr="00E960BC">
              <w:rPr>
                <w:rFonts w:ascii="Arial Narrow" w:hAnsi="Arial Narrow"/>
                <w:strike/>
                <w:sz w:val="20"/>
              </w:rPr>
              <w:t>; and</w:t>
            </w:r>
            <w:r>
              <w:rPr>
                <w:rFonts w:ascii="Arial Narrow" w:hAnsi="Arial Narrow"/>
                <w:strike/>
                <w:sz w:val="20"/>
              </w:rPr>
              <w:t xml:space="preserve"> </w:t>
            </w:r>
            <w:r w:rsidRPr="00E43827">
              <w:rPr>
                <w:rFonts w:ascii="Arial Narrow" w:hAnsi="Arial Narrow"/>
                <w:strike/>
                <w:sz w:val="20"/>
              </w:rPr>
              <w:t>(3)</w:t>
            </w:r>
            <w:r w:rsidRPr="00B27754">
              <w:rPr>
                <w:rFonts w:ascii="Arial Narrow" w:hAnsi="Arial Narrow"/>
                <w:sz w:val="20"/>
              </w:rPr>
              <w:t xml:space="preserve"> current CYP3A4 inhibitors, CYP3A4 inducers and IV antibiotics.</w:t>
            </w:r>
          </w:p>
        </w:tc>
      </w:tr>
      <w:tr w:rsidR="0078146B" w:rsidRPr="001428E9" w14:paraId="1D8EC264" w14:textId="77777777" w:rsidTr="00726EA4">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3F9EE27" w14:textId="2C4141B6" w:rsidR="0078146B" w:rsidRPr="00566AD2" w:rsidRDefault="0078146B" w:rsidP="0078146B">
            <w:pPr>
              <w:jc w:val="center"/>
              <w:rPr>
                <w:rFonts w:ascii="Arial Narrow" w:hAnsi="Arial Narrow"/>
                <w:i/>
                <w:sz w:val="20"/>
                <w:szCs w:val="20"/>
              </w:rPr>
            </w:pPr>
          </w:p>
        </w:tc>
        <w:tc>
          <w:tcPr>
            <w:tcW w:w="7745" w:type="dxa"/>
            <w:gridSpan w:val="6"/>
            <w:vAlign w:val="center"/>
          </w:tcPr>
          <w:p w14:paraId="38503311" w14:textId="77777777" w:rsidR="0078146B" w:rsidRPr="00566AD2" w:rsidRDefault="0078146B" w:rsidP="0078146B">
            <w:pPr>
              <w:rPr>
                <w:rFonts w:ascii="Arial Narrow" w:hAnsi="Arial Narrow"/>
                <w:b/>
                <w:i/>
                <w:sz w:val="20"/>
                <w:szCs w:val="20"/>
              </w:rPr>
            </w:pPr>
            <w:r w:rsidRPr="00566AD2">
              <w:rPr>
                <w:rFonts w:ascii="Arial Narrow" w:hAnsi="Arial Narrow"/>
                <w:b/>
                <w:i/>
                <w:sz w:val="20"/>
                <w:szCs w:val="20"/>
              </w:rPr>
              <w:t>Prescribing Instructions:</w:t>
            </w:r>
          </w:p>
          <w:p w14:paraId="77C3F2A2" w14:textId="77777777" w:rsidR="0078146B" w:rsidRPr="00566AD2" w:rsidRDefault="0078146B" w:rsidP="0078146B">
            <w:pPr>
              <w:rPr>
                <w:rFonts w:ascii="Arial Narrow" w:hAnsi="Arial Narrow"/>
                <w:i/>
                <w:sz w:val="20"/>
                <w:szCs w:val="20"/>
              </w:rPr>
            </w:pPr>
            <w:r w:rsidRPr="00566AD2">
              <w:rPr>
                <w:rFonts w:ascii="Arial Narrow" w:hAnsi="Arial Narrow"/>
                <w:i/>
                <w:sz w:val="20"/>
                <w:szCs w:val="20"/>
              </w:rPr>
              <w:t>If the application is submitted through HPOS form upload or mail, it must include:</w:t>
            </w:r>
          </w:p>
          <w:p w14:paraId="33401A6D" w14:textId="77777777" w:rsidR="0078146B" w:rsidRPr="00566AD2" w:rsidRDefault="0078146B" w:rsidP="0078146B">
            <w:pPr>
              <w:rPr>
                <w:rFonts w:ascii="Arial Narrow" w:hAnsi="Arial Narrow"/>
                <w:i/>
                <w:sz w:val="20"/>
                <w:szCs w:val="20"/>
              </w:rPr>
            </w:pPr>
            <w:r w:rsidRPr="00566AD2">
              <w:rPr>
                <w:rFonts w:ascii="Arial Narrow" w:hAnsi="Arial Narrow"/>
                <w:i/>
                <w:sz w:val="20"/>
                <w:szCs w:val="20"/>
              </w:rPr>
              <w:t>(i) details of the proposed prescription; and</w:t>
            </w:r>
          </w:p>
          <w:p w14:paraId="16322A55" w14:textId="3D429EE4" w:rsidR="0078146B" w:rsidRPr="00566AD2" w:rsidRDefault="0078146B" w:rsidP="0078146B">
            <w:pPr>
              <w:spacing w:after="20"/>
              <w:rPr>
                <w:rFonts w:ascii="Arial Narrow" w:hAnsi="Arial Narrow"/>
                <w:b/>
                <w:bCs/>
                <w:i/>
                <w:iCs/>
                <w:sz w:val="20"/>
              </w:rPr>
            </w:pPr>
            <w:r w:rsidRPr="00566AD2">
              <w:rPr>
                <w:rFonts w:ascii="Arial Narrow" w:hAnsi="Arial Narrow"/>
                <w:i/>
                <w:sz w:val="20"/>
                <w:szCs w:val="20"/>
              </w:rPr>
              <w:t>(ii) a completed authority application form relevant to the indication and treatment phase (the latest version is located on the website specified in the Administrative Advice).</w:t>
            </w:r>
          </w:p>
        </w:tc>
      </w:tr>
      <w:tr w:rsidR="0078146B" w:rsidRPr="001428E9" w14:paraId="081EF14D" w14:textId="77777777" w:rsidTr="002B7BB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EDEAB63" w14:textId="77777777" w:rsidR="0078146B" w:rsidRPr="001428E9" w:rsidRDefault="0078146B" w:rsidP="0078146B">
            <w:pPr>
              <w:jc w:val="center"/>
              <w:rPr>
                <w:rFonts w:ascii="Arial Narrow" w:hAnsi="Arial Narrow"/>
                <w:color w:val="333333"/>
                <w:sz w:val="20"/>
                <w:szCs w:val="20"/>
              </w:rPr>
            </w:pPr>
          </w:p>
        </w:tc>
        <w:tc>
          <w:tcPr>
            <w:tcW w:w="7745" w:type="dxa"/>
            <w:gridSpan w:val="6"/>
            <w:vAlign w:val="center"/>
          </w:tcPr>
          <w:p w14:paraId="1F61DB18" w14:textId="77777777" w:rsidR="0078146B" w:rsidRPr="001428E9" w:rsidRDefault="0078146B" w:rsidP="0078146B">
            <w:pPr>
              <w:rPr>
                <w:rFonts w:ascii="Arial Narrow" w:hAnsi="Arial Narrow"/>
                <w:color w:val="333333"/>
                <w:sz w:val="20"/>
                <w:szCs w:val="20"/>
              </w:rPr>
            </w:pPr>
          </w:p>
        </w:tc>
      </w:tr>
    </w:tbl>
    <w:p w14:paraId="2AC37F64" w14:textId="77777777" w:rsidR="00BA669B" w:rsidRDefault="00BA669B">
      <w:pPr>
        <w:jc w:val="left"/>
      </w:pPr>
    </w:p>
    <w:p w14:paraId="641BE685" w14:textId="77777777" w:rsidR="00BA669B" w:rsidRPr="008F0B3C" w:rsidRDefault="00BA669B" w:rsidP="00BA669B">
      <w:pPr>
        <w:spacing w:before="120" w:after="120"/>
        <w:rPr>
          <w:rFonts w:asciiTheme="minorHAnsi" w:hAnsiTheme="minorHAnsi"/>
          <w:b/>
          <w:i/>
          <w:iCs/>
          <w:snapToGrid w:val="0"/>
          <w:lang w:val="en-GB" w:eastAsia="en-US"/>
        </w:rPr>
      </w:pPr>
      <w:r w:rsidRPr="008F0B3C">
        <w:rPr>
          <w:rFonts w:asciiTheme="minorHAnsi" w:hAnsiTheme="minorHAnsi"/>
          <w:b/>
          <w:i/>
          <w:iCs/>
          <w:snapToGrid w:val="0"/>
          <w:lang w:val="en-GB" w:eastAsia="en-US"/>
        </w:rPr>
        <w:t>Th</w:t>
      </w:r>
      <w:r>
        <w:rPr>
          <w:rFonts w:asciiTheme="minorHAnsi" w:hAnsiTheme="minorHAnsi"/>
          <w:b/>
          <w:i/>
          <w:iCs/>
          <w:snapToGrid w:val="0"/>
          <w:lang w:val="en-GB" w:eastAsia="en-US"/>
        </w:rPr>
        <w:t>is</w:t>
      </w:r>
      <w:r w:rsidRPr="008F0B3C">
        <w:rPr>
          <w:rFonts w:asciiTheme="minorHAnsi" w:hAnsiTheme="minorHAnsi"/>
          <w:b/>
          <w:i/>
          <w:iCs/>
          <w:snapToGrid w:val="0"/>
          <w:lang w:val="en-GB" w:eastAsia="en-US"/>
        </w:rPr>
        <w:t xml:space="preserve"> restriction may be subject to further review. Should there be any changes made to the restriction the sponsor will be informed.</w:t>
      </w:r>
    </w:p>
    <w:bookmarkEnd w:id="72"/>
    <w:p w14:paraId="58B85C21" w14:textId="77777777" w:rsidR="00653F25" w:rsidRPr="00653F25" w:rsidRDefault="00653F25" w:rsidP="00653F25">
      <w:pPr>
        <w:keepNext/>
        <w:numPr>
          <w:ilvl w:val="0"/>
          <w:numId w:val="1"/>
        </w:numPr>
        <w:spacing w:before="240" w:after="120"/>
        <w:jc w:val="left"/>
        <w:outlineLvl w:val="0"/>
        <w:rPr>
          <w:rFonts w:asciiTheme="minorHAnsi" w:hAnsiTheme="minorHAnsi"/>
          <w:b/>
          <w:snapToGrid w:val="0"/>
          <w:sz w:val="32"/>
          <w:szCs w:val="32"/>
        </w:rPr>
      </w:pPr>
      <w:r w:rsidRPr="00653F25">
        <w:rPr>
          <w:rFonts w:asciiTheme="minorHAnsi" w:hAnsiTheme="minorHAnsi"/>
          <w:b/>
          <w:snapToGrid w:val="0"/>
          <w:sz w:val="32"/>
          <w:szCs w:val="32"/>
        </w:rPr>
        <w:t>Context for Decision</w:t>
      </w:r>
    </w:p>
    <w:p w14:paraId="33B349A9" w14:textId="77777777" w:rsidR="00653F25" w:rsidRPr="00653F25" w:rsidRDefault="00653F25" w:rsidP="00653F25">
      <w:pPr>
        <w:spacing w:after="120"/>
        <w:ind w:left="720"/>
        <w:rPr>
          <w:bCs/>
          <w:lang w:val="en-GB"/>
        </w:rPr>
      </w:pPr>
      <w:r w:rsidRPr="00653F25">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01DB2EA" w14:textId="77777777" w:rsidR="00653F25" w:rsidRPr="00653F25" w:rsidRDefault="00653F25" w:rsidP="00653F25">
      <w:pPr>
        <w:keepNext/>
        <w:numPr>
          <w:ilvl w:val="0"/>
          <w:numId w:val="1"/>
        </w:numPr>
        <w:spacing w:before="240" w:after="120"/>
        <w:jc w:val="left"/>
        <w:outlineLvl w:val="0"/>
        <w:rPr>
          <w:rFonts w:asciiTheme="minorHAnsi" w:hAnsiTheme="minorHAnsi"/>
          <w:b/>
          <w:snapToGrid w:val="0"/>
          <w:sz w:val="32"/>
          <w:szCs w:val="32"/>
        </w:rPr>
      </w:pPr>
      <w:r w:rsidRPr="00653F25">
        <w:rPr>
          <w:rFonts w:asciiTheme="minorHAnsi" w:hAnsiTheme="minorHAnsi"/>
          <w:b/>
          <w:snapToGrid w:val="0"/>
          <w:sz w:val="32"/>
          <w:szCs w:val="32"/>
        </w:rPr>
        <w:t>Sponsor’s Comment</w:t>
      </w:r>
    </w:p>
    <w:p w14:paraId="05828BC5" w14:textId="77777777" w:rsidR="00EA5F65" w:rsidRPr="00AC0A41" w:rsidRDefault="00EA5F65" w:rsidP="00EA5F65">
      <w:pPr>
        <w:pStyle w:val="2-SectionHeading"/>
        <w:numPr>
          <w:ilvl w:val="0"/>
          <w:numId w:val="0"/>
        </w:numPr>
        <w:ind w:left="720"/>
        <w:rPr>
          <w:rStyle w:val="eop"/>
          <w:rFonts w:ascii="Aptos" w:hAnsi="Aptos" w:cs="Aptos"/>
          <w:b w:val="0"/>
          <w:bCs/>
          <w:color w:val="000000"/>
          <w:sz w:val="24"/>
          <w:szCs w:val="24"/>
          <w:shd w:val="clear" w:color="auto" w:fill="FFFFFF"/>
        </w:rPr>
      </w:pPr>
      <w:r w:rsidRPr="00043402">
        <w:rPr>
          <w:rStyle w:val="normaltextrun"/>
          <w:b w:val="0"/>
          <w:bCs/>
          <w:color w:val="000000"/>
          <w:sz w:val="24"/>
          <w:szCs w:val="24"/>
          <w:shd w:val="clear" w:color="auto" w:fill="FFFFFF"/>
        </w:rPr>
        <w:t xml:space="preserve">Vertex welcomes the recommendation by the Pharmaceutical Benefits Advisory Committee (PBAC), to expand the PBS listing of TRIKAFTA® (elexacaftor/tezacaftor/ivacaftor and ivacaftor) to include people with cystic fibrosis aged 2 years and older with a mutation in the </w:t>
      </w:r>
      <w:r w:rsidRPr="00043402">
        <w:rPr>
          <w:rStyle w:val="normaltextrun"/>
          <w:b w:val="0"/>
          <w:bCs/>
          <w:i/>
          <w:iCs/>
          <w:color w:val="000000"/>
          <w:sz w:val="24"/>
          <w:szCs w:val="24"/>
          <w:shd w:val="clear" w:color="auto" w:fill="FFFFFF"/>
        </w:rPr>
        <w:t>CFTR</w:t>
      </w:r>
      <w:r w:rsidRPr="00043402">
        <w:rPr>
          <w:rStyle w:val="normaltextrun"/>
          <w:b w:val="0"/>
          <w:bCs/>
          <w:color w:val="000000"/>
          <w:sz w:val="24"/>
          <w:szCs w:val="24"/>
          <w:shd w:val="clear" w:color="auto" w:fill="FFFFFF"/>
        </w:rPr>
        <w:t xml:space="preserve"> gene that is considered </w:t>
      </w:r>
      <w:r w:rsidRPr="00043402">
        <w:rPr>
          <w:rStyle w:val="normaltextrun"/>
          <w:b w:val="0"/>
          <w:bCs/>
          <w:color w:val="000000"/>
          <w:sz w:val="24"/>
          <w:szCs w:val="24"/>
          <w:shd w:val="clear" w:color="auto" w:fill="FFFFFF"/>
        </w:rPr>
        <w:lastRenderedPageBreak/>
        <w:t xml:space="preserve">responsive to treatment based on clinical and/or </w:t>
      </w:r>
      <w:r w:rsidRPr="00043402">
        <w:rPr>
          <w:rStyle w:val="normaltextrun"/>
          <w:b w:val="0"/>
          <w:bCs/>
          <w:i/>
          <w:iCs/>
          <w:color w:val="000000"/>
          <w:sz w:val="24"/>
          <w:szCs w:val="24"/>
          <w:shd w:val="clear" w:color="auto" w:fill="FFFFFF"/>
        </w:rPr>
        <w:t>in vitro</w:t>
      </w:r>
      <w:r w:rsidRPr="00043402">
        <w:rPr>
          <w:rStyle w:val="normaltextrun"/>
          <w:b w:val="0"/>
          <w:bCs/>
          <w:color w:val="000000"/>
          <w:sz w:val="24"/>
          <w:szCs w:val="24"/>
          <w:shd w:val="clear" w:color="auto" w:fill="FFFFFF"/>
        </w:rPr>
        <w:t xml:space="preserve"> data. This is an important first step to achieving reimbursed access for eligible patients in Australia.</w:t>
      </w:r>
      <w:r w:rsidRPr="00AC0A41">
        <w:rPr>
          <w:rStyle w:val="normaltextrun"/>
          <w:b w:val="0"/>
          <w:bCs/>
          <w:color w:val="000000"/>
          <w:sz w:val="24"/>
          <w:szCs w:val="24"/>
          <w:shd w:val="clear" w:color="auto" w:fill="FFFFFF"/>
        </w:rPr>
        <w:t> </w:t>
      </w:r>
      <w:r w:rsidRPr="00AC0A41">
        <w:rPr>
          <w:rStyle w:val="eop"/>
          <w:b w:val="0"/>
          <w:bCs/>
          <w:color w:val="000000"/>
          <w:sz w:val="24"/>
          <w:szCs w:val="24"/>
          <w:shd w:val="clear" w:color="auto" w:fill="FFFFFF"/>
        </w:rPr>
        <w:t> </w:t>
      </w:r>
    </w:p>
    <w:p w14:paraId="76198BC1" w14:textId="77777777" w:rsidR="007139E5" w:rsidRDefault="007139E5">
      <w:pPr>
        <w:jc w:val="left"/>
      </w:pPr>
    </w:p>
    <w:sectPr w:rsidR="007139E5" w:rsidSect="00251006">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2933B" w14:textId="77777777" w:rsidR="00CB345F" w:rsidRDefault="00CB345F" w:rsidP="00124A51">
      <w:r>
        <w:separator/>
      </w:r>
    </w:p>
    <w:p w14:paraId="4397011F" w14:textId="77777777" w:rsidR="00CB345F" w:rsidRDefault="00CB345F"/>
  </w:endnote>
  <w:endnote w:type="continuationSeparator" w:id="0">
    <w:p w14:paraId="539E8515" w14:textId="77777777" w:rsidR="00CB345F" w:rsidRDefault="00CB345F" w:rsidP="00124A51">
      <w:r>
        <w:continuationSeparator/>
      </w:r>
    </w:p>
    <w:p w14:paraId="03646288" w14:textId="77777777" w:rsidR="00CB345F" w:rsidRDefault="00CB345F"/>
  </w:endnote>
  <w:endnote w:type="continuationNotice" w:id="1">
    <w:p w14:paraId="40D202BE" w14:textId="77777777" w:rsidR="00CB345F" w:rsidRDefault="00CB3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241AC" w14:textId="77777777" w:rsidR="004E7B37" w:rsidRDefault="004E7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7777777" w:rsidR="00D843F2" w:rsidRDefault="00D843F2" w:rsidP="00753B29">
    <w:pPr>
      <w:pStyle w:val="Footer"/>
      <w:jc w:val="center"/>
    </w:pPr>
  </w:p>
  <w:p w14:paraId="37484CD3" w14:textId="315A659B" w:rsidR="00D843F2" w:rsidRPr="008E34B3" w:rsidRDefault="00000000" w:rsidP="006028D3">
    <w:pPr>
      <w:pStyle w:val="PageFooter"/>
      <w:rPr>
        <w:b w:val="0"/>
        <w:bCs/>
      </w:rPr>
    </w:pPr>
    <w:sdt>
      <w:sdtPr>
        <w:rPr>
          <w:b w:val="0"/>
          <w:bCs/>
        </w:rPr>
        <w:id w:val="1036156457"/>
        <w:docPartObj>
          <w:docPartGallery w:val="Page Numbers (Bottom of Page)"/>
          <w:docPartUnique/>
        </w:docPartObj>
      </w:sdtPr>
      <w:sdtEndPr>
        <w:rPr>
          <w:noProof/>
        </w:rPr>
      </w:sdtEndPr>
      <w:sdtContent>
        <w:r w:rsidR="00D843F2" w:rsidRPr="008E34B3">
          <w:rPr>
            <w:b w:val="0"/>
            <w:bCs/>
          </w:rPr>
          <w:fldChar w:fldCharType="begin"/>
        </w:r>
        <w:r w:rsidR="00D843F2" w:rsidRPr="008E34B3">
          <w:rPr>
            <w:b w:val="0"/>
            <w:bCs/>
          </w:rPr>
          <w:instrText xml:space="preserve"> PAGE   \* MERGEFORMAT </w:instrText>
        </w:r>
        <w:r w:rsidR="00D843F2" w:rsidRPr="008E34B3">
          <w:rPr>
            <w:b w:val="0"/>
            <w:bCs/>
          </w:rPr>
          <w:fldChar w:fldCharType="separate"/>
        </w:r>
        <w:r w:rsidR="00D843F2" w:rsidRPr="008E34B3">
          <w:rPr>
            <w:b w:val="0"/>
            <w:bCs/>
            <w:noProof/>
          </w:rPr>
          <w:t>2</w:t>
        </w:r>
        <w:r w:rsidR="00D843F2" w:rsidRPr="008E34B3">
          <w:rPr>
            <w:b w:val="0"/>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29A6D" w14:textId="77777777" w:rsidR="004E7B37" w:rsidRDefault="004E7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DA1CC" w14:textId="77777777" w:rsidR="00CB345F" w:rsidRDefault="00CB345F" w:rsidP="00124A51">
      <w:r>
        <w:separator/>
      </w:r>
    </w:p>
    <w:p w14:paraId="04D4E009" w14:textId="77777777" w:rsidR="00CB345F" w:rsidRDefault="00CB345F"/>
  </w:footnote>
  <w:footnote w:type="continuationSeparator" w:id="0">
    <w:p w14:paraId="1A8CA1AE" w14:textId="77777777" w:rsidR="00CB345F" w:rsidRDefault="00CB345F" w:rsidP="00124A51">
      <w:r>
        <w:continuationSeparator/>
      </w:r>
    </w:p>
    <w:p w14:paraId="2023585F" w14:textId="77777777" w:rsidR="00CB345F" w:rsidRDefault="00CB345F"/>
  </w:footnote>
  <w:footnote w:type="continuationNotice" w:id="1">
    <w:p w14:paraId="6EB7CBE2" w14:textId="77777777" w:rsidR="00CB345F" w:rsidRDefault="00CB345F"/>
  </w:footnote>
  <w:footnote w:id="2">
    <w:p w14:paraId="37EDCA16" w14:textId="77777777" w:rsidR="00733877" w:rsidRDefault="00733877" w:rsidP="00733877">
      <w:pPr>
        <w:pStyle w:val="FootnoteText"/>
      </w:pPr>
      <w:r>
        <w:rPr>
          <w:rStyle w:val="FootnoteReference"/>
        </w:rPr>
        <w:footnoteRef/>
      </w:r>
      <w:r>
        <w:t xml:space="preserve"> Costa E, Girotti S, Pauro F, Leufkens HGM, Cipolli M. The impact of FDA and EMA regulatory decision-making process on the access to CFTR modulators for the treatment of cystic fibrosis. </w:t>
      </w:r>
      <w:r w:rsidRPr="00980764">
        <w:rPr>
          <w:i/>
          <w:iCs/>
        </w:rPr>
        <w:t>Orphanet J Rare Dis</w:t>
      </w:r>
      <w:r>
        <w:t xml:space="preserve"> 2022, </w:t>
      </w:r>
      <w:r w:rsidRPr="00980764">
        <w:rPr>
          <w:lang w:val="en-GB"/>
        </w:rPr>
        <w:t>https://doi.org/10.1186/s13023-022-02350-5</w:t>
      </w:r>
    </w:p>
  </w:footnote>
  <w:footnote w:id="3">
    <w:p w14:paraId="6B17E9CC" w14:textId="641D16CE" w:rsidR="00664D04" w:rsidRDefault="00664D04">
      <w:pPr>
        <w:pStyle w:val="FootnoteText"/>
      </w:pPr>
      <w:r>
        <w:rPr>
          <w:rStyle w:val="FootnoteReference"/>
        </w:rPr>
        <w:footnoteRef/>
      </w:r>
      <w:r>
        <w:t xml:space="preserve"> </w:t>
      </w:r>
      <w:r w:rsidRPr="00664D04">
        <w:t>https://www.pbs.gov.au/industry/listing/elements/dusc-meetings/dos/2024/DUSC-Outcome-Statement-October-2024.pdf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5CF40" w14:textId="77777777" w:rsidR="004E7B37" w:rsidRDefault="004E7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4B63ED66" w:rsidR="00D843F2" w:rsidRPr="00195452" w:rsidRDefault="00BE1650" w:rsidP="00D822E2">
    <w:pPr>
      <w:pStyle w:val="Header"/>
      <w:rPr>
        <w:rFonts w:asciiTheme="minorHAnsi" w:hAnsiTheme="minorHAnsi"/>
        <w:i w:val="0"/>
        <w:color w:val="808080"/>
      </w:rPr>
    </w:pPr>
    <w:r w:rsidRPr="00BE1650">
      <w:rPr>
        <w:rFonts w:asciiTheme="minorHAnsi" w:hAnsiTheme="minorHAnsi"/>
        <w:color w:val="808080"/>
      </w:rPr>
      <w:t xml:space="preserve">Public Summary Document </w:t>
    </w:r>
    <w:r w:rsidR="005A7568">
      <w:rPr>
        <w:rFonts w:asciiTheme="minorHAnsi" w:hAnsiTheme="minorHAnsi"/>
        <w:color w:val="808080"/>
      </w:rPr>
      <w:t xml:space="preserve">- </w:t>
    </w:r>
    <w:r w:rsidR="00D843F2">
      <w:rPr>
        <w:rFonts w:asciiTheme="minorHAnsi" w:hAnsiTheme="minorHAnsi"/>
        <w:color w:val="808080"/>
      </w:rPr>
      <w:t>M</w:t>
    </w:r>
    <w:r w:rsidR="00452FEE">
      <w:rPr>
        <w:rFonts w:asciiTheme="minorHAnsi" w:hAnsiTheme="minorHAnsi"/>
        <w:color w:val="808080"/>
      </w:rPr>
      <w:t xml:space="preserve">arch </w:t>
    </w:r>
    <w:r w:rsidR="00D843F2">
      <w:rPr>
        <w:rFonts w:asciiTheme="minorHAnsi" w:hAnsiTheme="minorHAnsi"/>
        <w:color w:val="808080"/>
      </w:rPr>
      <w:t>202</w:t>
    </w:r>
    <w:r w:rsidR="00452FEE">
      <w:rPr>
        <w:rFonts w:asciiTheme="minorHAnsi" w:hAnsiTheme="minorHAnsi"/>
        <w:color w:val="808080"/>
      </w:rPr>
      <w:t>5</w:t>
    </w:r>
    <w:r w:rsidR="00D843F2">
      <w:rPr>
        <w:rFonts w:asciiTheme="minorHAnsi" w:hAnsiTheme="minorHAnsi"/>
        <w:color w:val="808080"/>
      </w:rPr>
      <w:t xml:space="preserve"> </w:t>
    </w:r>
    <w:r w:rsidR="00D843F2" w:rsidRPr="00195452">
      <w:rPr>
        <w:rFonts w:asciiTheme="minorHAnsi" w:hAnsiTheme="minorHAns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86C2" w14:textId="77777777" w:rsidR="004E7B37" w:rsidRDefault="004E7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74D13"/>
    <w:multiLevelType w:val="hybridMultilevel"/>
    <w:tmpl w:val="1B5261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105138"/>
    <w:multiLevelType w:val="hybridMultilevel"/>
    <w:tmpl w:val="CA2CA0CE"/>
    <w:lvl w:ilvl="0" w:tplc="842865A6">
      <w:start w:val="1"/>
      <w:numFmt w:val="bullet"/>
      <w:pStyle w:val="Dash0"/>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CC5175"/>
    <w:multiLevelType w:val="hybridMultilevel"/>
    <w:tmpl w:val="71D20A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3125CCD"/>
    <w:multiLevelType w:val="hybridMultilevel"/>
    <w:tmpl w:val="23D29C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3346815"/>
    <w:multiLevelType w:val="hybridMultilevel"/>
    <w:tmpl w:val="FED82BAE"/>
    <w:lvl w:ilvl="0" w:tplc="0C09001B">
      <w:start w:val="1"/>
      <w:numFmt w:val="lowerRoman"/>
      <w:lvlText w:val="%1."/>
      <w:lvlJc w:val="right"/>
      <w:pPr>
        <w:ind w:left="829" w:hanging="360"/>
      </w:pPr>
      <w:rPr>
        <w:i/>
        <w:color w:val="auto"/>
      </w:r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6" w15:restartNumberingAfterBreak="0">
    <w:nsid w:val="1A270491"/>
    <w:multiLevelType w:val="hybridMultilevel"/>
    <w:tmpl w:val="250A71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B7C1A6E"/>
    <w:multiLevelType w:val="hybridMultilevel"/>
    <w:tmpl w:val="46F47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46AD7"/>
    <w:multiLevelType w:val="hybridMultilevel"/>
    <w:tmpl w:val="71A65F8E"/>
    <w:lvl w:ilvl="0" w:tplc="CFBE442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726FD3"/>
    <w:multiLevelType w:val="hybridMultilevel"/>
    <w:tmpl w:val="615C91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B3A06"/>
    <w:multiLevelType w:val="hybridMultilevel"/>
    <w:tmpl w:val="90D23BB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58C00078"/>
    <w:multiLevelType w:val="hybridMultilevel"/>
    <w:tmpl w:val="A98AA4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B2022C3"/>
    <w:multiLevelType w:val="hybridMultilevel"/>
    <w:tmpl w:val="9C0AC9E6"/>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7E043FC"/>
    <w:multiLevelType w:val="hybridMultilevel"/>
    <w:tmpl w:val="B144F59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6"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4D033C"/>
    <w:multiLevelType w:val="multilevel"/>
    <w:tmpl w:val="80CA5438"/>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6186631">
    <w:abstractNumId w:val="18"/>
  </w:num>
  <w:num w:numId="2" w16cid:durableId="917793048">
    <w:abstractNumId w:val="10"/>
  </w:num>
  <w:num w:numId="3" w16cid:durableId="263461728">
    <w:abstractNumId w:val="0"/>
  </w:num>
  <w:num w:numId="4" w16cid:durableId="139346788">
    <w:abstractNumId w:val="19"/>
  </w:num>
  <w:num w:numId="5" w16cid:durableId="220360847">
    <w:abstractNumId w:val="14"/>
  </w:num>
  <w:num w:numId="6" w16cid:durableId="268196418">
    <w:abstractNumId w:val="8"/>
  </w:num>
  <w:num w:numId="7" w16cid:durableId="1048839230">
    <w:abstractNumId w:val="18"/>
  </w:num>
  <w:num w:numId="8" w16cid:durableId="745299638">
    <w:abstractNumId w:val="12"/>
  </w:num>
  <w:num w:numId="9" w16cid:durableId="1006321264">
    <w:abstractNumId w:val="7"/>
  </w:num>
  <w:num w:numId="10" w16cid:durableId="2024476547">
    <w:abstractNumId w:val="2"/>
  </w:num>
  <w:num w:numId="11" w16cid:durableId="1186863836">
    <w:abstractNumId w:val="4"/>
  </w:num>
  <w:num w:numId="12" w16cid:durableId="1063723749">
    <w:abstractNumId w:val="15"/>
  </w:num>
  <w:num w:numId="13" w16cid:durableId="329530466">
    <w:abstractNumId w:val="11"/>
  </w:num>
  <w:num w:numId="14" w16cid:durableId="1276793845">
    <w:abstractNumId w:val="6"/>
  </w:num>
  <w:num w:numId="15" w16cid:durableId="1037435179">
    <w:abstractNumId w:val="5"/>
  </w:num>
  <w:num w:numId="16" w16cid:durableId="881475081">
    <w:abstractNumId w:val="3"/>
  </w:num>
  <w:num w:numId="17" w16cid:durableId="503012828">
    <w:abstractNumId w:val="1"/>
  </w:num>
  <w:num w:numId="18" w16cid:durableId="1950813256">
    <w:abstractNumId w:val="8"/>
  </w:num>
  <w:num w:numId="19" w16cid:durableId="1653824300">
    <w:abstractNumId w:val="8"/>
  </w:num>
  <w:num w:numId="20" w16cid:durableId="896401806">
    <w:abstractNumId w:val="8"/>
  </w:num>
  <w:num w:numId="21" w16cid:durableId="1241065125">
    <w:abstractNumId w:val="13"/>
  </w:num>
  <w:num w:numId="22" w16cid:durableId="126240624">
    <w:abstractNumId w:val="16"/>
  </w:num>
  <w:num w:numId="23" w16cid:durableId="434516539">
    <w:abstractNumId w:val="9"/>
  </w:num>
  <w:num w:numId="24" w16cid:durableId="1279335748">
    <w:abstractNumId w:val="17"/>
  </w:num>
  <w:num w:numId="25" w16cid:durableId="13857174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AF3"/>
    <w:rsid w:val="00001F8F"/>
    <w:rsid w:val="000023B3"/>
    <w:rsid w:val="00002419"/>
    <w:rsid w:val="00003499"/>
    <w:rsid w:val="00003900"/>
    <w:rsid w:val="000039B7"/>
    <w:rsid w:val="00003A04"/>
    <w:rsid w:val="000056B9"/>
    <w:rsid w:val="00006134"/>
    <w:rsid w:val="0000639A"/>
    <w:rsid w:val="00006750"/>
    <w:rsid w:val="00010067"/>
    <w:rsid w:val="0001035E"/>
    <w:rsid w:val="00011AD0"/>
    <w:rsid w:val="00011BDB"/>
    <w:rsid w:val="00013247"/>
    <w:rsid w:val="00014417"/>
    <w:rsid w:val="00015886"/>
    <w:rsid w:val="00015ABF"/>
    <w:rsid w:val="000162EF"/>
    <w:rsid w:val="00017F18"/>
    <w:rsid w:val="000207C9"/>
    <w:rsid w:val="0002225F"/>
    <w:rsid w:val="00023763"/>
    <w:rsid w:val="00024EB5"/>
    <w:rsid w:val="000274B8"/>
    <w:rsid w:val="00027A69"/>
    <w:rsid w:val="00032EAE"/>
    <w:rsid w:val="00033863"/>
    <w:rsid w:val="000339F6"/>
    <w:rsid w:val="000344FC"/>
    <w:rsid w:val="00035DC0"/>
    <w:rsid w:val="00036829"/>
    <w:rsid w:val="00036DFD"/>
    <w:rsid w:val="000402A7"/>
    <w:rsid w:val="00040635"/>
    <w:rsid w:val="00040895"/>
    <w:rsid w:val="000410A0"/>
    <w:rsid w:val="00043402"/>
    <w:rsid w:val="0004358A"/>
    <w:rsid w:val="000435EE"/>
    <w:rsid w:val="00043C37"/>
    <w:rsid w:val="00044441"/>
    <w:rsid w:val="000449E6"/>
    <w:rsid w:val="00044A2D"/>
    <w:rsid w:val="00045017"/>
    <w:rsid w:val="00045A2B"/>
    <w:rsid w:val="0004698F"/>
    <w:rsid w:val="00046D64"/>
    <w:rsid w:val="00047165"/>
    <w:rsid w:val="00047260"/>
    <w:rsid w:val="000508C2"/>
    <w:rsid w:val="00050A28"/>
    <w:rsid w:val="00052287"/>
    <w:rsid w:val="00053349"/>
    <w:rsid w:val="0005336C"/>
    <w:rsid w:val="00053623"/>
    <w:rsid w:val="000539D0"/>
    <w:rsid w:val="00053D20"/>
    <w:rsid w:val="00053D59"/>
    <w:rsid w:val="00054621"/>
    <w:rsid w:val="000546D7"/>
    <w:rsid w:val="00054A8D"/>
    <w:rsid w:val="00055604"/>
    <w:rsid w:val="00055724"/>
    <w:rsid w:val="00055848"/>
    <w:rsid w:val="00056444"/>
    <w:rsid w:val="000564FF"/>
    <w:rsid w:val="000565C9"/>
    <w:rsid w:val="00056ECF"/>
    <w:rsid w:val="000577C1"/>
    <w:rsid w:val="00057B32"/>
    <w:rsid w:val="00057E0A"/>
    <w:rsid w:val="00060254"/>
    <w:rsid w:val="000604DF"/>
    <w:rsid w:val="00060F60"/>
    <w:rsid w:val="00061BBF"/>
    <w:rsid w:val="00062324"/>
    <w:rsid w:val="00062C29"/>
    <w:rsid w:val="000633DB"/>
    <w:rsid w:val="00063606"/>
    <w:rsid w:val="00063E2C"/>
    <w:rsid w:val="00064B3C"/>
    <w:rsid w:val="000653B5"/>
    <w:rsid w:val="00066360"/>
    <w:rsid w:val="00066AF8"/>
    <w:rsid w:val="0006716B"/>
    <w:rsid w:val="00067939"/>
    <w:rsid w:val="000705CE"/>
    <w:rsid w:val="00070D8F"/>
    <w:rsid w:val="00070FFA"/>
    <w:rsid w:val="00071248"/>
    <w:rsid w:val="00071D96"/>
    <w:rsid w:val="00072083"/>
    <w:rsid w:val="000720B9"/>
    <w:rsid w:val="000737F7"/>
    <w:rsid w:val="00074559"/>
    <w:rsid w:val="0007553D"/>
    <w:rsid w:val="00075E7F"/>
    <w:rsid w:val="0007672F"/>
    <w:rsid w:val="00076B54"/>
    <w:rsid w:val="000774F0"/>
    <w:rsid w:val="00077AE0"/>
    <w:rsid w:val="00080909"/>
    <w:rsid w:val="000812CA"/>
    <w:rsid w:val="00081E63"/>
    <w:rsid w:val="0008258D"/>
    <w:rsid w:val="00083E99"/>
    <w:rsid w:val="000848B2"/>
    <w:rsid w:val="00084DDB"/>
    <w:rsid w:val="00084FA8"/>
    <w:rsid w:val="000856C5"/>
    <w:rsid w:val="00085AFC"/>
    <w:rsid w:val="00085B1F"/>
    <w:rsid w:val="00085C31"/>
    <w:rsid w:val="0008764D"/>
    <w:rsid w:val="00087D6A"/>
    <w:rsid w:val="000902D9"/>
    <w:rsid w:val="00090499"/>
    <w:rsid w:val="00090C7E"/>
    <w:rsid w:val="000911AC"/>
    <w:rsid w:val="0009159B"/>
    <w:rsid w:val="00091B80"/>
    <w:rsid w:val="00092600"/>
    <w:rsid w:val="0009262B"/>
    <w:rsid w:val="00093310"/>
    <w:rsid w:val="0009445C"/>
    <w:rsid w:val="00095200"/>
    <w:rsid w:val="000953CE"/>
    <w:rsid w:val="0009582A"/>
    <w:rsid w:val="00095FE5"/>
    <w:rsid w:val="00096284"/>
    <w:rsid w:val="000A13CE"/>
    <w:rsid w:val="000A15A2"/>
    <w:rsid w:val="000A1BC0"/>
    <w:rsid w:val="000A23BA"/>
    <w:rsid w:val="000A2F9E"/>
    <w:rsid w:val="000A33F0"/>
    <w:rsid w:val="000A36BE"/>
    <w:rsid w:val="000A3727"/>
    <w:rsid w:val="000A38A2"/>
    <w:rsid w:val="000A3E47"/>
    <w:rsid w:val="000A522B"/>
    <w:rsid w:val="000A6039"/>
    <w:rsid w:val="000A6A84"/>
    <w:rsid w:val="000A7453"/>
    <w:rsid w:val="000A7787"/>
    <w:rsid w:val="000A79B9"/>
    <w:rsid w:val="000A7D08"/>
    <w:rsid w:val="000B0121"/>
    <w:rsid w:val="000B0187"/>
    <w:rsid w:val="000B0670"/>
    <w:rsid w:val="000B0BBC"/>
    <w:rsid w:val="000B0E75"/>
    <w:rsid w:val="000B2DCB"/>
    <w:rsid w:val="000B5CE0"/>
    <w:rsid w:val="000B6CAC"/>
    <w:rsid w:val="000B7612"/>
    <w:rsid w:val="000B78AE"/>
    <w:rsid w:val="000B7E67"/>
    <w:rsid w:val="000C1378"/>
    <w:rsid w:val="000C1A3E"/>
    <w:rsid w:val="000C2BFA"/>
    <w:rsid w:val="000C3C98"/>
    <w:rsid w:val="000C3DF9"/>
    <w:rsid w:val="000C4C35"/>
    <w:rsid w:val="000C4CF2"/>
    <w:rsid w:val="000C4D32"/>
    <w:rsid w:val="000C6713"/>
    <w:rsid w:val="000C6BC1"/>
    <w:rsid w:val="000C6E49"/>
    <w:rsid w:val="000C7846"/>
    <w:rsid w:val="000C78DF"/>
    <w:rsid w:val="000C7A34"/>
    <w:rsid w:val="000D1BFC"/>
    <w:rsid w:val="000D1D5D"/>
    <w:rsid w:val="000D281A"/>
    <w:rsid w:val="000D2848"/>
    <w:rsid w:val="000D326A"/>
    <w:rsid w:val="000D4278"/>
    <w:rsid w:val="000D4393"/>
    <w:rsid w:val="000D4903"/>
    <w:rsid w:val="000D49D6"/>
    <w:rsid w:val="000D51FB"/>
    <w:rsid w:val="000D5476"/>
    <w:rsid w:val="000D5C6E"/>
    <w:rsid w:val="000E0640"/>
    <w:rsid w:val="000E0D53"/>
    <w:rsid w:val="000E0D90"/>
    <w:rsid w:val="000E135D"/>
    <w:rsid w:val="000E22ED"/>
    <w:rsid w:val="000E252F"/>
    <w:rsid w:val="000E2782"/>
    <w:rsid w:val="000E59BB"/>
    <w:rsid w:val="000F00BA"/>
    <w:rsid w:val="000F0F5C"/>
    <w:rsid w:val="000F11DB"/>
    <w:rsid w:val="000F21FC"/>
    <w:rsid w:val="000F2886"/>
    <w:rsid w:val="000F29A2"/>
    <w:rsid w:val="000F316A"/>
    <w:rsid w:val="000F3C74"/>
    <w:rsid w:val="000F4AD0"/>
    <w:rsid w:val="000F4BB8"/>
    <w:rsid w:val="000F4DAA"/>
    <w:rsid w:val="000F4FA9"/>
    <w:rsid w:val="000F51E1"/>
    <w:rsid w:val="000F53FB"/>
    <w:rsid w:val="000F7127"/>
    <w:rsid w:val="000F7B54"/>
    <w:rsid w:val="000F7BA1"/>
    <w:rsid w:val="001000B3"/>
    <w:rsid w:val="0010043E"/>
    <w:rsid w:val="001009F4"/>
    <w:rsid w:val="00100F8A"/>
    <w:rsid w:val="00102F5C"/>
    <w:rsid w:val="001030BF"/>
    <w:rsid w:val="0010452E"/>
    <w:rsid w:val="00104B82"/>
    <w:rsid w:val="001057CE"/>
    <w:rsid w:val="00105AE2"/>
    <w:rsid w:val="001060C6"/>
    <w:rsid w:val="00106554"/>
    <w:rsid w:val="00106B80"/>
    <w:rsid w:val="0011032E"/>
    <w:rsid w:val="00110A05"/>
    <w:rsid w:val="00111BEF"/>
    <w:rsid w:val="00112C8E"/>
    <w:rsid w:val="0011325F"/>
    <w:rsid w:val="0011348B"/>
    <w:rsid w:val="00115110"/>
    <w:rsid w:val="00115982"/>
    <w:rsid w:val="0011640B"/>
    <w:rsid w:val="00116C53"/>
    <w:rsid w:val="00116CD6"/>
    <w:rsid w:val="00116EBD"/>
    <w:rsid w:val="00117154"/>
    <w:rsid w:val="00117C14"/>
    <w:rsid w:val="00120476"/>
    <w:rsid w:val="00120AEA"/>
    <w:rsid w:val="00120B54"/>
    <w:rsid w:val="00121799"/>
    <w:rsid w:val="00121BA3"/>
    <w:rsid w:val="001222FC"/>
    <w:rsid w:val="00123902"/>
    <w:rsid w:val="001246C2"/>
    <w:rsid w:val="00124A51"/>
    <w:rsid w:val="00125B35"/>
    <w:rsid w:val="00126621"/>
    <w:rsid w:val="00126B1D"/>
    <w:rsid w:val="001301E9"/>
    <w:rsid w:val="00130651"/>
    <w:rsid w:val="00131D82"/>
    <w:rsid w:val="0013270A"/>
    <w:rsid w:val="00132B22"/>
    <w:rsid w:val="00133D36"/>
    <w:rsid w:val="0013553B"/>
    <w:rsid w:val="00137645"/>
    <w:rsid w:val="0014015A"/>
    <w:rsid w:val="0014031B"/>
    <w:rsid w:val="00140354"/>
    <w:rsid w:val="00140E99"/>
    <w:rsid w:val="0014200A"/>
    <w:rsid w:val="00143070"/>
    <w:rsid w:val="00143D8B"/>
    <w:rsid w:val="00143F67"/>
    <w:rsid w:val="001446B1"/>
    <w:rsid w:val="00145234"/>
    <w:rsid w:val="00145540"/>
    <w:rsid w:val="001456B0"/>
    <w:rsid w:val="00146948"/>
    <w:rsid w:val="00150BDA"/>
    <w:rsid w:val="0015117A"/>
    <w:rsid w:val="001547AB"/>
    <w:rsid w:val="00155898"/>
    <w:rsid w:val="0015607B"/>
    <w:rsid w:val="0015627D"/>
    <w:rsid w:val="00156F8F"/>
    <w:rsid w:val="00157130"/>
    <w:rsid w:val="001576B1"/>
    <w:rsid w:val="0016047B"/>
    <w:rsid w:val="00160A4C"/>
    <w:rsid w:val="00161C6C"/>
    <w:rsid w:val="001623A0"/>
    <w:rsid w:val="00162913"/>
    <w:rsid w:val="00162D2C"/>
    <w:rsid w:val="00163EFF"/>
    <w:rsid w:val="00163F66"/>
    <w:rsid w:val="0016478E"/>
    <w:rsid w:val="001659DF"/>
    <w:rsid w:val="00165EC4"/>
    <w:rsid w:val="001661FB"/>
    <w:rsid w:val="00166EC8"/>
    <w:rsid w:val="001671A0"/>
    <w:rsid w:val="0016767F"/>
    <w:rsid w:val="00171C2F"/>
    <w:rsid w:val="00172D24"/>
    <w:rsid w:val="00173565"/>
    <w:rsid w:val="00173B07"/>
    <w:rsid w:val="001751FA"/>
    <w:rsid w:val="00175E7C"/>
    <w:rsid w:val="0017656D"/>
    <w:rsid w:val="00176CE3"/>
    <w:rsid w:val="00181539"/>
    <w:rsid w:val="00181C10"/>
    <w:rsid w:val="00181D9C"/>
    <w:rsid w:val="0018240E"/>
    <w:rsid w:val="00183368"/>
    <w:rsid w:val="001837FF"/>
    <w:rsid w:val="00183935"/>
    <w:rsid w:val="00184B0E"/>
    <w:rsid w:val="00184CC4"/>
    <w:rsid w:val="00186F29"/>
    <w:rsid w:val="0018740E"/>
    <w:rsid w:val="0018752F"/>
    <w:rsid w:val="00190800"/>
    <w:rsid w:val="00193838"/>
    <w:rsid w:val="00193E26"/>
    <w:rsid w:val="00194AD8"/>
    <w:rsid w:val="00194D4E"/>
    <w:rsid w:val="00195222"/>
    <w:rsid w:val="00195452"/>
    <w:rsid w:val="001975D8"/>
    <w:rsid w:val="001A0424"/>
    <w:rsid w:val="001A0D0E"/>
    <w:rsid w:val="001A178E"/>
    <w:rsid w:val="001A4293"/>
    <w:rsid w:val="001A43FA"/>
    <w:rsid w:val="001A47C5"/>
    <w:rsid w:val="001A59FB"/>
    <w:rsid w:val="001A5E9E"/>
    <w:rsid w:val="001A6354"/>
    <w:rsid w:val="001A6366"/>
    <w:rsid w:val="001A67C7"/>
    <w:rsid w:val="001A6890"/>
    <w:rsid w:val="001A6E4F"/>
    <w:rsid w:val="001A744D"/>
    <w:rsid w:val="001A7AE8"/>
    <w:rsid w:val="001B204E"/>
    <w:rsid w:val="001B2372"/>
    <w:rsid w:val="001B3028"/>
    <w:rsid w:val="001B31FA"/>
    <w:rsid w:val="001B3443"/>
    <w:rsid w:val="001B3CDD"/>
    <w:rsid w:val="001B47A5"/>
    <w:rsid w:val="001B48C2"/>
    <w:rsid w:val="001B4D20"/>
    <w:rsid w:val="001B4EEB"/>
    <w:rsid w:val="001B4F73"/>
    <w:rsid w:val="001B5970"/>
    <w:rsid w:val="001B6267"/>
    <w:rsid w:val="001B78F5"/>
    <w:rsid w:val="001B7F84"/>
    <w:rsid w:val="001C0065"/>
    <w:rsid w:val="001C02CA"/>
    <w:rsid w:val="001C07D6"/>
    <w:rsid w:val="001C2A9B"/>
    <w:rsid w:val="001C2F09"/>
    <w:rsid w:val="001C34CC"/>
    <w:rsid w:val="001C3710"/>
    <w:rsid w:val="001C3944"/>
    <w:rsid w:val="001C3B08"/>
    <w:rsid w:val="001C3DD6"/>
    <w:rsid w:val="001C4299"/>
    <w:rsid w:val="001C4874"/>
    <w:rsid w:val="001C5AD6"/>
    <w:rsid w:val="001C5F94"/>
    <w:rsid w:val="001C6E66"/>
    <w:rsid w:val="001C6FF5"/>
    <w:rsid w:val="001D04ED"/>
    <w:rsid w:val="001D1100"/>
    <w:rsid w:val="001D1391"/>
    <w:rsid w:val="001D25D7"/>
    <w:rsid w:val="001D2D0C"/>
    <w:rsid w:val="001D4B80"/>
    <w:rsid w:val="001D4ED2"/>
    <w:rsid w:val="001D50B2"/>
    <w:rsid w:val="001D71F4"/>
    <w:rsid w:val="001D7645"/>
    <w:rsid w:val="001E1015"/>
    <w:rsid w:val="001E1E86"/>
    <w:rsid w:val="001E238E"/>
    <w:rsid w:val="001E2483"/>
    <w:rsid w:val="001E2B1E"/>
    <w:rsid w:val="001E2CFF"/>
    <w:rsid w:val="001E2F24"/>
    <w:rsid w:val="001E30D4"/>
    <w:rsid w:val="001E34DF"/>
    <w:rsid w:val="001E52EB"/>
    <w:rsid w:val="001E5683"/>
    <w:rsid w:val="001E61D2"/>
    <w:rsid w:val="001E6EF0"/>
    <w:rsid w:val="001E740C"/>
    <w:rsid w:val="001E74F7"/>
    <w:rsid w:val="001E7B4B"/>
    <w:rsid w:val="001E7FB2"/>
    <w:rsid w:val="001F1235"/>
    <w:rsid w:val="001F1419"/>
    <w:rsid w:val="001F1CB3"/>
    <w:rsid w:val="001F2D5C"/>
    <w:rsid w:val="001F38B5"/>
    <w:rsid w:val="001F3B42"/>
    <w:rsid w:val="001F4081"/>
    <w:rsid w:val="001F463D"/>
    <w:rsid w:val="001F691E"/>
    <w:rsid w:val="001F696C"/>
    <w:rsid w:val="001F7361"/>
    <w:rsid w:val="002011B0"/>
    <w:rsid w:val="00201B3D"/>
    <w:rsid w:val="0020212F"/>
    <w:rsid w:val="0020281B"/>
    <w:rsid w:val="002028D4"/>
    <w:rsid w:val="00203181"/>
    <w:rsid w:val="00203783"/>
    <w:rsid w:val="0020385F"/>
    <w:rsid w:val="002068A0"/>
    <w:rsid w:val="00206F04"/>
    <w:rsid w:val="00207021"/>
    <w:rsid w:val="0020732B"/>
    <w:rsid w:val="0020732F"/>
    <w:rsid w:val="00207D00"/>
    <w:rsid w:val="0021033A"/>
    <w:rsid w:val="002105C1"/>
    <w:rsid w:val="0021060E"/>
    <w:rsid w:val="002107D2"/>
    <w:rsid w:val="002108BE"/>
    <w:rsid w:val="002116FD"/>
    <w:rsid w:val="00211CA9"/>
    <w:rsid w:val="002123D4"/>
    <w:rsid w:val="00213070"/>
    <w:rsid w:val="00213951"/>
    <w:rsid w:val="00213A3A"/>
    <w:rsid w:val="00213EF5"/>
    <w:rsid w:val="002151FE"/>
    <w:rsid w:val="00216BF5"/>
    <w:rsid w:val="00216CCF"/>
    <w:rsid w:val="00220065"/>
    <w:rsid w:val="00222856"/>
    <w:rsid w:val="002230D6"/>
    <w:rsid w:val="002238F0"/>
    <w:rsid w:val="00223B0F"/>
    <w:rsid w:val="00223B49"/>
    <w:rsid w:val="00223D37"/>
    <w:rsid w:val="00223D5A"/>
    <w:rsid w:val="00224DD4"/>
    <w:rsid w:val="00225060"/>
    <w:rsid w:val="002269F8"/>
    <w:rsid w:val="00227824"/>
    <w:rsid w:val="002278A0"/>
    <w:rsid w:val="00227F20"/>
    <w:rsid w:val="002309CC"/>
    <w:rsid w:val="00231BA9"/>
    <w:rsid w:val="0023209F"/>
    <w:rsid w:val="002327BC"/>
    <w:rsid w:val="00233C01"/>
    <w:rsid w:val="0023413C"/>
    <w:rsid w:val="002346F0"/>
    <w:rsid w:val="0023629D"/>
    <w:rsid w:val="00237255"/>
    <w:rsid w:val="00237AB5"/>
    <w:rsid w:val="0024089F"/>
    <w:rsid w:val="00240EAF"/>
    <w:rsid w:val="00241BE6"/>
    <w:rsid w:val="002424AF"/>
    <w:rsid w:val="002438EF"/>
    <w:rsid w:val="002439DC"/>
    <w:rsid w:val="002439E4"/>
    <w:rsid w:val="002441D2"/>
    <w:rsid w:val="00244DC8"/>
    <w:rsid w:val="002458BA"/>
    <w:rsid w:val="00245CE9"/>
    <w:rsid w:val="0024636C"/>
    <w:rsid w:val="00247925"/>
    <w:rsid w:val="00250722"/>
    <w:rsid w:val="00250F91"/>
    <w:rsid w:val="00251006"/>
    <w:rsid w:val="0025101C"/>
    <w:rsid w:val="00252121"/>
    <w:rsid w:val="00252450"/>
    <w:rsid w:val="002524D5"/>
    <w:rsid w:val="002526C2"/>
    <w:rsid w:val="00253B1D"/>
    <w:rsid w:val="00254DCF"/>
    <w:rsid w:val="0025534B"/>
    <w:rsid w:val="002553F4"/>
    <w:rsid w:val="0025586E"/>
    <w:rsid w:val="00255BB7"/>
    <w:rsid w:val="002568D3"/>
    <w:rsid w:val="00256C6B"/>
    <w:rsid w:val="00256D9D"/>
    <w:rsid w:val="00257541"/>
    <w:rsid w:val="002579E9"/>
    <w:rsid w:val="00257A39"/>
    <w:rsid w:val="00257AC4"/>
    <w:rsid w:val="00257BBE"/>
    <w:rsid w:val="0026074D"/>
    <w:rsid w:val="00260844"/>
    <w:rsid w:val="00261EEF"/>
    <w:rsid w:val="002625C8"/>
    <w:rsid w:val="00262A1A"/>
    <w:rsid w:val="00262A87"/>
    <w:rsid w:val="00263169"/>
    <w:rsid w:val="00263C7E"/>
    <w:rsid w:val="00264D26"/>
    <w:rsid w:val="002657F6"/>
    <w:rsid w:val="002667CB"/>
    <w:rsid w:val="002668BB"/>
    <w:rsid w:val="00267642"/>
    <w:rsid w:val="00267788"/>
    <w:rsid w:val="00267AEA"/>
    <w:rsid w:val="002700E6"/>
    <w:rsid w:val="002714F0"/>
    <w:rsid w:val="0027294B"/>
    <w:rsid w:val="00273EB4"/>
    <w:rsid w:val="00274682"/>
    <w:rsid w:val="00275158"/>
    <w:rsid w:val="002754F9"/>
    <w:rsid w:val="00275C5A"/>
    <w:rsid w:val="00276F4F"/>
    <w:rsid w:val="00277641"/>
    <w:rsid w:val="00281014"/>
    <w:rsid w:val="00281022"/>
    <w:rsid w:val="0028181D"/>
    <w:rsid w:val="002820A9"/>
    <w:rsid w:val="0028278E"/>
    <w:rsid w:val="00282AF8"/>
    <w:rsid w:val="00283D2D"/>
    <w:rsid w:val="00285BCE"/>
    <w:rsid w:val="0028665D"/>
    <w:rsid w:val="002906C8"/>
    <w:rsid w:val="002911A9"/>
    <w:rsid w:val="0029280F"/>
    <w:rsid w:val="00293B19"/>
    <w:rsid w:val="00294DA0"/>
    <w:rsid w:val="0029668E"/>
    <w:rsid w:val="002A14AB"/>
    <w:rsid w:val="002A27D2"/>
    <w:rsid w:val="002A2ADE"/>
    <w:rsid w:val="002A2AED"/>
    <w:rsid w:val="002A2F50"/>
    <w:rsid w:val="002A2F81"/>
    <w:rsid w:val="002A3E17"/>
    <w:rsid w:val="002A4B34"/>
    <w:rsid w:val="002A7943"/>
    <w:rsid w:val="002B05A1"/>
    <w:rsid w:val="002B09A4"/>
    <w:rsid w:val="002B1C1F"/>
    <w:rsid w:val="002B1D1D"/>
    <w:rsid w:val="002B432F"/>
    <w:rsid w:val="002B5C84"/>
    <w:rsid w:val="002B62B3"/>
    <w:rsid w:val="002B6501"/>
    <w:rsid w:val="002B6754"/>
    <w:rsid w:val="002B6CCE"/>
    <w:rsid w:val="002B7BB5"/>
    <w:rsid w:val="002C249A"/>
    <w:rsid w:val="002C2510"/>
    <w:rsid w:val="002C2775"/>
    <w:rsid w:val="002C27C1"/>
    <w:rsid w:val="002C36E3"/>
    <w:rsid w:val="002C3A62"/>
    <w:rsid w:val="002C40E1"/>
    <w:rsid w:val="002C5099"/>
    <w:rsid w:val="002C5889"/>
    <w:rsid w:val="002C5C07"/>
    <w:rsid w:val="002C71CE"/>
    <w:rsid w:val="002C7A58"/>
    <w:rsid w:val="002D03AB"/>
    <w:rsid w:val="002D08F8"/>
    <w:rsid w:val="002D1982"/>
    <w:rsid w:val="002D33A4"/>
    <w:rsid w:val="002D464E"/>
    <w:rsid w:val="002D577C"/>
    <w:rsid w:val="002D65E4"/>
    <w:rsid w:val="002D7832"/>
    <w:rsid w:val="002E0666"/>
    <w:rsid w:val="002E07FB"/>
    <w:rsid w:val="002E0A82"/>
    <w:rsid w:val="002E1071"/>
    <w:rsid w:val="002E1447"/>
    <w:rsid w:val="002E15B9"/>
    <w:rsid w:val="002E2158"/>
    <w:rsid w:val="002E3E9F"/>
    <w:rsid w:val="002E4F02"/>
    <w:rsid w:val="002E65F1"/>
    <w:rsid w:val="002E7318"/>
    <w:rsid w:val="002E7722"/>
    <w:rsid w:val="002F07BA"/>
    <w:rsid w:val="002F0DA9"/>
    <w:rsid w:val="002F0E1A"/>
    <w:rsid w:val="002F1014"/>
    <w:rsid w:val="002F1E3B"/>
    <w:rsid w:val="002F47F3"/>
    <w:rsid w:val="002F643C"/>
    <w:rsid w:val="002F71C0"/>
    <w:rsid w:val="002F74F1"/>
    <w:rsid w:val="002F7D22"/>
    <w:rsid w:val="00301017"/>
    <w:rsid w:val="0030155F"/>
    <w:rsid w:val="00302B60"/>
    <w:rsid w:val="0030311B"/>
    <w:rsid w:val="00303A9D"/>
    <w:rsid w:val="0030587B"/>
    <w:rsid w:val="00306D98"/>
    <w:rsid w:val="003074A0"/>
    <w:rsid w:val="0030786C"/>
    <w:rsid w:val="0031031A"/>
    <w:rsid w:val="00310981"/>
    <w:rsid w:val="00311D9B"/>
    <w:rsid w:val="0031219F"/>
    <w:rsid w:val="003124D9"/>
    <w:rsid w:val="00312594"/>
    <w:rsid w:val="00315498"/>
    <w:rsid w:val="00316474"/>
    <w:rsid w:val="003172F5"/>
    <w:rsid w:val="003174A4"/>
    <w:rsid w:val="00320142"/>
    <w:rsid w:val="00320B4A"/>
    <w:rsid w:val="00321695"/>
    <w:rsid w:val="00322107"/>
    <w:rsid w:val="00322355"/>
    <w:rsid w:val="00322368"/>
    <w:rsid w:val="00322846"/>
    <w:rsid w:val="00322DA8"/>
    <w:rsid w:val="0032359E"/>
    <w:rsid w:val="003236A0"/>
    <w:rsid w:val="00323FC7"/>
    <w:rsid w:val="00326DA7"/>
    <w:rsid w:val="003270E4"/>
    <w:rsid w:val="00330DAA"/>
    <w:rsid w:val="00330F5C"/>
    <w:rsid w:val="00330F76"/>
    <w:rsid w:val="00331505"/>
    <w:rsid w:val="00332B61"/>
    <w:rsid w:val="00335389"/>
    <w:rsid w:val="00335C9B"/>
    <w:rsid w:val="003366C9"/>
    <w:rsid w:val="00336880"/>
    <w:rsid w:val="003371B0"/>
    <w:rsid w:val="00340134"/>
    <w:rsid w:val="00340DF1"/>
    <w:rsid w:val="0034128B"/>
    <w:rsid w:val="0034198D"/>
    <w:rsid w:val="003426C4"/>
    <w:rsid w:val="00342B63"/>
    <w:rsid w:val="00343156"/>
    <w:rsid w:val="00343660"/>
    <w:rsid w:val="00344AB3"/>
    <w:rsid w:val="00345ADD"/>
    <w:rsid w:val="00345E49"/>
    <w:rsid w:val="00346179"/>
    <w:rsid w:val="0034652A"/>
    <w:rsid w:val="003469D3"/>
    <w:rsid w:val="00347D32"/>
    <w:rsid w:val="0035026C"/>
    <w:rsid w:val="00350F34"/>
    <w:rsid w:val="00351225"/>
    <w:rsid w:val="003516A2"/>
    <w:rsid w:val="003517F9"/>
    <w:rsid w:val="00351BA9"/>
    <w:rsid w:val="00351D8E"/>
    <w:rsid w:val="003521AF"/>
    <w:rsid w:val="00354F64"/>
    <w:rsid w:val="0035620E"/>
    <w:rsid w:val="00356482"/>
    <w:rsid w:val="00356B41"/>
    <w:rsid w:val="003575BE"/>
    <w:rsid w:val="00357AE6"/>
    <w:rsid w:val="003602E5"/>
    <w:rsid w:val="00360345"/>
    <w:rsid w:val="003605C8"/>
    <w:rsid w:val="00361002"/>
    <w:rsid w:val="00361893"/>
    <w:rsid w:val="00361A05"/>
    <w:rsid w:val="003624C4"/>
    <w:rsid w:val="00362B18"/>
    <w:rsid w:val="00363B00"/>
    <w:rsid w:val="003651B8"/>
    <w:rsid w:val="003654AC"/>
    <w:rsid w:val="003707F0"/>
    <w:rsid w:val="003710BC"/>
    <w:rsid w:val="003710CF"/>
    <w:rsid w:val="0037119B"/>
    <w:rsid w:val="00371314"/>
    <w:rsid w:val="00372B12"/>
    <w:rsid w:val="0037358A"/>
    <w:rsid w:val="00373ECE"/>
    <w:rsid w:val="0037449D"/>
    <w:rsid w:val="003746D7"/>
    <w:rsid w:val="003750F6"/>
    <w:rsid w:val="0037526F"/>
    <w:rsid w:val="003760FC"/>
    <w:rsid w:val="00376E62"/>
    <w:rsid w:val="003777BE"/>
    <w:rsid w:val="00377919"/>
    <w:rsid w:val="00377999"/>
    <w:rsid w:val="003779C4"/>
    <w:rsid w:val="00377C2D"/>
    <w:rsid w:val="00381C01"/>
    <w:rsid w:val="00381E59"/>
    <w:rsid w:val="003823CE"/>
    <w:rsid w:val="003831A4"/>
    <w:rsid w:val="0038365C"/>
    <w:rsid w:val="0038369B"/>
    <w:rsid w:val="00383B78"/>
    <w:rsid w:val="00384639"/>
    <w:rsid w:val="00385905"/>
    <w:rsid w:val="00385A9D"/>
    <w:rsid w:val="00386EDB"/>
    <w:rsid w:val="00387121"/>
    <w:rsid w:val="00390012"/>
    <w:rsid w:val="003902B1"/>
    <w:rsid w:val="0039179C"/>
    <w:rsid w:val="00394F7C"/>
    <w:rsid w:val="00396004"/>
    <w:rsid w:val="00396896"/>
    <w:rsid w:val="00396FD0"/>
    <w:rsid w:val="00397506"/>
    <w:rsid w:val="00397946"/>
    <w:rsid w:val="003A06D5"/>
    <w:rsid w:val="003A13E5"/>
    <w:rsid w:val="003A1A3E"/>
    <w:rsid w:val="003A1A7A"/>
    <w:rsid w:val="003A2392"/>
    <w:rsid w:val="003A2831"/>
    <w:rsid w:val="003A2CA2"/>
    <w:rsid w:val="003A3CB6"/>
    <w:rsid w:val="003A3ED1"/>
    <w:rsid w:val="003A44DB"/>
    <w:rsid w:val="003A4C14"/>
    <w:rsid w:val="003A6774"/>
    <w:rsid w:val="003B0948"/>
    <w:rsid w:val="003B2555"/>
    <w:rsid w:val="003B25A5"/>
    <w:rsid w:val="003B2DE5"/>
    <w:rsid w:val="003B3540"/>
    <w:rsid w:val="003B3914"/>
    <w:rsid w:val="003B3971"/>
    <w:rsid w:val="003B55D1"/>
    <w:rsid w:val="003B5B61"/>
    <w:rsid w:val="003B6388"/>
    <w:rsid w:val="003C0528"/>
    <w:rsid w:val="003C1408"/>
    <w:rsid w:val="003C1488"/>
    <w:rsid w:val="003C1654"/>
    <w:rsid w:val="003C1FE5"/>
    <w:rsid w:val="003C2104"/>
    <w:rsid w:val="003C4106"/>
    <w:rsid w:val="003C4CF0"/>
    <w:rsid w:val="003C51AF"/>
    <w:rsid w:val="003C5542"/>
    <w:rsid w:val="003C618A"/>
    <w:rsid w:val="003C7C15"/>
    <w:rsid w:val="003C7D19"/>
    <w:rsid w:val="003C7D2F"/>
    <w:rsid w:val="003D0C5A"/>
    <w:rsid w:val="003D1677"/>
    <w:rsid w:val="003D1828"/>
    <w:rsid w:val="003D1DE4"/>
    <w:rsid w:val="003D1E9A"/>
    <w:rsid w:val="003D2422"/>
    <w:rsid w:val="003D36CB"/>
    <w:rsid w:val="003D39A1"/>
    <w:rsid w:val="003D3FBF"/>
    <w:rsid w:val="003D4110"/>
    <w:rsid w:val="003D4A30"/>
    <w:rsid w:val="003D4ABF"/>
    <w:rsid w:val="003D504F"/>
    <w:rsid w:val="003D54BF"/>
    <w:rsid w:val="003D5684"/>
    <w:rsid w:val="003D576C"/>
    <w:rsid w:val="003D6757"/>
    <w:rsid w:val="003D6B34"/>
    <w:rsid w:val="003D7452"/>
    <w:rsid w:val="003D79BB"/>
    <w:rsid w:val="003D7C98"/>
    <w:rsid w:val="003D7D9D"/>
    <w:rsid w:val="003E01D6"/>
    <w:rsid w:val="003E0543"/>
    <w:rsid w:val="003E0AF4"/>
    <w:rsid w:val="003E1DCF"/>
    <w:rsid w:val="003E4DEA"/>
    <w:rsid w:val="003E5574"/>
    <w:rsid w:val="003E5603"/>
    <w:rsid w:val="003E5676"/>
    <w:rsid w:val="003E5B98"/>
    <w:rsid w:val="003E5F21"/>
    <w:rsid w:val="003E749E"/>
    <w:rsid w:val="003E7D0D"/>
    <w:rsid w:val="003F1DEB"/>
    <w:rsid w:val="003F22D3"/>
    <w:rsid w:val="003F2997"/>
    <w:rsid w:val="003F32BD"/>
    <w:rsid w:val="003F4156"/>
    <w:rsid w:val="003F5ADF"/>
    <w:rsid w:val="003F5D7D"/>
    <w:rsid w:val="003F6DDD"/>
    <w:rsid w:val="003F7115"/>
    <w:rsid w:val="004001B2"/>
    <w:rsid w:val="00400B29"/>
    <w:rsid w:val="00402400"/>
    <w:rsid w:val="00402812"/>
    <w:rsid w:val="00403762"/>
    <w:rsid w:val="004040AA"/>
    <w:rsid w:val="00404615"/>
    <w:rsid w:val="0040504B"/>
    <w:rsid w:val="00405136"/>
    <w:rsid w:val="0040597A"/>
    <w:rsid w:val="004059F4"/>
    <w:rsid w:val="00405DB1"/>
    <w:rsid w:val="004069AA"/>
    <w:rsid w:val="00406A34"/>
    <w:rsid w:val="00407FE5"/>
    <w:rsid w:val="00410088"/>
    <w:rsid w:val="004101B0"/>
    <w:rsid w:val="00410326"/>
    <w:rsid w:val="00410708"/>
    <w:rsid w:val="004109DC"/>
    <w:rsid w:val="00410EC7"/>
    <w:rsid w:val="00411B39"/>
    <w:rsid w:val="004127A7"/>
    <w:rsid w:val="00412A49"/>
    <w:rsid w:val="00413A1E"/>
    <w:rsid w:val="00414476"/>
    <w:rsid w:val="00414C2E"/>
    <w:rsid w:val="004151CF"/>
    <w:rsid w:val="004151F8"/>
    <w:rsid w:val="00416364"/>
    <w:rsid w:val="0041679F"/>
    <w:rsid w:val="00417CAF"/>
    <w:rsid w:val="004202CE"/>
    <w:rsid w:val="0042047F"/>
    <w:rsid w:val="00420AA6"/>
    <w:rsid w:val="00420B9F"/>
    <w:rsid w:val="004211E0"/>
    <w:rsid w:val="0042192C"/>
    <w:rsid w:val="00422260"/>
    <w:rsid w:val="00423296"/>
    <w:rsid w:val="0042413F"/>
    <w:rsid w:val="00424E7B"/>
    <w:rsid w:val="004263DB"/>
    <w:rsid w:val="00426552"/>
    <w:rsid w:val="004302B7"/>
    <w:rsid w:val="004309CD"/>
    <w:rsid w:val="0043124A"/>
    <w:rsid w:val="004319F8"/>
    <w:rsid w:val="00431E55"/>
    <w:rsid w:val="004321F6"/>
    <w:rsid w:val="00432948"/>
    <w:rsid w:val="00432E55"/>
    <w:rsid w:val="00433044"/>
    <w:rsid w:val="00433764"/>
    <w:rsid w:val="00433866"/>
    <w:rsid w:val="0043392B"/>
    <w:rsid w:val="00434088"/>
    <w:rsid w:val="004341F7"/>
    <w:rsid w:val="0043453C"/>
    <w:rsid w:val="004355C9"/>
    <w:rsid w:val="0043675A"/>
    <w:rsid w:val="00436FDA"/>
    <w:rsid w:val="004375B9"/>
    <w:rsid w:val="004416D1"/>
    <w:rsid w:val="004428D0"/>
    <w:rsid w:val="00442AF6"/>
    <w:rsid w:val="00444185"/>
    <w:rsid w:val="004443A7"/>
    <w:rsid w:val="0044442C"/>
    <w:rsid w:val="00445941"/>
    <w:rsid w:val="004464EB"/>
    <w:rsid w:val="00447104"/>
    <w:rsid w:val="00447D26"/>
    <w:rsid w:val="00447DFC"/>
    <w:rsid w:val="00450FA3"/>
    <w:rsid w:val="00452FEE"/>
    <w:rsid w:val="00453DE0"/>
    <w:rsid w:val="00455D45"/>
    <w:rsid w:val="00455EFA"/>
    <w:rsid w:val="00456515"/>
    <w:rsid w:val="00456AAC"/>
    <w:rsid w:val="00456F33"/>
    <w:rsid w:val="00457CED"/>
    <w:rsid w:val="004628BD"/>
    <w:rsid w:val="00462E74"/>
    <w:rsid w:val="00463351"/>
    <w:rsid w:val="004640E5"/>
    <w:rsid w:val="00464595"/>
    <w:rsid w:val="00464596"/>
    <w:rsid w:val="004647CF"/>
    <w:rsid w:val="0046529B"/>
    <w:rsid w:val="004658B5"/>
    <w:rsid w:val="00467232"/>
    <w:rsid w:val="00467F26"/>
    <w:rsid w:val="00471E93"/>
    <w:rsid w:val="00471EA5"/>
    <w:rsid w:val="00472606"/>
    <w:rsid w:val="00472A79"/>
    <w:rsid w:val="00473F19"/>
    <w:rsid w:val="00474036"/>
    <w:rsid w:val="00475122"/>
    <w:rsid w:val="00475E22"/>
    <w:rsid w:val="00475FDC"/>
    <w:rsid w:val="00476DCC"/>
    <w:rsid w:val="0047760B"/>
    <w:rsid w:val="0048088E"/>
    <w:rsid w:val="00480A07"/>
    <w:rsid w:val="00480F2B"/>
    <w:rsid w:val="004815DC"/>
    <w:rsid w:val="00482720"/>
    <w:rsid w:val="004835E7"/>
    <w:rsid w:val="00483ADC"/>
    <w:rsid w:val="0048440F"/>
    <w:rsid w:val="0048451A"/>
    <w:rsid w:val="00484896"/>
    <w:rsid w:val="004859E1"/>
    <w:rsid w:val="00486226"/>
    <w:rsid w:val="00486769"/>
    <w:rsid w:val="004867E2"/>
    <w:rsid w:val="0048753D"/>
    <w:rsid w:val="004903F3"/>
    <w:rsid w:val="00490B17"/>
    <w:rsid w:val="00491B3A"/>
    <w:rsid w:val="00492CFD"/>
    <w:rsid w:val="00494155"/>
    <w:rsid w:val="00494207"/>
    <w:rsid w:val="00494DD5"/>
    <w:rsid w:val="00495121"/>
    <w:rsid w:val="004962D2"/>
    <w:rsid w:val="004A022E"/>
    <w:rsid w:val="004A0DA1"/>
    <w:rsid w:val="004A13D6"/>
    <w:rsid w:val="004A3ECF"/>
    <w:rsid w:val="004A52E9"/>
    <w:rsid w:val="004A6040"/>
    <w:rsid w:val="004A6597"/>
    <w:rsid w:val="004A7848"/>
    <w:rsid w:val="004A793B"/>
    <w:rsid w:val="004B0C3D"/>
    <w:rsid w:val="004B1CB4"/>
    <w:rsid w:val="004B2276"/>
    <w:rsid w:val="004B2535"/>
    <w:rsid w:val="004B2F18"/>
    <w:rsid w:val="004B3DDB"/>
    <w:rsid w:val="004B44FD"/>
    <w:rsid w:val="004B4943"/>
    <w:rsid w:val="004B5CFC"/>
    <w:rsid w:val="004B6991"/>
    <w:rsid w:val="004B6F79"/>
    <w:rsid w:val="004B774D"/>
    <w:rsid w:val="004C05DE"/>
    <w:rsid w:val="004C119D"/>
    <w:rsid w:val="004C13FB"/>
    <w:rsid w:val="004C253D"/>
    <w:rsid w:val="004C2AC2"/>
    <w:rsid w:val="004C3B02"/>
    <w:rsid w:val="004C4ACD"/>
    <w:rsid w:val="004C4AED"/>
    <w:rsid w:val="004C5164"/>
    <w:rsid w:val="004C51F0"/>
    <w:rsid w:val="004C5DF9"/>
    <w:rsid w:val="004C6107"/>
    <w:rsid w:val="004C6F34"/>
    <w:rsid w:val="004C793B"/>
    <w:rsid w:val="004D12A1"/>
    <w:rsid w:val="004D1773"/>
    <w:rsid w:val="004D1C42"/>
    <w:rsid w:val="004D1EC1"/>
    <w:rsid w:val="004D2C2D"/>
    <w:rsid w:val="004D2FF5"/>
    <w:rsid w:val="004D39E9"/>
    <w:rsid w:val="004D43DA"/>
    <w:rsid w:val="004D5FD2"/>
    <w:rsid w:val="004D69B5"/>
    <w:rsid w:val="004D6B1E"/>
    <w:rsid w:val="004D7227"/>
    <w:rsid w:val="004D7B5E"/>
    <w:rsid w:val="004D7CFE"/>
    <w:rsid w:val="004E0E7F"/>
    <w:rsid w:val="004E0EB8"/>
    <w:rsid w:val="004E18E9"/>
    <w:rsid w:val="004E2ADC"/>
    <w:rsid w:val="004E322D"/>
    <w:rsid w:val="004E3308"/>
    <w:rsid w:val="004E43B2"/>
    <w:rsid w:val="004E4CCF"/>
    <w:rsid w:val="004E544D"/>
    <w:rsid w:val="004E6702"/>
    <w:rsid w:val="004E6783"/>
    <w:rsid w:val="004E6F67"/>
    <w:rsid w:val="004E7B37"/>
    <w:rsid w:val="004F0D58"/>
    <w:rsid w:val="004F1D02"/>
    <w:rsid w:val="004F2679"/>
    <w:rsid w:val="004F2F21"/>
    <w:rsid w:val="004F3A99"/>
    <w:rsid w:val="004F3DE5"/>
    <w:rsid w:val="004F66BE"/>
    <w:rsid w:val="004F6913"/>
    <w:rsid w:val="004F6AF6"/>
    <w:rsid w:val="004F6E6C"/>
    <w:rsid w:val="004F7865"/>
    <w:rsid w:val="004F793F"/>
    <w:rsid w:val="004F7EED"/>
    <w:rsid w:val="005006D6"/>
    <w:rsid w:val="0050174E"/>
    <w:rsid w:val="00501854"/>
    <w:rsid w:val="0050219B"/>
    <w:rsid w:val="00502A6D"/>
    <w:rsid w:val="00503F17"/>
    <w:rsid w:val="00503F3A"/>
    <w:rsid w:val="00504099"/>
    <w:rsid w:val="00505850"/>
    <w:rsid w:val="00505ED1"/>
    <w:rsid w:val="00506928"/>
    <w:rsid w:val="00507680"/>
    <w:rsid w:val="005077EF"/>
    <w:rsid w:val="00510CA6"/>
    <w:rsid w:val="00511127"/>
    <w:rsid w:val="00511AD5"/>
    <w:rsid w:val="00511DC7"/>
    <w:rsid w:val="00512E81"/>
    <w:rsid w:val="005142C5"/>
    <w:rsid w:val="0051501B"/>
    <w:rsid w:val="005152B5"/>
    <w:rsid w:val="00515322"/>
    <w:rsid w:val="00515886"/>
    <w:rsid w:val="005169E3"/>
    <w:rsid w:val="0052123C"/>
    <w:rsid w:val="00521319"/>
    <w:rsid w:val="00521513"/>
    <w:rsid w:val="00521692"/>
    <w:rsid w:val="00522AC0"/>
    <w:rsid w:val="00522BC8"/>
    <w:rsid w:val="0052357B"/>
    <w:rsid w:val="00523BA3"/>
    <w:rsid w:val="00523C28"/>
    <w:rsid w:val="00524315"/>
    <w:rsid w:val="00525457"/>
    <w:rsid w:val="0052709F"/>
    <w:rsid w:val="0053176B"/>
    <w:rsid w:val="00531E5E"/>
    <w:rsid w:val="0053306B"/>
    <w:rsid w:val="00533596"/>
    <w:rsid w:val="005341B3"/>
    <w:rsid w:val="00534246"/>
    <w:rsid w:val="005353B1"/>
    <w:rsid w:val="005363BD"/>
    <w:rsid w:val="00536F42"/>
    <w:rsid w:val="00537182"/>
    <w:rsid w:val="005402D3"/>
    <w:rsid w:val="005410D8"/>
    <w:rsid w:val="00541DA6"/>
    <w:rsid w:val="00541EDD"/>
    <w:rsid w:val="0054209B"/>
    <w:rsid w:val="00542743"/>
    <w:rsid w:val="00542AEC"/>
    <w:rsid w:val="00542C2D"/>
    <w:rsid w:val="00544993"/>
    <w:rsid w:val="00544F1C"/>
    <w:rsid w:val="00546743"/>
    <w:rsid w:val="005478BD"/>
    <w:rsid w:val="005479E3"/>
    <w:rsid w:val="00547CCD"/>
    <w:rsid w:val="00551985"/>
    <w:rsid w:val="00552BD3"/>
    <w:rsid w:val="005532A0"/>
    <w:rsid w:val="00554790"/>
    <w:rsid w:val="00555109"/>
    <w:rsid w:val="00555A46"/>
    <w:rsid w:val="00556B35"/>
    <w:rsid w:val="0055741A"/>
    <w:rsid w:val="00557AC8"/>
    <w:rsid w:val="00560608"/>
    <w:rsid w:val="00560C5A"/>
    <w:rsid w:val="00561155"/>
    <w:rsid w:val="005611B7"/>
    <w:rsid w:val="005618D4"/>
    <w:rsid w:val="00562D64"/>
    <w:rsid w:val="005636A8"/>
    <w:rsid w:val="00564867"/>
    <w:rsid w:val="00565C79"/>
    <w:rsid w:val="00565DF0"/>
    <w:rsid w:val="0056696F"/>
    <w:rsid w:val="00566AD2"/>
    <w:rsid w:val="00566C57"/>
    <w:rsid w:val="00570720"/>
    <w:rsid w:val="0057099D"/>
    <w:rsid w:val="00570AE0"/>
    <w:rsid w:val="00570C65"/>
    <w:rsid w:val="00572269"/>
    <w:rsid w:val="0057244A"/>
    <w:rsid w:val="00572F26"/>
    <w:rsid w:val="005743A8"/>
    <w:rsid w:val="005750C5"/>
    <w:rsid w:val="005752DE"/>
    <w:rsid w:val="00575D60"/>
    <w:rsid w:val="00575D8D"/>
    <w:rsid w:val="00576914"/>
    <w:rsid w:val="00576972"/>
    <w:rsid w:val="00577248"/>
    <w:rsid w:val="005805F7"/>
    <w:rsid w:val="0058085C"/>
    <w:rsid w:val="0058227A"/>
    <w:rsid w:val="00583523"/>
    <w:rsid w:val="00583699"/>
    <w:rsid w:val="00585CDD"/>
    <w:rsid w:val="0058624F"/>
    <w:rsid w:val="00586755"/>
    <w:rsid w:val="00587058"/>
    <w:rsid w:val="00587F77"/>
    <w:rsid w:val="00591957"/>
    <w:rsid w:val="00591D65"/>
    <w:rsid w:val="005928ED"/>
    <w:rsid w:val="005937DA"/>
    <w:rsid w:val="00594F74"/>
    <w:rsid w:val="005968AB"/>
    <w:rsid w:val="00597BF9"/>
    <w:rsid w:val="005A002E"/>
    <w:rsid w:val="005A00F9"/>
    <w:rsid w:val="005A0C11"/>
    <w:rsid w:val="005A13CB"/>
    <w:rsid w:val="005A1E48"/>
    <w:rsid w:val="005A1F98"/>
    <w:rsid w:val="005A2154"/>
    <w:rsid w:val="005A2F41"/>
    <w:rsid w:val="005A309A"/>
    <w:rsid w:val="005A3213"/>
    <w:rsid w:val="005A373D"/>
    <w:rsid w:val="005A4DB8"/>
    <w:rsid w:val="005A590E"/>
    <w:rsid w:val="005A6618"/>
    <w:rsid w:val="005A7568"/>
    <w:rsid w:val="005B05CA"/>
    <w:rsid w:val="005B085F"/>
    <w:rsid w:val="005B0B58"/>
    <w:rsid w:val="005B1031"/>
    <w:rsid w:val="005B15D9"/>
    <w:rsid w:val="005B22CD"/>
    <w:rsid w:val="005B35CA"/>
    <w:rsid w:val="005B3903"/>
    <w:rsid w:val="005B3A33"/>
    <w:rsid w:val="005B49B2"/>
    <w:rsid w:val="005B4E53"/>
    <w:rsid w:val="005B515F"/>
    <w:rsid w:val="005B5427"/>
    <w:rsid w:val="005B5857"/>
    <w:rsid w:val="005B7614"/>
    <w:rsid w:val="005B7BE6"/>
    <w:rsid w:val="005C07D9"/>
    <w:rsid w:val="005C0F57"/>
    <w:rsid w:val="005C19C4"/>
    <w:rsid w:val="005C1B83"/>
    <w:rsid w:val="005C25FF"/>
    <w:rsid w:val="005C2637"/>
    <w:rsid w:val="005C2D55"/>
    <w:rsid w:val="005C346B"/>
    <w:rsid w:val="005C3ECB"/>
    <w:rsid w:val="005C3EE3"/>
    <w:rsid w:val="005C5ABC"/>
    <w:rsid w:val="005C5B66"/>
    <w:rsid w:val="005C5C7A"/>
    <w:rsid w:val="005C6F2B"/>
    <w:rsid w:val="005C7904"/>
    <w:rsid w:val="005C7D2C"/>
    <w:rsid w:val="005C7EC7"/>
    <w:rsid w:val="005D044D"/>
    <w:rsid w:val="005D0ABD"/>
    <w:rsid w:val="005D1132"/>
    <w:rsid w:val="005D18AD"/>
    <w:rsid w:val="005D1B53"/>
    <w:rsid w:val="005D26B4"/>
    <w:rsid w:val="005D2880"/>
    <w:rsid w:val="005D37B1"/>
    <w:rsid w:val="005D3FB6"/>
    <w:rsid w:val="005D5D6B"/>
    <w:rsid w:val="005D6299"/>
    <w:rsid w:val="005D7694"/>
    <w:rsid w:val="005E1995"/>
    <w:rsid w:val="005E1C28"/>
    <w:rsid w:val="005E1CA9"/>
    <w:rsid w:val="005E40EB"/>
    <w:rsid w:val="005E4BC6"/>
    <w:rsid w:val="005E4E2B"/>
    <w:rsid w:val="005E6CBC"/>
    <w:rsid w:val="005E72FF"/>
    <w:rsid w:val="005E73C0"/>
    <w:rsid w:val="005E7470"/>
    <w:rsid w:val="005F07ED"/>
    <w:rsid w:val="005F114D"/>
    <w:rsid w:val="005F2706"/>
    <w:rsid w:val="005F3604"/>
    <w:rsid w:val="005F4F82"/>
    <w:rsid w:val="005F5475"/>
    <w:rsid w:val="005F5555"/>
    <w:rsid w:val="005F6A8F"/>
    <w:rsid w:val="005F6BB7"/>
    <w:rsid w:val="005F70A5"/>
    <w:rsid w:val="005F734A"/>
    <w:rsid w:val="005F7366"/>
    <w:rsid w:val="005F7588"/>
    <w:rsid w:val="0060048C"/>
    <w:rsid w:val="00600870"/>
    <w:rsid w:val="00601426"/>
    <w:rsid w:val="006020E7"/>
    <w:rsid w:val="006028D3"/>
    <w:rsid w:val="00603DB9"/>
    <w:rsid w:val="00604166"/>
    <w:rsid w:val="00604512"/>
    <w:rsid w:val="006056E0"/>
    <w:rsid w:val="00606EA1"/>
    <w:rsid w:val="00606FBA"/>
    <w:rsid w:val="00607041"/>
    <w:rsid w:val="00607669"/>
    <w:rsid w:val="006076F4"/>
    <w:rsid w:val="00607AFD"/>
    <w:rsid w:val="0061091E"/>
    <w:rsid w:val="00611B12"/>
    <w:rsid w:val="00612897"/>
    <w:rsid w:val="00612F97"/>
    <w:rsid w:val="00613384"/>
    <w:rsid w:val="0061345D"/>
    <w:rsid w:val="006137BF"/>
    <w:rsid w:val="00613939"/>
    <w:rsid w:val="0061549B"/>
    <w:rsid w:val="00616802"/>
    <w:rsid w:val="006171CB"/>
    <w:rsid w:val="00617E12"/>
    <w:rsid w:val="00620749"/>
    <w:rsid w:val="00620C25"/>
    <w:rsid w:val="00621477"/>
    <w:rsid w:val="00621ADA"/>
    <w:rsid w:val="006228D0"/>
    <w:rsid w:val="00623F7B"/>
    <w:rsid w:val="00624BD4"/>
    <w:rsid w:val="00625891"/>
    <w:rsid w:val="00625C36"/>
    <w:rsid w:val="00627DEF"/>
    <w:rsid w:val="00627FB7"/>
    <w:rsid w:val="0063158F"/>
    <w:rsid w:val="0063176A"/>
    <w:rsid w:val="006319A9"/>
    <w:rsid w:val="00631D6B"/>
    <w:rsid w:val="00632183"/>
    <w:rsid w:val="0063259F"/>
    <w:rsid w:val="00632CF1"/>
    <w:rsid w:val="006330A1"/>
    <w:rsid w:val="006344A8"/>
    <w:rsid w:val="0063479F"/>
    <w:rsid w:val="006353F0"/>
    <w:rsid w:val="006357B5"/>
    <w:rsid w:val="0063616B"/>
    <w:rsid w:val="00636417"/>
    <w:rsid w:val="006364A1"/>
    <w:rsid w:val="0063678E"/>
    <w:rsid w:val="006368BB"/>
    <w:rsid w:val="00636B34"/>
    <w:rsid w:val="00637BFD"/>
    <w:rsid w:val="00637C5C"/>
    <w:rsid w:val="006410C5"/>
    <w:rsid w:val="00641C4E"/>
    <w:rsid w:val="00641FB3"/>
    <w:rsid w:val="0064302E"/>
    <w:rsid w:val="0064364C"/>
    <w:rsid w:val="0064434C"/>
    <w:rsid w:val="00646A2F"/>
    <w:rsid w:val="006471CC"/>
    <w:rsid w:val="006472FE"/>
    <w:rsid w:val="006476F4"/>
    <w:rsid w:val="00647A29"/>
    <w:rsid w:val="0065079F"/>
    <w:rsid w:val="00652A28"/>
    <w:rsid w:val="0065326C"/>
    <w:rsid w:val="0065379F"/>
    <w:rsid w:val="00653F25"/>
    <w:rsid w:val="00654278"/>
    <w:rsid w:val="0065507A"/>
    <w:rsid w:val="00656188"/>
    <w:rsid w:val="00656392"/>
    <w:rsid w:val="0065715A"/>
    <w:rsid w:val="006571C4"/>
    <w:rsid w:val="006576C6"/>
    <w:rsid w:val="0066014E"/>
    <w:rsid w:val="006610F1"/>
    <w:rsid w:val="00661C6B"/>
    <w:rsid w:val="006624A2"/>
    <w:rsid w:val="00662D3E"/>
    <w:rsid w:val="006644EC"/>
    <w:rsid w:val="00664D04"/>
    <w:rsid w:val="00664F2F"/>
    <w:rsid w:val="00665EA4"/>
    <w:rsid w:val="006672E2"/>
    <w:rsid w:val="00667BE3"/>
    <w:rsid w:val="006702AC"/>
    <w:rsid w:val="00671004"/>
    <w:rsid w:val="006724AA"/>
    <w:rsid w:val="00672646"/>
    <w:rsid w:val="00673CF2"/>
    <w:rsid w:val="00673D99"/>
    <w:rsid w:val="00674E42"/>
    <w:rsid w:val="00675C09"/>
    <w:rsid w:val="00676563"/>
    <w:rsid w:val="00677DBA"/>
    <w:rsid w:val="006813F8"/>
    <w:rsid w:val="00682112"/>
    <w:rsid w:val="0068280C"/>
    <w:rsid w:val="00682BA6"/>
    <w:rsid w:val="006831D5"/>
    <w:rsid w:val="00686957"/>
    <w:rsid w:val="006872BA"/>
    <w:rsid w:val="00687FD6"/>
    <w:rsid w:val="006903FF"/>
    <w:rsid w:val="00690795"/>
    <w:rsid w:val="00691648"/>
    <w:rsid w:val="006917D7"/>
    <w:rsid w:val="006936AA"/>
    <w:rsid w:val="0069434C"/>
    <w:rsid w:val="00694F44"/>
    <w:rsid w:val="0069536E"/>
    <w:rsid w:val="00696367"/>
    <w:rsid w:val="00696EF9"/>
    <w:rsid w:val="00696F51"/>
    <w:rsid w:val="006972BC"/>
    <w:rsid w:val="006979A5"/>
    <w:rsid w:val="006A016F"/>
    <w:rsid w:val="006A0DF7"/>
    <w:rsid w:val="006A2D6C"/>
    <w:rsid w:val="006A4321"/>
    <w:rsid w:val="006A43CF"/>
    <w:rsid w:val="006A43D9"/>
    <w:rsid w:val="006A4DA6"/>
    <w:rsid w:val="006A5D97"/>
    <w:rsid w:val="006A6B99"/>
    <w:rsid w:val="006A731E"/>
    <w:rsid w:val="006A7E5F"/>
    <w:rsid w:val="006B100E"/>
    <w:rsid w:val="006B261B"/>
    <w:rsid w:val="006B2C90"/>
    <w:rsid w:val="006B35E6"/>
    <w:rsid w:val="006B465A"/>
    <w:rsid w:val="006B6DD0"/>
    <w:rsid w:val="006B756D"/>
    <w:rsid w:val="006C0399"/>
    <w:rsid w:val="006C13E5"/>
    <w:rsid w:val="006C1F26"/>
    <w:rsid w:val="006C2A8E"/>
    <w:rsid w:val="006C2C99"/>
    <w:rsid w:val="006C3255"/>
    <w:rsid w:val="006C3F26"/>
    <w:rsid w:val="006C531B"/>
    <w:rsid w:val="006C6AE3"/>
    <w:rsid w:val="006C75E5"/>
    <w:rsid w:val="006D00B9"/>
    <w:rsid w:val="006D05E4"/>
    <w:rsid w:val="006D085B"/>
    <w:rsid w:val="006D0D17"/>
    <w:rsid w:val="006D1F51"/>
    <w:rsid w:val="006D36A9"/>
    <w:rsid w:val="006D3C7D"/>
    <w:rsid w:val="006D4659"/>
    <w:rsid w:val="006D5D5F"/>
    <w:rsid w:val="006D6776"/>
    <w:rsid w:val="006D682C"/>
    <w:rsid w:val="006D68FB"/>
    <w:rsid w:val="006D70BB"/>
    <w:rsid w:val="006E0C87"/>
    <w:rsid w:val="006E1448"/>
    <w:rsid w:val="006E208F"/>
    <w:rsid w:val="006E2868"/>
    <w:rsid w:val="006E5123"/>
    <w:rsid w:val="006E6A79"/>
    <w:rsid w:val="006E6D76"/>
    <w:rsid w:val="006E7786"/>
    <w:rsid w:val="006E7865"/>
    <w:rsid w:val="006F018B"/>
    <w:rsid w:val="006F162D"/>
    <w:rsid w:val="006F1A5F"/>
    <w:rsid w:val="006F273C"/>
    <w:rsid w:val="006F306C"/>
    <w:rsid w:val="006F3174"/>
    <w:rsid w:val="006F3E2D"/>
    <w:rsid w:val="006F5D2C"/>
    <w:rsid w:val="006F63A5"/>
    <w:rsid w:val="006F7CBB"/>
    <w:rsid w:val="00700626"/>
    <w:rsid w:val="0070142B"/>
    <w:rsid w:val="0070276E"/>
    <w:rsid w:val="00702F8F"/>
    <w:rsid w:val="00703E30"/>
    <w:rsid w:val="00704D24"/>
    <w:rsid w:val="007060EA"/>
    <w:rsid w:val="007079FC"/>
    <w:rsid w:val="00710360"/>
    <w:rsid w:val="007105D3"/>
    <w:rsid w:val="00711A36"/>
    <w:rsid w:val="007120FE"/>
    <w:rsid w:val="007125D3"/>
    <w:rsid w:val="007139E5"/>
    <w:rsid w:val="00713FFC"/>
    <w:rsid w:val="00714C26"/>
    <w:rsid w:val="0071529C"/>
    <w:rsid w:val="00716907"/>
    <w:rsid w:val="00716BCF"/>
    <w:rsid w:val="007170DA"/>
    <w:rsid w:val="007171BC"/>
    <w:rsid w:val="007172AD"/>
    <w:rsid w:val="0071737B"/>
    <w:rsid w:val="00717546"/>
    <w:rsid w:val="007177DE"/>
    <w:rsid w:val="00720801"/>
    <w:rsid w:val="00722B1B"/>
    <w:rsid w:val="0072322C"/>
    <w:rsid w:val="0072358D"/>
    <w:rsid w:val="0072416F"/>
    <w:rsid w:val="00724B13"/>
    <w:rsid w:val="00725E70"/>
    <w:rsid w:val="00726EA4"/>
    <w:rsid w:val="007271F6"/>
    <w:rsid w:val="007278D9"/>
    <w:rsid w:val="00727C94"/>
    <w:rsid w:val="00731B0A"/>
    <w:rsid w:val="00731EAE"/>
    <w:rsid w:val="00731FEA"/>
    <w:rsid w:val="00733073"/>
    <w:rsid w:val="00733877"/>
    <w:rsid w:val="00733B59"/>
    <w:rsid w:val="00735033"/>
    <w:rsid w:val="00735328"/>
    <w:rsid w:val="0073685B"/>
    <w:rsid w:val="00737AC3"/>
    <w:rsid w:val="00740346"/>
    <w:rsid w:val="00743153"/>
    <w:rsid w:val="007433C0"/>
    <w:rsid w:val="0074467C"/>
    <w:rsid w:val="007449BF"/>
    <w:rsid w:val="00744F78"/>
    <w:rsid w:val="00745198"/>
    <w:rsid w:val="00745554"/>
    <w:rsid w:val="007463FE"/>
    <w:rsid w:val="00746BC0"/>
    <w:rsid w:val="00750284"/>
    <w:rsid w:val="007510B4"/>
    <w:rsid w:val="00752142"/>
    <w:rsid w:val="007523F9"/>
    <w:rsid w:val="00752DBA"/>
    <w:rsid w:val="0075357E"/>
    <w:rsid w:val="00753B29"/>
    <w:rsid w:val="00754DB4"/>
    <w:rsid w:val="0075543D"/>
    <w:rsid w:val="00757184"/>
    <w:rsid w:val="007573E8"/>
    <w:rsid w:val="00757EF0"/>
    <w:rsid w:val="00760C4E"/>
    <w:rsid w:val="00760F9E"/>
    <w:rsid w:val="007616E6"/>
    <w:rsid w:val="00762299"/>
    <w:rsid w:val="007627BE"/>
    <w:rsid w:val="00763729"/>
    <w:rsid w:val="00763C8F"/>
    <w:rsid w:val="00764F03"/>
    <w:rsid w:val="0076532E"/>
    <w:rsid w:val="00765765"/>
    <w:rsid w:val="00765B1A"/>
    <w:rsid w:val="00765DC1"/>
    <w:rsid w:val="00771FDE"/>
    <w:rsid w:val="00771FEC"/>
    <w:rsid w:val="007723B9"/>
    <w:rsid w:val="00772E84"/>
    <w:rsid w:val="00774667"/>
    <w:rsid w:val="00775772"/>
    <w:rsid w:val="00776A29"/>
    <w:rsid w:val="00777335"/>
    <w:rsid w:val="0078146B"/>
    <w:rsid w:val="00781496"/>
    <w:rsid w:val="007821EB"/>
    <w:rsid w:val="0078234E"/>
    <w:rsid w:val="00783604"/>
    <w:rsid w:val="00783FA8"/>
    <w:rsid w:val="007843F2"/>
    <w:rsid w:val="007846FA"/>
    <w:rsid w:val="00785A9F"/>
    <w:rsid w:val="00786849"/>
    <w:rsid w:val="00786AD6"/>
    <w:rsid w:val="00786B02"/>
    <w:rsid w:val="00790972"/>
    <w:rsid w:val="00790BB9"/>
    <w:rsid w:val="0079149C"/>
    <w:rsid w:val="00792235"/>
    <w:rsid w:val="007925DF"/>
    <w:rsid w:val="00796E9D"/>
    <w:rsid w:val="007973ED"/>
    <w:rsid w:val="007A024E"/>
    <w:rsid w:val="007A08AA"/>
    <w:rsid w:val="007A09E3"/>
    <w:rsid w:val="007A0A12"/>
    <w:rsid w:val="007A0BD1"/>
    <w:rsid w:val="007A132D"/>
    <w:rsid w:val="007A1345"/>
    <w:rsid w:val="007A2DDB"/>
    <w:rsid w:val="007A4BA3"/>
    <w:rsid w:val="007A547A"/>
    <w:rsid w:val="007A5FF6"/>
    <w:rsid w:val="007A6ACF"/>
    <w:rsid w:val="007A6B72"/>
    <w:rsid w:val="007A70BA"/>
    <w:rsid w:val="007A76D5"/>
    <w:rsid w:val="007A788C"/>
    <w:rsid w:val="007A7D4E"/>
    <w:rsid w:val="007B0D68"/>
    <w:rsid w:val="007B12EC"/>
    <w:rsid w:val="007B1ACD"/>
    <w:rsid w:val="007B251D"/>
    <w:rsid w:val="007B3533"/>
    <w:rsid w:val="007B4F58"/>
    <w:rsid w:val="007B506B"/>
    <w:rsid w:val="007B528D"/>
    <w:rsid w:val="007B5AEF"/>
    <w:rsid w:val="007B63CA"/>
    <w:rsid w:val="007B77A4"/>
    <w:rsid w:val="007B77D1"/>
    <w:rsid w:val="007C021E"/>
    <w:rsid w:val="007C07C7"/>
    <w:rsid w:val="007C11E6"/>
    <w:rsid w:val="007C1CD9"/>
    <w:rsid w:val="007C32EF"/>
    <w:rsid w:val="007C361D"/>
    <w:rsid w:val="007C3D4D"/>
    <w:rsid w:val="007C3F26"/>
    <w:rsid w:val="007C4B84"/>
    <w:rsid w:val="007C6CAA"/>
    <w:rsid w:val="007C70FF"/>
    <w:rsid w:val="007C720C"/>
    <w:rsid w:val="007C7C25"/>
    <w:rsid w:val="007C7E0C"/>
    <w:rsid w:val="007D004F"/>
    <w:rsid w:val="007D035F"/>
    <w:rsid w:val="007D06B2"/>
    <w:rsid w:val="007D0B38"/>
    <w:rsid w:val="007D283A"/>
    <w:rsid w:val="007D30A5"/>
    <w:rsid w:val="007D319B"/>
    <w:rsid w:val="007D5440"/>
    <w:rsid w:val="007D649B"/>
    <w:rsid w:val="007D69EB"/>
    <w:rsid w:val="007E128F"/>
    <w:rsid w:val="007E44B3"/>
    <w:rsid w:val="007E598F"/>
    <w:rsid w:val="007E61CB"/>
    <w:rsid w:val="007E65B6"/>
    <w:rsid w:val="007E7952"/>
    <w:rsid w:val="007F0F0C"/>
    <w:rsid w:val="007F1017"/>
    <w:rsid w:val="007F4A3F"/>
    <w:rsid w:val="007F4A61"/>
    <w:rsid w:val="007F4C7C"/>
    <w:rsid w:val="007F5255"/>
    <w:rsid w:val="007F5499"/>
    <w:rsid w:val="007F56CC"/>
    <w:rsid w:val="007F5F1D"/>
    <w:rsid w:val="007F61C2"/>
    <w:rsid w:val="00802125"/>
    <w:rsid w:val="008032C5"/>
    <w:rsid w:val="00803CBC"/>
    <w:rsid w:val="00804DA4"/>
    <w:rsid w:val="00804FC3"/>
    <w:rsid w:val="00805142"/>
    <w:rsid w:val="0080566B"/>
    <w:rsid w:val="00805FCE"/>
    <w:rsid w:val="00807A8B"/>
    <w:rsid w:val="00807BDC"/>
    <w:rsid w:val="00811383"/>
    <w:rsid w:val="00812149"/>
    <w:rsid w:val="00812CAC"/>
    <w:rsid w:val="008155BD"/>
    <w:rsid w:val="00816361"/>
    <w:rsid w:val="008166EF"/>
    <w:rsid w:val="00816FEF"/>
    <w:rsid w:val="00820A8C"/>
    <w:rsid w:val="008215FB"/>
    <w:rsid w:val="00821E89"/>
    <w:rsid w:val="008220CC"/>
    <w:rsid w:val="008226A7"/>
    <w:rsid w:val="00823174"/>
    <w:rsid w:val="00823301"/>
    <w:rsid w:val="00825751"/>
    <w:rsid w:val="00826275"/>
    <w:rsid w:val="008264EB"/>
    <w:rsid w:val="008268CE"/>
    <w:rsid w:val="00827C23"/>
    <w:rsid w:val="0083090C"/>
    <w:rsid w:val="00832473"/>
    <w:rsid w:val="008333A0"/>
    <w:rsid w:val="00833B05"/>
    <w:rsid w:val="00834AB3"/>
    <w:rsid w:val="00835261"/>
    <w:rsid w:val="00835949"/>
    <w:rsid w:val="00835B99"/>
    <w:rsid w:val="008362B4"/>
    <w:rsid w:val="00840CA2"/>
    <w:rsid w:val="00841E61"/>
    <w:rsid w:val="008424FC"/>
    <w:rsid w:val="00842B4C"/>
    <w:rsid w:val="0084374F"/>
    <w:rsid w:val="0084449D"/>
    <w:rsid w:val="00844A22"/>
    <w:rsid w:val="00845F67"/>
    <w:rsid w:val="00846D0E"/>
    <w:rsid w:val="008476D8"/>
    <w:rsid w:val="00847703"/>
    <w:rsid w:val="00847DF5"/>
    <w:rsid w:val="0085309D"/>
    <w:rsid w:val="00853B3A"/>
    <w:rsid w:val="0085581C"/>
    <w:rsid w:val="008559E9"/>
    <w:rsid w:val="00855B21"/>
    <w:rsid w:val="00855B2E"/>
    <w:rsid w:val="008562A1"/>
    <w:rsid w:val="00856897"/>
    <w:rsid w:val="00856E42"/>
    <w:rsid w:val="00856E9A"/>
    <w:rsid w:val="0085783A"/>
    <w:rsid w:val="0086075D"/>
    <w:rsid w:val="00860CDD"/>
    <w:rsid w:val="00861AF2"/>
    <w:rsid w:val="00861B1C"/>
    <w:rsid w:val="00862502"/>
    <w:rsid w:val="00862CC1"/>
    <w:rsid w:val="008642A7"/>
    <w:rsid w:val="00864E87"/>
    <w:rsid w:val="00865623"/>
    <w:rsid w:val="008660D4"/>
    <w:rsid w:val="00870C62"/>
    <w:rsid w:val="008710CA"/>
    <w:rsid w:val="00871E27"/>
    <w:rsid w:val="00871FA9"/>
    <w:rsid w:val="008728E9"/>
    <w:rsid w:val="008738EB"/>
    <w:rsid w:val="00873C2C"/>
    <w:rsid w:val="00876537"/>
    <w:rsid w:val="00877123"/>
    <w:rsid w:val="00882874"/>
    <w:rsid w:val="00882CFD"/>
    <w:rsid w:val="00882E3C"/>
    <w:rsid w:val="0088301B"/>
    <w:rsid w:val="0088308A"/>
    <w:rsid w:val="00883787"/>
    <w:rsid w:val="00884315"/>
    <w:rsid w:val="00885184"/>
    <w:rsid w:val="008855E4"/>
    <w:rsid w:val="00886CD2"/>
    <w:rsid w:val="00887888"/>
    <w:rsid w:val="0089024E"/>
    <w:rsid w:val="00891CBE"/>
    <w:rsid w:val="00891E6F"/>
    <w:rsid w:val="0089275D"/>
    <w:rsid w:val="00892A36"/>
    <w:rsid w:val="00892A4A"/>
    <w:rsid w:val="00893239"/>
    <w:rsid w:val="0089420E"/>
    <w:rsid w:val="00894489"/>
    <w:rsid w:val="00894CD6"/>
    <w:rsid w:val="008963A5"/>
    <w:rsid w:val="00896D5D"/>
    <w:rsid w:val="00897630"/>
    <w:rsid w:val="00897D15"/>
    <w:rsid w:val="008A0830"/>
    <w:rsid w:val="008A217F"/>
    <w:rsid w:val="008A3158"/>
    <w:rsid w:val="008A3363"/>
    <w:rsid w:val="008A3371"/>
    <w:rsid w:val="008A3C3E"/>
    <w:rsid w:val="008A4FF1"/>
    <w:rsid w:val="008A79DE"/>
    <w:rsid w:val="008B0A35"/>
    <w:rsid w:val="008B1757"/>
    <w:rsid w:val="008B1C33"/>
    <w:rsid w:val="008B1F41"/>
    <w:rsid w:val="008B2483"/>
    <w:rsid w:val="008B4B6F"/>
    <w:rsid w:val="008B5BAF"/>
    <w:rsid w:val="008B65E4"/>
    <w:rsid w:val="008B69BA"/>
    <w:rsid w:val="008B6D7C"/>
    <w:rsid w:val="008B7992"/>
    <w:rsid w:val="008B7D7E"/>
    <w:rsid w:val="008C0F14"/>
    <w:rsid w:val="008C1DBC"/>
    <w:rsid w:val="008C5610"/>
    <w:rsid w:val="008C5739"/>
    <w:rsid w:val="008C7282"/>
    <w:rsid w:val="008C7D48"/>
    <w:rsid w:val="008C7ECB"/>
    <w:rsid w:val="008D2BD6"/>
    <w:rsid w:val="008D3B86"/>
    <w:rsid w:val="008D43FD"/>
    <w:rsid w:val="008D4755"/>
    <w:rsid w:val="008D4C3D"/>
    <w:rsid w:val="008D514D"/>
    <w:rsid w:val="008D743C"/>
    <w:rsid w:val="008E0276"/>
    <w:rsid w:val="008E0D3C"/>
    <w:rsid w:val="008E0FBD"/>
    <w:rsid w:val="008E1B9E"/>
    <w:rsid w:val="008E1BB5"/>
    <w:rsid w:val="008E3226"/>
    <w:rsid w:val="008E34B3"/>
    <w:rsid w:val="008E4346"/>
    <w:rsid w:val="008E55AB"/>
    <w:rsid w:val="008E65BC"/>
    <w:rsid w:val="008E678D"/>
    <w:rsid w:val="008E7609"/>
    <w:rsid w:val="008E7F5C"/>
    <w:rsid w:val="008F0372"/>
    <w:rsid w:val="008F120A"/>
    <w:rsid w:val="008F1EAC"/>
    <w:rsid w:val="008F27E0"/>
    <w:rsid w:val="008F2A94"/>
    <w:rsid w:val="008F450B"/>
    <w:rsid w:val="008F48EB"/>
    <w:rsid w:val="008F4F0B"/>
    <w:rsid w:val="008F6A0C"/>
    <w:rsid w:val="008F6AA0"/>
    <w:rsid w:val="008F725A"/>
    <w:rsid w:val="00900D41"/>
    <w:rsid w:val="009023ED"/>
    <w:rsid w:val="00903F84"/>
    <w:rsid w:val="009046C4"/>
    <w:rsid w:val="00904C7A"/>
    <w:rsid w:val="009050E4"/>
    <w:rsid w:val="009062A5"/>
    <w:rsid w:val="00906E59"/>
    <w:rsid w:val="00907699"/>
    <w:rsid w:val="00910FA7"/>
    <w:rsid w:val="00911272"/>
    <w:rsid w:val="00911339"/>
    <w:rsid w:val="009135D6"/>
    <w:rsid w:val="00914C77"/>
    <w:rsid w:val="009154F7"/>
    <w:rsid w:val="00916152"/>
    <w:rsid w:val="0091750E"/>
    <w:rsid w:val="00921569"/>
    <w:rsid w:val="0092179A"/>
    <w:rsid w:val="00921ACB"/>
    <w:rsid w:val="0092369B"/>
    <w:rsid w:val="00924470"/>
    <w:rsid w:val="009246D3"/>
    <w:rsid w:val="009264F7"/>
    <w:rsid w:val="009266F3"/>
    <w:rsid w:val="00927932"/>
    <w:rsid w:val="009300A2"/>
    <w:rsid w:val="0093054D"/>
    <w:rsid w:val="0093308E"/>
    <w:rsid w:val="0093322D"/>
    <w:rsid w:val="009335A1"/>
    <w:rsid w:val="00934988"/>
    <w:rsid w:val="00934ADE"/>
    <w:rsid w:val="00934C66"/>
    <w:rsid w:val="0093506D"/>
    <w:rsid w:val="00935A95"/>
    <w:rsid w:val="0093655A"/>
    <w:rsid w:val="00936D3E"/>
    <w:rsid w:val="00936F5B"/>
    <w:rsid w:val="00937089"/>
    <w:rsid w:val="0093746F"/>
    <w:rsid w:val="00937AAE"/>
    <w:rsid w:val="00940825"/>
    <w:rsid w:val="00940900"/>
    <w:rsid w:val="00940C3D"/>
    <w:rsid w:val="00942BCF"/>
    <w:rsid w:val="00944F8A"/>
    <w:rsid w:val="009452E9"/>
    <w:rsid w:val="00945478"/>
    <w:rsid w:val="00946E40"/>
    <w:rsid w:val="00947F7F"/>
    <w:rsid w:val="00950CCD"/>
    <w:rsid w:val="009510A2"/>
    <w:rsid w:val="00953201"/>
    <w:rsid w:val="00953257"/>
    <w:rsid w:val="009533C5"/>
    <w:rsid w:val="00953C60"/>
    <w:rsid w:val="0095474C"/>
    <w:rsid w:val="00954E3B"/>
    <w:rsid w:val="0095539A"/>
    <w:rsid w:val="009562A8"/>
    <w:rsid w:val="009578C9"/>
    <w:rsid w:val="00957D92"/>
    <w:rsid w:val="0096038A"/>
    <w:rsid w:val="00961750"/>
    <w:rsid w:val="00961B23"/>
    <w:rsid w:val="00962CB9"/>
    <w:rsid w:val="00963806"/>
    <w:rsid w:val="00963ABA"/>
    <w:rsid w:val="00963E3E"/>
    <w:rsid w:val="0096402B"/>
    <w:rsid w:val="00964312"/>
    <w:rsid w:val="009653B6"/>
    <w:rsid w:val="00965B8A"/>
    <w:rsid w:val="00966492"/>
    <w:rsid w:val="00967C32"/>
    <w:rsid w:val="0097056E"/>
    <w:rsid w:val="0097071F"/>
    <w:rsid w:val="009717AC"/>
    <w:rsid w:val="009723D5"/>
    <w:rsid w:val="00972D6B"/>
    <w:rsid w:val="00973DA7"/>
    <w:rsid w:val="009751C1"/>
    <w:rsid w:val="00976084"/>
    <w:rsid w:val="00977676"/>
    <w:rsid w:val="009801ED"/>
    <w:rsid w:val="009804DE"/>
    <w:rsid w:val="009811F1"/>
    <w:rsid w:val="0098262F"/>
    <w:rsid w:val="00982E78"/>
    <w:rsid w:val="009833F7"/>
    <w:rsid w:val="00983E57"/>
    <w:rsid w:val="009849A4"/>
    <w:rsid w:val="00985CB4"/>
    <w:rsid w:val="00985DE2"/>
    <w:rsid w:val="00985FED"/>
    <w:rsid w:val="0098675D"/>
    <w:rsid w:val="009876F0"/>
    <w:rsid w:val="00987BA4"/>
    <w:rsid w:val="0099188E"/>
    <w:rsid w:val="0099260B"/>
    <w:rsid w:val="009926E0"/>
    <w:rsid w:val="009930CA"/>
    <w:rsid w:val="00993544"/>
    <w:rsid w:val="0099451E"/>
    <w:rsid w:val="00995DE6"/>
    <w:rsid w:val="00996054"/>
    <w:rsid w:val="00996556"/>
    <w:rsid w:val="00996B1A"/>
    <w:rsid w:val="00996C61"/>
    <w:rsid w:val="009976D2"/>
    <w:rsid w:val="009A18F6"/>
    <w:rsid w:val="009A197C"/>
    <w:rsid w:val="009A2DCC"/>
    <w:rsid w:val="009A3690"/>
    <w:rsid w:val="009A536C"/>
    <w:rsid w:val="009A5ABC"/>
    <w:rsid w:val="009A6500"/>
    <w:rsid w:val="009A68BC"/>
    <w:rsid w:val="009A772E"/>
    <w:rsid w:val="009A7F10"/>
    <w:rsid w:val="009B0CF0"/>
    <w:rsid w:val="009B10CF"/>
    <w:rsid w:val="009B2B62"/>
    <w:rsid w:val="009B3E26"/>
    <w:rsid w:val="009B5AC1"/>
    <w:rsid w:val="009B7000"/>
    <w:rsid w:val="009C1271"/>
    <w:rsid w:val="009C3543"/>
    <w:rsid w:val="009C358C"/>
    <w:rsid w:val="009C3706"/>
    <w:rsid w:val="009C3A3A"/>
    <w:rsid w:val="009C426B"/>
    <w:rsid w:val="009C4DFE"/>
    <w:rsid w:val="009C5164"/>
    <w:rsid w:val="009C6CEA"/>
    <w:rsid w:val="009C7B85"/>
    <w:rsid w:val="009D0254"/>
    <w:rsid w:val="009D0974"/>
    <w:rsid w:val="009D0A7F"/>
    <w:rsid w:val="009D1A64"/>
    <w:rsid w:val="009D23A1"/>
    <w:rsid w:val="009D2549"/>
    <w:rsid w:val="009D277C"/>
    <w:rsid w:val="009D33B2"/>
    <w:rsid w:val="009D3BBD"/>
    <w:rsid w:val="009D4A28"/>
    <w:rsid w:val="009D5B91"/>
    <w:rsid w:val="009D6023"/>
    <w:rsid w:val="009D792E"/>
    <w:rsid w:val="009E0B1C"/>
    <w:rsid w:val="009E0DFE"/>
    <w:rsid w:val="009E0E94"/>
    <w:rsid w:val="009E170A"/>
    <w:rsid w:val="009E2C52"/>
    <w:rsid w:val="009E31F6"/>
    <w:rsid w:val="009E3616"/>
    <w:rsid w:val="009E4C07"/>
    <w:rsid w:val="009E4F18"/>
    <w:rsid w:val="009E5207"/>
    <w:rsid w:val="009E628F"/>
    <w:rsid w:val="009E6F5F"/>
    <w:rsid w:val="009E777F"/>
    <w:rsid w:val="009F0044"/>
    <w:rsid w:val="009F0384"/>
    <w:rsid w:val="009F1131"/>
    <w:rsid w:val="009F1554"/>
    <w:rsid w:val="009F1A3E"/>
    <w:rsid w:val="009F3457"/>
    <w:rsid w:val="009F3D9A"/>
    <w:rsid w:val="009F3E48"/>
    <w:rsid w:val="009F6120"/>
    <w:rsid w:val="009F6674"/>
    <w:rsid w:val="00A00042"/>
    <w:rsid w:val="00A002EC"/>
    <w:rsid w:val="00A00D76"/>
    <w:rsid w:val="00A01184"/>
    <w:rsid w:val="00A01346"/>
    <w:rsid w:val="00A01449"/>
    <w:rsid w:val="00A01A67"/>
    <w:rsid w:val="00A037C2"/>
    <w:rsid w:val="00A03D43"/>
    <w:rsid w:val="00A04039"/>
    <w:rsid w:val="00A04380"/>
    <w:rsid w:val="00A04786"/>
    <w:rsid w:val="00A04F7A"/>
    <w:rsid w:val="00A05472"/>
    <w:rsid w:val="00A05C19"/>
    <w:rsid w:val="00A05C32"/>
    <w:rsid w:val="00A0653F"/>
    <w:rsid w:val="00A06D2B"/>
    <w:rsid w:val="00A113EC"/>
    <w:rsid w:val="00A11888"/>
    <w:rsid w:val="00A11A29"/>
    <w:rsid w:val="00A11C52"/>
    <w:rsid w:val="00A11CD0"/>
    <w:rsid w:val="00A11E80"/>
    <w:rsid w:val="00A121D8"/>
    <w:rsid w:val="00A13948"/>
    <w:rsid w:val="00A14621"/>
    <w:rsid w:val="00A14643"/>
    <w:rsid w:val="00A14777"/>
    <w:rsid w:val="00A1555B"/>
    <w:rsid w:val="00A155C5"/>
    <w:rsid w:val="00A16461"/>
    <w:rsid w:val="00A16AD8"/>
    <w:rsid w:val="00A17D21"/>
    <w:rsid w:val="00A2021E"/>
    <w:rsid w:val="00A208D3"/>
    <w:rsid w:val="00A20C96"/>
    <w:rsid w:val="00A21C95"/>
    <w:rsid w:val="00A21CF3"/>
    <w:rsid w:val="00A2358D"/>
    <w:rsid w:val="00A24813"/>
    <w:rsid w:val="00A25191"/>
    <w:rsid w:val="00A25D45"/>
    <w:rsid w:val="00A27AEC"/>
    <w:rsid w:val="00A3057E"/>
    <w:rsid w:val="00A320DB"/>
    <w:rsid w:val="00A33112"/>
    <w:rsid w:val="00A34CE9"/>
    <w:rsid w:val="00A35D16"/>
    <w:rsid w:val="00A36E22"/>
    <w:rsid w:val="00A37BCD"/>
    <w:rsid w:val="00A400F0"/>
    <w:rsid w:val="00A408D5"/>
    <w:rsid w:val="00A41689"/>
    <w:rsid w:val="00A42592"/>
    <w:rsid w:val="00A42928"/>
    <w:rsid w:val="00A432E4"/>
    <w:rsid w:val="00A43C59"/>
    <w:rsid w:val="00A45629"/>
    <w:rsid w:val="00A471DC"/>
    <w:rsid w:val="00A47B85"/>
    <w:rsid w:val="00A50ECD"/>
    <w:rsid w:val="00A5121F"/>
    <w:rsid w:val="00A513BD"/>
    <w:rsid w:val="00A518F3"/>
    <w:rsid w:val="00A520FB"/>
    <w:rsid w:val="00A526E6"/>
    <w:rsid w:val="00A52729"/>
    <w:rsid w:val="00A53675"/>
    <w:rsid w:val="00A53966"/>
    <w:rsid w:val="00A55C1F"/>
    <w:rsid w:val="00A564D7"/>
    <w:rsid w:val="00A56B6A"/>
    <w:rsid w:val="00A578DC"/>
    <w:rsid w:val="00A6107F"/>
    <w:rsid w:val="00A640E2"/>
    <w:rsid w:val="00A64256"/>
    <w:rsid w:val="00A64D65"/>
    <w:rsid w:val="00A65A94"/>
    <w:rsid w:val="00A66644"/>
    <w:rsid w:val="00A666D8"/>
    <w:rsid w:val="00A6725B"/>
    <w:rsid w:val="00A67931"/>
    <w:rsid w:val="00A70605"/>
    <w:rsid w:val="00A724E7"/>
    <w:rsid w:val="00A72873"/>
    <w:rsid w:val="00A72C37"/>
    <w:rsid w:val="00A73134"/>
    <w:rsid w:val="00A7365A"/>
    <w:rsid w:val="00A73EC4"/>
    <w:rsid w:val="00A747CB"/>
    <w:rsid w:val="00A74BBC"/>
    <w:rsid w:val="00A75382"/>
    <w:rsid w:val="00A76001"/>
    <w:rsid w:val="00A76C3C"/>
    <w:rsid w:val="00A777B2"/>
    <w:rsid w:val="00A77801"/>
    <w:rsid w:val="00A8022B"/>
    <w:rsid w:val="00A80BE2"/>
    <w:rsid w:val="00A80BE9"/>
    <w:rsid w:val="00A80CB1"/>
    <w:rsid w:val="00A8186C"/>
    <w:rsid w:val="00A824D3"/>
    <w:rsid w:val="00A82569"/>
    <w:rsid w:val="00A825D4"/>
    <w:rsid w:val="00A828F6"/>
    <w:rsid w:val="00A82B73"/>
    <w:rsid w:val="00A84225"/>
    <w:rsid w:val="00A85C80"/>
    <w:rsid w:val="00A8619B"/>
    <w:rsid w:val="00A86E8B"/>
    <w:rsid w:val="00A8700C"/>
    <w:rsid w:val="00A87164"/>
    <w:rsid w:val="00A871A9"/>
    <w:rsid w:val="00A90DE2"/>
    <w:rsid w:val="00A93072"/>
    <w:rsid w:val="00A935AC"/>
    <w:rsid w:val="00A938BD"/>
    <w:rsid w:val="00A93953"/>
    <w:rsid w:val="00A9550D"/>
    <w:rsid w:val="00A959D8"/>
    <w:rsid w:val="00A9641A"/>
    <w:rsid w:val="00A97B11"/>
    <w:rsid w:val="00AA09BE"/>
    <w:rsid w:val="00AA1058"/>
    <w:rsid w:val="00AA113D"/>
    <w:rsid w:val="00AA1658"/>
    <w:rsid w:val="00AA1AB5"/>
    <w:rsid w:val="00AA2A15"/>
    <w:rsid w:val="00AA530A"/>
    <w:rsid w:val="00AA53D8"/>
    <w:rsid w:val="00AA540E"/>
    <w:rsid w:val="00AA5AB0"/>
    <w:rsid w:val="00AA6BD5"/>
    <w:rsid w:val="00AA6BD8"/>
    <w:rsid w:val="00AA6C7D"/>
    <w:rsid w:val="00AA76A1"/>
    <w:rsid w:val="00AA7FD6"/>
    <w:rsid w:val="00AB042A"/>
    <w:rsid w:val="00AB11AD"/>
    <w:rsid w:val="00AB11D4"/>
    <w:rsid w:val="00AB19EF"/>
    <w:rsid w:val="00AB23D3"/>
    <w:rsid w:val="00AB2495"/>
    <w:rsid w:val="00AB2D34"/>
    <w:rsid w:val="00AB3430"/>
    <w:rsid w:val="00AB34E8"/>
    <w:rsid w:val="00AB3605"/>
    <w:rsid w:val="00AB37B9"/>
    <w:rsid w:val="00AB4584"/>
    <w:rsid w:val="00AB498C"/>
    <w:rsid w:val="00AB4AD1"/>
    <w:rsid w:val="00AB4B26"/>
    <w:rsid w:val="00AB59BF"/>
    <w:rsid w:val="00AB5E07"/>
    <w:rsid w:val="00AB6442"/>
    <w:rsid w:val="00AB6EE4"/>
    <w:rsid w:val="00AB7CFA"/>
    <w:rsid w:val="00AC0053"/>
    <w:rsid w:val="00AC0A41"/>
    <w:rsid w:val="00AC2B79"/>
    <w:rsid w:val="00AC3681"/>
    <w:rsid w:val="00AC421E"/>
    <w:rsid w:val="00AC470F"/>
    <w:rsid w:val="00AC5B42"/>
    <w:rsid w:val="00AC5B48"/>
    <w:rsid w:val="00AC5E65"/>
    <w:rsid w:val="00AC7FC8"/>
    <w:rsid w:val="00AD1450"/>
    <w:rsid w:val="00AD15E8"/>
    <w:rsid w:val="00AD1ACE"/>
    <w:rsid w:val="00AD216E"/>
    <w:rsid w:val="00AD2549"/>
    <w:rsid w:val="00AD2F60"/>
    <w:rsid w:val="00AD2F81"/>
    <w:rsid w:val="00AD356D"/>
    <w:rsid w:val="00AD4448"/>
    <w:rsid w:val="00AD5D0A"/>
    <w:rsid w:val="00AD6502"/>
    <w:rsid w:val="00AD7557"/>
    <w:rsid w:val="00AE0695"/>
    <w:rsid w:val="00AE1239"/>
    <w:rsid w:val="00AE12FB"/>
    <w:rsid w:val="00AE1EE2"/>
    <w:rsid w:val="00AE3E7E"/>
    <w:rsid w:val="00AE6362"/>
    <w:rsid w:val="00AE77FF"/>
    <w:rsid w:val="00AE7E53"/>
    <w:rsid w:val="00AF1315"/>
    <w:rsid w:val="00AF19BF"/>
    <w:rsid w:val="00AF1E5F"/>
    <w:rsid w:val="00AF209B"/>
    <w:rsid w:val="00AF2DC3"/>
    <w:rsid w:val="00AF302B"/>
    <w:rsid w:val="00AF306B"/>
    <w:rsid w:val="00AF3B0F"/>
    <w:rsid w:val="00AF4159"/>
    <w:rsid w:val="00AF4FF7"/>
    <w:rsid w:val="00AF6B69"/>
    <w:rsid w:val="00B006CF"/>
    <w:rsid w:val="00B012A7"/>
    <w:rsid w:val="00B017C8"/>
    <w:rsid w:val="00B033E5"/>
    <w:rsid w:val="00B03A63"/>
    <w:rsid w:val="00B06FE2"/>
    <w:rsid w:val="00B077E9"/>
    <w:rsid w:val="00B079D7"/>
    <w:rsid w:val="00B1010D"/>
    <w:rsid w:val="00B11E24"/>
    <w:rsid w:val="00B129A4"/>
    <w:rsid w:val="00B12C94"/>
    <w:rsid w:val="00B133D5"/>
    <w:rsid w:val="00B13783"/>
    <w:rsid w:val="00B17FF6"/>
    <w:rsid w:val="00B201A4"/>
    <w:rsid w:val="00B201D1"/>
    <w:rsid w:val="00B213A6"/>
    <w:rsid w:val="00B21875"/>
    <w:rsid w:val="00B22619"/>
    <w:rsid w:val="00B235B0"/>
    <w:rsid w:val="00B23788"/>
    <w:rsid w:val="00B24DF6"/>
    <w:rsid w:val="00B25B24"/>
    <w:rsid w:val="00B27783"/>
    <w:rsid w:val="00B27A61"/>
    <w:rsid w:val="00B31FA3"/>
    <w:rsid w:val="00B32B70"/>
    <w:rsid w:val="00B34FE2"/>
    <w:rsid w:val="00B35166"/>
    <w:rsid w:val="00B3533C"/>
    <w:rsid w:val="00B3570B"/>
    <w:rsid w:val="00B357D8"/>
    <w:rsid w:val="00B360F4"/>
    <w:rsid w:val="00B36A00"/>
    <w:rsid w:val="00B36D60"/>
    <w:rsid w:val="00B3792B"/>
    <w:rsid w:val="00B37BFC"/>
    <w:rsid w:val="00B40358"/>
    <w:rsid w:val="00B40A09"/>
    <w:rsid w:val="00B41614"/>
    <w:rsid w:val="00B426C9"/>
    <w:rsid w:val="00B42851"/>
    <w:rsid w:val="00B42881"/>
    <w:rsid w:val="00B42DAE"/>
    <w:rsid w:val="00B42F80"/>
    <w:rsid w:val="00B43570"/>
    <w:rsid w:val="00B435CB"/>
    <w:rsid w:val="00B4360C"/>
    <w:rsid w:val="00B45B93"/>
    <w:rsid w:val="00B45EF3"/>
    <w:rsid w:val="00B465EC"/>
    <w:rsid w:val="00B505C8"/>
    <w:rsid w:val="00B50DB8"/>
    <w:rsid w:val="00B52A7A"/>
    <w:rsid w:val="00B53654"/>
    <w:rsid w:val="00B5383E"/>
    <w:rsid w:val="00B53905"/>
    <w:rsid w:val="00B54193"/>
    <w:rsid w:val="00B546DB"/>
    <w:rsid w:val="00B54B5B"/>
    <w:rsid w:val="00B5562E"/>
    <w:rsid w:val="00B55862"/>
    <w:rsid w:val="00B55D65"/>
    <w:rsid w:val="00B56305"/>
    <w:rsid w:val="00B57000"/>
    <w:rsid w:val="00B57F69"/>
    <w:rsid w:val="00B60939"/>
    <w:rsid w:val="00B60AFD"/>
    <w:rsid w:val="00B60EF6"/>
    <w:rsid w:val="00B62306"/>
    <w:rsid w:val="00B62715"/>
    <w:rsid w:val="00B63EC9"/>
    <w:rsid w:val="00B65611"/>
    <w:rsid w:val="00B701DF"/>
    <w:rsid w:val="00B707FD"/>
    <w:rsid w:val="00B70E8E"/>
    <w:rsid w:val="00B7195C"/>
    <w:rsid w:val="00B72674"/>
    <w:rsid w:val="00B72B20"/>
    <w:rsid w:val="00B7328B"/>
    <w:rsid w:val="00B75AD3"/>
    <w:rsid w:val="00B76944"/>
    <w:rsid w:val="00B76C92"/>
    <w:rsid w:val="00B774D3"/>
    <w:rsid w:val="00B77771"/>
    <w:rsid w:val="00B80EFD"/>
    <w:rsid w:val="00B818A4"/>
    <w:rsid w:val="00B82307"/>
    <w:rsid w:val="00B83739"/>
    <w:rsid w:val="00B83BB7"/>
    <w:rsid w:val="00B84117"/>
    <w:rsid w:val="00B84B4E"/>
    <w:rsid w:val="00B858F0"/>
    <w:rsid w:val="00B85AA2"/>
    <w:rsid w:val="00B8649C"/>
    <w:rsid w:val="00B8695D"/>
    <w:rsid w:val="00B8731A"/>
    <w:rsid w:val="00B87F0A"/>
    <w:rsid w:val="00B91907"/>
    <w:rsid w:val="00B9224E"/>
    <w:rsid w:val="00B92384"/>
    <w:rsid w:val="00B924EF"/>
    <w:rsid w:val="00B925FF"/>
    <w:rsid w:val="00B92D0B"/>
    <w:rsid w:val="00B931D0"/>
    <w:rsid w:val="00B93E4A"/>
    <w:rsid w:val="00B943CB"/>
    <w:rsid w:val="00B94945"/>
    <w:rsid w:val="00B94D0A"/>
    <w:rsid w:val="00B94DD6"/>
    <w:rsid w:val="00B95AE7"/>
    <w:rsid w:val="00BA0098"/>
    <w:rsid w:val="00BA0943"/>
    <w:rsid w:val="00BA322D"/>
    <w:rsid w:val="00BA3D17"/>
    <w:rsid w:val="00BA58E3"/>
    <w:rsid w:val="00BA63FA"/>
    <w:rsid w:val="00BA6648"/>
    <w:rsid w:val="00BA669B"/>
    <w:rsid w:val="00BB00B3"/>
    <w:rsid w:val="00BB0BDD"/>
    <w:rsid w:val="00BB0EE2"/>
    <w:rsid w:val="00BB176C"/>
    <w:rsid w:val="00BB18D6"/>
    <w:rsid w:val="00BB2A73"/>
    <w:rsid w:val="00BB2B6F"/>
    <w:rsid w:val="00BB2C9E"/>
    <w:rsid w:val="00BB3A45"/>
    <w:rsid w:val="00BB4591"/>
    <w:rsid w:val="00BB4ACC"/>
    <w:rsid w:val="00BB6E0D"/>
    <w:rsid w:val="00BB703E"/>
    <w:rsid w:val="00BB732D"/>
    <w:rsid w:val="00BB7405"/>
    <w:rsid w:val="00BB77B6"/>
    <w:rsid w:val="00BB7B4B"/>
    <w:rsid w:val="00BC2A4C"/>
    <w:rsid w:val="00BC3631"/>
    <w:rsid w:val="00BC591F"/>
    <w:rsid w:val="00BC709B"/>
    <w:rsid w:val="00BC732E"/>
    <w:rsid w:val="00BC7D6D"/>
    <w:rsid w:val="00BD0470"/>
    <w:rsid w:val="00BD169B"/>
    <w:rsid w:val="00BD20AE"/>
    <w:rsid w:val="00BD2108"/>
    <w:rsid w:val="00BD2C5C"/>
    <w:rsid w:val="00BD2CFD"/>
    <w:rsid w:val="00BD531A"/>
    <w:rsid w:val="00BD5F6F"/>
    <w:rsid w:val="00BD68A3"/>
    <w:rsid w:val="00BD6938"/>
    <w:rsid w:val="00BD69D1"/>
    <w:rsid w:val="00BD6CF3"/>
    <w:rsid w:val="00BD71CC"/>
    <w:rsid w:val="00BD7C93"/>
    <w:rsid w:val="00BD7F72"/>
    <w:rsid w:val="00BE03D9"/>
    <w:rsid w:val="00BE0DBD"/>
    <w:rsid w:val="00BE0ECA"/>
    <w:rsid w:val="00BE1650"/>
    <w:rsid w:val="00BE1B33"/>
    <w:rsid w:val="00BE2180"/>
    <w:rsid w:val="00BE21F2"/>
    <w:rsid w:val="00BE4051"/>
    <w:rsid w:val="00BE4275"/>
    <w:rsid w:val="00BE4931"/>
    <w:rsid w:val="00BE52E2"/>
    <w:rsid w:val="00BF06AE"/>
    <w:rsid w:val="00BF0F95"/>
    <w:rsid w:val="00BF1400"/>
    <w:rsid w:val="00BF1E27"/>
    <w:rsid w:val="00BF2433"/>
    <w:rsid w:val="00BF2E6E"/>
    <w:rsid w:val="00BF30AC"/>
    <w:rsid w:val="00BF38AA"/>
    <w:rsid w:val="00BF61C9"/>
    <w:rsid w:val="00BF6A9F"/>
    <w:rsid w:val="00BF6C94"/>
    <w:rsid w:val="00C00424"/>
    <w:rsid w:val="00C00BB0"/>
    <w:rsid w:val="00C01671"/>
    <w:rsid w:val="00C0220F"/>
    <w:rsid w:val="00C03791"/>
    <w:rsid w:val="00C0424B"/>
    <w:rsid w:val="00C05858"/>
    <w:rsid w:val="00C05A2B"/>
    <w:rsid w:val="00C06A0D"/>
    <w:rsid w:val="00C06D1C"/>
    <w:rsid w:val="00C108CF"/>
    <w:rsid w:val="00C1179F"/>
    <w:rsid w:val="00C117D0"/>
    <w:rsid w:val="00C127B9"/>
    <w:rsid w:val="00C128FA"/>
    <w:rsid w:val="00C12C14"/>
    <w:rsid w:val="00C12CA8"/>
    <w:rsid w:val="00C12FDB"/>
    <w:rsid w:val="00C15F04"/>
    <w:rsid w:val="00C1686D"/>
    <w:rsid w:val="00C16C99"/>
    <w:rsid w:val="00C179B3"/>
    <w:rsid w:val="00C17E3F"/>
    <w:rsid w:val="00C17EC2"/>
    <w:rsid w:val="00C20059"/>
    <w:rsid w:val="00C200AA"/>
    <w:rsid w:val="00C20A41"/>
    <w:rsid w:val="00C20AFF"/>
    <w:rsid w:val="00C20CD7"/>
    <w:rsid w:val="00C20D9E"/>
    <w:rsid w:val="00C2118A"/>
    <w:rsid w:val="00C218D5"/>
    <w:rsid w:val="00C237ED"/>
    <w:rsid w:val="00C23A1C"/>
    <w:rsid w:val="00C24632"/>
    <w:rsid w:val="00C24713"/>
    <w:rsid w:val="00C24A50"/>
    <w:rsid w:val="00C25418"/>
    <w:rsid w:val="00C25D9C"/>
    <w:rsid w:val="00C27701"/>
    <w:rsid w:val="00C2778B"/>
    <w:rsid w:val="00C31224"/>
    <w:rsid w:val="00C31649"/>
    <w:rsid w:val="00C33486"/>
    <w:rsid w:val="00C33CFF"/>
    <w:rsid w:val="00C3434C"/>
    <w:rsid w:val="00C3490D"/>
    <w:rsid w:val="00C35AC3"/>
    <w:rsid w:val="00C36E40"/>
    <w:rsid w:val="00C37791"/>
    <w:rsid w:val="00C40385"/>
    <w:rsid w:val="00C40711"/>
    <w:rsid w:val="00C4174D"/>
    <w:rsid w:val="00C41768"/>
    <w:rsid w:val="00C419BF"/>
    <w:rsid w:val="00C41BEB"/>
    <w:rsid w:val="00C42E5E"/>
    <w:rsid w:val="00C434D2"/>
    <w:rsid w:val="00C43D83"/>
    <w:rsid w:val="00C4449A"/>
    <w:rsid w:val="00C45C7E"/>
    <w:rsid w:val="00C461FF"/>
    <w:rsid w:val="00C475AA"/>
    <w:rsid w:val="00C501CD"/>
    <w:rsid w:val="00C5135E"/>
    <w:rsid w:val="00C51A92"/>
    <w:rsid w:val="00C524BB"/>
    <w:rsid w:val="00C527C7"/>
    <w:rsid w:val="00C53C98"/>
    <w:rsid w:val="00C54935"/>
    <w:rsid w:val="00C553B7"/>
    <w:rsid w:val="00C56FCF"/>
    <w:rsid w:val="00C572F6"/>
    <w:rsid w:val="00C57B6C"/>
    <w:rsid w:val="00C615AF"/>
    <w:rsid w:val="00C6193B"/>
    <w:rsid w:val="00C61A59"/>
    <w:rsid w:val="00C628A6"/>
    <w:rsid w:val="00C62A59"/>
    <w:rsid w:val="00C63D66"/>
    <w:rsid w:val="00C64344"/>
    <w:rsid w:val="00C648DA"/>
    <w:rsid w:val="00C65108"/>
    <w:rsid w:val="00C65576"/>
    <w:rsid w:val="00C65F47"/>
    <w:rsid w:val="00C66165"/>
    <w:rsid w:val="00C67948"/>
    <w:rsid w:val="00C7025D"/>
    <w:rsid w:val="00C7060A"/>
    <w:rsid w:val="00C713EF"/>
    <w:rsid w:val="00C7151A"/>
    <w:rsid w:val="00C717E3"/>
    <w:rsid w:val="00C71F60"/>
    <w:rsid w:val="00C72241"/>
    <w:rsid w:val="00C7363D"/>
    <w:rsid w:val="00C74112"/>
    <w:rsid w:val="00C750C8"/>
    <w:rsid w:val="00C7560F"/>
    <w:rsid w:val="00C7566F"/>
    <w:rsid w:val="00C80512"/>
    <w:rsid w:val="00C80796"/>
    <w:rsid w:val="00C80A0E"/>
    <w:rsid w:val="00C81E37"/>
    <w:rsid w:val="00C8213F"/>
    <w:rsid w:val="00C8303F"/>
    <w:rsid w:val="00C83D4C"/>
    <w:rsid w:val="00C843C1"/>
    <w:rsid w:val="00C84643"/>
    <w:rsid w:val="00C84AA6"/>
    <w:rsid w:val="00C85154"/>
    <w:rsid w:val="00C852D5"/>
    <w:rsid w:val="00C8575B"/>
    <w:rsid w:val="00C85A70"/>
    <w:rsid w:val="00C86198"/>
    <w:rsid w:val="00C8797A"/>
    <w:rsid w:val="00C900B8"/>
    <w:rsid w:val="00C90197"/>
    <w:rsid w:val="00C90C71"/>
    <w:rsid w:val="00C9149A"/>
    <w:rsid w:val="00C91913"/>
    <w:rsid w:val="00C91FD1"/>
    <w:rsid w:val="00C931CF"/>
    <w:rsid w:val="00C9334C"/>
    <w:rsid w:val="00C938CF"/>
    <w:rsid w:val="00C93D68"/>
    <w:rsid w:val="00C94053"/>
    <w:rsid w:val="00C94EA5"/>
    <w:rsid w:val="00C9624D"/>
    <w:rsid w:val="00C96947"/>
    <w:rsid w:val="00C969DA"/>
    <w:rsid w:val="00C96A5C"/>
    <w:rsid w:val="00C96B2C"/>
    <w:rsid w:val="00C972FC"/>
    <w:rsid w:val="00CA0D83"/>
    <w:rsid w:val="00CA1A35"/>
    <w:rsid w:val="00CA2C77"/>
    <w:rsid w:val="00CA4089"/>
    <w:rsid w:val="00CA4116"/>
    <w:rsid w:val="00CA444F"/>
    <w:rsid w:val="00CA5245"/>
    <w:rsid w:val="00CA6140"/>
    <w:rsid w:val="00CA71F4"/>
    <w:rsid w:val="00CA78E0"/>
    <w:rsid w:val="00CA7B09"/>
    <w:rsid w:val="00CB0A1A"/>
    <w:rsid w:val="00CB0E55"/>
    <w:rsid w:val="00CB12A5"/>
    <w:rsid w:val="00CB1CAC"/>
    <w:rsid w:val="00CB1CC4"/>
    <w:rsid w:val="00CB2F2A"/>
    <w:rsid w:val="00CB3112"/>
    <w:rsid w:val="00CB345F"/>
    <w:rsid w:val="00CB367A"/>
    <w:rsid w:val="00CB40B6"/>
    <w:rsid w:val="00CB5B1A"/>
    <w:rsid w:val="00CB6B22"/>
    <w:rsid w:val="00CB7F5F"/>
    <w:rsid w:val="00CC1B39"/>
    <w:rsid w:val="00CC1BFA"/>
    <w:rsid w:val="00CC2E9F"/>
    <w:rsid w:val="00CC2F68"/>
    <w:rsid w:val="00CC35EA"/>
    <w:rsid w:val="00CC3723"/>
    <w:rsid w:val="00CC3848"/>
    <w:rsid w:val="00CC6D5E"/>
    <w:rsid w:val="00CD0200"/>
    <w:rsid w:val="00CD175D"/>
    <w:rsid w:val="00CD288C"/>
    <w:rsid w:val="00CD2903"/>
    <w:rsid w:val="00CD2DFD"/>
    <w:rsid w:val="00CD3B58"/>
    <w:rsid w:val="00CD3F77"/>
    <w:rsid w:val="00CD3FFE"/>
    <w:rsid w:val="00CD44B7"/>
    <w:rsid w:val="00CD4ACC"/>
    <w:rsid w:val="00CD6ADC"/>
    <w:rsid w:val="00CD7193"/>
    <w:rsid w:val="00CD7B3A"/>
    <w:rsid w:val="00CE0CA2"/>
    <w:rsid w:val="00CE3392"/>
    <w:rsid w:val="00CE3763"/>
    <w:rsid w:val="00CE38C8"/>
    <w:rsid w:val="00CE524F"/>
    <w:rsid w:val="00CE54AC"/>
    <w:rsid w:val="00CE58CC"/>
    <w:rsid w:val="00CE6251"/>
    <w:rsid w:val="00CE6274"/>
    <w:rsid w:val="00CE77B6"/>
    <w:rsid w:val="00CF03D5"/>
    <w:rsid w:val="00CF0E96"/>
    <w:rsid w:val="00CF154F"/>
    <w:rsid w:val="00CF2A56"/>
    <w:rsid w:val="00CF2B8D"/>
    <w:rsid w:val="00CF3A1B"/>
    <w:rsid w:val="00CF456B"/>
    <w:rsid w:val="00CF4BBE"/>
    <w:rsid w:val="00CF4F4B"/>
    <w:rsid w:val="00CF5A22"/>
    <w:rsid w:val="00CF7682"/>
    <w:rsid w:val="00D00544"/>
    <w:rsid w:val="00D0090A"/>
    <w:rsid w:val="00D018E9"/>
    <w:rsid w:val="00D0262E"/>
    <w:rsid w:val="00D03679"/>
    <w:rsid w:val="00D03D08"/>
    <w:rsid w:val="00D049D9"/>
    <w:rsid w:val="00D05750"/>
    <w:rsid w:val="00D05E3D"/>
    <w:rsid w:val="00D06139"/>
    <w:rsid w:val="00D07437"/>
    <w:rsid w:val="00D110BD"/>
    <w:rsid w:val="00D11B81"/>
    <w:rsid w:val="00D12C29"/>
    <w:rsid w:val="00D1320C"/>
    <w:rsid w:val="00D13675"/>
    <w:rsid w:val="00D141E1"/>
    <w:rsid w:val="00D15314"/>
    <w:rsid w:val="00D15B48"/>
    <w:rsid w:val="00D16667"/>
    <w:rsid w:val="00D170A1"/>
    <w:rsid w:val="00D17D6C"/>
    <w:rsid w:val="00D20DCF"/>
    <w:rsid w:val="00D2155B"/>
    <w:rsid w:val="00D217B9"/>
    <w:rsid w:val="00D21D4C"/>
    <w:rsid w:val="00D228F4"/>
    <w:rsid w:val="00D22B55"/>
    <w:rsid w:val="00D23D11"/>
    <w:rsid w:val="00D244B6"/>
    <w:rsid w:val="00D24A51"/>
    <w:rsid w:val="00D251F5"/>
    <w:rsid w:val="00D26727"/>
    <w:rsid w:val="00D2754D"/>
    <w:rsid w:val="00D27B27"/>
    <w:rsid w:val="00D30632"/>
    <w:rsid w:val="00D30D5B"/>
    <w:rsid w:val="00D312F6"/>
    <w:rsid w:val="00D321AC"/>
    <w:rsid w:val="00D32C6A"/>
    <w:rsid w:val="00D32C75"/>
    <w:rsid w:val="00D33BE9"/>
    <w:rsid w:val="00D33F93"/>
    <w:rsid w:val="00D357FF"/>
    <w:rsid w:val="00D36AA6"/>
    <w:rsid w:val="00D37A6D"/>
    <w:rsid w:val="00D4122E"/>
    <w:rsid w:val="00D41230"/>
    <w:rsid w:val="00D4126F"/>
    <w:rsid w:val="00D41552"/>
    <w:rsid w:val="00D41EE1"/>
    <w:rsid w:val="00D424C7"/>
    <w:rsid w:val="00D43B2A"/>
    <w:rsid w:val="00D43CF1"/>
    <w:rsid w:val="00D43D83"/>
    <w:rsid w:val="00D46202"/>
    <w:rsid w:val="00D47575"/>
    <w:rsid w:val="00D47B33"/>
    <w:rsid w:val="00D520BE"/>
    <w:rsid w:val="00D5243B"/>
    <w:rsid w:val="00D52D88"/>
    <w:rsid w:val="00D533EC"/>
    <w:rsid w:val="00D5523E"/>
    <w:rsid w:val="00D5567A"/>
    <w:rsid w:val="00D56A95"/>
    <w:rsid w:val="00D600A2"/>
    <w:rsid w:val="00D6076E"/>
    <w:rsid w:val="00D62B6D"/>
    <w:rsid w:val="00D6359C"/>
    <w:rsid w:val="00D65170"/>
    <w:rsid w:val="00D65F14"/>
    <w:rsid w:val="00D67C47"/>
    <w:rsid w:val="00D70F16"/>
    <w:rsid w:val="00D70FEA"/>
    <w:rsid w:val="00D72617"/>
    <w:rsid w:val="00D72DE8"/>
    <w:rsid w:val="00D72F4B"/>
    <w:rsid w:val="00D72F57"/>
    <w:rsid w:val="00D74651"/>
    <w:rsid w:val="00D74BC1"/>
    <w:rsid w:val="00D7529B"/>
    <w:rsid w:val="00D75B66"/>
    <w:rsid w:val="00D763DE"/>
    <w:rsid w:val="00D769F0"/>
    <w:rsid w:val="00D76A44"/>
    <w:rsid w:val="00D77890"/>
    <w:rsid w:val="00D779AD"/>
    <w:rsid w:val="00D80C1B"/>
    <w:rsid w:val="00D80EE6"/>
    <w:rsid w:val="00D815EF"/>
    <w:rsid w:val="00D81949"/>
    <w:rsid w:val="00D81A94"/>
    <w:rsid w:val="00D81F26"/>
    <w:rsid w:val="00D822E2"/>
    <w:rsid w:val="00D8313D"/>
    <w:rsid w:val="00D843F2"/>
    <w:rsid w:val="00D85752"/>
    <w:rsid w:val="00D86231"/>
    <w:rsid w:val="00D868EE"/>
    <w:rsid w:val="00D912AB"/>
    <w:rsid w:val="00D91923"/>
    <w:rsid w:val="00D92D9D"/>
    <w:rsid w:val="00D93753"/>
    <w:rsid w:val="00D944EC"/>
    <w:rsid w:val="00D950ED"/>
    <w:rsid w:val="00DA0538"/>
    <w:rsid w:val="00DA272B"/>
    <w:rsid w:val="00DA3167"/>
    <w:rsid w:val="00DA32AC"/>
    <w:rsid w:val="00DA35D2"/>
    <w:rsid w:val="00DA35E7"/>
    <w:rsid w:val="00DA3B06"/>
    <w:rsid w:val="00DA4070"/>
    <w:rsid w:val="00DA49FD"/>
    <w:rsid w:val="00DA4DC3"/>
    <w:rsid w:val="00DA730F"/>
    <w:rsid w:val="00DA77A5"/>
    <w:rsid w:val="00DA7F5B"/>
    <w:rsid w:val="00DB0E36"/>
    <w:rsid w:val="00DB15E4"/>
    <w:rsid w:val="00DB1900"/>
    <w:rsid w:val="00DB2723"/>
    <w:rsid w:val="00DB3DBF"/>
    <w:rsid w:val="00DB484F"/>
    <w:rsid w:val="00DB55B2"/>
    <w:rsid w:val="00DB76E9"/>
    <w:rsid w:val="00DC04F6"/>
    <w:rsid w:val="00DC0690"/>
    <w:rsid w:val="00DC11F9"/>
    <w:rsid w:val="00DC1422"/>
    <w:rsid w:val="00DC1D65"/>
    <w:rsid w:val="00DC2A86"/>
    <w:rsid w:val="00DC3C57"/>
    <w:rsid w:val="00DC5501"/>
    <w:rsid w:val="00DC5DE4"/>
    <w:rsid w:val="00DC6205"/>
    <w:rsid w:val="00DC6685"/>
    <w:rsid w:val="00DC7154"/>
    <w:rsid w:val="00DC7E8A"/>
    <w:rsid w:val="00DD0F78"/>
    <w:rsid w:val="00DD173D"/>
    <w:rsid w:val="00DD1F91"/>
    <w:rsid w:val="00DD2501"/>
    <w:rsid w:val="00DD273C"/>
    <w:rsid w:val="00DD3F28"/>
    <w:rsid w:val="00DD4000"/>
    <w:rsid w:val="00DD4446"/>
    <w:rsid w:val="00DD4537"/>
    <w:rsid w:val="00DD4BDB"/>
    <w:rsid w:val="00DD4DAC"/>
    <w:rsid w:val="00DD4E15"/>
    <w:rsid w:val="00DD53CF"/>
    <w:rsid w:val="00DE1823"/>
    <w:rsid w:val="00DE2304"/>
    <w:rsid w:val="00DE23FE"/>
    <w:rsid w:val="00DE2419"/>
    <w:rsid w:val="00DE3138"/>
    <w:rsid w:val="00DE37F8"/>
    <w:rsid w:val="00DE4273"/>
    <w:rsid w:val="00DE4C55"/>
    <w:rsid w:val="00DE4FCB"/>
    <w:rsid w:val="00DE5D07"/>
    <w:rsid w:val="00DE6F17"/>
    <w:rsid w:val="00DE72A7"/>
    <w:rsid w:val="00DE7643"/>
    <w:rsid w:val="00DE7832"/>
    <w:rsid w:val="00DF00A7"/>
    <w:rsid w:val="00DF18FC"/>
    <w:rsid w:val="00DF2BAC"/>
    <w:rsid w:val="00DF321D"/>
    <w:rsid w:val="00DF4227"/>
    <w:rsid w:val="00DF42D6"/>
    <w:rsid w:val="00DF4BC4"/>
    <w:rsid w:val="00DF4ED7"/>
    <w:rsid w:val="00DF595B"/>
    <w:rsid w:val="00DF5AB2"/>
    <w:rsid w:val="00DF5D2B"/>
    <w:rsid w:val="00DF620E"/>
    <w:rsid w:val="00DF6341"/>
    <w:rsid w:val="00DF6FC1"/>
    <w:rsid w:val="00DF767F"/>
    <w:rsid w:val="00E00E8E"/>
    <w:rsid w:val="00E017D5"/>
    <w:rsid w:val="00E01BE3"/>
    <w:rsid w:val="00E04276"/>
    <w:rsid w:val="00E04C45"/>
    <w:rsid w:val="00E05630"/>
    <w:rsid w:val="00E057C1"/>
    <w:rsid w:val="00E06DBB"/>
    <w:rsid w:val="00E07F82"/>
    <w:rsid w:val="00E10149"/>
    <w:rsid w:val="00E10C19"/>
    <w:rsid w:val="00E11340"/>
    <w:rsid w:val="00E12108"/>
    <w:rsid w:val="00E122A1"/>
    <w:rsid w:val="00E132AF"/>
    <w:rsid w:val="00E134F7"/>
    <w:rsid w:val="00E1489D"/>
    <w:rsid w:val="00E15C84"/>
    <w:rsid w:val="00E16372"/>
    <w:rsid w:val="00E16AD8"/>
    <w:rsid w:val="00E17FFA"/>
    <w:rsid w:val="00E2068F"/>
    <w:rsid w:val="00E20967"/>
    <w:rsid w:val="00E20E4D"/>
    <w:rsid w:val="00E20ED6"/>
    <w:rsid w:val="00E21358"/>
    <w:rsid w:val="00E21844"/>
    <w:rsid w:val="00E2249B"/>
    <w:rsid w:val="00E22A0D"/>
    <w:rsid w:val="00E231F9"/>
    <w:rsid w:val="00E23737"/>
    <w:rsid w:val="00E244F6"/>
    <w:rsid w:val="00E25798"/>
    <w:rsid w:val="00E258DB"/>
    <w:rsid w:val="00E2771E"/>
    <w:rsid w:val="00E30823"/>
    <w:rsid w:val="00E311EF"/>
    <w:rsid w:val="00E3152C"/>
    <w:rsid w:val="00E32180"/>
    <w:rsid w:val="00E32ED1"/>
    <w:rsid w:val="00E332C1"/>
    <w:rsid w:val="00E344C2"/>
    <w:rsid w:val="00E34948"/>
    <w:rsid w:val="00E35426"/>
    <w:rsid w:val="00E35ADD"/>
    <w:rsid w:val="00E37352"/>
    <w:rsid w:val="00E37569"/>
    <w:rsid w:val="00E401B2"/>
    <w:rsid w:val="00E4167A"/>
    <w:rsid w:val="00E41E30"/>
    <w:rsid w:val="00E42228"/>
    <w:rsid w:val="00E425CD"/>
    <w:rsid w:val="00E42F73"/>
    <w:rsid w:val="00E43D70"/>
    <w:rsid w:val="00E442A6"/>
    <w:rsid w:val="00E44ACA"/>
    <w:rsid w:val="00E44F25"/>
    <w:rsid w:val="00E461C9"/>
    <w:rsid w:val="00E466F3"/>
    <w:rsid w:val="00E46CE6"/>
    <w:rsid w:val="00E47413"/>
    <w:rsid w:val="00E47465"/>
    <w:rsid w:val="00E47B2C"/>
    <w:rsid w:val="00E47C62"/>
    <w:rsid w:val="00E51560"/>
    <w:rsid w:val="00E51821"/>
    <w:rsid w:val="00E51AB1"/>
    <w:rsid w:val="00E51E99"/>
    <w:rsid w:val="00E52C95"/>
    <w:rsid w:val="00E53FC8"/>
    <w:rsid w:val="00E54347"/>
    <w:rsid w:val="00E54C0E"/>
    <w:rsid w:val="00E55424"/>
    <w:rsid w:val="00E55729"/>
    <w:rsid w:val="00E55915"/>
    <w:rsid w:val="00E55BB5"/>
    <w:rsid w:val="00E5687A"/>
    <w:rsid w:val="00E57692"/>
    <w:rsid w:val="00E57CD3"/>
    <w:rsid w:val="00E605B5"/>
    <w:rsid w:val="00E611DF"/>
    <w:rsid w:val="00E62372"/>
    <w:rsid w:val="00E63111"/>
    <w:rsid w:val="00E6482A"/>
    <w:rsid w:val="00E65E79"/>
    <w:rsid w:val="00E65FCD"/>
    <w:rsid w:val="00E66911"/>
    <w:rsid w:val="00E66BA2"/>
    <w:rsid w:val="00E67416"/>
    <w:rsid w:val="00E716B0"/>
    <w:rsid w:val="00E718B6"/>
    <w:rsid w:val="00E71B95"/>
    <w:rsid w:val="00E7235C"/>
    <w:rsid w:val="00E723BA"/>
    <w:rsid w:val="00E73581"/>
    <w:rsid w:val="00E74BA0"/>
    <w:rsid w:val="00E75FB4"/>
    <w:rsid w:val="00E77750"/>
    <w:rsid w:val="00E77952"/>
    <w:rsid w:val="00E80129"/>
    <w:rsid w:val="00E819A4"/>
    <w:rsid w:val="00E81DBB"/>
    <w:rsid w:val="00E81E3E"/>
    <w:rsid w:val="00E82A73"/>
    <w:rsid w:val="00E833F7"/>
    <w:rsid w:val="00E83BDF"/>
    <w:rsid w:val="00E83DC9"/>
    <w:rsid w:val="00E84AB6"/>
    <w:rsid w:val="00E85C9F"/>
    <w:rsid w:val="00E8675A"/>
    <w:rsid w:val="00E86A06"/>
    <w:rsid w:val="00E86FCC"/>
    <w:rsid w:val="00E87716"/>
    <w:rsid w:val="00E87A1D"/>
    <w:rsid w:val="00E905F8"/>
    <w:rsid w:val="00E9094A"/>
    <w:rsid w:val="00E91D35"/>
    <w:rsid w:val="00E926A5"/>
    <w:rsid w:val="00E926C6"/>
    <w:rsid w:val="00E92C5D"/>
    <w:rsid w:val="00E92D89"/>
    <w:rsid w:val="00E92D99"/>
    <w:rsid w:val="00E941AD"/>
    <w:rsid w:val="00E942DD"/>
    <w:rsid w:val="00E960BC"/>
    <w:rsid w:val="00E962CC"/>
    <w:rsid w:val="00E96706"/>
    <w:rsid w:val="00E9763A"/>
    <w:rsid w:val="00EA17C3"/>
    <w:rsid w:val="00EA1886"/>
    <w:rsid w:val="00EA1A66"/>
    <w:rsid w:val="00EA1A74"/>
    <w:rsid w:val="00EA2CAA"/>
    <w:rsid w:val="00EA3864"/>
    <w:rsid w:val="00EA3889"/>
    <w:rsid w:val="00EA38E9"/>
    <w:rsid w:val="00EA498D"/>
    <w:rsid w:val="00EA5B53"/>
    <w:rsid w:val="00EA5F65"/>
    <w:rsid w:val="00EA5F8C"/>
    <w:rsid w:val="00EA6EB7"/>
    <w:rsid w:val="00EA7F1C"/>
    <w:rsid w:val="00EB0A0E"/>
    <w:rsid w:val="00EB15B6"/>
    <w:rsid w:val="00EB1BDC"/>
    <w:rsid w:val="00EB22A3"/>
    <w:rsid w:val="00EB3896"/>
    <w:rsid w:val="00EB3D06"/>
    <w:rsid w:val="00EB4567"/>
    <w:rsid w:val="00EB4916"/>
    <w:rsid w:val="00EB5E28"/>
    <w:rsid w:val="00EB5F18"/>
    <w:rsid w:val="00EB6ED0"/>
    <w:rsid w:val="00EC0023"/>
    <w:rsid w:val="00EC00C9"/>
    <w:rsid w:val="00EC012E"/>
    <w:rsid w:val="00EC08DA"/>
    <w:rsid w:val="00EC0DD9"/>
    <w:rsid w:val="00EC1B6C"/>
    <w:rsid w:val="00EC2649"/>
    <w:rsid w:val="00EC30B1"/>
    <w:rsid w:val="00EC31ED"/>
    <w:rsid w:val="00EC345A"/>
    <w:rsid w:val="00EC5836"/>
    <w:rsid w:val="00EC688C"/>
    <w:rsid w:val="00EC7946"/>
    <w:rsid w:val="00ED0BA9"/>
    <w:rsid w:val="00ED0CBB"/>
    <w:rsid w:val="00ED0D1B"/>
    <w:rsid w:val="00ED12E3"/>
    <w:rsid w:val="00ED1E6E"/>
    <w:rsid w:val="00ED2F26"/>
    <w:rsid w:val="00ED4529"/>
    <w:rsid w:val="00ED49AF"/>
    <w:rsid w:val="00ED4B04"/>
    <w:rsid w:val="00ED5078"/>
    <w:rsid w:val="00ED57EA"/>
    <w:rsid w:val="00ED5BD4"/>
    <w:rsid w:val="00ED6A29"/>
    <w:rsid w:val="00ED6FB4"/>
    <w:rsid w:val="00EE07D3"/>
    <w:rsid w:val="00EE0E5E"/>
    <w:rsid w:val="00EE1996"/>
    <w:rsid w:val="00EE1C01"/>
    <w:rsid w:val="00EE22AF"/>
    <w:rsid w:val="00EE3F26"/>
    <w:rsid w:val="00EE3FDD"/>
    <w:rsid w:val="00EF0171"/>
    <w:rsid w:val="00EF095D"/>
    <w:rsid w:val="00EF1B25"/>
    <w:rsid w:val="00EF1DA0"/>
    <w:rsid w:val="00EF2C6D"/>
    <w:rsid w:val="00EF2DEE"/>
    <w:rsid w:val="00EF3F60"/>
    <w:rsid w:val="00EF452E"/>
    <w:rsid w:val="00EF4747"/>
    <w:rsid w:val="00EF4BF8"/>
    <w:rsid w:val="00EF7247"/>
    <w:rsid w:val="00F00365"/>
    <w:rsid w:val="00F004DE"/>
    <w:rsid w:val="00F013F1"/>
    <w:rsid w:val="00F02253"/>
    <w:rsid w:val="00F034D5"/>
    <w:rsid w:val="00F03AB7"/>
    <w:rsid w:val="00F03C2E"/>
    <w:rsid w:val="00F04266"/>
    <w:rsid w:val="00F04A66"/>
    <w:rsid w:val="00F04B4B"/>
    <w:rsid w:val="00F0516C"/>
    <w:rsid w:val="00F05907"/>
    <w:rsid w:val="00F06302"/>
    <w:rsid w:val="00F067A2"/>
    <w:rsid w:val="00F07192"/>
    <w:rsid w:val="00F07B9E"/>
    <w:rsid w:val="00F07E75"/>
    <w:rsid w:val="00F1116F"/>
    <w:rsid w:val="00F11535"/>
    <w:rsid w:val="00F1263A"/>
    <w:rsid w:val="00F13714"/>
    <w:rsid w:val="00F139C5"/>
    <w:rsid w:val="00F1504C"/>
    <w:rsid w:val="00F15B77"/>
    <w:rsid w:val="00F21236"/>
    <w:rsid w:val="00F214B5"/>
    <w:rsid w:val="00F21615"/>
    <w:rsid w:val="00F2325C"/>
    <w:rsid w:val="00F239DF"/>
    <w:rsid w:val="00F24837"/>
    <w:rsid w:val="00F2575F"/>
    <w:rsid w:val="00F25C15"/>
    <w:rsid w:val="00F27565"/>
    <w:rsid w:val="00F30156"/>
    <w:rsid w:val="00F310D4"/>
    <w:rsid w:val="00F319CC"/>
    <w:rsid w:val="00F31D5A"/>
    <w:rsid w:val="00F3267F"/>
    <w:rsid w:val="00F33520"/>
    <w:rsid w:val="00F33975"/>
    <w:rsid w:val="00F33DE9"/>
    <w:rsid w:val="00F341E6"/>
    <w:rsid w:val="00F35B86"/>
    <w:rsid w:val="00F35E6D"/>
    <w:rsid w:val="00F35FF0"/>
    <w:rsid w:val="00F3619A"/>
    <w:rsid w:val="00F3645F"/>
    <w:rsid w:val="00F3655B"/>
    <w:rsid w:val="00F368D6"/>
    <w:rsid w:val="00F37411"/>
    <w:rsid w:val="00F40AAA"/>
    <w:rsid w:val="00F40BA7"/>
    <w:rsid w:val="00F40DDB"/>
    <w:rsid w:val="00F40F9D"/>
    <w:rsid w:val="00F41ACD"/>
    <w:rsid w:val="00F41CCD"/>
    <w:rsid w:val="00F41DDC"/>
    <w:rsid w:val="00F41ED5"/>
    <w:rsid w:val="00F4296C"/>
    <w:rsid w:val="00F46CB6"/>
    <w:rsid w:val="00F4756D"/>
    <w:rsid w:val="00F47680"/>
    <w:rsid w:val="00F47DE8"/>
    <w:rsid w:val="00F50361"/>
    <w:rsid w:val="00F510C9"/>
    <w:rsid w:val="00F5206F"/>
    <w:rsid w:val="00F53877"/>
    <w:rsid w:val="00F53DB5"/>
    <w:rsid w:val="00F53EEB"/>
    <w:rsid w:val="00F542C1"/>
    <w:rsid w:val="00F550E3"/>
    <w:rsid w:val="00F559A4"/>
    <w:rsid w:val="00F55E73"/>
    <w:rsid w:val="00F55EDA"/>
    <w:rsid w:val="00F56C80"/>
    <w:rsid w:val="00F57341"/>
    <w:rsid w:val="00F578DA"/>
    <w:rsid w:val="00F60092"/>
    <w:rsid w:val="00F603F0"/>
    <w:rsid w:val="00F61C18"/>
    <w:rsid w:val="00F6382B"/>
    <w:rsid w:val="00F63E17"/>
    <w:rsid w:val="00F65299"/>
    <w:rsid w:val="00F659CB"/>
    <w:rsid w:val="00F65C0E"/>
    <w:rsid w:val="00F65F4B"/>
    <w:rsid w:val="00F67A69"/>
    <w:rsid w:val="00F70BFF"/>
    <w:rsid w:val="00F70C9D"/>
    <w:rsid w:val="00F7228E"/>
    <w:rsid w:val="00F738F0"/>
    <w:rsid w:val="00F73E08"/>
    <w:rsid w:val="00F7423E"/>
    <w:rsid w:val="00F74CD9"/>
    <w:rsid w:val="00F753F8"/>
    <w:rsid w:val="00F75707"/>
    <w:rsid w:val="00F75BA5"/>
    <w:rsid w:val="00F77069"/>
    <w:rsid w:val="00F801DD"/>
    <w:rsid w:val="00F80764"/>
    <w:rsid w:val="00F80A7B"/>
    <w:rsid w:val="00F80DE2"/>
    <w:rsid w:val="00F80E5D"/>
    <w:rsid w:val="00F81E78"/>
    <w:rsid w:val="00F83916"/>
    <w:rsid w:val="00F840F2"/>
    <w:rsid w:val="00F851CE"/>
    <w:rsid w:val="00F853B5"/>
    <w:rsid w:val="00F8574A"/>
    <w:rsid w:val="00F85FD3"/>
    <w:rsid w:val="00F8649D"/>
    <w:rsid w:val="00F8673C"/>
    <w:rsid w:val="00F86E8C"/>
    <w:rsid w:val="00F87752"/>
    <w:rsid w:val="00F8790A"/>
    <w:rsid w:val="00F87CE1"/>
    <w:rsid w:val="00F91219"/>
    <w:rsid w:val="00F917DC"/>
    <w:rsid w:val="00F91F9C"/>
    <w:rsid w:val="00F92444"/>
    <w:rsid w:val="00F937D8"/>
    <w:rsid w:val="00F9393E"/>
    <w:rsid w:val="00F949EE"/>
    <w:rsid w:val="00F94A01"/>
    <w:rsid w:val="00F954FC"/>
    <w:rsid w:val="00F95931"/>
    <w:rsid w:val="00F96FD0"/>
    <w:rsid w:val="00F972CA"/>
    <w:rsid w:val="00F97A78"/>
    <w:rsid w:val="00FA0075"/>
    <w:rsid w:val="00FA03B2"/>
    <w:rsid w:val="00FA0B20"/>
    <w:rsid w:val="00FA24E7"/>
    <w:rsid w:val="00FA4DDD"/>
    <w:rsid w:val="00FA5EE6"/>
    <w:rsid w:val="00FA6C25"/>
    <w:rsid w:val="00FA7956"/>
    <w:rsid w:val="00FB0824"/>
    <w:rsid w:val="00FB0CFA"/>
    <w:rsid w:val="00FB2FCB"/>
    <w:rsid w:val="00FB37D6"/>
    <w:rsid w:val="00FB4C9C"/>
    <w:rsid w:val="00FB5571"/>
    <w:rsid w:val="00FB5E80"/>
    <w:rsid w:val="00FB66BC"/>
    <w:rsid w:val="00FB7839"/>
    <w:rsid w:val="00FB7C55"/>
    <w:rsid w:val="00FC1074"/>
    <w:rsid w:val="00FC1884"/>
    <w:rsid w:val="00FC1E6F"/>
    <w:rsid w:val="00FC3286"/>
    <w:rsid w:val="00FC371D"/>
    <w:rsid w:val="00FC3D81"/>
    <w:rsid w:val="00FC48EB"/>
    <w:rsid w:val="00FC51B8"/>
    <w:rsid w:val="00FC5340"/>
    <w:rsid w:val="00FC5F0B"/>
    <w:rsid w:val="00FC6086"/>
    <w:rsid w:val="00FC795A"/>
    <w:rsid w:val="00FD0B84"/>
    <w:rsid w:val="00FD0E3D"/>
    <w:rsid w:val="00FD2100"/>
    <w:rsid w:val="00FD2620"/>
    <w:rsid w:val="00FD27CB"/>
    <w:rsid w:val="00FD436C"/>
    <w:rsid w:val="00FD446D"/>
    <w:rsid w:val="00FD4F2C"/>
    <w:rsid w:val="00FD5829"/>
    <w:rsid w:val="00FD6394"/>
    <w:rsid w:val="00FD739F"/>
    <w:rsid w:val="00FE0CEC"/>
    <w:rsid w:val="00FE0E6C"/>
    <w:rsid w:val="00FE1CDC"/>
    <w:rsid w:val="00FE2B0C"/>
    <w:rsid w:val="00FE3ED7"/>
    <w:rsid w:val="00FE409B"/>
    <w:rsid w:val="00FE483E"/>
    <w:rsid w:val="00FE70C3"/>
    <w:rsid w:val="00FE7BAB"/>
    <w:rsid w:val="00FF052C"/>
    <w:rsid w:val="00FF0E94"/>
    <w:rsid w:val="00FF1A8B"/>
    <w:rsid w:val="00FF1E90"/>
    <w:rsid w:val="00FF2AD9"/>
    <w:rsid w:val="00FF359F"/>
    <w:rsid w:val="00FF3656"/>
    <w:rsid w:val="00FF3BA4"/>
    <w:rsid w:val="00FF3DCF"/>
    <w:rsid w:val="00FF492C"/>
    <w:rsid w:val="00FF4A21"/>
    <w:rsid w:val="00FF5AA3"/>
    <w:rsid w:val="00FF5AD8"/>
    <w:rsid w:val="00FF6350"/>
    <w:rsid w:val="00FF6CED"/>
    <w:rsid w:val="031E1811"/>
    <w:rsid w:val="2D657997"/>
    <w:rsid w:val="368C4D3A"/>
    <w:rsid w:val="63E2157F"/>
    <w:rsid w:val="7ACA9E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character" w:styleId="UnresolvedMention">
    <w:name w:val="Unresolved Mention"/>
    <w:basedOn w:val="DefaultParagraphFont"/>
    <w:uiPriority w:val="99"/>
    <w:semiHidden/>
    <w:unhideWhenUsed/>
    <w:rsid w:val="008E7609"/>
    <w:rPr>
      <w:color w:val="605E5C"/>
      <w:shd w:val="clear" w:color="auto" w:fill="E1DFDD"/>
    </w:rPr>
  </w:style>
  <w:style w:type="paragraph" w:customStyle="1" w:styleId="TableText">
    <w:name w:val="Table Text"/>
    <w:link w:val="TableTextChar"/>
    <w:qFormat/>
    <w:rsid w:val="00116EBD"/>
    <w:pPr>
      <w:keepNext/>
      <w:keepLines/>
    </w:pPr>
    <w:rPr>
      <w:rFonts w:ascii="Arial Narrow" w:eastAsiaTheme="majorEastAsia" w:hAnsi="Arial Narrow" w:cstheme="majorBidi"/>
      <w:bC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
    <w:link w:val="ListParagraphChar"/>
    <w:uiPriority w:val="72"/>
    <w:qFormat/>
    <w:rsid w:val="004C3B02"/>
    <w:pPr>
      <w:numPr>
        <w:numId w:val="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
    <w:basedOn w:val="DefaultParagraphFont"/>
    <w:link w:val="ListParagraph"/>
    <w:uiPriority w:val="72"/>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HTAtableplain,RTI AMCP Table,MSD Table Grid,Dossier table,Section 3- footnotes,Header Table,Table Grid No Line,Summary Table,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and Figure Name,Bullet,- H17,Bayer Caption,IB Caption,Medical Caption,B Caption,Caption Char2 Char,Caption Char Char Char2,Caption Char1 Char Char Char1,Caption Char2 Char Char Char1 Char1,Caption Char Char1 Char Char Char1 Char1"/>
    <w:next w:val="Pic"/>
    <w:link w:val="CaptionChar"/>
    <w:uiPriority w:val="35"/>
    <w:qFormat/>
    <w:rsid w:val="0058085C"/>
    <w:pPr>
      <w:keepNext/>
      <w:keepLines/>
      <w:tabs>
        <w:tab w:val="left" w:pos="1134"/>
      </w:tabs>
      <w:spacing w:before="240" w:after="120" w:line="288" w:lineRule="auto"/>
      <w:ind w:left="1134" w:hanging="1134"/>
    </w:pPr>
    <w:rPr>
      <w:rFonts w:ascii="Montserrat" w:eastAsia="Calibri" w:hAnsi="Montserrat" w:cs="Calibri"/>
      <w:b/>
      <w:bCs/>
      <w:sz w:val="17"/>
      <w:szCs w:val="18"/>
      <w:lang w:eastAsia="en-US"/>
    </w:rPr>
  </w:style>
  <w:style w:type="paragraph" w:customStyle="1" w:styleId="Pic">
    <w:name w:val="Pic"/>
    <w:next w:val="ListParagraph"/>
    <w:uiPriority w:val="9"/>
    <w:qFormat/>
    <w:rsid w:val="0058085C"/>
    <w:pPr>
      <w:keepNext/>
    </w:pPr>
    <w:rPr>
      <w:rFonts w:ascii="Calibri" w:eastAsia="Calibri" w:hAnsi="Calibri" w:cs="Calibri"/>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character" w:customStyle="1" w:styleId="TableTextChar">
    <w:name w:val="Table Text Char"/>
    <w:basedOn w:val="DefaultParagraphFont"/>
    <w:link w:val="TableText"/>
    <w:rsid w:val="00116EBD"/>
    <w:rPr>
      <w:rFonts w:ascii="Arial Narrow" w:eastAsiaTheme="majorEastAsia" w:hAnsi="Arial Narrow" w:cstheme="majorBidi"/>
      <w:bCs/>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6F162D"/>
    <w:pPr>
      <w:keepNext/>
      <w:keepLines/>
      <w:spacing w:before="40" w:after="20"/>
    </w:pPr>
    <w:rPr>
      <w:rFonts w:ascii="Arial Narrow" w:eastAsiaTheme="majorEastAsia" w:hAnsi="Arial Narrow"/>
      <w:b/>
      <w:szCs w:val="18"/>
      <w:lang w:val="en-US"/>
    </w:rPr>
  </w:style>
  <w:style w:type="paragraph" w:customStyle="1" w:styleId="2-SectionHeading">
    <w:name w:val="2-Section Heading"/>
    <w:next w:val="3-BodyText"/>
    <w:qFormat/>
    <w:rsid w:val="004C3B02"/>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4C3B02"/>
    <w:pPr>
      <w:numPr>
        <w:ilvl w:val="1"/>
        <w:numId w:val="7"/>
      </w:numPr>
      <w:spacing w:before="60" w:after="6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C3B02"/>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CaptionChar">
    <w:name w:val="Caption Char"/>
    <w:aliases w:val="Table and Figure Name Char,Bullet Char,- H17 Char,Bayer Caption Char,IB Caption Char,Medical Caption Char,B Caption Char,Caption Char2 Char Char,Caption Char Char Char2 Char,Caption Char1 Char Char Char1 Char"/>
    <w:basedOn w:val="DefaultParagraphFont"/>
    <w:link w:val="Caption"/>
    <w:uiPriority w:val="35"/>
    <w:locked/>
    <w:rsid w:val="0058085C"/>
    <w:rPr>
      <w:rFonts w:ascii="Montserrat" w:eastAsia="Calibri" w:hAnsi="Montserrat" w:cs="Calibri"/>
      <w:b/>
      <w:bCs/>
      <w:sz w:val="17"/>
      <w:szCs w:val="18"/>
      <w:lang w:eastAsia="en-US"/>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autoRedefine/>
    <w:qFormat/>
    <w:rsid w:val="00464596"/>
    <w:pPr>
      <w:keepLines/>
      <w:spacing w:after="120"/>
      <w:contextualSpacing/>
      <w:jc w:val="left"/>
    </w:pPr>
    <w:rPr>
      <w:rFonts w:ascii="Arial Narrow" w:hAnsi="Arial Narrow"/>
      <w:i/>
      <w:iCs/>
      <w:snapToGrid w:val="0"/>
      <w:sz w:val="18"/>
      <w:szCs w:val="18"/>
      <w:vertAlign w:val="superscript"/>
    </w:rPr>
  </w:style>
  <w:style w:type="character" w:customStyle="1" w:styleId="TableFigureFooterChar">
    <w:name w:val="Table/Figure Footer Char"/>
    <w:link w:val="TableFigureFooter"/>
    <w:rsid w:val="00464596"/>
    <w:rPr>
      <w:rFonts w:ascii="Arial Narrow" w:hAnsi="Arial Narrow" w:cs="Arial"/>
      <w:i/>
      <w:iCs/>
      <w:snapToGrid w:val="0"/>
      <w:sz w:val="18"/>
      <w:szCs w:val="18"/>
      <w:vertAlign w:val="superscript"/>
    </w:rPr>
  </w:style>
  <w:style w:type="paragraph" w:customStyle="1" w:styleId="TableFigNotes18">
    <w:name w:val="TableFigNotes+18"/>
    <w:basedOn w:val="ListParagraph"/>
    <w:next w:val="BodyText"/>
    <w:link w:val="TableFigNotes18Char"/>
    <w:uiPriority w:val="4"/>
    <w:qFormat/>
    <w:rsid w:val="0058085C"/>
    <w:pPr>
      <w:numPr>
        <w:numId w:val="0"/>
      </w:numPr>
      <w:spacing w:before="60" w:after="360" w:line="276" w:lineRule="auto"/>
      <w:contextualSpacing/>
    </w:pPr>
    <w:rPr>
      <w:rFonts w:eastAsia="Calibri" w:cs="Calibri"/>
      <w:snapToGrid/>
      <w:sz w:val="16"/>
      <w:szCs w:val="20"/>
      <w:lang w:eastAsia="en-US"/>
    </w:rPr>
  </w:style>
  <w:style w:type="character" w:customStyle="1" w:styleId="TableFigNotes18Char">
    <w:name w:val="TableFigNotes+18 Char"/>
    <w:basedOn w:val="DefaultParagraphFont"/>
    <w:link w:val="TableFigNotes18"/>
    <w:uiPriority w:val="4"/>
    <w:locked/>
    <w:rsid w:val="0058085C"/>
    <w:rPr>
      <w:rFonts w:asciiTheme="minorHAnsi" w:eastAsia="Calibri" w:hAnsiTheme="minorHAnsi" w:cs="Calibri"/>
      <w:sz w:val="16"/>
      <w:lang w:eastAsia="en-US"/>
    </w:rPr>
  </w:style>
  <w:style w:type="paragraph" w:customStyle="1" w:styleId="Dash0">
    <w:name w:val="Dash+0"/>
    <w:basedOn w:val="Normal"/>
    <w:uiPriority w:val="2"/>
    <w:rsid w:val="0058085C"/>
    <w:pPr>
      <w:numPr>
        <w:numId w:val="10"/>
      </w:numPr>
      <w:tabs>
        <w:tab w:val="clear" w:pos="216"/>
        <w:tab w:val="left" w:pos="1134"/>
      </w:tabs>
      <w:spacing w:line="276" w:lineRule="auto"/>
      <w:ind w:left="720" w:hanging="360"/>
      <w:jc w:val="left"/>
    </w:pPr>
    <w:rPr>
      <w:rFonts w:asciiTheme="minorHAnsi" w:eastAsiaTheme="minorHAnsi" w:hAnsiTheme="minorHAnsi" w:cs="Tahoma"/>
      <w:color w:val="000000"/>
      <w:sz w:val="22"/>
      <w:szCs w:val="22"/>
    </w:rPr>
  </w:style>
  <w:style w:type="table" w:customStyle="1" w:styleId="HTATableshaded">
    <w:name w:val="HTA Table shaded"/>
    <w:basedOn w:val="TableNormal"/>
    <w:rsid w:val="009562A8"/>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iPriority w:val="99"/>
    <w:semiHidden/>
    <w:unhideWhenUsed/>
    <w:rsid w:val="00733877"/>
    <w:rPr>
      <w:sz w:val="20"/>
      <w:szCs w:val="20"/>
    </w:rPr>
  </w:style>
  <w:style w:type="character" w:customStyle="1" w:styleId="FootnoteTextChar">
    <w:name w:val="Footnote Text Char"/>
    <w:basedOn w:val="DefaultParagraphFont"/>
    <w:link w:val="FootnoteText"/>
    <w:uiPriority w:val="99"/>
    <w:semiHidden/>
    <w:rsid w:val="00733877"/>
    <w:rPr>
      <w:rFonts w:ascii="Calibri" w:hAnsi="Calibri" w:cs="Arial"/>
    </w:rPr>
  </w:style>
  <w:style w:type="character" w:styleId="FootnoteReference">
    <w:name w:val="footnote reference"/>
    <w:basedOn w:val="DefaultParagraphFont"/>
    <w:uiPriority w:val="99"/>
    <w:semiHidden/>
    <w:unhideWhenUsed/>
    <w:rsid w:val="00733877"/>
    <w:rPr>
      <w:vertAlign w:val="superscript"/>
    </w:rPr>
  </w:style>
  <w:style w:type="character" w:styleId="CommentReference">
    <w:name w:val="annotation reference"/>
    <w:aliases w:val="Table Title"/>
    <w:basedOn w:val="DefaultParagraphFont"/>
    <w:uiPriority w:val="99"/>
    <w:unhideWhenUsed/>
    <w:qFormat/>
    <w:rPr>
      <w:sz w:val="16"/>
      <w:szCs w:val="16"/>
    </w:rPr>
  </w:style>
  <w:style w:type="paragraph" w:customStyle="1" w:styleId="tabletextleftjustified">
    <w:name w:val="table text left justified"/>
    <w:link w:val="tabletextleftjustifiedChar"/>
    <w:rsid w:val="00C36E40"/>
    <w:pPr>
      <w:spacing w:before="20" w:after="20"/>
    </w:pPr>
    <w:rPr>
      <w:lang w:val="en-US" w:eastAsia="en-US"/>
    </w:rPr>
  </w:style>
  <w:style w:type="character" w:customStyle="1" w:styleId="tabletextleftjustifiedChar">
    <w:name w:val="table text left justified Char"/>
    <w:basedOn w:val="DefaultParagraphFont"/>
    <w:link w:val="tabletextleftjustified"/>
    <w:rsid w:val="00C36E40"/>
    <w:rPr>
      <w:lang w:val="en-US" w:eastAsia="en-US"/>
    </w:rPr>
  </w:style>
  <w:style w:type="table" w:customStyle="1" w:styleId="TableGrid1">
    <w:name w:val="Table Grid1"/>
    <w:basedOn w:val="TableNormal"/>
    <w:next w:val="TableGrid"/>
    <w:uiPriority w:val="39"/>
    <w:rsid w:val="00240EAF"/>
    <w:tblPr/>
  </w:style>
  <w:style w:type="paragraph" w:customStyle="1" w:styleId="3-SubsectionHeading">
    <w:name w:val="3-Subsection Heading"/>
    <w:basedOn w:val="Heading2"/>
    <w:next w:val="Normal"/>
    <w:link w:val="3-SubsectionHeadingChar"/>
    <w:qFormat/>
    <w:rsid w:val="001F696C"/>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1F696C"/>
    <w:rPr>
      <w:rFonts w:asciiTheme="minorHAnsi" w:eastAsiaTheme="majorEastAsia" w:hAnsiTheme="minorHAnsi" w:cstheme="majorBidi"/>
      <w:b/>
      <w:i/>
      <w:snapToGrid/>
      <w:spacing w:val="5"/>
      <w:kern w:val="28"/>
      <w:sz w:val="28"/>
      <w:szCs w:val="36"/>
      <w:lang w:eastAsia="en-US"/>
    </w:rPr>
  </w:style>
  <w:style w:type="character" w:customStyle="1" w:styleId="normaltextrun">
    <w:name w:val="normaltextrun"/>
    <w:basedOn w:val="DefaultParagraphFont"/>
    <w:rsid w:val="00EA5F65"/>
  </w:style>
  <w:style w:type="character" w:customStyle="1" w:styleId="eop">
    <w:name w:val="eop"/>
    <w:basedOn w:val="DefaultParagraphFont"/>
    <w:rsid w:val="00EA5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2201">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686982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01285440">
      <w:bodyDiv w:val="1"/>
      <w:marLeft w:val="0"/>
      <w:marRight w:val="0"/>
      <w:marTop w:val="0"/>
      <w:marBottom w:val="0"/>
      <w:divBdr>
        <w:top w:val="none" w:sz="0" w:space="0" w:color="auto"/>
        <w:left w:val="none" w:sz="0" w:space="0" w:color="auto"/>
        <w:bottom w:val="none" w:sz="0" w:space="0" w:color="auto"/>
        <w:right w:val="none" w:sz="0" w:space="0" w:color="auto"/>
      </w:divBdr>
    </w:div>
    <w:div w:id="636833780">
      <w:bodyDiv w:val="1"/>
      <w:marLeft w:val="0"/>
      <w:marRight w:val="0"/>
      <w:marTop w:val="0"/>
      <w:marBottom w:val="0"/>
      <w:divBdr>
        <w:top w:val="none" w:sz="0" w:space="0" w:color="auto"/>
        <w:left w:val="none" w:sz="0" w:space="0" w:color="auto"/>
        <w:bottom w:val="none" w:sz="0" w:space="0" w:color="auto"/>
        <w:right w:val="none" w:sz="0" w:space="0" w:color="auto"/>
      </w:divBdr>
    </w:div>
    <w:div w:id="815028660">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8103160">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707294128">
      <w:bodyDiv w:val="1"/>
      <w:marLeft w:val="0"/>
      <w:marRight w:val="0"/>
      <w:marTop w:val="0"/>
      <w:marBottom w:val="0"/>
      <w:divBdr>
        <w:top w:val="none" w:sz="0" w:space="0" w:color="auto"/>
        <w:left w:val="none" w:sz="0" w:space="0" w:color="auto"/>
        <w:bottom w:val="none" w:sz="0" w:space="0" w:color="auto"/>
        <w:right w:val="none" w:sz="0" w:space="0" w:color="auto"/>
      </w:divBdr>
    </w:div>
    <w:div w:id="1778409072">
      <w:bodyDiv w:val="1"/>
      <w:marLeft w:val="0"/>
      <w:marRight w:val="0"/>
      <w:marTop w:val="0"/>
      <w:marBottom w:val="0"/>
      <w:divBdr>
        <w:top w:val="none" w:sz="0" w:space="0" w:color="auto"/>
        <w:left w:val="none" w:sz="0" w:space="0" w:color="auto"/>
        <w:bottom w:val="none" w:sz="0" w:space="0" w:color="auto"/>
        <w:right w:val="none" w:sz="0" w:space="0" w:color="auto"/>
      </w:divBdr>
    </w:div>
    <w:div w:id="1808931367">
      <w:bodyDiv w:val="1"/>
      <w:marLeft w:val="0"/>
      <w:marRight w:val="0"/>
      <w:marTop w:val="0"/>
      <w:marBottom w:val="0"/>
      <w:divBdr>
        <w:top w:val="none" w:sz="0" w:space="0" w:color="auto"/>
        <w:left w:val="none" w:sz="0" w:space="0" w:color="auto"/>
        <w:bottom w:val="none" w:sz="0" w:space="0" w:color="auto"/>
        <w:right w:val="none" w:sz="0" w:space="0" w:color="auto"/>
      </w:divBdr>
    </w:div>
    <w:div w:id="188101473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91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5C753-C938-4317-BDC5-56C87C9A182A}">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2.xml><?xml version="1.0" encoding="utf-8"?>
<ds:datastoreItem xmlns:ds="http://schemas.openxmlformats.org/officeDocument/2006/customXml" ds:itemID="{29F9EFBD-3399-468B-ABF0-BA8B79B7013D}">
  <ds:schemaRefs>
    <ds:schemaRef ds:uri="http://schemas.microsoft.com/sharepoint/v3/contenttype/forms"/>
  </ds:schemaRefs>
</ds:datastoreItem>
</file>

<file path=customXml/itemProps3.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4.xml><?xml version="1.0" encoding="utf-8"?>
<ds:datastoreItem xmlns:ds="http://schemas.openxmlformats.org/officeDocument/2006/customXml" ds:itemID="{AA1DA425-F798-4CA5-9362-DC598A140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a736f1a-6d66-4d7b-be62-d43e1e9bdc3b}" enabled="1" method="Standard" siteId="{69ce8198-0346-4196-b83f-1ae289c868d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10003</Words>
  <Characters>57020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66890</CharactersWithSpaces>
  <SharedDoc>false</SharedDoc>
  <HLinks>
    <vt:vector size="6" baseType="variant">
      <vt:variant>
        <vt:i4>1179740</vt:i4>
      </vt:variant>
      <vt:variant>
        <vt:i4>90</vt:i4>
      </vt:variant>
      <vt:variant>
        <vt:i4>0</vt:i4>
      </vt:variant>
      <vt:variant>
        <vt:i4>5</vt:i4>
      </vt:variant>
      <vt:variant>
        <vt:lpwstr>https://doi.org/10.1016/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2025-06-26T04:49:00Z</dcterms:created>
  <dcterms:modified xsi:type="dcterms:W3CDTF">2025-06-29T23:19:00Z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