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645D1" w14:textId="1CCA49E2" w:rsidR="00082195" w:rsidRDefault="002F3770" w:rsidP="006D7060">
      <w:pPr>
        <w:pStyle w:val="COMexecsummheadings"/>
        <w:rPr>
          <w:snapToGrid w:val="0"/>
        </w:rPr>
      </w:pPr>
      <w:r>
        <w:t>7.03</w:t>
      </w:r>
      <w:r w:rsidR="00163F66" w:rsidRPr="006E0FA2">
        <w:tab/>
      </w:r>
      <w:r w:rsidR="0043240D">
        <w:t>ELRANATAMAB</w:t>
      </w:r>
      <w:r w:rsidR="00163F66" w:rsidRPr="006E0FA2">
        <w:t>,</w:t>
      </w:r>
      <w:r w:rsidR="00163F66" w:rsidRPr="006E0FA2">
        <w:br/>
      </w:r>
      <w:r w:rsidR="0043240D" w:rsidRPr="0043240D">
        <w:t>Solution for subcutaneous injection 44 mg in 1.1 mL (40 mg per mL)</w:t>
      </w:r>
      <w:r w:rsidR="00163F66" w:rsidRPr="006E0FA2">
        <w:t>,</w:t>
      </w:r>
      <w:r w:rsidR="00163F66" w:rsidRPr="006E0FA2">
        <w:br/>
      </w:r>
      <w:r w:rsidR="0043240D" w:rsidRPr="0043240D">
        <w:t>Solution for subcutaneous injection 76 mg in 1.9 mL (40 mg per mL</w:t>
      </w:r>
      <w:r w:rsidR="00D91115">
        <w:t>)</w:t>
      </w:r>
      <w:r w:rsidR="00163F66" w:rsidRPr="006E0FA2">
        <w:t>,</w:t>
      </w:r>
      <w:r w:rsidR="00163F66" w:rsidRPr="006E0FA2">
        <w:br/>
      </w:r>
      <w:r w:rsidR="0043240D" w:rsidRPr="0043240D">
        <w:t>Elrexfio</w:t>
      </w:r>
      <w:r w:rsidR="0043240D">
        <w:rPr>
          <w:rFonts w:cstheme="minorHAnsi"/>
        </w:rPr>
        <w:t>®</w:t>
      </w:r>
      <w:r w:rsidR="004A6040" w:rsidRPr="006E0FA2">
        <w:t>,</w:t>
      </w:r>
      <w:r w:rsidR="004A6040" w:rsidRPr="006E0FA2">
        <w:br/>
      </w:r>
      <w:r w:rsidR="0043240D" w:rsidRPr="0043240D">
        <w:t>PFIZER AUSTRALIA PTY LTD</w:t>
      </w:r>
      <w:r w:rsidR="00B60939" w:rsidRPr="006E0FA2">
        <w:t>.</w:t>
      </w:r>
      <w:bookmarkStart w:id="0" w:name="_Toc188287167"/>
    </w:p>
    <w:p w14:paraId="11C00795" w14:textId="6FBFA5F7" w:rsidR="00B50DB8" w:rsidRPr="006E0FA2" w:rsidRDefault="00B50DB8" w:rsidP="004A6040">
      <w:pPr>
        <w:pStyle w:val="COMH1-numbered"/>
      </w:pPr>
      <w:r w:rsidRPr="006E0FA2">
        <w:t xml:space="preserve">Purpose of </w:t>
      </w:r>
      <w:r w:rsidR="00CD7193" w:rsidRPr="006E0FA2">
        <w:t>s</w:t>
      </w:r>
      <w:r w:rsidR="00BB3A45" w:rsidRPr="006E0FA2">
        <w:t>ubmission</w:t>
      </w:r>
      <w:bookmarkEnd w:id="0"/>
    </w:p>
    <w:p w14:paraId="52D6EC26" w14:textId="1ADF7209" w:rsidR="004672A7" w:rsidRDefault="004672A7" w:rsidP="008D080F">
      <w:pPr>
        <w:pStyle w:val="COMexecsummnumbered"/>
      </w:pPr>
      <w:r>
        <w:t xml:space="preserve">The </w:t>
      </w:r>
      <w:r w:rsidRPr="004672A7">
        <w:t xml:space="preserve">standard re-entry resubmission requested a </w:t>
      </w:r>
      <w:r w:rsidR="00EC16F8">
        <w:t xml:space="preserve">dual General Schedule and </w:t>
      </w:r>
      <w:r w:rsidRPr="004672A7">
        <w:t>Section 100 (Efficient Funding of Chemotherapy Program</w:t>
      </w:r>
      <w:r w:rsidR="00D0398C">
        <w:t xml:space="preserve"> – Related Benefits</w:t>
      </w:r>
      <w:r w:rsidRPr="004672A7">
        <w:t xml:space="preserve">) Authority Required (Telephone/Online) listing, for the treatment of patients with relapsed or refractory multiple myeloma </w:t>
      </w:r>
      <w:r w:rsidR="006262F4">
        <w:t xml:space="preserve">(RRMM) </w:t>
      </w:r>
      <w:r w:rsidRPr="004672A7">
        <w:t>who have received at least three prior</w:t>
      </w:r>
      <w:r w:rsidR="00046B26">
        <w:t xml:space="preserve"> lines of </w:t>
      </w:r>
      <w:r w:rsidR="009932BF">
        <w:t>therapy</w:t>
      </w:r>
      <w:r w:rsidRPr="004672A7">
        <w:t>.</w:t>
      </w:r>
    </w:p>
    <w:p w14:paraId="4E9FBCB5" w14:textId="3E3543F9" w:rsidR="00C2778B" w:rsidRPr="006E0FA2" w:rsidRDefault="005750C5" w:rsidP="008D080F">
      <w:pPr>
        <w:pStyle w:val="COMexecsummnumbered"/>
      </w:pPr>
      <w:r w:rsidRPr="006E0FA2">
        <w:t xml:space="preserve">Listing was requested </w:t>
      </w:r>
      <w:proofErr w:type="gramStart"/>
      <w:r w:rsidRPr="006E0FA2">
        <w:t>on the basis of</w:t>
      </w:r>
      <w:proofErr w:type="gramEnd"/>
      <w:r w:rsidRPr="006E0FA2">
        <w:t xml:space="preserve"> a cost-effectiveness analysis versus</w:t>
      </w:r>
      <w:r w:rsidR="0021120A">
        <w:t xml:space="preserve"> standard of care, represented by </w:t>
      </w:r>
      <w:r w:rsidR="0021120A" w:rsidRPr="0021120A">
        <w:t>carfilzomib + dexamethasone (</w:t>
      </w:r>
      <w:r w:rsidR="000D12FB">
        <w:t xml:space="preserve">Cd; </w:t>
      </w:r>
      <w:r w:rsidR="0021120A" w:rsidRPr="0021120A">
        <w:t>51.0%), pomalidomide + dexamethasone (</w:t>
      </w:r>
      <w:r w:rsidR="000D12FB">
        <w:t xml:space="preserve">Pd; </w:t>
      </w:r>
      <w:r w:rsidR="0021120A" w:rsidRPr="0021120A">
        <w:t>46.5%) and selinexor + dexamethasone (</w:t>
      </w:r>
      <w:r w:rsidR="000D12FB">
        <w:t xml:space="preserve">Sd; </w:t>
      </w:r>
      <w:r w:rsidR="0021120A" w:rsidRPr="0021120A">
        <w:t>2.5%).</w:t>
      </w:r>
    </w:p>
    <w:p w14:paraId="47EA5052" w14:textId="7356D661" w:rsidR="0021120A" w:rsidRPr="0021120A" w:rsidRDefault="00696EF9" w:rsidP="0021120A">
      <w:pPr>
        <w:pStyle w:val="COMtablefigcaption"/>
      </w:pPr>
      <w:bookmarkStart w:id="1" w:name="_Ref187747003"/>
      <w:r w:rsidRPr="006E0FA2">
        <w:t xml:space="preserve">Table </w:t>
      </w:r>
      <w:r w:rsidR="006B329A">
        <w:fldChar w:fldCharType="begin" w:fldLock="1"/>
      </w:r>
      <w:r w:rsidR="006B329A">
        <w:instrText xml:space="preserve"> SEQ Table \* ARABIC </w:instrText>
      </w:r>
      <w:r w:rsidR="006B329A">
        <w:fldChar w:fldCharType="separate"/>
      </w:r>
      <w:r w:rsidR="00347D89">
        <w:rPr>
          <w:noProof/>
        </w:rPr>
        <w:t>1</w:t>
      </w:r>
      <w:r w:rsidR="006B329A">
        <w:rPr>
          <w:noProof/>
        </w:rPr>
        <w:fldChar w:fldCharType="end"/>
      </w:r>
      <w:bookmarkEnd w:id="1"/>
      <w:r w:rsidRPr="006E0FA2">
        <w:t>:</w:t>
      </w:r>
      <w:r w:rsidR="00BC591F" w:rsidRPr="006E0FA2">
        <w:t xml:space="preserve"> </w:t>
      </w:r>
      <w:r w:rsidR="008B1757" w:rsidRPr="006E0FA2">
        <w:t xml:space="preserve">Key components of the clinical issue addressed </w:t>
      </w:r>
      <w:r w:rsidR="002812CE" w:rsidRPr="006E0FA2">
        <w:t>in</w:t>
      </w:r>
      <w:r w:rsidR="008B1757" w:rsidRPr="006E0FA2">
        <w:t xml:space="preserve"> the </w:t>
      </w:r>
      <w:r w:rsidR="0021120A">
        <w:t>re</w:t>
      </w:r>
      <w:r w:rsidR="008B1757" w:rsidRPr="006E0FA2">
        <w:t>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in the resubmission"/>
      </w:tblPr>
      <w:tblGrid>
        <w:gridCol w:w="1127"/>
        <w:gridCol w:w="8029"/>
      </w:tblGrid>
      <w:tr w:rsidR="0021120A" w:rsidRPr="006E0FA2" w14:paraId="129AF468" w14:textId="77777777" w:rsidTr="00AB2B63">
        <w:tc>
          <w:tcPr>
            <w:tcW w:w="1116" w:type="dxa"/>
            <w:vAlign w:val="center"/>
          </w:tcPr>
          <w:p w14:paraId="031841F2" w14:textId="77777777" w:rsidR="0021120A" w:rsidRPr="006E0FA2" w:rsidRDefault="0021120A" w:rsidP="002A3BF4">
            <w:pPr>
              <w:pStyle w:val="COMTableheadingrow"/>
            </w:pPr>
            <w:r w:rsidRPr="006E0FA2">
              <w:t>Component</w:t>
            </w:r>
          </w:p>
        </w:tc>
        <w:tc>
          <w:tcPr>
            <w:tcW w:w="8040" w:type="dxa"/>
            <w:vAlign w:val="center"/>
          </w:tcPr>
          <w:p w14:paraId="54A68075" w14:textId="77777777" w:rsidR="0021120A" w:rsidRPr="006E0FA2" w:rsidRDefault="0021120A" w:rsidP="002A3BF4">
            <w:pPr>
              <w:pStyle w:val="COMTableheadingrow"/>
            </w:pPr>
            <w:r w:rsidRPr="006E0FA2">
              <w:t>Description</w:t>
            </w:r>
          </w:p>
        </w:tc>
      </w:tr>
      <w:tr w:rsidR="0021120A" w:rsidRPr="006E0FA2" w14:paraId="3BD8E49F" w14:textId="77777777" w:rsidTr="00AB2B63">
        <w:tc>
          <w:tcPr>
            <w:tcW w:w="1116" w:type="dxa"/>
            <w:vAlign w:val="center"/>
          </w:tcPr>
          <w:p w14:paraId="5D9EF379" w14:textId="77777777" w:rsidR="0021120A" w:rsidRPr="006E0FA2" w:rsidRDefault="0021120A" w:rsidP="002A3BF4">
            <w:pPr>
              <w:pStyle w:val="COMTabletext"/>
            </w:pPr>
            <w:r w:rsidRPr="006E0FA2">
              <w:t>Population</w:t>
            </w:r>
          </w:p>
        </w:tc>
        <w:tc>
          <w:tcPr>
            <w:tcW w:w="8040" w:type="dxa"/>
            <w:vAlign w:val="center"/>
          </w:tcPr>
          <w:p w14:paraId="35EF63EA" w14:textId="77777777" w:rsidR="0021120A" w:rsidRPr="006E0FA2" w:rsidRDefault="0021120A" w:rsidP="002A3BF4">
            <w:pPr>
              <w:pStyle w:val="COMTabletext"/>
            </w:pPr>
            <w:r w:rsidRPr="001F1EB4">
              <w:t xml:space="preserve">Patients with </w:t>
            </w:r>
            <w:r>
              <w:t>relapsed or refractory multiple myeloma</w:t>
            </w:r>
            <w:r w:rsidRPr="001F1EB4">
              <w:t xml:space="preserve"> who have received </w:t>
            </w:r>
            <w:r w:rsidRPr="000B62B6">
              <w:rPr>
                <w:u w:val="single"/>
              </w:rPr>
              <w:t>at least 3 prior lines of therapy</w:t>
            </w:r>
            <w:r w:rsidRPr="001F1EB4">
              <w:t>, including a proteasome inhibitor, an immunomodulatory agent, and a CD38 monoclonal antibody.</w:t>
            </w:r>
          </w:p>
        </w:tc>
      </w:tr>
      <w:tr w:rsidR="0021120A" w:rsidRPr="006E0FA2" w14:paraId="3DBDC457" w14:textId="77777777" w:rsidTr="00AB2B63">
        <w:tc>
          <w:tcPr>
            <w:tcW w:w="1116" w:type="dxa"/>
            <w:vAlign w:val="center"/>
          </w:tcPr>
          <w:p w14:paraId="0AC76EB9" w14:textId="77777777" w:rsidR="0021120A" w:rsidRPr="006E0FA2" w:rsidRDefault="0021120A" w:rsidP="002A3BF4">
            <w:pPr>
              <w:pStyle w:val="COMTabletext"/>
            </w:pPr>
            <w:r w:rsidRPr="006E0FA2">
              <w:t>Intervention</w:t>
            </w:r>
          </w:p>
        </w:tc>
        <w:tc>
          <w:tcPr>
            <w:tcW w:w="8040" w:type="dxa"/>
            <w:vAlign w:val="center"/>
          </w:tcPr>
          <w:p w14:paraId="1FEF6336" w14:textId="044519A0" w:rsidR="0021120A" w:rsidRPr="00055AAA" w:rsidRDefault="0021120A" w:rsidP="002A3BF4">
            <w:pPr>
              <w:pStyle w:val="COMTabletext"/>
            </w:pPr>
            <w:r w:rsidRPr="001F1EB4">
              <w:t xml:space="preserve">Elranatamab </w:t>
            </w:r>
            <w:r>
              <w:t>administered by subcutaneous</w:t>
            </w:r>
            <w:r w:rsidRPr="001F1EB4">
              <w:t xml:space="preserve"> injection</w:t>
            </w:r>
            <w:r>
              <w:t xml:space="preserve">, with step-up doses of </w:t>
            </w:r>
            <w:r w:rsidRPr="001F1EB4">
              <w:t>12 mg on Day 1</w:t>
            </w:r>
            <w:r>
              <w:t xml:space="preserve"> and </w:t>
            </w:r>
            <w:r w:rsidRPr="001F1EB4">
              <w:t>32</w:t>
            </w:r>
            <w:r>
              <w:t> </w:t>
            </w:r>
            <w:r w:rsidRPr="001F1EB4">
              <w:t>mg on Day 4</w:t>
            </w:r>
            <w:r>
              <w:t>,</w:t>
            </w:r>
            <w:r w:rsidRPr="001F1EB4">
              <w:t xml:space="preserve"> followed</w:t>
            </w:r>
            <w:r>
              <w:t xml:space="preserve"> by</w:t>
            </w:r>
            <w:r w:rsidRPr="001F1EB4">
              <w:t xml:space="preserve"> </w:t>
            </w:r>
            <w:r>
              <w:t>the</w:t>
            </w:r>
            <w:r w:rsidRPr="001F1EB4">
              <w:t xml:space="preserve"> full treatment dose of 76 mg </w:t>
            </w:r>
            <w:r>
              <w:t xml:space="preserve">once a </w:t>
            </w:r>
            <w:r w:rsidRPr="001F1EB4">
              <w:t>week from Week 2 to Week</w:t>
            </w:r>
            <w:r>
              <w:t> </w:t>
            </w:r>
            <w:r w:rsidRPr="001F1EB4">
              <w:t xml:space="preserve">24. </w:t>
            </w:r>
            <w:r>
              <w:t>P</w:t>
            </w:r>
            <w:r w:rsidRPr="001F1EB4">
              <w:t xml:space="preserve">atients who have achieved a response </w:t>
            </w:r>
            <w:r>
              <w:t>are recommended to</w:t>
            </w:r>
            <w:r w:rsidRPr="001F1EB4">
              <w:t xml:space="preserve"> transition to 76 mg every two</w:t>
            </w:r>
            <w:r>
              <w:t xml:space="preserve"> </w:t>
            </w:r>
            <w:r w:rsidRPr="001F1EB4">
              <w:t>weeks</w:t>
            </w:r>
            <w:r>
              <w:t xml:space="preserve"> from Week 24, </w:t>
            </w:r>
            <w:r w:rsidRPr="001255CA">
              <w:rPr>
                <w:u w:val="single"/>
              </w:rPr>
              <w:t>with a</w:t>
            </w:r>
            <w:r w:rsidRPr="000B62B6">
              <w:rPr>
                <w:u w:val="single"/>
              </w:rPr>
              <w:t xml:space="preserve"> </w:t>
            </w:r>
            <w:r w:rsidRPr="00685284">
              <w:rPr>
                <w:u w:val="single"/>
              </w:rPr>
              <w:t xml:space="preserve">further dose frequency reduction to 76 mg every 4 weeks </w:t>
            </w:r>
            <w:r>
              <w:rPr>
                <w:u w:val="single"/>
              </w:rPr>
              <w:t xml:space="preserve">recommended </w:t>
            </w:r>
            <w:r w:rsidRPr="00685284">
              <w:rPr>
                <w:u w:val="single"/>
              </w:rPr>
              <w:t xml:space="preserve">after </w:t>
            </w:r>
            <w:r>
              <w:rPr>
                <w:u w:val="single"/>
              </w:rPr>
              <w:t xml:space="preserve">at least 24 weeks of treatment with 76 mg every 2 weeks. </w:t>
            </w:r>
            <w:r w:rsidR="00055AAA">
              <w:rPr>
                <w:u w:val="single"/>
              </w:rPr>
              <w:t xml:space="preserve">The PBAC noted that </w:t>
            </w:r>
            <w:r w:rsidR="0040508E">
              <w:rPr>
                <w:u w:val="single"/>
              </w:rPr>
              <w:t>the dosing change</w:t>
            </w:r>
            <w:r w:rsidR="00055AAA">
              <w:rPr>
                <w:u w:val="single"/>
              </w:rPr>
              <w:t xml:space="preserve"> to 76 mg every 4 weeks at Week </w:t>
            </w:r>
            <w:r w:rsidR="005277BB">
              <w:rPr>
                <w:u w:val="single"/>
              </w:rPr>
              <w:t>49 was not yet approved by the TGA.</w:t>
            </w:r>
          </w:p>
        </w:tc>
      </w:tr>
      <w:tr w:rsidR="0021120A" w:rsidRPr="006E0FA2" w14:paraId="473E2C27" w14:textId="77777777" w:rsidTr="00AB2B63">
        <w:tc>
          <w:tcPr>
            <w:tcW w:w="1116" w:type="dxa"/>
            <w:vAlign w:val="center"/>
          </w:tcPr>
          <w:p w14:paraId="34222083" w14:textId="77777777" w:rsidR="0021120A" w:rsidRPr="006E0FA2" w:rsidRDefault="0021120A" w:rsidP="002A3BF4">
            <w:pPr>
              <w:pStyle w:val="COMTabletext"/>
            </w:pPr>
            <w:r w:rsidRPr="006E0FA2">
              <w:t>Comparator</w:t>
            </w:r>
          </w:p>
        </w:tc>
        <w:tc>
          <w:tcPr>
            <w:tcW w:w="8040" w:type="dxa"/>
            <w:vAlign w:val="center"/>
          </w:tcPr>
          <w:p w14:paraId="1C461271" w14:textId="597549BA" w:rsidR="0021120A" w:rsidRPr="006E0FA2" w:rsidRDefault="0021120A" w:rsidP="002A3BF4">
            <w:pPr>
              <w:pStyle w:val="COMTabletext"/>
            </w:pPr>
            <w:r>
              <w:t xml:space="preserve">Standard of care, comprised of </w:t>
            </w:r>
            <w:r w:rsidR="000D12FB">
              <w:rPr>
                <w:u w:val="single"/>
              </w:rPr>
              <w:t>Cd</w:t>
            </w:r>
            <w:r w:rsidRPr="00487783">
              <w:rPr>
                <w:u w:val="single"/>
              </w:rPr>
              <w:t xml:space="preserve"> (51.0%), </w:t>
            </w:r>
            <w:r w:rsidR="000D12FB">
              <w:rPr>
                <w:u w:val="single"/>
              </w:rPr>
              <w:t>Pd</w:t>
            </w:r>
            <w:r w:rsidRPr="00487783">
              <w:rPr>
                <w:u w:val="single"/>
              </w:rPr>
              <w:t xml:space="preserve"> (46.5%) and </w:t>
            </w:r>
            <w:r w:rsidR="000D12FB">
              <w:rPr>
                <w:u w:val="single"/>
              </w:rPr>
              <w:t>Sd</w:t>
            </w:r>
            <w:r w:rsidRPr="00487783">
              <w:rPr>
                <w:u w:val="single"/>
              </w:rPr>
              <w:t xml:space="preserve"> (2.5%).</w:t>
            </w:r>
          </w:p>
        </w:tc>
      </w:tr>
      <w:tr w:rsidR="0021120A" w:rsidRPr="006E0FA2" w14:paraId="43F50139" w14:textId="77777777" w:rsidTr="00AB2B63">
        <w:tc>
          <w:tcPr>
            <w:tcW w:w="1116" w:type="dxa"/>
            <w:vAlign w:val="center"/>
          </w:tcPr>
          <w:p w14:paraId="3730A95D" w14:textId="77777777" w:rsidR="0021120A" w:rsidRPr="006E0FA2" w:rsidRDefault="0021120A" w:rsidP="002A3BF4">
            <w:pPr>
              <w:pStyle w:val="COMTabletext"/>
            </w:pPr>
            <w:r w:rsidRPr="006E0FA2">
              <w:t>Outcomes</w:t>
            </w:r>
          </w:p>
        </w:tc>
        <w:tc>
          <w:tcPr>
            <w:tcW w:w="8040" w:type="dxa"/>
            <w:vAlign w:val="center"/>
          </w:tcPr>
          <w:p w14:paraId="60DE1C6A" w14:textId="77777777" w:rsidR="0021120A" w:rsidRPr="006E0FA2" w:rsidRDefault="0021120A" w:rsidP="002A3BF4">
            <w:pPr>
              <w:pStyle w:val="COMTabletext"/>
            </w:pPr>
            <w:r>
              <w:t>Overall response rate by blinded independent central review (primary), progression-free survival, overall survival, overall response rate, complete response rate, duration of response, time to response, adverse events and health-related quality of life.</w:t>
            </w:r>
          </w:p>
        </w:tc>
      </w:tr>
      <w:tr w:rsidR="0021120A" w:rsidRPr="006E0FA2" w14:paraId="0BD5306A" w14:textId="77777777" w:rsidTr="00AB2B63">
        <w:tc>
          <w:tcPr>
            <w:tcW w:w="1116" w:type="dxa"/>
            <w:vAlign w:val="center"/>
          </w:tcPr>
          <w:p w14:paraId="293CC512" w14:textId="77777777" w:rsidR="0021120A" w:rsidRPr="006E0FA2" w:rsidRDefault="0021120A" w:rsidP="002A3BF4">
            <w:pPr>
              <w:pStyle w:val="COMTabletext"/>
            </w:pPr>
            <w:r w:rsidRPr="006E0FA2">
              <w:t>Clinical claim</w:t>
            </w:r>
          </w:p>
        </w:tc>
        <w:tc>
          <w:tcPr>
            <w:tcW w:w="8040" w:type="dxa"/>
            <w:vAlign w:val="center"/>
          </w:tcPr>
          <w:p w14:paraId="1B610375" w14:textId="45E2623D" w:rsidR="0021120A" w:rsidRDefault="0021120A" w:rsidP="002A3BF4">
            <w:pPr>
              <w:pStyle w:val="COMTabletext"/>
            </w:pPr>
            <w:r>
              <w:t xml:space="preserve">Based on clinical evidence for elranatamab from the MagnetisMM-3 study, and </w:t>
            </w:r>
            <w:r w:rsidRPr="00487783">
              <w:t xml:space="preserve">clinical evidence </w:t>
            </w:r>
            <w:r>
              <w:t xml:space="preserve">for standard of care from the </w:t>
            </w:r>
            <w:r w:rsidRPr="00A835E7">
              <w:rPr>
                <w:u w:val="single"/>
              </w:rPr>
              <w:t>ENDEAVOR (</w:t>
            </w:r>
            <w:r w:rsidR="000D12FB">
              <w:rPr>
                <w:u w:val="single"/>
              </w:rPr>
              <w:t>Cd</w:t>
            </w:r>
            <w:r w:rsidRPr="00A835E7">
              <w:rPr>
                <w:u w:val="single"/>
              </w:rPr>
              <w:t>), MM</w:t>
            </w:r>
            <w:r>
              <w:rPr>
                <w:u w:val="single"/>
              </w:rPr>
              <w:t>-</w:t>
            </w:r>
            <w:r w:rsidRPr="00A835E7">
              <w:rPr>
                <w:u w:val="single"/>
              </w:rPr>
              <w:t>003 (</w:t>
            </w:r>
            <w:r w:rsidR="000D12FB">
              <w:rPr>
                <w:u w:val="single"/>
              </w:rPr>
              <w:t>Pd</w:t>
            </w:r>
            <w:r w:rsidRPr="00A835E7">
              <w:rPr>
                <w:u w:val="single"/>
              </w:rPr>
              <w:t>), and STORM (</w:t>
            </w:r>
            <w:r w:rsidR="000D12FB">
              <w:rPr>
                <w:u w:val="single"/>
              </w:rPr>
              <w:t>Sd</w:t>
            </w:r>
            <w:r w:rsidRPr="00A835E7">
              <w:rPr>
                <w:u w:val="single"/>
              </w:rPr>
              <w:t>) studies:</w:t>
            </w:r>
          </w:p>
          <w:p w14:paraId="73CE50A7" w14:textId="77777777" w:rsidR="0021120A" w:rsidRDefault="0021120A" w:rsidP="009431C8">
            <w:pPr>
              <w:pStyle w:val="COMTabletext"/>
              <w:numPr>
                <w:ilvl w:val="0"/>
                <w:numId w:val="8"/>
              </w:numPr>
              <w:ind w:left="373" w:hanging="248"/>
            </w:pPr>
            <w:r>
              <w:t>Elranatamab is superior in terms of efficacy compared with standard of care.</w:t>
            </w:r>
          </w:p>
          <w:p w14:paraId="4CF91CDD" w14:textId="77777777" w:rsidR="0021120A" w:rsidRPr="006E0FA2" w:rsidRDefault="0021120A" w:rsidP="009431C8">
            <w:pPr>
              <w:pStyle w:val="COMTabletext"/>
              <w:numPr>
                <w:ilvl w:val="0"/>
                <w:numId w:val="8"/>
              </w:numPr>
              <w:ind w:left="373" w:hanging="248"/>
            </w:pPr>
            <w:r>
              <w:t>Elranatamab has a non-inferior, albeit different safety profile compared with standard of care.</w:t>
            </w:r>
          </w:p>
        </w:tc>
      </w:tr>
    </w:tbl>
    <w:p w14:paraId="34590AF6" w14:textId="77777777" w:rsidR="000D12FB" w:rsidRDefault="0021120A" w:rsidP="0021120A">
      <w:pPr>
        <w:pStyle w:val="COMTablefooter"/>
      </w:pPr>
      <w:r w:rsidRPr="006E0FA2">
        <w:t xml:space="preserve">Source: </w:t>
      </w:r>
      <w:r>
        <w:t>Table 1.1, p9 of the resubmission.</w:t>
      </w:r>
    </w:p>
    <w:p w14:paraId="0CAF1C17" w14:textId="17F6F0CE" w:rsidR="0021120A" w:rsidRDefault="000D12FB" w:rsidP="0021120A">
      <w:pPr>
        <w:pStyle w:val="COMTablefooter"/>
      </w:pPr>
      <w:r>
        <w:t>Abbreviations: Cd, carfilzomib + dexamethasone; Pd, pomalidomide + dexamethasone; Sd, selinexor + dexamethasone.</w:t>
      </w:r>
    </w:p>
    <w:p w14:paraId="34D56012" w14:textId="77777777" w:rsidR="0021120A" w:rsidRDefault="0021120A" w:rsidP="0021120A">
      <w:pPr>
        <w:pStyle w:val="COMTablefooter"/>
      </w:pPr>
      <w:r>
        <w:t>Changes compared to the July 2024 submission underlined.</w:t>
      </w:r>
    </w:p>
    <w:p w14:paraId="6B4AB6C2" w14:textId="7F01D731" w:rsidR="005C25FF" w:rsidRPr="006E0FA2" w:rsidRDefault="005C25FF" w:rsidP="004A6040">
      <w:pPr>
        <w:pStyle w:val="COMH1-numbered"/>
      </w:pPr>
      <w:bookmarkStart w:id="2" w:name="_Toc188287168"/>
      <w:r w:rsidRPr="006E0FA2">
        <w:lastRenderedPageBreak/>
        <w:t>Background</w:t>
      </w:r>
      <w:bookmarkEnd w:id="2"/>
    </w:p>
    <w:p w14:paraId="2C521D6D" w14:textId="78CF03EE" w:rsidR="005C25FF" w:rsidRPr="006E0FA2" w:rsidRDefault="005C25FF" w:rsidP="003D5DE7">
      <w:pPr>
        <w:pStyle w:val="COMH2-non-numbered"/>
      </w:pPr>
      <w:bookmarkStart w:id="3" w:name="_Toc22897638"/>
      <w:bookmarkStart w:id="4" w:name="_Toc188287169"/>
      <w:r w:rsidRPr="006E0FA2">
        <w:t>Registration status</w:t>
      </w:r>
      <w:bookmarkEnd w:id="3"/>
      <w:bookmarkEnd w:id="4"/>
    </w:p>
    <w:p w14:paraId="593F6DDE" w14:textId="10BE52B8" w:rsidR="0021120A" w:rsidRDefault="0021120A" w:rsidP="008D080F">
      <w:pPr>
        <w:pStyle w:val="COMexecsummnumbered"/>
      </w:pPr>
      <w:r>
        <w:t>Elranatamab was granted provisional TGA registration on 26 June 2024 for the following indication:</w:t>
      </w:r>
    </w:p>
    <w:p w14:paraId="7166D515" w14:textId="26E4695D" w:rsidR="0021120A" w:rsidRDefault="0021120A" w:rsidP="008D080F">
      <w:pPr>
        <w:pStyle w:val="COMexecsummbulletlist"/>
        <w:spacing w:before="120"/>
        <w:ind w:hanging="357"/>
      </w:pPr>
      <w:r>
        <w:t>Treatment of adult patients with relapsed or refractory multiple myeloma who have received at least 3 prior therapies, including a proteasome inhibitor, an immunomodulatory agent, and an anti-CD38 monoclonal antibody and have demonstrated disease progression on the last therapy.</w:t>
      </w:r>
    </w:p>
    <w:p w14:paraId="0BFB442A" w14:textId="11097500" w:rsidR="0021120A" w:rsidRDefault="0021120A" w:rsidP="008D080F">
      <w:pPr>
        <w:pStyle w:val="COMexecsummbulletlist"/>
        <w:spacing w:before="120"/>
      </w:pPr>
      <w:r>
        <w:t xml:space="preserve">The decision to approve this indication has been made </w:t>
      </w:r>
      <w:proofErr w:type="gramStart"/>
      <w:r>
        <w:t>on the basis of</w:t>
      </w:r>
      <w:proofErr w:type="gramEnd"/>
      <w:r>
        <w:t xml:space="preserve"> the overall response rate in a single arm study. Continued approval of this indication depends on verification and description of benefit in confirmatory trials.</w:t>
      </w:r>
    </w:p>
    <w:p w14:paraId="084990A9" w14:textId="0F3A7445" w:rsidR="001636C7" w:rsidRDefault="001636C7" w:rsidP="008D080F">
      <w:pPr>
        <w:pStyle w:val="COMexecsummnumbered"/>
      </w:pPr>
      <w:bookmarkStart w:id="5" w:name="_Ref193112783"/>
      <w:r w:rsidRPr="0035502F">
        <w:t xml:space="preserve">An additional application was made to the TGA on 30 September 2024 requesting changes to the elranatamab product information. The changes include an update to the elranatamab dose frequency, with a recommendation for the dose frequency to be reduced </w:t>
      </w:r>
      <w:r w:rsidR="00F303A4" w:rsidRPr="0035502F">
        <w:t xml:space="preserve">from 76 mg every 2 weeks </w:t>
      </w:r>
      <w:r w:rsidRPr="0035502F">
        <w:t>to 76 mg every 4 weeks from Week 49 (after completion of at least 24 weeks of treatment with elranatamab every 2 weeks).</w:t>
      </w:r>
      <w:bookmarkEnd w:id="5"/>
    </w:p>
    <w:p w14:paraId="3E2A6EAB" w14:textId="469C8C0C" w:rsidR="005C25FF" w:rsidRPr="006E0FA2" w:rsidRDefault="005C25FF" w:rsidP="003D5DE7">
      <w:pPr>
        <w:pStyle w:val="COMH2-non-numbered"/>
      </w:pPr>
      <w:bookmarkStart w:id="6" w:name="_Toc22897639"/>
      <w:bookmarkStart w:id="7" w:name="_Toc188287170"/>
      <w:r w:rsidRPr="006E0FA2">
        <w:t>Previous PBAC consideration</w:t>
      </w:r>
      <w:bookmarkEnd w:id="6"/>
      <w:bookmarkEnd w:id="7"/>
    </w:p>
    <w:p w14:paraId="34992FFD" w14:textId="6220580C" w:rsidR="00DF70D5" w:rsidRDefault="0053088A" w:rsidP="008D080F">
      <w:pPr>
        <w:pStyle w:val="COMexecsummnumbered"/>
      </w:pPr>
      <w:r w:rsidRPr="0053088A">
        <w:t>The PBAC did not recommend the PBS listing of elranatamab for the treatment of</w:t>
      </w:r>
      <w:r w:rsidR="00C3650B">
        <w:t xml:space="preserve"> </w:t>
      </w:r>
      <w:r w:rsidR="003740C9">
        <w:t>RRMM</w:t>
      </w:r>
      <w:r w:rsidR="00C3650B">
        <w:t xml:space="preserve"> </w:t>
      </w:r>
      <w:r w:rsidR="00DF70D5" w:rsidRPr="00DF70D5">
        <w:t>at the July 2024 PBAC meeting</w:t>
      </w:r>
      <w:r>
        <w:t>.</w:t>
      </w:r>
      <w:r w:rsidR="00DF70D5" w:rsidRPr="00DF70D5">
        <w:t xml:space="preserve"> A summary of the key matters of concern are provided in </w:t>
      </w:r>
      <w:r>
        <w:fldChar w:fldCharType="begin" w:fldLock="1"/>
      </w:r>
      <w:r>
        <w:instrText xml:space="preserve"> REF _Ref187914226 \h </w:instrText>
      </w:r>
      <w:r>
        <w:fldChar w:fldCharType="separate"/>
      </w:r>
      <w:r w:rsidR="00347D89" w:rsidRPr="00DD6AF2">
        <w:t xml:space="preserve">Table </w:t>
      </w:r>
      <w:r w:rsidR="00347D89">
        <w:rPr>
          <w:noProof/>
        </w:rPr>
        <w:t>2</w:t>
      </w:r>
      <w:r>
        <w:fldChar w:fldCharType="end"/>
      </w:r>
      <w:r>
        <w:t>.</w:t>
      </w:r>
    </w:p>
    <w:p w14:paraId="2A23A49F" w14:textId="63DEF3AD" w:rsidR="005C25FF" w:rsidRPr="00DD6AF2" w:rsidRDefault="00696EF9" w:rsidP="00B50F7F">
      <w:pPr>
        <w:pStyle w:val="COMtablefigcaption"/>
      </w:pPr>
      <w:bookmarkStart w:id="8" w:name="_Ref187914226"/>
      <w:r w:rsidRPr="00DD6AF2">
        <w:t xml:space="preserve">Table </w:t>
      </w:r>
      <w:r w:rsidR="006B329A">
        <w:fldChar w:fldCharType="begin" w:fldLock="1"/>
      </w:r>
      <w:r w:rsidR="006B329A">
        <w:instrText xml:space="preserve"> SEQ Table \* ARABIC </w:instrText>
      </w:r>
      <w:r w:rsidR="006B329A">
        <w:fldChar w:fldCharType="separate"/>
      </w:r>
      <w:r w:rsidR="00347D89">
        <w:rPr>
          <w:noProof/>
        </w:rPr>
        <w:t>2</w:t>
      </w:r>
      <w:r w:rsidR="006B329A">
        <w:rPr>
          <w:noProof/>
        </w:rPr>
        <w:fldChar w:fldCharType="end"/>
      </w:r>
      <w:bookmarkEnd w:id="8"/>
      <w:r w:rsidRPr="00DD6AF2">
        <w:t>:</w:t>
      </w:r>
      <w:r w:rsidR="005C25FF" w:rsidRPr="00DD6AF2">
        <w:t xml:space="preserve"> 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2: Summary of key matters of concern"/>
      </w:tblPr>
      <w:tblGrid>
        <w:gridCol w:w="5241"/>
        <w:gridCol w:w="3776"/>
      </w:tblGrid>
      <w:tr w:rsidR="009138C2" w:rsidRPr="00455205" w14:paraId="6747F8E1" w14:textId="77777777" w:rsidTr="00083E0D">
        <w:trPr>
          <w:cantSplit/>
          <w:tblHeader/>
        </w:trPr>
        <w:tc>
          <w:tcPr>
            <w:tcW w:w="2906" w:type="pct"/>
            <w:vAlign w:val="center"/>
          </w:tcPr>
          <w:p w14:paraId="2B7F3F42" w14:textId="5A1A98E1" w:rsidR="009138C2" w:rsidRPr="00455205" w:rsidRDefault="009138C2" w:rsidP="009138C2">
            <w:pPr>
              <w:pStyle w:val="COMTableheadingrow"/>
              <w:keepNext w:val="0"/>
            </w:pPr>
            <w:r w:rsidRPr="00455205">
              <w:t>Matter of concern</w:t>
            </w:r>
          </w:p>
        </w:tc>
        <w:tc>
          <w:tcPr>
            <w:tcW w:w="2094" w:type="pct"/>
            <w:vAlign w:val="center"/>
          </w:tcPr>
          <w:p w14:paraId="4BAA81F2" w14:textId="77777777" w:rsidR="009138C2" w:rsidRPr="00455205" w:rsidRDefault="009138C2" w:rsidP="00F53A93">
            <w:pPr>
              <w:pStyle w:val="COMTableheadingrow"/>
              <w:keepNext w:val="0"/>
              <w:jc w:val="center"/>
            </w:pPr>
            <w:r w:rsidRPr="00455205">
              <w:t>How the resubmission addresses it</w:t>
            </w:r>
          </w:p>
        </w:tc>
      </w:tr>
      <w:tr w:rsidR="009138C2" w:rsidRPr="00455205" w14:paraId="770833D9" w14:textId="77777777" w:rsidTr="005F6146">
        <w:trPr>
          <w:cantSplit/>
        </w:trPr>
        <w:tc>
          <w:tcPr>
            <w:tcW w:w="5000" w:type="pct"/>
            <w:gridSpan w:val="2"/>
          </w:tcPr>
          <w:p w14:paraId="41085095" w14:textId="535F7560" w:rsidR="009138C2" w:rsidRPr="00455205" w:rsidRDefault="009138C2" w:rsidP="001F1B48">
            <w:pPr>
              <w:pStyle w:val="COMTabletext"/>
              <w:jc w:val="both"/>
              <w:rPr>
                <w:b/>
                <w:bCs w:val="0"/>
              </w:rPr>
            </w:pPr>
            <w:r w:rsidRPr="00455205">
              <w:rPr>
                <w:b/>
                <w:bCs w:val="0"/>
              </w:rPr>
              <w:t>Comparator</w:t>
            </w:r>
          </w:p>
        </w:tc>
      </w:tr>
      <w:tr w:rsidR="009D56CB" w:rsidRPr="00455205" w14:paraId="12E6A50B" w14:textId="77777777" w:rsidTr="00083E0D">
        <w:trPr>
          <w:cantSplit/>
          <w:trHeight w:val="2321"/>
        </w:trPr>
        <w:tc>
          <w:tcPr>
            <w:tcW w:w="2906" w:type="pct"/>
          </w:tcPr>
          <w:p w14:paraId="746D6BFB" w14:textId="4861AF12" w:rsidR="009D56CB" w:rsidRPr="00455205" w:rsidRDefault="00C20CC3" w:rsidP="00426D02">
            <w:pPr>
              <w:pStyle w:val="COMTabletext"/>
              <w:keepNext w:val="0"/>
              <w:spacing w:after="120"/>
            </w:pPr>
            <w:r w:rsidRPr="00455205">
              <w:t xml:space="preserve">The PBAC noted that the submission nominated </w:t>
            </w:r>
            <w:r w:rsidR="00C74AC4" w:rsidRPr="00455205">
              <w:t>SOC</w:t>
            </w:r>
            <w:r w:rsidRPr="00455205">
              <w:t xml:space="preserve">, represented by a basket of therapies as the comparator (Cd: 34%, Pd: 18%, </w:t>
            </w:r>
            <w:proofErr w:type="spellStart"/>
            <w:r w:rsidRPr="00455205">
              <w:t>ELd</w:t>
            </w:r>
            <w:proofErr w:type="spellEnd"/>
            <w:r w:rsidRPr="00455205">
              <w:t xml:space="preserve"> 18%, Cd + </w:t>
            </w:r>
            <w:proofErr w:type="spellStart"/>
            <w:r w:rsidRPr="00455205">
              <w:t>cyclo</w:t>
            </w:r>
            <w:proofErr w:type="spellEnd"/>
            <w:r w:rsidRPr="00455205">
              <w:t xml:space="preserve"> 11%, </w:t>
            </w:r>
            <w:proofErr w:type="spellStart"/>
            <w:r w:rsidRPr="00455205">
              <w:t>PBd</w:t>
            </w:r>
            <w:proofErr w:type="spellEnd"/>
            <w:r w:rsidRPr="00455205">
              <w:t xml:space="preserve"> 11% and </w:t>
            </w:r>
            <w:proofErr w:type="spellStart"/>
            <w:r w:rsidRPr="00455205">
              <w:t>Ld</w:t>
            </w:r>
            <w:proofErr w:type="spellEnd"/>
            <w:r w:rsidRPr="00455205">
              <w:t xml:space="preserve"> 8%). </w:t>
            </w:r>
            <w:r w:rsidR="009D56CB" w:rsidRPr="00455205">
              <w:t xml:space="preserve">The PBAC considered the nominated basket of therapies, and the individual weightings applied to each therapy, did not reflect contemporary clinical practice and was inconsistent with the comparators used in recently recommended </w:t>
            </w:r>
            <w:r w:rsidR="00C74AC4" w:rsidRPr="00455205">
              <w:t>RRMM</w:t>
            </w:r>
            <w:r w:rsidR="009D56CB" w:rsidRPr="00455205">
              <w:t xml:space="preserve"> submissions (paragraphs 7.8 and 7.10).</w:t>
            </w:r>
          </w:p>
          <w:p w14:paraId="27979425" w14:textId="2E295C97" w:rsidR="009D56CB" w:rsidRPr="00455205" w:rsidRDefault="009D56CB" w:rsidP="009138C2">
            <w:pPr>
              <w:pStyle w:val="COMTabletext"/>
            </w:pPr>
            <w:r w:rsidRPr="00455205">
              <w:t xml:space="preserve">The PBAC previously noted that the nominated standard of care did not reflect contemporary clinical practice, with </w:t>
            </w:r>
            <w:proofErr w:type="spellStart"/>
            <w:r w:rsidR="00D8304B" w:rsidRPr="00455205">
              <w:t>CLd</w:t>
            </w:r>
            <w:proofErr w:type="spellEnd"/>
            <w:r w:rsidRPr="00455205">
              <w:t xml:space="preserve"> and </w:t>
            </w:r>
            <w:proofErr w:type="spellStart"/>
            <w:r w:rsidR="00D8304B" w:rsidRPr="00455205">
              <w:t>SBd</w:t>
            </w:r>
            <w:proofErr w:type="spellEnd"/>
            <w:r w:rsidRPr="00455205">
              <w:t xml:space="preserve"> not captured, and the impact of </w:t>
            </w:r>
            <w:proofErr w:type="spellStart"/>
            <w:r w:rsidR="00D8304B" w:rsidRPr="00455205">
              <w:t>D</w:t>
            </w:r>
            <w:r w:rsidR="00A256BA" w:rsidRPr="00455205">
              <w:t>B</w:t>
            </w:r>
            <w:r w:rsidR="00D8304B" w:rsidRPr="00455205">
              <w:t>d</w:t>
            </w:r>
            <w:proofErr w:type="spellEnd"/>
            <w:r w:rsidRPr="00455205">
              <w:t xml:space="preserve"> as a second line only treatment not fully accounted for (paragraph 7.8).</w:t>
            </w:r>
          </w:p>
        </w:tc>
        <w:tc>
          <w:tcPr>
            <w:tcW w:w="2094" w:type="pct"/>
          </w:tcPr>
          <w:p w14:paraId="751E5E2B" w14:textId="77777777" w:rsidR="005965D9" w:rsidRPr="00455205" w:rsidRDefault="005965D9" w:rsidP="00A50D52">
            <w:pPr>
              <w:pStyle w:val="COMTabletext"/>
              <w:keepNext w:val="0"/>
            </w:pPr>
            <w:r w:rsidRPr="00455205">
              <w:t>Addressed.</w:t>
            </w:r>
          </w:p>
          <w:p w14:paraId="7D1B144C" w14:textId="28B54435" w:rsidR="009D56CB" w:rsidRPr="00455205" w:rsidRDefault="009D56CB" w:rsidP="00A50D52">
            <w:pPr>
              <w:pStyle w:val="COMTabletext"/>
              <w:keepNext w:val="0"/>
            </w:pPr>
            <w:r w:rsidRPr="00455205">
              <w:t xml:space="preserve">The resubmission nominated </w:t>
            </w:r>
            <w:r w:rsidR="00C74AC4" w:rsidRPr="00455205">
              <w:t>SOC</w:t>
            </w:r>
            <w:r w:rsidR="00B36CFC" w:rsidRPr="00455205">
              <w:t xml:space="preserve">, represented by </w:t>
            </w:r>
            <w:r w:rsidR="00D8304B" w:rsidRPr="00455205">
              <w:t>Cd</w:t>
            </w:r>
            <w:r w:rsidR="00B36CFC" w:rsidRPr="00455205">
              <w:t xml:space="preserve"> (51.0%), </w:t>
            </w:r>
            <w:r w:rsidR="00D8304B" w:rsidRPr="00455205">
              <w:t>Pd</w:t>
            </w:r>
            <w:r w:rsidR="00B36CFC" w:rsidRPr="00455205">
              <w:t xml:space="preserve"> (46.5%) and </w:t>
            </w:r>
            <w:r w:rsidR="00D8304B" w:rsidRPr="00455205">
              <w:t>Sd</w:t>
            </w:r>
            <w:r w:rsidR="00B36CFC" w:rsidRPr="00455205">
              <w:t xml:space="preserve"> (2.5%), as the main comparator.</w:t>
            </w:r>
          </w:p>
        </w:tc>
      </w:tr>
      <w:tr w:rsidR="00E87F5A" w:rsidRPr="00455205" w14:paraId="69D7AB9D" w14:textId="77777777" w:rsidTr="005F6146">
        <w:trPr>
          <w:cantSplit/>
          <w:trHeight w:val="53"/>
        </w:trPr>
        <w:tc>
          <w:tcPr>
            <w:tcW w:w="5000" w:type="pct"/>
            <w:gridSpan w:val="2"/>
          </w:tcPr>
          <w:p w14:paraId="482C62D0" w14:textId="09C148D7" w:rsidR="00E87F5A" w:rsidRPr="00455205" w:rsidRDefault="00E87F5A" w:rsidP="00DB33DA">
            <w:pPr>
              <w:pStyle w:val="COMTabletext"/>
              <w:jc w:val="both"/>
              <w:rPr>
                <w:b/>
                <w:bCs w:val="0"/>
              </w:rPr>
            </w:pPr>
            <w:r w:rsidRPr="00455205">
              <w:rPr>
                <w:b/>
                <w:bCs w:val="0"/>
              </w:rPr>
              <w:t>Proposed restriction</w:t>
            </w:r>
          </w:p>
        </w:tc>
      </w:tr>
      <w:tr w:rsidR="009138C2" w:rsidRPr="00455205" w14:paraId="4B28C51C" w14:textId="77777777" w:rsidTr="00083E0D">
        <w:trPr>
          <w:cantSplit/>
        </w:trPr>
        <w:tc>
          <w:tcPr>
            <w:tcW w:w="2906" w:type="pct"/>
          </w:tcPr>
          <w:p w14:paraId="2B67E1AA" w14:textId="1CA3ED5B" w:rsidR="009138C2" w:rsidRPr="00455205" w:rsidRDefault="00E87F5A" w:rsidP="009138C2">
            <w:pPr>
              <w:pStyle w:val="COMTabletext"/>
              <w:keepNext w:val="0"/>
            </w:pPr>
            <w:r w:rsidRPr="00455205">
              <w:t>The PBAC considered that the data presented likely supported a listing in a later line than that proposed in the submission (paragraph 7.1).</w:t>
            </w:r>
            <w:r w:rsidR="009F135A" w:rsidRPr="00455205">
              <w:t xml:space="preserve"> </w:t>
            </w:r>
          </w:p>
        </w:tc>
        <w:tc>
          <w:tcPr>
            <w:tcW w:w="2094" w:type="pct"/>
          </w:tcPr>
          <w:p w14:paraId="324FA092" w14:textId="77777777" w:rsidR="00297B33" w:rsidRPr="00455205" w:rsidRDefault="00297B33" w:rsidP="00A50D52">
            <w:pPr>
              <w:pStyle w:val="COMTabletext"/>
              <w:keepNext w:val="0"/>
            </w:pPr>
            <w:r w:rsidRPr="00455205">
              <w:t>Addressed.</w:t>
            </w:r>
          </w:p>
          <w:p w14:paraId="4B4903EF" w14:textId="4D7F93A3" w:rsidR="009138C2" w:rsidRPr="00455205" w:rsidRDefault="00B36CFC" w:rsidP="00A50D52">
            <w:pPr>
              <w:pStyle w:val="COMTabletext"/>
              <w:keepNext w:val="0"/>
            </w:pPr>
            <w:r w:rsidRPr="00455205">
              <w:t>The proposed listing was updated to reflect patients who have received at least 3 prior lines of therapy that include a proteasome inhibitor, immunomodulatory drug and an anti-CD38 antibody (previously 3 prior therapies that include a proteasome inhibitor, immunomodulatory drug and an anti-CD38 antibody).</w:t>
            </w:r>
          </w:p>
        </w:tc>
      </w:tr>
      <w:tr w:rsidR="009138C2" w:rsidRPr="00455205" w14:paraId="1C8286FA" w14:textId="77777777" w:rsidTr="00083E0D">
        <w:trPr>
          <w:cantSplit/>
        </w:trPr>
        <w:tc>
          <w:tcPr>
            <w:tcW w:w="2906" w:type="pct"/>
          </w:tcPr>
          <w:p w14:paraId="541A3D52" w14:textId="734EA168" w:rsidR="009138C2" w:rsidRPr="00455205" w:rsidRDefault="00E87F5A" w:rsidP="009138C2">
            <w:pPr>
              <w:pStyle w:val="COMTabletext"/>
              <w:keepNext w:val="0"/>
            </w:pPr>
            <w:r w:rsidRPr="00455205">
              <w:lastRenderedPageBreak/>
              <w:t>The PBAC considered the role of elranatamab and the CAR T-cell therapy</w:t>
            </w:r>
            <w:r w:rsidR="00C74AC4" w:rsidRPr="00455205">
              <w:t>,</w:t>
            </w:r>
            <w:r w:rsidRPr="00455205">
              <w:t xml:space="preserve"> ciltacabtagene autoleucel, both BCMA-directed therapies, in the treatment algorithm for </w:t>
            </w:r>
            <w:r w:rsidR="003740C9" w:rsidRPr="00455205">
              <w:t>RRMM</w:t>
            </w:r>
            <w:r w:rsidRPr="00455205">
              <w:t xml:space="preserve"> was unclear (paragraph 7.7).</w:t>
            </w:r>
            <w:r w:rsidR="009F135A" w:rsidRPr="00455205">
              <w:t xml:space="preserve"> The PBAC previously advised that a criterion should be added to the initial supply restriction preventing use in patients who have received a prior BCMA-directed therapy (paragraph 3.8).</w:t>
            </w:r>
          </w:p>
        </w:tc>
        <w:tc>
          <w:tcPr>
            <w:tcW w:w="2094" w:type="pct"/>
          </w:tcPr>
          <w:p w14:paraId="67F08458" w14:textId="792B3BCB" w:rsidR="00297B33" w:rsidRPr="00455205" w:rsidRDefault="00297B33" w:rsidP="00A50D52">
            <w:pPr>
              <w:pStyle w:val="COMTabletext"/>
              <w:keepNext w:val="0"/>
            </w:pPr>
            <w:r w:rsidRPr="00455205">
              <w:t>Not addressed in the resubmission but addressed in the</w:t>
            </w:r>
            <w:r w:rsidR="00BC142B">
              <w:t xml:space="preserve"> Pre-Sub-Committee Response</w:t>
            </w:r>
            <w:r w:rsidRPr="00455205">
              <w:t xml:space="preserve"> </w:t>
            </w:r>
            <w:r w:rsidR="00BC142B">
              <w:t>(</w:t>
            </w:r>
            <w:r w:rsidRPr="00455205">
              <w:t>PSCR</w:t>
            </w:r>
            <w:r w:rsidR="00BC142B">
              <w:t>)</w:t>
            </w:r>
            <w:r w:rsidRPr="00455205">
              <w:t>.</w:t>
            </w:r>
          </w:p>
          <w:p w14:paraId="0DAF6356" w14:textId="14D283F6" w:rsidR="009138C2" w:rsidRPr="00455205" w:rsidRDefault="009F135A" w:rsidP="00A50D52">
            <w:pPr>
              <w:pStyle w:val="COMTabletext"/>
              <w:keepNext w:val="0"/>
            </w:pPr>
            <w:r w:rsidRPr="00455205">
              <w:t xml:space="preserve">The proposed restriction </w:t>
            </w:r>
            <w:r w:rsidR="00297B33" w:rsidRPr="00455205">
              <w:t xml:space="preserve">did </w:t>
            </w:r>
            <w:r w:rsidRPr="00455205">
              <w:t xml:space="preserve">not preclude use of elranatamab among patients who have received prior BCMA-directed therapy. </w:t>
            </w:r>
            <w:r w:rsidR="003F597C" w:rsidRPr="00455205">
              <w:t xml:space="preserve">The PSCR stated that </w:t>
            </w:r>
            <w:r w:rsidR="005E7071" w:rsidRPr="00455205">
              <w:t>if CAR T-cell therapy is available at the time of listing</w:t>
            </w:r>
            <w:r w:rsidR="004901F9" w:rsidRPr="00455205">
              <w:t xml:space="preserve"> the sponsor would be willing to </w:t>
            </w:r>
            <w:r w:rsidR="001C3EF3" w:rsidRPr="00455205">
              <w:t>add a criteria restricting treatment among patients who have received prior BCMA-directed therapy.</w:t>
            </w:r>
          </w:p>
        </w:tc>
      </w:tr>
      <w:tr w:rsidR="00E87F5A" w:rsidRPr="00455205" w14:paraId="635A410D" w14:textId="77777777" w:rsidTr="005F6146">
        <w:trPr>
          <w:cantSplit/>
        </w:trPr>
        <w:tc>
          <w:tcPr>
            <w:tcW w:w="5000" w:type="pct"/>
            <w:gridSpan w:val="2"/>
          </w:tcPr>
          <w:p w14:paraId="5BA4FBBC" w14:textId="278BE30D" w:rsidR="00E87F5A" w:rsidRPr="00455205" w:rsidRDefault="00E87F5A" w:rsidP="00762B7A">
            <w:pPr>
              <w:pStyle w:val="COMTabletext"/>
              <w:jc w:val="both"/>
              <w:rPr>
                <w:b/>
                <w:bCs w:val="0"/>
              </w:rPr>
            </w:pPr>
            <w:r w:rsidRPr="00455205">
              <w:rPr>
                <w:b/>
                <w:bCs w:val="0"/>
              </w:rPr>
              <w:t>Clinical evidence</w:t>
            </w:r>
          </w:p>
        </w:tc>
      </w:tr>
      <w:tr w:rsidR="009138C2" w:rsidRPr="00455205" w14:paraId="458B85B0" w14:textId="77777777" w:rsidTr="00083E0D">
        <w:trPr>
          <w:cantSplit/>
        </w:trPr>
        <w:tc>
          <w:tcPr>
            <w:tcW w:w="2906" w:type="pct"/>
          </w:tcPr>
          <w:p w14:paraId="22C1B5A0" w14:textId="777BB3FD" w:rsidR="009138C2" w:rsidRPr="00455205" w:rsidRDefault="00E87F5A" w:rsidP="009138C2">
            <w:pPr>
              <w:pStyle w:val="COMTabletext"/>
              <w:keepNext w:val="0"/>
            </w:pPr>
            <w:r w:rsidRPr="00455205">
              <w:t>The PBAC noted that the treatments received by patients in the comparator arm (based on data from the COTA and Flatiron US databases) did not fully reflect the nominated standard of care. The PBAC considered that comparing the outcomes from MagnetisMM-3 with other clinicals trials may reduce the transitivity issues (paragraph 7.12).</w:t>
            </w:r>
          </w:p>
        </w:tc>
        <w:tc>
          <w:tcPr>
            <w:tcW w:w="2094" w:type="pct"/>
          </w:tcPr>
          <w:p w14:paraId="02311F42" w14:textId="77777777" w:rsidR="00297B33" w:rsidRPr="00455205" w:rsidRDefault="00297B33" w:rsidP="00A50D52">
            <w:pPr>
              <w:pStyle w:val="COMTabletext"/>
              <w:keepNext w:val="0"/>
            </w:pPr>
            <w:r w:rsidRPr="00455205">
              <w:t>Addressed.</w:t>
            </w:r>
          </w:p>
          <w:p w14:paraId="7C618DD8" w14:textId="7AC4D96C" w:rsidR="009138C2" w:rsidRPr="00455205" w:rsidRDefault="00A50D52" w:rsidP="00A50D52">
            <w:pPr>
              <w:pStyle w:val="COMTabletext"/>
              <w:keepNext w:val="0"/>
            </w:pPr>
            <w:r w:rsidRPr="00455205">
              <w:t xml:space="preserve">The resubmission presented </w:t>
            </w:r>
            <w:r w:rsidR="00D83719" w:rsidRPr="00455205">
              <w:t xml:space="preserve">unanchored </w:t>
            </w:r>
            <w:r w:rsidR="00C74AC4" w:rsidRPr="00455205">
              <w:t>ITCs</w:t>
            </w:r>
            <w:r w:rsidRPr="00455205">
              <w:t xml:space="preserve"> of elranatamab versus the nominated </w:t>
            </w:r>
            <w:r w:rsidR="00D83719" w:rsidRPr="00455205">
              <w:t>SOC</w:t>
            </w:r>
            <w:r w:rsidRPr="00455205">
              <w:t xml:space="preserve"> components </w:t>
            </w:r>
            <w:r w:rsidR="005221AC" w:rsidRPr="00455205">
              <w:t>using evidence from published clinical studies.</w:t>
            </w:r>
          </w:p>
        </w:tc>
      </w:tr>
      <w:tr w:rsidR="009138C2" w:rsidRPr="00455205" w14:paraId="49B51F76" w14:textId="77777777" w:rsidTr="00083E0D">
        <w:trPr>
          <w:cantSplit/>
        </w:trPr>
        <w:tc>
          <w:tcPr>
            <w:tcW w:w="2906" w:type="pct"/>
          </w:tcPr>
          <w:p w14:paraId="7592850A" w14:textId="3A11889D" w:rsidR="009138C2" w:rsidRPr="00455205" w:rsidRDefault="001F1B48" w:rsidP="001F1B48">
            <w:pPr>
              <w:pStyle w:val="COMTabletext"/>
              <w:keepNext w:val="0"/>
              <w:tabs>
                <w:tab w:val="left" w:pos="1848"/>
              </w:tabs>
            </w:pPr>
            <w:r w:rsidRPr="00455205">
              <w:t>The PBAC considered that the data presented had limited applicability to the proposed third-line treatment setting (paragraph 7.14).</w:t>
            </w:r>
          </w:p>
        </w:tc>
        <w:tc>
          <w:tcPr>
            <w:tcW w:w="2094" w:type="pct"/>
            <w:vAlign w:val="center"/>
          </w:tcPr>
          <w:p w14:paraId="196A80AC" w14:textId="77777777" w:rsidR="00297B33" w:rsidRPr="00455205" w:rsidRDefault="00297B33" w:rsidP="00F53A93">
            <w:pPr>
              <w:pStyle w:val="COMTabletext"/>
              <w:keepNext w:val="0"/>
            </w:pPr>
            <w:r w:rsidRPr="00455205">
              <w:t>Addressed.</w:t>
            </w:r>
          </w:p>
          <w:p w14:paraId="1106B75D" w14:textId="50DA9651" w:rsidR="009138C2" w:rsidRPr="00455205" w:rsidRDefault="005221AC" w:rsidP="00F53A93">
            <w:pPr>
              <w:pStyle w:val="COMTabletext"/>
              <w:keepNext w:val="0"/>
            </w:pPr>
            <w:r w:rsidRPr="00455205">
              <w:t xml:space="preserve">The resubmission positioned elranatamab as a fourth or subsequent line therapy. </w:t>
            </w:r>
          </w:p>
        </w:tc>
      </w:tr>
      <w:tr w:rsidR="009138C2" w:rsidRPr="00455205" w14:paraId="37305B89" w14:textId="77777777" w:rsidTr="00083E0D">
        <w:trPr>
          <w:cantSplit/>
        </w:trPr>
        <w:tc>
          <w:tcPr>
            <w:tcW w:w="2906" w:type="pct"/>
          </w:tcPr>
          <w:p w14:paraId="10592E28" w14:textId="3169D13C" w:rsidR="009138C2" w:rsidRPr="00455205" w:rsidRDefault="001F1B48" w:rsidP="009138C2">
            <w:pPr>
              <w:pStyle w:val="COMTabletext"/>
              <w:keepNext w:val="0"/>
            </w:pPr>
            <w:r w:rsidRPr="00455205">
              <w:t xml:space="preserve">The PBAC noted the high rates of </w:t>
            </w:r>
            <w:r w:rsidR="00D83719" w:rsidRPr="00455205">
              <w:t>CRS</w:t>
            </w:r>
            <w:r w:rsidRPr="00455205">
              <w:t xml:space="preserve"> and ICANS associated with elranatamab treatment. The PBAC also noted the high rates of anaemia, thrombocytopaenia and lymphopenia compared to </w:t>
            </w:r>
            <w:r w:rsidR="00D83719" w:rsidRPr="00455205">
              <w:t>SOC</w:t>
            </w:r>
            <w:r w:rsidRPr="00455205">
              <w:t xml:space="preserve">. Overall, the PBAC considered that elranatamab was inferior in terms of safety compared to </w:t>
            </w:r>
            <w:r w:rsidR="00D83719" w:rsidRPr="00455205">
              <w:t>SOC</w:t>
            </w:r>
            <w:r w:rsidRPr="00455205">
              <w:t xml:space="preserve"> (paragraph 7.15).</w:t>
            </w:r>
          </w:p>
        </w:tc>
        <w:tc>
          <w:tcPr>
            <w:tcW w:w="2094" w:type="pct"/>
            <w:vAlign w:val="center"/>
          </w:tcPr>
          <w:p w14:paraId="5E6715E0" w14:textId="40F7D52A" w:rsidR="00641EC8" w:rsidRPr="00455205" w:rsidRDefault="00D83719" w:rsidP="00F53A93">
            <w:pPr>
              <w:pStyle w:val="COMTabletext"/>
              <w:keepNext w:val="0"/>
            </w:pPr>
            <w:r w:rsidRPr="00455205">
              <w:t>Not</w:t>
            </w:r>
            <w:r w:rsidR="00641EC8" w:rsidRPr="00455205">
              <w:t xml:space="preserve"> addressed.</w:t>
            </w:r>
          </w:p>
          <w:p w14:paraId="484C6E4D" w14:textId="0A7491FC" w:rsidR="009138C2" w:rsidRPr="00455205" w:rsidRDefault="006061CB" w:rsidP="00F53A93">
            <w:pPr>
              <w:pStyle w:val="COMTabletext"/>
              <w:keepNext w:val="0"/>
            </w:pPr>
            <w:r w:rsidRPr="00455205">
              <w:t xml:space="preserve">The clinical claim of non-inferior but different safety for elranatamab versus </w:t>
            </w:r>
            <w:r w:rsidR="00D83719" w:rsidRPr="00455205">
              <w:t>SOC</w:t>
            </w:r>
            <w:r w:rsidRPr="00455205">
              <w:t xml:space="preserve"> was unchanged from the July 2024 submission. However, </w:t>
            </w:r>
            <w:r w:rsidR="00D83719" w:rsidRPr="00455205">
              <w:t>SOC</w:t>
            </w:r>
            <w:r w:rsidRPr="00455205">
              <w:t xml:space="preserve"> in the resubmission was informed by a different mix of therapies (</w:t>
            </w:r>
            <w:r w:rsidR="00D8304B" w:rsidRPr="00455205">
              <w:t>Cd</w:t>
            </w:r>
            <w:r w:rsidRPr="00455205">
              <w:t xml:space="preserve">, </w:t>
            </w:r>
            <w:r w:rsidR="00D8304B" w:rsidRPr="00455205">
              <w:t>Pd</w:t>
            </w:r>
            <w:r w:rsidRPr="00455205">
              <w:t xml:space="preserve"> and </w:t>
            </w:r>
            <w:r w:rsidR="00D8304B" w:rsidRPr="00455205">
              <w:t>Sd</w:t>
            </w:r>
            <w:r w:rsidRPr="00455205">
              <w:t>).</w:t>
            </w:r>
          </w:p>
        </w:tc>
      </w:tr>
      <w:tr w:rsidR="001F1B48" w:rsidRPr="00455205" w14:paraId="53A3DD6A" w14:textId="77777777" w:rsidTr="00DB33DA">
        <w:trPr>
          <w:cantSplit/>
        </w:trPr>
        <w:tc>
          <w:tcPr>
            <w:tcW w:w="5000" w:type="pct"/>
            <w:gridSpan w:val="2"/>
            <w:shd w:val="clear" w:color="auto" w:fill="auto"/>
          </w:tcPr>
          <w:p w14:paraId="5D63AAFF" w14:textId="46FCA78A" w:rsidR="001F1B48" w:rsidRPr="00455205" w:rsidRDefault="001F1B48" w:rsidP="00DB33DA">
            <w:pPr>
              <w:pStyle w:val="COMTabletext"/>
              <w:jc w:val="both"/>
              <w:rPr>
                <w:b/>
                <w:bCs w:val="0"/>
              </w:rPr>
            </w:pPr>
            <w:r w:rsidRPr="00455205">
              <w:rPr>
                <w:b/>
                <w:bCs w:val="0"/>
              </w:rPr>
              <w:t>Economic analysis</w:t>
            </w:r>
          </w:p>
        </w:tc>
      </w:tr>
      <w:tr w:rsidR="009138C2" w:rsidRPr="00455205" w14:paraId="6DD5904A" w14:textId="77777777" w:rsidTr="00083E0D">
        <w:trPr>
          <w:cantSplit/>
        </w:trPr>
        <w:tc>
          <w:tcPr>
            <w:tcW w:w="2906" w:type="pct"/>
            <w:shd w:val="clear" w:color="auto" w:fill="auto"/>
          </w:tcPr>
          <w:p w14:paraId="08E36597" w14:textId="38C04AC2" w:rsidR="009138C2" w:rsidRPr="00455205" w:rsidRDefault="001F1B48" w:rsidP="00DB33DA">
            <w:pPr>
              <w:pStyle w:val="COMTabletext"/>
            </w:pPr>
            <w:r w:rsidRPr="00455205">
              <w:t>The PBAC considered that the economic analysis presented in the submission was highly uncertain due to the treatment effect in the model, which was informed by the IPTW analysis of MagnetisMM-3 and COTA, being highly uncertain given the substantive transitivity issues across the studies, and the limited applicability to the proposed third line setting (paragraph 7.16).</w:t>
            </w:r>
          </w:p>
        </w:tc>
        <w:tc>
          <w:tcPr>
            <w:tcW w:w="2094" w:type="pct"/>
            <w:shd w:val="clear" w:color="auto" w:fill="auto"/>
          </w:tcPr>
          <w:p w14:paraId="4EF672B8" w14:textId="77777777" w:rsidR="005042FE" w:rsidRPr="00455205" w:rsidRDefault="005042FE" w:rsidP="00DB33DA">
            <w:pPr>
              <w:pStyle w:val="COMTabletext"/>
            </w:pPr>
            <w:r w:rsidRPr="00455205">
              <w:t>Partially addressed.</w:t>
            </w:r>
          </w:p>
          <w:p w14:paraId="16BD0E2D" w14:textId="62649FDC" w:rsidR="009138C2" w:rsidRPr="00455205" w:rsidRDefault="00DF6D26" w:rsidP="00DB33DA">
            <w:pPr>
              <w:pStyle w:val="COMTabletext"/>
            </w:pPr>
            <w:r w:rsidRPr="00455205">
              <w:t xml:space="preserve">Treatment effects included in the model were based on the </w:t>
            </w:r>
            <w:r w:rsidR="00D83719" w:rsidRPr="00455205">
              <w:t>ITCs</w:t>
            </w:r>
            <w:r w:rsidRPr="00455205">
              <w:t xml:space="preserve"> versus the nominated </w:t>
            </w:r>
            <w:r w:rsidR="00D83719" w:rsidRPr="00455205">
              <w:t>SOC</w:t>
            </w:r>
            <w:r w:rsidRPr="00455205">
              <w:t xml:space="preserve"> (</w:t>
            </w:r>
            <w:r w:rsidR="00D8304B" w:rsidRPr="00455205">
              <w:t>Cd</w:t>
            </w:r>
            <w:r w:rsidRPr="00455205">
              <w:t xml:space="preserve">, </w:t>
            </w:r>
            <w:r w:rsidR="00D8304B" w:rsidRPr="00455205">
              <w:t>Pd</w:t>
            </w:r>
            <w:r w:rsidRPr="00455205">
              <w:t xml:space="preserve"> and </w:t>
            </w:r>
            <w:r w:rsidR="00D8304B" w:rsidRPr="00455205">
              <w:t>Sd</w:t>
            </w:r>
            <w:r w:rsidRPr="00455205">
              <w:t>).</w:t>
            </w:r>
            <w:r w:rsidR="005042FE" w:rsidRPr="00455205">
              <w:t xml:space="preserve"> The </w:t>
            </w:r>
            <w:r w:rsidR="00D83719" w:rsidRPr="00455205">
              <w:t xml:space="preserve">results of the </w:t>
            </w:r>
            <w:r w:rsidR="005042FE" w:rsidRPr="00455205">
              <w:t xml:space="preserve">unanchored </w:t>
            </w:r>
            <w:r w:rsidR="00D83719" w:rsidRPr="00455205">
              <w:t>ITCs</w:t>
            </w:r>
            <w:r w:rsidR="005042FE" w:rsidRPr="00455205">
              <w:t xml:space="preserve"> and unanchored MAICs </w:t>
            </w:r>
            <w:r w:rsidR="00DA4692" w:rsidRPr="00455205">
              <w:t>were uncertain.</w:t>
            </w:r>
          </w:p>
        </w:tc>
      </w:tr>
      <w:tr w:rsidR="009138C2" w:rsidRPr="00455205" w14:paraId="38A37FFA" w14:textId="77777777" w:rsidTr="00083E0D">
        <w:trPr>
          <w:cantSplit/>
        </w:trPr>
        <w:tc>
          <w:tcPr>
            <w:tcW w:w="2906" w:type="pct"/>
            <w:shd w:val="clear" w:color="auto" w:fill="auto"/>
          </w:tcPr>
          <w:p w14:paraId="19110182" w14:textId="6E90243E" w:rsidR="009138C2" w:rsidRPr="00455205" w:rsidRDefault="001F1B48" w:rsidP="00DB33DA">
            <w:pPr>
              <w:pStyle w:val="COMTabletext"/>
            </w:pPr>
            <w:r w:rsidRPr="00455205">
              <w:t>The PBAC noted the comparator arm was costed based on an assumed basket of therapies and weightings which may not reflect the pattern of replacement/displacement with elranatamab, and there was likely limited overlap of the basket of therapies with the treatments used in COTA (paragraph 7.16).</w:t>
            </w:r>
          </w:p>
        </w:tc>
        <w:tc>
          <w:tcPr>
            <w:tcW w:w="2094" w:type="pct"/>
            <w:shd w:val="clear" w:color="auto" w:fill="auto"/>
          </w:tcPr>
          <w:p w14:paraId="059E2B8F" w14:textId="7B0452DB" w:rsidR="00DA4692" w:rsidRPr="00455205" w:rsidRDefault="00DA4692" w:rsidP="00DB33DA">
            <w:pPr>
              <w:pStyle w:val="COMTabletext"/>
            </w:pPr>
            <w:r w:rsidRPr="00455205">
              <w:t>Addressed.</w:t>
            </w:r>
          </w:p>
          <w:p w14:paraId="3C73918C" w14:textId="4955A984" w:rsidR="009138C2" w:rsidRPr="00455205" w:rsidRDefault="00DF6D26" w:rsidP="00DB33DA">
            <w:pPr>
              <w:pStyle w:val="COMTabletext"/>
            </w:pPr>
            <w:r w:rsidRPr="00455205">
              <w:t xml:space="preserve">The distribution of use for the </w:t>
            </w:r>
            <w:r w:rsidR="00D83719" w:rsidRPr="00455205">
              <w:t xml:space="preserve">SOC </w:t>
            </w:r>
            <w:r w:rsidRPr="00455205">
              <w:t xml:space="preserve">therapies </w:t>
            </w:r>
            <w:r w:rsidR="00CB11AB" w:rsidRPr="00455205">
              <w:t>was</w:t>
            </w:r>
            <w:r w:rsidRPr="00455205">
              <w:t xml:space="preserve"> derived from an analysis of PBS data provided by the DUSC Secretariat (100% PBS sample).</w:t>
            </w:r>
          </w:p>
        </w:tc>
      </w:tr>
      <w:tr w:rsidR="009138C2" w:rsidRPr="00455205" w14:paraId="56014CA7" w14:textId="77777777" w:rsidTr="00083E0D">
        <w:trPr>
          <w:cantSplit/>
        </w:trPr>
        <w:tc>
          <w:tcPr>
            <w:tcW w:w="2906" w:type="pct"/>
          </w:tcPr>
          <w:p w14:paraId="2D606795" w14:textId="02FCB264" w:rsidR="009138C2" w:rsidRPr="00455205" w:rsidRDefault="001F1B48" w:rsidP="009138C2">
            <w:pPr>
              <w:pStyle w:val="COMTabletext"/>
              <w:keepNext w:val="0"/>
            </w:pPr>
            <w:r w:rsidRPr="00455205">
              <w:t xml:space="preserve">The PBAC noted that the base case </w:t>
            </w:r>
            <w:r w:rsidR="00D83719" w:rsidRPr="00455205">
              <w:t>ICER</w:t>
            </w:r>
            <w:r w:rsidRPr="00455205">
              <w:t xml:space="preserve"> presented in the submission was high and highly sensitive to a number of inputs including the treatment effect, the extrapolations of the treatment effect over time and the assumption that all patients would transition to dosing elranatamab every 2 weeks even though only two-thirds of patients transitioned to the less frequent dosing in MagnetisMM-3 (paragraph 7.16).</w:t>
            </w:r>
          </w:p>
        </w:tc>
        <w:tc>
          <w:tcPr>
            <w:tcW w:w="2094" w:type="pct"/>
          </w:tcPr>
          <w:p w14:paraId="268E55D2" w14:textId="6F7D3ECA" w:rsidR="00DA4692" w:rsidRPr="00455205" w:rsidRDefault="00F909A1" w:rsidP="00DF6D26">
            <w:pPr>
              <w:pStyle w:val="COMTabletext"/>
              <w:keepNext w:val="0"/>
            </w:pPr>
            <w:r w:rsidRPr="00455205">
              <w:t>Partially addressed.</w:t>
            </w:r>
          </w:p>
          <w:p w14:paraId="5C7B2FED" w14:textId="59765506" w:rsidR="009138C2" w:rsidRPr="00455205" w:rsidRDefault="00DF6D26" w:rsidP="00DF6D26">
            <w:pPr>
              <w:pStyle w:val="COMTabletext"/>
              <w:keepNext w:val="0"/>
            </w:pPr>
            <w:r w:rsidRPr="00455205">
              <w:t>The resubmission assumed that all patients would receive elranatamab according to the updated treatment regimen, with weekly dosing from Week 2 to 24, every 2 weeks dosing from Week 25 to Week 48, and every 4 weeks dosing from Week 49 onwards.</w:t>
            </w:r>
            <w:r w:rsidR="00735963" w:rsidRPr="00455205">
              <w:t xml:space="preserve"> The ESC noted the TGA application requesting the dose amendment was under</w:t>
            </w:r>
            <w:r w:rsidR="007808F2" w:rsidRPr="00455205">
              <w:t xml:space="preserve"> evaluation</w:t>
            </w:r>
            <w:r w:rsidR="00735963" w:rsidRPr="00455205">
              <w:t xml:space="preserve">. </w:t>
            </w:r>
          </w:p>
          <w:p w14:paraId="66729D16" w14:textId="4219072D" w:rsidR="00F909A1" w:rsidRPr="00455205" w:rsidRDefault="00F909A1" w:rsidP="00DF6D26">
            <w:pPr>
              <w:pStyle w:val="COMTabletext"/>
              <w:keepNext w:val="0"/>
            </w:pPr>
            <w:r w:rsidRPr="00455205">
              <w:t xml:space="preserve">The base case </w:t>
            </w:r>
            <w:r w:rsidR="00665DEF" w:rsidRPr="00455205">
              <w:t>ICER remained high</w:t>
            </w:r>
            <w:r w:rsidR="000C2C04" w:rsidRPr="00455205">
              <w:t xml:space="preserve"> and was </w:t>
            </w:r>
            <w:r w:rsidR="00B14F2A" w:rsidRPr="00455205">
              <w:t>high</w:t>
            </w:r>
            <w:r w:rsidR="00C74AC4" w:rsidRPr="00455205">
              <w:t xml:space="preserve">ly </w:t>
            </w:r>
            <w:r w:rsidR="000C2C04" w:rsidRPr="00455205">
              <w:t xml:space="preserve">sensitive to inputs including the </w:t>
            </w:r>
            <w:r w:rsidR="00527C96" w:rsidRPr="00455205">
              <w:t xml:space="preserve">time horizon, treatment effect and </w:t>
            </w:r>
            <w:r w:rsidR="005F1723" w:rsidRPr="00455205">
              <w:t>distribution of standard of care.</w:t>
            </w:r>
          </w:p>
        </w:tc>
      </w:tr>
      <w:tr w:rsidR="001F1B48" w:rsidRPr="00455205" w14:paraId="4881A7F0" w14:textId="77777777" w:rsidTr="005F6146">
        <w:trPr>
          <w:cantSplit/>
        </w:trPr>
        <w:tc>
          <w:tcPr>
            <w:tcW w:w="5000" w:type="pct"/>
            <w:gridSpan w:val="2"/>
          </w:tcPr>
          <w:p w14:paraId="3B8DC314" w14:textId="275A2CFA" w:rsidR="001F1B48" w:rsidRPr="00455205" w:rsidRDefault="001F1B48" w:rsidP="00D775B5">
            <w:pPr>
              <w:pStyle w:val="COMTabletext"/>
              <w:rPr>
                <w:b/>
                <w:bCs w:val="0"/>
              </w:rPr>
            </w:pPr>
            <w:r w:rsidRPr="00455205">
              <w:rPr>
                <w:b/>
                <w:bCs w:val="0"/>
              </w:rPr>
              <w:t>Financial estimates</w:t>
            </w:r>
          </w:p>
        </w:tc>
      </w:tr>
      <w:tr w:rsidR="001F1B48" w:rsidRPr="00455205" w14:paraId="12538659" w14:textId="77777777" w:rsidTr="00083E0D">
        <w:trPr>
          <w:cantSplit/>
        </w:trPr>
        <w:tc>
          <w:tcPr>
            <w:tcW w:w="2906" w:type="pct"/>
          </w:tcPr>
          <w:p w14:paraId="2F1F123D" w14:textId="3BCCEDE9" w:rsidR="001F1B48" w:rsidRPr="00455205" w:rsidRDefault="001F1B48" w:rsidP="009138C2">
            <w:pPr>
              <w:pStyle w:val="COMTabletext"/>
              <w:keepNext w:val="0"/>
            </w:pPr>
            <w:r w:rsidRPr="00455205">
              <w:t>The PBAC previously considered that the DUSC Secretariat analyses of the 100% PBS data provided a more reasonable base for future utilisation estimates and noted that the potential introduction of CAR</w:t>
            </w:r>
            <w:r w:rsidR="00BE31D0" w:rsidRPr="00455205">
              <w:t xml:space="preserve"> </w:t>
            </w:r>
            <w:r w:rsidRPr="00455205">
              <w:t>T</w:t>
            </w:r>
            <w:r w:rsidR="00BE31D0" w:rsidRPr="00455205">
              <w:t>-cell</w:t>
            </w:r>
            <w:r w:rsidRPr="00455205">
              <w:t xml:space="preserve"> therapies may alter the uptake of elranatamab (paragraph 7.17).</w:t>
            </w:r>
          </w:p>
        </w:tc>
        <w:tc>
          <w:tcPr>
            <w:tcW w:w="2094" w:type="pct"/>
          </w:tcPr>
          <w:p w14:paraId="6EC54F34" w14:textId="77777777" w:rsidR="00C520DF" w:rsidRPr="00455205" w:rsidRDefault="00C520DF" w:rsidP="00134175">
            <w:pPr>
              <w:pStyle w:val="COMTabletext"/>
              <w:keepNext w:val="0"/>
            </w:pPr>
            <w:r w:rsidRPr="00455205">
              <w:t>Addressed.</w:t>
            </w:r>
          </w:p>
          <w:p w14:paraId="560B80A8" w14:textId="59C4D251" w:rsidR="001F1B48" w:rsidRPr="00455205" w:rsidRDefault="00955C28" w:rsidP="00134175">
            <w:pPr>
              <w:pStyle w:val="COMTabletext"/>
              <w:keepNext w:val="0"/>
            </w:pPr>
            <w:r w:rsidRPr="00455205">
              <w:t>The results of the analysis of PBS data provided by the DUSC Secretariat were used to estimate the eligible population.</w:t>
            </w:r>
          </w:p>
        </w:tc>
      </w:tr>
      <w:tr w:rsidR="001F1B48" w:rsidRPr="00455205" w14:paraId="7B81C11B" w14:textId="77777777" w:rsidTr="00083E0D">
        <w:trPr>
          <w:cantSplit/>
        </w:trPr>
        <w:tc>
          <w:tcPr>
            <w:tcW w:w="2906" w:type="pct"/>
          </w:tcPr>
          <w:p w14:paraId="79E3E488" w14:textId="66AC94B6" w:rsidR="001F1B48" w:rsidRPr="00455205" w:rsidRDefault="001F1B48" w:rsidP="009138C2">
            <w:pPr>
              <w:pStyle w:val="COMTabletext"/>
              <w:keepNext w:val="0"/>
            </w:pPr>
            <w:r w:rsidRPr="00455205">
              <w:lastRenderedPageBreak/>
              <w:t>DUSC previously considered that the eligible population and the uptake rate for elranatamab were underestimated (paragraph 6.65).</w:t>
            </w:r>
          </w:p>
        </w:tc>
        <w:tc>
          <w:tcPr>
            <w:tcW w:w="2094" w:type="pct"/>
          </w:tcPr>
          <w:p w14:paraId="56684B85" w14:textId="77777777" w:rsidR="004357CE" w:rsidRPr="00455205" w:rsidRDefault="004357CE" w:rsidP="00134175">
            <w:pPr>
              <w:pStyle w:val="COMTabletext"/>
              <w:keepNext w:val="0"/>
            </w:pPr>
            <w:r w:rsidRPr="00455205">
              <w:t xml:space="preserve">Partially addressed. </w:t>
            </w:r>
          </w:p>
          <w:p w14:paraId="36C3402D" w14:textId="4C06FE88" w:rsidR="001F1B48" w:rsidRPr="00455205" w:rsidRDefault="00955C28" w:rsidP="00134175">
            <w:pPr>
              <w:pStyle w:val="COMTabletext"/>
              <w:keepNext w:val="0"/>
            </w:pPr>
            <w:r w:rsidRPr="00455205">
              <w:t xml:space="preserve">The results of the analysis of PBS data provided by the DUSC Secretariat were used to estimate the eligible population. </w:t>
            </w:r>
            <w:r w:rsidR="004357CE" w:rsidRPr="00455205">
              <w:t>However, u</w:t>
            </w:r>
            <w:r w:rsidRPr="00455205">
              <w:t>ptake rates were unchanged in the resubmission.</w:t>
            </w:r>
          </w:p>
        </w:tc>
      </w:tr>
      <w:tr w:rsidR="001F1B48" w:rsidRPr="00455205" w14:paraId="1B847AAB" w14:textId="77777777" w:rsidTr="00083E0D">
        <w:trPr>
          <w:cantSplit/>
        </w:trPr>
        <w:tc>
          <w:tcPr>
            <w:tcW w:w="2906" w:type="pct"/>
          </w:tcPr>
          <w:p w14:paraId="286135D4" w14:textId="3B954594" w:rsidR="001F1B48" w:rsidRPr="00455205" w:rsidRDefault="001F1B48" w:rsidP="009138C2">
            <w:pPr>
              <w:pStyle w:val="COMTabletext"/>
              <w:keepNext w:val="0"/>
            </w:pPr>
            <w:r w:rsidRPr="00455205">
              <w:t>The PBAC previously noted that the mean treatment duration for elranatamab applied in the financial estimates was overestimated relative to that applied in the economic evaluation (paragraph 6.69).</w:t>
            </w:r>
          </w:p>
        </w:tc>
        <w:tc>
          <w:tcPr>
            <w:tcW w:w="2094" w:type="pct"/>
          </w:tcPr>
          <w:p w14:paraId="06C494E1" w14:textId="52697BFF" w:rsidR="004357CE" w:rsidRPr="00455205" w:rsidRDefault="004357CE" w:rsidP="00134175">
            <w:pPr>
              <w:pStyle w:val="COMTabletext"/>
              <w:keepNext w:val="0"/>
            </w:pPr>
            <w:r w:rsidRPr="00455205">
              <w:t>Addressed</w:t>
            </w:r>
            <w:r w:rsidR="00D03C8B" w:rsidRPr="00455205">
              <w:t>.</w:t>
            </w:r>
          </w:p>
          <w:p w14:paraId="345AD404" w14:textId="0C0899B9" w:rsidR="001F1B48" w:rsidRPr="00455205" w:rsidRDefault="00955C28" w:rsidP="00134175">
            <w:pPr>
              <w:pStyle w:val="COMTabletext"/>
              <w:keepNext w:val="0"/>
            </w:pPr>
            <w:r w:rsidRPr="00455205">
              <w:t xml:space="preserve">The </w:t>
            </w:r>
            <w:r w:rsidR="00134175" w:rsidRPr="00455205">
              <w:t xml:space="preserve">average treatment duration derived from the economic model (71 weeks) was </w:t>
            </w:r>
            <w:r w:rsidR="00A94C82" w:rsidRPr="00455205">
              <w:t>used to</w:t>
            </w:r>
            <w:r w:rsidR="00134175" w:rsidRPr="00455205">
              <w:t xml:space="preserve"> derive the financial impact of listing elranatamab.</w:t>
            </w:r>
          </w:p>
        </w:tc>
      </w:tr>
      <w:tr w:rsidR="001F1B48" w:rsidRPr="00455205" w14:paraId="788D3C3A" w14:textId="77777777" w:rsidTr="00083E0D">
        <w:trPr>
          <w:cantSplit/>
        </w:trPr>
        <w:tc>
          <w:tcPr>
            <w:tcW w:w="2906" w:type="pct"/>
          </w:tcPr>
          <w:p w14:paraId="48314130" w14:textId="045B1AF3" w:rsidR="001F1B48" w:rsidRPr="00455205" w:rsidRDefault="001F1B48" w:rsidP="009138C2">
            <w:pPr>
              <w:pStyle w:val="COMTabletext"/>
              <w:keepNext w:val="0"/>
            </w:pPr>
            <w:r w:rsidRPr="00455205">
              <w:t xml:space="preserve">The DUSC previously considered that cost offsets associated with </w:t>
            </w:r>
            <w:r w:rsidR="00D8304B" w:rsidRPr="00455205">
              <w:t>Cd</w:t>
            </w:r>
            <w:r w:rsidRPr="00455205">
              <w:t xml:space="preserve"> (as a proxy for standard of care treatments) were overestimated, as elranatamab would displace rather than replace other therapies in the treatment algorithm (paragraph 6.65).</w:t>
            </w:r>
          </w:p>
        </w:tc>
        <w:tc>
          <w:tcPr>
            <w:tcW w:w="2094" w:type="pct"/>
          </w:tcPr>
          <w:p w14:paraId="3E6EB6D5" w14:textId="39F2154B" w:rsidR="00D03C8B" w:rsidRPr="00455205" w:rsidRDefault="00BA612A" w:rsidP="00134175">
            <w:pPr>
              <w:pStyle w:val="COMTabletext"/>
              <w:keepNext w:val="0"/>
            </w:pPr>
            <w:r w:rsidRPr="00455205">
              <w:t>Addressed.</w:t>
            </w:r>
          </w:p>
          <w:p w14:paraId="249EBB89" w14:textId="638AAC29" w:rsidR="001F1B48" w:rsidRPr="00455205" w:rsidRDefault="00134175" w:rsidP="00134175">
            <w:pPr>
              <w:pStyle w:val="COMTabletext"/>
              <w:keepNext w:val="0"/>
            </w:pPr>
            <w:r w:rsidRPr="00455205">
              <w:t xml:space="preserve">The assumed proportion of substitution versus displacement of </w:t>
            </w:r>
            <w:r w:rsidR="00D8304B" w:rsidRPr="00455205">
              <w:t>Cd</w:t>
            </w:r>
            <w:r w:rsidRPr="00455205">
              <w:t xml:space="preserve"> (as a proxy for standard of care therapies) was </w:t>
            </w:r>
            <w:r w:rsidR="00BA612A" w:rsidRPr="00455205">
              <w:t>reduced from 72.8% to 56.9%</w:t>
            </w:r>
            <w:r w:rsidRPr="00455205">
              <w:t xml:space="preserve">. </w:t>
            </w:r>
          </w:p>
        </w:tc>
      </w:tr>
    </w:tbl>
    <w:p w14:paraId="323AEB1E" w14:textId="77777777" w:rsidR="00D8304B" w:rsidRDefault="005C25FF" w:rsidP="007E51D5">
      <w:pPr>
        <w:pStyle w:val="COMTablefooter"/>
      </w:pPr>
      <w:r w:rsidRPr="00DD6AF2">
        <w:t xml:space="preserve">Source: </w:t>
      </w:r>
      <w:r w:rsidR="00A94C82">
        <w:t>Constructed during the evaluation with reference to the elranatamab July 2024 Public Summary Document and the current elranatamab resubmission.</w:t>
      </w:r>
    </w:p>
    <w:p w14:paraId="451D7156" w14:textId="36045E99" w:rsidR="005C25FF" w:rsidRDefault="00D8304B" w:rsidP="007E51D5">
      <w:pPr>
        <w:pStyle w:val="COMTablefooter"/>
      </w:pPr>
      <w:r>
        <w:t xml:space="preserve">Abbreviations: </w:t>
      </w:r>
      <w:r w:rsidR="00F22694">
        <w:t xml:space="preserve">BCMA, B-cell maturation antigen; CAR, chimeric antigen receptor; </w:t>
      </w:r>
      <w:r>
        <w:t xml:space="preserve">Cd, carfilzomib + dexamethasone; </w:t>
      </w:r>
      <w:r w:rsidR="00F22694">
        <w:t xml:space="preserve">CD, cluster of differentiation; </w:t>
      </w:r>
      <w:proofErr w:type="spellStart"/>
      <w:r w:rsidR="00A256BA">
        <w:t>CLd</w:t>
      </w:r>
      <w:proofErr w:type="spellEnd"/>
      <w:r w:rsidR="00A256BA">
        <w:t xml:space="preserve">, carfilzomib + lenalidomide + dexamethasone; </w:t>
      </w:r>
      <w:r w:rsidR="00451051">
        <w:t>CRS, cyto</w:t>
      </w:r>
      <w:r w:rsidR="00FD3D1C">
        <w:t xml:space="preserve">kine release syndrome; </w:t>
      </w:r>
      <w:proofErr w:type="spellStart"/>
      <w:r w:rsidR="00A256BA">
        <w:t>cyclo</w:t>
      </w:r>
      <w:proofErr w:type="spellEnd"/>
      <w:r w:rsidR="00A256BA">
        <w:t xml:space="preserve">, cyclophosphamide; </w:t>
      </w:r>
      <w:proofErr w:type="spellStart"/>
      <w:r w:rsidR="00A256BA">
        <w:t>DBd</w:t>
      </w:r>
      <w:proofErr w:type="spellEnd"/>
      <w:r w:rsidR="00A256BA">
        <w:t xml:space="preserve">, </w:t>
      </w:r>
      <w:r w:rsidR="00F22694">
        <w:t>d</w:t>
      </w:r>
      <w:r w:rsidR="00A256BA">
        <w:t>aratumumab + bortezomib + dexamethasone;</w:t>
      </w:r>
      <w:r w:rsidR="00BE31D0">
        <w:t xml:space="preserve"> DUSC, Drug Utilisation Sub-Committee; </w:t>
      </w:r>
      <w:proofErr w:type="spellStart"/>
      <w:r w:rsidR="00A256BA">
        <w:t>ELd</w:t>
      </w:r>
      <w:proofErr w:type="spellEnd"/>
      <w:r w:rsidR="00A256BA">
        <w:t xml:space="preserve">, elotuzumab + lenalidomide + dexamethasone; </w:t>
      </w:r>
      <w:r w:rsidR="00FD3D1C">
        <w:t>ICANS, immune effector cell-associated neurotoxi</w:t>
      </w:r>
      <w:r w:rsidR="00375F26">
        <w:t>ci</w:t>
      </w:r>
      <w:r w:rsidR="00FD3D1C">
        <w:t>ty syndrome</w:t>
      </w:r>
      <w:r w:rsidR="00375F26">
        <w:t xml:space="preserve">; </w:t>
      </w:r>
      <w:r w:rsidR="00BF73EA">
        <w:t>ICER, incremen</w:t>
      </w:r>
      <w:r w:rsidR="00066B5A">
        <w:t xml:space="preserve">tal cost-effectiveness ratio; </w:t>
      </w:r>
      <w:r w:rsidR="00F22694">
        <w:t xml:space="preserve">IPTW, inverse probability of treatment weighting; </w:t>
      </w:r>
      <w:r w:rsidR="00451051">
        <w:t xml:space="preserve">ITC, indirect treatment comparison; </w:t>
      </w:r>
      <w:proofErr w:type="spellStart"/>
      <w:r w:rsidR="00A256BA">
        <w:t>Ld</w:t>
      </w:r>
      <w:proofErr w:type="spellEnd"/>
      <w:r w:rsidR="00A256BA">
        <w:t xml:space="preserve">, lenalidomide + dexamethasone; </w:t>
      </w:r>
      <w:r w:rsidR="00375F26">
        <w:t xml:space="preserve">MAIC, </w:t>
      </w:r>
      <w:r w:rsidR="00BF73EA">
        <w:t xml:space="preserve">matching adjusted indirect comparison; </w:t>
      </w:r>
      <w:proofErr w:type="spellStart"/>
      <w:r w:rsidR="00A256BA">
        <w:t>PBd</w:t>
      </w:r>
      <w:proofErr w:type="spellEnd"/>
      <w:r w:rsidR="00A256BA">
        <w:t xml:space="preserve">, pomalidomide + bortezomib + dexamethasone; </w:t>
      </w:r>
      <w:r>
        <w:t xml:space="preserve">Pd, pomalidomide + dexamethasone; </w:t>
      </w:r>
      <w:r w:rsidR="00492BFE">
        <w:t xml:space="preserve">RRMM, relapsed and/or refractory multiple myeloma; </w:t>
      </w:r>
      <w:proofErr w:type="spellStart"/>
      <w:r w:rsidR="00A256BA">
        <w:t>SBd</w:t>
      </w:r>
      <w:proofErr w:type="spellEnd"/>
      <w:r w:rsidR="00A256BA">
        <w:t>, selinexor + bortezomib + dexamethasone; Sd, selinexor + dexamethasone</w:t>
      </w:r>
      <w:r w:rsidR="00F22694">
        <w:t>; SOC, standard of care</w:t>
      </w:r>
      <w:r>
        <w:t>.</w:t>
      </w:r>
    </w:p>
    <w:p w14:paraId="21387C82" w14:textId="097ED6EB" w:rsidR="003B450F" w:rsidRPr="002A5911" w:rsidRDefault="003B450F" w:rsidP="002A5911">
      <w:pPr>
        <w:rPr>
          <w:i/>
          <w:iCs/>
        </w:rPr>
      </w:pPr>
      <w:r w:rsidRPr="002A5911">
        <w:rPr>
          <w:i/>
          <w:iCs/>
        </w:rPr>
        <w:t>For more detail on PBAC’s view, see section 7 PBAC outcome.</w:t>
      </w:r>
    </w:p>
    <w:p w14:paraId="76E4EF3C" w14:textId="13040F70" w:rsidR="00B60939" w:rsidRPr="006E0FA2" w:rsidRDefault="00B50DB8" w:rsidP="004E18E9">
      <w:pPr>
        <w:pStyle w:val="COMH1-numbered"/>
      </w:pPr>
      <w:bookmarkStart w:id="9" w:name="_Toc107902078"/>
      <w:bookmarkStart w:id="10" w:name="_Toc188287171"/>
      <w:bookmarkEnd w:id="9"/>
      <w:r w:rsidRPr="006E0FA2">
        <w:t>Requested listing</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quested listing"/>
      </w:tblPr>
      <w:tblGrid>
        <w:gridCol w:w="2688"/>
        <w:gridCol w:w="2379"/>
        <w:gridCol w:w="1973"/>
        <w:gridCol w:w="1977"/>
      </w:tblGrid>
      <w:tr w:rsidR="00FB6583" w:rsidRPr="006E0FA2" w14:paraId="6833AEB8" w14:textId="77777777" w:rsidTr="007274F1">
        <w:trPr>
          <w:cantSplit/>
          <w:trHeight w:val="20"/>
        </w:trPr>
        <w:tc>
          <w:tcPr>
            <w:tcW w:w="1491" w:type="pct"/>
            <w:vAlign w:val="center"/>
          </w:tcPr>
          <w:p w14:paraId="12AEA3D1" w14:textId="77777777" w:rsidR="00FB6583" w:rsidRPr="006E0FA2" w:rsidRDefault="00FB6583" w:rsidP="007274F1">
            <w:pPr>
              <w:pStyle w:val="COMTableheadingrow"/>
              <w:keepNext w:val="0"/>
            </w:pPr>
            <w:bookmarkStart w:id="11" w:name="_Hlk104809082"/>
            <w:r w:rsidRPr="006E0FA2">
              <w:t>MEDICINAL PRODUCT</w:t>
            </w:r>
          </w:p>
          <w:p w14:paraId="50CF423F" w14:textId="77777777" w:rsidR="00FB6583" w:rsidRPr="006E0FA2" w:rsidRDefault="00FB6583" w:rsidP="007274F1">
            <w:pPr>
              <w:pStyle w:val="COMTableheadingrow"/>
              <w:keepNext w:val="0"/>
            </w:pPr>
            <w:r w:rsidRPr="006E0FA2">
              <w:t>Form</w:t>
            </w:r>
          </w:p>
        </w:tc>
        <w:tc>
          <w:tcPr>
            <w:tcW w:w="1319" w:type="pct"/>
            <w:vAlign w:val="center"/>
          </w:tcPr>
          <w:p w14:paraId="3A2D4301" w14:textId="77777777" w:rsidR="00FB6583" w:rsidRPr="006E0FA2" w:rsidRDefault="00FB6583" w:rsidP="007274F1">
            <w:pPr>
              <w:pStyle w:val="COMTableheadingrow"/>
              <w:keepNext w:val="0"/>
              <w:jc w:val="center"/>
            </w:pPr>
            <w:r w:rsidRPr="006E0FA2">
              <w:t>Dispensed Price Max Amt</w:t>
            </w:r>
          </w:p>
        </w:tc>
        <w:tc>
          <w:tcPr>
            <w:tcW w:w="1094" w:type="pct"/>
            <w:vAlign w:val="center"/>
          </w:tcPr>
          <w:p w14:paraId="75704837" w14:textId="77777777" w:rsidR="00FB6583" w:rsidRPr="006E0FA2" w:rsidRDefault="00FB6583" w:rsidP="007274F1">
            <w:pPr>
              <w:pStyle w:val="COMTableheadingrow"/>
              <w:keepNext w:val="0"/>
              <w:jc w:val="center"/>
            </w:pPr>
            <w:r w:rsidRPr="006E0FA2">
              <w:t>Max. Amount</w:t>
            </w:r>
          </w:p>
        </w:tc>
        <w:tc>
          <w:tcPr>
            <w:tcW w:w="1096" w:type="pct"/>
            <w:vAlign w:val="center"/>
          </w:tcPr>
          <w:p w14:paraId="6F8F516D" w14:textId="17C91E61" w:rsidR="00FB6583" w:rsidRPr="006E0FA2" w:rsidRDefault="00FB6583" w:rsidP="007274F1">
            <w:pPr>
              <w:pStyle w:val="COMTableheadingrow"/>
              <w:keepNext w:val="0"/>
              <w:jc w:val="center"/>
            </w:pPr>
            <w:r w:rsidRPr="006E0FA2">
              <w:t>№.</w:t>
            </w:r>
            <w:r w:rsidR="00F975F9">
              <w:t xml:space="preserve"> </w:t>
            </w:r>
            <w:r w:rsidRPr="006E0FA2">
              <w:t xml:space="preserve">of </w:t>
            </w:r>
            <w:proofErr w:type="spellStart"/>
            <w:r w:rsidRPr="006E0FA2">
              <w:t>Rpts</w:t>
            </w:r>
            <w:proofErr w:type="spellEnd"/>
          </w:p>
        </w:tc>
      </w:tr>
      <w:tr w:rsidR="00FB6583" w:rsidRPr="006E0FA2" w14:paraId="0A99725E" w14:textId="77777777" w:rsidTr="007274F1">
        <w:trPr>
          <w:cantSplit/>
          <w:trHeight w:val="20"/>
        </w:trPr>
        <w:tc>
          <w:tcPr>
            <w:tcW w:w="1491" w:type="pct"/>
            <w:vAlign w:val="center"/>
          </w:tcPr>
          <w:p w14:paraId="21C2A6E2" w14:textId="77777777" w:rsidR="00FB6583" w:rsidRPr="006E0FA2" w:rsidRDefault="00FB6583" w:rsidP="007274F1">
            <w:pPr>
              <w:pStyle w:val="COMTabletext"/>
              <w:keepNext w:val="0"/>
            </w:pPr>
            <w:r>
              <w:rPr>
                <w:rFonts w:cs="Arial"/>
                <w:szCs w:val="20"/>
              </w:rPr>
              <w:t>ELRANATAMAB</w:t>
            </w:r>
          </w:p>
        </w:tc>
        <w:tc>
          <w:tcPr>
            <w:tcW w:w="1319" w:type="pct"/>
            <w:vAlign w:val="center"/>
          </w:tcPr>
          <w:p w14:paraId="4388DE01" w14:textId="77777777" w:rsidR="00FB6583" w:rsidRPr="006253D6" w:rsidRDefault="00FB6583" w:rsidP="007274F1">
            <w:pPr>
              <w:pStyle w:val="COMTabletext"/>
              <w:keepNext w:val="0"/>
              <w:jc w:val="center"/>
              <w:rPr>
                <w:u w:val="single"/>
              </w:rPr>
            </w:pPr>
            <w:r>
              <w:rPr>
                <w:u w:val="single"/>
              </w:rPr>
              <w:t>Public hospital</w:t>
            </w:r>
          </w:p>
          <w:p w14:paraId="74B9A527" w14:textId="5E925417" w:rsidR="00FB6583" w:rsidRDefault="00FB6583" w:rsidP="007274F1">
            <w:pPr>
              <w:pStyle w:val="COMTabletext"/>
              <w:keepNext w:val="0"/>
              <w:jc w:val="center"/>
            </w:pPr>
            <w:r w:rsidRPr="006253D6">
              <w:t>$</w:t>
            </w:r>
            <w:r w:rsidR="003F51AF" w:rsidRPr="003F51AF">
              <w:rPr>
                <w:rFonts w:hint="eastAsia"/>
                <w:color w:val="000000"/>
                <w:w w:val="20"/>
                <w:shd w:val="solid" w:color="000000" w:fill="000000"/>
                <w:fitText w:val="90" w:id="-694959872"/>
                <w14:textFill>
                  <w14:solidFill>
                    <w14:srgbClr w14:val="000000">
                      <w14:alpha w14:val="100000"/>
                    </w14:srgbClr>
                  </w14:solidFill>
                </w14:textFill>
              </w:rPr>
              <w:t xml:space="preserve">　</w:t>
            </w:r>
            <w:proofErr w:type="gramStart"/>
            <w:r w:rsidR="003F51AF" w:rsidRPr="003F51AF">
              <w:rPr>
                <w:color w:val="000000"/>
                <w:w w:val="20"/>
                <w:shd w:val="solid" w:color="000000" w:fill="000000"/>
                <w:fitText w:val="90" w:id="-694959872"/>
                <w14:textFill>
                  <w14:solidFill>
                    <w14:srgbClr w14:val="000000">
                      <w14:alpha w14:val="100000"/>
                    </w14:srgbClr>
                  </w14:solidFill>
                </w14:textFill>
              </w:rPr>
              <w:t>|</w:t>
            </w:r>
            <w:r w:rsidR="003F51AF" w:rsidRPr="003F51AF">
              <w:rPr>
                <w:rFonts w:hint="eastAsia"/>
                <w:color w:val="000000"/>
                <w:w w:val="20"/>
                <w:shd w:val="solid" w:color="000000" w:fill="000000"/>
                <w:fitText w:val="90" w:id="-694959872"/>
                <w14:textFill>
                  <w14:solidFill>
                    <w14:srgbClr w14:val="000000">
                      <w14:alpha w14:val="100000"/>
                    </w14:srgbClr>
                  </w14:solidFill>
                </w14:textFill>
              </w:rPr>
              <w:t xml:space="preserve">　</w:t>
            </w:r>
            <w:r>
              <w:t xml:space="preserve"> published</w:t>
            </w:r>
            <w:proofErr w:type="gramEnd"/>
            <w:r>
              <w:t xml:space="preserve"> price</w:t>
            </w:r>
          </w:p>
          <w:p w14:paraId="1101AC60" w14:textId="4DA6FDAC" w:rsidR="00FB6583" w:rsidRDefault="00FB6583" w:rsidP="007274F1">
            <w:pPr>
              <w:pStyle w:val="COMTabletext"/>
              <w:keepNext w:val="0"/>
              <w:jc w:val="center"/>
            </w:pPr>
            <w:r w:rsidRPr="006253D6">
              <w:t>$</w:t>
            </w:r>
            <w:r w:rsidR="003F51AF" w:rsidRPr="003F51AF">
              <w:rPr>
                <w:rFonts w:hint="eastAsia"/>
                <w:color w:val="000000"/>
                <w:w w:val="15"/>
                <w:shd w:val="solid" w:color="000000" w:fill="000000"/>
                <w:fitText w:val="40" w:id="-694959871"/>
                <w14:textFill>
                  <w14:solidFill>
                    <w14:srgbClr w14:val="000000">
                      <w14:alpha w14:val="100000"/>
                    </w14:srgbClr>
                  </w14:solidFill>
                </w14:textFill>
              </w:rPr>
              <w:t xml:space="preserve">　</w:t>
            </w:r>
            <w:proofErr w:type="gramStart"/>
            <w:r w:rsidR="003F51AF" w:rsidRPr="003F51AF">
              <w:rPr>
                <w:color w:val="000000"/>
                <w:w w:val="15"/>
                <w:shd w:val="solid" w:color="000000" w:fill="000000"/>
                <w:fitText w:val="40" w:id="-694959871"/>
                <w14:textFill>
                  <w14:solidFill>
                    <w14:srgbClr w14:val="000000">
                      <w14:alpha w14:val="100000"/>
                    </w14:srgbClr>
                  </w14:solidFill>
                </w14:textFill>
              </w:rPr>
              <w:t>|</w:t>
            </w:r>
            <w:r w:rsidR="003F51AF" w:rsidRPr="003F51AF">
              <w:rPr>
                <w:rFonts w:hint="eastAsia"/>
                <w:color w:val="000000"/>
                <w:spacing w:val="-25"/>
                <w:w w:val="15"/>
                <w:shd w:val="solid" w:color="000000" w:fill="000000"/>
                <w:fitText w:val="40" w:id="-694959871"/>
                <w14:textFill>
                  <w14:solidFill>
                    <w14:srgbClr w14:val="000000">
                      <w14:alpha w14:val="100000"/>
                    </w14:srgbClr>
                  </w14:solidFill>
                </w14:textFill>
              </w:rPr>
              <w:t xml:space="preserve">　</w:t>
            </w:r>
            <w:r>
              <w:t xml:space="preserve"> effective</w:t>
            </w:r>
            <w:proofErr w:type="gramEnd"/>
            <w:r>
              <w:t xml:space="preserve"> price</w:t>
            </w:r>
          </w:p>
          <w:p w14:paraId="083EA53D" w14:textId="77777777" w:rsidR="00FB6583" w:rsidRDefault="00FB6583" w:rsidP="007274F1">
            <w:pPr>
              <w:pStyle w:val="COMTabletext"/>
              <w:keepNext w:val="0"/>
              <w:jc w:val="center"/>
              <w:rPr>
                <w:u w:val="single"/>
              </w:rPr>
            </w:pPr>
            <w:r>
              <w:rPr>
                <w:u w:val="single"/>
              </w:rPr>
              <w:t>Private hospital</w:t>
            </w:r>
          </w:p>
          <w:p w14:paraId="6655B7C6" w14:textId="0A3A1CE8" w:rsidR="00FB6583" w:rsidRPr="006E0FA2" w:rsidRDefault="00FB6583" w:rsidP="007274F1">
            <w:pPr>
              <w:pStyle w:val="COMTabletext"/>
              <w:keepNext w:val="0"/>
              <w:jc w:val="center"/>
            </w:pPr>
            <w:r w:rsidRPr="006253D6">
              <w:t>$</w:t>
            </w:r>
            <w:r w:rsidR="003F51AF" w:rsidRPr="003F51AF">
              <w:rPr>
                <w:rFonts w:hint="eastAsia"/>
                <w:color w:val="000000"/>
                <w:w w:val="20"/>
                <w:shd w:val="solid" w:color="000000" w:fill="000000"/>
                <w:fitText w:val="90" w:id="-694959870"/>
                <w14:textFill>
                  <w14:solidFill>
                    <w14:srgbClr w14:val="000000">
                      <w14:alpha w14:val="100000"/>
                    </w14:srgbClr>
                  </w14:solidFill>
                </w14:textFill>
              </w:rPr>
              <w:t xml:space="preserve">　</w:t>
            </w:r>
            <w:proofErr w:type="gramStart"/>
            <w:r w:rsidR="003F51AF" w:rsidRPr="003F51AF">
              <w:rPr>
                <w:color w:val="000000"/>
                <w:w w:val="20"/>
                <w:shd w:val="solid" w:color="000000" w:fill="000000"/>
                <w:fitText w:val="90" w:id="-694959870"/>
                <w14:textFill>
                  <w14:solidFill>
                    <w14:srgbClr w14:val="000000">
                      <w14:alpha w14:val="100000"/>
                    </w14:srgbClr>
                  </w14:solidFill>
                </w14:textFill>
              </w:rPr>
              <w:t>|</w:t>
            </w:r>
            <w:r w:rsidR="003F51AF" w:rsidRPr="003F51AF">
              <w:rPr>
                <w:rFonts w:hint="eastAsia"/>
                <w:color w:val="000000"/>
                <w:w w:val="20"/>
                <w:shd w:val="solid" w:color="000000" w:fill="000000"/>
                <w:fitText w:val="90" w:id="-694959870"/>
                <w14:textFill>
                  <w14:solidFill>
                    <w14:srgbClr w14:val="000000">
                      <w14:alpha w14:val="100000"/>
                    </w14:srgbClr>
                  </w14:solidFill>
                </w14:textFill>
              </w:rPr>
              <w:t xml:space="preserve">　</w:t>
            </w:r>
            <w:r>
              <w:t xml:space="preserve"> published</w:t>
            </w:r>
            <w:proofErr w:type="gramEnd"/>
            <w:r>
              <w:t xml:space="preserve"> price</w:t>
            </w:r>
          </w:p>
          <w:p w14:paraId="017823FD" w14:textId="58EC53E8" w:rsidR="00FB6583" w:rsidRPr="006253D6" w:rsidRDefault="00FB6583" w:rsidP="007274F1">
            <w:pPr>
              <w:pStyle w:val="COMTabletext"/>
              <w:keepNext w:val="0"/>
              <w:jc w:val="center"/>
            </w:pPr>
            <w:r w:rsidRPr="006253D6">
              <w:t>$</w:t>
            </w:r>
            <w:r w:rsidR="003F51AF" w:rsidRPr="003F51AF">
              <w:rPr>
                <w:rFonts w:hint="eastAsia"/>
                <w:color w:val="000000"/>
                <w:w w:val="15"/>
                <w:shd w:val="solid" w:color="000000" w:fill="000000"/>
                <w:fitText w:val="40" w:id="-694959869"/>
                <w14:textFill>
                  <w14:solidFill>
                    <w14:srgbClr w14:val="000000">
                      <w14:alpha w14:val="100000"/>
                    </w14:srgbClr>
                  </w14:solidFill>
                </w14:textFill>
              </w:rPr>
              <w:t xml:space="preserve">　</w:t>
            </w:r>
            <w:proofErr w:type="gramStart"/>
            <w:r w:rsidR="003F51AF" w:rsidRPr="003F51AF">
              <w:rPr>
                <w:color w:val="000000"/>
                <w:w w:val="15"/>
                <w:shd w:val="solid" w:color="000000" w:fill="000000"/>
                <w:fitText w:val="40" w:id="-694959869"/>
                <w14:textFill>
                  <w14:solidFill>
                    <w14:srgbClr w14:val="000000">
                      <w14:alpha w14:val="100000"/>
                    </w14:srgbClr>
                  </w14:solidFill>
                </w14:textFill>
              </w:rPr>
              <w:t>|</w:t>
            </w:r>
            <w:r w:rsidR="003F51AF" w:rsidRPr="003F51AF">
              <w:rPr>
                <w:rFonts w:hint="eastAsia"/>
                <w:color w:val="000000"/>
                <w:spacing w:val="-25"/>
                <w:w w:val="15"/>
                <w:shd w:val="solid" w:color="000000" w:fill="000000"/>
                <w:fitText w:val="40" w:id="-694959869"/>
                <w14:textFill>
                  <w14:solidFill>
                    <w14:srgbClr w14:val="000000">
                      <w14:alpha w14:val="100000"/>
                    </w14:srgbClr>
                  </w14:solidFill>
                </w14:textFill>
              </w:rPr>
              <w:t xml:space="preserve">　</w:t>
            </w:r>
            <w:r>
              <w:t xml:space="preserve"> effective</w:t>
            </w:r>
            <w:proofErr w:type="gramEnd"/>
            <w:r>
              <w:t xml:space="preserve"> price</w:t>
            </w:r>
          </w:p>
        </w:tc>
        <w:tc>
          <w:tcPr>
            <w:tcW w:w="1094" w:type="pct"/>
            <w:vAlign w:val="center"/>
          </w:tcPr>
          <w:p w14:paraId="79095A74" w14:textId="77777777" w:rsidR="00FB6583" w:rsidRPr="006E0FA2" w:rsidRDefault="00FB6583" w:rsidP="007274F1">
            <w:pPr>
              <w:pStyle w:val="COMTabletext"/>
              <w:keepNext w:val="0"/>
              <w:jc w:val="center"/>
            </w:pPr>
            <w:r w:rsidRPr="006253D6">
              <w:t>44 mg</w:t>
            </w:r>
          </w:p>
        </w:tc>
        <w:tc>
          <w:tcPr>
            <w:tcW w:w="1096" w:type="pct"/>
            <w:vAlign w:val="center"/>
          </w:tcPr>
          <w:p w14:paraId="76E00129" w14:textId="77777777" w:rsidR="00FB6583" w:rsidRPr="006E0FA2" w:rsidRDefault="00FB6583" w:rsidP="007274F1">
            <w:pPr>
              <w:pStyle w:val="COMTabletext"/>
              <w:keepNext w:val="0"/>
              <w:jc w:val="center"/>
            </w:pPr>
            <w:r>
              <w:t>Initial: 1</w:t>
            </w:r>
          </w:p>
        </w:tc>
      </w:tr>
      <w:tr w:rsidR="00FB6583" w:rsidRPr="006E0FA2" w14:paraId="154F2A56" w14:textId="77777777" w:rsidTr="007274F1">
        <w:trPr>
          <w:cantSplit/>
          <w:trHeight w:val="20"/>
        </w:trPr>
        <w:tc>
          <w:tcPr>
            <w:tcW w:w="5000" w:type="pct"/>
            <w:gridSpan w:val="4"/>
            <w:vAlign w:val="center"/>
          </w:tcPr>
          <w:p w14:paraId="3BC525FD" w14:textId="77777777" w:rsidR="00FB6583" w:rsidRPr="006E0FA2" w:rsidRDefault="00FB6583" w:rsidP="007274F1">
            <w:pPr>
              <w:pStyle w:val="COMTableheadingrow"/>
              <w:keepNext w:val="0"/>
            </w:pPr>
            <w:r w:rsidRPr="006E0FA2">
              <w:t xml:space="preserve">Available brands </w:t>
            </w:r>
          </w:p>
        </w:tc>
      </w:tr>
      <w:tr w:rsidR="00FB6583" w:rsidRPr="006E0FA2" w14:paraId="51BFB72A" w14:textId="77777777" w:rsidTr="007274F1">
        <w:trPr>
          <w:cantSplit/>
          <w:trHeight w:val="20"/>
        </w:trPr>
        <w:tc>
          <w:tcPr>
            <w:tcW w:w="5000" w:type="pct"/>
            <w:gridSpan w:val="4"/>
            <w:vAlign w:val="center"/>
          </w:tcPr>
          <w:p w14:paraId="1917ED67" w14:textId="77777777" w:rsidR="00FB6583" w:rsidRPr="006E0FA2" w:rsidRDefault="00FB6583" w:rsidP="007274F1">
            <w:pPr>
              <w:pStyle w:val="COMTabletext"/>
              <w:keepNext w:val="0"/>
            </w:pPr>
            <w:r w:rsidRPr="007B0240">
              <w:t>Elrexfio</w:t>
            </w:r>
          </w:p>
          <w:p w14:paraId="45FB38D2" w14:textId="77777777" w:rsidR="00FB6583" w:rsidRPr="006E0FA2" w:rsidRDefault="00FB6583" w:rsidP="007274F1">
            <w:pPr>
              <w:pStyle w:val="COMTabletext"/>
              <w:keepNext w:val="0"/>
            </w:pPr>
            <w:r w:rsidRPr="006E0FA2">
              <w:t>(</w:t>
            </w:r>
            <w:r>
              <w:t>elranatamab 44 mg/1.1 mL injection</w:t>
            </w:r>
            <w:r w:rsidRPr="006E0FA2">
              <w:t>, 1 vial)</w:t>
            </w:r>
          </w:p>
        </w:tc>
      </w:tr>
      <w:tr w:rsidR="00FB6583" w:rsidRPr="006E0FA2" w14:paraId="4826BD4E" w14:textId="77777777" w:rsidTr="007274F1">
        <w:trPr>
          <w:cantSplit/>
          <w:trHeight w:val="20"/>
        </w:trPr>
        <w:tc>
          <w:tcPr>
            <w:tcW w:w="1491" w:type="pct"/>
            <w:vAlign w:val="center"/>
          </w:tcPr>
          <w:p w14:paraId="42E2AF28" w14:textId="77777777" w:rsidR="00FB6583" w:rsidRPr="007B0240" w:rsidRDefault="00FB6583" w:rsidP="007274F1">
            <w:pPr>
              <w:pStyle w:val="COMTabletext"/>
              <w:keepNext w:val="0"/>
            </w:pPr>
            <w:r>
              <w:rPr>
                <w:rFonts w:cs="Arial"/>
                <w:szCs w:val="20"/>
              </w:rPr>
              <w:t>ELRANATAMAB</w:t>
            </w:r>
          </w:p>
        </w:tc>
        <w:tc>
          <w:tcPr>
            <w:tcW w:w="1319" w:type="pct"/>
            <w:vAlign w:val="center"/>
          </w:tcPr>
          <w:p w14:paraId="0D6676C3" w14:textId="77777777" w:rsidR="00FB6583" w:rsidRPr="006253D6" w:rsidRDefault="00FB6583" w:rsidP="007274F1">
            <w:pPr>
              <w:pStyle w:val="COMTabletext"/>
              <w:keepNext w:val="0"/>
              <w:jc w:val="center"/>
              <w:rPr>
                <w:u w:val="single"/>
              </w:rPr>
            </w:pPr>
            <w:r>
              <w:rPr>
                <w:u w:val="single"/>
              </w:rPr>
              <w:t>Public hospital</w:t>
            </w:r>
          </w:p>
          <w:p w14:paraId="2EE6D987" w14:textId="31794861" w:rsidR="00FB6583" w:rsidRDefault="00FB6583" w:rsidP="007274F1">
            <w:pPr>
              <w:pStyle w:val="COMTabletext"/>
              <w:keepNext w:val="0"/>
              <w:jc w:val="center"/>
            </w:pPr>
            <w:r w:rsidRPr="000D0082">
              <w:t>$</w:t>
            </w:r>
            <w:r w:rsidR="003F51AF" w:rsidRPr="003F51AF">
              <w:rPr>
                <w:rFonts w:hint="eastAsia"/>
                <w:color w:val="000000"/>
                <w:w w:val="20"/>
                <w:shd w:val="solid" w:color="000000" w:fill="000000"/>
                <w:fitText w:val="90" w:id="-694959868"/>
                <w14:textFill>
                  <w14:solidFill>
                    <w14:srgbClr w14:val="000000">
                      <w14:alpha w14:val="100000"/>
                    </w14:srgbClr>
                  </w14:solidFill>
                </w14:textFill>
              </w:rPr>
              <w:t xml:space="preserve">　</w:t>
            </w:r>
            <w:proofErr w:type="gramStart"/>
            <w:r w:rsidR="003F51AF" w:rsidRPr="003F51AF">
              <w:rPr>
                <w:color w:val="000000"/>
                <w:w w:val="20"/>
                <w:shd w:val="solid" w:color="000000" w:fill="000000"/>
                <w:fitText w:val="90" w:id="-694959868"/>
                <w14:textFill>
                  <w14:solidFill>
                    <w14:srgbClr w14:val="000000">
                      <w14:alpha w14:val="100000"/>
                    </w14:srgbClr>
                  </w14:solidFill>
                </w14:textFill>
              </w:rPr>
              <w:t>|</w:t>
            </w:r>
            <w:r w:rsidR="003F51AF" w:rsidRPr="003F51AF">
              <w:rPr>
                <w:rFonts w:hint="eastAsia"/>
                <w:color w:val="000000"/>
                <w:spacing w:val="3"/>
                <w:w w:val="20"/>
                <w:shd w:val="solid" w:color="000000" w:fill="000000"/>
                <w:fitText w:val="90" w:id="-694959868"/>
                <w14:textFill>
                  <w14:solidFill>
                    <w14:srgbClr w14:val="000000">
                      <w14:alpha w14:val="100000"/>
                    </w14:srgbClr>
                  </w14:solidFill>
                </w14:textFill>
              </w:rPr>
              <w:t xml:space="preserve">　</w:t>
            </w:r>
            <w:r>
              <w:t xml:space="preserve"> published</w:t>
            </w:r>
            <w:proofErr w:type="gramEnd"/>
            <w:r>
              <w:t xml:space="preserve"> price</w:t>
            </w:r>
          </w:p>
          <w:p w14:paraId="6933DCD8" w14:textId="28E42D88" w:rsidR="00FB6583" w:rsidRDefault="00FB6583" w:rsidP="007274F1">
            <w:pPr>
              <w:pStyle w:val="COMTabletext"/>
              <w:keepNext w:val="0"/>
              <w:jc w:val="center"/>
            </w:pPr>
            <w:r w:rsidRPr="000D0082">
              <w:t>$</w:t>
            </w:r>
            <w:r w:rsidR="003F51AF" w:rsidRPr="003F51AF">
              <w:rPr>
                <w:rFonts w:hint="eastAsia"/>
                <w:color w:val="000000"/>
                <w:w w:val="15"/>
                <w:shd w:val="solid" w:color="000000" w:fill="000000"/>
                <w:fitText w:val="40" w:id="-694959867"/>
                <w14:textFill>
                  <w14:solidFill>
                    <w14:srgbClr w14:val="000000">
                      <w14:alpha w14:val="100000"/>
                    </w14:srgbClr>
                  </w14:solidFill>
                </w14:textFill>
              </w:rPr>
              <w:t xml:space="preserve">　</w:t>
            </w:r>
            <w:proofErr w:type="gramStart"/>
            <w:r w:rsidR="003F51AF" w:rsidRPr="003F51AF">
              <w:rPr>
                <w:color w:val="000000"/>
                <w:w w:val="15"/>
                <w:shd w:val="solid" w:color="000000" w:fill="000000"/>
                <w:fitText w:val="40" w:id="-694959867"/>
                <w14:textFill>
                  <w14:solidFill>
                    <w14:srgbClr w14:val="000000">
                      <w14:alpha w14:val="100000"/>
                    </w14:srgbClr>
                  </w14:solidFill>
                </w14:textFill>
              </w:rPr>
              <w:t>|</w:t>
            </w:r>
            <w:r w:rsidR="003F51AF" w:rsidRPr="003F51AF">
              <w:rPr>
                <w:rFonts w:hint="eastAsia"/>
                <w:color w:val="000000"/>
                <w:spacing w:val="-25"/>
                <w:w w:val="15"/>
                <w:shd w:val="solid" w:color="000000" w:fill="000000"/>
                <w:fitText w:val="40" w:id="-694959867"/>
                <w14:textFill>
                  <w14:solidFill>
                    <w14:srgbClr w14:val="000000">
                      <w14:alpha w14:val="100000"/>
                    </w14:srgbClr>
                  </w14:solidFill>
                </w14:textFill>
              </w:rPr>
              <w:t xml:space="preserve">　</w:t>
            </w:r>
            <w:r>
              <w:t xml:space="preserve"> effective</w:t>
            </w:r>
            <w:proofErr w:type="gramEnd"/>
            <w:r>
              <w:t xml:space="preserve"> price</w:t>
            </w:r>
          </w:p>
          <w:p w14:paraId="05AC2B48" w14:textId="77777777" w:rsidR="00FB6583" w:rsidRDefault="00FB6583" w:rsidP="007274F1">
            <w:pPr>
              <w:pStyle w:val="COMTabletext"/>
              <w:keepNext w:val="0"/>
              <w:jc w:val="center"/>
              <w:rPr>
                <w:u w:val="single"/>
              </w:rPr>
            </w:pPr>
            <w:r>
              <w:rPr>
                <w:u w:val="single"/>
              </w:rPr>
              <w:t>Private hospital</w:t>
            </w:r>
          </w:p>
          <w:p w14:paraId="39051058" w14:textId="086FE529" w:rsidR="00FB6583" w:rsidRDefault="00FB6583" w:rsidP="007274F1">
            <w:pPr>
              <w:pStyle w:val="COMTabletext"/>
              <w:keepNext w:val="0"/>
              <w:jc w:val="center"/>
            </w:pPr>
            <w:r w:rsidRPr="000D0082">
              <w:t>$</w:t>
            </w:r>
            <w:r w:rsidR="003F51AF" w:rsidRPr="003F51AF">
              <w:rPr>
                <w:rFonts w:hint="eastAsia"/>
                <w:color w:val="000000"/>
                <w:w w:val="20"/>
                <w:shd w:val="solid" w:color="000000" w:fill="000000"/>
                <w:fitText w:val="90" w:id="-694959866"/>
                <w14:textFill>
                  <w14:solidFill>
                    <w14:srgbClr w14:val="000000">
                      <w14:alpha w14:val="100000"/>
                    </w14:srgbClr>
                  </w14:solidFill>
                </w14:textFill>
              </w:rPr>
              <w:t xml:space="preserve">　</w:t>
            </w:r>
            <w:proofErr w:type="gramStart"/>
            <w:r w:rsidR="003F51AF" w:rsidRPr="003F51AF">
              <w:rPr>
                <w:color w:val="000000"/>
                <w:w w:val="20"/>
                <w:shd w:val="solid" w:color="000000" w:fill="000000"/>
                <w:fitText w:val="90" w:id="-694959866"/>
                <w14:textFill>
                  <w14:solidFill>
                    <w14:srgbClr w14:val="000000">
                      <w14:alpha w14:val="100000"/>
                    </w14:srgbClr>
                  </w14:solidFill>
                </w14:textFill>
              </w:rPr>
              <w:t>|</w:t>
            </w:r>
            <w:r w:rsidR="003F51AF" w:rsidRPr="003F51AF">
              <w:rPr>
                <w:rFonts w:hint="eastAsia"/>
                <w:color w:val="000000"/>
                <w:spacing w:val="3"/>
                <w:w w:val="20"/>
                <w:shd w:val="solid" w:color="000000" w:fill="000000"/>
                <w:fitText w:val="90" w:id="-694959866"/>
                <w14:textFill>
                  <w14:solidFill>
                    <w14:srgbClr w14:val="000000">
                      <w14:alpha w14:val="100000"/>
                    </w14:srgbClr>
                  </w14:solidFill>
                </w14:textFill>
              </w:rPr>
              <w:t xml:space="preserve">　</w:t>
            </w:r>
            <w:r>
              <w:t xml:space="preserve"> published</w:t>
            </w:r>
            <w:proofErr w:type="gramEnd"/>
            <w:r>
              <w:t xml:space="preserve"> price</w:t>
            </w:r>
          </w:p>
          <w:p w14:paraId="1250D9BC" w14:textId="1E3CB131" w:rsidR="00FB6583" w:rsidRPr="007B0240" w:rsidRDefault="00FB6583" w:rsidP="007274F1">
            <w:pPr>
              <w:pStyle w:val="COMTabletext"/>
              <w:keepNext w:val="0"/>
              <w:jc w:val="center"/>
            </w:pPr>
            <w:r w:rsidRPr="000D0082">
              <w:t>$</w:t>
            </w:r>
            <w:r w:rsidR="003F51AF" w:rsidRPr="003F51AF">
              <w:rPr>
                <w:rFonts w:hint="eastAsia"/>
                <w:color w:val="000000"/>
                <w:w w:val="15"/>
                <w:shd w:val="solid" w:color="000000" w:fill="000000"/>
                <w:fitText w:val="40" w:id="-694959865"/>
                <w14:textFill>
                  <w14:solidFill>
                    <w14:srgbClr w14:val="000000">
                      <w14:alpha w14:val="100000"/>
                    </w14:srgbClr>
                  </w14:solidFill>
                </w14:textFill>
              </w:rPr>
              <w:t xml:space="preserve">　</w:t>
            </w:r>
            <w:proofErr w:type="gramStart"/>
            <w:r w:rsidR="003F51AF" w:rsidRPr="003F51AF">
              <w:rPr>
                <w:color w:val="000000"/>
                <w:w w:val="15"/>
                <w:shd w:val="solid" w:color="000000" w:fill="000000"/>
                <w:fitText w:val="40" w:id="-694959865"/>
                <w14:textFill>
                  <w14:solidFill>
                    <w14:srgbClr w14:val="000000">
                      <w14:alpha w14:val="100000"/>
                    </w14:srgbClr>
                  </w14:solidFill>
                </w14:textFill>
              </w:rPr>
              <w:t>|</w:t>
            </w:r>
            <w:r w:rsidR="003F51AF" w:rsidRPr="003F51AF">
              <w:rPr>
                <w:rFonts w:hint="eastAsia"/>
                <w:color w:val="000000"/>
                <w:spacing w:val="-25"/>
                <w:w w:val="15"/>
                <w:shd w:val="solid" w:color="000000" w:fill="000000"/>
                <w:fitText w:val="40" w:id="-694959865"/>
                <w14:textFill>
                  <w14:solidFill>
                    <w14:srgbClr w14:val="000000">
                      <w14:alpha w14:val="100000"/>
                    </w14:srgbClr>
                  </w14:solidFill>
                </w14:textFill>
              </w:rPr>
              <w:t xml:space="preserve">　</w:t>
            </w:r>
            <w:r>
              <w:t xml:space="preserve"> effective</w:t>
            </w:r>
            <w:proofErr w:type="gramEnd"/>
            <w:r>
              <w:t xml:space="preserve"> price</w:t>
            </w:r>
          </w:p>
        </w:tc>
        <w:tc>
          <w:tcPr>
            <w:tcW w:w="1094" w:type="pct"/>
            <w:vAlign w:val="center"/>
          </w:tcPr>
          <w:p w14:paraId="42BDCC00" w14:textId="77777777" w:rsidR="00FB6583" w:rsidRPr="007B0240" w:rsidRDefault="00FB6583" w:rsidP="007274F1">
            <w:pPr>
              <w:pStyle w:val="COMTabletext"/>
              <w:keepNext w:val="0"/>
              <w:jc w:val="center"/>
            </w:pPr>
            <w:r w:rsidRPr="00041438">
              <w:t>76 mg</w:t>
            </w:r>
          </w:p>
        </w:tc>
        <w:tc>
          <w:tcPr>
            <w:tcW w:w="1096" w:type="pct"/>
            <w:vAlign w:val="center"/>
          </w:tcPr>
          <w:p w14:paraId="0647F984" w14:textId="77777777" w:rsidR="00FB6583" w:rsidRDefault="00FB6583" w:rsidP="007274F1">
            <w:pPr>
              <w:jc w:val="center"/>
              <w:rPr>
                <w:rFonts w:ascii="Arial Narrow" w:hAnsi="Arial Narrow"/>
                <w:sz w:val="20"/>
              </w:rPr>
            </w:pPr>
            <w:r>
              <w:rPr>
                <w:rFonts w:ascii="Arial Narrow" w:hAnsi="Arial Narrow"/>
                <w:sz w:val="20"/>
              </w:rPr>
              <w:t>Continuing 1: 11</w:t>
            </w:r>
          </w:p>
          <w:p w14:paraId="123BE472" w14:textId="77777777" w:rsidR="00FB6583" w:rsidRDefault="00FB6583" w:rsidP="007274F1">
            <w:pPr>
              <w:jc w:val="center"/>
              <w:rPr>
                <w:rFonts w:ascii="Arial Narrow" w:hAnsi="Arial Narrow"/>
                <w:sz w:val="20"/>
              </w:rPr>
            </w:pPr>
            <w:r>
              <w:rPr>
                <w:rFonts w:ascii="Arial Narrow" w:hAnsi="Arial Narrow"/>
                <w:sz w:val="20"/>
              </w:rPr>
              <w:t>Continuing 2: 11</w:t>
            </w:r>
          </w:p>
          <w:p w14:paraId="1EB79254" w14:textId="77777777" w:rsidR="00FB6583" w:rsidRDefault="00FB6583" w:rsidP="007274F1">
            <w:pPr>
              <w:jc w:val="center"/>
              <w:rPr>
                <w:rFonts w:ascii="Arial Narrow" w:hAnsi="Arial Narrow"/>
                <w:sz w:val="20"/>
              </w:rPr>
            </w:pPr>
            <w:r>
              <w:rPr>
                <w:rFonts w:ascii="Arial Narrow" w:hAnsi="Arial Narrow"/>
                <w:sz w:val="20"/>
              </w:rPr>
              <w:t>Continuing 3: 5</w:t>
            </w:r>
          </w:p>
          <w:p w14:paraId="03755ABD" w14:textId="77777777" w:rsidR="00FB6583" w:rsidRPr="007B0240" w:rsidRDefault="00FB6583" w:rsidP="007274F1">
            <w:pPr>
              <w:pStyle w:val="COMTabletext"/>
              <w:keepNext w:val="0"/>
              <w:jc w:val="center"/>
            </w:pPr>
            <w:r>
              <w:t>Grandfathered: 11</w:t>
            </w:r>
          </w:p>
        </w:tc>
      </w:tr>
      <w:tr w:rsidR="00FB6583" w:rsidRPr="006E0FA2" w14:paraId="5C4481CF" w14:textId="77777777" w:rsidTr="007274F1">
        <w:trPr>
          <w:trHeight w:val="20"/>
        </w:trPr>
        <w:tc>
          <w:tcPr>
            <w:tcW w:w="5000" w:type="pct"/>
            <w:gridSpan w:val="4"/>
            <w:vAlign w:val="center"/>
          </w:tcPr>
          <w:p w14:paraId="11393F77" w14:textId="77777777" w:rsidR="00FB6583" w:rsidRPr="00496566" w:rsidRDefault="00FB6583" w:rsidP="007274F1">
            <w:pPr>
              <w:pStyle w:val="COMTabletext"/>
              <w:keepNext w:val="0"/>
              <w:rPr>
                <w:b/>
                <w:bCs w:val="0"/>
              </w:rPr>
            </w:pPr>
            <w:r w:rsidRPr="00496566">
              <w:rPr>
                <w:b/>
                <w:bCs w:val="0"/>
              </w:rPr>
              <w:t>Available brands</w:t>
            </w:r>
          </w:p>
        </w:tc>
      </w:tr>
      <w:tr w:rsidR="00FB6583" w:rsidRPr="006E0FA2" w14:paraId="26C829F4" w14:textId="77777777" w:rsidTr="007274F1">
        <w:trPr>
          <w:trHeight w:val="20"/>
        </w:trPr>
        <w:tc>
          <w:tcPr>
            <w:tcW w:w="5000" w:type="pct"/>
            <w:gridSpan w:val="4"/>
            <w:vAlign w:val="center"/>
          </w:tcPr>
          <w:p w14:paraId="4B34CA46" w14:textId="77777777" w:rsidR="00FB6583" w:rsidRPr="006E0FA2" w:rsidRDefault="00FB6583" w:rsidP="007274F1">
            <w:pPr>
              <w:pStyle w:val="COMTabletext"/>
              <w:keepNext w:val="0"/>
            </w:pPr>
            <w:r w:rsidRPr="007B0240">
              <w:t>Elrexfio</w:t>
            </w:r>
          </w:p>
          <w:p w14:paraId="4340C4BC" w14:textId="77777777" w:rsidR="00FB6583" w:rsidRPr="007B0240" w:rsidRDefault="00FB6583" w:rsidP="007274F1">
            <w:pPr>
              <w:pStyle w:val="COMTabletext"/>
              <w:keepNext w:val="0"/>
            </w:pPr>
            <w:r w:rsidRPr="006E0FA2">
              <w:t>(</w:t>
            </w:r>
            <w:r>
              <w:t>elranatamab 76 mg/1.9 mL injection</w:t>
            </w:r>
            <w:r w:rsidRPr="006E0FA2">
              <w:t>, 1 vial)</w:t>
            </w:r>
          </w:p>
        </w:tc>
      </w:tr>
      <w:tr w:rsidR="00114FA7" w:rsidRPr="006E0FA2" w14:paraId="3EE8ABAE" w14:textId="77777777" w:rsidTr="007274F1">
        <w:tblPrEx>
          <w:tblCellMar>
            <w:top w:w="15" w:type="dxa"/>
            <w:bottom w:w="15" w:type="dxa"/>
          </w:tblCellMar>
          <w:tblLook w:val="04A0" w:firstRow="1" w:lastRow="0" w:firstColumn="1" w:lastColumn="0" w:noHBand="0" w:noVBand="1"/>
        </w:tblPrEx>
        <w:trPr>
          <w:trHeight w:val="20"/>
        </w:trPr>
        <w:tc>
          <w:tcPr>
            <w:tcW w:w="5000" w:type="pct"/>
            <w:gridSpan w:val="4"/>
          </w:tcPr>
          <w:p w14:paraId="3B622315" w14:textId="77B99EBB" w:rsidR="003A4C14" w:rsidRPr="006E0FA2" w:rsidRDefault="003A4C14" w:rsidP="007274F1">
            <w:pPr>
              <w:pStyle w:val="COMTabletext"/>
              <w:keepNext w:val="0"/>
            </w:pPr>
            <w:bookmarkStart w:id="12" w:name="_Hlk104809470"/>
            <w:bookmarkEnd w:id="11"/>
            <w:r w:rsidRPr="006E0FA2">
              <w:rPr>
                <w:b/>
              </w:rPr>
              <w:t xml:space="preserve">Category / Program: </w:t>
            </w:r>
            <w:r w:rsidR="00CD23B3">
              <w:rPr>
                <w:bCs w:val="0"/>
              </w:rPr>
              <w:t>General Schedule</w:t>
            </w:r>
            <w:r w:rsidR="00D0398C">
              <w:rPr>
                <w:bCs w:val="0"/>
              </w:rPr>
              <w:t xml:space="preserve"> and </w:t>
            </w:r>
            <w:r w:rsidR="00CD23B3" w:rsidRPr="006E0FA2">
              <w:t>Section 100 – Efficient Funding of Chemotherapy</w:t>
            </w:r>
            <w:r w:rsidR="00D0398C">
              <w:t xml:space="preserve"> (Related Benefits) – Schedule 2</w:t>
            </w:r>
          </w:p>
        </w:tc>
      </w:tr>
      <w:tr w:rsidR="00114FA7" w:rsidRPr="006E0FA2" w14:paraId="09416ED3" w14:textId="77777777" w:rsidTr="007274F1">
        <w:tblPrEx>
          <w:tblCellMar>
            <w:top w:w="15" w:type="dxa"/>
            <w:bottom w:w="15" w:type="dxa"/>
          </w:tblCellMar>
          <w:tblLook w:val="04A0" w:firstRow="1" w:lastRow="0" w:firstColumn="1" w:lastColumn="0" w:noHBand="0" w:noVBand="1"/>
        </w:tblPrEx>
        <w:trPr>
          <w:trHeight w:val="20"/>
        </w:trPr>
        <w:tc>
          <w:tcPr>
            <w:tcW w:w="5000" w:type="pct"/>
            <w:gridSpan w:val="4"/>
          </w:tcPr>
          <w:p w14:paraId="7D2ED8D5" w14:textId="17E7A4E7" w:rsidR="003A4C14" w:rsidRPr="006E0FA2" w:rsidRDefault="003A4C14" w:rsidP="007274F1">
            <w:pPr>
              <w:pStyle w:val="COMTabletext"/>
              <w:keepNext w:val="0"/>
              <w:rPr>
                <w:b/>
              </w:rPr>
            </w:pPr>
            <w:r w:rsidRPr="006E0FA2">
              <w:rPr>
                <w:b/>
              </w:rPr>
              <w:t xml:space="preserve">Prescriber type: </w:t>
            </w:r>
            <w:r w:rsidR="00CD23B3">
              <w:fldChar w:fldCharType="begin" w:fldLock="1">
                <w:ffData>
                  <w:name w:val=""/>
                  <w:enabled/>
                  <w:calcOnExit w:val="0"/>
                  <w:checkBox>
                    <w:sizeAuto/>
                    <w:default w:val="1"/>
                  </w:checkBox>
                </w:ffData>
              </w:fldChar>
            </w:r>
            <w:r w:rsidR="00CD23B3">
              <w:instrText xml:space="preserve"> FORMCHECKBOX </w:instrText>
            </w:r>
            <w:r w:rsidR="00CD23B3">
              <w:fldChar w:fldCharType="separate"/>
            </w:r>
            <w:r w:rsidR="00CD23B3">
              <w:fldChar w:fldCharType="end"/>
            </w:r>
            <w:r w:rsidRPr="006E0FA2">
              <w:t>Medical Practitioners</w:t>
            </w:r>
          </w:p>
        </w:tc>
      </w:tr>
      <w:tr w:rsidR="00114FA7" w:rsidRPr="006E0FA2" w14:paraId="070CFDD2" w14:textId="77777777" w:rsidTr="007274F1">
        <w:tblPrEx>
          <w:tblCellMar>
            <w:top w:w="15" w:type="dxa"/>
            <w:bottom w:w="15" w:type="dxa"/>
          </w:tblCellMar>
          <w:tblLook w:val="04A0" w:firstRow="1" w:lastRow="0" w:firstColumn="1" w:lastColumn="0" w:noHBand="0" w:noVBand="1"/>
        </w:tblPrEx>
        <w:trPr>
          <w:trHeight w:val="20"/>
        </w:trPr>
        <w:tc>
          <w:tcPr>
            <w:tcW w:w="5000" w:type="pct"/>
            <w:gridSpan w:val="4"/>
          </w:tcPr>
          <w:p w14:paraId="3320A955" w14:textId="165A3507" w:rsidR="003A4C14" w:rsidRPr="006E0FA2" w:rsidRDefault="003A4C14" w:rsidP="007274F1">
            <w:pPr>
              <w:pStyle w:val="COMTabletext"/>
              <w:keepNext w:val="0"/>
            </w:pPr>
            <w:r w:rsidRPr="006E0FA2">
              <w:rPr>
                <w:b/>
              </w:rPr>
              <w:t xml:space="preserve">Restriction type: </w:t>
            </w:r>
            <w:r w:rsidR="00CD23B3">
              <w:fldChar w:fldCharType="begin" w:fldLock="1">
                <w:ffData>
                  <w:name w:val=""/>
                  <w:enabled/>
                  <w:calcOnExit w:val="0"/>
                  <w:checkBox>
                    <w:sizeAuto/>
                    <w:default w:val="1"/>
                  </w:checkBox>
                </w:ffData>
              </w:fldChar>
            </w:r>
            <w:r w:rsidR="00CD23B3">
              <w:instrText xml:space="preserve"> FORMCHECKBOX </w:instrText>
            </w:r>
            <w:r w:rsidR="00CD23B3">
              <w:fldChar w:fldCharType="separate"/>
            </w:r>
            <w:r w:rsidR="00CD23B3">
              <w:fldChar w:fldCharType="end"/>
            </w:r>
            <w:r w:rsidRPr="006E0FA2">
              <w:t>Authority Required (telephone/online PBS Authorities system)</w:t>
            </w:r>
          </w:p>
        </w:tc>
      </w:tr>
      <w:tr w:rsidR="00CD23B3" w:rsidRPr="006E0FA2" w14:paraId="520BD548" w14:textId="77777777" w:rsidTr="007274F1">
        <w:tblPrEx>
          <w:tblCellMar>
            <w:top w:w="15" w:type="dxa"/>
            <w:bottom w:w="15" w:type="dxa"/>
          </w:tblCellMar>
          <w:tblLook w:val="04A0" w:firstRow="1" w:lastRow="0" w:firstColumn="1" w:lastColumn="0" w:noHBand="0" w:noVBand="1"/>
        </w:tblPrEx>
        <w:trPr>
          <w:trHeight w:val="20"/>
        </w:trPr>
        <w:tc>
          <w:tcPr>
            <w:tcW w:w="5000" w:type="pct"/>
            <w:gridSpan w:val="4"/>
            <w:vAlign w:val="center"/>
          </w:tcPr>
          <w:p w14:paraId="200DF20E" w14:textId="1A78FC68" w:rsidR="00CD23B3" w:rsidRPr="006E0FA2" w:rsidRDefault="00CD23B3" w:rsidP="007274F1">
            <w:pPr>
              <w:pStyle w:val="COMTabletext"/>
              <w:keepNext w:val="0"/>
              <w:rPr>
                <w:b/>
              </w:rPr>
            </w:pPr>
            <w:r w:rsidRPr="006E0FA2">
              <w:rPr>
                <w:b/>
              </w:rPr>
              <w:t>Indication:</w:t>
            </w:r>
            <w:r w:rsidRPr="006E0FA2">
              <w:t xml:space="preserve"> </w:t>
            </w:r>
            <w:r>
              <w:t>Relapsed or refractory multiple myeloma</w:t>
            </w:r>
          </w:p>
        </w:tc>
      </w:tr>
      <w:tr w:rsidR="00CD23B3" w:rsidRPr="006E0FA2" w14:paraId="1C77854D" w14:textId="77777777" w:rsidTr="007274F1">
        <w:tblPrEx>
          <w:tblCellMar>
            <w:top w:w="15" w:type="dxa"/>
            <w:bottom w:w="15" w:type="dxa"/>
          </w:tblCellMar>
          <w:tblLook w:val="04A0" w:firstRow="1" w:lastRow="0" w:firstColumn="1" w:lastColumn="0" w:noHBand="0" w:noVBand="1"/>
        </w:tblPrEx>
        <w:trPr>
          <w:trHeight w:val="20"/>
        </w:trPr>
        <w:tc>
          <w:tcPr>
            <w:tcW w:w="5000" w:type="pct"/>
            <w:gridSpan w:val="4"/>
            <w:vAlign w:val="center"/>
          </w:tcPr>
          <w:p w14:paraId="458BBA51" w14:textId="55AACB5A" w:rsidR="00CD23B3" w:rsidRPr="006E0FA2" w:rsidRDefault="00CD23B3" w:rsidP="007274F1">
            <w:pPr>
              <w:pStyle w:val="COMTabletext"/>
              <w:keepNext w:val="0"/>
            </w:pPr>
            <w:r w:rsidRPr="006E0FA2">
              <w:rPr>
                <w:b/>
              </w:rPr>
              <w:t>Treatment Phase:</w:t>
            </w:r>
            <w:r w:rsidRPr="006E0FA2">
              <w:t xml:space="preserve"> </w:t>
            </w:r>
            <w:r>
              <w:t>Initial treatment - d</w:t>
            </w:r>
            <w:r w:rsidRPr="00D94F51">
              <w:t>ose requirement of 12 mg on Day 1 and 32 mg on Day 4</w:t>
            </w:r>
          </w:p>
        </w:tc>
      </w:tr>
      <w:tr w:rsidR="00CD23B3" w:rsidRPr="006E0FA2" w14:paraId="5AD67CF6" w14:textId="77777777" w:rsidTr="007274F1">
        <w:tblPrEx>
          <w:tblCellMar>
            <w:top w:w="15" w:type="dxa"/>
            <w:bottom w:w="15" w:type="dxa"/>
          </w:tblCellMar>
          <w:tblLook w:val="04A0" w:firstRow="1" w:lastRow="0" w:firstColumn="1" w:lastColumn="0" w:noHBand="0" w:noVBand="1"/>
        </w:tblPrEx>
        <w:trPr>
          <w:trHeight w:val="20"/>
        </w:trPr>
        <w:tc>
          <w:tcPr>
            <w:tcW w:w="5000" w:type="pct"/>
            <w:gridSpan w:val="4"/>
            <w:vAlign w:val="center"/>
          </w:tcPr>
          <w:p w14:paraId="61A039CE" w14:textId="2D52273B" w:rsidR="00CD23B3" w:rsidRPr="006E0FA2" w:rsidRDefault="00CD23B3" w:rsidP="007274F1">
            <w:pPr>
              <w:pStyle w:val="COMTabletext"/>
              <w:keepNext w:val="0"/>
              <w:rPr>
                <w:b/>
              </w:rPr>
            </w:pPr>
            <w:r w:rsidRPr="00441E8A">
              <w:rPr>
                <w:b/>
                <w:bCs w:val="0"/>
              </w:rPr>
              <w:t>Clinical criteria:</w:t>
            </w:r>
          </w:p>
        </w:tc>
      </w:tr>
      <w:tr w:rsidR="00CD23B3" w:rsidRPr="006E0FA2" w14:paraId="4473716B" w14:textId="77777777" w:rsidTr="007274F1">
        <w:tblPrEx>
          <w:tblCellMar>
            <w:top w:w="15" w:type="dxa"/>
            <w:bottom w:w="15" w:type="dxa"/>
          </w:tblCellMar>
          <w:tblLook w:val="04A0" w:firstRow="1" w:lastRow="0" w:firstColumn="1" w:lastColumn="0" w:noHBand="0" w:noVBand="1"/>
        </w:tblPrEx>
        <w:trPr>
          <w:trHeight w:val="20"/>
        </w:trPr>
        <w:tc>
          <w:tcPr>
            <w:tcW w:w="5000" w:type="pct"/>
            <w:gridSpan w:val="4"/>
            <w:vAlign w:val="center"/>
          </w:tcPr>
          <w:p w14:paraId="0C58C468" w14:textId="7B516BBA" w:rsidR="00CD23B3" w:rsidRPr="006E0FA2" w:rsidRDefault="00CD23B3" w:rsidP="007274F1">
            <w:pPr>
              <w:pStyle w:val="COMTabletext"/>
              <w:keepNext w:val="0"/>
              <w:rPr>
                <w:b/>
              </w:rPr>
            </w:pPr>
            <w:r w:rsidRPr="00AC45C8">
              <w:t>The condition must be confirmed by a histological diagnosis</w:t>
            </w:r>
          </w:p>
        </w:tc>
      </w:tr>
      <w:tr w:rsidR="00CD23B3" w:rsidRPr="006E0FA2" w14:paraId="5BFE3347" w14:textId="77777777" w:rsidTr="007274F1">
        <w:tblPrEx>
          <w:tblCellMar>
            <w:top w:w="15" w:type="dxa"/>
            <w:bottom w:w="15" w:type="dxa"/>
          </w:tblCellMar>
          <w:tblLook w:val="04A0" w:firstRow="1" w:lastRow="0" w:firstColumn="1" w:lastColumn="0" w:noHBand="0" w:noVBand="1"/>
        </w:tblPrEx>
        <w:trPr>
          <w:trHeight w:val="20"/>
        </w:trPr>
        <w:tc>
          <w:tcPr>
            <w:tcW w:w="5000" w:type="pct"/>
            <w:gridSpan w:val="4"/>
            <w:vAlign w:val="center"/>
            <w:hideMark/>
          </w:tcPr>
          <w:p w14:paraId="3296BDDA" w14:textId="4A776CCD" w:rsidR="00CD23B3" w:rsidRPr="006E0FA2" w:rsidRDefault="00CD23B3" w:rsidP="007274F1">
            <w:pPr>
              <w:pStyle w:val="COMTabletext"/>
              <w:keepNext w:val="0"/>
            </w:pPr>
            <w:r w:rsidRPr="00441E8A">
              <w:rPr>
                <w:b/>
                <w:bCs w:val="0"/>
              </w:rPr>
              <w:lastRenderedPageBreak/>
              <w:t>AND</w:t>
            </w:r>
          </w:p>
        </w:tc>
      </w:tr>
      <w:tr w:rsidR="00CD23B3" w:rsidRPr="006E0FA2" w14:paraId="7A6417F7" w14:textId="77777777" w:rsidTr="007274F1">
        <w:tblPrEx>
          <w:tblCellMar>
            <w:top w:w="15" w:type="dxa"/>
            <w:bottom w:w="15" w:type="dxa"/>
          </w:tblCellMar>
          <w:tblLook w:val="04A0" w:firstRow="1" w:lastRow="0" w:firstColumn="1" w:lastColumn="0" w:noHBand="0" w:noVBand="1"/>
        </w:tblPrEx>
        <w:trPr>
          <w:trHeight w:val="20"/>
        </w:trPr>
        <w:tc>
          <w:tcPr>
            <w:tcW w:w="5000" w:type="pct"/>
            <w:gridSpan w:val="4"/>
            <w:vAlign w:val="center"/>
            <w:hideMark/>
          </w:tcPr>
          <w:p w14:paraId="655B4B49" w14:textId="2A014EC0" w:rsidR="00CD23B3" w:rsidRPr="006E0FA2" w:rsidRDefault="00CD23B3" w:rsidP="007274F1">
            <w:pPr>
              <w:pStyle w:val="COMTabletext"/>
              <w:keepNext w:val="0"/>
            </w:pPr>
            <w:r w:rsidRPr="00441E8A">
              <w:rPr>
                <w:b/>
                <w:bCs w:val="0"/>
              </w:rPr>
              <w:t>Clinical criteria:</w:t>
            </w:r>
          </w:p>
        </w:tc>
      </w:tr>
      <w:tr w:rsidR="00CD23B3" w:rsidRPr="006E0FA2" w14:paraId="3ABBD2EC" w14:textId="77777777" w:rsidTr="007274F1">
        <w:tblPrEx>
          <w:tblCellMar>
            <w:top w:w="15" w:type="dxa"/>
            <w:bottom w:w="15" w:type="dxa"/>
          </w:tblCellMar>
          <w:tblLook w:val="04A0" w:firstRow="1" w:lastRow="0" w:firstColumn="1" w:lastColumn="0" w:noHBand="0" w:noVBand="1"/>
        </w:tblPrEx>
        <w:trPr>
          <w:trHeight w:val="20"/>
        </w:trPr>
        <w:tc>
          <w:tcPr>
            <w:tcW w:w="5000" w:type="pct"/>
            <w:gridSpan w:val="4"/>
            <w:vAlign w:val="center"/>
            <w:hideMark/>
          </w:tcPr>
          <w:p w14:paraId="5D485398" w14:textId="48E605A2" w:rsidR="00CD23B3" w:rsidRPr="006E0FA2" w:rsidRDefault="00CD23B3" w:rsidP="007274F1">
            <w:pPr>
              <w:pStyle w:val="COMTabletext"/>
              <w:keepNext w:val="0"/>
            </w:pPr>
            <w:r w:rsidRPr="00AC45C8">
              <w:t>Patient must have received at least 3 prior lines of therapy, including a proteasome inhibitor, an immunomodulatory agent, and an anti-CD38 monoclonal antibody</w:t>
            </w:r>
          </w:p>
        </w:tc>
      </w:tr>
      <w:tr w:rsidR="00CD23B3" w:rsidRPr="006E0FA2" w14:paraId="26BA494C" w14:textId="77777777" w:rsidTr="007274F1">
        <w:tblPrEx>
          <w:tblCellMar>
            <w:top w:w="15" w:type="dxa"/>
            <w:bottom w:w="15" w:type="dxa"/>
          </w:tblCellMar>
          <w:tblLook w:val="04A0" w:firstRow="1" w:lastRow="0" w:firstColumn="1" w:lastColumn="0" w:noHBand="0" w:noVBand="1"/>
        </w:tblPrEx>
        <w:trPr>
          <w:trHeight w:val="20"/>
        </w:trPr>
        <w:tc>
          <w:tcPr>
            <w:tcW w:w="5000" w:type="pct"/>
            <w:gridSpan w:val="4"/>
            <w:vAlign w:val="center"/>
            <w:hideMark/>
          </w:tcPr>
          <w:p w14:paraId="1A0AADCD" w14:textId="43D7232A" w:rsidR="00CD23B3" w:rsidRPr="006E0FA2" w:rsidRDefault="00CD23B3" w:rsidP="007274F1">
            <w:pPr>
              <w:pStyle w:val="COMTabletext"/>
              <w:keepNext w:val="0"/>
            </w:pPr>
            <w:r w:rsidRPr="00441E8A">
              <w:rPr>
                <w:b/>
                <w:bCs w:val="0"/>
              </w:rPr>
              <w:t>AND</w:t>
            </w:r>
          </w:p>
        </w:tc>
      </w:tr>
      <w:tr w:rsidR="00CD23B3" w:rsidRPr="006E0FA2" w14:paraId="1541981C" w14:textId="77777777" w:rsidTr="007274F1">
        <w:tblPrEx>
          <w:tblCellMar>
            <w:top w:w="15" w:type="dxa"/>
            <w:bottom w:w="15" w:type="dxa"/>
          </w:tblCellMar>
          <w:tblLook w:val="04A0" w:firstRow="1" w:lastRow="0" w:firstColumn="1" w:lastColumn="0" w:noHBand="0" w:noVBand="1"/>
        </w:tblPrEx>
        <w:trPr>
          <w:trHeight w:val="20"/>
        </w:trPr>
        <w:tc>
          <w:tcPr>
            <w:tcW w:w="5000" w:type="pct"/>
            <w:gridSpan w:val="4"/>
            <w:vAlign w:val="center"/>
            <w:hideMark/>
          </w:tcPr>
          <w:p w14:paraId="6F3D1453" w14:textId="7B4D9EE5" w:rsidR="00CD23B3" w:rsidRPr="006E0FA2" w:rsidRDefault="00CD23B3" w:rsidP="007274F1">
            <w:pPr>
              <w:pStyle w:val="COMTabletext"/>
              <w:keepNext w:val="0"/>
            </w:pPr>
            <w:r w:rsidRPr="00441E8A">
              <w:rPr>
                <w:b/>
                <w:bCs w:val="0"/>
              </w:rPr>
              <w:t>Clinical criteria:</w:t>
            </w:r>
          </w:p>
        </w:tc>
      </w:tr>
      <w:tr w:rsidR="00CD23B3" w:rsidRPr="006E0FA2" w14:paraId="018890B8" w14:textId="77777777" w:rsidTr="007274F1">
        <w:tblPrEx>
          <w:tblCellMar>
            <w:top w:w="15" w:type="dxa"/>
            <w:bottom w:w="15" w:type="dxa"/>
          </w:tblCellMar>
          <w:tblLook w:val="04A0" w:firstRow="1" w:lastRow="0" w:firstColumn="1" w:lastColumn="0" w:noHBand="0" w:noVBand="1"/>
        </w:tblPrEx>
        <w:trPr>
          <w:trHeight w:val="20"/>
        </w:trPr>
        <w:tc>
          <w:tcPr>
            <w:tcW w:w="5000" w:type="pct"/>
            <w:gridSpan w:val="4"/>
            <w:vAlign w:val="center"/>
            <w:hideMark/>
          </w:tcPr>
          <w:p w14:paraId="79CB2648" w14:textId="7D295AA1" w:rsidR="00CD23B3" w:rsidRPr="006E0FA2" w:rsidRDefault="00CD23B3" w:rsidP="007274F1">
            <w:pPr>
              <w:pStyle w:val="COMTabletext"/>
              <w:keepNext w:val="0"/>
            </w:pPr>
            <w:r w:rsidRPr="00AC45C8">
              <w:t>Patient must not have previously received this drug for this condition</w:t>
            </w:r>
          </w:p>
        </w:tc>
      </w:tr>
      <w:tr w:rsidR="00CD23B3" w:rsidRPr="006E0FA2" w14:paraId="1096E289" w14:textId="77777777" w:rsidTr="007274F1">
        <w:tblPrEx>
          <w:tblCellMar>
            <w:top w:w="15" w:type="dxa"/>
            <w:bottom w:w="15" w:type="dxa"/>
          </w:tblCellMar>
          <w:tblLook w:val="04A0" w:firstRow="1" w:lastRow="0" w:firstColumn="1" w:lastColumn="0" w:noHBand="0" w:noVBand="1"/>
        </w:tblPrEx>
        <w:trPr>
          <w:trHeight w:val="20"/>
        </w:trPr>
        <w:tc>
          <w:tcPr>
            <w:tcW w:w="5000" w:type="pct"/>
            <w:gridSpan w:val="4"/>
            <w:vAlign w:val="center"/>
            <w:hideMark/>
          </w:tcPr>
          <w:p w14:paraId="16929626" w14:textId="1D6B5E7F" w:rsidR="00CD23B3" w:rsidRPr="006E0FA2" w:rsidRDefault="00CD23B3" w:rsidP="007274F1">
            <w:pPr>
              <w:pStyle w:val="COMTabletext"/>
              <w:keepNext w:val="0"/>
            </w:pPr>
            <w:r w:rsidRPr="006E0FA2">
              <w:rPr>
                <w:b/>
              </w:rPr>
              <w:t xml:space="preserve">Treatment </w:t>
            </w:r>
            <w:r w:rsidR="00F61985">
              <w:rPr>
                <w:b/>
              </w:rPr>
              <w:t>criteria</w:t>
            </w:r>
            <w:r w:rsidRPr="006E0FA2">
              <w:rPr>
                <w:b/>
              </w:rPr>
              <w:t>:</w:t>
            </w:r>
          </w:p>
        </w:tc>
      </w:tr>
      <w:tr w:rsidR="00CD23B3" w:rsidRPr="006E0FA2" w14:paraId="1E0CC9FB" w14:textId="77777777" w:rsidTr="007274F1">
        <w:tblPrEx>
          <w:tblCellMar>
            <w:top w:w="15" w:type="dxa"/>
            <w:bottom w:w="15" w:type="dxa"/>
          </w:tblCellMar>
          <w:tblLook w:val="04A0" w:firstRow="1" w:lastRow="0" w:firstColumn="1" w:lastColumn="0" w:noHBand="0" w:noVBand="1"/>
        </w:tblPrEx>
        <w:trPr>
          <w:trHeight w:val="20"/>
        </w:trPr>
        <w:tc>
          <w:tcPr>
            <w:tcW w:w="5000" w:type="pct"/>
            <w:gridSpan w:val="4"/>
            <w:vAlign w:val="center"/>
          </w:tcPr>
          <w:p w14:paraId="6284F2B6" w14:textId="77777777" w:rsidR="00F61985" w:rsidRDefault="00F61985" w:rsidP="007274F1">
            <w:pPr>
              <w:pStyle w:val="COMTabletext"/>
              <w:keepNext w:val="0"/>
            </w:pPr>
            <w:r>
              <w:t>Progressive disease is defined as at least 1 of the following:</w:t>
            </w:r>
          </w:p>
          <w:p w14:paraId="21601ECA" w14:textId="77777777" w:rsidR="00F61985" w:rsidRDefault="00F61985" w:rsidP="007274F1">
            <w:pPr>
              <w:pStyle w:val="COMTabletext"/>
              <w:keepNext w:val="0"/>
            </w:pPr>
            <w:r>
              <w:t>(a) at least a 25% increase and an absolute increase of at least 5 g per L in serum M protein (monoclonal protein); or</w:t>
            </w:r>
          </w:p>
          <w:p w14:paraId="7F89E9B8" w14:textId="77777777" w:rsidR="00F61985" w:rsidRDefault="00F61985" w:rsidP="007274F1">
            <w:pPr>
              <w:pStyle w:val="COMTabletext"/>
              <w:keepNext w:val="0"/>
            </w:pPr>
            <w:r>
              <w:t>(b) at least a 25% increase in 24-hour urinary light chain M protein excretion, and an absolute increase of at least 200 mg per 24 hours; or</w:t>
            </w:r>
          </w:p>
          <w:p w14:paraId="68D83CD7" w14:textId="77777777" w:rsidR="00F61985" w:rsidRDefault="00F61985" w:rsidP="007274F1">
            <w:pPr>
              <w:pStyle w:val="COMTabletext"/>
              <w:keepNext w:val="0"/>
            </w:pPr>
            <w:r>
              <w:t>(c) in oligo-secretory and non-secretory myeloma patients only, at least a 50% increase in the difference between involved free light chain and uninvolved free light chain; or</w:t>
            </w:r>
          </w:p>
          <w:p w14:paraId="4AA2EDD4" w14:textId="77777777" w:rsidR="00F61985" w:rsidRDefault="00F61985" w:rsidP="007274F1">
            <w:pPr>
              <w:pStyle w:val="COMTabletext"/>
              <w:keepNext w:val="0"/>
            </w:pPr>
            <w:r>
              <w:t>(d) at least a 25% relative increase and at least a 10% absolute increase in plasma cells in a bone marrow aspirate or on biopsy; or</w:t>
            </w:r>
          </w:p>
          <w:p w14:paraId="678AC32B" w14:textId="77777777" w:rsidR="00F61985" w:rsidRDefault="00F61985" w:rsidP="007274F1">
            <w:pPr>
              <w:pStyle w:val="COMTabletext"/>
              <w:keepNext w:val="0"/>
            </w:pPr>
            <w:r>
              <w:t>(e) an increase in the size or number of lytic bone lesions (not including compression fractures); or</w:t>
            </w:r>
          </w:p>
          <w:p w14:paraId="516E2AB4" w14:textId="77777777" w:rsidR="00F61985" w:rsidRDefault="00F61985" w:rsidP="007274F1">
            <w:pPr>
              <w:pStyle w:val="COMTabletext"/>
              <w:keepNext w:val="0"/>
            </w:pPr>
            <w:r>
              <w:t>(f) at least a 25% increase in the size of an existing or the development of a new soft tissue plasmacytoma (determined by clinical examination or diagnostic imaging); or</w:t>
            </w:r>
          </w:p>
          <w:p w14:paraId="0A690C51" w14:textId="77777777" w:rsidR="00F61985" w:rsidRDefault="00F61985" w:rsidP="007274F1">
            <w:pPr>
              <w:pStyle w:val="COMTabletext"/>
              <w:keepNext w:val="0"/>
            </w:pPr>
            <w:r>
              <w:t>(g) development of hypercalcaemia (corrected serum calcium greater than 2.65 mmol per L not attributable to any other cause).</w:t>
            </w:r>
          </w:p>
          <w:p w14:paraId="7B0A397E" w14:textId="77777777" w:rsidR="00F61985" w:rsidRDefault="00F61985" w:rsidP="007274F1">
            <w:pPr>
              <w:pStyle w:val="COMTabletext"/>
              <w:keepNext w:val="0"/>
            </w:pPr>
          </w:p>
          <w:p w14:paraId="4E923E4E" w14:textId="77777777" w:rsidR="00CD23B3" w:rsidRDefault="00F61985" w:rsidP="007274F1">
            <w:pPr>
              <w:pStyle w:val="COMTabletext"/>
              <w:keepNext w:val="0"/>
            </w:pPr>
            <w:r>
              <w:t>Oligo-secretory and non-secretory patients are defined as having active disease with less than 10 g per L serum M protein.</w:t>
            </w:r>
          </w:p>
          <w:p w14:paraId="3D9B6A55" w14:textId="77777777" w:rsidR="003F745A" w:rsidRDefault="003F745A" w:rsidP="007274F1">
            <w:pPr>
              <w:pStyle w:val="COMTabletext"/>
              <w:keepNext w:val="0"/>
            </w:pPr>
          </w:p>
          <w:p w14:paraId="0E4B1174" w14:textId="77777777" w:rsidR="003F745A" w:rsidRDefault="003F745A" w:rsidP="007274F1">
            <w:pPr>
              <w:pStyle w:val="COMTabletext"/>
              <w:keepNext w:val="0"/>
            </w:pPr>
            <w:r>
              <w:t xml:space="preserve">Details </w:t>
            </w:r>
            <w:proofErr w:type="gramStart"/>
            <w:r>
              <w:t>of:</w:t>
            </w:r>
            <w:proofErr w:type="gramEnd"/>
            <w:r>
              <w:t xml:space="preserve"> the histological diagnosis of multiple myeloma; prior treatments including name(s) of drug(s) and date of most recent treatment cycle; the basis of the diagnosis of progressive disease or failure to respond; and which disease activity parameters will be used to assess response, must be documented in the patient's medical records.</w:t>
            </w:r>
          </w:p>
          <w:p w14:paraId="70E9490F" w14:textId="77777777" w:rsidR="003F745A" w:rsidRDefault="003F745A" w:rsidP="007274F1">
            <w:pPr>
              <w:pStyle w:val="COMTabletext"/>
              <w:keepNext w:val="0"/>
            </w:pPr>
          </w:p>
          <w:p w14:paraId="40A4ADF3" w14:textId="77777777" w:rsidR="003F745A" w:rsidRDefault="003F745A" w:rsidP="007274F1">
            <w:pPr>
              <w:pStyle w:val="COMTabletext"/>
              <w:keepNext w:val="0"/>
            </w:pPr>
            <w:r>
              <w:t>Confirmation of eligibility for treatment with current diagnostic reports of at least one of the following must be documented in the patient's medical records:</w:t>
            </w:r>
          </w:p>
          <w:p w14:paraId="08B21387" w14:textId="77777777" w:rsidR="003F745A" w:rsidRDefault="003F745A" w:rsidP="007274F1">
            <w:pPr>
              <w:pStyle w:val="COMTabletext"/>
              <w:keepNext w:val="0"/>
            </w:pPr>
            <w:r>
              <w:t>(a) the level of serum monoclonal protein; or</w:t>
            </w:r>
          </w:p>
          <w:p w14:paraId="32A3EA20" w14:textId="77777777" w:rsidR="003F745A" w:rsidRDefault="003F745A" w:rsidP="007274F1">
            <w:pPr>
              <w:pStyle w:val="COMTabletext"/>
              <w:keepNext w:val="0"/>
            </w:pPr>
            <w:r>
              <w:t>(b) Bence-Jones proteinuria - the results of 24-hour urinary light chain M protein excretion; or</w:t>
            </w:r>
          </w:p>
          <w:p w14:paraId="55599D6C" w14:textId="77777777" w:rsidR="003F745A" w:rsidRDefault="003F745A" w:rsidP="007274F1">
            <w:pPr>
              <w:pStyle w:val="COMTabletext"/>
              <w:keepNext w:val="0"/>
            </w:pPr>
            <w:r>
              <w:t>(c) the serum level of free kappa and lambda light chains; or</w:t>
            </w:r>
          </w:p>
          <w:p w14:paraId="69F9233B" w14:textId="77777777" w:rsidR="003F745A" w:rsidRDefault="003F745A" w:rsidP="007274F1">
            <w:pPr>
              <w:pStyle w:val="COMTabletext"/>
              <w:keepNext w:val="0"/>
            </w:pPr>
            <w:r>
              <w:t>(d) bone marrow aspirate or trephine; or</w:t>
            </w:r>
          </w:p>
          <w:p w14:paraId="15C976F6" w14:textId="77777777" w:rsidR="003F745A" w:rsidRDefault="003F745A" w:rsidP="007274F1">
            <w:pPr>
              <w:pStyle w:val="COMTabletext"/>
              <w:keepNext w:val="0"/>
            </w:pPr>
            <w:r>
              <w:t>(e) if present, the size and location of lytic bone lesions (not including compression fractures); or</w:t>
            </w:r>
          </w:p>
          <w:p w14:paraId="6CE57DC0" w14:textId="77777777" w:rsidR="003F745A" w:rsidRDefault="003F745A" w:rsidP="007274F1">
            <w:pPr>
              <w:pStyle w:val="COMTabletext"/>
              <w:keepNext w:val="0"/>
            </w:pPr>
            <w:r>
              <w:t>(f) if present, the size and location of all soft tissue plasmacytomas by clinical or radiographic examination i.e. MRI or CT-scan; or</w:t>
            </w:r>
          </w:p>
          <w:p w14:paraId="3B162C68" w14:textId="77777777" w:rsidR="003F745A" w:rsidRDefault="003F745A" w:rsidP="007274F1">
            <w:pPr>
              <w:pStyle w:val="COMTabletext"/>
              <w:keepNext w:val="0"/>
            </w:pPr>
            <w:r>
              <w:t>(g) if present, the level of hypercalcaemia, corrected for albumin concentration.</w:t>
            </w:r>
          </w:p>
          <w:p w14:paraId="5CB25CC8" w14:textId="77777777" w:rsidR="003F745A" w:rsidRDefault="003F745A" w:rsidP="007274F1">
            <w:pPr>
              <w:pStyle w:val="COMTabletext"/>
              <w:keepNext w:val="0"/>
            </w:pPr>
          </w:p>
          <w:p w14:paraId="419E5E0A" w14:textId="77777777" w:rsidR="003F745A" w:rsidRDefault="003F745A" w:rsidP="007274F1">
            <w:pPr>
              <w:pStyle w:val="COMTabletext"/>
              <w:keepNext w:val="0"/>
            </w:pPr>
            <w:r>
              <w:t>As these parameters must be used to determine response, results for either (a) or (b) or (c) should be documented for all patients. Where the patient has oligo-secretory or non-secretory multiple myeloma, either (c) or (d) or if relevant (e), (f) or (g) must be documented in the patient's medical records. Where the prescriber plans to assess response in patients with oligo-secretory or non-secretory multiple myeloma with free light chain assays, evidence of the oligo-secretory or non-secretory nature of the multiple myeloma (current serum M protein less than 10 g per L) must be documented in the patient's medical records.</w:t>
            </w:r>
          </w:p>
          <w:p w14:paraId="738A895C" w14:textId="77777777" w:rsidR="003F745A" w:rsidRDefault="003F745A" w:rsidP="007274F1">
            <w:pPr>
              <w:pStyle w:val="COMTabletext"/>
              <w:keepNext w:val="0"/>
            </w:pPr>
          </w:p>
          <w:p w14:paraId="6E11057F" w14:textId="24C4858F" w:rsidR="003F745A" w:rsidRPr="006E0FA2" w:rsidRDefault="003F745A" w:rsidP="007274F1">
            <w:pPr>
              <w:pStyle w:val="COMTabletext"/>
              <w:keepNext w:val="0"/>
            </w:pPr>
            <w:r>
              <w:t>Refractory disease is defined as less than or equal to a 25% response to therapy, or progression during or within 60 days after completion of therapy.</w:t>
            </w:r>
          </w:p>
        </w:tc>
      </w:tr>
      <w:tr w:rsidR="00330E07" w:rsidRPr="006E0FA2" w14:paraId="3FB2BB60" w14:textId="77777777" w:rsidTr="007274F1">
        <w:tblPrEx>
          <w:tblCellMar>
            <w:top w:w="15" w:type="dxa"/>
            <w:bottom w:w="15" w:type="dxa"/>
          </w:tblCellMar>
          <w:tblLook w:val="04A0" w:firstRow="1" w:lastRow="0" w:firstColumn="1" w:lastColumn="0" w:noHBand="0" w:noVBand="1"/>
        </w:tblPrEx>
        <w:trPr>
          <w:trHeight w:val="20"/>
        </w:trPr>
        <w:tc>
          <w:tcPr>
            <w:tcW w:w="5000" w:type="pct"/>
            <w:gridSpan w:val="4"/>
            <w:vAlign w:val="center"/>
          </w:tcPr>
          <w:p w14:paraId="6B0BD336" w14:textId="77777777" w:rsidR="00330E07" w:rsidRPr="006E0FA2" w:rsidRDefault="00330E07" w:rsidP="007274F1">
            <w:pPr>
              <w:pStyle w:val="COMTabletext"/>
              <w:keepNext w:val="0"/>
              <w:rPr>
                <w:b/>
              </w:rPr>
            </w:pPr>
          </w:p>
        </w:tc>
      </w:tr>
      <w:tr w:rsidR="00F61985" w:rsidRPr="006E0FA2" w14:paraId="3FEBA230" w14:textId="77777777" w:rsidTr="007274F1">
        <w:tblPrEx>
          <w:tblCellMar>
            <w:top w:w="15" w:type="dxa"/>
            <w:bottom w:w="15" w:type="dxa"/>
          </w:tblCellMar>
          <w:tblLook w:val="04A0" w:firstRow="1" w:lastRow="0" w:firstColumn="1" w:lastColumn="0" w:noHBand="0" w:noVBand="1"/>
        </w:tblPrEx>
        <w:trPr>
          <w:trHeight w:val="20"/>
        </w:trPr>
        <w:tc>
          <w:tcPr>
            <w:tcW w:w="5000" w:type="pct"/>
            <w:gridSpan w:val="4"/>
            <w:vAlign w:val="center"/>
          </w:tcPr>
          <w:p w14:paraId="5EECDD1E" w14:textId="1AA399EF" w:rsidR="00F61985" w:rsidRPr="006E0FA2" w:rsidRDefault="00F61985" w:rsidP="007274F1">
            <w:pPr>
              <w:pStyle w:val="COMTabletext"/>
              <w:keepNext w:val="0"/>
              <w:rPr>
                <w:i/>
                <w:iCs/>
              </w:rPr>
            </w:pPr>
            <w:r w:rsidRPr="006E0FA2">
              <w:rPr>
                <w:b/>
              </w:rPr>
              <w:t>Treatment Phase:</w:t>
            </w:r>
            <w:r w:rsidRPr="006E0FA2">
              <w:t xml:space="preserve"> </w:t>
            </w:r>
            <w:r>
              <w:t>Continuing treatment 1 - d</w:t>
            </w:r>
            <w:r w:rsidRPr="009248F3">
              <w:t>ose requirement of 76 mg every week from Weeks 2 to 24</w:t>
            </w:r>
          </w:p>
        </w:tc>
      </w:tr>
      <w:tr w:rsidR="00F61985" w:rsidRPr="006E0FA2" w14:paraId="7499D438" w14:textId="77777777" w:rsidTr="007274F1">
        <w:tblPrEx>
          <w:tblCellMar>
            <w:top w:w="15" w:type="dxa"/>
            <w:bottom w:w="15" w:type="dxa"/>
          </w:tblCellMar>
          <w:tblLook w:val="04A0" w:firstRow="1" w:lastRow="0" w:firstColumn="1" w:lastColumn="0" w:noHBand="0" w:noVBand="1"/>
        </w:tblPrEx>
        <w:trPr>
          <w:trHeight w:val="20"/>
        </w:trPr>
        <w:tc>
          <w:tcPr>
            <w:tcW w:w="5000" w:type="pct"/>
            <w:gridSpan w:val="4"/>
            <w:vAlign w:val="center"/>
          </w:tcPr>
          <w:p w14:paraId="06292C6C" w14:textId="11551927" w:rsidR="00F61985" w:rsidRPr="006E0FA2" w:rsidRDefault="00F61985" w:rsidP="007274F1">
            <w:pPr>
              <w:pStyle w:val="COMTabletext"/>
              <w:keepNext w:val="0"/>
            </w:pPr>
            <w:r w:rsidRPr="00441E8A">
              <w:rPr>
                <w:b/>
                <w:bCs w:val="0"/>
              </w:rPr>
              <w:t>Clinical criteria:</w:t>
            </w:r>
          </w:p>
        </w:tc>
      </w:tr>
      <w:tr w:rsidR="00F61985" w:rsidRPr="006E0FA2" w14:paraId="53BCD500" w14:textId="77777777" w:rsidTr="007274F1">
        <w:tblPrEx>
          <w:tblCellMar>
            <w:top w:w="15" w:type="dxa"/>
            <w:bottom w:w="15" w:type="dxa"/>
          </w:tblCellMar>
          <w:tblLook w:val="04A0" w:firstRow="1" w:lastRow="0" w:firstColumn="1" w:lastColumn="0" w:noHBand="0" w:noVBand="1"/>
        </w:tblPrEx>
        <w:trPr>
          <w:trHeight w:val="20"/>
        </w:trPr>
        <w:tc>
          <w:tcPr>
            <w:tcW w:w="5000" w:type="pct"/>
            <w:gridSpan w:val="4"/>
            <w:vAlign w:val="center"/>
          </w:tcPr>
          <w:p w14:paraId="38E56768" w14:textId="08B2B0E8" w:rsidR="00F61985" w:rsidRPr="006E0FA2" w:rsidRDefault="00F61985" w:rsidP="007274F1">
            <w:pPr>
              <w:pStyle w:val="COMTabletext"/>
              <w:keepNext w:val="0"/>
            </w:pPr>
            <w:r w:rsidRPr="009248F3">
              <w:t>Patient must have previously received initial treatment with this drug for this condition,</w:t>
            </w:r>
          </w:p>
        </w:tc>
      </w:tr>
      <w:tr w:rsidR="00F61985" w:rsidRPr="006E0FA2" w14:paraId="36CE7905" w14:textId="77777777" w:rsidTr="007274F1">
        <w:tblPrEx>
          <w:tblCellMar>
            <w:top w:w="15" w:type="dxa"/>
            <w:bottom w:w="15" w:type="dxa"/>
          </w:tblCellMar>
          <w:tblLook w:val="04A0" w:firstRow="1" w:lastRow="0" w:firstColumn="1" w:lastColumn="0" w:noHBand="0" w:noVBand="1"/>
        </w:tblPrEx>
        <w:trPr>
          <w:trHeight w:val="20"/>
        </w:trPr>
        <w:tc>
          <w:tcPr>
            <w:tcW w:w="5000" w:type="pct"/>
            <w:gridSpan w:val="4"/>
            <w:vAlign w:val="center"/>
          </w:tcPr>
          <w:p w14:paraId="0DD81C9D" w14:textId="4A396F8D" w:rsidR="00F61985" w:rsidRPr="006E0FA2" w:rsidRDefault="00F61985" w:rsidP="007274F1">
            <w:pPr>
              <w:pStyle w:val="COMTabletext"/>
              <w:keepNext w:val="0"/>
            </w:pPr>
            <w:r w:rsidRPr="00441E8A">
              <w:rPr>
                <w:b/>
                <w:bCs w:val="0"/>
              </w:rPr>
              <w:t>AND</w:t>
            </w:r>
          </w:p>
        </w:tc>
      </w:tr>
      <w:tr w:rsidR="00F61985" w:rsidRPr="006E0FA2" w14:paraId="292480CA" w14:textId="77777777" w:rsidTr="007274F1">
        <w:tblPrEx>
          <w:tblCellMar>
            <w:top w:w="15" w:type="dxa"/>
            <w:bottom w:w="15" w:type="dxa"/>
          </w:tblCellMar>
          <w:tblLook w:val="04A0" w:firstRow="1" w:lastRow="0" w:firstColumn="1" w:lastColumn="0" w:noHBand="0" w:noVBand="1"/>
        </w:tblPrEx>
        <w:trPr>
          <w:trHeight w:val="20"/>
        </w:trPr>
        <w:tc>
          <w:tcPr>
            <w:tcW w:w="5000" w:type="pct"/>
            <w:gridSpan w:val="4"/>
            <w:vAlign w:val="center"/>
          </w:tcPr>
          <w:p w14:paraId="78E5F63D" w14:textId="187941B4" w:rsidR="00F61985" w:rsidRPr="006E0FA2" w:rsidRDefault="00F61985" w:rsidP="007274F1">
            <w:pPr>
              <w:pStyle w:val="COMTabletext"/>
              <w:keepNext w:val="0"/>
            </w:pPr>
            <w:r w:rsidRPr="00441E8A">
              <w:rPr>
                <w:b/>
                <w:bCs w:val="0"/>
              </w:rPr>
              <w:lastRenderedPageBreak/>
              <w:t>Clinical criteria:</w:t>
            </w:r>
          </w:p>
        </w:tc>
      </w:tr>
      <w:tr w:rsidR="00F61985" w:rsidRPr="006E0FA2" w14:paraId="4ED37E3E" w14:textId="77777777" w:rsidTr="007274F1">
        <w:tblPrEx>
          <w:tblCellMar>
            <w:top w:w="15" w:type="dxa"/>
            <w:bottom w:w="15" w:type="dxa"/>
          </w:tblCellMar>
          <w:tblLook w:val="04A0" w:firstRow="1" w:lastRow="0" w:firstColumn="1" w:lastColumn="0" w:noHBand="0" w:noVBand="1"/>
        </w:tblPrEx>
        <w:trPr>
          <w:trHeight w:val="20"/>
        </w:trPr>
        <w:tc>
          <w:tcPr>
            <w:tcW w:w="5000" w:type="pct"/>
            <w:gridSpan w:val="4"/>
            <w:vAlign w:val="center"/>
          </w:tcPr>
          <w:p w14:paraId="44DF8A90" w14:textId="7EDA42D2" w:rsidR="00F61985" w:rsidRPr="006E0FA2" w:rsidRDefault="00F61985" w:rsidP="007274F1">
            <w:pPr>
              <w:pStyle w:val="COMTabletext"/>
              <w:keepNext w:val="0"/>
            </w:pPr>
            <w:r w:rsidRPr="009248F3">
              <w:t>Patient must not have developed disease progression while receiving treatment with this drug for this condition.</w:t>
            </w:r>
          </w:p>
        </w:tc>
      </w:tr>
      <w:tr w:rsidR="00F61985" w:rsidRPr="006E0FA2" w14:paraId="4A59AA8A" w14:textId="77777777" w:rsidTr="007274F1">
        <w:tblPrEx>
          <w:tblCellMar>
            <w:top w:w="15" w:type="dxa"/>
            <w:bottom w:w="15" w:type="dxa"/>
          </w:tblCellMar>
          <w:tblLook w:val="04A0" w:firstRow="1" w:lastRow="0" w:firstColumn="1" w:lastColumn="0" w:noHBand="0" w:noVBand="1"/>
        </w:tblPrEx>
        <w:trPr>
          <w:trHeight w:val="41"/>
        </w:trPr>
        <w:tc>
          <w:tcPr>
            <w:tcW w:w="5000" w:type="pct"/>
            <w:gridSpan w:val="4"/>
            <w:vAlign w:val="center"/>
          </w:tcPr>
          <w:p w14:paraId="1FCB03B3" w14:textId="318B2965" w:rsidR="00F61985" w:rsidRPr="006E0FA2" w:rsidRDefault="00F61985" w:rsidP="007274F1">
            <w:pPr>
              <w:pStyle w:val="COMTabletext"/>
              <w:keepNext w:val="0"/>
            </w:pPr>
            <w:r>
              <w:rPr>
                <w:b/>
                <w:bCs w:val="0"/>
              </w:rPr>
              <w:t>Prescribing instructions</w:t>
            </w:r>
            <w:r w:rsidRPr="00441E8A">
              <w:rPr>
                <w:b/>
                <w:bCs w:val="0"/>
              </w:rPr>
              <w:t>:</w:t>
            </w:r>
          </w:p>
        </w:tc>
      </w:tr>
      <w:tr w:rsidR="00F61985" w:rsidRPr="006E0FA2" w14:paraId="682B9A79" w14:textId="77777777" w:rsidTr="007274F1">
        <w:tblPrEx>
          <w:tblCellMar>
            <w:top w:w="15" w:type="dxa"/>
            <w:bottom w:w="15" w:type="dxa"/>
          </w:tblCellMar>
          <w:tblLook w:val="04A0" w:firstRow="1" w:lastRow="0" w:firstColumn="1" w:lastColumn="0" w:noHBand="0" w:noVBand="1"/>
        </w:tblPrEx>
        <w:trPr>
          <w:trHeight w:val="20"/>
        </w:trPr>
        <w:tc>
          <w:tcPr>
            <w:tcW w:w="5000" w:type="pct"/>
            <w:gridSpan w:val="4"/>
            <w:vAlign w:val="center"/>
          </w:tcPr>
          <w:p w14:paraId="5B946D22" w14:textId="42BFD05F" w:rsidR="00F61985" w:rsidRPr="006E0FA2" w:rsidRDefault="00F61985" w:rsidP="007274F1">
            <w:pPr>
              <w:pStyle w:val="COMTabletext"/>
              <w:keepNext w:val="0"/>
            </w:pPr>
            <w:r w:rsidRPr="00FB684C">
              <w:t>Prescriber to adjust the number of repeats to either 10 or 11 in line with the stage of treatment.</w:t>
            </w:r>
          </w:p>
        </w:tc>
      </w:tr>
      <w:tr w:rsidR="00F61985" w:rsidRPr="006E0FA2" w14:paraId="09F82500" w14:textId="77777777" w:rsidTr="007274F1">
        <w:tblPrEx>
          <w:tblCellMar>
            <w:top w:w="15" w:type="dxa"/>
            <w:bottom w:w="15" w:type="dxa"/>
          </w:tblCellMar>
          <w:tblLook w:val="04A0" w:firstRow="1" w:lastRow="0" w:firstColumn="1" w:lastColumn="0" w:noHBand="0" w:noVBand="1"/>
        </w:tblPrEx>
        <w:trPr>
          <w:trHeight w:val="20"/>
        </w:trPr>
        <w:tc>
          <w:tcPr>
            <w:tcW w:w="5000" w:type="pct"/>
            <w:gridSpan w:val="4"/>
            <w:vAlign w:val="center"/>
          </w:tcPr>
          <w:p w14:paraId="7473650A" w14:textId="2325096F" w:rsidR="00F61985" w:rsidRPr="006E0FA2" w:rsidRDefault="00F61985" w:rsidP="007274F1">
            <w:pPr>
              <w:pStyle w:val="COMTabletext"/>
              <w:keepNext w:val="0"/>
            </w:pPr>
            <w:r w:rsidRPr="006E0FA2">
              <w:rPr>
                <w:b/>
              </w:rPr>
              <w:t>Treatment Phase:</w:t>
            </w:r>
            <w:r w:rsidRPr="006E0FA2">
              <w:t xml:space="preserve"> </w:t>
            </w:r>
            <w:r>
              <w:t>Continuing treatment 2 - d</w:t>
            </w:r>
            <w:r w:rsidRPr="00FB684C">
              <w:t>ose requirement of 76 mg every two weeks from Weeks 25 to 48</w:t>
            </w:r>
          </w:p>
        </w:tc>
      </w:tr>
      <w:tr w:rsidR="00F61985" w:rsidRPr="006E0FA2" w14:paraId="1BBC49A3" w14:textId="77777777" w:rsidTr="007274F1">
        <w:tblPrEx>
          <w:tblCellMar>
            <w:top w:w="15" w:type="dxa"/>
            <w:bottom w:w="15" w:type="dxa"/>
          </w:tblCellMar>
          <w:tblLook w:val="04A0" w:firstRow="1" w:lastRow="0" w:firstColumn="1" w:lastColumn="0" w:noHBand="0" w:noVBand="1"/>
        </w:tblPrEx>
        <w:trPr>
          <w:trHeight w:val="20"/>
        </w:trPr>
        <w:tc>
          <w:tcPr>
            <w:tcW w:w="5000" w:type="pct"/>
            <w:gridSpan w:val="4"/>
            <w:vAlign w:val="center"/>
          </w:tcPr>
          <w:p w14:paraId="73F8680A" w14:textId="5EE79A0D" w:rsidR="00F61985" w:rsidRPr="006E0FA2" w:rsidRDefault="00F61985" w:rsidP="007274F1">
            <w:pPr>
              <w:pStyle w:val="COMTabletext"/>
              <w:keepNext w:val="0"/>
            </w:pPr>
            <w:r w:rsidRPr="00441E8A">
              <w:rPr>
                <w:b/>
                <w:bCs w:val="0"/>
              </w:rPr>
              <w:t>Clinical criteria:</w:t>
            </w:r>
          </w:p>
        </w:tc>
      </w:tr>
      <w:tr w:rsidR="00F61985" w:rsidRPr="006E0FA2" w14:paraId="73C9C189" w14:textId="77777777" w:rsidTr="007274F1">
        <w:tblPrEx>
          <w:tblCellMar>
            <w:top w:w="15" w:type="dxa"/>
            <w:bottom w:w="15" w:type="dxa"/>
          </w:tblCellMar>
          <w:tblLook w:val="04A0" w:firstRow="1" w:lastRow="0" w:firstColumn="1" w:lastColumn="0" w:noHBand="0" w:noVBand="1"/>
        </w:tblPrEx>
        <w:trPr>
          <w:trHeight w:val="20"/>
        </w:trPr>
        <w:tc>
          <w:tcPr>
            <w:tcW w:w="5000" w:type="pct"/>
            <w:gridSpan w:val="4"/>
            <w:vAlign w:val="center"/>
          </w:tcPr>
          <w:p w14:paraId="3AF8BF25" w14:textId="760DD470" w:rsidR="00F61985" w:rsidRPr="006E0FA2" w:rsidRDefault="00F61985" w:rsidP="007274F1">
            <w:pPr>
              <w:pStyle w:val="COMTabletext"/>
              <w:keepNext w:val="0"/>
            </w:pPr>
            <w:r w:rsidRPr="00FB684C">
              <w:t>Patient must have previously received PBS-subsidised treatment with this drug for this condition,</w:t>
            </w:r>
          </w:p>
        </w:tc>
      </w:tr>
      <w:tr w:rsidR="00F61985" w:rsidRPr="006E0FA2" w14:paraId="081A32C3" w14:textId="77777777" w:rsidTr="007274F1">
        <w:tblPrEx>
          <w:tblCellMar>
            <w:top w:w="15" w:type="dxa"/>
            <w:bottom w:w="15" w:type="dxa"/>
          </w:tblCellMar>
          <w:tblLook w:val="04A0" w:firstRow="1" w:lastRow="0" w:firstColumn="1" w:lastColumn="0" w:noHBand="0" w:noVBand="1"/>
        </w:tblPrEx>
        <w:trPr>
          <w:trHeight w:val="20"/>
        </w:trPr>
        <w:tc>
          <w:tcPr>
            <w:tcW w:w="5000" w:type="pct"/>
            <w:gridSpan w:val="4"/>
            <w:vAlign w:val="center"/>
          </w:tcPr>
          <w:p w14:paraId="4916BB3F" w14:textId="0B9BC63A" w:rsidR="00F61985" w:rsidRPr="006E0FA2" w:rsidRDefault="00F61985" w:rsidP="007274F1">
            <w:pPr>
              <w:pStyle w:val="COMTabletext"/>
              <w:keepNext w:val="0"/>
            </w:pPr>
            <w:r w:rsidRPr="00441E8A">
              <w:rPr>
                <w:b/>
                <w:bCs w:val="0"/>
              </w:rPr>
              <w:t>AND</w:t>
            </w:r>
          </w:p>
        </w:tc>
      </w:tr>
      <w:tr w:rsidR="00F61985" w:rsidRPr="006E0FA2" w14:paraId="155E8961" w14:textId="77777777" w:rsidTr="007274F1">
        <w:tblPrEx>
          <w:tblCellMar>
            <w:top w:w="15" w:type="dxa"/>
            <w:bottom w:w="15" w:type="dxa"/>
          </w:tblCellMar>
          <w:tblLook w:val="04A0" w:firstRow="1" w:lastRow="0" w:firstColumn="1" w:lastColumn="0" w:noHBand="0" w:noVBand="1"/>
        </w:tblPrEx>
        <w:trPr>
          <w:trHeight w:val="20"/>
        </w:trPr>
        <w:tc>
          <w:tcPr>
            <w:tcW w:w="5000" w:type="pct"/>
            <w:gridSpan w:val="4"/>
            <w:vAlign w:val="center"/>
          </w:tcPr>
          <w:p w14:paraId="333BBA15" w14:textId="72104428" w:rsidR="00F61985" w:rsidRPr="006E0FA2" w:rsidRDefault="00F61985" w:rsidP="007274F1">
            <w:pPr>
              <w:pStyle w:val="COMTabletext"/>
              <w:keepNext w:val="0"/>
            </w:pPr>
            <w:r w:rsidRPr="00441E8A">
              <w:rPr>
                <w:b/>
                <w:bCs w:val="0"/>
              </w:rPr>
              <w:t>Clinical criteria:</w:t>
            </w:r>
          </w:p>
        </w:tc>
      </w:tr>
      <w:tr w:rsidR="00F61985" w:rsidRPr="006E0FA2" w14:paraId="4461FD0C" w14:textId="77777777" w:rsidTr="007274F1">
        <w:tblPrEx>
          <w:tblCellMar>
            <w:top w:w="15" w:type="dxa"/>
            <w:bottom w:w="15" w:type="dxa"/>
          </w:tblCellMar>
          <w:tblLook w:val="04A0" w:firstRow="1" w:lastRow="0" w:firstColumn="1" w:lastColumn="0" w:noHBand="0" w:noVBand="1"/>
        </w:tblPrEx>
        <w:trPr>
          <w:trHeight w:val="20"/>
        </w:trPr>
        <w:tc>
          <w:tcPr>
            <w:tcW w:w="5000" w:type="pct"/>
            <w:gridSpan w:val="4"/>
            <w:vAlign w:val="center"/>
          </w:tcPr>
          <w:p w14:paraId="494DAFE7" w14:textId="7513AF5C" w:rsidR="00F61985" w:rsidRPr="006E0FA2" w:rsidRDefault="00F61985" w:rsidP="007274F1">
            <w:pPr>
              <w:pStyle w:val="COMTabletext"/>
              <w:keepNext w:val="0"/>
            </w:pPr>
            <w:r w:rsidRPr="00FB684C">
              <w:t>Patient must not have developed disease progression while receiving treatment with this drug for this condition.</w:t>
            </w:r>
          </w:p>
        </w:tc>
      </w:tr>
      <w:tr w:rsidR="00330E07" w:rsidRPr="006E0FA2" w14:paraId="187EADE0" w14:textId="77777777" w:rsidTr="007274F1">
        <w:tblPrEx>
          <w:tblCellMar>
            <w:top w:w="15" w:type="dxa"/>
            <w:bottom w:w="15" w:type="dxa"/>
          </w:tblCellMar>
          <w:tblLook w:val="04A0" w:firstRow="1" w:lastRow="0" w:firstColumn="1" w:lastColumn="0" w:noHBand="0" w:noVBand="1"/>
        </w:tblPrEx>
        <w:trPr>
          <w:trHeight w:val="20"/>
        </w:trPr>
        <w:tc>
          <w:tcPr>
            <w:tcW w:w="5000" w:type="pct"/>
            <w:gridSpan w:val="4"/>
            <w:vAlign w:val="center"/>
          </w:tcPr>
          <w:p w14:paraId="2A123B6E" w14:textId="77777777" w:rsidR="00330E07" w:rsidRPr="00FB684C" w:rsidRDefault="00330E07" w:rsidP="007274F1">
            <w:pPr>
              <w:pStyle w:val="COMTabletext"/>
              <w:keepNext w:val="0"/>
            </w:pPr>
          </w:p>
        </w:tc>
      </w:tr>
      <w:tr w:rsidR="00F61985" w:rsidRPr="006E0FA2" w14:paraId="5ED7AC6E" w14:textId="77777777" w:rsidTr="007274F1">
        <w:tblPrEx>
          <w:tblCellMar>
            <w:top w:w="15" w:type="dxa"/>
            <w:bottom w:w="15" w:type="dxa"/>
          </w:tblCellMar>
          <w:tblLook w:val="04A0" w:firstRow="1" w:lastRow="0" w:firstColumn="1" w:lastColumn="0" w:noHBand="0" w:noVBand="1"/>
        </w:tblPrEx>
        <w:trPr>
          <w:trHeight w:val="20"/>
        </w:trPr>
        <w:tc>
          <w:tcPr>
            <w:tcW w:w="5000" w:type="pct"/>
            <w:gridSpan w:val="4"/>
            <w:vAlign w:val="center"/>
          </w:tcPr>
          <w:p w14:paraId="65288733" w14:textId="38D3B9B1" w:rsidR="00F61985" w:rsidRPr="006E0FA2" w:rsidRDefault="00F61985" w:rsidP="007274F1">
            <w:pPr>
              <w:pStyle w:val="COMTabletext"/>
              <w:keepNext w:val="0"/>
            </w:pPr>
            <w:r w:rsidRPr="006E0FA2">
              <w:rPr>
                <w:b/>
              </w:rPr>
              <w:t>Treatment Phase:</w:t>
            </w:r>
            <w:r w:rsidRPr="006E0FA2">
              <w:t xml:space="preserve"> </w:t>
            </w:r>
            <w:r>
              <w:t>Continuing treatment 3 - d</w:t>
            </w:r>
            <w:r w:rsidRPr="009425BF">
              <w:t>ose requirement of 76 mg every four weeks from Week 49 until disease progression or unacceptable toxicity</w:t>
            </w:r>
          </w:p>
        </w:tc>
      </w:tr>
      <w:tr w:rsidR="00F61985" w:rsidRPr="006E0FA2" w14:paraId="3BB0F955" w14:textId="77777777" w:rsidTr="007274F1">
        <w:tblPrEx>
          <w:tblCellMar>
            <w:top w:w="15" w:type="dxa"/>
            <w:bottom w:w="15" w:type="dxa"/>
          </w:tblCellMar>
          <w:tblLook w:val="04A0" w:firstRow="1" w:lastRow="0" w:firstColumn="1" w:lastColumn="0" w:noHBand="0" w:noVBand="1"/>
        </w:tblPrEx>
        <w:trPr>
          <w:trHeight w:val="20"/>
        </w:trPr>
        <w:tc>
          <w:tcPr>
            <w:tcW w:w="5000" w:type="pct"/>
            <w:gridSpan w:val="4"/>
            <w:vAlign w:val="center"/>
          </w:tcPr>
          <w:p w14:paraId="59556282" w14:textId="2D879FEE" w:rsidR="00F61985" w:rsidRPr="006E0FA2" w:rsidRDefault="00F61985" w:rsidP="007274F1">
            <w:pPr>
              <w:pStyle w:val="COMTabletext"/>
              <w:keepNext w:val="0"/>
            </w:pPr>
            <w:r w:rsidRPr="00441E8A">
              <w:rPr>
                <w:b/>
                <w:bCs w:val="0"/>
              </w:rPr>
              <w:t>Clinical criteria:</w:t>
            </w:r>
          </w:p>
        </w:tc>
      </w:tr>
      <w:tr w:rsidR="00F61985" w:rsidRPr="006E0FA2" w14:paraId="56411AB6" w14:textId="77777777" w:rsidTr="007274F1">
        <w:tblPrEx>
          <w:tblCellMar>
            <w:top w:w="15" w:type="dxa"/>
            <w:bottom w:w="15" w:type="dxa"/>
          </w:tblCellMar>
          <w:tblLook w:val="04A0" w:firstRow="1" w:lastRow="0" w:firstColumn="1" w:lastColumn="0" w:noHBand="0" w:noVBand="1"/>
        </w:tblPrEx>
        <w:trPr>
          <w:trHeight w:val="20"/>
        </w:trPr>
        <w:tc>
          <w:tcPr>
            <w:tcW w:w="5000" w:type="pct"/>
            <w:gridSpan w:val="4"/>
            <w:vAlign w:val="center"/>
          </w:tcPr>
          <w:p w14:paraId="0A9D793F" w14:textId="470F4520" w:rsidR="00F61985" w:rsidRPr="006E0FA2" w:rsidRDefault="00F61985" w:rsidP="007274F1">
            <w:pPr>
              <w:pStyle w:val="COMTabletext"/>
              <w:keepNext w:val="0"/>
            </w:pPr>
            <w:r w:rsidRPr="009425BF">
              <w:t>Patient must have previously received PBS-subsidised treatment with this drug for this condition,</w:t>
            </w:r>
          </w:p>
        </w:tc>
      </w:tr>
      <w:tr w:rsidR="00F61985" w:rsidRPr="006E0FA2" w14:paraId="60480611" w14:textId="77777777" w:rsidTr="007274F1">
        <w:tblPrEx>
          <w:tblCellMar>
            <w:top w:w="15" w:type="dxa"/>
            <w:bottom w:w="15" w:type="dxa"/>
          </w:tblCellMar>
          <w:tblLook w:val="04A0" w:firstRow="1" w:lastRow="0" w:firstColumn="1" w:lastColumn="0" w:noHBand="0" w:noVBand="1"/>
        </w:tblPrEx>
        <w:trPr>
          <w:trHeight w:val="20"/>
        </w:trPr>
        <w:tc>
          <w:tcPr>
            <w:tcW w:w="5000" w:type="pct"/>
            <w:gridSpan w:val="4"/>
            <w:vAlign w:val="center"/>
          </w:tcPr>
          <w:p w14:paraId="1D0191EE" w14:textId="2FDBCA65" w:rsidR="00F61985" w:rsidRPr="006E0FA2" w:rsidRDefault="00F61985" w:rsidP="007274F1">
            <w:pPr>
              <w:pStyle w:val="COMTabletext"/>
              <w:keepNext w:val="0"/>
            </w:pPr>
            <w:r w:rsidRPr="00441E8A">
              <w:rPr>
                <w:b/>
                <w:bCs w:val="0"/>
              </w:rPr>
              <w:t>AND</w:t>
            </w:r>
          </w:p>
        </w:tc>
      </w:tr>
      <w:tr w:rsidR="00F61985" w:rsidRPr="006E0FA2" w14:paraId="6D90951B" w14:textId="77777777" w:rsidTr="007274F1">
        <w:tblPrEx>
          <w:tblCellMar>
            <w:top w:w="15" w:type="dxa"/>
            <w:bottom w:w="15" w:type="dxa"/>
          </w:tblCellMar>
          <w:tblLook w:val="04A0" w:firstRow="1" w:lastRow="0" w:firstColumn="1" w:lastColumn="0" w:noHBand="0" w:noVBand="1"/>
        </w:tblPrEx>
        <w:trPr>
          <w:trHeight w:val="20"/>
        </w:trPr>
        <w:tc>
          <w:tcPr>
            <w:tcW w:w="5000" w:type="pct"/>
            <w:gridSpan w:val="4"/>
            <w:vAlign w:val="center"/>
          </w:tcPr>
          <w:p w14:paraId="77A7706A" w14:textId="1DF06281" w:rsidR="00F61985" w:rsidRPr="006E0FA2" w:rsidRDefault="00F61985" w:rsidP="007274F1">
            <w:pPr>
              <w:pStyle w:val="COMTabletext"/>
              <w:keepNext w:val="0"/>
            </w:pPr>
            <w:r w:rsidRPr="00441E8A">
              <w:rPr>
                <w:b/>
                <w:bCs w:val="0"/>
              </w:rPr>
              <w:t>Clinical criteria:</w:t>
            </w:r>
          </w:p>
        </w:tc>
      </w:tr>
      <w:tr w:rsidR="00F61985" w:rsidRPr="006E0FA2" w14:paraId="2E9DEF01" w14:textId="77777777" w:rsidTr="007274F1">
        <w:tblPrEx>
          <w:tblCellMar>
            <w:top w:w="15" w:type="dxa"/>
            <w:bottom w:w="15" w:type="dxa"/>
          </w:tblCellMar>
          <w:tblLook w:val="04A0" w:firstRow="1" w:lastRow="0" w:firstColumn="1" w:lastColumn="0" w:noHBand="0" w:noVBand="1"/>
        </w:tblPrEx>
        <w:trPr>
          <w:trHeight w:val="20"/>
        </w:trPr>
        <w:tc>
          <w:tcPr>
            <w:tcW w:w="5000" w:type="pct"/>
            <w:gridSpan w:val="4"/>
            <w:vAlign w:val="center"/>
          </w:tcPr>
          <w:p w14:paraId="516519DC" w14:textId="7BE6CA48" w:rsidR="00F61985" w:rsidRPr="00441E8A" w:rsidRDefault="00F61985" w:rsidP="007274F1">
            <w:pPr>
              <w:pStyle w:val="COMTabletext"/>
              <w:keepNext w:val="0"/>
              <w:rPr>
                <w:b/>
                <w:bCs w:val="0"/>
              </w:rPr>
            </w:pPr>
            <w:r w:rsidRPr="009425BF">
              <w:t>Patient must not have developed disease progression while receiving treatment with this drug for this condition.</w:t>
            </w:r>
          </w:p>
        </w:tc>
      </w:tr>
      <w:tr w:rsidR="00F61985" w:rsidRPr="006E0FA2" w14:paraId="7EE9E5C6" w14:textId="77777777" w:rsidTr="007274F1">
        <w:tblPrEx>
          <w:tblCellMar>
            <w:top w:w="15" w:type="dxa"/>
            <w:bottom w:w="15" w:type="dxa"/>
          </w:tblCellMar>
          <w:tblLook w:val="04A0" w:firstRow="1" w:lastRow="0" w:firstColumn="1" w:lastColumn="0" w:noHBand="0" w:noVBand="1"/>
        </w:tblPrEx>
        <w:trPr>
          <w:trHeight w:val="20"/>
        </w:trPr>
        <w:tc>
          <w:tcPr>
            <w:tcW w:w="5000" w:type="pct"/>
            <w:gridSpan w:val="4"/>
            <w:vAlign w:val="center"/>
          </w:tcPr>
          <w:p w14:paraId="64F750F6" w14:textId="3F6407EE" w:rsidR="00F61985" w:rsidRPr="009425BF" w:rsidRDefault="00F61985" w:rsidP="007274F1">
            <w:pPr>
              <w:pStyle w:val="COMTabletext"/>
              <w:keepNext w:val="0"/>
            </w:pPr>
            <w:r w:rsidRPr="006E0FA2">
              <w:rPr>
                <w:b/>
              </w:rPr>
              <w:t>Treatment Phase:</w:t>
            </w:r>
            <w:r w:rsidRPr="006E0FA2">
              <w:t xml:space="preserve"> </w:t>
            </w:r>
            <w:r>
              <w:t>Grandfathered treatment - t</w:t>
            </w:r>
            <w:r w:rsidRPr="00441E8A">
              <w:t>ransitioning from non-PBS to PBS-subsidised supply</w:t>
            </w:r>
            <w:r>
              <w:t>, d</w:t>
            </w:r>
            <w:r w:rsidRPr="00441E8A">
              <w:t>ose requirement of 76 mg every week OR every two weeks OR every four weeks</w:t>
            </w:r>
          </w:p>
        </w:tc>
      </w:tr>
      <w:tr w:rsidR="00F61985" w:rsidRPr="006E0FA2" w14:paraId="62B41A2E" w14:textId="77777777" w:rsidTr="007274F1">
        <w:tblPrEx>
          <w:tblCellMar>
            <w:top w:w="15" w:type="dxa"/>
            <w:bottom w:w="15" w:type="dxa"/>
          </w:tblCellMar>
          <w:tblLook w:val="04A0" w:firstRow="1" w:lastRow="0" w:firstColumn="1" w:lastColumn="0" w:noHBand="0" w:noVBand="1"/>
        </w:tblPrEx>
        <w:trPr>
          <w:trHeight w:val="20"/>
        </w:trPr>
        <w:tc>
          <w:tcPr>
            <w:tcW w:w="5000" w:type="pct"/>
            <w:gridSpan w:val="4"/>
            <w:vAlign w:val="center"/>
          </w:tcPr>
          <w:p w14:paraId="7D37DA06" w14:textId="7B90FD9D" w:rsidR="00F61985" w:rsidRPr="009425BF" w:rsidRDefault="00F61985" w:rsidP="007274F1">
            <w:pPr>
              <w:pStyle w:val="COMTabletext"/>
              <w:keepNext w:val="0"/>
            </w:pPr>
            <w:r w:rsidRPr="00441E8A">
              <w:rPr>
                <w:b/>
                <w:bCs w:val="0"/>
              </w:rPr>
              <w:t>Clinical criteria:</w:t>
            </w:r>
          </w:p>
        </w:tc>
      </w:tr>
      <w:tr w:rsidR="00F61985" w:rsidRPr="006E0FA2" w14:paraId="64F23445" w14:textId="77777777" w:rsidTr="007274F1">
        <w:tblPrEx>
          <w:tblCellMar>
            <w:top w:w="15" w:type="dxa"/>
            <w:bottom w:w="15" w:type="dxa"/>
          </w:tblCellMar>
          <w:tblLook w:val="04A0" w:firstRow="1" w:lastRow="0" w:firstColumn="1" w:lastColumn="0" w:noHBand="0" w:noVBand="1"/>
        </w:tblPrEx>
        <w:trPr>
          <w:trHeight w:val="20"/>
        </w:trPr>
        <w:tc>
          <w:tcPr>
            <w:tcW w:w="5000" w:type="pct"/>
            <w:gridSpan w:val="4"/>
            <w:vAlign w:val="center"/>
          </w:tcPr>
          <w:p w14:paraId="3CF6D911" w14:textId="045E6D2B" w:rsidR="00F61985" w:rsidRPr="009425BF" w:rsidRDefault="00F61985" w:rsidP="007274F1">
            <w:pPr>
              <w:pStyle w:val="COMTabletext"/>
              <w:keepNext w:val="0"/>
            </w:pPr>
            <w:r w:rsidRPr="00441E8A">
              <w:t>Patient must have received non-PBS-subsidised treatment with this drug for this condition prior to [PBS-listing date]</w:t>
            </w:r>
          </w:p>
        </w:tc>
      </w:tr>
      <w:tr w:rsidR="00F61985" w:rsidRPr="006E0FA2" w14:paraId="387B506E" w14:textId="77777777" w:rsidTr="007274F1">
        <w:tblPrEx>
          <w:tblCellMar>
            <w:top w:w="15" w:type="dxa"/>
            <w:bottom w:w="15" w:type="dxa"/>
          </w:tblCellMar>
          <w:tblLook w:val="04A0" w:firstRow="1" w:lastRow="0" w:firstColumn="1" w:lastColumn="0" w:noHBand="0" w:noVBand="1"/>
        </w:tblPrEx>
        <w:trPr>
          <w:trHeight w:val="20"/>
        </w:trPr>
        <w:tc>
          <w:tcPr>
            <w:tcW w:w="5000" w:type="pct"/>
            <w:gridSpan w:val="4"/>
            <w:vAlign w:val="center"/>
          </w:tcPr>
          <w:p w14:paraId="44D19CDB" w14:textId="358ECB49" w:rsidR="00F61985" w:rsidRPr="009425BF" w:rsidRDefault="00F61985" w:rsidP="007274F1">
            <w:pPr>
              <w:pStyle w:val="COMTabletext"/>
              <w:keepNext w:val="0"/>
            </w:pPr>
            <w:r w:rsidRPr="00441E8A">
              <w:rPr>
                <w:b/>
                <w:bCs w:val="0"/>
              </w:rPr>
              <w:t>AND</w:t>
            </w:r>
          </w:p>
        </w:tc>
      </w:tr>
      <w:tr w:rsidR="00F61985" w:rsidRPr="006E0FA2" w14:paraId="6B367DBC" w14:textId="77777777" w:rsidTr="007274F1">
        <w:tblPrEx>
          <w:tblCellMar>
            <w:top w:w="15" w:type="dxa"/>
            <w:bottom w:w="15" w:type="dxa"/>
          </w:tblCellMar>
          <w:tblLook w:val="04A0" w:firstRow="1" w:lastRow="0" w:firstColumn="1" w:lastColumn="0" w:noHBand="0" w:noVBand="1"/>
        </w:tblPrEx>
        <w:trPr>
          <w:trHeight w:val="20"/>
        </w:trPr>
        <w:tc>
          <w:tcPr>
            <w:tcW w:w="5000" w:type="pct"/>
            <w:gridSpan w:val="4"/>
            <w:vAlign w:val="center"/>
          </w:tcPr>
          <w:p w14:paraId="61B80220" w14:textId="42197FFE" w:rsidR="00F61985" w:rsidRPr="009425BF" w:rsidRDefault="00F61985" w:rsidP="007274F1">
            <w:pPr>
              <w:pStyle w:val="COMTabletext"/>
              <w:keepNext w:val="0"/>
            </w:pPr>
            <w:r w:rsidRPr="00441E8A">
              <w:rPr>
                <w:b/>
                <w:bCs w:val="0"/>
              </w:rPr>
              <w:t>Clinical criteria:</w:t>
            </w:r>
          </w:p>
        </w:tc>
      </w:tr>
      <w:tr w:rsidR="00F61985" w:rsidRPr="006E0FA2" w14:paraId="605B6295" w14:textId="77777777" w:rsidTr="007274F1">
        <w:tblPrEx>
          <w:tblCellMar>
            <w:top w:w="15" w:type="dxa"/>
            <w:bottom w:w="15" w:type="dxa"/>
          </w:tblCellMar>
          <w:tblLook w:val="04A0" w:firstRow="1" w:lastRow="0" w:firstColumn="1" w:lastColumn="0" w:noHBand="0" w:noVBand="1"/>
        </w:tblPrEx>
        <w:trPr>
          <w:trHeight w:val="20"/>
        </w:trPr>
        <w:tc>
          <w:tcPr>
            <w:tcW w:w="5000" w:type="pct"/>
            <w:gridSpan w:val="4"/>
            <w:vAlign w:val="center"/>
          </w:tcPr>
          <w:p w14:paraId="3BE87849" w14:textId="67501042" w:rsidR="00F61985" w:rsidRPr="009425BF" w:rsidRDefault="00F61985" w:rsidP="007274F1">
            <w:pPr>
              <w:pStyle w:val="COMTabletext"/>
              <w:keepNext w:val="0"/>
            </w:pPr>
            <w:r w:rsidRPr="00441E8A">
              <w:t>Patient must have met all initial treatment PBS eligibility criteria applying to a non-grandfathered patient prior to having commenced treatment with this drug, which are: (a) the condition was confirmed by histological diagnosis, (b) the patient must have received at least 3 prior lines of therapy, including a proteasome inhibitor, an immunomodulatory agent, and an anti-CD38 monoclonal antibody (c) the patient had never been treated with this drug,</w:t>
            </w:r>
          </w:p>
        </w:tc>
      </w:tr>
      <w:tr w:rsidR="00F61985" w:rsidRPr="006E0FA2" w14:paraId="0886F802" w14:textId="77777777" w:rsidTr="007274F1">
        <w:tblPrEx>
          <w:tblCellMar>
            <w:top w:w="15" w:type="dxa"/>
            <w:bottom w:w="15" w:type="dxa"/>
          </w:tblCellMar>
          <w:tblLook w:val="04A0" w:firstRow="1" w:lastRow="0" w:firstColumn="1" w:lastColumn="0" w:noHBand="0" w:noVBand="1"/>
        </w:tblPrEx>
        <w:trPr>
          <w:trHeight w:val="20"/>
        </w:trPr>
        <w:tc>
          <w:tcPr>
            <w:tcW w:w="5000" w:type="pct"/>
            <w:gridSpan w:val="4"/>
            <w:vAlign w:val="center"/>
          </w:tcPr>
          <w:p w14:paraId="6EA9F0C7" w14:textId="058C9DC7" w:rsidR="00F61985" w:rsidRPr="009425BF" w:rsidRDefault="00F61985" w:rsidP="007274F1">
            <w:pPr>
              <w:pStyle w:val="COMTabletext"/>
              <w:keepNext w:val="0"/>
            </w:pPr>
            <w:r w:rsidRPr="00441E8A">
              <w:rPr>
                <w:b/>
                <w:bCs w:val="0"/>
              </w:rPr>
              <w:t>AND</w:t>
            </w:r>
          </w:p>
        </w:tc>
      </w:tr>
      <w:tr w:rsidR="00F61985" w:rsidRPr="006E0FA2" w14:paraId="1DFB0D96" w14:textId="77777777" w:rsidTr="007274F1">
        <w:tblPrEx>
          <w:tblCellMar>
            <w:top w:w="15" w:type="dxa"/>
            <w:bottom w:w="15" w:type="dxa"/>
          </w:tblCellMar>
          <w:tblLook w:val="04A0" w:firstRow="1" w:lastRow="0" w:firstColumn="1" w:lastColumn="0" w:noHBand="0" w:noVBand="1"/>
        </w:tblPrEx>
        <w:trPr>
          <w:trHeight w:val="20"/>
        </w:trPr>
        <w:tc>
          <w:tcPr>
            <w:tcW w:w="5000" w:type="pct"/>
            <w:gridSpan w:val="4"/>
            <w:vAlign w:val="center"/>
          </w:tcPr>
          <w:p w14:paraId="3DEF3CC4" w14:textId="7E8DA10C" w:rsidR="00F61985" w:rsidRPr="009425BF" w:rsidRDefault="00F61985" w:rsidP="007274F1">
            <w:pPr>
              <w:pStyle w:val="COMTabletext"/>
              <w:keepNext w:val="0"/>
            </w:pPr>
            <w:r w:rsidRPr="00441E8A">
              <w:rPr>
                <w:b/>
                <w:bCs w:val="0"/>
              </w:rPr>
              <w:t>Clinical criteria:</w:t>
            </w:r>
          </w:p>
        </w:tc>
      </w:tr>
      <w:tr w:rsidR="00F61985" w:rsidRPr="006E0FA2" w14:paraId="739C1EA9" w14:textId="77777777" w:rsidTr="007274F1">
        <w:tblPrEx>
          <w:tblCellMar>
            <w:top w:w="15" w:type="dxa"/>
            <w:bottom w:w="15" w:type="dxa"/>
          </w:tblCellMar>
          <w:tblLook w:val="04A0" w:firstRow="1" w:lastRow="0" w:firstColumn="1" w:lastColumn="0" w:noHBand="0" w:noVBand="1"/>
        </w:tblPrEx>
        <w:trPr>
          <w:trHeight w:val="20"/>
        </w:trPr>
        <w:tc>
          <w:tcPr>
            <w:tcW w:w="5000" w:type="pct"/>
            <w:gridSpan w:val="4"/>
            <w:vAlign w:val="center"/>
          </w:tcPr>
          <w:p w14:paraId="2E790406" w14:textId="47513A59" w:rsidR="00F61985" w:rsidRPr="00441E8A" w:rsidRDefault="00F61985" w:rsidP="007274F1">
            <w:pPr>
              <w:pStyle w:val="COMTabletext"/>
              <w:keepNext w:val="0"/>
              <w:rPr>
                <w:b/>
                <w:bCs w:val="0"/>
              </w:rPr>
            </w:pPr>
            <w:r w:rsidRPr="00441E8A">
              <w:t>Patient must not have developed disease progression while receiving treatment with this drug for this condition.</w:t>
            </w:r>
          </w:p>
        </w:tc>
      </w:tr>
      <w:tr w:rsidR="003F745A" w:rsidRPr="006E0FA2" w14:paraId="54D540D8" w14:textId="77777777" w:rsidTr="007274F1">
        <w:tblPrEx>
          <w:tblCellMar>
            <w:top w:w="15" w:type="dxa"/>
            <w:bottom w:w="15" w:type="dxa"/>
          </w:tblCellMar>
          <w:tblLook w:val="04A0" w:firstRow="1" w:lastRow="0" w:firstColumn="1" w:lastColumn="0" w:noHBand="0" w:noVBand="1"/>
        </w:tblPrEx>
        <w:trPr>
          <w:trHeight w:val="20"/>
        </w:trPr>
        <w:tc>
          <w:tcPr>
            <w:tcW w:w="5000" w:type="pct"/>
            <w:gridSpan w:val="4"/>
            <w:vAlign w:val="center"/>
          </w:tcPr>
          <w:p w14:paraId="3AD9E93B" w14:textId="0F1FD209" w:rsidR="003F745A" w:rsidRPr="00441E8A" w:rsidRDefault="003F745A" w:rsidP="007274F1">
            <w:pPr>
              <w:pStyle w:val="COMTabletext"/>
              <w:keepNext w:val="0"/>
            </w:pPr>
            <w:r w:rsidRPr="006E0FA2">
              <w:rPr>
                <w:b/>
              </w:rPr>
              <w:t>Administrative Advice:</w:t>
            </w:r>
          </w:p>
        </w:tc>
      </w:tr>
      <w:tr w:rsidR="003F745A" w:rsidRPr="00964016" w14:paraId="5E2F00FA" w14:textId="77777777" w:rsidTr="007274F1">
        <w:tblPrEx>
          <w:tblCellMar>
            <w:top w:w="15" w:type="dxa"/>
            <w:bottom w:w="15" w:type="dxa"/>
          </w:tblCellMar>
          <w:tblLook w:val="04A0" w:firstRow="1" w:lastRow="0" w:firstColumn="1" w:lastColumn="0" w:noHBand="0" w:noVBand="1"/>
        </w:tblPrEx>
        <w:trPr>
          <w:trHeight w:val="20"/>
        </w:trPr>
        <w:tc>
          <w:tcPr>
            <w:tcW w:w="5000" w:type="pct"/>
            <w:gridSpan w:val="4"/>
            <w:vAlign w:val="center"/>
          </w:tcPr>
          <w:p w14:paraId="7B96AB1A" w14:textId="52C954A5" w:rsidR="003F745A" w:rsidRPr="00964016" w:rsidRDefault="003F745A" w:rsidP="007274F1">
            <w:pPr>
              <w:pStyle w:val="COMTabletext"/>
              <w:keepNext w:val="0"/>
            </w:pPr>
            <w:r w:rsidRPr="00964016">
              <w:t>Note: This grandfather restriction will cease to operate from 12 months after the date specified in the clinical criteria.</w:t>
            </w:r>
          </w:p>
        </w:tc>
      </w:tr>
    </w:tbl>
    <w:bookmarkEnd w:id="12"/>
    <w:p w14:paraId="63AF34B9" w14:textId="5BE4EB82" w:rsidR="002D2956" w:rsidRPr="0004210D" w:rsidRDefault="002D2956" w:rsidP="00063F88">
      <w:pPr>
        <w:pStyle w:val="3-BodyText"/>
        <w:numPr>
          <w:ilvl w:val="1"/>
          <w:numId w:val="1"/>
        </w:numPr>
        <w:spacing w:before="120"/>
      </w:pPr>
      <w:r w:rsidRPr="0004210D">
        <w:t xml:space="preserve">The </w:t>
      </w:r>
      <w:r>
        <w:t>re</w:t>
      </w:r>
      <w:r w:rsidRPr="0004210D">
        <w:t>submission proposed a special pricing arrangement for elranatamab, with an effective ex-manufacturer price (</w:t>
      </w:r>
      <w:r w:rsidR="00280A11">
        <w:t>A</w:t>
      </w:r>
      <w:r w:rsidRPr="0004210D">
        <w:t>EMP) of $</w:t>
      </w:r>
      <w:r w:rsidR="003F51AF" w:rsidRPr="00347D89">
        <w:rPr>
          <w:color w:val="000000"/>
          <w:w w:val="15"/>
          <w:shd w:val="solid" w:color="000000" w:fill="000000"/>
          <w:fitText w:val="-20" w:id="-694959864"/>
          <w14:textFill>
            <w14:solidFill>
              <w14:srgbClr w14:val="000000">
                <w14:alpha w14:val="100000"/>
              </w14:srgbClr>
            </w14:solidFill>
          </w14:textFill>
        </w:rPr>
        <w:t>|</w:t>
      </w:r>
      <w:r w:rsidR="00BC142B" w:rsidRPr="00347D89">
        <w:rPr>
          <w:color w:val="000000"/>
          <w:w w:val="15"/>
          <w:shd w:val="solid" w:color="000000" w:fill="000000"/>
          <w:fitText w:val="-20" w:id="-694959864"/>
          <w14:textFill>
            <w14:solidFill>
              <w14:srgbClr w14:val="000000">
                <w14:alpha w14:val="100000"/>
              </w14:srgbClr>
            </w14:solidFill>
          </w14:textFill>
        </w:rPr>
        <w:t xml:space="preserve"> </w:t>
      </w:r>
      <w:r w:rsidR="003F51AF" w:rsidRPr="00347D89">
        <w:rPr>
          <w:color w:val="000000"/>
          <w:spacing w:val="-61"/>
          <w:w w:val="15"/>
          <w:shd w:val="solid" w:color="000000" w:fill="000000"/>
          <w:fitText w:val="-20" w:id="-694959864"/>
          <w14:textFill>
            <w14:solidFill>
              <w14:srgbClr w14:val="000000">
                <w14:alpha w14:val="100000"/>
              </w14:srgbClr>
            </w14:solidFill>
          </w14:textFill>
        </w:rPr>
        <w:t>|</w:t>
      </w:r>
      <w:r w:rsidRPr="0004210D">
        <w:t xml:space="preserve"> for 1 x 44 mg vial and $</w:t>
      </w:r>
      <w:r w:rsidR="003F51AF" w:rsidRPr="00347D89">
        <w:rPr>
          <w:color w:val="000000"/>
          <w:w w:val="15"/>
          <w:shd w:val="solid" w:color="000000" w:fill="000000"/>
          <w:fitText w:val="-20" w:id="-694959863"/>
          <w14:textFill>
            <w14:solidFill>
              <w14:srgbClr w14:val="000000">
                <w14:alpha w14:val="100000"/>
              </w14:srgbClr>
            </w14:solidFill>
          </w14:textFill>
        </w:rPr>
        <w:t>|</w:t>
      </w:r>
      <w:r w:rsidR="00BC142B" w:rsidRPr="00347D89">
        <w:rPr>
          <w:color w:val="000000"/>
          <w:w w:val="15"/>
          <w:shd w:val="solid" w:color="000000" w:fill="000000"/>
          <w:fitText w:val="-20" w:id="-694959863"/>
          <w14:textFill>
            <w14:solidFill>
              <w14:srgbClr w14:val="000000">
                <w14:alpha w14:val="100000"/>
              </w14:srgbClr>
            </w14:solidFill>
          </w14:textFill>
        </w:rPr>
        <w:t xml:space="preserve"> </w:t>
      </w:r>
      <w:r w:rsidR="003F51AF" w:rsidRPr="00347D89">
        <w:rPr>
          <w:color w:val="000000"/>
          <w:spacing w:val="-61"/>
          <w:w w:val="15"/>
          <w:shd w:val="solid" w:color="000000" w:fill="000000"/>
          <w:fitText w:val="-20" w:id="-694959863"/>
          <w14:textFill>
            <w14:solidFill>
              <w14:srgbClr w14:val="000000">
                <w14:alpha w14:val="100000"/>
              </w14:srgbClr>
            </w14:solidFill>
          </w14:textFill>
        </w:rPr>
        <w:t>|</w:t>
      </w:r>
      <w:r w:rsidRPr="0004210D">
        <w:t xml:space="preserve"> for 1 x 76 mg vial. </w:t>
      </w:r>
      <w:r w:rsidR="00F44E20" w:rsidRPr="00455205">
        <w:t>The requested effective price was approximately</w:t>
      </w:r>
      <w:r w:rsidR="00F44E20">
        <w:t xml:space="preserve"> 5%</w:t>
      </w:r>
      <w:r w:rsidR="00F44E20" w:rsidRPr="00455205">
        <w:t xml:space="preserve"> lower than the price proposed in the July 2024 submission.</w:t>
      </w:r>
      <w:r w:rsidR="00F44E20">
        <w:t xml:space="preserve"> </w:t>
      </w:r>
      <w:r w:rsidR="00A736EC">
        <w:t xml:space="preserve">The pre-PBAC response </w:t>
      </w:r>
      <w:r w:rsidR="00F44E20">
        <w:t xml:space="preserve">proposed an </w:t>
      </w:r>
      <w:r w:rsidR="00280A11">
        <w:t>A</w:t>
      </w:r>
      <w:r w:rsidR="00F44E20">
        <w:t>EMP of $</w:t>
      </w:r>
      <w:r w:rsidR="003F51AF" w:rsidRPr="00347D89">
        <w:rPr>
          <w:color w:val="000000"/>
          <w:w w:val="15"/>
          <w:shd w:val="solid" w:color="000000" w:fill="000000"/>
          <w:fitText w:val="-20" w:id="-694959862"/>
          <w14:textFill>
            <w14:solidFill>
              <w14:srgbClr w14:val="000000">
                <w14:alpha w14:val="100000"/>
              </w14:srgbClr>
            </w14:solidFill>
          </w14:textFill>
        </w:rPr>
        <w:t>|</w:t>
      </w:r>
      <w:r w:rsidR="00BC142B" w:rsidRPr="00347D89">
        <w:rPr>
          <w:color w:val="000000"/>
          <w:w w:val="15"/>
          <w:shd w:val="solid" w:color="000000" w:fill="000000"/>
          <w:fitText w:val="-20" w:id="-694959862"/>
          <w14:textFill>
            <w14:solidFill>
              <w14:srgbClr w14:val="000000">
                <w14:alpha w14:val="100000"/>
              </w14:srgbClr>
            </w14:solidFill>
          </w14:textFill>
        </w:rPr>
        <w:t xml:space="preserve"> </w:t>
      </w:r>
      <w:r w:rsidR="003F51AF" w:rsidRPr="00347D89">
        <w:rPr>
          <w:color w:val="000000"/>
          <w:spacing w:val="-61"/>
          <w:w w:val="15"/>
          <w:shd w:val="solid" w:color="000000" w:fill="000000"/>
          <w:fitText w:val="-20" w:id="-694959862"/>
          <w14:textFill>
            <w14:solidFill>
              <w14:srgbClr w14:val="000000">
                <w14:alpha w14:val="100000"/>
              </w14:srgbClr>
            </w14:solidFill>
          </w14:textFill>
        </w:rPr>
        <w:t>|</w:t>
      </w:r>
      <w:r w:rsidR="00F44E20">
        <w:t xml:space="preserve"> for 1 x 76 mg vial</w:t>
      </w:r>
      <w:r w:rsidR="00A42714">
        <w:t xml:space="preserve"> (a 7% price reduction compared to the price proposed in the resubmission)</w:t>
      </w:r>
      <w:r w:rsidR="00F44E20">
        <w:t>.</w:t>
      </w:r>
    </w:p>
    <w:p w14:paraId="0481D7D0" w14:textId="39E8612F" w:rsidR="00371C20" w:rsidRPr="00455205" w:rsidRDefault="00330E07" w:rsidP="00371C20">
      <w:pPr>
        <w:pStyle w:val="COMexecsummnumbered"/>
      </w:pPr>
      <w:r>
        <w:t xml:space="preserve">The PBAC noted that the </w:t>
      </w:r>
      <w:r w:rsidR="0080104E">
        <w:t xml:space="preserve">dosing </w:t>
      </w:r>
      <w:r w:rsidR="00CA4A77">
        <w:t xml:space="preserve">of elranatamab every 4 weeks from Week 49 is </w:t>
      </w:r>
      <w:r w:rsidR="00AF1B29">
        <w:t xml:space="preserve">not </w:t>
      </w:r>
      <w:r w:rsidR="00CA4A77">
        <w:t>currently TGA</w:t>
      </w:r>
      <w:r w:rsidR="00D84996">
        <w:t xml:space="preserve"> </w:t>
      </w:r>
      <w:r w:rsidR="00954DD3">
        <w:t xml:space="preserve">approved </w:t>
      </w:r>
      <w:r w:rsidR="00D84996">
        <w:t xml:space="preserve">(see paragraph </w:t>
      </w:r>
      <w:r w:rsidR="00D84996">
        <w:fldChar w:fldCharType="begin" w:fldLock="1"/>
      </w:r>
      <w:r w:rsidR="00D84996">
        <w:instrText xml:space="preserve"> REF _Ref193112783 \r \h </w:instrText>
      </w:r>
      <w:r w:rsidR="00D84996">
        <w:fldChar w:fldCharType="separate"/>
      </w:r>
      <w:r w:rsidR="00347D89">
        <w:t>2.2</w:t>
      </w:r>
      <w:r w:rsidR="00D84996">
        <w:fldChar w:fldCharType="end"/>
      </w:r>
      <w:r w:rsidR="00D84996">
        <w:t>).</w:t>
      </w:r>
    </w:p>
    <w:p w14:paraId="2F1DD0E6" w14:textId="6B1C960F" w:rsidR="00371C20" w:rsidRPr="00455205" w:rsidRDefault="00371C20" w:rsidP="00371C20">
      <w:pPr>
        <w:pStyle w:val="COMexecsummnumbered"/>
      </w:pPr>
      <w:r w:rsidRPr="00455205">
        <w:t>The resubmission requested a dual General Schedule and Section 100 Efficient Funding of Chemotherapy listing. The Secretariat previously considered that as elranatamab is a subcutaneous injection, it should be listed under the General Schedule and the Section 100 Program (EFC – Related Benefits) Schedule 2 (paragraph 2.7, elranatamab, Public Summary Document</w:t>
      </w:r>
      <w:r w:rsidR="009932BF" w:rsidRPr="00455205">
        <w:t xml:space="preserve"> (PSD)</w:t>
      </w:r>
      <w:r w:rsidRPr="00455205">
        <w:t>, July 2024 PBAC meeting).</w:t>
      </w:r>
    </w:p>
    <w:p w14:paraId="0DD82BCB" w14:textId="7DB02F48" w:rsidR="00371C20" w:rsidRPr="00455205" w:rsidRDefault="00371C20" w:rsidP="00371C20">
      <w:pPr>
        <w:pStyle w:val="COMexecsummnumbered"/>
      </w:pPr>
      <w:r w:rsidRPr="00455205">
        <w:lastRenderedPageBreak/>
        <w:t>Compared to the July 2024 submission, the proposed restriction was updated to specify 3 prior lines of therapy rather than 3 prior therapies. Th</w:t>
      </w:r>
      <w:r w:rsidR="00A473B0" w:rsidRPr="00455205">
        <w:t xml:space="preserve">e ESC considered that the change </w:t>
      </w:r>
      <w:r w:rsidRPr="00455205">
        <w:t xml:space="preserve">was reasonable, and consistent with the positioning of elranatamab as a fourth or subsequent line therapy. However, while the proposed initial treatment restriction specifies </w:t>
      </w:r>
      <w:r w:rsidR="003740C9" w:rsidRPr="00455205">
        <w:t>RRMM</w:t>
      </w:r>
      <w:r w:rsidRPr="00455205">
        <w:t xml:space="preserve">, the proposed initial treatment restriction does not include clinical criteria requiring patients to have experienced disease progression on their prior line of therapy. The TGA indication requires patients to have previously received at least 3 prior </w:t>
      </w:r>
      <w:proofErr w:type="gramStart"/>
      <w:r w:rsidRPr="00455205">
        <w:t>therapies, and</w:t>
      </w:r>
      <w:proofErr w:type="gramEnd"/>
      <w:r w:rsidRPr="00455205">
        <w:t xml:space="preserve"> demonstrated disease progression on the last therapy.</w:t>
      </w:r>
      <w:r w:rsidR="004853A4" w:rsidRPr="00455205">
        <w:t xml:space="preserve"> Additionally, </w:t>
      </w:r>
      <w:r w:rsidR="00E1106C" w:rsidRPr="00455205">
        <w:t>the MagnetisMM-3 study required patients to be relapsed or refractory to their last anti-myeloma therapy.</w:t>
      </w:r>
    </w:p>
    <w:p w14:paraId="3FD2FDC8" w14:textId="65596B8D" w:rsidR="00E31369" w:rsidRPr="00455205" w:rsidRDefault="00371C20" w:rsidP="00E31369">
      <w:pPr>
        <w:pStyle w:val="COMexecsummnumbered"/>
      </w:pPr>
      <w:r w:rsidRPr="00455205">
        <w:t>The proposed restriction does not preclude use in combination with other treatments.</w:t>
      </w:r>
      <w:r w:rsidR="00A54C47" w:rsidRPr="00455205">
        <w:t xml:space="preserve"> The ESC considered that the restriction should specify that treatment with elranatamab is </w:t>
      </w:r>
      <w:r w:rsidR="00A473B0" w:rsidRPr="00455205">
        <w:t>as monotherapy</w:t>
      </w:r>
      <w:r w:rsidR="0052585A" w:rsidRPr="00455205">
        <w:t xml:space="preserve"> to align with the clinical evidence presented in the resubmission</w:t>
      </w:r>
      <w:r w:rsidR="00A473B0" w:rsidRPr="00455205">
        <w:t>.</w:t>
      </w:r>
    </w:p>
    <w:p w14:paraId="017961F5" w14:textId="4FA6D66C" w:rsidR="00E31369" w:rsidRPr="00455205" w:rsidRDefault="00E31369" w:rsidP="00E31369">
      <w:pPr>
        <w:pStyle w:val="COMexecsummnumbered"/>
      </w:pPr>
      <w:r w:rsidRPr="00455205">
        <w:t xml:space="preserve">The </w:t>
      </w:r>
      <w:r w:rsidR="008127C8" w:rsidRPr="00455205">
        <w:t>ESC considered that a</w:t>
      </w:r>
      <w:r w:rsidRPr="00455205">
        <w:t xml:space="preserve"> prescribing instruction to the initial supply restriction stating that elranatamab is not PBS-subsidised if it is administered to an inpatient in a public hospital setting </w:t>
      </w:r>
      <w:r w:rsidR="008127C8" w:rsidRPr="00455205">
        <w:t>would be required</w:t>
      </w:r>
      <w:r w:rsidRPr="00455205">
        <w:t>.</w:t>
      </w:r>
    </w:p>
    <w:p w14:paraId="1A3E374B" w14:textId="3E8C7299" w:rsidR="00E31369" w:rsidRPr="00455205" w:rsidRDefault="00E31369" w:rsidP="00E31369">
      <w:pPr>
        <w:pStyle w:val="COMexecsummnumbered"/>
      </w:pPr>
      <w:r w:rsidRPr="00455205">
        <w:t xml:space="preserve">The proposed restriction requires prior treatment with an anti-CD38 antibody treatment. Daratumumab is currently the only anti-CD38 antibody treatment listed on the PBS for multiple </w:t>
      </w:r>
      <w:r w:rsidR="00A852FB" w:rsidRPr="00455205">
        <w:t>myeloma,</w:t>
      </w:r>
      <w:r w:rsidRPr="00455205">
        <w:t xml:space="preserve"> and </w:t>
      </w:r>
      <w:r w:rsidR="004F7A9C" w:rsidRPr="00455205">
        <w:t xml:space="preserve">it </w:t>
      </w:r>
      <w:r w:rsidRPr="00455205">
        <w:t>is only PBS-listed for use as a second-line treatment. Patients who have not previously received treatment with daratumumab and are beyond second line treatment may not have a pathway to qualify for elranatamab treatment through the PBS.</w:t>
      </w:r>
    </w:p>
    <w:p w14:paraId="6C8D48E4" w14:textId="25F87826" w:rsidR="00371C20" w:rsidRPr="00455205" w:rsidRDefault="00E31369" w:rsidP="00F9393E">
      <w:pPr>
        <w:pStyle w:val="COMexecsummnumbered"/>
      </w:pPr>
      <w:r w:rsidRPr="00455205">
        <w:t xml:space="preserve">The proposed restriction does not restrict treatment </w:t>
      </w:r>
      <w:proofErr w:type="gramStart"/>
      <w:r w:rsidRPr="00455205">
        <w:t>on the basis of</w:t>
      </w:r>
      <w:proofErr w:type="gramEnd"/>
      <w:r w:rsidRPr="00455205">
        <w:t xml:space="preserve"> prior </w:t>
      </w:r>
      <w:r w:rsidR="006339E6" w:rsidRPr="00455205">
        <w:t>B-cell maturation antigen (</w:t>
      </w:r>
      <w:r w:rsidRPr="00455205">
        <w:t>BCMA</w:t>
      </w:r>
      <w:r w:rsidR="006339E6" w:rsidRPr="00455205">
        <w:t>)</w:t>
      </w:r>
      <w:r w:rsidRPr="00455205">
        <w:t xml:space="preserve">-directed CAR-T cell therapy use. The PBAC previously advised that a criterion should be added to the initial supply restriction preventing use in patients who have received a prior BCMA-directed therapy (paragraph 3.8, elranatamab, </w:t>
      </w:r>
      <w:r w:rsidR="0060660C" w:rsidRPr="00455205">
        <w:t>PSD</w:t>
      </w:r>
      <w:r w:rsidRPr="00455205">
        <w:t xml:space="preserve">, July 2024 PBAC meeting). </w:t>
      </w:r>
      <w:r w:rsidR="008127C8" w:rsidRPr="00455205">
        <w:t xml:space="preserve">The </w:t>
      </w:r>
      <w:r w:rsidR="007E709C" w:rsidRPr="007E709C">
        <w:t xml:space="preserve">Pre-Sub-Committee Response </w:t>
      </w:r>
      <w:r w:rsidR="007E709C">
        <w:t>(</w:t>
      </w:r>
      <w:r w:rsidR="008127C8" w:rsidRPr="00455205">
        <w:t>PSCR</w:t>
      </w:r>
      <w:r w:rsidR="007E709C">
        <w:t>)</w:t>
      </w:r>
      <w:r w:rsidR="008127C8" w:rsidRPr="00455205">
        <w:t xml:space="preserve"> stated that if ciltacabtagene autoleucel </w:t>
      </w:r>
      <w:r w:rsidR="00B829F0" w:rsidRPr="00455205">
        <w:t xml:space="preserve">(a CAR T-cell therapy) </w:t>
      </w:r>
      <w:r w:rsidR="008127C8" w:rsidRPr="00455205">
        <w:t>is available at the time of elranatamab listing, a criterion that excludes patients who have received prior BCMA-directed therapy would be reasonable.</w:t>
      </w:r>
    </w:p>
    <w:p w14:paraId="59D65FDF" w14:textId="0B6A27A9" w:rsidR="00E31369" w:rsidRDefault="00E31369" w:rsidP="00F9393E">
      <w:pPr>
        <w:pStyle w:val="COMexecsummnumbered"/>
      </w:pPr>
      <w:r w:rsidRPr="00455205">
        <w:t xml:space="preserve">The resubmission requested grandfather provisions to allow </w:t>
      </w:r>
      <w:r w:rsidR="0002262D" w:rsidRPr="00455205">
        <w:t xml:space="preserve">the approximately </w:t>
      </w:r>
      <w:r w:rsidR="006A6E40">
        <w:t>&lt; 500</w:t>
      </w:r>
      <w:r w:rsidR="006A6E40" w:rsidRPr="00455205">
        <w:t xml:space="preserve"> </w:t>
      </w:r>
      <w:r w:rsidRPr="00455205">
        <w:t xml:space="preserve">patients enrolled in a planned expanded access program to receive PBS treatment with elranatamab. </w:t>
      </w:r>
    </w:p>
    <w:p w14:paraId="58925946" w14:textId="1EE22FA5" w:rsidR="003B450F" w:rsidRPr="003B450F" w:rsidRDefault="003B450F" w:rsidP="003B450F">
      <w:pPr>
        <w:pStyle w:val="COMexecsummnumbered"/>
        <w:numPr>
          <w:ilvl w:val="0"/>
          <w:numId w:val="0"/>
        </w:numPr>
        <w:ind w:left="720"/>
        <w:rPr>
          <w:i/>
          <w:iCs/>
        </w:rPr>
      </w:pPr>
      <w:r w:rsidRPr="003B450F">
        <w:rPr>
          <w:i/>
          <w:iCs/>
        </w:rPr>
        <w:t>For more detail on PBAC’s view, see section 7 PBAC outcome.</w:t>
      </w:r>
    </w:p>
    <w:p w14:paraId="7075B85C" w14:textId="62A47B7B" w:rsidR="00B50DB8" w:rsidRPr="006E0FA2" w:rsidDel="00195452" w:rsidRDefault="00203181" w:rsidP="004E18E9">
      <w:pPr>
        <w:pStyle w:val="COMH1-numbered"/>
      </w:pPr>
      <w:bookmarkStart w:id="13" w:name="_Toc188287172"/>
      <w:r w:rsidRPr="006E0FA2" w:rsidDel="00195452">
        <w:t xml:space="preserve">Population and </w:t>
      </w:r>
      <w:r w:rsidR="008E0D3C" w:rsidRPr="006E0FA2" w:rsidDel="00195452">
        <w:t>d</w:t>
      </w:r>
      <w:r w:rsidRPr="006E0FA2" w:rsidDel="00195452">
        <w:t>isease</w:t>
      </w:r>
      <w:bookmarkEnd w:id="13"/>
    </w:p>
    <w:p w14:paraId="746CCF59" w14:textId="4419C93F" w:rsidR="00E31369" w:rsidRPr="00455205" w:rsidRDefault="00E31369" w:rsidP="00E31369">
      <w:pPr>
        <w:pStyle w:val="COMexecsummnumbered"/>
      </w:pPr>
      <w:r w:rsidRPr="00455205">
        <w:t xml:space="preserve">Multiple myeloma is a plasma cell malignancy characterised by the abnormal growth of clonal B-cells in the bone marrow. Proliferation of myeloma cells in the bone marrow is associated with bone destruction and bone marrow failure. Patients with multiple myeloma experience hypercalcaemia, fatigue, weight loss, anaemia, bone </w:t>
      </w:r>
      <w:r w:rsidRPr="00455205">
        <w:lastRenderedPageBreak/>
        <w:t xml:space="preserve">pain, bone fractures, renal impairment, and are at higher risk of infections. An estimated 2,719 new cases of multiple myeloma are forecast in Australia in 2024 (1,637 males and 1,082 females; AIHW, 2024). The median age of patients with multiple myeloma in Australia in 2020 was 72.4 years, with a 5-year survival rate of approximately 60% (AIHW, 2024). </w:t>
      </w:r>
    </w:p>
    <w:p w14:paraId="68509617" w14:textId="02803C11" w:rsidR="00A94897" w:rsidRPr="00455205" w:rsidRDefault="00E31369" w:rsidP="00A94897">
      <w:pPr>
        <w:pStyle w:val="COMexecsummnumbered"/>
      </w:pPr>
      <w:r w:rsidRPr="00455205">
        <w:t>The population targeted in the resubmission is patients who are receiving a fourth or subsequent line of therapy, and who have previously received treatment with a proteasome inhibitor, immunomodulatory drug and an anti-CD38 monoclonal antibody (i.e., triple class exposed). In the pivotal elranatamab study (MagnetisMM</w:t>
      </w:r>
      <w:r w:rsidR="00A94897" w:rsidRPr="00455205">
        <w:noBreakHyphen/>
      </w:r>
      <w:r w:rsidRPr="00455205">
        <w:t xml:space="preserve">3), patients were required to be triple class refractory (i.e., refractory to at least one proteasome inhibitor, one immunomodulatory drug and one CD38 monoclonal antibody). </w:t>
      </w:r>
      <w:proofErr w:type="gramStart"/>
      <w:r w:rsidRPr="00455205">
        <w:t>The majority of</w:t>
      </w:r>
      <w:proofErr w:type="gramEnd"/>
      <w:r w:rsidRPr="00455205">
        <w:t xml:space="preserve"> patients in Cohort A of the MagnetisMM-3 study (70.7%) were penta-drug exposed (i.e., had prior exposure to 2 proteasome inhibitors, 2</w:t>
      </w:r>
      <w:r w:rsidR="000C68C7">
        <w:t> </w:t>
      </w:r>
      <w:r w:rsidRPr="00455205">
        <w:t>immunomodulatory drugs and an anti-CD38 monoclonal antibody) and a large portion were penta-drug refractory (42.3%). The resubmission claimed that approximately 63-73% of patients with triple class exposed multiple myeloma are triple class refractory and approximately 20% are penta-drug refractory.</w:t>
      </w:r>
    </w:p>
    <w:p w14:paraId="191639B6" w14:textId="103E2A86" w:rsidR="002F4936" w:rsidRPr="00455205" w:rsidRDefault="002F4936" w:rsidP="00FB4E72">
      <w:pPr>
        <w:pStyle w:val="COMexecsummnumbered"/>
      </w:pPr>
      <w:r w:rsidRPr="00455205">
        <w:t xml:space="preserve">For patients with </w:t>
      </w:r>
      <w:r w:rsidR="003740C9" w:rsidRPr="00455205">
        <w:t>RRMM</w:t>
      </w:r>
      <w:r w:rsidRPr="00455205">
        <w:t xml:space="preserve"> after 3 lines of prior therapy, the NCCN guidelines list CAR T-cell therapy (ciltacabtagene autoleucel or idecabtagene vicleucel) as the preferred treatment option, with bispecific antibodies (including elranatamab, talquetamab and teclistamab) listed as a preferred regimen for patients who have received at least four prior therapies that include a proteasome inhibitor, immunomodulatory drug and an anti-CD38 monoclonal antibody. </w:t>
      </w:r>
      <w:r w:rsidR="000F41AC" w:rsidRPr="00455205">
        <w:t>Sd</w:t>
      </w:r>
      <w:r w:rsidRPr="00455205">
        <w:t xml:space="preserve"> is recommended as an option after at least four prior therapies among patients whose disease is refractory to at least two proteasome inhibitors, at least two immunomodulatory agents, and an anti-CD38 monoclonal antibody.</w:t>
      </w:r>
      <w:r w:rsidR="00EA0F87">
        <w:t xml:space="preserve"> </w:t>
      </w:r>
      <w:r w:rsidRPr="00455205">
        <w:t xml:space="preserve">The NCCN guidelines note that the choice of therapy for a specific patient depends on the context of clinical relapse, including prior treatments and the duration of response to prior treatments. </w:t>
      </w:r>
    </w:p>
    <w:p w14:paraId="3ED60729" w14:textId="0C8CF819" w:rsidR="00A94897" w:rsidRPr="00455205" w:rsidRDefault="002F4936" w:rsidP="002F4936">
      <w:pPr>
        <w:pStyle w:val="COMexecsummnumbered"/>
      </w:pPr>
      <w:r w:rsidRPr="00455205">
        <w:t>Elranatamab is an immunoglobulin G2 kappa (IgG2K) bispecific antibody targeting B</w:t>
      </w:r>
      <w:r w:rsidR="000C68C7">
        <w:noBreakHyphen/>
      </w:r>
      <w:r w:rsidRPr="00455205">
        <w:t>cell maturation antigen (BCMA) on B-cells and CD3 on T-cells. BCMA is a cell surface receptor that is overexpressed on malignant cells such as multiple myeloma cells. Simultaneous binding of elranatamab to BCMA and CD3 receptor on T-cells induces selective T-cell-mediated cytolysis of myeloma cells.</w:t>
      </w:r>
    </w:p>
    <w:p w14:paraId="68E540E3" w14:textId="4C3BB534" w:rsidR="002F4936" w:rsidRPr="00455205" w:rsidRDefault="002F4936" w:rsidP="00FD5FDF">
      <w:pPr>
        <w:pStyle w:val="COMexecsummnumbered"/>
      </w:pPr>
      <w:r w:rsidRPr="00455205">
        <w:t>Elranatamab is administered via subcutaneous injection, with initial step-up doses of 12</w:t>
      </w:r>
      <w:r w:rsidR="008D0855">
        <w:t> </w:t>
      </w:r>
      <w:r w:rsidRPr="00455205">
        <w:t>mg on Day 1 and 32 mg on Day 4, followed by the full treatment dose of 76</w:t>
      </w:r>
      <w:r w:rsidR="008D0855">
        <w:t> </w:t>
      </w:r>
      <w:r w:rsidRPr="00455205">
        <w:t>mg once a week from Day 8. For patients who have received at least 24 weeks of treatment with elranatamab and who have achieved a response, it is recommended that the dosing frequency is reduced to 76 mg every two weeks. Treatment with elranatamab is ongoing until disease progression or unacceptable toxicity.</w:t>
      </w:r>
      <w:r w:rsidR="00FD5FDF" w:rsidRPr="00455205">
        <w:t xml:space="preserve"> Based on proposed changes to the </w:t>
      </w:r>
      <w:r w:rsidR="00EA0F87">
        <w:t>P</w:t>
      </w:r>
      <w:r w:rsidR="00EA0F87" w:rsidRPr="00455205">
        <w:t xml:space="preserve">roduct </w:t>
      </w:r>
      <w:r w:rsidR="00EA0F87">
        <w:t>I</w:t>
      </w:r>
      <w:r w:rsidR="00EA0F87" w:rsidRPr="00455205">
        <w:t>nformation</w:t>
      </w:r>
      <w:r w:rsidR="00FD5FDF" w:rsidRPr="00455205">
        <w:t xml:space="preserve">, </w:t>
      </w:r>
      <w:r w:rsidR="002364B9" w:rsidRPr="00455205">
        <w:t xml:space="preserve">the resubmission has </w:t>
      </w:r>
      <w:r w:rsidR="00FE33E0" w:rsidRPr="00455205">
        <w:t xml:space="preserve">proposed </w:t>
      </w:r>
      <w:r w:rsidR="00FD5FDF" w:rsidRPr="00455205">
        <w:t>a reduction in dose frequency from 76</w:t>
      </w:r>
      <w:r w:rsidR="00F3724A" w:rsidRPr="00455205">
        <w:t> </w:t>
      </w:r>
      <w:r w:rsidR="00FD5FDF" w:rsidRPr="00455205">
        <w:t xml:space="preserve">mg every 2 weeks to 76 mg every 4 weeks from Week 49 onwards for patients who have received at least 24 weeks of treatment with elranatamab every 2 weeks. The updated dosing regimen was included in the </w:t>
      </w:r>
      <w:r w:rsidR="00FD5FDF" w:rsidRPr="00455205">
        <w:lastRenderedPageBreak/>
        <w:t xml:space="preserve">calculation of elranatamab treatment costs in </w:t>
      </w:r>
      <w:r w:rsidR="00A0380E" w:rsidRPr="00455205">
        <w:t>the economic analysis and financial estimates</w:t>
      </w:r>
      <w:r w:rsidR="00FD5FDF" w:rsidRPr="00455205">
        <w:t>.</w:t>
      </w:r>
      <w:r w:rsidR="00EA0F87">
        <w:t xml:space="preserve"> As noted above (see paragraph </w:t>
      </w:r>
      <w:r w:rsidR="00EA0F87">
        <w:fldChar w:fldCharType="begin" w:fldLock="1"/>
      </w:r>
      <w:r w:rsidR="00EA0F87">
        <w:instrText xml:space="preserve"> REF _Ref193112783 \r \h </w:instrText>
      </w:r>
      <w:r w:rsidR="00EA0F87">
        <w:fldChar w:fldCharType="separate"/>
      </w:r>
      <w:r w:rsidR="00347D89">
        <w:t>2.2</w:t>
      </w:r>
      <w:r w:rsidR="00EA0F87">
        <w:fldChar w:fldCharType="end"/>
      </w:r>
      <w:r w:rsidR="00EA0F87">
        <w:t xml:space="preserve">), </w:t>
      </w:r>
      <w:r w:rsidR="00080817">
        <w:t>the reduction in dosing frequency has not yet been approved by the TGA.</w:t>
      </w:r>
    </w:p>
    <w:p w14:paraId="00A2D55D" w14:textId="10478666" w:rsidR="00FD5FDF" w:rsidRDefault="00FD5FDF" w:rsidP="00FD5FDF">
      <w:pPr>
        <w:pStyle w:val="COMexecsummnumbered"/>
      </w:pPr>
      <w:r w:rsidRPr="00455205">
        <w:t>Due to the risk of severe reactions, hospitalisation is recommended for 48 hours after administration of the first step-up dose, and for 24 hours after administration of the second step-up dose. Supervision by a healthcare professional or hospitalisation is also recommended for subsequent treatment reinitiations</w:t>
      </w:r>
      <w:r w:rsidR="00EE6E39" w:rsidRPr="00455205">
        <w:rPr>
          <w:rStyle w:val="FootnoteReference"/>
        </w:rPr>
        <w:footnoteReference w:id="2"/>
      </w:r>
      <w:r w:rsidR="00EE6E39" w:rsidRPr="00455205">
        <w:t>.</w:t>
      </w:r>
      <w:r w:rsidRPr="00455205">
        <w:t xml:space="preserve"> </w:t>
      </w:r>
      <w:r w:rsidR="00047256" w:rsidRPr="00455205">
        <w:t>The economic analysis and financial estimates</w:t>
      </w:r>
      <w:r w:rsidRPr="00455205">
        <w:t xml:space="preserve"> assumed that 96% of patients would initiate treatment with elranatamab in an inpatient setting and 4% would initiate treatment in an outpatient setting.</w:t>
      </w:r>
    </w:p>
    <w:p w14:paraId="54A029DC" w14:textId="43EA1F8F" w:rsidR="003B450F" w:rsidRPr="003B450F" w:rsidRDefault="003B450F" w:rsidP="003B450F">
      <w:pPr>
        <w:pStyle w:val="COMexecsummnumbered"/>
        <w:numPr>
          <w:ilvl w:val="0"/>
          <w:numId w:val="0"/>
        </w:numPr>
        <w:ind w:left="720"/>
        <w:rPr>
          <w:i/>
          <w:iCs/>
        </w:rPr>
      </w:pPr>
      <w:r w:rsidRPr="003B450F">
        <w:rPr>
          <w:i/>
          <w:iCs/>
        </w:rPr>
        <w:t>For more detail on PBAC’s view, see section 7 PBAC outcome.</w:t>
      </w:r>
    </w:p>
    <w:p w14:paraId="51E5AE96" w14:textId="136A63B1" w:rsidR="00B50DB8" w:rsidRPr="006E0FA2" w:rsidRDefault="00B50DB8" w:rsidP="004E18E9">
      <w:pPr>
        <w:pStyle w:val="COMH1-numbered"/>
      </w:pPr>
      <w:bookmarkStart w:id="14" w:name="_Toc188287173"/>
      <w:r w:rsidRPr="006E0FA2">
        <w:t>Comparator</w:t>
      </w:r>
      <w:bookmarkEnd w:id="14"/>
    </w:p>
    <w:p w14:paraId="7207953C" w14:textId="72B2C37D" w:rsidR="00FD5FDF" w:rsidRPr="00455205" w:rsidRDefault="001A6E3E" w:rsidP="00FD5FDF">
      <w:pPr>
        <w:pStyle w:val="COMexecsummnumbered"/>
      </w:pPr>
      <w:r>
        <w:t xml:space="preserve">The resubmission nominated </w:t>
      </w:r>
      <w:r w:rsidRPr="00455205">
        <w:t xml:space="preserve">standard of care, represented by Cd, Pd, and Sd, </w:t>
      </w:r>
      <w:r w:rsidR="00A25F7A">
        <w:t xml:space="preserve">as the </w:t>
      </w:r>
      <w:r w:rsidRPr="00455205">
        <w:t>main comparator</w:t>
      </w:r>
      <w:r w:rsidR="007F7CE7">
        <w:t>.</w:t>
      </w:r>
      <w:r w:rsidRPr="00455205">
        <w:t xml:space="preserve"> </w:t>
      </w:r>
      <w:r w:rsidR="00FD5FDF" w:rsidRPr="00455205">
        <w:t>The main arguments provided in support of this nomination were:</w:t>
      </w:r>
    </w:p>
    <w:p w14:paraId="27F508D2" w14:textId="77777777" w:rsidR="00FD5FDF" w:rsidRPr="00455205" w:rsidRDefault="00FD5FDF" w:rsidP="003E021E">
      <w:pPr>
        <w:pStyle w:val="COMexecsummbulletlist"/>
        <w:ind w:hanging="357"/>
      </w:pPr>
      <w:r w:rsidRPr="00455205">
        <w:t>There is no established standard of care in Australia for triple class refractory multiple myeloma, with various therapies and combination regimens used. The treatment regimens often include a proteasome inhibitor, immunomodulatory drug, and an anti-CD38 monoclonal antibody.</w:t>
      </w:r>
    </w:p>
    <w:p w14:paraId="231997D1" w14:textId="08A69CE3" w:rsidR="00163F0B" w:rsidRPr="00455205" w:rsidRDefault="00FD5FDF" w:rsidP="003E021E">
      <w:pPr>
        <w:pStyle w:val="COMexecsummbulletlist"/>
      </w:pPr>
      <w:r w:rsidRPr="00455205">
        <w:t xml:space="preserve">The PBAC previously noted that </w:t>
      </w:r>
      <w:r w:rsidR="000F41AC" w:rsidRPr="00455205">
        <w:t>Cd</w:t>
      </w:r>
      <w:r w:rsidRPr="00455205">
        <w:t xml:space="preserve">, </w:t>
      </w:r>
      <w:r w:rsidR="000F41AC" w:rsidRPr="00455205">
        <w:t>Pd</w:t>
      </w:r>
      <w:r w:rsidRPr="00455205">
        <w:t xml:space="preserve">, and </w:t>
      </w:r>
      <w:r w:rsidR="000F41AC" w:rsidRPr="00455205">
        <w:t>Sd</w:t>
      </w:r>
      <w:r w:rsidRPr="00455205">
        <w:t xml:space="preserve"> were included as comparators in recently recommended submissions to PBAC and MSAC. </w:t>
      </w:r>
    </w:p>
    <w:p w14:paraId="535DAC99" w14:textId="18058CCF" w:rsidR="00163F0B" w:rsidRPr="00455205" w:rsidRDefault="00163F0B" w:rsidP="00163F0B">
      <w:pPr>
        <w:pStyle w:val="COMexecsummnumbered"/>
      </w:pPr>
      <w:r w:rsidRPr="00455205">
        <w:t>The PBAC previously noted that, since the PBS listing of daratumumab + bortezomib + dexamethasone</w:t>
      </w:r>
      <w:r w:rsidR="00E0343A" w:rsidRPr="00455205">
        <w:t xml:space="preserve"> (</w:t>
      </w:r>
      <w:proofErr w:type="spellStart"/>
      <w:r w:rsidR="000F41AC" w:rsidRPr="00455205">
        <w:t>DBd</w:t>
      </w:r>
      <w:proofErr w:type="spellEnd"/>
      <w:r w:rsidR="00E0343A" w:rsidRPr="00455205">
        <w:t>)</w:t>
      </w:r>
      <w:r w:rsidRPr="00455205">
        <w:t xml:space="preserve"> for use as a second line treatment, the PBAC has </w:t>
      </w:r>
      <w:r w:rsidR="006B171F" w:rsidRPr="00455205">
        <w:t xml:space="preserve">recommended </w:t>
      </w:r>
      <w:r w:rsidRPr="00455205">
        <w:t xml:space="preserve">applications for the listing of </w:t>
      </w:r>
      <w:proofErr w:type="spellStart"/>
      <w:r w:rsidR="000F41AC" w:rsidRPr="00455205">
        <w:t>ELd</w:t>
      </w:r>
      <w:proofErr w:type="spellEnd"/>
      <w:r w:rsidRPr="00455205">
        <w:t xml:space="preserve">, </w:t>
      </w:r>
      <w:proofErr w:type="spellStart"/>
      <w:r w:rsidR="000F41AC" w:rsidRPr="00455205">
        <w:t>CLd</w:t>
      </w:r>
      <w:proofErr w:type="spellEnd"/>
      <w:r w:rsidRPr="00455205">
        <w:t xml:space="preserve"> and </w:t>
      </w:r>
      <w:proofErr w:type="spellStart"/>
      <w:r w:rsidR="000F41AC" w:rsidRPr="00455205">
        <w:t>SBd</w:t>
      </w:r>
      <w:proofErr w:type="spellEnd"/>
      <w:r w:rsidRPr="00455205">
        <w:t xml:space="preserve"> for </w:t>
      </w:r>
      <w:r w:rsidR="003740C9" w:rsidRPr="00455205">
        <w:t>RRMM</w:t>
      </w:r>
      <w:r w:rsidRPr="00455205">
        <w:t xml:space="preserve">; and that </w:t>
      </w:r>
      <w:r w:rsidR="000F41AC" w:rsidRPr="00455205">
        <w:t>Cd</w:t>
      </w:r>
      <w:r w:rsidRPr="00455205">
        <w:t xml:space="preserve"> was included as the comparator in these submissions (paragraph 5.3, elranatamab, </w:t>
      </w:r>
      <w:r w:rsidR="0060660C" w:rsidRPr="00455205">
        <w:t>PSD</w:t>
      </w:r>
      <w:r w:rsidRPr="00455205">
        <w:t>, July</w:t>
      </w:r>
      <w:r w:rsidR="003E021E">
        <w:t> </w:t>
      </w:r>
      <w:r w:rsidRPr="00455205">
        <w:t xml:space="preserve">2024 PBAC meeting). Additionally, it was noted that </w:t>
      </w:r>
      <w:r w:rsidR="00C474BF" w:rsidRPr="00455205">
        <w:t>Cd</w:t>
      </w:r>
      <w:r w:rsidRPr="00455205">
        <w:t xml:space="preserve">, </w:t>
      </w:r>
      <w:r w:rsidR="00C474BF" w:rsidRPr="00455205">
        <w:t>Pd</w:t>
      </w:r>
      <w:r w:rsidRPr="00455205">
        <w:t xml:space="preserve"> and </w:t>
      </w:r>
      <w:r w:rsidR="00C474BF" w:rsidRPr="00455205">
        <w:t>Sd</w:t>
      </w:r>
      <w:r w:rsidRPr="00455205">
        <w:t xml:space="preserve"> were accepted as comparators for the ciltacabtagene autoleucel submission which was recommended at the April 2024 MSAC meeting (paragraph 5.4, elranatamab, </w:t>
      </w:r>
      <w:r w:rsidR="0060660C" w:rsidRPr="00455205">
        <w:t>PSD</w:t>
      </w:r>
      <w:r w:rsidRPr="00455205">
        <w:t>, July 2024 PBAC meeting).</w:t>
      </w:r>
    </w:p>
    <w:p w14:paraId="05DF0E8B" w14:textId="6DCC4C0C" w:rsidR="00163F0B" w:rsidRPr="00455205" w:rsidRDefault="00163F0B" w:rsidP="00DE0594">
      <w:pPr>
        <w:pStyle w:val="COMexecsummnumbered"/>
      </w:pPr>
      <w:r w:rsidRPr="00455205">
        <w:t>The resubmission used the results of an analysis of PBS dispensing data provided by the DUSC Secretariat (100% PBS sample</w:t>
      </w:r>
      <w:r w:rsidR="00943CBA" w:rsidRPr="00455205">
        <w:t>, data to</w:t>
      </w:r>
      <w:r w:rsidR="00D20205" w:rsidRPr="00455205">
        <w:t xml:space="preserve"> end of June 2024</w:t>
      </w:r>
      <w:r w:rsidRPr="00455205">
        <w:t xml:space="preserve">) to inform the relative distribution of the three nominated standard of care therapies in the fourth line treatment setting. The estimated distribution was </w:t>
      </w:r>
      <w:r w:rsidR="00C474BF" w:rsidRPr="00455205">
        <w:t>Cd</w:t>
      </w:r>
      <w:r w:rsidRPr="00455205">
        <w:t xml:space="preserve">: 51%; </w:t>
      </w:r>
      <w:r w:rsidR="00C474BF" w:rsidRPr="00455205">
        <w:t>Pd</w:t>
      </w:r>
      <w:r w:rsidRPr="00455205">
        <w:t xml:space="preserve">: 46.5%; and </w:t>
      </w:r>
      <w:r w:rsidR="00C474BF" w:rsidRPr="00455205">
        <w:t>Sd</w:t>
      </w:r>
      <w:r w:rsidRPr="00455205">
        <w:t xml:space="preserve">: 2.5%. The </w:t>
      </w:r>
      <w:r w:rsidR="00F7560D">
        <w:t xml:space="preserve">evaluation considered the </w:t>
      </w:r>
      <w:r w:rsidRPr="00455205">
        <w:t xml:space="preserve">results of the analysis were uncertain, as combination therapy was not captured, making it difficult to determine whether patients were truly fourth line, or to identify combination treatment regimens used in the assumed fourth line setting. </w:t>
      </w:r>
      <w:r w:rsidR="00AE6F66" w:rsidRPr="00455205">
        <w:t xml:space="preserve">The PSCR stated that </w:t>
      </w:r>
      <w:r w:rsidR="00EE7342" w:rsidRPr="00455205">
        <w:t>although the PBS data does not capture use of combination therapies</w:t>
      </w:r>
      <w:r w:rsidR="00761085" w:rsidRPr="00455205">
        <w:t xml:space="preserve">, it determines the sequence of treatment </w:t>
      </w:r>
      <w:r w:rsidR="00761085" w:rsidRPr="00455205">
        <w:lastRenderedPageBreak/>
        <w:t>initiation.</w:t>
      </w:r>
      <w:r w:rsidR="000B6B95" w:rsidRPr="00455205">
        <w:t xml:space="preserve"> Overall, the ESC considered that the </w:t>
      </w:r>
      <w:r w:rsidR="00DC45BF" w:rsidRPr="00455205">
        <w:t xml:space="preserve">distribution of therapies was </w:t>
      </w:r>
      <w:r w:rsidR="00A651B9" w:rsidRPr="00455205">
        <w:t xml:space="preserve">likely </w:t>
      </w:r>
      <w:r w:rsidR="00DC45BF" w:rsidRPr="00455205">
        <w:t>reasonable.</w:t>
      </w:r>
      <w:r w:rsidR="00761085" w:rsidRPr="00455205">
        <w:t xml:space="preserve"> </w:t>
      </w:r>
    </w:p>
    <w:p w14:paraId="30A067BB" w14:textId="03E9027D" w:rsidR="00B50DB8" w:rsidRDefault="00163F0B" w:rsidP="006339E6">
      <w:pPr>
        <w:pStyle w:val="COMexecsummnumbered"/>
      </w:pPr>
      <w:r w:rsidRPr="00455205">
        <w:t xml:space="preserve">Ciltacabtagene autoleucel, a CAR-T cell therapy targeting BCMA, was recommended by the MSAC in April 2024 for the treatment of adult patients with </w:t>
      </w:r>
      <w:r w:rsidR="003740C9" w:rsidRPr="00455205">
        <w:t>RRMM</w:t>
      </w:r>
      <w:r w:rsidRPr="00455205">
        <w:t xml:space="preserve"> who have received at least 4 prior lines of therapy. The elranatamab sponsor previously argued that if elranatamab and ciltacabtagene autoleucel were both available, there may be some impact on uptake of ciltacabtagene autoleucel, but that ciltacabtagene autoleucel, due to its intensive nature, is only suitable for a limited population of </w:t>
      </w:r>
      <w:r w:rsidR="003740C9" w:rsidRPr="00455205">
        <w:t>RRMM</w:t>
      </w:r>
      <w:r w:rsidRPr="00455205">
        <w:t xml:space="preserve"> patients (paragraph 5.4, elranatamab, </w:t>
      </w:r>
      <w:r w:rsidR="0060660C" w:rsidRPr="00455205">
        <w:t>PSD</w:t>
      </w:r>
      <w:r w:rsidRPr="00455205">
        <w:t>, July 2024 PBAC meeting).</w:t>
      </w:r>
      <w:bookmarkStart w:id="15" w:name="_Ref107305381"/>
      <w:r w:rsidR="00024EB5" w:rsidRPr="00455205">
        <w:t xml:space="preserve"> </w:t>
      </w:r>
      <w:bookmarkEnd w:id="15"/>
    </w:p>
    <w:p w14:paraId="594B9FA6" w14:textId="18CC0338" w:rsidR="003B450F" w:rsidRPr="00AA763F" w:rsidRDefault="003B450F" w:rsidP="003B450F">
      <w:pPr>
        <w:pStyle w:val="COMexecsummnumbered"/>
        <w:numPr>
          <w:ilvl w:val="0"/>
          <w:numId w:val="0"/>
        </w:numPr>
        <w:ind w:left="720"/>
        <w:rPr>
          <w:i/>
          <w:iCs/>
        </w:rPr>
      </w:pPr>
      <w:r w:rsidRPr="00AA763F">
        <w:rPr>
          <w:i/>
          <w:iCs/>
        </w:rPr>
        <w:t>For more detail on PBAC’s view, see section 7 PBAC outcome</w:t>
      </w:r>
      <w:r w:rsidR="00AA763F" w:rsidRPr="00AA763F">
        <w:rPr>
          <w:i/>
          <w:iCs/>
        </w:rPr>
        <w:t>.</w:t>
      </w:r>
    </w:p>
    <w:p w14:paraId="7F9C27C8" w14:textId="77777777" w:rsidR="00223D5A" w:rsidRPr="006E0FA2" w:rsidRDefault="00223D5A" w:rsidP="00223D5A">
      <w:pPr>
        <w:pStyle w:val="COMH1-numbered"/>
        <w:numPr>
          <w:ilvl w:val="0"/>
          <w:numId w:val="1"/>
        </w:numPr>
      </w:pPr>
      <w:bookmarkStart w:id="16" w:name="_Toc188287174"/>
      <w:bookmarkStart w:id="17" w:name="_Toc22897640"/>
      <w:r w:rsidRPr="006E0FA2">
        <w:t>Consideration of the evidence</w:t>
      </w:r>
      <w:bookmarkEnd w:id="16"/>
    </w:p>
    <w:p w14:paraId="31BAFAED" w14:textId="77777777" w:rsidR="0041761F" w:rsidRPr="00756C8B" w:rsidRDefault="0041761F" w:rsidP="0041761F">
      <w:pPr>
        <w:pStyle w:val="COMH2-non-numbered"/>
      </w:pPr>
      <w:bookmarkStart w:id="18" w:name="_Hlk76375935"/>
      <w:bookmarkStart w:id="19" w:name="_Toc188287175"/>
      <w:r w:rsidRPr="00756C8B">
        <w:t>Sponsor hearing</w:t>
      </w:r>
    </w:p>
    <w:p w14:paraId="46D9B162" w14:textId="6C0A3FCD" w:rsidR="0041761F" w:rsidRPr="00756C8B" w:rsidRDefault="0041761F" w:rsidP="0041761F">
      <w:pPr>
        <w:widowControl w:val="0"/>
        <w:numPr>
          <w:ilvl w:val="1"/>
          <w:numId w:val="1"/>
        </w:numPr>
        <w:spacing w:after="120"/>
        <w:rPr>
          <w:rFonts w:cs="Calibri"/>
          <w:bCs/>
          <w:snapToGrid w:val="0"/>
        </w:rPr>
      </w:pPr>
      <w:r w:rsidRPr="00756C8B">
        <w:rPr>
          <w:rFonts w:cs="Calibri"/>
          <w:bCs/>
          <w:snapToGrid w:val="0"/>
        </w:rPr>
        <w:t>There was no hearing for this item.</w:t>
      </w:r>
    </w:p>
    <w:p w14:paraId="73B6EB94" w14:textId="77777777" w:rsidR="0041761F" w:rsidRPr="00756C8B" w:rsidRDefault="0041761F" w:rsidP="0041761F">
      <w:pPr>
        <w:pStyle w:val="COMH2-non-numbered"/>
      </w:pPr>
      <w:r w:rsidRPr="00756C8B">
        <w:t>Consumer comments</w:t>
      </w:r>
    </w:p>
    <w:p w14:paraId="7BF9BB3A" w14:textId="27F7A4DC" w:rsidR="00FC4849" w:rsidRPr="00756C8B" w:rsidRDefault="0041761F" w:rsidP="00FB4E72">
      <w:pPr>
        <w:widowControl w:val="0"/>
        <w:numPr>
          <w:ilvl w:val="1"/>
          <w:numId w:val="1"/>
        </w:numPr>
        <w:spacing w:after="120"/>
        <w:rPr>
          <w:rFonts w:asciiTheme="minorHAnsi" w:hAnsiTheme="minorHAnsi"/>
          <w:bCs/>
          <w:snapToGrid w:val="0"/>
        </w:rPr>
      </w:pPr>
      <w:bookmarkStart w:id="20" w:name="_Hlk76382618"/>
      <w:r w:rsidRPr="00756C8B">
        <w:rPr>
          <w:rFonts w:asciiTheme="minorHAnsi" w:hAnsiTheme="minorHAnsi"/>
          <w:bCs/>
          <w:snapToGrid w:val="0"/>
        </w:rPr>
        <w:t>The PBAC noted and welcomed the input from individuals (</w:t>
      </w:r>
      <w:r w:rsidR="00C31C91" w:rsidRPr="00756C8B">
        <w:rPr>
          <w:rFonts w:asciiTheme="minorHAnsi" w:hAnsiTheme="minorHAnsi"/>
          <w:bCs/>
          <w:snapToGrid w:val="0"/>
        </w:rPr>
        <w:t>163</w:t>
      </w:r>
      <w:r w:rsidRPr="00756C8B">
        <w:rPr>
          <w:rFonts w:asciiTheme="minorHAnsi" w:hAnsiTheme="minorHAnsi"/>
          <w:bCs/>
          <w:snapToGrid w:val="0"/>
        </w:rPr>
        <w:t>), health care professionals (</w:t>
      </w:r>
      <w:r w:rsidR="00C31C91" w:rsidRPr="00756C8B">
        <w:rPr>
          <w:rFonts w:asciiTheme="minorHAnsi" w:hAnsiTheme="minorHAnsi"/>
          <w:bCs/>
          <w:snapToGrid w:val="0"/>
        </w:rPr>
        <w:t>3</w:t>
      </w:r>
      <w:r w:rsidRPr="00756C8B">
        <w:rPr>
          <w:rFonts w:asciiTheme="minorHAnsi" w:hAnsiTheme="minorHAnsi"/>
          <w:bCs/>
          <w:snapToGrid w:val="0"/>
        </w:rPr>
        <w:t>) and organisations (</w:t>
      </w:r>
      <w:r w:rsidR="00C31C91" w:rsidRPr="00756C8B">
        <w:rPr>
          <w:rFonts w:asciiTheme="minorHAnsi" w:hAnsiTheme="minorHAnsi"/>
          <w:bCs/>
          <w:snapToGrid w:val="0"/>
        </w:rPr>
        <w:t>3</w:t>
      </w:r>
      <w:r w:rsidRPr="00756C8B">
        <w:rPr>
          <w:rFonts w:asciiTheme="minorHAnsi" w:hAnsiTheme="minorHAnsi"/>
          <w:bCs/>
          <w:snapToGrid w:val="0"/>
        </w:rPr>
        <w:t xml:space="preserve">) via the Consumer Comments facility on the PBS website. </w:t>
      </w:r>
      <w:r w:rsidR="00F40305" w:rsidRPr="00756C8B">
        <w:rPr>
          <w:rFonts w:asciiTheme="minorHAnsi" w:hAnsiTheme="minorHAnsi"/>
          <w:bCs/>
          <w:snapToGrid w:val="0"/>
        </w:rPr>
        <w:t>The PBAC also recalled that there was input associated with the July</w:t>
      </w:r>
      <w:r w:rsidR="00571527">
        <w:rPr>
          <w:rFonts w:asciiTheme="minorHAnsi" w:hAnsiTheme="minorHAnsi"/>
          <w:bCs/>
          <w:snapToGrid w:val="0"/>
        </w:rPr>
        <w:t> </w:t>
      </w:r>
      <w:r w:rsidR="00F40305" w:rsidRPr="00756C8B">
        <w:rPr>
          <w:rFonts w:asciiTheme="minorHAnsi" w:hAnsiTheme="minorHAnsi"/>
          <w:bCs/>
          <w:snapToGrid w:val="0"/>
        </w:rPr>
        <w:t xml:space="preserve">2024 submission from individuals (14), health care professionals (1) and organisations (3). </w:t>
      </w:r>
      <w:r w:rsidR="00FC4849" w:rsidRPr="00756C8B">
        <w:rPr>
          <w:rFonts w:asciiTheme="minorHAnsi" w:hAnsiTheme="minorHAnsi"/>
          <w:bCs/>
          <w:snapToGrid w:val="0"/>
        </w:rPr>
        <w:t>The comments from individuals</w:t>
      </w:r>
      <w:r w:rsidR="00294266" w:rsidRPr="00756C8B">
        <w:rPr>
          <w:rFonts w:asciiTheme="minorHAnsi" w:hAnsiTheme="minorHAnsi"/>
          <w:bCs/>
          <w:snapToGrid w:val="0"/>
        </w:rPr>
        <w:t>, the majority of whom would like access to elranatamab,</w:t>
      </w:r>
      <w:r w:rsidR="00FC4849" w:rsidRPr="00756C8B">
        <w:rPr>
          <w:rFonts w:asciiTheme="minorHAnsi" w:hAnsiTheme="minorHAnsi"/>
          <w:bCs/>
          <w:snapToGrid w:val="0"/>
        </w:rPr>
        <w:t xml:space="preserve"> described the clinical need for effective treatments for multiple myeloma. The individuals stated that elranatamab is a beneficial treatment option and potentially results in improved </w:t>
      </w:r>
      <w:r w:rsidR="000406CF" w:rsidRPr="00756C8B">
        <w:rPr>
          <w:rFonts w:asciiTheme="minorHAnsi" w:hAnsiTheme="minorHAnsi"/>
          <w:bCs/>
          <w:snapToGrid w:val="0"/>
        </w:rPr>
        <w:t xml:space="preserve">response rates and </w:t>
      </w:r>
      <w:r w:rsidR="00FC4849" w:rsidRPr="00756C8B">
        <w:rPr>
          <w:rFonts w:asciiTheme="minorHAnsi" w:hAnsiTheme="minorHAnsi"/>
          <w:bCs/>
          <w:snapToGrid w:val="0"/>
        </w:rPr>
        <w:t xml:space="preserve">progression free and overall survival outcomes. The side effect profile was described as manageable, and individuals expressed a hope that elranatamab would result in an improved quality of life. </w:t>
      </w:r>
      <w:r w:rsidR="001F25CA" w:rsidRPr="00756C8B">
        <w:rPr>
          <w:rFonts w:asciiTheme="minorHAnsi" w:hAnsiTheme="minorHAnsi"/>
          <w:bCs/>
          <w:snapToGrid w:val="0"/>
        </w:rPr>
        <w:t>The individuals also noted th</w:t>
      </w:r>
      <w:r w:rsidR="00C65ACF" w:rsidRPr="00756C8B">
        <w:rPr>
          <w:rFonts w:asciiTheme="minorHAnsi" w:hAnsiTheme="minorHAnsi"/>
          <w:bCs/>
          <w:snapToGrid w:val="0"/>
        </w:rPr>
        <w:t>e</w:t>
      </w:r>
      <w:r w:rsidR="001F25CA" w:rsidRPr="00756C8B">
        <w:rPr>
          <w:rFonts w:asciiTheme="minorHAnsi" w:hAnsiTheme="minorHAnsi"/>
          <w:bCs/>
          <w:snapToGrid w:val="0"/>
        </w:rPr>
        <w:t xml:space="preserve"> </w:t>
      </w:r>
      <w:r w:rsidR="00C752F8" w:rsidRPr="00756C8B">
        <w:rPr>
          <w:rFonts w:asciiTheme="minorHAnsi" w:hAnsiTheme="minorHAnsi"/>
          <w:bCs/>
          <w:snapToGrid w:val="0"/>
        </w:rPr>
        <w:t xml:space="preserve">prohibitive cost of elranatamab. </w:t>
      </w:r>
      <w:r w:rsidR="00FC4849" w:rsidRPr="00756C8B">
        <w:rPr>
          <w:rFonts w:asciiTheme="minorHAnsi" w:hAnsiTheme="minorHAnsi"/>
          <w:bCs/>
          <w:snapToGrid w:val="0"/>
        </w:rPr>
        <w:t>The health professional</w:t>
      </w:r>
      <w:r w:rsidR="00C752F8" w:rsidRPr="00756C8B">
        <w:rPr>
          <w:rFonts w:asciiTheme="minorHAnsi" w:hAnsiTheme="minorHAnsi"/>
          <w:bCs/>
          <w:snapToGrid w:val="0"/>
        </w:rPr>
        <w:t>s</w:t>
      </w:r>
      <w:r w:rsidR="00FC4849" w:rsidRPr="00756C8B">
        <w:rPr>
          <w:rFonts w:asciiTheme="minorHAnsi" w:hAnsiTheme="minorHAnsi"/>
          <w:bCs/>
          <w:snapToGrid w:val="0"/>
        </w:rPr>
        <w:t xml:space="preserve"> stated that elranatamab was an effective and fast-acting treatment that produced a sustained response in those undergoing treatment. They also noted that elranatamab does not require concomitant dexamethasone treatment</w:t>
      </w:r>
      <w:r w:rsidR="00D40488" w:rsidRPr="00756C8B">
        <w:rPr>
          <w:rFonts w:asciiTheme="minorHAnsi" w:hAnsiTheme="minorHAnsi"/>
          <w:bCs/>
          <w:snapToGrid w:val="0"/>
        </w:rPr>
        <w:t>,</w:t>
      </w:r>
      <w:r w:rsidR="00FC4849" w:rsidRPr="00756C8B">
        <w:rPr>
          <w:rFonts w:asciiTheme="minorHAnsi" w:hAnsiTheme="minorHAnsi"/>
          <w:bCs/>
          <w:snapToGrid w:val="0"/>
        </w:rPr>
        <w:t xml:space="preserve"> commented that adverse events were manageable</w:t>
      </w:r>
      <w:r w:rsidR="00D40488" w:rsidRPr="00756C8B">
        <w:rPr>
          <w:rFonts w:asciiTheme="minorHAnsi" w:hAnsiTheme="minorHAnsi"/>
          <w:bCs/>
          <w:snapToGrid w:val="0"/>
        </w:rPr>
        <w:t xml:space="preserve"> and stated that elranatamab may be </w:t>
      </w:r>
      <w:r w:rsidR="006A1F22" w:rsidRPr="00756C8B">
        <w:rPr>
          <w:rFonts w:asciiTheme="minorHAnsi" w:hAnsiTheme="minorHAnsi"/>
          <w:bCs/>
          <w:snapToGrid w:val="0"/>
        </w:rPr>
        <w:t>an alternative to CAR</w:t>
      </w:r>
      <w:r w:rsidR="008C58C3" w:rsidRPr="00756C8B">
        <w:rPr>
          <w:rFonts w:asciiTheme="minorHAnsi" w:hAnsiTheme="minorHAnsi"/>
          <w:bCs/>
          <w:snapToGrid w:val="0"/>
        </w:rPr>
        <w:t xml:space="preserve"> T-cell therapy</w:t>
      </w:r>
      <w:r w:rsidR="00FC4849" w:rsidRPr="00756C8B">
        <w:rPr>
          <w:rFonts w:asciiTheme="minorHAnsi" w:hAnsiTheme="minorHAnsi"/>
          <w:bCs/>
          <w:snapToGrid w:val="0"/>
        </w:rPr>
        <w:t xml:space="preserve">. </w:t>
      </w:r>
      <w:bookmarkStart w:id="21" w:name="_Hlk97141415"/>
    </w:p>
    <w:bookmarkEnd w:id="21"/>
    <w:p w14:paraId="16345F34" w14:textId="58E645E4" w:rsidR="00BE437E" w:rsidRPr="005B61A7" w:rsidRDefault="00BE437E" w:rsidP="00BE437E">
      <w:pPr>
        <w:widowControl w:val="0"/>
        <w:numPr>
          <w:ilvl w:val="1"/>
          <w:numId w:val="1"/>
        </w:numPr>
        <w:spacing w:after="120"/>
        <w:rPr>
          <w:rFonts w:asciiTheme="minorHAnsi" w:hAnsiTheme="minorHAnsi"/>
          <w:bCs/>
          <w:snapToGrid w:val="0"/>
        </w:rPr>
      </w:pPr>
      <w:r w:rsidRPr="00756C8B">
        <w:rPr>
          <w:rFonts w:asciiTheme="minorHAnsi" w:hAnsiTheme="minorHAnsi"/>
          <w:bCs/>
          <w:snapToGrid w:val="0"/>
        </w:rPr>
        <w:t xml:space="preserve">Myeloma Australia’s Medical and Scientific Advisory Group (MSAG) provided input. The PBAC noted that MSAG supported the listing of elranatamab in the </w:t>
      </w:r>
      <w:proofErr w:type="gramStart"/>
      <w:r w:rsidRPr="00756C8B">
        <w:rPr>
          <w:rFonts w:asciiTheme="minorHAnsi" w:hAnsiTheme="minorHAnsi"/>
          <w:bCs/>
          <w:snapToGrid w:val="0"/>
        </w:rPr>
        <w:t>fourth-line</w:t>
      </w:r>
      <w:proofErr w:type="gramEnd"/>
      <w:r w:rsidRPr="00756C8B">
        <w:rPr>
          <w:rFonts w:asciiTheme="minorHAnsi" w:hAnsiTheme="minorHAnsi"/>
          <w:bCs/>
          <w:snapToGrid w:val="0"/>
        </w:rPr>
        <w:t xml:space="preserve"> setting. MSAG stated that these patients are usually TCR, face limited treatment options and have</w:t>
      </w:r>
      <w:r w:rsidRPr="005B61A7">
        <w:rPr>
          <w:rFonts w:asciiTheme="minorHAnsi" w:hAnsiTheme="minorHAnsi"/>
          <w:bCs/>
          <w:snapToGrid w:val="0"/>
        </w:rPr>
        <w:t xml:space="preserve"> poor survival outcomes. MSAG noted elranatamab provide</w:t>
      </w:r>
      <w:r w:rsidR="00957527">
        <w:rPr>
          <w:rFonts w:asciiTheme="minorHAnsi" w:hAnsiTheme="minorHAnsi"/>
          <w:bCs/>
          <w:snapToGrid w:val="0"/>
        </w:rPr>
        <w:t>d</w:t>
      </w:r>
      <w:r w:rsidRPr="005B61A7">
        <w:rPr>
          <w:rFonts w:asciiTheme="minorHAnsi" w:hAnsiTheme="minorHAnsi"/>
          <w:bCs/>
          <w:snapToGrid w:val="0"/>
        </w:rPr>
        <w:t xml:space="preserve"> a readily available treatment </w:t>
      </w:r>
      <w:r w:rsidR="00E24E42">
        <w:rPr>
          <w:rFonts w:asciiTheme="minorHAnsi" w:hAnsiTheme="minorHAnsi"/>
          <w:bCs/>
          <w:snapToGrid w:val="0"/>
        </w:rPr>
        <w:t xml:space="preserve">alternative to </w:t>
      </w:r>
      <w:r w:rsidR="00A65CB4">
        <w:rPr>
          <w:rFonts w:asciiTheme="minorHAnsi" w:hAnsiTheme="minorHAnsi"/>
          <w:bCs/>
          <w:snapToGrid w:val="0"/>
        </w:rPr>
        <w:t>CAR</w:t>
      </w:r>
      <w:r w:rsidR="00A422AD">
        <w:rPr>
          <w:rFonts w:asciiTheme="minorHAnsi" w:hAnsiTheme="minorHAnsi"/>
          <w:bCs/>
          <w:snapToGrid w:val="0"/>
        </w:rPr>
        <w:t>-</w:t>
      </w:r>
      <w:r w:rsidR="00A65CB4">
        <w:rPr>
          <w:rFonts w:asciiTheme="minorHAnsi" w:hAnsiTheme="minorHAnsi"/>
          <w:bCs/>
          <w:snapToGrid w:val="0"/>
        </w:rPr>
        <w:t xml:space="preserve">T therapies, particularly </w:t>
      </w:r>
      <w:r w:rsidR="00DD194B">
        <w:rPr>
          <w:rFonts w:asciiTheme="minorHAnsi" w:hAnsiTheme="minorHAnsi"/>
          <w:bCs/>
          <w:snapToGrid w:val="0"/>
        </w:rPr>
        <w:t xml:space="preserve">for </w:t>
      </w:r>
      <w:r w:rsidR="00A65CB4">
        <w:rPr>
          <w:rFonts w:asciiTheme="minorHAnsi" w:hAnsiTheme="minorHAnsi"/>
          <w:bCs/>
          <w:snapToGrid w:val="0"/>
        </w:rPr>
        <w:t>those patients living in regional or remote areas</w:t>
      </w:r>
      <w:r w:rsidRPr="005B61A7">
        <w:rPr>
          <w:rFonts w:asciiTheme="minorHAnsi" w:hAnsiTheme="minorHAnsi"/>
          <w:bCs/>
          <w:snapToGrid w:val="0"/>
        </w:rPr>
        <w:t>. MSAG also stated that the side effect profile of elranatamab is manageable and predictable and that MSAG plans to write a guideline of the management of T-cell redirection therapies, including the clinical management of CRS and ICANs, in collaboration with the National CAR-T Patient Prioritisation Committee.</w:t>
      </w:r>
    </w:p>
    <w:p w14:paraId="6C2F7AB9" w14:textId="3D8F2503" w:rsidR="0041761F" w:rsidRPr="0047708E" w:rsidRDefault="00BE437E" w:rsidP="0041761F">
      <w:pPr>
        <w:widowControl w:val="0"/>
        <w:numPr>
          <w:ilvl w:val="1"/>
          <w:numId w:val="1"/>
        </w:numPr>
        <w:spacing w:after="120"/>
        <w:rPr>
          <w:rFonts w:asciiTheme="minorHAnsi" w:hAnsiTheme="minorHAnsi"/>
          <w:bCs/>
          <w:snapToGrid w:val="0"/>
        </w:rPr>
      </w:pPr>
      <w:r w:rsidRPr="005B61A7">
        <w:rPr>
          <w:rFonts w:asciiTheme="minorHAnsi" w:hAnsiTheme="minorHAnsi"/>
          <w:bCs/>
          <w:snapToGrid w:val="0"/>
        </w:rPr>
        <w:lastRenderedPageBreak/>
        <w:t xml:space="preserve">Input was also received from </w:t>
      </w:r>
      <w:r w:rsidR="00ED2C14">
        <w:rPr>
          <w:rFonts w:asciiTheme="minorHAnsi" w:hAnsiTheme="minorHAnsi"/>
          <w:bCs/>
          <w:snapToGrid w:val="0"/>
        </w:rPr>
        <w:t xml:space="preserve">Myeloma Australia, </w:t>
      </w:r>
      <w:r w:rsidR="00CB4AD8">
        <w:rPr>
          <w:rFonts w:asciiTheme="minorHAnsi" w:hAnsiTheme="minorHAnsi"/>
          <w:bCs/>
          <w:snapToGrid w:val="0"/>
        </w:rPr>
        <w:t xml:space="preserve">the </w:t>
      </w:r>
      <w:r w:rsidRPr="005B61A7">
        <w:rPr>
          <w:rFonts w:asciiTheme="minorHAnsi" w:hAnsiTheme="minorHAnsi"/>
          <w:bCs/>
          <w:snapToGrid w:val="0"/>
        </w:rPr>
        <w:t xml:space="preserve">Leukaemia Foundation and Rare Cancers Australia. </w:t>
      </w:r>
      <w:r w:rsidR="00CB4AD8">
        <w:rPr>
          <w:rFonts w:asciiTheme="minorHAnsi" w:hAnsiTheme="minorHAnsi"/>
          <w:bCs/>
          <w:snapToGrid w:val="0"/>
        </w:rPr>
        <w:t>Myeloma Australia and t</w:t>
      </w:r>
      <w:r w:rsidRPr="005B61A7">
        <w:rPr>
          <w:rFonts w:asciiTheme="minorHAnsi" w:hAnsiTheme="minorHAnsi"/>
          <w:bCs/>
          <w:snapToGrid w:val="0"/>
        </w:rPr>
        <w:t xml:space="preserve">he Leukaemia Foundation stated that elranatamab was a new class of therapy which was efficacious and well tolerated. Rare Cancers Australia stated that PBS listing of elranatamab would provide a more equitable and accessible treatment pathway for patients. </w:t>
      </w:r>
      <w:r w:rsidR="0047708E">
        <w:rPr>
          <w:rFonts w:asciiTheme="minorHAnsi" w:hAnsiTheme="minorHAnsi"/>
          <w:bCs/>
          <w:snapToGrid w:val="0"/>
        </w:rPr>
        <w:t>All</w:t>
      </w:r>
      <w:r w:rsidRPr="005B61A7">
        <w:rPr>
          <w:rFonts w:asciiTheme="minorHAnsi" w:hAnsiTheme="minorHAnsi"/>
          <w:bCs/>
          <w:snapToGrid w:val="0"/>
        </w:rPr>
        <w:t xml:space="preserve"> organisations described the need for additional treatment options for patients with RRMM.</w:t>
      </w:r>
      <w:bookmarkEnd w:id="18"/>
      <w:bookmarkEnd w:id="20"/>
    </w:p>
    <w:p w14:paraId="609C0765" w14:textId="31999680" w:rsidR="00B60939" w:rsidRPr="006E0FA2" w:rsidRDefault="00B60939" w:rsidP="0041761F">
      <w:pPr>
        <w:pStyle w:val="COMH2-non-numbered"/>
      </w:pPr>
      <w:r w:rsidRPr="006E0FA2">
        <w:t xml:space="preserve">Clinical </w:t>
      </w:r>
      <w:r w:rsidR="00D5243B" w:rsidRPr="006E0FA2">
        <w:t>studies</w:t>
      </w:r>
      <w:bookmarkEnd w:id="17"/>
      <w:bookmarkEnd w:id="19"/>
    </w:p>
    <w:p w14:paraId="2411DE7A" w14:textId="546C860D" w:rsidR="006339E6" w:rsidRDefault="006339E6" w:rsidP="006339E6">
      <w:pPr>
        <w:pStyle w:val="COMexecsummnumbered"/>
      </w:pPr>
      <w:r>
        <w:t xml:space="preserve">No head-to-head trials comparing elranatamab with </w:t>
      </w:r>
      <w:r w:rsidR="00C474BF">
        <w:t>Cd</w:t>
      </w:r>
      <w:r>
        <w:t xml:space="preserve">, </w:t>
      </w:r>
      <w:r w:rsidR="00C474BF">
        <w:t>Pd</w:t>
      </w:r>
      <w:r>
        <w:t xml:space="preserve">, or </w:t>
      </w:r>
      <w:r w:rsidR="00C474BF">
        <w:t>Sd</w:t>
      </w:r>
      <w:r>
        <w:t xml:space="preserve"> were identified in the literature search. One single-arm study for elranatamab (MagnetisMM-3), one head-to-head trial of </w:t>
      </w:r>
      <w:r w:rsidR="00C474BF">
        <w:t>Cd</w:t>
      </w:r>
      <w:r>
        <w:t xml:space="preserve"> versus </w:t>
      </w:r>
      <w:r w:rsidR="00E12907">
        <w:t>Bd (</w:t>
      </w:r>
      <w:r>
        <w:t xml:space="preserve">ENDEAVOR), one head-to-head trial of pomalidomide + low-dose dexamethasone versus high-dose dexamethasone (MM-003), and one single arm study of </w:t>
      </w:r>
      <w:r w:rsidR="00E12907">
        <w:t>Sd</w:t>
      </w:r>
      <w:r>
        <w:t xml:space="preserve"> (STORM) were identified.</w:t>
      </w:r>
    </w:p>
    <w:p w14:paraId="405082F2" w14:textId="3444553A" w:rsidR="006339E6" w:rsidRDefault="006339E6" w:rsidP="006339E6">
      <w:pPr>
        <w:pStyle w:val="COMexecsummnumbered"/>
      </w:pPr>
      <w:r>
        <w:t>The clinical claim was based on the following series of indirect comparisons:</w:t>
      </w:r>
    </w:p>
    <w:p w14:paraId="6BBC616B" w14:textId="681038F6" w:rsidR="006339E6" w:rsidRDefault="006339E6" w:rsidP="005A7774">
      <w:pPr>
        <w:pStyle w:val="COMexecsummbulletlist"/>
        <w:ind w:hanging="357"/>
      </w:pPr>
      <w:r>
        <w:t>A</w:t>
      </w:r>
      <w:r w:rsidR="00DA7173">
        <w:t>n unanchored indirect treatment</w:t>
      </w:r>
      <w:r>
        <w:t xml:space="preserve"> comparison</w:t>
      </w:r>
      <w:r w:rsidR="00DA7173">
        <w:t xml:space="preserve"> (ITC)</w:t>
      </w:r>
      <w:r>
        <w:t xml:space="preserve"> of elranatamab (MagnetisMM-3) versus </w:t>
      </w:r>
      <w:r w:rsidR="00E12907">
        <w:t>Cd</w:t>
      </w:r>
      <w:r>
        <w:t xml:space="preserve"> (ENDEAVOR).</w:t>
      </w:r>
    </w:p>
    <w:p w14:paraId="34F2281A" w14:textId="3B4F8511" w:rsidR="006339E6" w:rsidRDefault="006339E6" w:rsidP="005A7774">
      <w:pPr>
        <w:pStyle w:val="COMexecsummbulletlist"/>
        <w:ind w:hanging="357"/>
      </w:pPr>
      <w:r>
        <w:t>A</w:t>
      </w:r>
      <w:r w:rsidR="00DA7173">
        <w:t>n unanchored ITC</w:t>
      </w:r>
      <w:r>
        <w:t xml:space="preserve"> and an unanchored matching adjusted indirect comparison (MAIC) of elranatamab (MagnetisMM-3) versus </w:t>
      </w:r>
      <w:r w:rsidR="00FB3F35">
        <w:t>Pd</w:t>
      </w:r>
      <w:r>
        <w:t xml:space="preserve"> (MM-003).</w:t>
      </w:r>
    </w:p>
    <w:p w14:paraId="48F94C61" w14:textId="3E877724" w:rsidR="006339E6" w:rsidRDefault="006339E6" w:rsidP="005A7774">
      <w:pPr>
        <w:pStyle w:val="COMexecsummbulletlist"/>
      </w:pPr>
      <w:r>
        <w:t>A</w:t>
      </w:r>
      <w:r w:rsidR="00DA7173">
        <w:t>n unanchored ITC</w:t>
      </w:r>
      <w:r>
        <w:t xml:space="preserve"> and an unanchored MAIC of elranatamab (MagnetisMM-3) versus </w:t>
      </w:r>
      <w:r w:rsidR="00FB3F35">
        <w:t>Sd</w:t>
      </w:r>
      <w:r>
        <w:t xml:space="preserve"> (STORM).</w:t>
      </w:r>
    </w:p>
    <w:p w14:paraId="427EC18D" w14:textId="0BE1BBD0" w:rsidR="001507E6" w:rsidRPr="0035502F" w:rsidRDefault="004E3E07" w:rsidP="002E4F02">
      <w:pPr>
        <w:pStyle w:val="COMexecsummnumbered"/>
      </w:pPr>
      <w:r w:rsidRPr="0035502F">
        <w:t xml:space="preserve">Clinical evidence for the </w:t>
      </w:r>
      <w:r w:rsidR="001507E6" w:rsidRPr="0035502F">
        <w:t>ENDEAVOR</w:t>
      </w:r>
      <w:r w:rsidR="00F95BE5" w:rsidRPr="0035502F">
        <w:t xml:space="preserve">, MM-003 and STORM studies </w:t>
      </w:r>
      <w:r w:rsidR="00BD5005" w:rsidRPr="0035502F">
        <w:t xml:space="preserve">has </w:t>
      </w:r>
      <w:r w:rsidRPr="0035502F">
        <w:t xml:space="preserve">previously </w:t>
      </w:r>
      <w:r w:rsidR="00BD5005" w:rsidRPr="0035502F">
        <w:t xml:space="preserve">been </w:t>
      </w:r>
      <w:r w:rsidRPr="0035502F">
        <w:t xml:space="preserve">considered by the PBAC </w:t>
      </w:r>
      <w:r w:rsidR="00BD5005" w:rsidRPr="0035502F">
        <w:t xml:space="preserve">in </w:t>
      </w:r>
      <w:r w:rsidR="003740C9">
        <w:t>RRMM</w:t>
      </w:r>
      <w:r w:rsidR="00BD5005" w:rsidRPr="0035502F">
        <w:t xml:space="preserve"> submissions for Cd, Pd, and Sd.</w:t>
      </w:r>
    </w:p>
    <w:p w14:paraId="2B59ABAC" w14:textId="7BFE7B4F" w:rsidR="00862502" w:rsidRPr="006E0FA2" w:rsidRDefault="00A73134" w:rsidP="002E4F02">
      <w:pPr>
        <w:pStyle w:val="COMexecsummnumbered"/>
      </w:pPr>
      <w:r w:rsidRPr="006E0FA2">
        <w:t xml:space="preserve">Details of the </w:t>
      </w:r>
      <w:r w:rsidR="00D5243B" w:rsidRPr="006E0FA2">
        <w:t>studies</w:t>
      </w:r>
      <w:r w:rsidR="006339E6">
        <w:t xml:space="preserve"> </w:t>
      </w:r>
      <w:r w:rsidRPr="006E0FA2">
        <w:t xml:space="preserve">presented in the submission are provided in </w:t>
      </w:r>
      <w:r w:rsidR="00696EF9" w:rsidRPr="006E0FA2">
        <w:fldChar w:fldCharType="begin" w:fldLock="1"/>
      </w:r>
      <w:r w:rsidR="00696EF9" w:rsidRPr="006E0FA2">
        <w:instrText xml:space="preserve"> REF _Ref104803956 \h </w:instrText>
      </w:r>
      <w:r w:rsidR="00696EF9" w:rsidRPr="006E0FA2">
        <w:fldChar w:fldCharType="separate"/>
      </w:r>
      <w:r w:rsidR="00347D89" w:rsidRPr="006E0FA2">
        <w:t xml:space="preserve">Table </w:t>
      </w:r>
      <w:r w:rsidR="00347D89">
        <w:rPr>
          <w:noProof/>
        </w:rPr>
        <w:t>3</w:t>
      </w:r>
      <w:r w:rsidR="00696EF9" w:rsidRPr="006E0FA2">
        <w:fldChar w:fldCharType="end"/>
      </w:r>
      <w:r w:rsidRPr="006E0FA2">
        <w:t>.</w:t>
      </w:r>
    </w:p>
    <w:p w14:paraId="7DE3A286" w14:textId="4FCB5E0F" w:rsidR="008E0D3C" w:rsidRPr="006E0FA2" w:rsidRDefault="00696EF9" w:rsidP="00B50F7F">
      <w:pPr>
        <w:pStyle w:val="COMtablefigcaption"/>
      </w:pPr>
      <w:bookmarkStart w:id="22" w:name="_Ref104803956"/>
      <w:r w:rsidRPr="006E0FA2">
        <w:t xml:space="preserve">Table </w:t>
      </w:r>
      <w:r w:rsidR="006B329A">
        <w:fldChar w:fldCharType="begin" w:fldLock="1"/>
      </w:r>
      <w:r w:rsidR="006B329A">
        <w:instrText xml:space="preserve"> SEQ Table \* ARABIC </w:instrText>
      </w:r>
      <w:r w:rsidR="006B329A">
        <w:fldChar w:fldCharType="separate"/>
      </w:r>
      <w:r w:rsidR="00347D89">
        <w:rPr>
          <w:noProof/>
        </w:rPr>
        <w:t>3</w:t>
      </w:r>
      <w:r w:rsidR="006B329A">
        <w:rPr>
          <w:noProof/>
        </w:rPr>
        <w:fldChar w:fldCharType="end"/>
      </w:r>
      <w:bookmarkEnd w:id="22"/>
      <w:r w:rsidRPr="006E0FA2">
        <w:t>:</w:t>
      </w:r>
      <w:r w:rsidR="00BC591F" w:rsidRPr="006E0FA2">
        <w:t xml:space="preserve"> </w:t>
      </w:r>
      <w:r w:rsidR="007274F1">
        <w:t>S</w:t>
      </w:r>
      <w:r w:rsidR="00D5243B" w:rsidRPr="006E0FA2">
        <w:t>tudies</w:t>
      </w:r>
      <w:r w:rsidR="008E0D3C" w:rsidRPr="006E0FA2">
        <w:t xml:space="preserve"> and associated reports presented in the </w:t>
      </w:r>
      <w:r w:rsidR="007274F1">
        <w:t>re</w:t>
      </w:r>
      <w:r w:rsidR="008E0D3C" w:rsidRPr="006E0FA2">
        <w:t>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3: Studies and associated reports presented in the resubmission"/>
      </w:tblPr>
      <w:tblGrid>
        <w:gridCol w:w="1232"/>
        <w:gridCol w:w="5705"/>
        <w:gridCol w:w="2080"/>
      </w:tblGrid>
      <w:tr w:rsidR="007274F1" w:rsidRPr="006E0FA2" w14:paraId="5620CEDE" w14:textId="77777777" w:rsidTr="002A3BF4">
        <w:trPr>
          <w:tblHeader/>
        </w:trPr>
        <w:tc>
          <w:tcPr>
            <w:tcW w:w="634" w:type="pct"/>
            <w:vAlign w:val="center"/>
          </w:tcPr>
          <w:p w14:paraId="79F91400" w14:textId="77777777" w:rsidR="007274F1" w:rsidRPr="006E0FA2" w:rsidRDefault="007274F1" w:rsidP="002A3BF4">
            <w:pPr>
              <w:pStyle w:val="COMTableheadingrow"/>
              <w:keepNext w:val="0"/>
            </w:pPr>
            <w:r w:rsidRPr="006E0FA2">
              <w:t>Trial ID</w:t>
            </w:r>
          </w:p>
        </w:tc>
        <w:tc>
          <w:tcPr>
            <w:tcW w:w="3188" w:type="pct"/>
            <w:vAlign w:val="center"/>
          </w:tcPr>
          <w:p w14:paraId="63814CD1" w14:textId="77777777" w:rsidR="007274F1" w:rsidRPr="006E0FA2" w:rsidRDefault="007274F1" w:rsidP="002A3BF4">
            <w:pPr>
              <w:pStyle w:val="COMTableheadingrow"/>
              <w:keepNext w:val="0"/>
              <w:jc w:val="center"/>
            </w:pPr>
            <w:r w:rsidRPr="006E0FA2">
              <w:t>Protocol title/</w:t>
            </w:r>
            <w:r>
              <w:t>p</w:t>
            </w:r>
            <w:r w:rsidRPr="006E0FA2">
              <w:t>ublication title</w:t>
            </w:r>
          </w:p>
        </w:tc>
        <w:tc>
          <w:tcPr>
            <w:tcW w:w="1178" w:type="pct"/>
            <w:vAlign w:val="center"/>
          </w:tcPr>
          <w:p w14:paraId="726CE1D6" w14:textId="77777777" w:rsidR="007274F1" w:rsidRPr="006E0FA2" w:rsidRDefault="007274F1" w:rsidP="002A3BF4">
            <w:pPr>
              <w:pStyle w:val="COMTableheadingrow"/>
              <w:keepNext w:val="0"/>
              <w:jc w:val="center"/>
            </w:pPr>
            <w:r w:rsidRPr="006E0FA2">
              <w:t>Publication citation</w:t>
            </w:r>
          </w:p>
        </w:tc>
      </w:tr>
      <w:tr w:rsidR="007274F1" w:rsidRPr="006E0FA2" w14:paraId="60AD08BB" w14:textId="77777777" w:rsidTr="002A3BF4">
        <w:tc>
          <w:tcPr>
            <w:tcW w:w="5000" w:type="pct"/>
            <w:gridSpan w:val="3"/>
            <w:tcBorders>
              <w:bottom w:val="nil"/>
            </w:tcBorders>
            <w:vAlign w:val="center"/>
          </w:tcPr>
          <w:p w14:paraId="43AD0BDD" w14:textId="77777777" w:rsidR="007274F1" w:rsidRPr="00E53517" w:rsidRDefault="007274F1" w:rsidP="002A3BF4">
            <w:pPr>
              <w:pStyle w:val="COMTabletext"/>
              <w:keepNext w:val="0"/>
              <w:jc w:val="both"/>
              <w:rPr>
                <w:b/>
                <w:bCs w:val="0"/>
              </w:rPr>
            </w:pPr>
            <w:r>
              <w:rPr>
                <w:b/>
                <w:bCs w:val="0"/>
              </w:rPr>
              <w:t>Elranatamab studies</w:t>
            </w:r>
          </w:p>
        </w:tc>
      </w:tr>
      <w:tr w:rsidR="007274F1" w:rsidRPr="006E0FA2" w14:paraId="2E9DA38A" w14:textId="77777777" w:rsidTr="002A3BF4">
        <w:tc>
          <w:tcPr>
            <w:tcW w:w="634" w:type="pct"/>
            <w:vMerge w:val="restart"/>
            <w:tcBorders>
              <w:right w:val="single" w:sz="4" w:space="0" w:color="auto"/>
            </w:tcBorders>
            <w:vAlign w:val="center"/>
          </w:tcPr>
          <w:p w14:paraId="6934D9E7" w14:textId="77777777" w:rsidR="007274F1" w:rsidRPr="006E0FA2" w:rsidRDefault="007274F1" w:rsidP="002A3BF4">
            <w:pPr>
              <w:pStyle w:val="COMTabletext"/>
              <w:keepNext w:val="0"/>
            </w:pPr>
            <w:r>
              <w:t>MagnetisMM-3 (</w:t>
            </w:r>
            <w:r w:rsidRPr="00A91F5E">
              <w:t>NCT04649359</w:t>
            </w:r>
            <w:r>
              <w:t>)</w:t>
            </w:r>
          </w:p>
        </w:tc>
        <w:tc>
          <w:tcPr>
            <w:tcW w:w="3188" w:type="pct"/>
            <w:tcBorders>
              <w:top w:val="single" w:sz="4" w:space="0" w:color="auto"/>
              <w:left w:val="single" w:sz="4" w:space="0" w:color="auto"/>
              <w:bottom w:val="nil"/>
              <w:right w:val="single" w:sz="4" w:space="0" w:color="auto"/>
            </w:tcBorders>
          </w:tcPr>
          <w:p w14:paraId="2B98694E" w14:textId="77777777" w:rsidR="007274F1" w:rsidRPr="006E0FA2" w:rsidRDefault="007274F1" w:rsidP="002A3BF4">
            <w:pPr>
              <w:pStyle w:val="COMTabletext"/>
              <w:keepNext w:val="0"/>
            </w:pPr>
            <w:r w:rsidRPr="009E5136">
              <w:t xml:space="preserve">An </w:t>
            </w:r>
            <w:r>
              <w:t>o</w:t>
            </w:r>
            <w:r w:rsidRPr="009E5136">
              <w:t>pen-</w:t>
            </w:r>
            <w:r>
              <w:t>l</w:t>
            </w:r>
            <w:r w:rsidRPr="009E5136">
              <w:t xml:space="preserve">abel </w:t>
            </w:r>
            <w:proofErr w:type="spellStart"/>
            <w:r>
              <w:t>m</w:t>
            </w:r>
            <w:r w:rsidRPr="009E5136">
              <w:t>ulticenter</w:t>
            </w:r>
            <w:proofErr w:type="spellEnd"/>
            <w:r w:rsidRPr="009E5136">
              <w:t xml:space="preserve">, </w:t>
            </w:r>
            <w:r>
              <w:t>n</w:t>
            </w:r>
            <w:r w:rsidRPr="009E5136">
              <w:t>on-</w:t>
            </w:r>
            <w:r>
              <w:t>r</w:t>
            </w:r>
            <w:r w:rsidRPr="009E5136">
              <w:t xml:space="preserve">andomized </w:t>
            </w:r>
            <w:r>
              <w:t>p</w:t>
            </w:r>
            <w:r w:rsidRPr="009E5136">
              <w:t xml:space="preserve">hase 2 </w:t>
            </w:r>
            <w:r>
              <w:t>s</w:t>
            </w:r>
            <w:r w:rsidRPr="009E5136">
              <w:t xml:space="preserve">tudy </w:t>
            </w:r>
            <w:r>
              <w:t>o</w:t>
            </w:r>
            <w:r w:rsidRPr="009E5136">
              <w:t xml:space="preserve">f </w:t>
            </w:r>
            <w:r>
              <w:t>e</w:t>
            </w:r>
            <w:r w:rsidRPr="009E5136">
              <w:t xml:space="preserve">lranatamab (Pf-06863135) </w:t>
            </w:r>
            <w:r>
              <w:t>m</w:t>
            </w:r>
            <w:r w:rsidRPr="009E5136">
              <w:t xml:space="preserve">onotherapy </w:t>
            </w:r>
            <w:r>
              <w:t>i</w:t>
            </w:r>
            <w:r w:rsidRPr="009E5136">
              <w:t xml:space="preserve">n </w:t>
            </w:r>
            <w:r>
              <w:t>p</w:t>
            </w:r>
            <w:r w:rsidRPr="009E5136">
              <w:t xml:space="preserve">articipants </w:t>
            </w:r>
            <w:r>
              <w:t>w</w:t>
            </w:r>
            <w:r w:rsidRPr="009E5136">
              <w:t xml:space="preserve">ith </w:t>
            </w:r>
            <w:r>
              <w:t>m</w:t>
            </w:r>
            <w:r w:rsidRPr="009E5136">
              <w:t xml:space="preserve">ultiple </w:t>
            </w:r>
            <w:r>
              <w:t>m</w:t>
            </w:r>
            <w:r w:rsidRPr="009E5136">
              <w:t xml:space="preserve">yeloma </w:t>
            </w:r>
            <w:r>
              <w:t>w</w:t>
            </w:r>
            <w:r w:rsidRPr="009E5136">
              <w:t xml:space="preserve">ho </w:t>
            </w:r>
            <w:r>
              <w:t>a</w:t>
            </w:r>
            <w:r w:rsidRPr="009E5136">
              <w:t xml:space="preserve">re </w:t>
            </w:r>
            <w:r>
              <w:t>r</w:t>
            </w:r>
            <w:r w:rsidRPr="009E5136">
              <w:t xml:space="preserve">efractory </w:t>
            </w:r>
            <w:r>
              <w:t>t</w:t>
            </w:r>
            <w:r w:rsidRPr="009E5136">
              <w:t xml:space="preserve">o </w:t>
            </w:r>
            <w:r>
              <w:t>a</w:t>
            </w:r>
            <w:r w:rsidRPr="009E5136">
              <w:t xml:space="preserve">t </w:t>
            </w:r>
            <w:r>
              <w:t>l</w:t>
            </w:r>
            <w:r w:rsidRPr="009E5136">
              <w:t xml:space="preserve">east </w:t>
            </w:r>
            <w:r>
              <w:t>o</w:t>
            </w:r>
            <w:r w:rsidRPr="009E5136">
              <w:t xml:space="preserve">ne </w:t>
            </w:r>
            <w:r>
              <w:t>p</w:t>
            </w:r>
            <w:r w:rsidRPr="009E5136">
              <w:t xml:space="preserve">roteasome </w:t>
            </w:r>
            <w:r>
              <w:t>i</w:t>
            </w:r>
            <w:r w:rsidRPr="009E5136">
              <w:t xml:space="preserve">nhibitor, </w:t>
            </w:r>
            <w:r>
              <w:t>o</w:t>
            </w:r>
            <w:r w:rsidRPr="009E5136">
              <w:t xml:space="preserve">ne </w:t>
            </w:r>
            <w:r>
              <w:t>i</w:t>
            </w:r>
            <w:r w:rsidRPr="009E5136">
              <w:t xml:space="preserve">mmunomodulatory </w:t>
            </w:r>
            <w:r>
              <w:t>d</w:t>
            </w:r>
            <w:r w:rsidRPr="009E5136">
              <w:t xml:space="preserve">rug </w:t>
            </w:r>
            <w:r>
              <w:t>a</w:t>
            </w:r>
            <w:r w:rsidRPr="009E5136">
              <w:t xml:space="preserve">nd </w:t>
            </w:r>
            <w:r>
              <w:t>o</w:t>
            </w:r>
            <w:r w:rsidRPr="009E5136">
              <w:t xml:space="preserve">ne </w:t>
            </w:r>
            <w:r>
              <w:t>a</w:t>
            </w:r>
            <w:r w:rsidRPr="009E5136">
              <w:t xml:space="preserve">nti-Cd38 </w:t>
            </w:r>
            <w:r>
              <w:t>a</w:t>
            </w:r>
            <w:r w:rsidRPr="009E5136">
              <w:t>ntibody</w:t>
            </w:r>
            <w:r>
              <w:t>.</w:t>
            </w:r>
          </w:p>
        </w:tc>
        <w:tc>
          <w:tcPr>
            <w:tcW w:w="1178" w:type="pct"/>
            <w:tcBorders>
              <w:top w:val="single" w:sz="4" w:space="0" w:color="auto"/>
              <w:left w:val="single" w:sz="4" w:space="0" w:color="auto"/>
              <w:bottom w:val="nil"/>
              <w:right w:val="single" w:sz="4" w:space="0" w:color="auto"/>
            </w:tcBorders>
          </w:tcPr>
          <w:p w14:paraId="110CAEE1" w14:textId="77777777" w:rsidR="007274F1" w:rsidRPr="006E0FA2" w:rsidRDefault="007274F1" w:rsidP="002A3BF4">
            <w:pPr>
              <w:pStyle w:val="COMTabletext"/>
              <w:keepNext w:val="0"/>
            </w:pPr>
            <w:r w:rsidRPr="009E5136">
              <w:t xml:space="preserve">Clinical </w:t>
            </w:r>
            <w:r>
              <w:t>s</w:t>
            </w:r>
            <w:r w:rsidRPr="009E5136">
              <w:t xml:space="preserve">tudy </w:t>
            </w:r>
            <w:r>
              <w:t>r</w:t>
            </w:r>
            <w:r w:rsidRPr="009E5136">
              <w:t>eport</w:t>
            </w:r>
            <w:r>
              <w:t xml:space="preserve">s (October 2022, March 2023 and March 2024 data cuts). </w:t>
            </w:r>
          </w:p>
        </w:tc>
      </w:tr>
      <w:tr w:rsidR="007274F1" w:rsidRPr="006E0FA2" w14:paraId="52BC220A" w14:textId="77777777" w:rsidTr="7CD342EE">
        <w:tc>
          <w:tcPr>
            <w:tcW w:w="634" w:type="pct"/>
            <w:vMerge/>
            <w:vAlign w:val="center"/>
          </w:tcPr>
          <w:p w14:paraId="7097A8A4" w14:textId="77777777" w:rsidR="007274F1" w:rsidRPr="006E0FA2" w:rsidRDefault="007274F1" w:rsidP="002A3BF4">
            <w:pPr>
              <w:pStyle w:val="COMTabletext"/>
              <w:keepNext w:val="0"/>
            </w:pPr>
          </w:p>
        </w:tc>
        <w:tc>
          <w:tcPr>
            <w:tcW w:w="3188" w:type="pct"/>
            <w:tcBorders>
              <w:top w:val="nil"/>
              <w:left w:val="single" w:sz="4" w:space="0" w:color="auto"/>
              <w:bottom w:val="nil"/>
            </w:tcBorders>
          </w:tcPr>
          <w:p w14:paraId="052D8EAC" w14:textId="77777777" w:rsidR="007274F1" w:rsidRPr="006E0FA2" w:rsidRDefault="007274F1" w:rsidP="002A3BF4">
            <w:pPr>
              <w:pStyle w:val="COMTabletext"/>
              <w:keepNext w:val="0"/>
            </w:pPr>
            <w:r w:rsidRPr="00B97457">
              <w:t xml:space="preserve">Tomasson </w:t>
            </w:r>
            <w:r>
              <w:t xml:space="preserve">MH, </w:t>
            </w:r>
            <w:r w:rsidRPr="00B97457">
              <w:t xml:space="preserve">Iida </w:t>
            </w:r>
            <w:r>
              <w:t xml:space="preserve">S, </w:t>
            </w:r>
            <w:proofErr w:type="spellStart"/>
            <w:r w:rsidRPr="00B97457">
              <w:t>Niesvizky</w:t>
            </w:r>
            <w:proofErr w:type="spellEnd"/>
            <w:r w:rsidRPr="00B97457">
              <w:t xml:space="preserve"> </w:t>
            </w:r>
            <w:r>
              <w:t xml:space="preserve">R, </w:t>
            </w:r>
            <w:proofErr w:type="spellStart"/>
            <w:r w:rsidRPr="00B97457">
              <w:t>Mohty</w:t>
            </w:r>
            <w:proofErr w:type="spellEnd"/>
            <w:r>
              <w:t xml:space="preserve"> M, et al. </w:t>
            </w:r>
            <w:r w:rsidRPr="00B97457">
              <w:t xml:space="preserve">Long-term survival and safety of elranatamab in patients with relapsed or refractory multiple myeloma: </w:t>
            </w:r>
            <w:r>
              <w:t>u</w:t>
            </w:r>
            <w:r w:rsidRPr="00B97457">
              <w:t>pdate from the MagnetisMM-3 study</w:t>
            </w:r>
            <w:r>
              <w:t>.</w:t>
            </w:r>
          </w:p>
        </w:tc>
        <w:tc>
          <w:tcPr>
            <w:tcW w:w="1178" w:type="pct"/>
            <w:tcBorders>
              <w:top w:val="nil"/>
              <w:bottom w:val="nil"/>
              <w:right w:val="single" w:sz="4" w:space="0" w:color="auto"/>
            </w:tcBorders>
          </w:tcPr>
          <w:p w14:paraId="3FC70FF6" w14:textId="77777777" w:rsidR="007274F1" w:rsidRPr="00B06B75" w:rsidRDefault="007274F1" w:rsidP="002A3BF4">
            <w:pPr>
              <w:pStyle w:val="COMTabletext"/>
              <w:keepNext w:val="0"/>
              <w:rPr>
                <w:i/>
                <w:iCs/>
              </w:rPr>
            </w:pPr>
            <w:proofErr w:type="spellStart"/>
            <w:r w:rsidRPr="00B06B75">
              <w:rPr>
                <w:i/>
                <w:iCs/>
              </w:rPr>
              <w:t>Hemasphere</w:t>
            </w:r>
            <w:proofErr w:type="spellEnd"/>
            <w:r>
              <w:rPr>
                <w:i/>
                <w:iCs/>
              </w:rPr>
              <w:t xml:space="preserve"> </w:t>
            </w:r>
            <w:r>
              <w:t>2024; 8(7): e136.</w:t>
            </w:r>
          </w:p>
        </w:tc>
      </w:tr>
      <w:tr w:rsidR="007274F1" w:rsidRPr="006E0FA2" w14:paraId="679263BF" w14:textId="77777777" w:rsidTr="7CD342EE">
        <w:trPr>
          <w:trHeight w:val="472"/>
        </w:trPr>
        <w:tc>
          <w:tcPr>
            <w:tcW w:w="634" w:type="pct"/>
            <w:vMerge/>
            <w:vAlign w:val="center"/>
          </w:tcPr>
          <w:p w14:paraId="1672B306" w14:textId="77777777" w:rsidR="007274F1" w:rsidRPr="006E0FA2" w:rsidRDefault="007274F1" w:rsidP="002A3BF4">
            <w:pPr>
              <w:pStyle w:val="COMTabletext"/>
              <w:keepNext w:val="0"/>
            </w:pPr>
          </w:p>
        </w:tc>
        <w:tc>
          <w:tcPr>
            <w:tcW w:w="3188" w:type="pct"/>
            <w:tcBorders>
              <w:top w:val="nil"/>
              <w:left w:val="single" w:sz="4" w:space="0" w:color="auto"/>
              <w:bottom w:val="nil"/>
            </w:tcBorders>
          </w:tcPr>
          <w:p w14:paraId="494ABB68" w14:textId="77777777" w:rsidR="007274F1" w:rsidRPr="006E0FA2" w:rsidRDefault="007274F1" w:rsidP="002A3BF4">
            <w:pPr>
              <w:pStyle w:val="COMTabletext"/>
              <w:keepNext w:val="0"/>
            </w:pPr>
            <w:proofErr w:type="spellStart"/>
            <w:r w:rsidRPr="00B97457">
              <w:t>Mohty</w:t>
            </w:r>
            <w:proofErr w:type="spellEnd"/>
            <w:r>
              <w:t xml:space="preserve"> M, </w:t>
            </w:r>
            <w:proofErr w:type="spellStart"/>
            <w:r w:rsidRPr="00B97457">
              <w:t>Bahlis</w:t>
            </w:r>
            <w:proofErr w:type="spellEnd"/>
            <w:r>
              <w:t xml:space="preserve"> NJ, </w:t>
            </w:r>
            <w:proofErr w:type="spellStart"/>
            <w:r w:rsidRPr="00B97457">
              <w:t>Nooka</w:t>
            </w:r>
            <w:proofErr w:type="spellEnd"/>
            <w:r>
              <w:t xml:space="preserve"> AK, </w:t>
            </w:r>
            <w:r w:rsidRPr="00B97457">
              <w:t>DiBonaventura</w:t>
            </w:r>
            <w:r>
              <w:t xml:space="preserve"> M, et al. </w:t>
            </w:r>
            <w:r w:rsidRPr="00B97457">
              <w:t xml:space="preserve">Impact of elranatamab on quality of life: </w:t>
            </w:r>
            <w:r>
              <w:t>p</w:t>
            </w:r>
            <w:r w:rsidRPr="00B97457">
              <w:t>atient-reported outcomes from MagnetisMM</w:t>
            </w:r>
            <w:r>
              <w:noBreakHyphen/>
            </w:r>
            <w:r w:rsidRPr="00B97457">
              <w:t>3</w:t>
            </w:r>
            <w:r>
              <w:t>.</w:t>
            </w:r>
          </w:p>
        </w:tc>
        <w:tc>
          <w:tcPr>
            <w:tcW w:w="1178" w:type="pct"/>
            <w:tcBorders>
              <w:top w:val="nil"/>
              <w:bottom w:val="nil"/>
              <w:right w:val="single" w:sz="4" w:space="0" w:color="auto"/>
            </w:tcBorders>
          </w:tcPr>
          <w:p w14:paraId="53045088" w14:textId="77777777" w:rsidR="007274F1" w:rsidRPr="006E0FA2" w:rsidRDefault="007274F1" w:rsidP="002A3BF4">
            <w:pPr>
              <w:pStyle w:val="COMTabletext"/>
              <w:keepNext w:val="0"/>
            </w:pPr>
            <w:r w:rsidRPr="00392551">
              <w:rPr>
                <w:i/>
                <w:iCs/>
              </w:rPr>
              <w:t>British Journal of Haematology</w:t>
            </w:r>
            <w:r>
              <w:rPr>
                <w:i/>
                <w:iCs/>
              </w:rPr>
              <w:t xml:space="preserve"> </w:t>
            </w:r>
            <w:r>
              <w:t>2024; 204(5): 1801-1810.</w:t>
            </w:r>
          </w:p>
        </w:tc>
      </w:tr>
      <w:tr w:rsidR="007274F1" w:rsidRPr="006E0FA2" w14:paraId="71DD2FCA" w14:textId="77777777" w:rsidTr="7CD342EE">
        <w:trPr>
          <w:trHeight w:val="47"/>
        </w:trPr>
        <w:tc>
          <w:tcPr>
            <w:tcW w:w="634" w:type="pct"/>
            <w:vMerge/>
            <w:vAlign w:val="center"/>
          </w:tcPr>
          <w:p w14:paraId="76097744" w14:textId="77777777" w:rsidR="007274F1" w:rsidRPr="006E0FA2" w:rsidRDefault="007274F1" w:rsidP="002A3BF4">
            <w:pPr>
              <w:pStyle w:val="COMTabletext"/>
              <w:keepNext w:val="0"/>
            </w:pPr>
          </w:p>
        </w:tc>
        <w:tc>
          <w:tcPr>
            <w:tcW w:w="3188" w:type="pct"/>
            <w:tcBorders>
              <w:top w:val="nil"/>
              <w:left w:val="single" w:sz="4" w:space="0" w:color="auto"/>
              <w:bottom w:val="single" w:sz="4" w:space="0" w:color="auto"/>
              <w:right w:val="single" w:sz="4" w:space="0" w:color="auto"/>
            </w:tcBorders>
          </w:tcPr>
          <w:p w14:paraId="64316695" w14:textId="77777777" w:rsidR="007274F1" w:rsidRPr="006E0FA2" w:rsidRDefault="007274F1" w:rsidP="002A3BF4">
            <w:pPr>
              <w:pStyle w:val="COMTabletext"/>
              <w:keepNext w:val="0"/>
            </w:pPr>
            <w:proofErr w:type="spellStart"/>
            <w:r w:rsidRPr="00D02AE8">
              <w:t>Lesokhin</w:t>
            </w:r>
            <w:proofErr w:type="spellEnd"/>
            <w:r w:rsidRPr="00D02AE8">
              <w:t xml:space="preserve"> </w:t>
            </w:r>
            <w:r>
              <w:t xml:space="preserve">AM, </w:t>
            </w:r>
            <w:r w:rsidRPr="00D02AE8">
              <w:t xml:space="preserve">Tomasson </w:t>
            </w:r>
            <w:r>
              <w:t xml:space="preserve">MH, </w:t>
            </w:r>
            <w:r w:rsidRPr="00D02AE8">
              <w:t xml:space="preserve">Arnulf </w:t>
            </w:r>
            <w:r>
              <w:t xml:space="preserve">B, </w:t>
            </w:r>
            <w:proofErr w:type="spellStart"/>
            <w:r w:rsidRPr="00D02AE8">
              <w:t>Bahlis</w:t>
            </w:r>
            <w:proofErr w:type="spellEnd"/>
            <w:r>
              <w:t xml:space="preserve"> NJ. </w:t>
            </w:r>
            <w:r w:rsidRPr="00D02AE8">
              <w:t>Elranatamab in relapsed or refractory multiple myeloma: phase 2 MagnetisMM-3 trial results</w:t>
            </w:r>
            <w:r>
              <w:t>.</w:t>
            </w:r>
          </w:p>
        </w:tc>
        <w:tc>
          <w:tcPr>
            <w:tcW w:w="1178" w:type="pct"/>
            <w:tcBorders>
              <w:top w:val="nil"/>
              <w:left w:val="single" w:sz="4" w:space="0" w:color="auto"/>
              <w:bottom w:val="single" w:sz="4" w:space="0" w:color="auto"/>
              <w:right w:val="single" w:sz="4" w:space="0" w:color="auto"/>
            </w:tcBorders>
          </w:tcPr>
          <w:p w14:paraId="56395E22" w14:textId="77777777" w:rsidR="007274F1" w:rsidRPr="006E0FA2" w:rsidRDefault="007274F1" w:rsidP="002A3BF4">
            <w:pPr>
              <w:pStyle w:val="COMTabletext"/>
              <w:keepNext w:val="0"/>
            </w:pPr>
            <w:r w:rsidRPr="00392551">
              <w:rPr>
                <w:i/>
                <w:iCs/>
              </w:rPr>
              <w:t>Nature Medicine</w:t>
            </w:r>
            <w:r>
              <w:rPr>
                <w:i/>
                <w:iCs/>
              </w:rPr>
              <w:t xml:space="preserve"> </w:t>
            </w:r>
            <w:r>
              <w:t>2023; 29(9): 2259-2267.</w:t>
            </w:r>
          </w:p>
        </w:tc>
      </w:tr>
      <w:tr w:rsidR="007274F1" w:rsidRPr="006E0FA2" w14:paraId="297C03FB" w14:textId="77777777" w:rsidTr="002A3BF4">
        <w:tc>
          <w:tcPr>
            <w:tcW w:w="5000" w:type="pct"/>
            <w:gridSpan w:val="3"/>
            <w:tcBorders>
              <w:bottom w:val="nil"/>
            </w:tcBorders>
            <w:vAlign w:val="center"/>
          </w:tcPr>
          <w:p w14:paraId="4D7F58BC" w14:textId="77777777" w:rsidR="007274F1" w:rsidRPr="00E53517" w:rsidRDefault="007274F1" w:rsidP="002A3BF4">
            <w:pPr>
              <w:pStyle w:val="COMTabletext"/>
              <w:keepNext w:val="0"/>
              <w:jc w:val="both"/>
              <w:rPr>
                <w:b/>
                <w:bCs w:val="0"/>
              </w:rPr>
            </w:pPr>
            <w:r>
              <w:rPr>
                <w:b/>
                <w:bCs w:val="0"/>
              </w:rPr>
              <w:t>Carfilzomib studies</w:t>
            </w:r>
          </w:p>
        </w:tc>
      </w:tr>
      <w:tr w:rsidR="007274F1" w:rsidRPr="006E0FA2" w14:paraId="04B07D0F" w14:textId="77777777" w:rsidTr="002A3BF4">
        <w:tc>
          <w:tcPr>
            <w:tcW w:w="634" w:type="pct"/>
            <w:vMerge w:val="restart"/>
            <w:tcBorders>
              <w:right w:val="single" w:sz="4" w:space="0" w:color="auto"/>
            </w:tcBorders>
            <w:vAlign w:val="center"/>
          </w:tcPr>
          <w:p w14:paraId="15B18C4D" w14:textId="77777777" w:rsidR="007274F1" w:rsidRPr="006E0FA2" w:rsidRDefault="007274F1" w:rsidP="002A3BF4">
            <w:pPr>
              <w:pStyle w:val="COMTabletext"/>
              <w:keepNext w:val="0"/>
            </w:pPr>
            <w:r>
              <w:t>ENDEAVOR (</w:t>
            </w:r>
            <w:r w:rsidRPr="00A91F5E">
              <w:t>NCT01568866</w:t>
            </w:r>
            <w:r>
              <w:t>)</w:t>
            </w:r>
          </w:p>
        </w:tc>
        <w:tc>
          <w:tcPr>
            <w:tcW w:w="3188" w:type="pct"/>
            <w:tcBorders>
              <w:top w:val="single" w:sz="4" w:space="0" w:color="auto"/>
              <w:left w:val="single" w:sz="4" w:space="0" w:color="auto"/>
              <w:bottom w:val="nil"/>
              <w:right w:val="single" w:sz="4" w:space="0" w:color="auto"/>
            </w:tcBorders>
          </w:tcPr>
          <w:p w14:paraId="576030D3" w14:textId="77777777" w:rsidR="007274F1" w:rsidRPr="006E0FA2" w:rsidRDefault="007274F1" w:rsidP="002A3BF4">
            <w:pPr>
              <w:pStyle w:val="COMTabletext"/>
              <w:keepNext w:val="0"/>
            </w:pPr>
            <w:r w:rsidRPr="00134E89">
              <w:t>Chng WJ, Goldschmidt H, Dimopoulos MA, Moreau P</w:t>
            </w:r>
            <w:r>
              <w:t>, et al</w:t>
            </w:r>
            <w:r w:rsidRPr="000D5E83">
              <w:t xml:space="preserve">. Carfilzomib-dexamethasone vs bortezomib-dexamethasone in relapsed or refractory multiple myeloma by cytogenetic risk in the phase 3 study ENDEAVOR. </w:t>
            </w:r>
          </w:p>
        </w:tc>
        <w:tc>
          <w:tcPr>
            <w:tcW w:w="1178" w:type="pct"/>
            <w:tcBorders>
              <w:top w:val="single" w:sz="4" w:space="0" w:color="auto"/>
              <w:left w:val="single" w:sz="4" w:space="0" w:color="auto"/>
              <w:bottom w:val="nil"/>
              <w:right w:val="single" w:sz="4" w:space="0" w:color="auto"/>
            </w:tcBorders>
          </w:tcPr>
          <w:p w14:paraId="203DFA1A" w14:textId="77777777" w:rsidR="007274F1" w:rsidRPr="006E0FA2" w:rsidRDefault="007274F1" w:rsidP="002A3BF4">
            <w:pPr>
              <w:pStyle w:val="COMTabletext"/>
              <w:keepNext w:val="0"/>
            </w:pPr>
            <w:r w:rsidRPr="005946B2">
              <w:rPr>
                <w:i/>
                <w:iCs/>
              </w:rPr>
              <w:t>Leukemia</w:t>
            </w:r>
            <w:r w:rsidRPr="000D5E83">
              <w:t xml:space="preserve"> 2017</w:t>
            </w:r>
            <w:r>
              <w:t>;</w:t>
            </w:r>
            <w:r w:rsidRPr="000D5E83">
              <w:t xml:space="preserve"> 31(6):</w:t>
            </w:r>
            <w:r>
              <w:t xml:space="preserve"> </w:t>
            </w:r>
            <w:r w:rsidRPr="000D5E83">
              <w:t>1368-1374</w:t>
            </w:r>
            <w:r>
              <w:t>.</w:t>
            </w:r>
          </w:p>
        </w:tc>
      </w:tr>
      <w:tr w:rsidR="007274F1" w:rsidRPr="006E0FA2" w14:paraId="26EC3BAC" w14:textId="77777777" w:rsidTr="7CD342EE">
        <w:trPr>
          <w:trHeight w:val="63"/>
        </w:trPr>
        <w:tc>
          <w:tcPr>
            <w:tcW w:w="634" w:type="pct"/>
            <w:vMerge/>
            <w:vAlign w:val="center"/>
          </w:tcPr>
          <w:p w14:paraId="01BA521D" w14:textId="77777777" w:rsidR="007274F1" w:rsidRPr="006E0FA2" w:rsidRDefault="007274F1" w:rsidP="002A3BF4">
            <w:pPr>
              <w:pStyle w:val="COMTabletext"/>
              <w:keepNext w:val="0"/>
            </w:pPr>
          </w:p>
        </w:tc>
        <w:tc>
          <w:tcPr>
            <w:tcW w:w="3188" w:type="pct"/>
            <w:tcBorders>
              <w:top w:val="nil"/>
              <w:left w:val="single" w:sz="4" w:space="0" w:color="auto"/>
              <w:bottom w:val="nil"/>
            </w:tcBorders>
          </w:tcPr>
          <w:p w14:paraId="63ECD5B6" w14:textId="77777777" w:rsidR="007274F1" w:rsidRDefault="007274F1" w:rsidP="002A3BF4">
            <w:pPr>
              <w:pStyle w:val="COMTabletext"/>
            </w:pPr>
            <w:r>
              <w:t>D</w:t>
            </w:r>
            <w:r w:rsidRPr="00BF501A">
              <w:t xml:space="preserve">imopoulos MA, Goldschmidt H, </w:t>
            </w:r>
            <w:proofErr w:type="spellStart"/>
            <w:r w:rsidRPr="00BF501A">
              <w:t>Niesvizky</w:t>
            </w:r>
            <w:proofErr w:type="spellEnd"/>
            <w:r w:rsidRPr="00BF501A">
              <w:t xml:space="preserve"> R, Joshua D</w:t>
            </w:r>
            <w:r>
              <w:t>, et al.</w:t>
            </w:r>
            <w:r w:rsidRPr="000D5E83">
              <w:t xml:space="preserve"> Carfilzomib or bortezomib in relapsed or refractory multiple myeloma (ENDEAVOR): an interim overall survival analysis of an open-label, randomised, phase 3 trial. </w:t>
            </w:r>
          </w:p>
        </w:tc>
        <w:tc>
          <w:tcPr>
            <w:tcW w:w="1178" w:type="pct"/>
            <w:tcBorders>
              <w:top w:val="nil"/>
              <w:bottom w:val="nil"/>
              <w:right w:val="single" w:sz="4" w:space="0" w:color="auto"/>
            </w:tcBorders>
          </w:tcPr>
          <w:p w14:paraId="0FCF8349" w14:textId="77777777" w:rsidR="007274F1" w:rsidRPr="006E0FA2" w:rsidRDefault="007274F1" w:rsidP="002A3BF4">
            <w:pPr>
              <w:pStyle w:val="COMTabletext"/>
              <w:rPr>
                <w:i/>
              </w:rPr>
            </w:pPr>
            <w:r w:rsidRPr="005946B2">
              <w:rPr>
                <w:i/>
                <w:iCs/>
              </w:rPr>
              <w:t>Lancet Oncology</w:t>
            </w:r>
            <w:r>
              <w:rPr>
                <w:i/>
                <w:iCs/>
              </w:rPr>
              <w:t xml:space="preserve"> </w:t>
            </w:r>
            <w:r w:rsidRPr="000D5E83">
              <w:t>2017</w:t>
            </w:r>
            <w:r>
              <w:t xml:space="preserve">; </w:t>
            </w:r>
            <w:r w:rsidRPr="000D5E83">
              <w:t>18(10):</w:t>
            </w:r>
            <w:r>
              <w:t xml:space="preserve"> </w:t>
            </w:r>
            <w:r w:rsidRPr="000D5E83">
              <w:t>1327-1337</w:t>
            </w:r>
            <w:r>
              <w:t>.</w:t>
            </w:r>
          </w:p>
        </w:tc>
      </w:tr>
      <w:tr w:rsidR="007274F1" w:rsidRPr="006E0FA2" w14:paraId="75F4A433" w14:textId="77777777" w:rsidTr="7CD342EE">
        <w:tc>
          <w:tcPr>
            <w:tcW w:w="634" w:type="pct"/>
            <w:vMerge/>
            <w:vAlign w:val="center"/>
          </w:tcPr>
          <w:p w14:paraId="4FB9F925" w14:textId="77777777" w:rsidR="007274F1" w:rsidRPr="006E0FA2" w:rsidRDefault="007274F1" w:rsidP="002A3BF4">
            <w:pPr>
              <w:pStyle w:val="TableText"/>
              <w:keepNext w:val="0"/>
              <w:numPr>
                <w:ilvl w:val="0"/>
                <w:numId w:val="0"/>
              </w:numPr>
            </w:pPr>
          </w:p>
        </w:tc>
        <w:tc>
          <w:tcPr>
            <w:tcW w:w="3188" w:type="pct"/>
            <w:tcBorders>
              <w:top w:val="nil"/>
              <w:left w:val="single" w:sz="4" w:space="0" w:color="auto"/>
              <w:bottom w:val="nil"/>
            </w:tcBorders>
          </w:tcPr>
          <w:p w14:paraId="2C97DB1B" w14:textId="77777777" w:rsidR="007274F1" w:rsidRPr="006E0FA2" w:rsidRDefault="007274F1" w:rsidP="002A3BF4">
            <w:pPr>
              <w:pStyle w:val="COMTabletext"/>
              <w:keepNext w:val="0"/>
            </w:pPr>
            <w:r w:rsidRPr="0089687C">
              <w:t>Dimopoulos MA, Moreau P, Palumbo A, Joshua D</w:t>
            </w:r>
            <w:r>
              <w:t>, et al.</w:t>
            </w:r>
            <w:r w:rsidRPr="000D5E83">
              <w:t xml:space="preserve"> Carfilzomib and dexamethasone versus bortezomib and dexamethasone for patients with relapsed or refractory multiple myeloma (ENDEAVOR): a randomised, phase 3, open-label, multicentre study. </w:t>
            </w:r>
          </w:p>
        </w:tc>
        <w:tc>
          <w:tcPr>
            <w:tcW w:w="1178" w:type="pct"/>
            <w:tcBorders>
              <w:top w:val="nil"/>
              <w:bottom w:val="nil"/>
              <w:right w:val="single" w:sz="4" w:space="0" w:color="auto"/>
            </w:tcBorders>
          </w:tcPr>
          <w:p w14:paraId="58BD6C68" w14:textId="77777777" w:rsidR="007274F1" w:rsidRPr="006E0FA2" w:rsidRDefault="007274F1" w:rsidP="002A3BF4">
            <w:pPr>
              <w:pStyle w:val="COMTabletext"/>
              <w:keepNext w:val="0"/>
            </w:pPr>
            <w:r w:rsidRPr="005946B2">
              <w:rPr>
                <w:i/>
                <w:iCs/>
              </w:rPr>
              <w:t>Lancet Oncology</w:t>
            </w:r>
            <w:r>
              <w:rPr>
                <w:i/>
                <w:iCs/>
              </w:rPr>
              <w:t xml:space="preserve"> </w:t>
            </w:r>
            <w:r w:rsidRPr="000D5E83">
              <w:t>2016</w:t>
            </w:r>
            <w:r>
              <w:t xml:space="preserve">; </w:t>
            </w:r>
            <w:r w:rsidRPr="000D5E83">
              <w:t>17(1):27-38</w:t>
            </w:r>
            <w:r>
              <w:t>.</w:t>
            </w:r>
          </w:p>
        </w:tc>
      </w:tr>
      <w:tr w:rsidR="007274F1" w:rsidRPr="006E0FA2" w14:paraId="679484DD" w14:textId="77777777" w:rsidTr="7CD342EE">
        <w:trPr>
          <w:cantSplit/>
        </w:trPr>
        <w:tc>
          <w:tcPr>
            <w:tcW w:w="634" w:type="pct"/>
            <w:vMerge/>
            <w:vAlign w:val="center"/>
          </w:tcPr>
          <w:p w14:paraId="454C313D" w14:textId="77777777" w:rsidR="007274F1" w:rsidRPr="006E0FA2" w:rsidRDefault="007274F1" w:rsidP="002A3BF4">
            <w:pPr>
              <w:pStyle w:val="TableText"/>
              <w:keepNext w:val="0"/>
              <w:numPr>
                <w:ilvl w:val="0"/>
                <w:numId w:val="0"/>
              </w:numPr>
            </w:pPr>
          </w:p>
        </w:tc>
        <w:tc>
          <w:tcPr>
            <w:tcW w:w="3188" w:type="pct"/>
            <w:tcBorders>
              <w:top w:val="nil"/>
              <w:left w:val="single" w:sz="4" w:space="0" w:color="auto"/>
              <w:bottom w:val="nil"/>
            </w:tcBorders>
          </w:tcPr>
          <w:p w14:paraId="1709BC9E" w14:textId="77777777" w:rsidR="007274F1" w:rsidRPr="006E0FA2" w:rsidRDefault="007274F1" w:rsidP="002A3BF4">
            <w:pPr>
              <w:pStyle w:val="COMTabletext"/>
              <w:keepNext w:val="0"/>
            </w:pPr>
            <w:r w:rsidRPr="0089687C">
              <w:t>Moreau P, Joshua D, Chng WJ, Palumbo A,</w:t>
            </w:r>
            <w:r>
              <w:t xml:space="preserve"> et al.</w:t>
            </w:r>
            <w:r w:rsidRPr="000D5E83">
              <w:t xml:space="preserve"> Impact of prior treatment on patients with relapsed multiple myeloma treated with carfilzomib and dexamethasone vs bortezomib and dexamethasone in the phase 3 ENDEAVOR study. </w:t>
            </w:r>
          </w:p>
        </w:tc>
        <w:tc>
          <w:tcPr>
            <w:tcW w:w="1178" w:type="pct"/>
            <w:tcBorders>
              <w:top w:val="nil"/>
              <w:bottom w:val="nil"/>
              <w:right w:val="single" w:sz="4" w:space="0" w:color="auto"/>
            </w:tcBorders>
          </w:tcPr>
          <w:p w14:paraId="6B95A980" w14:textId="77777777" w:rsidR="007274F1" w:rsidRPr="006E0FA2" w:rsidRDefault="007274F1" w:rsidP="002A3BF4">
            <w:pPr>
              <w:pStyle w:val="COMTabletext"/>
              <w:keepNext w:val="0"/>
            </w:pPr>
            <w:r w:rsidRPr="005946B2">
              <w:rPr>
                <w:i/>
                <w:iCs/>
              </w:rPr>
              <w:t>Leukemia</w:t>
            </w:r>
            <w:r w:rsidRPr="000D5E83">
              <w:t xml:space="preserve"> 2017</w:t>
            </w:r>
            <w:r>
              <w:t>;</w:t>
            </w:r>
            <w:r w:rsidRPr="000D5E83">
              <w:t xml:space="preserve"> 31(1):</w:t>
            </w:r>
            <w:r>
              <w:t xml:space="preserve"> </w:t>
            </w:r>
            <w:r w:rsidRPr="000D5E83">
              <w:t>115-122</w:t>
            </w:r>
            <w:r>
              <w:t>.</w:t>
            </w:r>
          </w:p>
        </w:tc>
      </w:tr>
      <w:tr w:rsidR="007274F1" w:rsidRPr="006E0FA2" w14:paraId="0B740DCC" w14:textId="77777777" w:rsidTr="7CD342EE">
        <w:tc>
          <w:tcPr>
            <w:tcW w:w="634" w:type="pct"/>
            <w:vMerge/>
            <w:vAlign w:val="center"/>
          </w:tcPr>
          <w:p w14:paraId="47BA0BBE" w14:textId="77777777" w:rsidR="007274F1" w:rsidRPr="006E0FA2" w:rsidRDefault="007274F1" w:rsidP="002A3BF4">
            <w:pPr>
              <w:pStyle w:val="TableText"/>
              <w:keepNext w:val="0"/>
              <w:numPr>
                <w:ilvl w:val="0"/>
                <w:numId w:val="0"/>
              </w:numPr>
            </w:pPr>
          </w:p>
        </w:tc>
        <w:tc>
          <w:tcPr>
            <w:tcW w:w="3188" w:type="pct"/>
            <w:tcBorders>
              <w:top w:val="nil"/>
              <w:left w:val="single" w:sz="4" w:space="0" w:color="auto"/>
              <w:bottom w:val="nil"/>
            </w:tcBorders>
          </w:tcPr>
          <w:p w14:paraId="476162B9" w14:textId="77777777" w:rsidR="007274F1" w:rsidRPr="006E0FA2" w:rsidRDefault="007274F1" w:rsidP="002A3BF4">
            <w:pPr>
              <w:pStyle w:val="COMTabletext"/>
              <w:keepNext w:val="0"/>
            </w:pPr>
            <w:r w:rsidRPr="00C6678B">
              <w:t xml:space="preserve">Goldschmidt H, Moreau P, Ludwig H, </w:t>
            </w:r>
            <w:proofErr w:type="spellStart"/>
            <w:r w:rsidRPr="00C6678B">
              <w:t>Niesvizky</w:t>
            </w:r>
            <w:proofErr w:type="spellEnd"/>
            <w:r w:rsidRPr="00C6678B">
              <w:t xml:space="preserve"> R</w:t>
            </w:r>
            <w:r>
              <w:t>, et al.</w:t>
            </w:r>
            <w:r w:rsidRPr="000D5E83">
              <w:t xml:space="preserve"> Carfilzomib-dexamethasone versus subcutaneous or intravenous bortezomib in relapsed or refractory multiple myeloma: secondary analysis of the phase 3 ENDEAVOR study. </w:t>
            </w:r>
          </w:p>
        </w:tc>
        <w:tc>
          <w:tcPr>
            <w:tcW w:w="1178" w:type="pct"/>
            <w:tcBorders>
              <w:top w:val="nil"/>
              <w:bottom w:val="nil"/>
              <w:right w:val="single" w:sz="4" w:space="0" w:color="auto"/>
            </w:tcBorders>
          </w:tcPr>
          <w:p w14:paraId="7E151FDB" w14:textId="77777777" w:rsidR="007274F1" w:rsidRPr="006E0FA2" w:rsidRDefault="007274F1" w:rsidP="002A3BF4">
            <w:pPr>
              <w:pStyle w:val="COMTabletext"/>
              <w:keepNext w:val="0"/>
            </w:pPr>
            <w:r w:rsidRPr="005946B2">
              <w:rPr>
                <w:i/>
                <w:iCs/>
              </w:rPr>
              <w:t>Leukemia &amp; Lymphoma</w:t>
            </w:r>
            <w:r>
              <w:rPr>
                <w:i/>
                <w:iCs/>
              </w:rPr>
              <w:t xml:space="preserve"> </w:t>
            </w:r>
            <w:r w:rsidRPr="00D73296">
              <w:t>2018</w:t>
            </w:r>
            <w:r>
              <w:rPr>
                <w:i/>
                <w:iCs/>
              </w:rPr>
              <w:t xml:space="preserve">; </w:t>
            </w:r>
            <w:r w:rsidRPr="000D5E83">
              <w:t>59(6):</w:t>
            </w:r>
            <w:r>
              <w:t xml:space="preserve"> </w:t>
            </w:r>
            <w:r w:rsidRPr="000D5E83">
              <w:t>1364-1374</w:t>
            </w:r>
            <w:r>
              <w:t>.</w:t>
            </w:r>
          </w:p>
        </w:tc>
      </w:tr>
      <w:tr w:rsidR="007274F1" w:rsidRPr="006E0FA2" w14:paraId="0E83D9BB" w14:textId="77777777" w:rsidTr="7CD342EE">
        <w:tc>
          <w:tcPr>
            <w:tcW w:w="634" w:type="pct"/>
            <w:vMerge/>
            <w:vAlign w:val="center"/>
          </w:tcPr>
          <w:p w14:paraId="7E41FAAF" w14:textId="77777777" w:rsidR="007274F1" w:rsidRPr="006E0FA2" w:rsidRDefault="007274F1" w:rsidP="002A3BF4">
            <w:pPr>
              <w:pStyle w:val="TableText"/>
              <w:keepNext w:val="0"/>
              <w:numPr>
                <w:ilvl w:val="0"/>
                <w:numId w:val="0"/>
              </w:numPr>
            </w:pPr>
          </w:p>
        </w:tc>
        <w:tc>
          <w:tcPr>
            <w:tcW w:w="3188" w:type="pct"/>
            <w:tcBorders>
              <w:top w:val="nil"/>
              <w:left w:val="single" w:sz="4" w:space="0" w:color="auto"/>
              <w:bottom w:val="nil"/>
            </w:tcBorders>
          </w:tcPr>
          <w:p w14:paraId="443B18E4" w14:textId="77777777" w:rsidR="007274F1" w:rsidRPr="006E0FA2" w:rsidRDefault="007274F1" w:rsidP="002A3BF4">
            <w:pPr>
              <w:pStyle w:val="COMTabletext"/>
              <w:keepNext w:val="0"/>
            </w:pPr>
            <w:r w:rsidRPr="00C6678B">
              <w:t>Dimopoulos M, Siegel D, White DJ, Boccia R</w:t>
            </w:r>
            <w:r>
              <w:t>, et al</w:t>
            </w:r>
            <w:r w:rsidRPr="00230084">
              <w:t xml:space="preserve">. Carfilzomib vs bortezomib in patients with multiple myeloma and renal failure: a subgroup analysis of ENDEAVOR. </w:t>
            </w:r>
          </w:p>
        </w:tc>
        <w:tc>
          <w:tcPr>
            <w:tcW w:w="1178" w:type="pct"/>
            <w:tcBorders>
              <w:top w:val="nil"/>
              <w:bottom w:val="nil"/>
              <w:right w:val="single" w:sz="4" w:space="0" w:color="auto"/>
            </w:tcBorders>
          </w:tcPr>
          <w:p w14:paraId="2A36AC7C" w14:textId="77777777" w:rsidR="007274F1" w:rsidRPr="006E0FA2" w:rsidRDefault="007274F1" w:rsidP="002A3BF4">
            <w:pPr>
              <w:pStyle w:val="COMTabletext"/>
              <w:keepNext w:val="0"/>
            </w:pPr>
            <w:r w:rsidRPr="00D73296">
              <w:rPr>
                <w:i/>
                <w:iCs/>
              </w:rPr>
              <w:t>Blood</w:t>
            </w:r>
            <w:r>
              <w:rPr>
                <w:i/>
                <w:iCs/>
              </w:rPr>
              <w:t xml:space="preserve"> </w:t>
            </w:r>
            <w:r>
              <w:t xml:space="preserve">2019; </w:t>
            </w:r>
            <w:r w:rsidRPr="00230084">
              <w:t>133(2):</w:t>
            </w:r>
            <w:r>
              <w:t xml:space="preserve"> </w:t>
            </w:r>
            <w:r w:rsidRPr="00230084">
              <w:t>147-155</w:t>
            </w:r>
            <w:r>
              <w:t>.</w:t>
            </w:r>
          </w:p>
        </w:tc>
      </w:tr>
      <w:tr w:rsidR="007274F1" w:rsidRPr="006E0FA2" w14:paraId="3587BF86" w14:textId="77777777" w:rsidTr="7CD342EE">
        <w:tc>
          <w:tcPr>
            <w:tcW w:w="634" w:type="pct"/>
            <w:vMerge/>
            <w:vAlign w:val="center"/>
          </w:tcPr>
          <w:p w14:paraId="734495C0" w14:textId="77777777" w:rsidR="007274F1" w:rsidRPr="006E0FA2" w:rsidRDefault="007274F1" w:rsidP="002A3BF4">
            <w:pPr>
              <w:pStyle w:val="TableText"/>
              <w:keepNext w:val="0"/>
              <w:numPr>
                <w:ilvl w:val="0"/>
                <w:numId w:val="0"/>
              </w:numPr>
            </w:pPr>
          </w:p>
        </w:tc>
        <w:tc>
          <w:tcPr>
            <w:tcW w:w="3188" w:type="pct"/>
            <w:tcBorders>
              <w:top w:val="nil"/>
              <w:left w:val="single" w:sz="4" w:space="0" w:color="auto"/>
              <w:bottom w:val="nil"/>
            </w:tcBorders>
          </w:tcPr>
          <w:p w14:paraId="2931D725" w14:textId="77777777" w:rsidR="007274F1" w:rsidRPr="00230084" w:rsidRDefault="007274F1" w:rsidP="002A3BF4">
            <w:pPr>
              <w:pStyle w:val="COMTabletext"/>
              <w:keepNext w:val="0"/>
            </w:pPr>
            <w:r w:rsidRPr="00A808AB">
              <w:rPr>
                <w:lang w:val="sv-SE"/>
              </w:rPr>
              <w:t xml:space="preserve">Ludwig H, Moreau P, Dimopoulos MA, Mateos MV, et al. </w:t>
            </w:r>
            <w:r w:rsidRPr="00230084">
              <w:t xml:space="preserve">Health-related quality of life in the ENDEAVOR study: carfilzomib-dexamethasone vs bortezomib-dexamethasone in relapsed/refractory multiple myeloma. </w:t>
            </w:r>
          </w:p>
        </w:tc>
        <w:tc>
          <w:tcPr>
            <w:tcW w:w="1178" w:type="pct"/>
            <w:tcBorders>
              <w:top w:val="nil"/>
              <w:bottom w:val="nil"/>
              <w:right w:val="single" w:sz="4" w:space="0" w:color="auto"/>
            </w:tcBorders>
          </w:tcPr>
          <w:p w14:paraId="78176B99" w14:textId="77777777" w:rsidR="007274F1" w:rsidRPr="006E0FA2" w:rsidRDefault="007274F1" w:rsidP="002A3BF4">
            <w:pPr>
              <w:pStyle w:val="COMTabletext"/>
              <w:keepNext w:val="0"/>
            </w:pPr>
            <w:r w:rsidRPr="00D73296">
              <w:rPr>
                <w:i/>
                <w:iCs/>
              </w:rPr>
              <w:t>Blood Cancer Journal</w:t>
            </w:r>
            <w:r>
              <w:rPr>
                <w:i/>
                <w:iCs/>
              </w:rPr>
              <w:t xml:space="preserve"> </w:t>
            </w:r>
            <w:r>
              <w:t xml:space="preserve">2019; </w:t>
            </w:r>
            <w:r w:rsidRPr="00230084">
              <w:t>9(3):</w:t>
            </w:r>
            <w:r>
              <w:t xml:space="preserve"> </w:t>
            </w:r>
            <w:r w:rsidRPr="00230084">
              <w:t>23</w:t>
            </w:r>
            <w:r>
              <w:t>.</w:t>
            </w:r>
          </w:p>
        </w:tc>
      </w:tr>
      <w:tr w:rsidR="007274F1" w:rsidRPr="006E0FA2" w14:paraId="3E9B15E4" w14:textId="77777777" w:rsidTr="7CD342EE">
        <w:tc>
          <w:tcPr>
            <w:tcW w:w="634" w:type="pct"/>
            <w:vMerge/>
            <w:vAlign w:val="center"/>
          </w:tcPr>
          <w:p w14:paraId="33CB43BC" w14:textId="77777777" w:rsidR="007274F1" w:rsidRPr="006E0FA2" w:rsidRDefault="007274F1" w:rsidP="002A3BF4">
            <w:pPr>
              <w:pStyle w:val="TableText"/>
              <w:keepNext w:val="0"/>
              <w:numPr>
                <w:ilvl w:val="0"/>
                <w:numId w:val="0"/>
              </w:numPr>
            </w:pPr>
          </w:p>
        </w:tc>
        <w:tc>
          <w:tcPr>
            <w:tcW w:w="3188" w:type="pct"/>
            <w:tcBorders>
              <w:top w:val="nil"/>
              <w:left w:val="single" w:sz="4" w:space="0" w:color="auto"/>
              <w:bottom w:val="single" w:sz="4" w:space="0" w:color="auto"/>
              <w:right w:val="single" w:sz="4" w:space="0" w:color="auto"/>
            </w:tcBorders>
          </w:tcPr>
          <w:p w14:paraId="17F244C9" w14:textId="77777777" w:rsidR="007274F1" w:rsidRPr="00230084" w:rsidRDefault="007274F1" w:rsidP="002A3BF4">
            <w:pPr>
              <w:pStyle w:val="COMTabletext"/>
              <w:keepNext w:val="0"/>
            </w:pPr>
            <w:r w:rsidRPr="00C6678B">
              <w:t xml:space="preserve">Orlowski RZ, Moreau P, </w:t>
            </w:r>
            <w:proofErr w:type="spellStart"/>
            <w:r w:rsidRPr="00C6678B">
              <w:t>Niesvizky</w:t>
            </w:r>
            <w:proofErr w:type="spellEnd"/>
            <w:r w:rsidRPr="00C6678B">
              <w:t xml:space="preserve"> R, Ludwig H</w:t>
            </w:r>
            <w:r>
              <w:t>, et al</w:t>
            </w:r>
            <w:r w:rsidRPr="00230084">
              <w:t>. Carfilzomib-</w:t>
            </w:r>
            <w:r>
              <w:t>d</w:t>
            </w:r>
            <w:r w:rsidRPr="00230084">
              <w:t xml:space="preserve">examethasone </w:t>
            </w:r>
            <w:r>
              <w:t>v</w:t>
            </w:r>
            <w:r w:rsidRPr="00230084">
              <w:t xml:space="preserve">ersus </w:t>
            </w:r>
            <w:r>
              <w:t>b</w:t>
            </w:r>
            <w:r w:rsidRPr="00230084">
              <w:t>ortezomib-</w:t>
            </w:r>
            <w:r>
              <w:t>d</w:t>
            </w:r>
            <w:r w:rsidRPr="00230084">
              <w:t xml:space="preserve">examethasone in </w:t>
            </w:r>
            <w:r>
              <w:t>r</w:t>
            </w:r>
            <w:r w:rsidRPr="00230084">
              <w:t xml:space="preserve">elapsed or </w:t>
            </w:r>
            <w:r>
              <w:t>r</w:t>
            </w:r>
            <w:r w:rsidRPr="00230084">
              <w:t xml:space="preserve">efractory </w:t>
            </w:r>
            <w:r>
              <w:t>m</w:t>
            </w:r>
            <w:r w:rsidRPr="00230084">
              <w:t xml:space="preserve">ultiple </w:t>
            </w:r>
            <w:r>
              <w:t>m</w:t>
            </w:r>
            <w:r w:rsidRPr="00230084">
              <w:t xml:space="preserve">yeloma: </w:t>
            </w:r>
            <w:r>
              <w:t>u</w:t>
            </w:r>
            <w:r w:rsidRPr="00230084">
              <w:t xml:space="preserve">pdated </w:t>
            </w:r>
            <w:r>
              <w:t>o</w:t>
            </w:r>
            <w:r w:rsidRPr="00230084">
              <w:t xml:space="preserve">verall </w:t>
            </w:r>
            <w:r>
              <w:t>s</w:t>
            </w:r>
            <w:r w:rsidRPr="00230084">
              <w:t xml:space="preserve">urvival, </w:t>
            </w:r>
            <w:r>
              <w:t>s</w:t>
            </w:r>
            <w:r w:rsidRPr="00230084">
              <w:t xml:space="preserve">afety, and </w:t>
            </w:r>
            <w:r>
              <w:t>s</w:t>
            </w:r>
            <w:r w:rsidRPr="00230084">
              <w:t xml:space="preserve">ubgroups. </w:t>
            </w:r>
          </w:p>
        </w:tc>
        <w:tc>
          <w:tcPr>
            <w:tcW w:w="1178" w:type="pct"/>
            <w:tcBorders>
              <w:top w:val="nil"/>
              <w:left w:val="single" w:sz="4" w:space="0" w:color="auto"/>
              <w:bottom w:val="single" w:sz="4" w:space="0" w:color="auto"/>
              <w:right w:val="single" w:sz="4" w:space="0" w:color="auto"/>
            </w:tcBorders>
          </w:tcPr>
          <w:p w14:paraId="4445A36B" w14:textId="77777777" w:rsidR="007274F1" w:rsidRPr="006E0FA2" w:rsidRDefault="007274F1" w:rsidP="002A3BF4">
            <w:pPr>
              <w:pStyle w:val="COMTabletext"/>
              <w:keepNext w:val="0"/>
            </w:pPr>
            <w:r w:rsidRPr="00D73296">
              <w:rPr>
                <w:i/>
                <w:iCs/>
              </w:rPr>
              <w:t>Clinical lymphoma, myeloma &amp; leukemia</w:t>
            </w:r>
            <w:r>
              <w:rPr>
                <w:i/>
                <w:iCs/>
              </w:rPr>
              <w:t xml:space="preserve"> </w:t>
            </w:r>
            <w:r>
              <w:t xml:space="preserve">2019; </w:t>
            </w:r>
            <w:r w:rsidRPr="00230084">
              <w:t>19(8):</w:t>
            </w:r>
            <w:r>
              <w:t xml:space="preserve"> </w:t>
            </w:r>
            <w:r w:rsidRPr="00230084">
              <w:t>522-530</w:t>
            </w:r>
            <w:r>
              <w:t>.</w:t>
            </w:r>
          </w:p>
        </w:tc>
      </w:tr>
      <w:tr w:rsidR="007274F1" w:rsidRPr="006E0FA2" w14:paraId="445A0259" w14:textId="77777777" w:rsidTr="002A3BF4">
        <w:tc>
          <w:tcPr>
            <w:tcW w:w="5000" w:type="pct"/>
            <w:gridSpan w:val="3"/>
            <w:tcBorders>
              <w:bottom w:val="single" w:sz="4" w:space="0" w:color="auto"/>
            </w:tcBorders>
            <w:vAlign w:val="center"/>
          </w:tcPr>
          <w:p w14:paraId="5EA39362" w14:textId="77777777" w:rsidR="007274F1" w:rsidRPr="006B3B7E" w:rsidRDefault="007274F1" w:rsidP="002A3BF4">
            <w:pPr>
              <w:pStyle w:val="COMTabletext"/>
              <w:keepNext w:val="0"/>
              <w:jc w:val="both"/>
              <w:rPr>
                <w:b/>
                <w:bCs w:val="0"/>
              </w:rPr>
            </w:pPr>
            <w:r>
              <w:rPr>
                <w:b/>
                <w:bCs w:val="0"/>
              </w:rPr>
              <w:t>Pomalidomide studies</w:t>
            </w:r>
          </w:p>
        </w:tc>
      </w:tr>
      <w:tr w:rsidR="007274F1" w:rsidRPr="006E0FA2" w14:paraId="2C482338" w14:textId="77777777" w:rsidTr="002A3BF4">
        <w:tc>
          <w:tcPr>
            <w:tcW w:w="634" w:type="pct"/>
            <w:vMerge w:val="restart"/>
            <w:tcBorders>
              <w:top w:val="single" w:sz="4" w:space="0" w:color="auto"/>
              <w:right w:val="single" w:sz="4" w:space="0" w:color="auto"/>
            </w:tcBorders>
            <w:vAlign w:val="center"/>
          </w:tcPr>
          <w:p w14:paraId="4C18F1D0" w14:textId="77777777" w:rsidR="007274F1" w:rsidRPr="006E0FA2" w:rsidRDefault="007274F1" w:rsidP="002A3BF4">
            <w:pPr>
              <w:pStyle w:val="TableText"/>
              <w:keepNext w:val="0"/>
              <w:numPr>
                <w:ilvl w:val="0"/>
                <w:numId w:val="0"/>
              </w:numPr>
            </w:pPr>
            <w:r>
              <w:t>MM-003 (</w:t>
            </w:r>
            <w:r w:rsidRPr="00A91F5E">
              <w:t>NCT01311687</w:t>
            </w:r>
            <w:r>
              <w:t>)</w:t>
            </w:r>
          </w:p>
        </w:tc>
        <w:tc>
          <w:tcPr>
            <w:tcW w:w="3188" w:type="pct"/>
            <w:tcBorders>
              <w:top w:val="single" w:sz="4" w:space="0" w:color="auto"/>
              <w:left w:val="single" w:sz="4" w:space="0" w:color="auto"/>
              <w:bottom w:val="nil"/>
              <w:right w:val="single" w:sz="4" w:space="0" w:color="auto"/>
            </w:tcBorders>
          </w:tcPr>
          <w:p w14:paraId="74019E76" w14:textId="77777777" w:rsidR="007274F1" w:rsidRPr="006E0FA2" w:rsidRDefault="007274F1" w:rsidP="002A3BF4">
            <w:pPr>
              <w:pStyle w:val="COMTabletext"/>
              <w:keepNext w:val="0"/>
            </w:pPr>
            <w:r w:rsidRPr="00C6678B">
              <w:t>Miguel JS, Weisel K, Moreau P, Lacy M</w:t>
            </w:r>
            <w:r>
              <w:t>, et al.</w:t>
            </w:r>
            <w:r w:rsidRPr="00230084">
              <w:t xml:space="preserve"> Pomalidomide plus low-dose dexamethasone versus high-dose dexamethasone alone for patients with relapsed and refractory multiple myeloma (MM-003): a randomised, open-label, phase 3 trial. </w:t>
            </w:r>
          </w:p>
        </w:tc>
        <w:tc>
          <w:tcPr>
            <w:tcW w:w="1178" w:type="pct"/>
            <w:tcBorders>
              <w:top w:val="single" w:sz="4" w:space="0" w:color="auto"/>
              <w:left w:val="single" w:sz="4" w:space="0" w:color="auto"/>
              <w:bottom w:val="nil"/>
              <w:right w:val="single" w:sz="4" w:space="0" w:color="auto"/>
            </w:tcBorders>
          </w:tcPr>
          <w:p w14:paraId="7D291644" w14:textId="77777777" w:rsidR="007274F1" w:rsidRPr="006E0FA2" w:rsidRDefault="007274F1" w:rsidP="002A3BF4">
            <w:pPr>
              <w:pStyle w:val="COMTabletext"/>
              <w:keepNext w:val="0"/>
            </w:pPr>
            <w:r w:rsidRPr="00D73296">
              <w:rPr>
                <w:i/>
                <w:iCs/>
              </w:rPr>
              <w:t>Lancet Oncology</w:t>
            </w:r>
            <w:r>
              <w:rPr>
                <w:i/>
                <w:iCs/>
              </w:rPr>
              <w:t xml:space="preserve"> </w:t>
            </w:r>
            <w:r>
              <w:t xml:space="preserve">2013; </w:t>
            </w:r>
            <w:r w:rsidRPr="00230084">
              <w:t>14(11):</w:t>
            </w:r>
            <w:r>
              <w:t xml:space="preserve"> </w:t>
            </w:r>
            <w:r w:rsidRPr="00230084">
              <w:t>1055-1066</w:t>
            </w:r>
            <w:r>
              <w:t>.</w:t>
            </w:r>
          </w:p>
        </w:tc>
      </w:tr>
      <w:tr w:rsidR="007274F1" w:rsidRPr="006E0FA2" w14:paraId="5C6B04BE" w14:textId="77777777" w:rsidTr="7CD342EE">
        <w:tc>
          <w:tcPr>
            <w:tcW w:w="634" w:type="pct"/>
            <w:vMerge/>
            <w:vAlign w:val="center"/>
          </w:tcPr>
          <w:p w14:paraId="667BE033" w14:textId="77777777" w:rsidR="007274F1" w:rsidRDefault="007274F1" w:rsidP="002A3BF4">
            <w:pPr>
              <w:pStyle w:val="TableText"/>
              <w:keepNext w:val="0"/>
              <w:numPr>
                <w:ilvl w:val="0"/>
                <w:numId w:val="0"/>
              </w:numPr>
            </w:pPr>
          </w:p>
        </w:tc>
        <w:tc>
          <w:tcPr>
            <w:tcW w:w="3188" w:type="pct"/>
            <w:tcBorders>
              <w:top w:val="nil"/>
              <w:left w:val="single" w:sz="4" w:space="0" w:color="auto"/>
              <w:bottom w:val="nil"/>
              <w:right w:val="single" w:sz="4" w:space="0" w:color="auto"/>
            </w:tcBorders>
          </w:tcPr>
          <w:p w14:paraId="395501F5" w14:textId="77777777" w:rsidR="007274F1" w:rsidRPr="006E0FA2" w:rsidRDefault="007274F1" w:rsidP="002A3BF4">
            <w:pPr>
              <w:pStyle w:val="COMTabletext"/>
              <w:keepNext w:val="0"/>
            </w:pPr>
            <w:r w:rsidRPr="00C6678B">
              <w:t>Moreau P, Weisel KC, Song KW, Gibson CJ</w:t>
            </w:r>
            <w:r>
              <w:t>, et al</w:t>
            </w:r>
            <w:r w:rsidRPr="00230084">
              <w:t xml:space="preserve">. Relationship of response and survival in patients with relapsed and refractory multiple myeloma treated with pomalidomide plus low-dose dexamethasone in the MM-003 trial randomized phase III trial (NIMBUS). </w:t>
            </w:r>
          </w:p>
        </w:tc>
        <w:tc>
          <w:tcPr>
            <w:tcW w:w="1178" w:type="pct"/>
            <w:tcBorders>
              <w:top w:val="nil"/>
              <w:left w:val="single" w:sz="4" w:space="0" w:color="auto"/>
              <w:bottom w:val="nil"/>
              <w:right w:val="single" w:sz="4" w:space="0" w:color="auto"/>
            </w:tcBorders>
          </w:tcPr>
          <w:p w14:paraId="0D38F065" w14:textId="77777777" w:rsidR="007274F1" w:rsidRPr="006E0FA2" w:rsidRDefault="007274F1" w:rsidP="002A3BF4">
            <w:pPr>
              <w:pStyle w:val="COMTabletext"/>
              <w:keepNext w:val="0"/>
            </w:pPr>
            <w:r w:rsidRPr="00D73296">
              <w:rPr>
                <w:i/>
                <w:iCs/>
              </w:rPr>
              <w:t>Leukemia &amp; Lymphoma</w:t>
            </w:r>
            <w:r>
              <w:t xml:space="preserve"> 2016; </w:t>
            </w:r>
            <w:r w:rsidRPr="00230084">
              <w:t>57(12):</w:t>
            </w:r>
            <w:r>
              <w:t xml:space="preserve"> </w:t>
            </w:r>
            <w:r w:rsidRPr="00230084">
              <w:t>2839-2847</w:t>
            </w:r>
            <w:r>
              <w:t>.</w:t>
            </w:r>
          </w:p>
        </w:tc>
      </w:tr>
      <w:tr w:rsidR="007274F1" w:rsidRPr="006E0FA2" w14:paraId="081FA8CC" w14:textId="77777777" w:rsidTr="7CD342EE">
        <w:trPr>
          <w:trHeight w:val="918"/>
        </w:trPr>
        <w:tc>
          <w:tcPr>
            <w:tcW w:w="634" w:type="pct"/>
            <w:vMerge/>
            <w:vAlign w:val="center"/>
          </w:tcPr>
          <w:p w14:paraId="10A1D3C1" w14:textId="77777777" w:rsidR="007274F1" w:rsidRDefault="007274F1" w:rsidP="002A3BF4">
            <w:pPr>
              <w:pStyle w:val="TableText"/>
              <w:keepNext w:val="0"/>
              <w:numPr>
                <w:ilvl w:val="0"/>
                <w:numId w:val="0"/>
              </w:numPr>
            </w:pPr>
          </w:p>
        </w:tc>
        <w:tc>
          <w:tcPr>
            <w:tcW w:w="3188" w:type="pct"/>
            <w:tcBorders>
              <w:top w:val="nil"/>
              <w:left w:val="single" w:sz="4" w:space="0" w:color="auto"/>
              <w:bottom w:val="nil"/>
              <w:right w:val="single" w:sz="4" w:space="0" w:color="auto"/>
            </w:tcBorders>
          </w:tcPr>
          <w:p w14:paraId="2B4547B7" w14:textId="77777777" w:rsidR="007274F1" w:rsidRPr="006E0FA2" w:rsidRDefault="007274F1" w:rsidP="002A3BF4">
            <w:pPr>
              <w:pStyle w:val="COMTabletext"/>
              <w:keepNext w:val="0"/>
            </w:pPr>
            <w:r w:rsidRPr="00E647B3">
              <w:t>Weisel KC, Dimopoulos MA, Moreau P, Lacy MQ</w:t>
            </w:r>
            <w:r>
              <w:t>, et al</w:t>
            </w:r>
            <w:r w:rsidRPr="00230084">
              <w:t>. Analysis of renal impairment in MM-003, a phase III study of pomalidomide + low</w:t>
            </w:r>
            <w:r>
              <w:t>-</w:t>
            </w:r>
            <w:r w:rsidRPr="00230084">
              <w:t xml:space="preserve">dose dexamethasone versus high-dose dexamethasone in refractory or relapsed and refractory multiple myeloma. </w:t>
            </w:r>
          </w:p>
        </w:tc>
        <w:tc>
          <w:tcPr>
            <w:tcW w:w="1178" w:type="pct"/>
            <w:tcBorders>
              <w:top w:val="nil"/>
              <w:left w:val="single" w:sz="4" w:space="0" w:color="auto"/>
              <w:bottom w:val="nil"/>
              <w:right w:val="single" w:sz="4" w:space="0" w:color="auto"/>
            </w:tcBorders>
          </w:tcPr>
          <w:p w14:paraId="1BDCFE97" w14:textId="77777777" w:rsidR="007274F1" w:rsidRPr="006E0FA2" w:rsidRDefault="007274F1" w:rsidP="002A3BF4">
            <w:pPr>
              <w:pStyle w:val="COMTabletext"/>
              <w:keepNext w:val="0"/>
            </w:pPr>
            <w:proofErr w:type="spellStart"/>
            <w:r w:rsidRPr="00594BEE">
              <w:rPr>
                <w:i/>
                <w:iCs/>
              </w:rPr>
              <w:t>Haematologica</w:t>
            </w:r>
            <w:proofErr w:type="spellEnd"/>
            <w:r w:rsidRPr="00230084">
              <w:t xml:space="preserve"> </w:t>
            </w:r>
            <w:r>
              <w:t xml:space="preserve">2016; </w:t>
            </w:r>
            <w:r w:rsidRPr="00230084">
              <w:t>101(7):</w:t>
            </w:r>
            <w:r>
              <w:t xml:space="preserve"> </w:t>
            </w:r>
            <w:r w:rsidRPr="00230084">
              <w:t>872-8</w:t>
            </w:r>
            <w:r>
              <w:t>.</w:t>
            </w:r>
          </w:p>
        </w:tc>
      </w:tr>
      <w:tr w:rsidR="007274F1" w:rsidRPr="006E0FA2" w14:paraId="659BDF62" w14:textId="77777777" w:rsidTr="7CD342EE">
        <w:tc>
          <w:tcPr>
            <w:tcW w:w="634" w:type="pct"/>
            <w:vMerge/>
            <w:vAlign w:val="center"/>
          </w:tcPr>
          <w:p w14:paraId="419B4797" w14:textId="77777777" w:rsidR="007274F1" w:rsidRDefault="007274F1" w:rsidP="002A3BF4">
            <w:pPr>
              <w:pStyle w:val="TableText"/>
              <w:keepNext w:val="0"/>
              <w:numPr>
                <w:ilvl w:val="0"/>
                <w:numId w:val="0"/>
              </w:numPr>
            </w:pPr>
          </w:p>
        </w:tc>
        <w:tc>
          <w:tcPr>
            <w:tcW w:w="3188" w:type="pct"/>
            <w:tcBorders>
              <w:top w:val="nil"/>
              <w:left w:val="single" w:sz="4" w:space="0" w:color="auto"/>
              <w:bottom w:val="nil"/>
            </w:tcBorders>
          </w:tcPr>
          <w:p w14:paraId="7D164F82" w14:textId="77777777" w:rsidR="007274F1" w:rsidRPr="006E0FA2" w:rsidRDefault="007274F1" w:rsidP="002A3BF4">
            <w:pPr>
              <w:pStyle w:val="COMTabletext"/>
              <w:keepNext w:val="0"/>
            </w:pPr>
            <w:r w:rsidRPr="00EA1503">
              <w:t>Dimopoulos MA, Weise KC, Song KW, Delforge M</w:t>
            </w:r>
            <w:r>
              <w:t>, et al</w:t>
            </w:r>
            <w:r w:rsidRPr="00230084">
              <w:t xml:space="preserve">. Cytogenetics and long-term survival of patients with refractory or relapsed and refractory multiple myeloma treated with pomalidomide and low-dose dexamethasone. </w:t>
            </w:r>
          </w:p>
        </w:tc>
        <w:tc>
          <w:tcPr>
            <w:tcW w:w="1178" w:type="pct"/>
            <w:tcBorders>
              <w:top w:val="nil"/>
              <w:bottom w:val="nil"/>
              <w:right w:val="single" w:sz="4" w:space="0" w:color="auto"/>
            </w:tcBorders>
          </w:tcPr>
          <w:p w14:paraId="5BF51E65" w14:textId="77777777" w:rsidR="007274F1" w:rsidRPr="006E0FA2" w:rsidRDefault="007274F1" w:rsidP="002A3BF4">
            <w:pPr>
              <w:pStyle w:val="COMTabletext"/>
              <w:keepNext w:val="0"/>
            </w:pPr>
            <w:proofErr w:type="spellStart"/>
            <w:r w:rsidRPr="00594BEE">
              <w:rPr>
                <w:i/>
                <w:iCs/>
              </w:rPr>
              <w:t>Haematologica</w:t>
            </w:r>
            <w:proofErr w:type="spellEnd"/>
            <w:r>
              <w:rPr>
                <w:i/>
                <w:iCs/>
              </w:rPr>
              <w:t xml:space="preserve"> </w:t>
            </w:r>
            <w:r>
              <w:t xml:space="preserve">2015; </w:t>
            </w:r>
            <w:r w:rsidRPr="00230084">
              <w:t>100(10):1327-33</w:t>
            </w:r>
            <w:r>
              <w:t>.</w:t>
            </w:r>
          </w:p>
        </w:tc>
      </w:tr>
      <w:tr w:rsidR="007274F1" w:rsidRPr="006E0FA2" w14:paraId="0B59A23C" w14:textId="77777777" w:rsidTr="7CD342EE">
        <w:tc>
          <w:tcPr>
            <w:tcW w:w="634" w:type="pct"/>
            <w:vMerge/>
            <w:vAlign w:val="center"/>
          </w:tcPr>
          <w:p w14:paraId="27D59283" w14:textId="77777777" w:rsidR="007274F1" w:rsidRDefault="007274F1" w:rsidP="002A3BF4">
            <w:pPr>
              <w:pStyle w:val="TableText"/>
              <w:keepNext w:val="0"/>
              <w:numPr>
                <w:ilvl w:val="0"/>
                <w:numId w:val="0"/>
              </w:numPr>
            </w:pPr>
          </w:p>
        </w:tc>
        <w:tc>
          <w:tcPr>
            <w:tcW w:w="3188" w:type="pct"/>
            <w:tcBorders>
              <w:top w:val="nil"/>
              <w:left w:val="single" w:sz="4" w:space="0" w:color="auto"/>
              <w:bottom w:val="nil"/>
              <w:right w:val="single" w:sz="4" w:space="0" w:color="auto"/>
            </w:tcBorders>
          </w:tcPr>
          <w:p w14:paraId="4762723F" w14:textId="77777777" w:rsidR="007274F1" w:rsidRPr="006E0FA2" w:rsidRDefault="007274F1" w:rsidP="002A3BF4">
            <w:pPr>
              <w:pStyle w:val="COMTabletext"/>
              <w:keepNext w:val="0"/>
            </w:pPr>
            <w:r w:rsidRPr="00EA1503">
              <w:t>San Miguel JF, Weisel KC, Song KW, Delforge M</w:t>
            </w:r>
            <w:r>
              <w:t>, et al.</w:t>
            </w:r>
            <w:r w:rsidRPr="00230084">
              <w:t xml:space="preserve"> Impact of prior treatment and depth of response on survival in MM-003, a randomized phase 3 study comparing pomalidomide plus low-dose dexamethasone versus high-dose dexamethasone in relapsed/refractory multiple myeloma. </w:t>
            </w:r>
          </w:p>
        </w:tc>
        <w:tc>
          <w:tcPr>
            <w:tcW w:w="1178" w:type="pct"/>
            <w:tcBorders>
              <w:top w:val="nil"/>
              <w:left w:val="single" w:sz="4" w:space="0" w:color="auto"/>
              <w:bottom w:val="nil"/>
              <w:right w:val="single" w:sz="4" w:space="0" w:color="auto"/>
            </w:tcBorders>
          </w:tcPr>
          <w:p w14:paraId="26C5BFBE" w14:textId="77777777" w:rsidR="007274F1" w:rsidRPr="006E0FA2" w:rsidRDefault="007274F1" w:rsidP="002A3BF4">
            <w:pPr>
              <w:pStyle w:val="COMTabletext"/>
              <w:keepNext w:val="0"/>
            </w:pPr>
            <w:proofErr w:type="spellStart"/>
            <w:r w:rsidRPr="00594BEE">
              <w:rPr>
                <w:i/>
                <w:iCs/>
              </w:rPr>
              <w:t>Haematologica</w:t>
            </w:r>
            <w:proofErr w:type="spellEnd"/>
            <w:r>
              <w:rPr>
                <w:i/>
                <w:iCs/>
              </w:rPr>
              <w:t xml:space="preserve"> </w:t>
            </w:r>
            <w:r>
              <w:t xml:space="preserve">2015; </w:t>
            </w:r>
            <w:r w:rsidRPr="00230084">
              <w:t>100(10):</w:t>
            </w:r>
            <w:r>
              <w:t xml:space="preserve"> </w:t>
            </w:r>
            <w:r w:rsidRPr="00230084">
              <w:t>1327-33</w:t>
            </w:r>
            <w:r>
              <w:t>.</w:t>
            </w:r>
          </w:p>
        </w:tc>
      </w:tr>
      <w:tr w:rsidR="007274F1" w:rsidRPr="006E0FA2" w14:paraId="16414873" w14:textId="77777777" w:rsidTr="7CD342EE">
        <w:tc>
          <w:tcPr>
            <w:tcW w:w="634" w:type="pct"/>
            <w:vMerge/>
            <w:vAlign w:val="center"/>
          </w:tcPr>
          <w:p w14:paraId="08B192D8" w14:textId="77777777" w:rsidR="007274F1" w:rsidRDefault="007274F1" w:rsidP="002A3BF4">
            <w:pPr>
              <w:pStyle w:val="TableText"/>
              <w:keepNext w:val="0"/>
              <w:numPr>
                <w:ilvl w:val="0"/>
                <w:numId w:val="0"/>
              </w:numPr>
            </w:pPr>
          </w:p>
        </w:tc>
        <w:tc>
          <w:tcPr>
            <w:tcW w:w="3188" w:type="pct"/>
            <w:tcBorders>
              <w:top w:val="nil"/>
              <w:left w:val="single" w:sz="4" w:space="0" w:color="auto"/>
              <w:bottom w:val="nil"/>
              <w:right w:val="single" w:sz="4" w:space="0" w:color="auto"/>
            </w:tcBorders>
          </w:tcPr>
          <w:p w14:paraId="1F5B210B" w14:textId="77777777" w:rsidR="007274F1" w:rsidRPr="006E0FA2" w:rsidRDefault="007274F1" w:rsidP="002A3BF4">
            <w:pPr>
              <w:pStyle w:val="COMTabletext"/>
              <w:keepNext w:val="0"/>
            </w:pPr>
            <w:r w:rsidRPr="00A808AB">
              <w:rPr>
                <w:lang w:val="sv-SE"/>
              </w:rPr>
              <w:t xml:space="preserve">Weisel K, Dimopoulos M, Song KW, Moreau P, et al. </w:t>
            </w:r>
            <w:r w:rsidRPr="002A046A">
              <w:t xml:space="preserve">Pomalidomide and </w:t>
            </w:r>
            <w:r>
              <w:t>l</w:t>
            </w:r>
            <w:r w:rsidRPr="002A046A">
              <w:t>ow-</w:t>
            </w:r>
            <w:r>
              <w:t>d</w:t>
            </w:r>
            <w:r w:rsidRPr="002A046A">
              <w:t xml:space="preserve">ose </w:t>
            </w:r>
            <w:r>
              <w:t>d</w:t>
            </w:r>
            <w:r w:rsidRPr="002A046A">
              <w:t xml:space="preserve">examethasone </w:t>
            </w:r>
            <w:r>
              <w:t>i</w:t>
            </w:r>
            <w:r w:rsidRPr="002A046A">
              <w:t xml:space="preserve">mproves </w:t>
            </w:r>
            <w:r>
              <w:t>h</w:t>
            </w:r>
            <w:r w:rsidRPr="002A046A">
              <w:t>ealth-</w:t>
            </w:r>
            <w:r>
              <w:t>r</w:t>
            </w:r>
            <w:r w:rsidRPr="002A046A">
              <w:t xml:space="preserve">elated </w:t>
            </w:r>
            <w:r>
              <w:t>q</w:t>
            </w:r>
            <w:r w:rsidRPr="002A046A">
              <w:t xml:space="preserve">uality of </w:t>
            </w:r>
            <w:r>
              <w:t>l</w:t>
            </w:r>
            <w:r w:rsidRPr="002A046A">
              <w:t xml:space="preserve">ife and </w:t>
            </w:r>
            <w:r>
              <w:t>p</w:t>
            </w:r>
            <w:r w:rsidRPr="002A046A">
              <w:t xml:space="preserve">rolongs </w:t>
            </w:r>
            <w:r>
              <w:t>t</w:t>
            </w:r>
            <w:r w:rsidRPr="002A046A">
              <w:t xml:space="preserve">ime to </w:t>
            </w:r>
            <w:r>
              <w:t>w</w:t>
            </w:r>
            <w:r w:rsidRPr="002A046A">
              <w:t xml:space="preserve">orsening in </w:t>
            </w:r>
            <w:r>
              <w:t>r</w:t>
            </w:r>
            <w:r w:rsidRPr="002A046A">
              <w:t>elapsed/</w:t>
            </w:r>
            <w:r>
              <w:t>r</w:t>
            </w:r>
            <w:r w:rsidRPr="002A046A">
              <w:t xml:space="preserve">efractory </w:t>
            </w:r>
            <w:r>
              <w:t>p</w:t>
            </w:r>
            <w:r w:rsidRPr="002A046A">
              <w:t xml:space="preserve">atients </w:t>
            </w:r>
            <w:r>
              <w:t>w</w:t>
            </w:r>
            <w:r w:rsidRPr="002A046A">
              <w:t xml:space="preserve">ith </w:t>
            </w:r>
            <w:r>
              <w:t>m</w:t>
            </w:r>
            <w:r w:rsidRPr="002A046A">
              <w:t xml:space="preserve">ultiple </w:t>
            </w:r>
            <w:r>
              <w:t>m</w:t>
            </w:r>
            <w:r w:rsidRPr="002A046A">
              <w:t xml:space="preserve">yeloma </w:t>
            </w:r>
            <w:r>
              <w:t>e</w:t>
            </w:r>
            <w:r w:rsidRPr="002A046A">
              <w:t>nrolled in the MM</w:t>
            </w:r>
            <w:r>
              <w:noBreakHyphen/>
            </w:r>
            <w:r w:rsidRPr="002A046A">
              <w:t xml:space="preserve">003 </w:t>
            </w:r>
            <w:r>
              <w:t>r</w:t>
            </w:r>
            <w:r w:rsidRPr="002A046A">
              <w:t xml:space="preserve">andomized </w:t>
            </w:r>
            <w:r>
              <w:t>p</w:t>
            </w:r>
            <w:r w:rsidRPr="002A046A">
              <w:t xml:space="preserve">hase III </w:t>
            </w:r>
            <w:r>
              <w:t>t</w:t>
            </w:r>
            <w:r w:rsidRPr="002A046A">
              <w:t xml:space="preserve">rial. </w:t>
            </w:r>
          </w:p>
        </w:tc>
        <w:tc>
          <w:tcPr>
            <w:tcW w:w="1178" w:type="pct"/>
            <w:tcBorders>
              <w:top w:val="nil"/>
              <w:left w:val="single" w:sz="4" w:space="0" w:color="auto"/>
              <w:bottom w:val="nil"/>
              <w:right w:val="single" w:sz="4" w:space="0" w:color="auto"/>
            </w:tcBorders>
          </w:tcPr>
          <w:p w14:paraId="060F5BCC" w14:textId="77777777" w:rsidR="007274F1" w:rsidRPr="006E0FA2" w:rsidRDefault="007274F1" w:rsidP="002A3BF4">
            <w:pPr>
              <w:pStyle w:val="COMTabletext"/>
              <w:keepNext w:val="0"/>
            </w:pPr>
            <w:r w:rsidRPr="00594BEE">
              <w:rPr>
                <w:i/>
                <w:iCs/>
              </w:rPr>
              <w:t>Clinical lymphoma, myeloma &amp; leukemia</w:t>
            </w:r>
            <w:r>
              <w:rPr>
                <w:i/>
                <w:iCs/>
              </w:rPr>
              <w:t xml:space="preserve"> </w:t>
            </w:r>
            <w:r>
              <w:t xml:space="preserve">2015; </w:t>
            </w:r>
            <w:r w:rsidRPr="002A046A">
              <w:t>15(9):</w:t>
            </w:r>
            <w:r>
              <w:t xml:space="preserve"> </w:t>
            </w:r>
            <w:r w:rsidRPr="002A046A">
              <w:t>519-30</w:t>
            </w:r>
            <w:r>
              <w:t>.</w:t>
            </w:r>
          </w:p>
        </w:tc>
      </w:tr>
      <w:tr w:rsidR="007274F1" w:rsidRPr="006E0FA2" w14:paraId="50AA6D61" w14:textId="77777777" w:rsidTr="7CD342EE">
        <w:tc>
          <w:tcPr>
            <w:tcW w:w="634" w:type="pct"/>
            <w:vMerge/>
            <w:vAlign w:val="center"/>
          </w:tcPr>
          <w:p w14:paraId="6185251D" w14:textId="77777777" w:rsidR="007274F1" w:rsidRDefault="007274F1" w:rsidP="002A3BF4">
            <w:pPr>
              <w:pStyle w:val="TableText"/>
              <w:keepNext w:val="0"/>
              <w:numPr>
                <w:ilvl w:val="0"/>
                <w:numId w:val="0"/>
              </w:numPr>
            </w:pPr>
          </w:p>
        </w:tc>
        <w:tc>
          <w:tcPr>
            <w:tcW w:w="3188" w:type="pct"/>
            <w:tcBorders>
              <w:top w:val="nil"/>
              <w:left w:val="single" w:sz="4" w:space="0" w:color="auto"/>
              <w:bottom w:val="nil"/>
              <w:right w:val="single" w:sz="4" w:space="0" w:color="auto"/>
            </w:tcBorders>
          </w:tcPr>
          <w:p w14:paraId="4BEDB25C" w14:textId="77777777" w:rsidR="007274F1" w:rsidRPr="006E0FA2" w:rsidRDefault="007274F1" w:rsidP="002A3BF4">
            <w:pPr>
              <w:pStyle w:val="COMTabletext"/>
              <w:keepNext w:val="0"/>
            </w:pPr>
            <w:r w:rsidRPr="00AA7ABD">
              <w:t>Song KW, Dimopoulos MA, Weisel KC, Moreau P</w:t>
            </w:r>
            <w:r>
              <w:t>, et al</w:t>
            </w:r>
            <w:r w:rsidRPr="002A046A">
              <w:t>.</w:t>
            </w:r>
            <w:r>
              <w:t xml:space="preserve"> </w:t>
            </w:r>
            <w:r w:rsidRPr="002A046A">
              <w:t xml:space="preserve">Health-related quality of life from the MM-003 trial of pomalidomide plus low-dose dexamethasone versus high-dose dexamethasone in relapsed and/or refractory multiple myeloma. </w:t>
            </w:r>
          </w:p>
        </w:tc>
        <w:tc>
          <w:tcPr>
            <w:tcW w:w="1178" w:type="pct"/>
            <w:tcBorders>
              <w:top w:val="nil"/>
              <w:left w:val="single" w:sz="4" w:space="0" w:color="auto"/>
              <w:bottom w:val="nil"/>
              <w:right w:val="single" w:sz="4" w:space="0" w:color="auto"/>
            </w:tcBorders>
          </w:tcPr>
          <w:p w14:paraId="78E051AE" w14:textId="77777777" w:rsidR="007274F1" w:rsidRPr="006E0FA2" w:rsidRDefault="007274F1" w:rsidP="002A3BF4">
            <w:pPr>
              <w:pStyle w:val="COMTabletext"/>
              <w:keepNext w:val="0"/>
            </w:pPr>
            <w:proofErr w:type="spellStart"/>
            <w:r w:rsidRPr="00594BEE">
              <w:rPr>
                <w:i/>
                <w:iCs/>
              </w:rPr>
              <w:t>Haematologica</w:t>
            </w:r>
            <w:proofErr w:type="spellEnd"/>
            <w:r>
              <w:rPr>
                <w:i/>
                <w:iCs/>
              </w:rPr>
              <w:t xml:space="preserve"> </w:t>
            </w:r>
            <w:r>
              <w:t xml:space="preserve">2015; </w:t>
            </w:r>
            <w:r w:rsidRPr="002A046A">
              <w:t>100(2):</w:t>
            </w:r>
            <w:r>
              <w:t xml:space="preserve"> </w:t>
            </w:r>
            <w:r w:rsidRPr="002A046A">
              <w:t>e63-</w:t>
            </w:r>
            <w:r>
              <w:t>6</w:t>
            </w:r>
            <w:r w:rsidRPr="002A046A">
              <w:t>7</w:t>
            </w:r>
            <w:r>
              <w:t>.</w:t>
            </w:r>
          </w:p>
        </w:tc>
      </w:tr>
      <w:tr w:rsidR="007274F1" w:rsidRPr="006E0FA2" w14:paraId="37286BB7" w14:textId="77777777" w:rsidTr="7CD342EE">
        <w:tc>
          <w:tcPr>
            <w:tcW w:w="634" w:type="pct"/>
            <w:vMerge/>
            <w:vAlign w:val="center"/>
          </w:tcPr>
          <w:p w14:paraId="3533151B" w14:textId="77777777" w:rsidR="007274F1" w:rsidRDefault="007274F1" w:rsidP="002A3BF4">
            <w:pPr>
              <w:pStyle w:val="TableText"/>
              <w:keepNext w:val="0"/>
              <w:numPr>
                <w:ilvl w:val="0"/>
                <w:numId w:val="0"/>
              </w:numPr>
            </w:pPr>
          </w:p>
        </w:tc>
        <w:tc>
          <w:tcPr>
            <w:tcW w:w="3188" w:type="pct"/>
            <w:tcBorders>
              <w:left w:val="single" w:sz="4" w:space="0" w:color="auto"/>
              <w:bottom w:val="single" w:sz="4" w:space="0" w:color="auto"/>
              <w:right w:val="single" w:sz="4" w:space="0" w:color="auto"/>
            </w:tcBorders>
          </w:tcPr>
          <w:p w14:paraId="03BD71BF" w14:textId="77777777" w:rsidR="007274F1" w:rsidRPr="002A046A" w:rsidRDefault="007274F1" w:rsidP="002A3BF4">
            <w:pPr>
              <w:pStyle w:val="COMTabletext"/>
              <w:keepNext w:val="0"/>
            </w:pPr>
            <w:r w:rsidRPr="00AA7ABD">
              <w:t>Morgan G, Palumbo A, Dhanasiri S, Lee D</w:t>
            </w:r>
            <w:r>
              <w:t>, et al</w:t>
            </w:r>
            <w:r w:rsidRPr="002A046A">
              <w:t>.</w:t>
            </w:r>
            <w:r>
              <w:t xml:space="preserve"> </w:t>
            </w:r>
            <w:r w:rsidRPr="002A046A">
              <w:t>Overall survival of relapsed and refractory multiple myeloma patients after adjusting for crossover in the MM-003 trial for pomalidomide plus low-dose dexamethasone.</w:t>
            </w:r>
          </w:p>
        </w:tc>
        <w:tc>
          <w:tcPr>
            <w:tcW w:w="1178" w:type="pct"/>
            <w:tcBorders>
              <w:left w:val="single" w:sz="4" w:space="0" w:color="auto"/>
              <w:bottom w:val="single" w:sz="4" w:space="0" w:color="auto"/>
              <w:right w:val="single" w:sz="4" w:space="0" w:color="auto"/>
            </w:tcBorders>
          </w:tcPr>
          <w:p w14:paraId="15C16410" w14:textId="77777777" w:rsidR="007274F1" w:rsidRPr="006E0FA2" w:rsidRDefault="007274F1" w:rsidP="002A3BF4">
            <w:pPr>
              <w:pStyle w:val="COMTabletext"/>
              <w:keepNext w:val="0"/>
            </w:pPr>
            <w:r>
              <w:rPr>
                <w:i/>
                <w:iCs/>
              </w:rPr>
              <w:t xml:space="preserve">British Journal of </w:t>
            </w:r>
            <w:r w:rsidRPr="00594BEE">
              <w:rPr>
                <w:i/>
                <w:iCs/>
              </w:rPr>
              <w:t>Haematology</w:t>
            </w:r>
            <w:r>
              <w:t xml:space="preserve"> 2015; </w:t>
            </w:r>
            <w:r w:rsidRPr="002A046A">
              <w:t>168(6):</w:t>
            </w:r>
            <w:r>
              <w:t xml:space="preserve"> </w:t>
            </w:r>
            <w:r w:rsidRPr="002A046A">
              <w:t>820-3</w:t>
            </w:r>
            <w:r>
              <w:t>.</w:t>
            </w:r>
          </w:p>
        </w:tc>
      </w:tr>
      <w:tr w:rsidR="007274F1" w:rsidRPr="006E0FA2" w14:paraId="6DB14E45" w14:textId="77777777" w:rsidTr="002A3BF4">
        <w:tc>
          <w:tcPr>
            <w:tcW w:w="5000" w:type="pct"/>
            <w:gridSpan w:val="3"/>
            <w:tcBorders>
              <w:bottom w:val="single" w:sz="4" w:space="0" w:color="auto"/>
            </w:tcBorders>
            <w:vAlign w:val="center"/>
          </w:tcPr>
          <w:p w14:paraId="24B92446" w14:textId="77777777" w:rsidR="007274F1" w:rsidRPr="006B3B7E" w:rsidRDefault="007274F1" w:rsidP="00A854FF">
            <w:pPr>
              <w:pStyle w:val="COMTabletext"/>
              <w:jc w:val="both"/>
              <w:rPr>
                <w:b/>
                <w:bCs w:val="0"/>
              </w:rPr>
            </w:pPr>
            <w:r>
              <w:rPr>
                <w:b/>
                <w:bCs w:val="0"/>
              </w:rPr>
              <w:lastRenderedPageBreak/>
              <w:t>Selinexor studies</w:t>
            </w:r>
          </w:p>
        </w:tc>
      </w:tr>
      <w:tr w:rsidR="007274F1" w:rsidRPr="006E0FA2" w14:paraId="7C967B1E" w14:textId="77777777" w:rsidTr="002A3BF4">
        <w:tc>
          <w:tcPr>
            <w:tcW w:w="634" w:type="pct"/>
            <w:vMerge w:val="restart"/>
            <w:tcBorders>
              <w:top w:val="single" w:sz="4" w:space="0" w:color="auto"/>
              <w:left w:val="single" w:sz="4" w:space="0" w:color="auto"/>
              <w:right w:val="single" w:sz="4" w:space="0" w:color="auto"/>
            </w:tcBorders>
            <w:vAlign w:val="center"/>
          </w:tcPr>
          <w:p w14:paraId="461499CA" w14:textId="77777777" w:rsidR="007274F1" w:rsidRPr="006E0FA2" w:rsidRDefault="007274F1" w:rsidP="00A854FF">
            <w:pPr>
              <w:pStyle w:val="COMTabletext"/>
            </w:pPr>
            <w:r>
              <w:t>STORM (</w:t>
            </w:r>
            <w:r w:rsidRPr="00A91F5E">
              <w:t>NCT02336815</w:t>
            </w:r>
            <w:r>
              <w:t>)</w:t>
            </w:r>
          </w:p>
        </w:tc>
        <w:tc>
          <w:tcPr>
            <w:tcW w:w="3188" w:type="pct"/>
            <w:tcBorders>
              <w:top w:val="single" w:sz="4" w:space="0" w:color="auto"/>
              <w:left w:val="single" w:sz="4" w:space="0" w:color="auto"/>
              <w:bottom w:val="nil"/>
              <w:right w:val="single" w:sz="4" w:space="0" w:color="auto"/>
            </w:tcBorders>
          </w:tcPr>
          <w:p w14:paraId="1F5CA371" w14:textId="77777777" w:rsidR="007274F1" w:rsidRPr="006E0FA2" w:rsidRDefault="007274F1" w:rsidP="00A854FF">
            <w:pPr>
              <w:pStyle w:val="COMTabletext"/>
            </w:pPr>
            <w:r w:rsidRPr="001D65D7">
              <w:t xml:space="preserve">Chari A, Vogl DT, </w:t>
            </w:r>
            <w:proofErr w:type="spellStart"/>
            <w:r w:rsidRPr="001D65D7">
              <w:t>Gavriatopoulou</w:t>
            </w:r>
            <w:proofErr w:type="spellEnd"/>
            <w:r w:rsidRPr="001D65D7">
              <w:t xml:space="preserve"> M, </w:t>
            </w:r>
            <w:proofErr w:type="spellStart"/>
            <w:r w:rsidRPr="001D65D7">
              <w:t>Nooka</w:t>
            </w:r>
            <w:proofErr w:type="spellEnd"/>
            <w:r w:rsidRPr="001D65D7">
              <w:t xml:space="preserve"> AK</w:t>
            </w:r>
            <w:r>
              <w:t>, et al</w:t>
            </w:r>
            <w:r w:rsidRPr="00230084">
              <w:t xml:space="preserve">. Oral </w:t>
            </w:r>
            <w:r>
              <w:t>s</w:t>
            </w:r>
            <w:r w:rsidRPr="00230084">
              <w:t>elinexor-</w:t>
            </w:r>
            <w:r>
              <w:t>d</w:t>
            </w:r>
            <w:r w:rsidRPr="00230084">
              <w:t xml:space="preserve">examethasone for </w:t>
            </w:r>
            <w:r>
              <w:t>t</w:t>
            </w:r>
            <w:r w:rsidRPr="00230084">
              <w:t>riple-</w:t>
            </w:r>
            <w:r>
              <w:t>c</w:t>
            </w:r>
            <w:r w:rsidRPr="00230084">
              <w:t xml:space="preserve">lass </w:t>
            </w:r>
            <w:r>
              <w:t>r</w:t>
            </w:r>
            <w:r w:rsidRPr="00230084">
              <w:t xml:space="preserve">efractory </w:t>
            </w:r>
            <w:r>
              <w:t>m</w:t>
            </w:r>
            <w:r w:rsidRPr="00230084">
              <w:t xml:space="preserve">ultiple </w:t>
            </w:r>
            <w:r>
              <w:t>m</w:t>
            </w:r>
            <w:r w:rsidRPr="00230084">
              <w:t xml:space="preserve">yeloma. </w:t>
            </w:r>
          </w:p>
        </w:tc>
        <w:tc>
          <w:tcPr>
            <w:tcW w:w="1178" w:type="pct"/>
            <w:tcBorders>
              <w:top w:val="single" w:sz="4" w:space="0" w:color="auto"/>
              <w:left w:val="single" w:sz="4" w:space="0" w:color="auto"/>
              <w:bottom w:val="nil"/>
              <w:right w:val="single" w:sz="4" w:space="0" w:color="auto"/>
            </w:tcBorders>
          </w:tcPr>
          <w:p w14:paraId="3FF6DD59" w14:textId="77777777" w:rsidR="007274F1" w:rsidRPr="006E0FA2" w:rsidRDefault="007274F1" w:rsidP="00A854FF">
            <w:pPr>
              <w:pStyle w:val="COMTabletext"/>
            </w:pPr>
            <w:r w:rsidRPr="00594BEE">
              <w:rPr>
                <w:i/>
                <w:iCs/>
              </w:rPr>
              <w:t>New England Journal of Medicine</w:t>
            </w:r>
            <w:r>
              <w:rPr>
                <w:i/>
                <w:iCs/>
              </w:rPr>
              <w:t xml:space="preserve"> </w:t>
            </w:r>
            <w:r>
              <w:t xml:space="preserve">2019; </w:t>
            </w:r>
            <w:r w:rsidRPr="00230084">
              <w:t>381(8):</w:t>
            </w:r>
            <w:r>
              <w:t xml:space="preserve"> </w:t>
            </w:r>
            <w:r w:rsidRPr="00230084">
              <w:t>72</w:t>
            </w:r>
            <w:r>
              <w:t>7</w:t>
            </w:r>
            <w:r w:rsidRPr="00230084">
              <w:t>-738</w:t>
            </w:r>
            <w:r>
              <w:t>.</w:t>
            </w:r>
          </w:p>
        </w:tc>
      </w:tr>
      <w:tr w:rsidR="007274F1" w:rsidRPr="006E0FA2" w14:paraId="69C3CF36" w14:textId="77777777" w:rsidTr="7CD342EE">
        <w:tc>
          <w:tcPr>
            <w:tcW w:w="634" w:type="pct"/>
            <w:vMerge/>
            <w:vAlign w:val="center"/>
          </w:tcPr>
          <w:p w14:paraId="33FE1B4B" w14:textId="77777777" w:rsidR="007274F1" w:rsidRDefault="007274F1" w:rsidP="002A3BF4">
            <w:pPr>
              <w:pStyle w:val="COMTabletext"/>
              <w:keepNext w:val="0"/>
            </w:pPr>
          </w:p>
        </w:tc>
        <w:tc>
          <w:tcPr>
            <w:tcW w:w="3188" w:type="pct"/>
            <w:tcBorders>
              <w:top w:val="nil"/>
              <w:left w:val="single" w:sz="4" w:space="0" w:color="auto"/>
              <w:bottom w:val="nil"/>
              <w:right w:val="single" w:sz="4" w:space="0" w:color="auto"/>
            </w:tcBorders>
          </w:tcPr>
          <w:p w14:paraId="3669ED94" w14:textId="77777777" w:rsidR="007274F1" w:rsidRPr="006E0FA2" w:rsidRDefault="007274F1" w:rsidP="002A3BF4">
            <w:pPr>
              <w:pStyle w:val="COMTabletext"/>
              <w:keepNext w:val="0"/>
            </w:pPr>
            <w:r w:rsidRPr="001D65D7">
              <w:t>Tremblay G, Daniele P, Breeze J, Li L</w:t>
            </w:r>
            <w:r>
              <w:t>, et al</w:t>
            </w:r>
            <w:r w:rsidRPr="00230084">
              <w:t xml:space="preserve">. Quality of life analyses in patients with multiple myeloma: results from the Selinexor (KPT-330) Treatment of Refractory Myeloma (STORM) phase 2b study. </w:t>
            </w:r>
          </w:p>
        </w:tc>
        <w:tc>
          <w:tcPr>
            <w:tcW w:w="1178" w:type="pct"/>
            <w:tcBorders>
              <w:top w:val="nil"/>
              <w:left w:val="single" w:sz="4" w:space="0" w:color="auto"/>
              <w:bottom w:val="nil"/>
              <w:right w:val="single" w:sz="4" w:space="0" w:color="auto"/>
            </w:tcBorders>
          </w:tcPr>
          <w:p w14:paraId="18CC1EBC" w14:textId="77777777" w:rsidR="007274F1" w:rsidRPr="006E0FA2" w:rsidRDefault="007274F1" w:rsidP="002A3BF4">
            <w:pPr>
              <w:pStyle w:val="COMTabletext"/>
              <w:keepNext w:val="0"/>
            </w:pPr>
            <w:r w:rsidRPr="00594BEE">
              <w:rPr>
                <w:i/>
                <w:iCs/>
              </w:rPr>
              <w:t>BMC Cancer</w:t>
            </w:r>
            <w:r>
              <w:t xml:space="preserve"> 2021; </w:t>
            </w:r>
            <w:r w:rsidRPr="00230084">
              <w:t>21(1):</w:t>
            </w:r>
            <w:r>
              <w:t xml:space="preserve"> </w:t>
            </w:r>
            <w:r w:rsidRPr="00230084">
              <w:t>993</w:t>
            </w:r>
            <w:r>
              <w:t>.</w:t>
            </w:r>
          </w:p>
        </w:tc>
      </w:tr>
      <w:tr w:rsidR="007274F1" w:rsidRPr="006E0FA2" w14:paraId="2CA56FD7" w14:textId="77777777" w:rsidTr="7CD342EE">
        <w:tc>
          <w:tcPr>
            <w:tcW w:w="634" w:type="pct"/>
            <w:vMerge/>
            <w:vAlign w:val="center"/>
          </w:tcPr>
          <w:p w14:paraId="17F13E4F" w14:textId="77777777" w:rsidR="007274F1" w:rsidRDefault="007274F1" w:rsidP="002A3BF4">
            <w:pPr>
              <w:pStyle w:val="COMTabletext"/>
              <w:keepNext w:val="0"/>
            </w:pPr>
          </w:p>
        </w:tc>
        <w:tc>
          <w:tcPr>
            <w:tcW w:w="3188" w:type="pct"/>
            <w:tcBorders>
              <w:top w:val="nil"/>
              <w:left w:val="single" w:sz="4" w:space="0" w:color="auto"/>
              <w:bottom w:val="nil"/>
              <w:right w:val="single" w:sz="4" w:space="0" w:color="auto"/>
            </w:tcBorders>
          </w:tcPr>
          <w:p w14:paraId="1CF02190" w14:textId="77777777" w:rsidR="007274F1" w:rsidRPr="006E0FA2" w:rsidRDefault="007274F1" w:rsidP="002A3BF4">
            <w:pPr>
              <w:pStyle w:val="COMTabletext"/>
              <w:keepNext w:val="0"/>
            </w:pPr>
            <w:r w:rsidRPr="001D65D7">
              <w:t>Vogl DT, Dingli D, Cornell RF, Huff CA</w:t>
            </w:r>
            <w:r>
              <w:t>, et al</w:t>
            </w:r>
            <w:r w:rsidRPr="00230084">
              <w:t>.</w:t>
            </w:r>
            <w:r>
              <w:t xml:space="preserve"> </w:t>
            </w:r>
            <w:r w:rsidRPr="00230084">
              <w:t xml:space="preserve">Selective </w:t>
            </w:r>
            <w:r>
              <w:t>i</w:t>
            </w:r>
            <w:r w:rsidRPr="00230084">
              <w:t xml:space="preserve">nhibition of </w:t>
            </w:r>
            <w:r>
              <w:t>n</w:t>
            </w:r>
            <w:r w:rsidRPr="00230084">
              <w:t xml:space="preserve">uclear </w:t>
            </w:r>
            <w:r>
              <w:t>e</w:t>
            </w:r>
            <w:r w:rsidRPr="00230084">
              <w:t xml:space="preserve">xport </w:t>
            </w:r>
            <w:r>
              <w:t>w</w:t>
            </w:r>
            <w:r w:rsidRPr="00230084">
              <w:t xml:space="preserve">ith </w:t>
            </w:r>
            <w:r>
              <w:t>o</w:t>
            </w:r>
            <w:r w:rsidRPr="00230084">
              <w:t xml:space="preserve">ral </w:t>
            </w:r>
            <w:r>
              <w:t>s</w:t>
            </w:r>
            <w:r w:rsidRPr="00230084">
              <w:t xml:space="preserve">elinexor for </w:t>
            </w:r>
            <w:r>
              <w:t>t</w:t>
            </w:r>
            <w:r w:rsidRPr="00230084">
              <w:t xml:space="preserve">reatment of </w:t>
            </w:r>
            <w:r>
              <w:t>r</w:t>
            </w:r>
            <w:r w:rsidRPr="00230084">
              <w:t xml:space="preserve">elapsed or </w:t>
            </w:r>
            <w:r>
              <w:t>r</w:t>
            </w:r>
            <w:r w:rsidRPr="00230084">
              <w:t xml:space="preserve">efractory </w:t>
            </w:r>
            <w:r>
              <w:t>m</w:t>
            </w:r>
            <w:r w:rsidRPr="00230084">
              <w:t xml:space="preserve">ultiple </w:t>
            </w:r>
            <w:r>
              <w:t>m</w:t>
            </w:r>
            <w:r w:rsidRPr="00230084">
              <w:t xml:space="preserve">yeloma. </w:t>
            </w:r>
          </w:p>
        </w:tc>
        <w:tc>
          <w:tcPr>
            <w:tcW w:w="1178" w:type="pct"/>
            <w:tcBorders>
              <w:top w:val="nil"/>
              <w:left w:val="single" w:sz="4" w:space="0" w:color="auto"/>
              <w:bottom w:val="nil"/>
              <w:right w:val="single" w:sz="4" w:space="0" w:color="auto"/>
            </w:tcBorders>
          </w:tcPr>
          <w:p w14:paraId="43444204" w14:textId="77777777" w:rsidR="007274F1" w:rsidRPr="006E0FA2" w:rsidRDefault="007274F1" w:rsidP="002A3BF4">
            <w:pPr>
              <w:pStyle w:val="COMTabletext"/>
              <w:keepNext w:val="0"/>
            </w:pPr>
            <w:r w:rsidRPr="00134E89">
              <w:rPr>
                <w:i/>
                <w:iCs/>
              </w:rPr>
              <w:t>Journal of Clinical Oncology</w:t>
            </w:r>
            <w:r>
              <w:t xml:space="preserve"> 2018; </w:t>
            </w:r>
            <w:r w:rsidRPr="00230084">
              <w:t>36(9):</w:t>
            </w:r>
            <w:r>
              <w:t xml:space="preserve"> </w:t>
            </w:r>
            <w:r w:rsidRPr="00230084">
              <w:t>859-866</w:t>
            </w:r>
            <w:r>
              <w:t>.</w:t>
            </w:r>
          </w:p>
        </w:tc>
      </w:tr>
      <w:tr w:rsidR="007274F1" w:rsidRPr="006E0FA2" w14:paraId="5A985079" w14:textId="77777777" w:rsidTr="7CD342EE">
        <w:trPr>
          <w:trHeight w:val="177"/>
        </w:trPr>
        <w:tc>
          <w:tcPr>
            <w:tcW w:w="634" w:type="pct"/>
            <w:vMerge/>
            <w:vAlign w:val="center"/>
          </w:tcPr>
          <w:p w14:paraId="61C06385" w14:textId="77777777" w:rsidR="007274F1" w:rsidRDefault="007274F1" w:rsidP="002A3BF4">
            <w:pPr>
              <w:pStyle w:val="COMTabletext"/>
              <w:keepNext w:val="0"/>
            </w:pPr>
          </w:p>
        </w:tc>
        <w:tc>
          <w:tcPr>
            <w:tcW w:w="3188" w:type="pct"/>
            <w:tcBorders>
              <w:top w:val="nil"/>
              <w:left w:val="single" w:sz="4" w:space="0" w:color="auto"/>
              <w:bottom w:val="single" w:sz="4" w:space="0" w:color="auto"/>
              <w:right w:val="single" w:sz="4" w:space="0" w:color="auto"/>
            </w:tcBorders>
          </w:tcPr>
          <w:p w14:paraId="2CB6CC0B" w14:textId="77777777" w:rsidR="007274F1" w:rsidRPr="006E0FA2" w:rsidRDefault="007274F1" w:rsidP="002A3BF4">
            <w:pPr>
              <w:pStyle w:val="COMTabletext"/>
              <w:keepNext w:val="0"/>
            </w:pPr>
            <w:r w:rsidRPr="005D7AC2">
              <w:t>Richardson PG, Jagannath S, Chari A, Vogl DT</w:t>
            </w:r>
            <w:r>
              <w:t>, et al</w:t>
            </w:r>
            <w:r w:rsidRPr="00230084">
              <w:t xml:space="preserve">. Overall survival with oral selinexor plus low-dose dexamethasone versus real-world therapy in triple-class-refractory multiple myeloma. </w:t>
            </w:r>
          </w:p>
        </w:tc>
        <w:tc>
          <w:tcPr>
            <w:tcW w:w="1178" w:type="pct"/>
            <w:tcBorders>
              <w:top w:val="nil"/>
              <w:left w:val="single" w:sz="4" w:space="0" w:color="auto"/>
              <w:bottom w:val="single" w:sz="4" w:space="0" w:color="auto"/>
              <w:right w:val="single" w:sz="4" w:space="0" w:color="auto"/>
            </w:tcBorders>
          </w:tcPr>
          <w:p w14:paraId="7BBE9CF5" w14:textId="77777777" w:rsidR="007274F1" w:rsidRPr="006E0FA2" w:rsidRDefault="007274F1" w:rsidP="002A3BF4">
            <w:pPr>
              <w:pStyle w:val="COMTabletext"/>
              <w:keepNext w:val="0"/>
            </w:pPr>
            <w:proofErr w:type="spellStart"/>
            <w:r w:rsidRPr="00134E89">
              <w:rPr>
                <w:i/>
                <w:iCs/>
              </w:rPr>
              <w:t>eJHaem</w:t>
            </w:r>
            <w:proofErr w:type="spellEnd"/>
            <w:r>
              <w:t xml:space="preserve"> 2021; </w:t>
            </w:r>
            <w:r w:rsidRPr="00230084">
              <w:t>2(1)</w:t>
            </w:r>
            <w:r>
              <w:t xml:space="preserve">: </w:t>
            </w:r>
            <w:r w:rsidRPr="00230084">
              <w:t>48-55</w:t>
            </w:r>
            <w:r>
              <w:t>.</w:t>
            </w:r>
          </w:p>
        </w:tc>
      </w:tr>
    </w:tbl>
    <w:p w14:paraId="20541A56" w14:textId="77777777" w:rsidR="007274F1" w:rsidRDefault="007274F1" w:rsidP="007274F1">
      <w:pPr>
        <w:pStyle w:val="COMTablefooter"/>
      </w:pPr>
      <w:r w:rsidRPr="006E0FA2">
        <w:t xml:space="preserve">Source: </w:t>
      </w:r>
      <w:r>
        <w:t>Table 2.4, pp54-57 of the resubmission.</w:t>
      </w:r>
    </w:p>
    <w:p w14:paraId="558309B1" w14:textId="77777777" w:rsidR="007274F1" w:rsidRPr="006E0FA2" w:rsidRDefault="007274F1" w:rsidP="007274F1">
      <w:pPr>
        <w:pStyle w:val="COMTablefooter"/>
        <w:rPr>
          <w:sz w:val="20"/>
        </w:rPr>
      </w:pPr>
      <w:r>
        <w:t>Selected citations relating to conference abstracts omitted.</w:t>
      </w:r>
    </w:p>
    <w:p w14:paraId="1DD06D7D" w14:textId="13361AFE" w:rsidR="007F1017" w:rsidRPr="006E0FA2" w:rsidRDefault="008F120A" w:rsidP="00EC5836">
      <w:pPr>
        <w:pStyle w:val="COMexecsummnumbered"/>
      </w:pPr>
      <w:r w:rsidRPr="006E0FA2">
        <w:t xml:space="preserve">The key features of the </w:t>
      </w:r>
      <w:r w:rsidR="007170DA" w:rsidRPr="006E0FA2">
        <w:t>studies</w:t>
      </w:r>
      <w:r w:rsidRPr="006E0FA2">
        <w:t xml:space="preserve"> are summarised in</w:t>
      </w:r>
      <w:r w:rsidR="00D6076E" w:rsidRPr="006E0FA2">
        <w:t xml:space="preserve"> </w:t>
      </w:r>
      <w:r w:rsidR="00D6076E" w:rsidRPr="006E0FA2">
        <w:fldChar w:fldCharType="begin" w:fldLock="1"/>
      </w:r>
      <w:r w:rsidR="00D6076E" w:rsidRPr="006E0FA2">
        <w:instrText xml:space="preserve"> REF _Ref104804098 \h  \* MERGEFORMAT </w:instrText>
      </w:r>
      <w:r w:rsidR="00D6076E" w:rsidRPr="006E0FA2">
        <w:fldChar w:fldCharType="separate"/>
      </w:r>
      <w:r w:rsidR="00347D89" w:rsidRPr="006E0FA2">
        <w:t xml:space="preserve">Table </w:t>
      </w:r>
      <w:r w:rsidR="00347D89">
        <w:t>4</w:t>
      </w:r>
      <w:r w:rsidR="00D6076E" w:rsidRPr="006E0FA2">
        <w:fldChar w:fldCharType="end"/>
      </w:r>
      <w:r w:rsidRPr="006E0FA2">
        <w:t>.</w:t>
      </w:r>
    </w:p>
    <w:p w14:paraId="355E2F15" w14:textId="27ECA079" w:rsidR="007F1017" w:rsidRPr="006E0FA2" w:rsidRDefault="00696EF9" w:rsidP="00C55561">
      <w:pPr>
        <w:pStyle w:val="COMtablefigcaption"/>
        <w:keepLines/>
      </w:pPr>
      <w:bookmarkStart w:id="23" w:name="_Ref104804098"/>
      <w:r w:rsidRPr="006E0FA2">
        <w:t xml:space="preserve">Table </w:t>
      </w:r>
      <w:r w:rsidR="006B329A">
        <w:fldChar w:fldCharType="begin" w:fldLock="1"/>
      </w:r>
      <w:r w:rsidR="006B329A">
        <w:instrText xml:space="preserve"> SEQ Table \* ARABIC </w:instrText>
      </w:r>
      <w:r w:rsidR="006B329A">
        <w:fldChar w:fldCharType="separate"/>
      </w:r>
      <w:r w:rsidR="00347D89">
        <w:rPr>
          <w:noProof/>
        </w:rPr>
        <w:t>4</w:t>
      </w:r>
      <w:r w:rsidR="006B329A">
        <w:rPr>
          <w:noProof/>
        </w:rPr>
        <w:fldChar w:fldCharType="end"/>
      </w:r>
      <w:bookmarkEnd w:id="23"/>
      <w:r w:rsidR="00D6076E" w:rsidRPr="006E0FA2">
        <w:t xml:space="preserve">: </w:t>
      </w:r>
      <w:r w:rsidR="007F1017" w:rsidRPr="006E0FA2">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Key features of the included evidence"/>
      </w:tblPr>
      <w:tblGrid>
        <w:gridCol w:w="1167"/>
        <w:gridCol w:w="483"/>
        <w:gridCol w:w="1071"/>
        <w:gridCol w:w="622"/>
        <w:gridCol w:w="2545"/>
        <w:gridCol w:w="1793"/>
        <w:gridCol w:w="1336"/>
      </w:tblGrid>
      <w:tr w:rsidR="00CF6DAB" w:rsidRPr="006E0FA2" w14:paraId="53DD7CC6" w14:textId="77777777" w:rsidTr="00682312">
        <w:trPr>
          <w:cantSplit/>
          <w:tblHeader/>
        </w:trPr>
        <w:tc>
          <w:tcPr>
            <w:tcW w:w="647" w:type="pct"/>
            <w:shd w:val="clear" w:color="auto" w:fill="auto"/>
            <w:vAlign w:val="center"/>
          </w:tcPr>
          <w:p w14:paraId="794116BC" w14:textId="77777777" w:rsidR="007F1017" w:rsidRPr="006E0FA2" w:rsidRDefault="007F1017" w:rsidP="00C55561">
            <w:pPr>
              <w:pStyle w:val="COMTableheadingrow"/>
              <w:keepLines/>
              <w:jc w:val="center"/>
            </w:pPr>
            <w:r w:rsidRPr="006E0FA2">
              <w:t>Trial</w:t>
            </w:r>
          </w:p>
        </w:tc>
        <w:tc>
          <w:tcPr>
            <w:tcW w:w="268" w:type="pct"/>
            <w:shd w:val="clear" w:color="auto" w:fill="auto"/>
            <w:vAlign w:val="center"/>
          </w:tcPr>
          <w:p w14:paraId="51122FE5" w14:textId="77777777" w:rsidR="007F1017" w:rsidRPr="006E0FA2" w:rsidRDefault="007F1017" w:rsidP="00C55561">
            <w:pPr>
              <w:pStyle w:val="COMTableheadingrow"/>
              <w:keepLines/>
              <w:jc w:val="center"/>
            </w:pPr>
            <w:r w:rsidRPr="006E0FA2">
              <w:t>N</w:t>
            </w:r>
          </w:p>
        </w:tc>
        <w:tc>
          <w:tcPr>
            <w:tcW w:w="594" w:type="pct"/>
            <w:shd w:val="clear" w:color="auto" w:fill="auto"/>
            <w:vAlign w:val="center"/>
          </w:tcPr>
          <w:p w14:paraId="41C438EF" w14:textId="77777777" w:rsidR="007F1017" w:rsidRPr="006E0FA2" w:rsidRDefault="007F1017" w:rsidP="00C55561">
            <w:pPr>
              <w:pStyle w:val="COMTableheadingrow"/>
              <w:keepLines/>
              <w:jc w:val="center"/>
            </w:pPr>
            <w:r w:rsidRPr="006E0FA2">
              <w:t>Design/ duration</w:t>
            </w:r>
          </w:p>
        </w:tc>
        <w:tc>
          <w:tcPr>
            <w:tcW w:w="345" w:type="pct"/>
            <w:shd w:val="clear" w:color="auto" w:fill="auto"/>
            <w:vAlign w:val="center"/>
          </w:tcPr>
          <w:p w14:paraId="1FC91360" w14:textId="77777777" w:rsidR="007F1017" w:rsidRPr="006E0FA2" w:rsidRDefault="007F1017" w:rsidP="00C55561">
            <w:pPr>
              <w:pStyle w:val="COMTableheadingrow"/>
              <w:keepLines/>
              <w:jc w:val="center"/>
            </w:pPr>
            <w:r w:rsidRPr="006E0FA2">
              <w:t>Risk of bias</w:t>
            </w:r>
          </w:p>
        </w:tc>
        <w:tc>
          <w:tcPr>
            <w:tcW w:w="1411" w:type="pct"/>
            <w:shd w:val="clear" w:color="auto" w:fill="auto"/>
            <w:vAlign w:val="center"/>
          </w:tcPr>
          <w:p w14:paraId="7FF90896" w14:textId="77777777" w:rsidR="007F1017" w:rsidRPr="006E0FA2" w:rsidRDefault="007F1017" w:rsidP="00C55561">
            <w:pPr>
              <w:pStyle w:val="COMTableheadingrow"/>
              <w:keepLines/>
              <w:jc w:val="center"/>
            </w:pPr>
            <w:r w:rsidRPr="006E0FA2">
              <w:t>Patient population</w:t>
            </w:r>
          </w:p>
        </w:tc>
        <w:tc>
          <w:tcPr>
            <w:tcW w:w="994" w:type="pct"/>
            <w:shd w:val="clear" w:color="auto" w:fill="auto"/>
            <w:vAlign w:val="center"/>
          </w:tcPr>
          <w:p w14:paraId="0FCB63F9" w14:textId="77777777" w:rsidR="007F1017" w:rsidRPr="006E0FA2" w:rsidRDefault="007F1017" w:rsidP="00C55561">
            <w:pPr>
              <w:pStyle w:val="COMTableheadingrow"/>
              <w:keepLines/>
              <w:jc w:val="center"/>
            </w:pPr>
            <w:r w:rsidRPr="006E0FA2">
              <w:t>Outcome(s)</w:t>
            </w:r>
          </w:p>
        </w:tc>
        <w:tc>
          <w:tcPr>
            <w:tcW w:w="741" w:type="pct"/>
            <w:shd w:val="clear" w:color="auto" w:fill="auto"/>
            <w:vAlign w:val="center"/>
          </w:tcPr>
          <w:p w14:paraId="08C6F624" w14:textId="77777777" w:rsidR="007F1017" w:rsidRPr="006E0FA2" w:rsidRDefault="007F1017" w:rsidP="00C55561">
            <w:pPr>
              <w:pStyle w:val="COMTableheadingrow"/>
              <w:keepLines/>
              <w:jc w:val="center"/>
            </w:pPr>
            <w:r w:rsidRPr="006E0FA2">
              <w:t>Use in modelled evaluation</w:t>
            </w:r>
          </w:p>
        </w:tc>
      </w:tr>
      <w:tr w:rsidR="00114FA7" w:rsidRPr="006E0FA2" w14:paraId="2A03CD4B" w14:textId="77777777" w:rsidTr="00682BA6">
        <w:trPr>
          <w:cantSplit/>
        </w:trPr>
        <w:tc>
          <w:tcPr>
            <w:tcW w:w="5000" w:type="pct"/>
            <w:gridSpan w:val="7"/>
            <w:shd w:val="clear" w:color="auto" w:fill="auto"/>
            <w:vAlign w:val="center"/>
          </w:tcPr>
          <w:p w14:paraId="73088C85" w14:textId="69E05A1F" w:rsidR="007F1017" w:rsidRPr="006E0FA2" w:rsidRDefault="00623481" w:rsidP="00C55561">
            <w:pPr>
              <w:pStyle w:val="COMTableheadingrow"/>
              <w:keepLines/>
            </w:pPr>
            <w:r>
              <w:t>Elranatamab studies</w:t>
            </w:r>
          </w:p>
        </w:tc>
      </w:tr>
      <w:tr w:rsidR="00CF6DAB" w:rsidRPr="006E0FA2" w14:paraId="4EE88DCB" w14:textId="77777777" w:rsidTr="00682312">
        <w:trPr>
          <w:cantSplit/>
        </w:trPr>
        <w:tc>
          <w:tcPr>
            <w:tcW w:w="647" w:type="pct"/>
            <w:shd w:val="clear" w:color="auto" w:fill="auto"/>
            <w:vAlign w:val="center"/>
          </w:tcPr>
          <w:p w14:paraId="6EE77D33" w14:textId="70D2C6F6" w:rsidR="007F1017" w:rsidRPr="006E0FA2" w:rsidRDefault="00623481" w:rsidP="00C55561">
            <w:pPr>
              <w:pStyle w:val="COMTabletext"/>
              <w:keepLines/>
            </w:pPr>
            <w:r>
              <w:t>MagnetisMM-3</w:t>
            </w:r>
          </w:p>
        </w:tc>
        <w:tc>
          <w:tcPr>
            <w:tcW w:w="268" w:type="pct"/>
            <w:shd w:val="clear" w:color="auto" w:fill="auto"/>
            <w:vAlign w:val="center"/>
          </w:tcPr>
          <w:p w14:paraId="41BB0E41" w14:textId="79DBDBC6" w:rsidR="007F1017" w:rsidRPr="006E0FA2" w:rsidRDefault="00623481" w:rsidP="00C55561">
            <w:pPr>
              <w:pStyle w:val="COMTabletext"/>
              <w:keepLines/>
              <w:jc w:val="center"/>
            </w:pPr>
            <w:r>
              <w:t>187</w:t>
            </w:r>
          </w:p>
        </w:tc>
        <w:tc>
          <w:tcPr>
            <w:tcW w:w="594" w:type="pct"/>
            <w:shd w:val="clear" w:color="auto" w:fill="auto"/>
            <w:vAlign w:val="center"/>
          </w:tcPr>
          <w:p w14:paraId="744D08AC" w14:textId="653D56BD" w:rsidR="007F1017" w:rsidRPr="006E0FA2" w:rsidRDefault="00623481" w:rsidP="00C55561">
            <w:pPr>
              <w:pStyle w:val="COMTabletext"/>
              <w:keepLines/>
              <w:jc w:val="center"/>
            </w:pPr>
            <w:r>
              <w:t>Phase 2, open-label, single-ar</w:t>
            </w:r>
            <w:r w:rsidR="006675EA">
              <w:t>m study; median follow-up of 28.4 months (Cohort A).</w:t>
            </w:r>
          </w:p>
        </w:tc>
        <w:tc>
          <w:tcPr>
            <w:tcW w:w="345" w:type="pct"/>
            <w:shd w:val="clear" w:color="auto" w:fill="auto"/>
            <w:vAlign w:val="center"/>
          </w:tcPr>
          <w:p w14:paraId="4A529D74" w14:textId="1ECA995A" w:rsidR="007F1017" w:rsidRPr="0035502F" w:rsidRDefault="00DF2D70" w:rsidP="00C55561">
            <w:pPr>
              <w:pStyle w:val="COMTabletext"/>
              <w:keepLines/>
              <w:jc w:val="center"/>
            </w:pPr>
            <w:r w:rsidRPr="0035502F">
              <w:t>High</w:t>
            </w:r>
          </w:p>
        </w:tc>
        <w:tc>
          <w:tcPr>
            <w:tcW w:w="1411" w:type="pct"/>
            <w:shd w:val="clear" w:color="auto" w:fill="auto"/>
            <w:vAlign w:val="center"/>
          </w:tcPr>
          <w:p w14:paraId="28D970EC" w14:textId="38CDCE2C" w:rsidR="007F1017" w:rsidRDefault="00DF2D70" w:rsidP="00C55561">
            <w:pPr>
              <w:pStyle w:val="COMTabletext"/>
              <w:keepLines/>
              <w:numPr>
                <w:ilvl w:val="0"/>
                <w:numId w:val="14"/>
              </w:numPr>
              <w:ind w:left="147" w:hanging="113"/>
            </w:pPr>
            <w:r>
              <w:t xml:space="preserve">Age ≥18 years with </w:t>
            </w:r>
            <w:r w:rsidR="004D1AEB">
              <w:t>multiple myeloma</w:t>
            </w:r>
          </w:p>
          <w:p w14:paraId="04373359" w14:textId="1E60BA0E" w:rsidR="004D1AEB" w:rsidRDefault="004D1AEB" w:rsidP="00C55561">
            <w:pPr>
              <w:pStyle w:val="COMTabletext"/>
              <w:keepLines/>
              <w:numPr>
                <w:ilvl w:val="0"/>
                <w:numId w:val="14"/>
              </w:numPr>
              <w:ind w:left="147" w:hanging="113"/>
            </w:pPr>
            <w:r>
              <w:t>Measurable disease</w:t>
            </w:r>
          </w:p>
          <w:p w14:paraId="2BA12564" w14:textId="5A442DA0" w:rsidR="004D1AEB" w:rsidRDefault="004D1AEB" w:rsidP="00C55561">
            <w:pPr>
              <w:pStyle w:val="COMTabletext"/>
              <w:keepLines/>
              <w:numPr>
                <w:ilvl w:val="0"/>
                <w:numId w:val="14"/>
              </w:numPr>
              <w:ind w:left="147" w:hanging="113"/>
            </w:pPr>
            <w:r>
              <w:t xml:space="preserve">Refractory to </w:t>
            </w:r>
            <w:r w:rsidR="00B9084B">
              <w:t>last an</w:t>
            </w:r>
            <w:r w:rsidR="00673EC1">
              <w:t>t</w:t>
            </w:r>
            <w:r w:rsidR="00B9084B">
              <w:t>i-myeloma treatment</w:t>
            </w:r>
          </w:p>
          <w:p w14:paraId="2E26D0FE" w14:textId="27238FE1" w:rsidR="004D1AEB" w:rsidRDefault="004D1AEB" w:rsidP="00C55561">
            <w:pPr>
              <w:pStyle w:val="COMTabletext"/>
              <w:keepLines/>
              <w:numPr>
                <w:ilvl w:val="0"/>
                <w:numId w:val="14"/>
              </w:numPr>
              <w:ind w:left="147" w:hanging="113"/>
            </w:pPr>
            <w:r>
              <w:t xml:space="preserve">Refractory to ≥1 PI, </w:t>
            </w:r>
            <w:proofErr w:type="spellStart"/>
            <w:r>
              <w:t>IMiD</w:t>
            </w:r>
            <w:proofErr w:type="spellEnd"/>
            <w:r>
              <w:t xml:space="preserve"> and CD38 antibody</w:t>
            </w:r>
          </w:p>
          <w:p w14:paraId="384B12D1" w14:textId="3605C612" w:rsidR="00B9084B" w:rsidRDefault="00B9084B" w:rsidP="00C55561">
            <w:pPr>
              <w:pStyle w:val="COMTabletext"/>
              <w:keepLines/>
              <w:numPr>
                <w:ilvl w:val="0"/>
                <w:numId w:val="14"/>
              </w:numPr>
              <w:ind w:left="147" w:hanging="113"/>
            </w:pPr>
            <w:r>
              <w:t>ECOG ≤2</w:t>
            </w:r>
          </w:p>
          <w:p w14:paraId="747CFE3D" w14:textId="45474108" w:rsidR="004D1AEB" w:rsidRDefault="004D1AEB" w:rsidP="00C55561">
            <w:pPr>
              <w:pStyle w:val="COMTabletext"/>
              <w:keepLines/>
              <w:numPr>
                <w:ilvl w:val="0"/>
                <w:numId w:val="14"/>
              </w:numPr>
              <w:ind w:left="147" w:hanging="113"/>
            </w:pPr>
            <w:r>
              <w:t>Cohort A: N</w:t>
            </w:r>
            <w:r w:rsidRPr="004D1AEB">
              <w:t>o prior BCMA-directed therapy</w:t>
            </w:r>
          </w:p>
          <w:p w14:paraId="5E6F456D" w14:textId="6C949CEF" w:rsidR="004D1AEB" w:rsidRPr="006E0FA2" w:rsidRDefault="004D1AEB" w:rsidP="00C55561">
            <w:pPr>
              <w:pStyle w:val="COMTabletext"/>
              <w:keepLines/>
              <w:numPr>
                <w:ilvl w:val="0"/>
                <w:numId w:val="14"/>
              </w:numPr>
              <w:ind w:left="147" w:hanging="113"/>
            </w:pPr>
            <w:r>
              <w:t>Cohort B: P</w:t>
            </w:r>
            <w:r w:rsidRPr="004D1AEB">
              <w:t>rior BCMA-directed therapy</w:t>
            </w:r>
            <w:r>
              <w:t xml:space="preserve"> </w:t>
            </w:r>
          </w:p>
        </w:tc>
        <w:tc>
          <w:tcPr>
            <w:tcW w:w="994" w:type="pct"/>
            <w:shd w:val="clear" w:color="auto" w:fill="auto"/>
            <w:vAlign w:val="center"/>
          </w:tcPr>
          <w:p w14:paraId="43876D54" w14:textId="78A637E3" w:rsidR="006277DA" w:rsidRDefault="006277DA" w:rsidP="00C55561">
            <w:pPr>
              <w:pStyle w:val="COMTabletext"/>
              <w:keepLines/>
              <w:numPr>
                <w:ilvl w:val="0"/>
                <w:numId w:val="14"/>
              </w:numPr>
              <w:ind w:left="147" w:hanging="113"/>
            </w:pPr>
            <w:r>
              <w:t>ORR by BICR (primary)</w:t>
            </w:r>
          </w:p>
          <w:p w14:paraId="42162D5E" w14:textId="152EFCC6" w:rsidR="007F1017" w:rsidRDefault="006277DA" w:rsidP="00C55561">
            <w:pPr>
              <w:pStyle w:val="COMTabletext"/>
              <w:keepLines/>
              <w:numPr>
                <w:ilvl w:val="0"/>
                <w:numId w:val="14"/>
              </w:numPr>
              <w:ind w:left="147" w:hanging="113"/>
            </w:pPr>
            <w:r>
              <w:t xml:space="preserve">ORR by BICR </w:t>
            </w:r>
            <w:r w:rsidR="000D6310">
              <w:t xml:space="preserve">baseline EMD status </w:t>
            </w:r>
            <w:r>
              <w:t>(</w:t>
            </w:r>
            <w:r w:rsidR="000D6310">
              <w:t>key secondary</w:t>
            </w:r>
            <w:r w:rsidR="00513A87">
              <w:t>)</w:t>
            </w:r>
          </w:p>
          <w:p w14:paraId="495162BB" w14:textId="77777777" w:rsidR="000D6310" w:rsidRDefault="000D6310" w:rsidP="00C55561">
            <w:pPr>
              <w:pStyle w:val="COMTabletext"/>
              <w:keepLines/>
              <w:numPr>
                <w:ilvl w:val="0"/>
                <w:numId w:val="14"/>
              </w:numPr>
              <w:ind w:left="147" w:hanging="113"/>
            </w:pPr>
            <w:r>
              <w:t>CRR</w:t>
            </w:r>
          </w:p>
          <w:p w14:paraId="113D9B9D" w14:textId="77777777" w:rsidR="000D6310" w:rsidRDefault="000D6310" w:rsidP="00C55561">
            <w:pPr>
              <w:pStyle w:val="COMTabletext"/>
              <w:keepLines/>
              <w:numPr>
                <w:ilvl w:val="0"/>
                <w:numId w:val="14"/>
              </w:numPr>
              <w:ind w:left="147" w:hanging="113"/>
            </w:pPr>
            <w:r>
              <w:t>Duration of response</w:t>
            </w:r>
          </w:p>
          <w:p w14:paraId="1C6A46E6" w14:textId="77777777" w:rsidR="000D6310" w:rsidRDefault="000D6310" w:rsidP="00C55561">
            <w:pPr>
              <w:pStyle w:val="COMTabletext"/>
              <w:keepLines/>
              <w:numPr>
                <w:ilvl w:val="0"/>
                <w:numId w:val="14"/>
              </w:numPr>
              <w:ind w:left="147" w:hanging="113"/>
            </w:pPr>
            <w:r>
              <w:t>PFS</w:t>
            </w:r>
          </w:p>
          <w:p w14:paraId="11CD1C8F" w14:textId="77777777" w:rsidR="000D6310" w:rsidRDefault="000D6310" w:rsidP="00C55561">
            <w:pPr>
              <w:pStyle w:val="COMTabletext"/>
              <w:keepLines/>
              <w:numPr>
                <w:ilvl w:val="0"/>
                <w:numId w:val="14"/>
              </w:numPr>
              <w:ind w:left="147" w:hanging="113"/>
            </w:pPr>
            <w:r>
              <w:t>OS</w:t>
            </w:r>
          </w:p>
          <w:p w14:paraId="3BDB7743" w14:textId="5776A1C4" w:rsidR="000D6310" w:rsidRDefault="000D6310" w:rsidP="00C55561">
            <w:pPr>
              <w:pStyle w:val="COMTabletext"/>
              <w:keepLines/>
              <w:numPr>
                <w:ilvl w:val="0"/>
                <w:numId w:val="14"/>
              </w:numPr>
              <w:ind w:left="147" w:hanging="113"/>
            </w:pPr>
            <w:r>
              <w:t>Time to response</w:t>
            </w:r>
          </w:p>
          <w:p w14:paraId="224EE275" w14:textId="7AD2D13B" w:rsidR="000D6310" w:rsidRDefault="000D6310" w:rsidP="00C55561">
            <w:pPr>
              <w:pStyle w:val="COMTabletext"/>
              <w:keepLines/>
              <w:numPr>
                <w:ilvl w:val="0"/>
                <w:numId w:val="14"/>
              </w:numPr>
              <w:ind w:left="147" w:hanging="113"/>
            </w:pPr>
            <w:r>
              <w:t>MRD negativity rate</w:t>
            </w:r>
          </w:p>
          <w:p w14:paraId="228D94EA" w14:textId="77777777" w:rsidR="000D6310" w:rsidRDefault="000D6310" w:rsidP="00C55561">
            <w:pPr>
              <w:pStyle w:val="COMTabletext"/>
              <w:keepLines/>
              <w:numPr>
                <w:ilvl w:val="0"/>
                <w:numId w:val="14"/>
              </w:numPr>
              <w:ind w:left="147" w:hanging="113"/>
            </w:pPr>
            <w:r>
              <w:t>Adverse events</w:t>
            </w:r>
          </w:p>
          <w:p w14:paraId="6DC76214" w14:textId="7330BC33" w:rsidR="000D6310" w:rsidRPr="006E0FA2" w:rsidRDefault="000D6310" w:rsidP="00C55561">
            <w:pPr>
              <w:pStyle w:val="COMTabletext"/>
              <w:keepLines/>
              <w:numPr>
                <w:ilvl w:val="0"/>
                <w:numId w:val="14"/>
              </w:numPr>
              <w:ind w:left="147" w:hanging="113"/>
            </w:pPr>
            <w:proofErr w:type="spellStart"/>
            <w:r>
              <w:t>HRQoL</w:t>
            </w:r>
            <w:proofErr w:type="spellEnd"/>
            <w:r w:rsidR="004F5E99">
              <w:t xml:space="preserve"> (</w:t>
            </w:r>
            <w:r w:rsidR="004F5E99" w:rsidRPr="004F5E99">
              <w:t>EORTC QLQ-C30, EORTC MY20, EORTC QLQ CIPN20, PGI-S and PGI-C).</w:t>
            </w:r>
          </w:p>
        </w:tc>
        <w:tc>
          <w:tcPr>
            <w:tcW w:w="741" w:type="pct"/>
            <w:shd w:val="clear" w:color="auto" w:fill="auto"/>
            <w:vAlign w:val="center"/>
          </w:tcPr>
          <w:p w14:paraId="4D491C0B" w14:textId="3A7CB094" w:rsidR="004F5E99" w:rsidRDefault="004F5E99" w:rsidP="00C55561">
            <w:pPr>
              <w:pStyle w:val="COMTabletext"/>
              <w:keepLines/>
              <w:numPr>
                <w:ilvl w:val="0"/>
                <w:numId w:val="14"/>
              </w:numPr>
              <w:ind w:left="147" w:hanging="113"/>
            </w:pPr>
            <w:r>
              <w:t>PFS</w:t>
            </w:r>
          </w:p>
          <w:p w14:paraId="70A74A8B" w14:textId="24300205" w:rsidR="004F5E99" w:rsidRDefault="004F5E99" w:rsidP="00C55561">
            <w:pPr>
              <w:pStyle w:val="COMTabletext"/>
              <w:keepLines/>
              <w:numPr>
                <w:ilvl w:val="0"/>
                <w:numId w:val="14"/>
              </w:numPr>
              <w:ind w:left="147" w:hanging="113"/>
            </w:pPr>
            <w:r>
              <w:t>OS</w:t>
            </w:r>
          </w:p>
          <w:p w14:paraId="4899F803" w14:textId="4C7E9F09" w:rsidR="004F5E99" w:rsidRDefault="004F5E99" w:rsidP="00C55561">
            <w:pPr>
              <w:pStyle w:val="COMTabletext"/>
              <w:keepLines/>
              <w:numPr>
                <w:ilvl w:val="0"/>
                <w:numId w:val="14"/>
              </w:numPr>
              <w:ind w:left="147" w:hanging="113"/>
            </w:pPr>
            <w:r>
              <w:t>Adverse events</w:t>
            </w:r>
          </w:p>
          <w:p w14:paraId="37EC9296" w14:textId="4D318C6E" w:rsidR="004F5E99" w:rsidRPr="006E0FA2" w:rsidRDefault="004F5E99" w:rsidP="00C55561">
            <w:pPr>
              <w:pStyle w:val="COMTabletext"/>
              <w:keepLines/>
              <w:numPr>
                <w:ilvl w:val="0"/>
                <w:numId w:val="14"/>
              </w:numPr>
              <w:ind w:left="147" w:hanging="113"/>
            </w:pPr>
            <w:proofErr w:type="spellStart"/>
            <w:r>
              <w:t>HRQoL</w:t>
            </w:r>
            <w:proofErr w:type="spellEnd"/>
            <w:r>
              <w:t xml:space="preserve"> (EQ</w:t>
            </w:r>
            <w:r w:rsidR="00682312">
              <w:noBreakHyphen/>
            </w:r>
            <w:r>
              <w:t>5D-5L)</w:t>
            </w:r>
          </w:p>
          <w:p w14:paraId="150A804C" w14:textId="68BCE740" w:rsidR="007F1017" w:rsidRPr="006E0FA2" w:rsidRDefault="007F1017" w:rsidP="00C55561">
            <w:pPr>
              <w:pStyle w:val="COMTabletext"/>
              <w:keepLines/>
              <w:jc w:val="center"/>
            </w:pPr>
          </w:p>
        </w:tc>
      </w:tr>
      <w:tr w:rsidR="00623481" w:rsidRPr="006E0FA2" w14:paraId="13A6895C" w14:textId="77777777" w:rsidTr="00623481">
        <w:trPr>
          <w:cantSplit/>
        </w:trPr>
        <w:tc>
          <w:tcPr>
            <w:tcW w:w="5000" w:type="pct"/>
            <w:gridSpan w:val="7"/>
            <w:shd w:val="clear" w:color="auto" w:fill="auto"/>
            <w:vAlign w:val="center"/>
          </w:tcPr>
          <w:p w14:paraId="3175EA34" w14:textId="3D4F83D2" w:rsidR="00623481" w:rsidRPr="00623481" w:rsidRDefault="00FB3F35" w:rsidP="00F3724A">
            <w:pPr>
              <w:pStyle w:val="COMTabletext"/>
              <w:rPr>
                <w:b/>
                <w:bCs w:val="0"/>
              </w:rPr>
            </w:pPr>
            <w:r>
              <w:rPr>
                <w:b/>
                <w:bCs w:val="0"/>
              </w:rPr>
              <w:t>Cd</w:t>
            </w:r>
            <w:r w:rsidR="00623481">
              <w:rPr>
                <w:b/>
                <w:bCs w:val="0"/>
              </w:rPr>
              <w:t xml:space="preserve"> studies</w:t>
            </w:r>
          </w:p>
        </w:tc>
      </w:tr>
      <w:tr w:rsidR="00CF6DAB" w:rsidRPr="006E0FA2" w14:paraId="17934700" w14:textId="77777777" w:rsidTr="00682312">
        <w:trPr>
          <w:cantSplit/>
        </w:trPr>
        <w:tc>
          <w:tcPr>
            <w:tcW w:w="647" w:type="pct"/>
            <w:shd w:val="clear" w:color="auto" w:fill="auto"/>
            <w:vAlign w:val="center"/>
          </w:tcPr>
          <w:p w14:paraId="622D7F73" w14:textId="672337D0" w:rsidR="00B9084B" w:rsidRPr="006E0FA2" w:rsidRDefault="00B9084B" w:rsidP="006277DA">
            <w:pPr>
              <w:pStyle w:val="COMTabletext"/>
              <w:keepNext w:val="0"/>
            </w:pPr>
            <w:r>
              <w:t>ENDEAVOR</w:t>
            </w:r>
          </w:p>
        </w:tc>
        <w:tc>
          <w:tcPr>
            <w:tcW w:w="268" w:type="pct"/>
            <w:shd w:val="clear" w:color="auto" w:fill="auto"/>
            <w:vAlign w:val="center"/>
          </w:tcPr>
          <w:p w14:paraId="067F43EF" w14:textId="686D2EA7" w:rsidR="00B9084B" w:rsidRPr="006E0FA2" w:rsidRDefault="00B9084B" w:rsidP="006277DA">
            <w:pPr>
              <w:pStyle w:val="COMTabletext"/>
              <w:keepNext w:val="0"/>
              <w:jc w:val="center"/>
            </w:pPr>
            <w:r>
              <w:t>929</w:t>
            </w:r>
          </w:p>
        </w:tc>
        <w:tc>
          <w:tcPr>
            <w:tcW w:w="594" w:type="pct"/>
            <w:shd w:val="clear" w:color="auto" w:fill="auto"/>
            <w:vAlign w:val="center"/>
          </w:tcPr>
          <w:p w14:paraId="5B5DE38A" w14:textId="51E532EB" w:rsidR="00B9084B" w:rsidRPr="006E0FA2" w:rsidRDefault="00B9084B" w:rsidP="006277DA">
            <w:pPr>
              <w:pStyle w:val="COMTabletext"/>
              <w:keepNext w:val="0"/>
              <w:jc w:val="center"/>
            </w:pPr>
            <w:r>
              <w:t xml:space="preserve">Phase 3, </w:t>
            </w:r>
            <w:proofErr w:type="gramStart"/>
            <w:r>
              <w:t>open-label</w:t>
            </w:r>
            <w:proofErr w:type="gramEnd"/>
            <w:r>
              <w:t>, randomised controlled trial; median follow-up of 4.3 months.</w:t>
            </w:r>
          </w:p>
        </w:tc>
        <w:tc>
          <w:tcPr>
            <w:tcW w:w="345" w:type="pct"/>
            <w:shd w:val="clear" w:color="auto" w:fill="auto"/>
            <w:vAlign w:val="center"/>
          </w:tcPr>
          <w:p w14:paraId="3BEF1C6B" w14:textId="0127AF8B" w:rsidR="00B9084B" w:rsidRPr="0035502F" w:rsidRDefault="00B9084B" w:rsidP="006277DA">
            <w:pPr>
              <w:pStyle w:val="COMTabletext"/>
              <w:keepNext w:val="0"/>
              <w:jc w:val="center"/>
            </w:pPr>
            <w:r w:rsidRPr="0035502F">
              <w:t>Unclear</w:t>
            </w:r>
          </w:p>
        </w:tc>
        <w:tc>
          <w:tcPr>
            <w:tcW w:w="1411" w:type="pct"/>
            <w:shd w:val="clear" w:color="auto" w:fill="auto"/>
            <w:vAlign w:val="center"/>
          </w:tcPr>
          <w:p w14:paraId="6D14D1C3" w14:textId="77777777" w:rsidR="00B9084B" w:rsidRDefault="00B9084B" w:rsidP="009431C8">
            <w:pPr>
              <w:pStyle w:val="COMTabletext"/>
              <w:keepNext w:val="0"/>
              <w:numPr>
                <w:ilvl w:val="0"/>
                <w:numId w:val="14"/>
              </w:numPr>
              <w:ind w:left="147" w:hanging="113"/>
            </w:pPr>
            <w:r>
              <w:t>Age ≥18 years with multiple myeloma</w:t>
            </w:r>
          </w:p>
          <w:p w14:paraId="2E727B4D" w14:textId="47A6A341" w:rsidR="00B9084B" w:rsidRDefault="00B9084B" w:rsidP="009431C8">
            <w:pPr>
              <w:pStyle w:val="COMTabletext"/>
              <w:keepNext w:val="0"/>
              <w:numPr>
                <w:ilvl w:val="0"/>
                <w:numId w:val="14"/>
              </w:numPr>
              <w:ind w:left="147" w:hanging="113"/>
            </w:pPr>
            <w:r>
              <w:t>R</w:t>
            </w:r>
            <w:r w:rsidRPr="00B9084B">
              <w:t>elapsing or progressing disease</w:t>
            </w:r>
          </w:p>
          <w:p w14:paraId="52C00CDE" w14:textId="4A1447F3" w:rsidR="00B9084B" w:rsidRDefault="00B9084B" w:rsidP="009431C8">
            <w:pPr>
              <w:pStyle w:val="COMTabletext"/>
              <w:keepNext w:val="0"/>
              <w:numPr>
                <w:ilvl w:val="0"/>
                <w:numId w:val="14"/>
              </w:numPr>
              <w:ind w:left="147" w:hanging="113"/>
            </w:pPr>
            <w:r>
              <w:t>Evaluable disease</w:t>
            </w:r>
          </w:p>
          <w:p w14:paraId="28A8D3A4" w14:textId="77777777" w:rsidR="00B9084B" w:rsidRDefault="00B9084B" w:rsidP="009431C8">
            <w:pPr>
              <w:pStyle w:val="COMTabletext"/>
              <w:keepNext w:val="0"/>
              <w:numPr>
                <w:ilvl w:val="0"/>
                <w:numId w:val="14"/>
              </w:numPr>
              <w:ind w:left="147" w:hanging="113"/>
            </w:pPr>
            <w:r>
              <w:t>1 to 3 prior lines of therapy</w:t>
            </w:r>
          </w:p>
          <w:p w14:paraId="5D627E77" w14:textId="2A5FA80C" w:rsidR="00B9084B" w:rsidRDefault="00B9084B" w:rsidP="009431C8">
            <w:pPr>
              <w:pStyle w:val="COMTabletext"/>
              <w:keepNext w:val="0"/>
              <w:numPr>
                <w:ilvl w:val="0"/>
                <w:numId w:val="14"/>
              </w:numPr>
              <w:ind w:left="147" w:hanging="113"/>
            </w:pPr>
            <w:r>
              <w:t>A</w:t>
            </w:r>
            <w:r w:rsidRPr="00B9084B">
              <w:t>t least partial response to at least 1 line of prior therapy</w:t>
            </w:r>
          </w:p>
          <w:p w14:paraId="2CBA7133" w14:textId="77777777" w:rsidR="00B9084B" w:rsidRDefault="00B9084B" w:rsidP="009431C8">
            <w:pPr>
              <w:pStyle w:val="COMTabletext"/>
              <w:keepNext w:val="0"/>
              <w:numPr>
                <w:ilvl w:val="0"/>
                <w:numId w:val="14"/>
              </w:numPr>
              <w:ind w:left="147" w:hanging="113"/>
            </w:pPr>
            <w:r>
              <w:t>Refractory to last ani-myeloma treatment</w:t>
            </w:r>
          </w:p>
          <w:p w14:paraId="5F22154D" w14:textId="6E816ADF" w:rsidR="00B9084B" w:rsidRPr="006E0FA2" w:rsidRDefault="00B9084B" w:rsidP="009431C8">
            <w:pPr>
              <w:pStyle w:val="COMTabletext"/>
              <w:keepNext w:val="0"/>
              <w:numPr>
                <w:ilvl w:val="0"/>
                <w:numId w:val="14"/>
              </w:numPr>
              <w:ind w:left="147" w:hanging="113"/>
            </w:pPr>
            <w:r>
              <w:t xml:space="preserve">ECOG ≤2 </w:t>
            </w:r>
          </w:p>
        </w:tc>
        <w:tc>
          <w:tcPr>
            <w:tcW w:w="994" w:type="pct"/>
            <w:shd w:val="clear" w:color="auto" w:fill="auto"/>
            <w:vAlign w:val="center"/>
          </w:tcPr>
          <w:p w14:paraId="6020D3F8" w14:textId="7C42E081" w:rsidR="000D6310" w:rsidRDefault="000D6310" w:rsidP="009431C8">
            <w:pPr>
              <w:pStyle w:val="COMTabletext"/>
              <w:keepNext w:val="0"/>
              <w:numPr>
                <w:ilvl w:val="0"/>
                <w:numId w:val="14"/>
              </w:numPr>
              <w:ind w:left="147" w:hanging="113"/>
            </w:pPr>
            <w:r>
              <w:t xml:space="preserve">PFS </w:t>
            </w:r>
            <w:r w:rsidR="004F5E99">
              <w:t xml:space="preserve">by IRC </w:t>
            </w:r>
            <w:r>
              <w:t>(primary)</w:t>
            </w:r>
          </w:p>
          <w:p w14:paraId="4A8FF66B" w14:textId="415A99CD" w:rsidR="000D6310" w:rsidRDefault="000D6310" w:rsidP="009431C8">
            <w:pPr>
              <w:pStyle w:val="COMTabletext"/>
              <w:keepNext w:val="0"/>
              <w:numPr>
                <w:ilvl w:val="0"/>
                <w:numId w:val="14"/>
              </w:numPr>
              <w:ind w:left="147" w:hanging="113"/>
            </w:pPr>
            <w:r>
              <w:t>OS</w:t>
            </w:r>
          </w:p>
          <w:p w14:paraId="3672C2BD" w14:textId="77777777" w:rsidR="000D6310" w:rsidRDefault="000D6310" w:rsidP="009431C8">
            <w:pPr>
              <w:pStyle w:val="COMTabletext"/>
              <w:keepNext w:val="0"/>
              <w:numPr>
                <w:ilvl w:val="0"/>
                <w:numId w:val="14"/>
              </w:numPr>
              <w:ind w:left="147" w:hanging="113"/>
            </w:pPr>
            <w:r>
              <w:t>ORR</w:t>
            </w:r>
          </w:p>
          <w:p w14:paraId="4AA785A2" w14:textId="5C20D180" w:rsidR="004F5E99" w:rsidRDefault="004F5E99" w:rsidP="009431C8">
            <w:pPr>
              <w:pStyle w:val="COMTabletext"/>
              <w:keepNext w:val="0"/>
              <w:numPr>
                <w:ilvl w:val="0"/>
                <w:numId w:val="14"/>
              </w:numPr>
              <w:ind w:left="147" w:hanging="113"/>
            </w:pPr>
            <w:r>
              <w:t>Duration of response</w:t>
            </w:r>
          </w:p>
          <w:p w14:paraId="39982269" w14:textId="5183F471" w:rsidR="00B9084B" w:rsidRPr="006E0FA2" w:rsidRDefault="004F5E99" w:rsidP="009431C8">
            <w:pPr>
              <w:pStyle w:val="COMTabletext"/>
              <w:keepNext w:val="0"/>
              <w:numPr>
                <w:ilvl w:val="0"/>
                <w:numId w:val="14"/>
              </w:numPr>
              <w:ind w:left="147" w:hanging="113"/>
            </w:pPr>
            <w:r>
              <w:t>Adverse events</w:t>
            </w:r>
          </w:p>
        </w:tc>
        <w:tc>
          <w:tcPr>
            <w:tcW w:w="741" w:type="pct"/>
            <w:shd w:val="clear" w:color="auto" w:fill="auto"/>
            <w:vAlign w:val="center"/>
          </w:tcPr>
          <w:p w14:paraId="34D88E2F" w14:textId="77777777" w:rsidR="00682312" w:rsidRDefault="00682312" w:rsidP="009431C8">
            <w:pPr>
              <w:pStyle w:val="COMTabletext"/>
              <w:keepNext w:val="0"/>
              <w:numPr>
                <w:ilvl w:val="0"/>
                <w:numId w:val="14"/>
              </w:numPr>
              <w:ind w:left="147" w:hanging="113"/>
            </w:pPr>
            <w:r>
              <w:t>PFS</w:t>
            </w:r>
          </w:p>
          <w:p w14:paraId="72D3755E" w14:textId="77777777" w:rsidR="00682312" w:rsidRDefault="00682312" w:rsidP="009431C8">
            <w:pPr>
              <w:pStyle w:val="COMTabletext"/>
              <w:keepNext w:val="0"/>
              <w:numPr>
                <w:ilvl w:val="0"/>
                <w:numId w:val="14"/>
              </w:numPr>
              <w:ind w:left="147" w:hanging="113"/>
            </w:pPr>
            <w:r>
              <w:t>OS</w:t>
            </w:r>
          </w:p>
          <w:p w14:paraId="1C6CDE27" w14:textId="690C92EB" w:rsidR="00B9084B" w:rsidRPr="006E0FA2" w:rsidRDefault="00682312" w:rsidP="009431C8">
            <w:pPr>
              <w:pStyle w:val="COMTabletext"/>
              <w:keepNext w:val="0"/>
              <w:numPr>
                <w:ilvl w:val="0"/>
                <w:numId w:val="14"/>
              </w:numPr>
              <w:ind w:left="147" w:hanging="113"/>
            </w:pPr>
            <w:r>
              <w:t>Adverse events</w:t>
            </w:r>
          </w:p>
        </w:tc>
      </w:tr>
      <w:tr w:rsidR="00B9084B" w:rsidRPr="006E0FA2" w14:paraId="6E2F0038" w14:textId="77777777" w:rsidTr="00623481">
        <w:trPr>
          <w:cantSplit/>
        </w:trPr>
        <w:tc>
          <w:tcPr>
            <w:tcW w:w="5000" w:type="pct"/>
            <w:gridSpan w:val="7"/>
            <w:shd w:val="clear" w:color="auto" w:fill="auto"/>
            <w:vAlign w:val="center"/>
          </w:tcPr>
          <w:p w14:paraId="2BF4ECD9" w14:textId="4C453DF0" w:rsidR="00B9084B" w:rsidRPr="00623481" w:rsidRDefault="00FB3F35" w:rsidP="00F3724A">
            <w:pPr>
              <w:pStyle w:val="COMTabletext"/>
              <w:rPr>
                <w:b/>
                <w:bCs w:val="0"/>
              </w:rPr>
            </w:pPr>
            <w:r>
              <w:rPr>
                <w:b/>
                <w:bCs w:val="0"/>
              </w:rPr>
              <w:lastRenderedPageBreak/>
              <w:t>Pd</w:t>
            </w:r>
            <w:r w:rsidR="00B9084B">
              <w:rPr>
                <w:b/>
                <w:bCs w:val="0"/>
              </w:rPr>
              <w:t xml:space="preserve"> studies</w:t>
            </w:r>
          </w:p>
        </w:tc>
      </w:tr>
      <w:tr w:rsidR="00CF6DAB" w:rsidRPr="006E0FA2" w14:paraId="025C8F6B" w14:textId="77777777" w:rsidTr="00682312">
        <w:trPr>
          <w:cantSplit/>
        </w:trPr>
        <w:tc>
          <w:tcPr>
            <w:tcW w:w="647" w:type="pct"/>
            <w:shd w:val="clear" w:color="auto" w:fill="auto"/>
            <w:vAlign w:val="center"/>
          </w:tcPr>
          <w:p w14:paraId="74F66C0F" w14:textId="4D2D7175" w:rsidR="00B9084B" w:rsidRPr="006E0FA2" w:rsidRDefault="00B9084B" w:rsidP="006277DA">
            <w:pPr>
              <w:pStyle w:val="COMTabletext"/>
              <w:keepNext w:val="0"/>
            </w:pPr>
            <w:r>
              <w:t>MM-003</w:t>
            </w:r>
          </w:p>
        </w:tc>
        <w:tc>
          <w:tcPr>
            <w:tcW w:w="268" w:type="pct"/>
            <w:shd w:val="clear" w:color="auto" w:fill="auto"/>
            <w:vAlign w:val="center"/>
          </w:tcPr>
          <w:p w14:paraId="2C9C7D87" w14:textId="4BEE8572" w:rsidR="00B9084B" w:rsidRPr="006E0FA2" w:rsidRDefault="00B9084B" w:rsidP="006277DA">
            <w:pPr>
              <w:pStyle w:val="COMTabletext"/>
              <w:keepNext w:val="0"/>
              <w:jc w:val="center"/>
            </w:pPr>
            <w:r>
              <w:t>455</w:t>
            </w:r>
          </w:p>
        </w:tc>
        <w:tc>
          <w:tcPr>
            <w:tcW w:w="594" w:type="pct"/>
            <w:shd w:val="clear" w:color="auto" w:fill="auto"/>
            <w:vAlign w:val="center"/>
          </w:tcPr>
          <w:p w14:paraId="0A88641C" w14:textId="25A64790" w:rsidR="00B9084B" w:rsidRPr="006E0FA2" w:rsidRDefault="00B9084B" w:rsidP="006277DA">
            <w:pPr>
              <w:pStyle w:val="COMTabletext"/>
              <w:keepNext w:val="0"/>
              <w:jc w:val="center"/>
            </w:pPr>
            <w:r>
              <w:t xml:space="preserve">Phase 3, </w:t>
            </w:r>
            <w:proofErr w:type="gramStart"/>
            <w:r>
              <w:t>open-label</w:t>
            </w:r>
            <w:proofErr w:type="gramEnd"/>
            <w:r>
              <w:t>, randomised controlled trial; median follow-up of 10.0 months</w:t>
            </w:r>
          </w:p>
        </w:tc>
        <w:tc>
          <w:tcPr>
            <w:tcW w:w="345" w:type="pct"/>
            <w:shd w:val="clear" w:color="auto" w:fill="auto"/>
            <w:vAlign w:val="center"/>
          </w:tcPr>
          <w:p w14:paraId="2D754543" w14:textId="465D419B" w:rsidR="00B9084B" w:rsidRPr="0035502F" w:rsidRDefault="00B9084B" w:rsidP="006277DA">
            <w:pPr>
              <w:pStyle w:val="COMTabletext"/>
              <w:keepNext w:val="0"/>
              <w:jc w:val="center"/>
            </w:pPr>
            <w:r w:rsidRPr="0035502F">
              <w:t>High</w:t>
            </w:r>
          </w:p>
        </w:tc>
        <w:tc>
          <w:tcPr>
            <w:tcW w:w="1411" w:type="pct"/>
            <w:shd w:val="clear" w:color="auto" w:fill="auto"/>
            <w:vAlign w:val="center"/>
          </w:tcPr>
          <w:p w14:paraId="7CD4EDF6" w14:textId="77777777" w:rsidR="00B9084B" w:rsidRDefault="00B9084B" w:rsidP="009431C8">
            <w:pPr>
              <w:pStyle w:val="COMTabletext"/>
              <w:keepNext w:val="0"/>
              <w:numPr>
                <w:ilvl w:val="0"/>
                <w:numId w:val="14"/>
              </w:numPr>
              <w:ind w:left="147" w:hanging="113"/>
            </w:pPr>
            <w:r>
              <w:t>Age ≥18 years with multiple myeloma</w:t>
            </w:r>
          </w:p>
          <w:p w14:paraId="0FB9E57D" w14:textId="25976B01" w:rsidR="00B9084B" w:rsidRDefault="00A17952" w:rsidP="009431C8">
            <w:pPr>
              <w:pStyle w:val="COMTabletext"/>
              <w:keepNext w:val="0"/>
              <w:numPr>
                <w:ilvl w:val="0"/>
                <w:numId w:val="14"/>
              </w:numPr>
              <w:ind w:left="147" w:hanging="113"/>
            </w:pPr>
            <w:r>
              <w:t>Refractory or relapsed disease</w:t>
            </w:r>
          </w:p>
          <w:p w14:paraId="28E7457C" w14:textId="77777777" w:rsidR="00A17952" w:rsidRDefault="00A17952" w:rsidP="009431C8">
            <w:pPr>
              <w:pStyle w:val="COMTabletext"/>
              <w:keepNext w:val="0"/>
              <w:numPr>
                <w:ilvl w:val="0"/>
                <w:numId w:val="14"/>
              </w:numPr>
              <w:ind w:left="147" w:hanging="113"/>
            </w:pPr>
            <w:r>
              <w:t>Measurable disease</w:t>
            </w:r>
          </w:p>
          <w:p w14:paraId="6AD2A49E" w14:textId="77777777" w:rsidR="00A17952" w:rsidRDefault="00A17952" w:rsidP="009431C8">
            <w:pPr>
              <w:pStyle w:val="COMTabletext"/>
              <w:keepNext w:val="0"/>
              <w:numPr>
                <w:ilvl w:val="0"/>
                <w:numId w:val="14"/>
              </w:numPr>
              <w:ind w:left="147" w:hanging="113"/>
            </w:pPr>
            <w:r w:rsidRPr="00A17952">
              <w:t xml:space="preserve">≥2 treatment lines of anti-myeloma therapy </w:t>
            </w:r>
          </w:p>
          <w:p w14:paraId="53DE636C" w14:textId="6C8E1FA6" w:rsidR="00A17952" w:rsidRDefault="005146BF" w:rsidP="009431C8">
            <w:pPr>
              <w:pStyle w:val="COMTabletext"/>
              <w:keepNext w:val="0"/>
              <w:numPr>
                <w:ilvl w:val="0"/>
                <w:numId w:val="14"/>
              </w:numPr>
              <w:ind w:left="147" w:hanging="113"/>
            </w:pPr>
            <w:r>
              <w:t>A</w:t>
            </w:r>
            <w:r w:rsidR="00A17952" w:rsidRPr="00A17952">
              <w:t>t least 2 consecutive cycles of prior treatment that included lenalidomide and bortezomib</w:t>
            </w:r>
          </w:p>
          <w:p w14:paraId="3E607CD4" w14:textId="5D7FC7DF" w:rsidR="00A17952" w:rsidRDefault="005146BF" w:rsidP="009431C8">
            <w:pPr>
              <w:pStyle w:val="COMTabletext"/>
              <w:keepNext w:val="0"/>
              <w:numPr>
                <w:ilvl w:val="0"/>
                <w:numId w:val="14"/>
              </w:numPr>
              <w:ind w:left="147" w:hanging="113"/>
            </w:pPr>
            <w:r>
              <w:t>F</w:t>
            </w:r>
            <w:r w:rsidR="00A17952" w:rsidRPr="00A17952">
              <w:t xml:space="preserve">ailed treatment with both lenalidomide and bortezomib </w:t>
            </w:r>
          </w:p>
          <w:p w14:paraId="65B423B3" w14:textId="77777777" w:rsidR="005146BF" w:rsidRDefault="00A17952" w:rsidP="009431C8">
            <w:pPr>
              <w:pStyle w:val="COMTabletext"/>
              <w:keepNext w:val="0"/>
              <w:numPr>
                <w:ilvl w:val="0"/>
                <w:numId w:val="14"/>
              </w:numPr>
              <w:ind w:left="147" w:hanging="113"/>
            </w:pPr>
            <w:r>
              <w:t>A</w:t>
            </w:r>
            <w:r w:rsidRPr="00A17952">
              <w:t xml:space="preserve">dequate prior alkylator therapy </w:t>
            </w:r>
          </w:p>
          <w:p w14:paraId="06EEF2EF" w14:textId="4ADB9A1D" w:rsidR="00B9084B" w:rsidRPr="006E0FA2" w:rsidRDefault="00B9084B" w:rsidP="009431C8">
            <w:pPr>
              <w:pStyle w:val="COMTabletext"/>
              <w:keepNext w:val="0"/>
              <w:numPr>
                <w:ilvl w:val="0"/>
                <w:numId w:val="14"/>
              </w:numPr>
              <w:ind w:left="147" w:hanging="113"/>
            </w:pPr>
            <w:r>
              <w:t>ECOG ≤2</w:t>
            </w:r>
          </w:p>
        </w:tc>
        <w:tc>
          <w:tcPr>
            <w:tcW w:w="994" w:type="pct"/>
            <w:shd w:val="clear" w:color="auto" w:fill="auto"/>
            <w:vAlign w:val="center"/>
          </w:tcPr>
          <w:p w14:paraId="4FE6AB43" w14:textId="77777777" w:rsidR="004F5E99" w:rsidRDefault="004F5E99" w:rsidP="009431C8">
            <w:pPr>
              <w:pStyle w:val="COMTabletext"/>
              <w:keepNext w:val="0"/>
              <w:numPr>
                <w:ilvl w:val="0"/>
                <w:numId w:val="14"/>
              </w:numPr>
              <w:ind w:left="147" w:hanging="113"/>
            </w:pPr>
            <w:r>
              <w:t>PFS (primary)</w:t>
            </w:r>
          </w:p>
          <w:p w14:paraId="5F44F8B0" w14:textId="77777777" w:rsidR="004F5E99" w:rsidRDefault="004F5E99" w:rsidP="009431C8">
            <w:pPr>
              <w:pStyle w:val="COMTabletext"/>
              <w:keepNext w:val="0"/>
              <w:numPr>
                <w:ilvl w:val="0"/>
                <w:numId w:val="14"/>
              </w:numPr>
              <w:ind w:left="147" w:hanging="113"/>
            </w:pPr>
            <w:r>
              <w:t>OS (key secondary)</w:t>
            </w:r>
          </w:p>
          <w:p w14:paraId="74055F7C" w14:textId="77777777" w:rsidR="004F5E99" w:rsidRDefault="004F5E99" w:rsidP="009431C8">
            <w:pPr>
              <w:pStyle w:val="COMTabletext"/>
              <w:keepNext w:val="0"/>
              <w:numPr>
                <w:ilvl w:val="0"/>
                <w:numId w:val="14"/>
              </w:numPr>
              <w:ind w:left="147" w:hanging="113"/>
            </w:pPr>
            <w:r>
              <w:t>ORR</w:t>
            </w:r>
          </w:p>
          <w:p w14:paraId="0D2D194D" w14:textId="77777777" w:rsidR="004F5E99" w:rsidRDefault="004F5E99" w:rsidP="009431C8">
            <w:pPr>
              <w:pStyle w:val="COMTabletext"/>
              <w:keepNext w:val="0"/>
              <w:numPr>
                <w:ilvl w:val="0"/>
                <w:numId w:val="14"/>
              </w:numPr>
              <w:ind w:left="147" w:hanging="113"/>
            </w:pPr>
            <w:r>
              <w:t>Time to progression</w:t>
            </w:r>
          </w:p>
          <w:p w14:paraId="16305F30" w14:textId="77777777" w:rsidR="004F5E99" w:rsidRDefault="004F5E99" w:rsidP="009431C8">
            <w:pPr>
              <w:pStyle w:val="COMTabletext"/>
              <w:keepNext w:val="0"/>
              <w:numPr>
                <w:ilvl w:val="0"/>
                <w:numId w:val="14"/>
              </w:numPr>
              <w:ind w:left="147" w:hanging="113"/>
            </w:pPr>
            <w:r>
              <w:t>Time to response</w:t>
            </w:r>
          </w:p>
          <w:p w14:paraId="58C08176" w14:textId="77777777" w:rsidR="004F5E99" w:rsidRDefault="004F5E99" w:rsidP="009431C8">
            <w:pPr>
              <w:pStyle w:val="COMTabletext"/>
              <w:keepNext w:val="0"/>
              <w:numPr>
                <w:ilvl w:val="0"/>
                <w:numId w:val="14"/>
              </w:numPr>
              <w:ind w:left="147" w:hanging="113"/>
            </w:pPr>
            <w:r>
              <w:t>Duration of response</w:t>
            </w:r>
          </w:p>
          <w:p w14:paraId="12C79E07" w14:textId="77777777" w:rsidR="004F5E99" w:rsidRDefault="004F5E99" w:rsidP="009431C8">
            <w:pPr>
              <w:pStyle w:val="COMTabletext"/>
              <w:keepNext w:val="0"/>
              <w:numPr>
                <w:ilvl w:val="0"/>
                <w:numId w:val="14"/>
              </w:numPr>
              <w:ind w:left="147" w:hanging="113"/>
            </w:pPr>
            <w:r>
              <w:t>Adverse events</w:t>
            </w:r>
          </w:p>
          <w:p w14:paraId="17EA7B44" w14:textId="65A40BB3" w:rsidR="00B9084B" w:rsidRPr="006E0FA2" w:rsidRDefault="004F5E99" w:rsidP="009431C8">
            <w:pPr>
              <w:pStyle w:val="COMTabletext"/>
              <w:keepNext w:val="0"/>
              <w:numPr>
                <w:ilvl w:val="0"/>
                <w:numId w:val="14"/>
              </w:numPr>
              <w:ind w:left="147" w:hanging="113"/>
            </w:pPr>
            <w:proofErr w:type="spellStart"/>
            <w:r>
              <w:t>HRQoL</w:t>
            </w:r>
            <w:proofErr w:type="spellEnd"/>
            <w:r>
              <w:t xml:space="preserve"> (</w:t>
            </w:r>
            <w:r w:rsidRPr="004F5E99">
              <w:t>EORTC QLQ-C30, EORTC MY20, EQ-5D).</w:t>
            </w:r>
          </w:p>
        </w:tc>
        <w:tc>
          <w:tcPr>
            <w:tcW w:w="741" w:type="pct"/>
            <w:shd w:val="clear" w:color="auto" w:fill="auto"/>
            <w:vAlign w:val="center"/>
          </w:tcPr>
          <w:p w14:paraId="3793D34A" w14:textId="77777777" w:rsidR="00682312" w:rsidRDefault="00682312" w:rsidP="009431C8">
            <w:pPr>
              <w:pStyle w:val="COMTabletext"/>
              <w:keepNext w:val="0"/>
              <w:numPr>
                <w:ilvl w:val="0"/>
                <w:numId w:val="14"/>
              </w:numPr>
              <w:ind w:left="147" w:hanging="113"/>
            </w:pPr>
            <w:r>
              <w:t>PFS</w:t>
            </w:r>
          </w:p>
          <w:p w14:paraId="051DDC68" w14:textId="77777777" w:rsidR="00682312" w:rsidRDefault="00682312" w:rsidP="009431C8">
            <w:pPr>
              <w:pStyle w:val="COMTabletext"/>
              <w:keepNext w:val="0"/>
              <w:numPr>
                <w:ilvl w:val="0"/>
                <w:numId w:val="14"/>
              </w:numPr>
              <w:ind w:left="147" w:hanging="113"/>
            </w:pPr>
            <w:r>
              <w:t>OS</w:t>
            </w:r>
          </w:p>
          <w:p w14:paraId="19879B46" w14:textId="5A5EE256" w:rsidR="00B9084B" w:rsidRPr="006E0FA2" w:rsidRDefault="00682312" w:rsidP="009431C8">
            <w:pPr>
              <w:pStyle w:val="COMTabletext"/>
              <w:keepNext w:val="0"/>
              <w:numPr>
                <w:ilvl w:val="0"/>
                <w:numId w:val="14"/>
              </w:numPr>
              <w:ind w:left="147" w:hanging="113"/>
            </w:pPr>
            <w:r>
              <w:t>Adverse events</w:t>
            </w:r>
          </w:p>
        </w:tc>
      </w:tr>
      <w:tr w:rsidR="00B9084B" w:rsidRPr="006E0FA2" w14:paraId="2C43A3CD" w14:textId="77777777" w:rsidTr="00623481">
        <w:trPr>
          <w:cantSplit/>
        </w:trPr>
        <w:tc>
          <w:tcPr>
            <w:tcW w:w="5000" w:type="pct"/>
            <w:gridSpan w:val="7"/>
            <w:shd w:val="clear" w:color="auto" w:fill="auto"/>
            <w:vAlign w:val="center"/>
          </w:tcPr>
          <w:p w14:paraId="3B9DB55E" w14:textId="08660E99" w:rsidR="00B9084B" w:rsidRPr="00623481" w:rsidRDefault="00FB3F35" w:rsidP="00F3724A">
            <w:pPr>
              <w:pStyle w:val="COMTabletext"/>
              <w:rPr>
                <w:b/>
                <w:bCs w:val="0"/>
              </w:rPr>
            </w:pPr>
            <w:r>
              <w:rPr>
                <w:b/>
                <w:bCs w:val="0"/>
              </w:rPr>
              <w:t>Sd</w:t>
            </w:r>
            <w:r w:rsidR="00B9084B">
              <w:rPr>
                <w:b/>
                <w:bCs w:val="0"/>
              </w:rPr>
              <w:t xml:space="preserve"> studies</w:t>
            </w:r>
          </w:p>
        </w:tc>
      </w:tr>
      <w:tr w:rsidR="00CF6DAB" w:rsidRPr="006E0FA2" w14:paraId="6DAFAEAF" w14:textId="77777777" w:rsidTr="00682312">
        <w:trPr>
          <w:cantSplit/>
        </w:trPr>
        <w:tc>
          <w:tcPr>
            <w:tcW w:w="647" w:type="pct"/>
            <w:shd w:val="clear" w:color="auto" w:fill="auto"/>
            <w:vAlign w:val="center"/>
          </w:tcPr>
          <w:p w14:paraId="76F0584C" w14:textId="24ECAE64" w:rsidR="00B9084B" w:rsidRPr="006E0FA2" w:rsidRDefault="00B9084B" w:rsidP="006277DA">
            <w:pPr>
              <w:pStyle w:val="COMTabletext"/>
              <w:keepNext w:val="0"/>
            </w:pPr>
            <w:r>
              <w:t>STORM</w:t>
            </w:r>
          </w:p>
        </w:tc>
        <w:tc>
          <w:tcPr>
            <w:tcW w:w="268" w:type="pct"/>
            <w:shd w:val="clear" w:color="auto" w:fill="auto"/>
            <w:vAlign w:val="center"/>
          </w:tcPr>
          <w:p w14:paraId="7D785F8E" w14:textId="09CDE3B2" w:rsidR="00B9084B" w:rsidRPr="006E0FA2" w:rsidRDefault="00B9084B" w:rsidP="006277DA">
            <w:pPr>
              <w:pStyle w:val="COMTabletext"/>
              <w:keepNext w:val="0"/>
              <w:jc w:val="center"/>
            </w:pPr>
            <w:r>
              <w:t>123</w:t>
            </w:r>
          </w:p>
        </w:tc>
        <w:tc>
          <w:tcPr>
            <w:tcW w:w="594" w:type="pct"/>
            <w:shd w:val="clear" w:color="auto" w:fill="auto"/>
            <w:vAlign w:val="center"/>
          </w:tcPr>
          <w:p w14:paraId="4F10C1AA" w14:textId="41189D3E" w:rsidR="00B9084B" w:rsidRPr="006E0FA2" w:rsidRDefault="00B9084B" w:rsidP="006277DA">
            <w:pPr>
              <w:pStyle w:val="COMTabletext"/>
              <w:keepNext w:val="0"/>
              <w:jc w:val="center"/>
            </w:pPr>
            <w:r>
              <w:t>Phase 2, open-label, single-arm study; median follow-up not reported.</w:t>
            </w:r>
          </w:p>
        </w:tc>
        <w:tc>
          <w:tcPr>
            <w:tcW w:w="345" w:type="pct"/>
            <w:shd w:val="clear" w:color="auto" w:fill="auto"/>
            <w:vAlign w:val="center"/>
          </w:tcPr>
          <w:p w14:paraId="50E27A90" w14:textId="2A071B74" w:rsidR="00B9084B" w:rsidRPr="0035502F" w:rsidRDefault="00B9084B" w:rsidP="006277DA">
            <w:pPr>
              <w:pStyle w:val="COMTabletext"/>
              <w:keepNext w:val="0"/>
              <w:jc w:val="center"/>
            </w:pPr>
            <w:r w:rsidRPr="0035502F">
              <w:t>High</w:t>
            </w:r>
          </w:p>
        </w:tc>
        <w:tc>
          <w:tcPr>
            <w:tcW w:w="1411" w:type="pct"/>
            <w:shd w:val="clear" w:color="auto" w:fill="auto"/>
            <w:vAlign w:val="center"/>
          </w:tcPr>
          <w:p w14:paraId="78DE2FF4" w14:textId="77777777" w:rsidR="005146BF" w:rsidRDefault="005146BF" w:rsidP="009431C8">
            <w:pPr>
              <w:pStyle w:val="COMTabletext"/>
              <w:keepNext w:val="0"/>
              <w:numPr>
                <w:ilvl w:val="0"/>
                <w:numId w:val="14"/>
              </w:numPr>
              <w:ind w:left="147" w:hanging="113"/>
            </w:pPr>
            <w:r>
              <w:t>Age ≥18 years with multiple myeloma</w:t>
            </w:r>
          </w:p>
          <w:p w14:paraId="56533453" w14:textId="2EE4FA4A" w:rsidR="005146BF" w:rsidRDefault="005146BF" w:rsidP="009431C8">
            <w:pPr>
              <w:pStyle w:val="COMTabletext"/>
              <w:keepNext w:val="0"/>
              <w:numPr>
                <w:ilvl w:val="0"/>
                <w:numId w:val="14"/>
              </w:numPr>
              <w:ind w:left="147" w:hanging="113"/>
            </w:pPr>
            <w:r>
              <w:t>Symptomatic disease</w:t>
            </w:r>
          </w:p>
          <w:p w14:paraId="2711A213" w14:textId="77777777" w:rsidR="005146BF" w:rsidRDefault="005146BF" w:rsidP="009431C8">
            <w:pPr>
              <w:pStyle w:val="COMTabletext"/>
              <w:keepNext w:val="0"/>
              <w:numPr>
                <w:ilvl w:val="0"/>
                <w:numId w:val="14"/>
              </w:numPr>
              <w:ind w:left="147" w:hanging="113"/>
            </w:pPr>
            <w:r>
              <w:t>Evidence of disease progression</w:t>
            </w:r>
          </w:p>
          <w:p w14:paraId="73F75315" w14:textId="77777777" w:rsidR="00970694" w:rsidRDefault="005146BF" w:rsidP="009431C8">
            <w:pPr>
              <w:pStyle w:val="COMTabletext"/>
              <w:keepNext w:val="0"/>
              <w:numPr>
                <w:ilvl w:val="0"/>
                <w:numId w:val="14"/>
              </w:numPr>
              <w:ind w:left="147" w:hanging="113"/>
            </w:pPr>
            <w:r>
              <w:t>Measurable disease</w:t>
            </w:r>
          </w:p>
          <w:p w14:paraId="19479865" w14:textId="77777777" w:rsidR="00970694" w:rsidRDefault="005146BF" w:rsidP="009431C8">
            <w:pPr>
              <w:pStyle w:val="COMTabletext"/>
              <w:keepNext w:val="0"/>
              <w:numPr>
                <w:ilvl w:val="0"/>
                <w:numId w:val="14"/>
              </w:numPr>
              <w:ind w:left="147" w:hanging="113"/>
            </w:pPr>
            <w:r w:rsidRPr="005146BF">
              <w:t>3 prior anti-myeloma regimens including an alkylating agent, lenalidomide, pomalidomide, bortezomib, carfilzomib and a glucocorticoid</w:t>
            </w:r>
          </w:p>
          <w:p w14:paraId="1C2F219A" w14:textId="77777777" w:rsidR="00970694" w:rsidRDefault="00970694" w:rsidP="009431C8">
            <w:pPr>
              <w:pStyle w:val="COMTabletext"/>
              <w:keepNext w:val="0"/>
              <w:numPr>
                <w:ilvl w:val="0"/>
                <w:numId w:val="14"/>
              </w:numPr>
              <w:ind w:left="147" w:hanging="113"/>
            </w:pPr>
            <w:r>
              <w:t>R</w:t>
            </w:r>
            <w:r w:rsidR="005146BF" w:rsidRPr="005146BF">
              <w:t>efractory to the most recent treatment regimen</w:t>
            </w:r>
          </w:p>
          <w:p w14:paraId="33D78850" w14:textId="2381D874" w:rsidR="00970694" w:rsidRDefault="00970694" w:rsidP="009431C8">
            <w:pPr>
              <w:pStyle w:val="COMTabletext"/>
              <w:keepNext w:val="0"/>
              <w:numPr>
                <w:ilvl w:val="0"/>
                <w:numId w:val="14"/>
              </w:numPr>
              <w:ind w:left="147" w:hanging="113"/>
            </w:pPr>
            <w:r>
              <w:t>R</w:t>
            </w:r>
            <w:r w:rsidR="005146BF" w:rsidRPr="005146BF">
              <w:t>efractory to previous anticancer treatments: glucocorticoids, proteasome inhibitor, immunomodulatory drug, and daratumumab</w:t>
            </w:r>
          </w:p>
          <w:p w14:paraId="1B84BE0E" w14:textId="29A4D6F7" w:rsidR="00B9084B" w:rsidRPr="006E0FA2" w:rsidRDefault="005146BF" w:rsidP="009431C8">
            <w:pPr>
              <w:pStyle w:val="COMTabletext"/>
              <w:keepNext w:val="0"/>
              <w:numPr>
                <w:ilvl w:val="0"/>
                <w:numId w:val="14"/>
              </w:numPr>
              <w:ind w:left="147" w:hanging="113"/>
            </w:pPr>
            <w:r>
              <w:t>ECOG ≤2</w:t>
            </w:r>
          </w:p>
        </w:tc>
        <w:tc>
          <w:tcPr>
            <w:tcW w:w="994" w:type="pct"/>
            <w:shd w:val="clear" w:color="auto" w:fill="auto"/>
            <w:vAlign w:val="center"/>
          </w:tcPr>
          <w:p w14:paraId="4A563A80" w14:textId="4F067F30" w:rsidR="004F5E99" w:rsidRDefault="004F5E99" w:rsidP="009431C8">
            <w:pPr>
              <w:pStyle w:val="COMTabletext"/>
              <w:keepNext w:val="0"/>
              <w:numPr>
                <w:ilvl w:val="0"/>
                <w:numId w:val="14"/>
              </w:numPr>
              <w:ind w:left="147" w:hanging="113"/>
            </w:pPr>
            <w:r>
              <w:t>ORR by IRC (primary)</w:t>
            </w:r>
          </w:p>
          <w:p w14:paraId="6C7A69EE" w14:textId="4A9EE4C1" w:rsidR="004F5E99" w:rsidRDefault="004F5E99" w:rsidP="009431C8">
            <w:pPr>
              <w:pStyle w:val="COMTabletext"/>
              <w:keepNext w:val="0"/>
              <w:numPr>
                <w:ilvl w:val="0"/>
                <w:numId w:val="14"/>
              </w:numPr>
              <w:ind w:left="147" w:hanging="113"/>
            </w:pPr>
            <w:r>
              <w:t>Duration of response</w:t>
            </w:r>
          </w:p>
          <w:p w14:paraId="2B91AFC2" w14:textId="16FB5668" w:rsidR="004F5E99" w:rsidRDefault="004F5E99" w:rsidP="009431C8">
            <w:pPr>
              <w:pStyle w:val="COMTabletext"/>
              <w:keepNext w:val="0"/>
              <w:numPr>
                <w:ilvl w:val="0"/>
                <w:numId w:val="14"/>
              </w:numPr>
              <w:ind w:left="147" w:hanging="113"/>
            </w:pPr>
            <w:r>
              <w:t>Clinical benefit rate</w:t>
            </w:r>
          </w:p>
          <w:p w14:paraId="6F464FC3" w14:textId="7D8424FA" w:rsidR="004F5E99" w:rsidRDefault="004F5E99" w:rsidP="009431C8">
            <w:pPr>
              <w:pStyle w:val="COMTabletext"/>
              <w:keepNext w:val="0"/>
              <w:numPr>
                <w:ilvl w:val="0"/>
                <w:numId w:val="14"/>
              </w:numPr>
              <w:ind w:left="147" w:hanging="113"/>
            </w:pPr>
            <w:r>
              <w:t>Disease control rate</w:t>
            </w:r>
          </w:p>
          <w:p w14:paraId="72AEA7EC" w14:textId="5023DF58" w:rsidR="004F5E99" w:rsidRDefault="004F5E99" w:rsidP="009431C8">
            <w:pPr>
              <w:pStyle w:val="COMTabletext"/>
              <w:keepNext w:val="0"/>
              <w:numPr>
                <w:ilvl w:val="0"/>
                <w:numId w:val="14"/>
              </w:numPr>
              <w:ind w:left="147" w:hanging="113"/>
            </w:pPr>
            <w:r>
              <w:t>PFS</w:t>
            </w:r>
          </w:p>
          <w:p w14:paraId="19EC7110" w14:textId="6924967B" w:rsidR="004F5E99" w:rsidRDefault="004F5E99" w:rsidP="009431C8">
            <w:pPr>
              <w:pStyle w:val="COMTabletext"/>
              <w:keepNext w:val="0"/>
              <w:numPr>
                <w:ilvl w:val="0"/>
                <w:numId w:val="14"/>
              </w:numPr>
              <w:ind w:left="147" w:hanging="113"/>
            </w:pPr>
            <w:r>
              <w:t>OS</w:t>
            </w:r>
          </w:p>
          <w:p w14:paraId="16A57D56" w14:textId="650E85E6" w:rsidR="004F5E99" w:rsidRDefault="004F5E99" w:rsidP="009431C8">
            <w:pPr>
              <w:pStyle w:val="COMTabletext"/>
              <w:keepNext w:val="0"/>
              <w:numPr>
                <w:ilvl w:val="0"/>
                <w:numId w:val="14"/>
              </w:numPr>
              <w:ind w:left="147" w:hanging="113"/>
            </w:pPr>
            <w:r>
              <w:t>Minimal response</w:t>
            </w:r>
          </w:p>
          <w:p w14:paraId="4F3CD398" w14:textId="37851A3F" w:rsidR="004F5E99" w:rsidRDefault="004F5E99" w:rsidP="009431C8">
            <w:pPr>
              <w:pStyle w:val="COMTabletext"/>
              <w:keepNext w:val="0"/>
              <w:numPr>
                <w:ilvl w:val="0"/>
                <w:numId w:val="14"/>
              </w:numPr>
              <w:ind w:left="147" w:hanging="113"/>
            </w:pPr>
            <w:r>
              <w:t>Time to next treatment</w:t>
            </w:r>
          </w:p>
          <w:p w14:paraId="2F3EB391" w14:textId="77777777" w:rsidR="004F5E99" w:rsidRDefault="004F5E99" w:rsidP="009431C8">
            <w:pPr>
              <w:pStyle w:val="COMTabletext"/>
              <w:keepNext w:val="0"/>
              <w:numPr>
                <w:ilvl w:val="0"/>
                <w:numId w:val="14"/>
              </w:numPr>
              <w:ind w:left="147" w:hanging="113"/>
            </w:pPr>
            <w:r>
              <w:t>Adverse events</w:t>
            </w:r>
          </w:p>
          <w:p w14:paraId="4E7BED76" w14:textId="29C3C5AC" w:rsidR="00B9084B" w:rsidRPr="006E0FA2" w:rsidRDefault="004F5E99" w:rsidP="009431C8">
            <w:pPr>
              <w:pStyle w:val="COMTabletext"/>
              <w:keepNext w:val="0"/>
              <w:numPr>
                <w:ilvl w:val="0"/>
                <w:numId w:val="14"/>
              </w:numPr>
              <w:ind w:left="147" w:hanging="113"/>
            </w:pPr>
            <w:proofErr w:type="spellStart"/>
            <w:r>
              <w:t>HRQoL</w:t>
            </w:r>
            <w:proofErr w:type="spellEnd"/>
            <w:r>
              <w:t xml:space="preserve"> (FACT-MM)</w:t>
            </w:r>
          </w:p>
        </w:tc>
        <w:tc>
          <w:tcPr>
            <w:tcW w:w="741" w:type="pct"/>
            <w:shd w:val="clear" w:color="auto" w:fill="auto"/>
            <w:vAlign w:val="center"/>
          </w:tcPr>
          <w:p w14:paraId="5A49A89D" w14:textId="77777777" w:rsidR="00682312" w:rsidRDefault="00682312" w:rsidP="009431C8">
            <w:pPr>
              <w:pStyle w:val="COMTabletext"/>
              <w:keepNext w:val="0"/>
              <w:numPr>
                <w:ilvl w:val="0"/>
                <w:numId w:val="14"/>
              </w:numPr>
              <w:ind w:left="147" w:hanging="113"/>
            </w:pPr>
            <w:r>
              <w:t>PFS</w:t>
            </w:r>
          </w:p>
          <w:p w14:paraId="1F43366D" w14:textId="77777777" w:rsidR="00682312" w:rsidRDefault="00682312" w:rsidP="009431C8">
            <w:pPr>
              <w:pStyle w:val="COMTabletext"/>
              <w:keepNext w:val="0"/>
              <w:numPr>
                <w:ilvl w:val="0"/>
                <w:numId w:val="14"/>
              </w:numPr>
              <w:ind w:left="147" w:hanging="113"/>
            </w:pPr>
            <w:r>
              <w:t>OS</w:t>
            </w:r>
          </w:p>
          <w:p w14:paraId="0351A18F" w14:textId="6CF21CAE" w:rsidR="00B9084B" w:rsidRPr="006E0FA2" w:rsidRDefault="00682312" w:rsidP="009431C8">
            <w:pPr>
              <w:pStyle w:val="COMTabletext"/>
              <w:keepNext w:val="0"/>
              <w:numPr>
                <w:ilvl w:val="0"/>
                <w:numId w:val="14"/>
              </w:numPr>
              <w:ind w:left="147" w:hanging="113"/>
            </w:pPr>
            <w:r>
              <w:t>Adverse events</w:t>
            </w:r>
          </w:p>
        </w:tc>
      </w:tr>
    </w:tbl>
    <w:p w14:paraId="560080D2" w14:textId="78169CC7" w:rsidR="00045017" w:rsidRPr="006E0FA2" w:rsidRDefault="00045017" w:rsidP="007E51D5">
      <w:pPr>
        <w:pStyle w:val="COMTablefooter"/>
      </w:pPr>
      <w:r w:rsidRPr="006E0FA2">
        <w:t xml:space="preserve">Source: </w:t>
      </w:r>
      <w:r w:rsidR="00682312" w:rsidRPr="00682312">
        <w:t>Section 2.4, pp71-91; Section 2.6.1, pp179-187; Section 2.6.2, pp188-193; Section 2.6.3, pp194-198 of the resubmission.</w:t>
      </w:r>
    </w:p>
    <w:p w14:paraId="5FA11E97" w14:textId="03BF959F" w:rsidR="00682312" w:rsidRDefault="00682312" w:rsidP="007E51D5">
      <w:pPr>
        <w:pStyle w:val="COMTablefooter"/>
      </w:pPr>
      <w:r>
        <w:t xml:space="preserve">Abbreviations: </w:t>
      </w:r>
      <w:r w:rsidR="00667787">
        <w:t xml:space="preserve">5L, 5-level; </w:t>
      </w:r>
      <w:r>
        <w:t xml:space="preserve">BCMA, B-cell maturation antigen; </w:t>
      </w:r>
      <w:r w:rsidR="00150423">
        <w:t xml:space="preserve">BICR, blinded independent central review; </w:t>
      </w:r>
      <w:r w:rsidR="00FB3F35">
        <w:t xml:space="preserve">Cd, carfilzomib + dexamethasone; </w:t>
      </w:r>
      <w:r>
        <w:t xml:space="preserve">CD, cluster of differentiation; </w:t>
      </w:r>
      <w:r w:rsidR="00667787">
        <w:t>CIPN, c</w:t>
      </w:r>
      <w:r w:rsidR="00667787" w:rsidRPr="00F461E5">
        <w:t>hemotherapy-induced peripheral neuropathy</w:t>
      </w:r>
      <w:r w:rsidR="00667787">
        <w:t xml:space="preserve">; </w:t>
      </w:r>
      <w:r w:rsidR="00525970">
        <w:t xml:space="preserve">CRR, complete response rate; </w:t>
      </w:r>
      <w:r>
        <w:t>ECOG, Eastern Cooperative Oncology Group;</w:t>
      </w:r>
      <w:r w:rsidR="00525970">
        <w:t xml:space="preserve"> EMD, extramedullary disease; EORTC,</w:t>
      </w:r>
      <w:r w:rsidR="00525970" w:rsidRPr="00F461E5">
        <w:t xml:space="preserve"> European Organization for Research and Treatment of Cancer</w:t>
      </w:r>
      <w:r w:rsidR="00525970">
        <w:t xml:space="preserve">; </w:t>
      </w:r>
      <w:r w:rsidR="00667787">
        <w:t xml:space="preserve">FACT-MM, Functional Assessment of Cancer Therapy – Multiple Myeloma; </w:t>
      </w:r>
      <w:proofErr w:type="spellStart"/>
      <w:r w:rsidR="00525970">
        <w:t>HRQoL</w:t>
      </w:r>
      <w:proofErr w:type="spellEnd"/>
      <w:r w:rsidR="00525970">
        <w:t xml:space="preserve">, health-related quality of life; </w:t>
      </w:r>
      <w:proofErr w:type="spellStart"/>
      <w:r>
        <w:t>IMiD</w:t>
      </w:r>
      <w:proofErr w:type="spellEnd"/>
      <w:r>
        <w:t xml:space="preserve">, immunomodulatory drug; </w:t>
      </w:r>
      <w:r w:rsidR="00667787">
        <w:t xml:space="preserve">IRC, independent review committee; </w:t>
      </w:r>
      <w:r w:rsidR="00525970">
        <w:t xml:space="preserve">MRD, minimal residual disease; </w:t>
      </w:r>
      <w:r w:rsidR="00150423">
        <w:t xml:space="preserve">ORR, overall response rate; </w:t>
      </w:r>
      <w:r w:rsidR="00525970">
        <w:t xml:space="preserve">OS, overall survival; </w:t>
      </w:r>
      <w:r w:rsidR="00FB3F35">
        <w:t xml:space="preserve">Pd, pomalidomide + dexamethasone; </w:t>
      </w:r>
      <w:r w:rsidR="00525970">
        <w:t xml:space="preserve">PFS, progression-free survival; </w:t>
      </w:r>
      <w:r w:rsidR="00667787">
        <w:t xml:space="preserve">PGI-C, </w:t>
      </w:r>
      <w:r w:rsidR="00667787" w:rsidRPr="002B05D1">
        <w:t>Patient Global Impression of Change</w:t>
      </w:r>
      <w:r w:rsidR="00667787">
        <w:t xml:space="preserve">; PGI-S, </w:t>
      </w:r>
      <w:r w:rsidR="00667787" w:rsidRPr="002B05D1">
        <w:t xml:space="preserve">Patient Global Impression of </w:t>
      </w:r>
      <w:r w:rsidR="00667787">
        <w:t xml:space="preserve">Severity; </w:t>
      </w:r>
      <w:r>
        <w:t>PI, proteasome inhibitor</w:t>
      </w:r>
      <w:r w:rsidR="00525970">
        <w:t>; QLQ, quality of life questionnaire</w:t>
      </w:r>
      <w:r w:rsidR="00FB3F35">
        <w:t>; Sd, selinexor + dexamethasone</w:t>
      </w:r>
      <w:r w:rsidR="00525970">
        <w:t>.</w:t>
      </w:r>
    </w:p>
    <w:p w14:paraId="525484B6" w14:textId="09BCAFE1" w:rsidR="004C418D" w:rsidRDefault="004C418D" w:rsidP="002A3BF4">
      <w:pPr>
        <w:pStyle w:val="COMexecsummnumbered"/>
      </w:pPr>
      <w:r>
        <w:t xml:space="preserve">The clinical evidence for </w:t>
      </w:r>
      <w:r w:rsidR="00B16A62">
        <w:t>elranatamab</w:t>
      </w:r>
      <w:r>
        <w:t xml:space="preserve"> was derived from the MagnetisMM-3 study, </w:t>
      </w:r>
      <w:r w:rsidR="00193281">
        <w:t>a</w:t>
      </w:r>
      <w:r w:rsidRPr="004C418D">
        <w:t>n ongoing, phase 2, open-label, single-arm study of elranatamab monotherapy</w:t>
      </w:r>
      <w:r>
        <w:t xml:space="preserve">. </w:t>
      </w:r>
      <w:r w:rsidR="00193281" w:rsidRPr="00193281">
        <w:t>The MagnetisMM-3 study included patients who were both naïve to BCMA-directed therapies (Cohort A, 123 patients), and patients with previous BCMA-directed therapy exposure (Cohort B; 64 patients).</w:t>
      </w:r>
      <w:r w:rsidR="00193281">
        <w:t xml:space="preserve"> </w:t>
      </w:r>
      <w:r w:rsidRPr="004C418D">
        <w:t>The resubmission include</w:t>
      </w:r>
      <w:r w:rsidR="005A51F7">
        <w:t>d</w:t>
      </w:r>
      <w:r w:rsidRPr="004C418D">
        <w:t xml:space="preserve"> results based on the March 2024 data cut.</w:t>
      </w:r>
    </w:p>
    <w:p w14:paraId="4A4FE085" w14:textId="1C5613CC" w:rsidR="00B60939" w:rsidRPr="006E0FA2" w:rsidRDefault="00B60939" w:rsidP="003D5DE7">
      <w:pPr>
        <w:pStyle w:val="COMH2-non-numbered"/>
      </w:pPr>
      <w:bookmarkStart w:id="24" w:name="_Toc22897641"/>
      <w:bookmarkStart w:id="25" w:name="_Toc188287176"/>
      <w:r w:rsidRPr="006E0FA2">
        <w:lastRenderedPageBreak/>
        <w:t>Comparative effectiveness</w:t>
      </w:r>
      <w:bookmarkEnd w:id="24"/>
      <w:bookmarkEnd w:id="25"/>
    </w:p>
    <w:p w14:paraId="4EC8AB3A" w14:textId="7C3DD24C" w:rsidR="003C6C10" w:rsidRPr="00F14984" w:rsidRDefault="003C6C10" w:rsidP="003C6C10">
      <w:pPr>
        <w:pStyle w:val="COMH3"/>
        <w:rPr>
          <w:sz w:val="24"/>
        </w:rPr>
      </w:pPr>
      <w:r w:rsidRPr="00F14984">
        <w:rPr>
          <w:sz w:val="24"/>
        </w:rPr>
        <w:t>Pivotal elranatamab study (MagnetisMM-3)</w:t>
      </w:r>
    </w:p>
    <w:p w14:paraId="4E4A12AA" w14:textId="25EE6BFB" w:rsidR="00CA4C4C" w:rsidRPr="006E0FA2" w:rsidRDefault="00A5273B" w:rsidP="00CA4C4C">
      <w:pPr>
        <w:pStyle w:val="COMexecsummnumbered"/>
      </w:pPr>
      <w:r>
        <w:fldChar w:fldCharType="begin" w:fldLock="1"/>
      </w:r>
      <w:r>
        <w:instrText xml:space="preserve"> REF _Ref187747014 \h </w:instrText>
      </w:r>
      <w:r>
        <w:fldChar w:fldCharType="separate"/>
      </w:r>
      <w:r w:rsidR="00347D89" w:rsidRPr="006E0FA2">
        <w:t xml:space="preserve">Table </w:t>
      </w:r>
      <w:r w:rsidR="00347D89">
        <w:rPr>
          <w:noProof/>
        </w:rPr>
        <w:t>5</w:t>
      </w:r>
      <w:r>
        <w:fldChar w:fldCharType="end"/>
      </w:r>
      <w:r w:rsidR="00CA4C4C">
        <w:t xml:space="preserve"> presents the results for blinded independent review committee-assessed response for Cohorts A and B of the MagnetisMM-3 study.</w:t>
      </w:r>
    </w:p>
    <w:p w14:paraId="3FB132C9" w14:textId="2F843330" w:rsidR="00CA4C4C" w:rsidRPr="00471739" w:rsidRDefault="00A0323C" w:rsidP="00CA4C4C">
      <w:pPr>
        <w:pStyle w:val="COMtablefigcaption"/>
      </w:pPr>
      <w:bookmarkStart w:id="26" w:name="_Ref187747014"/>
      <w:r w:rsidRPr="006E0FA2">
        <w:t xml:space="preserve">Table </w:t>
      </w:r>
      <w:r w:rsidR="006B329A">
        <w:fldChar w:fldCharType="begin" w:fldLock="1"/>
      </w:r>
      <w:r w:rsidR="006B329A">
        <w:instrText xml:space="preserve"> SEQ Table \* ARABIC </w:instrText>
      </w:r>
      <w:r w:rsidR="006B329A">
        <w:fldChar w:fldCharType="separate"/>
      </w:r>
      <w:r w:rsidR="00347D89">
        <w:rPr>
          <w:noProof/>
        </w:rPr>
        <w:t>5</w:t>
      </w:r>
      <w:r w:rsidR="006B329A">
        <w:rPr>
          <w:noProof/>
        </w:rPr>
        <w:fldChar w:fldCharType="end"/>
      </w:r>
      <w:bookmarkEnd w:id="26"/>
      <w:r w:rsidR="00CA4C4C" w:rsidRPr="00471739">
        <w:t xml:space="preserve">: </w:t>
      </w:r>
      <w:r w:rsidR="00CA4C4C">
        <w:t>B</w:t>
      </w:r>
      <w:r w:rsidR="00CA4C4C" w:rsidRPr="003A6B33">
        <w:t xml:space="preserve">linded independent central review </w:t>
      </w:r>
      <w:r w:rsidR="00CA4C4C">
        <w:t>response results for the MagnetisMM-3 study</w:t>
      </w:r>
      <w:r w:rsidR="00CA4C4C" w:rsidRPr="00471739">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5: Blinded independent central review response results for the MagnetisMM-3 study "/>
      </w:tblPr>
      <w:tblGrid>
        <w:gridCol w:w="5154"/>
        <w:gridCol w:w="1921"/>
        <w:gridCol w:w="1942"/>
      </w:tblGrid>
      <w:tr w:rsidR="00CA4C4C" w:rsidRPr="00471739" w14:paraId="4D971D15" w14:textId="77777777" w:rsidTr="00437046">
        <w:trPr>
          <w:tblHeader/>
        </w:trPr>
        <w:tc>
          <w:tcPr>
            <w:tcW w:w="2858" w:type="pct"/>
            <w:vAlign w:val="center"/>
          </w:tcPr>
          <w:p w14:paraId="0BF628DB" w14:textId="77777777" w:rsidR="00CA4C4C" w:rsidRPr="00471739" w:rsidRDefault="00CA4C4C" w:rsidP="002A3BF4">
            <w:pPr>
              <w:pStyle w:val="COMTableheadingrow"/>
            </w:pPr>
            <w:r>
              <w:t>Outcome</w:t>
            </w:r>
          </w:p>
        </w:tc>
        <w:tc>
          <w:tcPr>
            <w:tcW w:w="1065" w:type="pct"/>
            <w:vAlign w:val="center"/>
          </w:tcPr>
          <w:p w14:paraId="7D8A193F" w14:textId="77777777" w:rsidR="00CA4C4C" w:rsidRDefault="00CA4C4C" w:rsidP="002A3BF4">
            <w:pPr>
              <w:pStyle w:val="COMTableheadingrow"/>
              <w:jc w:val="center"/>
            </w:pPr>
            <w:r>
              <w:t>Elranatamab (Cohort A)</w:t>
            </w:r>
          </w:p>
          <w:p w14:paraId="35F76EDD" w14:textId="77777777" w:rsidR="00CA4C4C" w:rsidRPr="00471739" w:rsidRDefault="00CA4C4C" w:rsidP="002A3BF4">
            <w:pPr>
              <w:pStyle w:val="COMTableheadingrow"/>
              <w:jc w:val="center"/>
            </w:pPr>
            <w:r>
              <w:t>N=123</w:t>
            </w:r>
          </w:p>
        </w:tc>
        <w:tc>
          <w:tcPr>
            <w:tcW w:w="1077" w:type="pct"/>
          </w:tcPr>
          <w:p w14:paraId="7064DA31" w14:textId="77777777" w:rsidR="00CA4C4C" w:rsidRDefault="00CA4C4C" w:rsidP="002A3BF4">
            <w:pPr>
              <w:pStyle w:val="COMTableheadingrow"/>
              <w:jc w:val="center"/>
            </w:pPr>
            <w:r>
              <w:t>Elranatamab (Cohort B)</w:t>
            </w:r>
          </w:p>
          <w:p w14:paraId="681375B2" w14:textId="77777777" w:rsidR="00CA4C4C" w:rsidRDefault="00CA4C4C" w:rsidP="002A3BF4">
            <w:pPr>
              <w:pStyle w:val="COMTableheadingrow"/>
              <w:jc w:val="center"/>
            </w:pPr>
            <w:r>
              <w:t>N=64</w:t>
            </w:r>
          </w:p>
        </w:tc>
      </w:tr>
      <w:tr w:rsidR="00CA4C4C" w:rsidRPr="00471739" w14:paraId="7441279C" w14:textId="77777777" w:rsidTr="00437046">
        <w:trPr>
          <w:tblHeader/>
        </w:trPr>
        <w:tc>
          <w:tcPr>
            <w:tcW w:w="2858" w:type="pct"/>
          </w:tcPr>
          <w:p w14:paraId="39438C4A" w14:textId="77777777" w:rsidR="00CA4C4C" w:rsidRPr="00D00048" w:rsidRDefault="00CA4C4C" w:rsidP="002A3BF4">
            <w:pPr>
              <w:pStyle w:val="COMTabletext"/>
            </w:pPr>
            <w:r w:rsidRPr="00D00048">
              <w:t>Best overall response, n (%)</w:t>
            </w:r>
          </w:p>
          <w:p w14:paraId="6F69CEAB" w14:textId="77777777" w:rsidR="00CA4C4C" w:rsidRDefault="00CA4C4C" w:rsidP="002A3BF4">
            <w:pPr>
              <w:pStyle w:val="COMTabletext"/>
            </w:pPr>
            <w:r w:rsidRPr="00D00048">
              <w:t xml:space="preserve">- </w:t>
            </w:r>
            <w:r>
              <w:t>Stringent complete response (</w:t>
            </w:r>
            <w:proofErr w:type="spellStart"/>
            <w:r>
              <w:t>sCR</w:t>
            </w:r>
            <w:proofErr w:type="spellEnd"/>
            <w:r>
              <w:t>)</w:t>
            </w:r>
          </w:p>
          <w:p w14:paraId="492A6384" w14:textId="77777777" w:rsidR="00CA4C4C" w:rsidRDefault="00CA4C4C" w:rsidP="002A3BF4">
            <w:pPr>
              <w:pStyle w:val="COMTabletext"/>
            </w:pPr>
            <w:r>
              <w:t>- Complete response (CR)</w:t>
            </w:r>
          </w:p>
          <w:p w14:paraId="7A38A048" w14:textId="77777777" w:rsidR="00CA4C4C" w:rsidRDefault="00CA4C4C" w:rsidP="002A3BF4">
            <w:pPr>
              <w:pStyle w:val="COMTabletext"/>
            </w:pPr>
            <w:r>
              <w:t>- Very good partial response (VGPR)</w:t>
            </w:r>
          </w:p>
          <w:p w14:paraId="6969E87C" w14:textId="77777777" w:rsidR="00CA4C4C" w:rsidRDefault="00CA4C4C" w:rsidP="002A3BF4">
            <w:pPr>
              <w:pStyle w:val="COMTabletext"/>
            </w:pPr>
            <w:r>
              <w:t>- Partial response (PR)</w:t>
            </w:r>
          </w:p>
          <w:p w14:paraId="1F08C07B" w14:textId="77777777" w:rsidR="00CA4C4C" w:rsidRDefault="00CA4C4C" w:rsidP="002A3BF4">
            <w:pPr>
              <w:pStyle w:val="COMTabletext"/>
            </w:pPr>
            <w:r>
              <w:t>- Minimal response (MR)</w:t>
            </w:r>
          </w:p>
          <w:p w14:paraId="2DCCE396" w14:textId="77777777" w:rsidR="00CA4C4C" w:rsidRDefault="00CA4C4C" w:rsidP="002A3BF4">
            <w:pPr>
              <w:pStyle w:val="COMTabletext"/>
            </w:pPr>
            <w:r>
              <w:t>- Stable disease (SD)</w:t>
            </w:r>
          </w:p>
          <w:p w14:paraId="2843AE1C" w14:textId="77777777" w:rsidR="00CA4C4C" w:rsidRDefault="00CA4C4C" w:rsidP="002A3BF4">
            <w:pPr>
              <w:pStyle w:val="COMTabletext"/>
            </w:pPr>
            <w:r>
              <w:t>- Progressive disease (PD)</w:t>
            </w:r>
          </w:p>
          <w:p w14:paraId="477B3FFD" w14:textId="77777777" w:rsidR="00CA4C4C" w:rsidRPr="00E83A9C" w:rsidRDefault="00CA4C4C" w:rsidP="002A3BF4">
            <w:pPr>
              <w:pStyle w:val="COMTableheadingrow"/>
              <w:rPr>
                <w:b w:val="0"/>
                <w:bCs/>
              </w:rPr>
            </w:pPr>
            <w:r w:rsidRPr="00B852E5">
              <w:rPr>
                <w:b w:val="0"/>
              </w:rPr>
              <w:t>- Not</w:t>
            </w:r>
            <w:r w:rsidRPr="00E83A9C">
              <w:rPr>
                <w:b w:val="0"/>
                <w:bCs/>
              </w:rPr>
              <w:t xml:space="preserve"> evaluable (NE)</w:t>
            </w:r>
          </w:p>
        </w:tc>
        <w:tc>
          <w:tcPr>
            <w:tcW w:w="1065" w:type="pct"/>
          </w:tcPr>
          <w:p w14:paraId="5E52A241" w14:textId="77777777" w:rsidR="00CA4C4C" w:rsidRDefault="00CA4C4C" w:rsidP="002A3BF4">
            <w:pPr>
              <w:pStyle w:val="COMTableheadingrow"/>
              <w:jc w:val="center"/>
              <w:rPr>
                <w:b w:val="0"/>
                <w:bCs/>
              </w:rPr>
            </w:pPr>
          </w:p>
          <w:p w14:paraId="23276D2F" w14:textId="77777777" w:rsidR="00CA4C4C" w:rsidRPr="00E83A9C" w:rsidRDefault="00CA4C4C" w:rsidP="002A3BF4">
            <w:pPr>
              <w:pStyle w:val="COMTableheadingrow"/>
              <w:jc w:val="center"/>
              <w:rPr>
                <w:b w:val="0"/>
                <w:bCs/>
              </w:rPr>
            </w:pPr>
            <w:r w:rsidRPr="00E83A9C">
              <w:rPr>
                <w:b w:val="0"/>
                <w:bCs/>
              </w:rPr>
              <w:t>20 (16.3)</w:t>
            </w:r>
          </w:p>
          <w:p w14:paraId="3A94682F" w14:textId="77777777" w:rsidR="00CA4C4C" w:rsidRPr="00E83A9C" w:rsidRDefault="00CA4C4C" w:rsidP="002A3BF4">
            <w:pPr>
              <w:pStyle w:val="COMTableheadingrow"/>
              <w:jc w:val="center"/>
              <w:rPr>
                <w:b w:val="0"/>
                <w:bCs/>
              </w:rPr>
            </w:pPr>
            <w:r w:rsidRPr="00E83A9C">
              <w:rPr>
                <w:b w:val="0"/>
                <w:bCs/>
              </w:rPr>
              <w:t>26 (21.1)</w:t>
            </w:r>
          </w:p>
          <w:p w14:paraId="6A6DB12F" w14:textId="77777777" w:rsidR="00CA4C4C" w:rsidRPr="00E83A9C" w:rsidRDefault="00CA4C4C" w:rsidP="002A3BF4">
            <w:pPr>
              <w:pStyle w:val="COMTableheadingrow"/>
              <w:jc w:val="center"/>
              <w:rPr>
                <w:b w:val="0"/>
                <w:bCs/>
              </w:rPr>
            </w:pPr>
            <w:r w:rsidRPr="00E83A9C">
              <w:rPr>
                <w:b w:val="0"/>
                <w:bCs/>
              </w:rPr>
              <w:t>23 (18.7)</w:t>
            </w:r>
          </w:p>
          <w:p w14:paraId="0D333750" w14:textId="77777777" w:rsidR="00CA4C4C" w:rsidRPr="00E83A9C" w:rsidRDefault="00CA4C4C" w:rsidP="002A3BF4">
            <w:pPr>
              <w:pStyle w:val="COMTableheadingrow"/>
              <w:jc w:val="center"/>
              <w:rPr>
                <w:b w:val="0"/>
                <w:bCs/>
              </w:rPr>
            </w:pPr>
            <w:r w:rsidRPr="00E83A9C">
              <w:rPr>
                <w:b w:val="0"/>
                <w:bCs/>
              </w:rPr>
              <w:t>6 (4.9)</w:t>
            </w:r>
          </w:p>
          <w:p w14:paraId="00DDA65F" w14:textId="77777777" w:rsidR="00CA4C4C" w:rsidRPr="00E83A9C" w:rsidRDefault="00CA4C4C" w:rsidP="002A3BF4">
            <w:pPr>
              <w:pStyle w:val="COMTableheadingrow"/>
              <w:jc w:val="center"/>
              <w:rPr>
                <w:b w:val="0"/>
                <w:bCs/>
              </w:rPr>
            </w:pPr>
            <w:r w:rsidRPr="00E83A9C">
              <w:rPr>
                <w:b w:val="0"/>
                <w:bCs/>
              </w:rPr>
              <w:t xml:space="preserve">0 </w:t>
            </w:r>
          </w:p>
          <w:p w14:paraId="524447BA" w14:textId="77777777" w:rsidR="00CA4C4C" w:rsidRPr="00E83A9C" w:rsidRDefault="00CA4C4C" w:rsidP="002A3BF4">
            <w:pPr>
              <w:pStyle w:val="COMTableheadingrow"/>
              <w:jc w:val="center"/>
              <w:rPr>
                <w:b w:val="0"/>
                <w:bCs/>
              </w:rPr>
            </w:pPr>
            <w:r w:rsidRPr="00E83A9C">
              <w:rPr>
                <w:b w:val="0"/>
                <w:bCs/>
              </w:rPr>
              <w:t>21 (17.1)</w:t>
            </w:r>
          </w:p>
          <w:p w14:paraId="208093C6" w14:textId="77777777" w:rsidR="00CA4C4C" w:rsidRPr="00E83A9C" w:rsidRDefault="00CA4C4C" w:rsidP="002A3BF4">
            <w:pPr>
              <w:pStyle w:val="COMTableheadingrow"/>
              <w:jc w:val="center"/>
              <w:rPr>
                <w:b w:val="0"/>
                <w:bCs/>
              </w:rPr>
            </w:pPr>
            <w:r w:rsidRPr="00E83A9C">
              <w:rPr>
                <w:b w:val="0"/>
                <w:bCs/>
              </w:rPr>
              <w:t>22 (17.9)</w:t>
            </w:r>
          </w:p>
          <w:p w14:paraId="7FB1D2C4" w14:textId="77777777" w:rsidR="00CA4C4C" w:rsidRPr="00D00048" w:rsidRDefault="00CA4C4C" w:rsidP="002A3BF4">
            <w:pPr>
              <w:pStyle w:val="COMTableheadingrow"/>
              <w:jc w:val="center"/>
              <w:rPr>
                <w:b w:val="0"/>
                <w:bCs/>
              </w:rPr>
            </w:pPr>
            <w:r w:rsidRPr="00E83A9C">
              <w:rPr>
                <w:b w:val="0"/>
                <w:bCs/>
              </w:rPr>
              <w:t>5 (4.1)</w:t>
            </w:r>
          </w:p>
        </w:tc>
        <w:tc>
          <w:tcPr>
            <w:tcW w:w="1077" w:type="pct"/>
          </w:tcPr>
          <w:p w14:paraId="63EFA01D" w14:textId="77777777" w:rsidR="00CA4C4C" w:rsidRDefault="00CA4C4C" w:rsidP="002A3BF4">
            <w:pPr>
              <w:pStyle w:val="COMTabletext"/>
              <w:jc w:val="center"/>
            </w:pPr>
          </w:p>
          <w:p w14:paraId="7ADE5C90" w14:textId="77777777" w:rsidR="00CA4C4C" w:rsidRDefault="00CA4C4C" w:rsidP="002A3BF4">
            <w:pPr>
              <w:pStyle w:val="COMTabletext"/>
              <w:jc w:val="center"/>
            </w:pPr>
            <w:r>
              <w:t>0</w:t>
            </w:r>
          </w:p>
          <w:p w14:paraId="3F91ECF5" w14:textId="77777777" w:rsidR="00CA4C4C" w:rsidRDefault="00CA4C4C" w:rsidP="002A3BF4">
            <w:pPr>
              <w:pStyle w:val="COMTabletext"/>
              <w:jc w:val="center"/>
            </w:pPr>
            <w:r>
              <w:t>9 (14.1)</w:t>
            </w:r>
          </w:p>
          <w:p w14:paraId="5C3C5B87" w14:textId="77777777" w:rsidR="00CA4C4C" w:rsidRDefault="00CA4C4C" w:rsidP="002A3BF4">
            <w:pPr>
              <w:pStyle w:val="COMTabletext"/>
              <w:jc w:val="center"/>
            </w:pPr>
            <w:r>
              <w:t>12 (18.8)</w:t>
            </w:r>
          </w:p>
          <w:p w14:paraId="129032CC" w14:textId="77777777" w:rsidR="00CA4C4C" w:rsidRDefault="00CA4C4C" w:rsidP="002A3BF4">
            <w:pPr>
              <w:pStyle w:val="COMTabletext"/>
              <w:jc w:val="center"/>
            </w:pPr>
            <w:r>
              <w:t>1 (1.6)</w:t>
            </w:r>
          </w:p>
          <w:p w14:paraId="40F96D0A" w14:textId="77777777" w:rsidR="00CA4C4C" w:rsidRDefault="00CA4C4C" w:rsidP="002A3BF4">
            <w:pPr>
              <w:pStyle w:val="COMTabletext"/>
              <w:jc w:val="center"/>
            </w:pPr>
            <w:r>
              <w:t>0</w:t>
            </w:r>
          </w:p>
          <w:p w14:paraId="3BD8E390" w14:textId="77777777" w:rsidR="00CA4C4C" w:rsidRDefault="00CA4C4C" w:rsidP="002A3BF4">
            <w:pPr>
              <w:pStyle w:val="COMTabletext"/>
              <w:jc w:val="center"/>
            </w:pPr>
            <w:r>
              <w:t>18 (28.1)</w:t>
            </w:r>
          </w:p>
          <w:p w14:paraId="0A9ED75E" w14:textId="77777777" w:rsidR="00CA4C4C" w:rsidRDefault="00CA4C4C" w:rsidP="002A3BF4">
            <w:pPr>
              <w:pStyle w:val="COMTabletext"/>
              <w:jc w:val="center"/>
            </w:pPr>
            <w:r>
              <w:t>17 (26.6)</w:t>
            </w:r>
          </w:p>
          <w:p w14:paraId="0AB8F2A4" w14:textId="77777777" w:rsidR="00CA4C4C" w:rsidRPr="00D00048" w:rsidRDefault="00CA4C4C" w:rsidP="002A3BF4">
            <w:pPr>
              <w:pStyle w:val="COMTabletext"/>
              <w:jc w:val="center"/>
            </w:pPr>
            <w:r>
              <w:t>7 (10.9)</w:t>
            </w:r>
          </w:p>
        </w:tc>
      </w:tr>
      <w:tr w:rsidR="00CA4C4C" w:rsidRPr="00471739" w14:paraId="4AF72372" w14:textId="77777777" w:rsidTr="00437046">
        <w:tc>
          <w:tcPr>
            <w:tcW w:w="2858" w:type="pct"/>
          </w:tcPr>
          <w:p w14:paraId="0299880F" w14:textId="77777777" w:rsidR="00CA4C4C" w:rsidRDefault="00CA4C4C" w:rsidP="002A3BF4">
            <w:pPr>
              <w:pStyle w:val="COMTabletext"/>
            </w:pPr>
            <w:r>
              <w:t xml:space="preserve">Overall response rate </w:t>
            </w:r>
            <w:r w:rsidRPr="004C2CA6">
              <w:t>(</w:t>
            </w:r>
            <w:proofErr w:type="spellStart"/>
            <w:r w:rsidRPr="004C2CA6">
              <w:t>sCR</w:t>
            </w:r>
            <w:proofErr w:type="spellEnd"/>
            <w:r>
              <w:t xml:space="preserve"> </w:t>
            </w:r>
            <w:r w:rsidRPr="004C2CA6">
              <w:t>+</w:t>
            </w:r>
            <w:r>
              <w:t xml:space="preserve"> </w:t>
            </w:r>
            <w:r w:rsidRPr="004C2CA6">
              <w:t>CR</w:t>
            </w:r>
            <w:r>
              <w:t xml:space="preserve"> </w:t>
            </w:r>
            <w:r w:rsidRPr="004C2CA6">
              <w:t>+</w:t>
            </w:r>
            <w:r>
              <w:t xml:space="preserve"> </w:t>
            </w:r>
            <w:r w:rsidRPr="004C2CA6">
              <w:t>VGPR</w:t>
            </w:r>
            <w:r>
              <w:t xml:space="preserve"> </w:t>
            </w:r>
            <w:r w:rsidRPr="004C2CA6">
              <w:t>+</w:t>
            </w:r>
            <w:r>
              <w:t xml:space="preserve"> </w:t>
            </w:r>
            <w:r w:rsidRPr="004C2CA6">
              <w:t>PR)</w:t>
            </w:r>
            <w:r>
              <w:t>, n (%)</w:t>
            </w:r>
          </w:p>
          <w:p w14:paraId="570548A4" w14:textId="77777777" w:rsidR="00CA4C4C" w:rsidRPr="00A67148" w:rsidRDefault="00CA4C4C" w:rsidP="002A3BF4">
            <w:pPr>
              <w:pStyle w:val="COMTabletext"/>
            </w:pPr>
            <w:r>
              <w:t>- 95% CI</w:t>
            </w:r>
          </w:p>
        </w:tc>
        <w:tc>
          <w:tcPr>
            <w:tcW w:w="1065" w:type="pct"/>
          </w:tcPr>
          <w:p w14:paraId="00C0A755" w14:textId="77777777" w:rsidR="00CA4C4C" w:rsidRDefault="00CA4C4C" w:rsidP="002A3BF4">
            <w:pPr>
              <w:pStyle w:val="COMTabletext"/>
              <w:jc w:val="center"/>
            </w:pPr>
            <w:r>
              <w:t>75 (61.0)</w:t>
            </w:r>
          </w:p>
          <w:p w14:paraId="79E013A2" w14:textId="77777777" w:rsidR="00CA4C4C" w:rsidRPr="00471739" w:rsidRDefault="00CA4C4C" w:rsidP="002A3BF4">
            <w:pPr>
              <w:pStyle w:val="COMTabletext"/>
              <w:jc w:val="center"/>
            </w:pPr>
            <w:r>
              <w:t>51.8, 69.6</w:t>
            </w:r>
          </w:p>
        </w:tc>
        <w:tc>
          <w:tcPr>
            <w:tcW w:w="1077" w:type="pct"/>
          </w:tcPr>
          <w:p w14:paraId="245E310E" w14:textId="77777777" w:rsidR="00CA4C4C" w:rsidRDefault="00CA4C4C" w:rsidP="002A3BF4">
            <w:pPr>
              <w:pStyle w:val="COMTabletext"/>
              <w:jc w:val="center"/>
            </w:pPr>
            <w:r>
              <w:t>22 (34.4)</w:t>
            </w:r>
          </w:p>
          <w:p w14:paraId="4C8CA733" w14:textId="77777777" w:rsidR="00CA4C4C" w:rsidRPr="006E31A6" w:rsidRDefault="00CA4C4C" w:rsidP="002A3BF4">
            <w:pPr>
              <w:pStyle w:val="COMTabletext"/>
              <w:jc w:val="center"/>
            </w:pPr>
            <w:r>
              <w:t>22.9, 47.3</w:t>
            </w:r>
          </w:p>
        </w:tc>
      </w:tr>
      <w:tr w:rsidR="00CA4C4C" w:rsidRPr="00471739" w14:paraId="59243757" w14:textId="77777777" w:rsidTr="00437046">
        <w:tc>
          <w:tcPr>
            <w:tcW w:w="2858" w:type="pct"/>
          </w:tcPr>
          <w:p w14:paraId="0617B70A" w14:textId="77777777" w:rsidR="00CA4C4C" w:rsidRDefault="00CA4C4C" w:rsidP="002A3BF4">
            <w:pPr>
              <w:pStyle w:val="COMTabletext"/>
            </w:pPr>
            <w:r>
              <w:t xml:space="preserve">Complete response rate </w:t>
            </w:r>
            <w:r w:rsidRPr="00CF57A4">
              <w:t>(</w:t>
            </w:r>
            <w:proofErr w:type="spellStart"/>
            <w:r w:rsidRPr="00CF57A4">
              <w:t>sCR</w:t>
            </w:r>
            <w:proofErr w:type="spellEnd"/>
            <w:r>
              <w:t xml:space="preserve"> </w:t>
            </w:r>
            <w:r w:rsidRPr="00CF57A4">
              <w:t>+</w:t>
            </w:r>
            <w:r>
              <w:t xml:space="preserve"> </w:t>
            </w:r>
            <w:r w:rsidRPr="00CF57A4">
              <w:t>CR)</w:t>
            </w:r>
            <w:r>
              <w:t>,</w:t>
            </w:r>
            <w:r w:rsidRPr="00CF57A4">
              <w:t xml:space="preserve"> </w:t>
            </w:r>
            <w:r>
              <w:t>n (%)</w:t>
            </w:r>
          </w:p>
          <w:p w14:paraId="56D5C051" w14:textId="77777777" w:rsidR="00CA4C4C" w:rsidRDefault="00CA4C4C" w:rsidP="002A3BF4">
            <w:pPr>
              <w:pStyle w:val="COMTabletext"/>
            </w:pPr>
            <w:r>
              <w:t>- 95% CI</w:t>
            </w:r>
          </w:p>
        </w:tc>
        <w:tc>
          <w:tcPr>
            <w:tcW w:w="1065" w:type="pct"/>
          </w:tcPr>
          <w:p w14:paraId="613FBA6A" w14:textId="77777777" w:rsidR="00CA4C4C" w:rsidRDefault="00CA4C4C" w:rsidP="002A3BF4">
            <w:pPr>
              <w:pStyle w:val="COMTabletext"/>
              <w:jc w:val="center"/>
            </w:pPr>
            <w:r>
              <w:t>46 (37.4)</w:t>
            </w:r>
          </w:p>
          <w:p w14:paraId="64DF704A" w14:textId="77777777" w:rsidR="00CA4C4C" w:rsidRPr="006E31A6" w:rsidRDefault="00CA4C4C" w:rsidP="002A3BF4">
            <w:pPr>
              <w:pStyle w:val="COMTabletext"/>
              <w:jc w:val="center"/>
            </w:pPr>
            <w:r>
              <w:t>28.8, 46.6</w:t>
            </w:r>
          </w:p>
        </w:tc>
        <w:tc>
          <w:tcPr>
            <w:tcW w:w="1077" w:type="pct"/>
          </w:tcPr>
          <w:p w14:paraId="6AE3A36B" w14:textId="77777777" w:rsidR="00CA4C4C" w:rsidRDefault="00CA4C4C" w:rsidP="002A3BF4">
            <w:pPr>
              <w:pStyle w:val="COMTabletext"/>
              <w:jc w:val="center"/>
            </w:pPr>
            <w:r>
              <w:t>9 (14.1)</w:t>
            </w:r>
          </w:p>
          <w:p w14:paraId="3A012639" w14:textId="77777777" w:rsidR="00CA4C4C" w:rsidRDefault="00CA4C4C" w:rsidP="002A3BF4">
            <w:pPr>
              <w:pStyle w:val="COMTabletext"/>
              <w:jc w:val="center"/>
            </w:pPr>
            <w:r>
              <w:t>6.6, 25.0</w:t>
            </w:r>
          </w:p>
        </w:tc>
      </w:tr>
      <w:tr w:rsidR="00CA4C4C" w:rsidRPr="00471739" w14:paraId="4B6CC20B" w14:textId="77777777" w:rsidTr="00437046">
        <w:tc>
          <w:tcPr>
            <w:tcW w:w="2858" w:type="pct"/>
          </w:tcPr>
          <w:p w14:paraId="5D6BEE41" w14:textId="698C7F3A" w:rsidR="00CA4C4C" w:rsidRDefault="00CA4C4C" w:rsidP="002A3BF4">
            <w:pPr>
              <w:pStyle w:val="COMTabletext"/>
            </w:pPr>
            <w:r w:rsidRPr="00CF57A4">
              <w:t xml:space="preserve">VGPR or </w:t>
            </w:r>
            <w:r w:rsidR="00F856CC">
              <w:t>b</w:t>
            </w:r>
            <w:r w:rsidRPr="00CF57A4">
              <w:t xml:space="preserve">etter </w:t>
            </w:r>
            <w:r>
              <w:t xml:space="preserve">response rate </w:t>
            </w:r>
            <w:r w:rsidRPr="00CF57A4">
              <w:t>(</w:t>
            </w:r>
            <w:proofErr w:type="spellStart"/>
            <w:r w:rsidRPr="00CF57A4">
              <w:t>sCR</w:t>
            </w:r>
            <w:proofErr w:type="spellEnd"/>
            <w:r>
              <w:t xml:space="preserve"> </w:t>
            </w:r>
            <w:r w:rsidRPr="00CF57A4">
              <w:t>+</w:t>
            </w:r>
            <w:r>
              <w:t xml:space="preserve"> </w:t>
            </w:r>
            <w:r w:rsidRPr="00CF57A4">
              <w:t>CR</w:t>
            </w:r>
            <w:r>
              <w:t xml:space="preserve"> </w:t>
            </w:r>
            <w:r w:rsidRPr="00CF57A4">
              <w:t>+</w:t>
            </w:r>
            <w:r>
              <w:t xml:space="preserve"> </w:t>
            </w:r>
            <w:r w:rsidRPr="00CF57A4">
              <w:t>VGPR), n (%)</w:t>
            </w:r>
          </w:p>
          <w:p w14:paraId="10A011CD" w14:textId="77777777" w:rsidR="00CA4C4C" w:rsidRDefault="00CA4C4C" w:rsidP="002A3BF4">
            <w:pPr>
              <w:pStyle w:val="COMTabletext"/>
            </w:pPr>
            <w:r>
              <w:t>- 95% CI</w:t>
            </w:r>
          </w:p>
        </w:tc>
        <w:tc>
          <w:tcPr>
            <w:tcW w:w="1065" w:type="pct"/>
          </w:tcPr>
          <w:p w14:paraId="67D7A54F" w14:textId="77777777" w:rsidR="00CA4C4C" w:rsidRDefault="00CA4C4C" w:rsidP="002A3BF4">
            <w:pPr>
              <w:pStyle w:val="COMTabletext"/>
              <w:jc w:val="center"/>
            </w:pPr>
            <w:r>
              <w:t>69 (56.1)</w:t>
            </w:r>
          </w:p>
          <w:p w14:paraId="56EDBE9C" w14:textId="77777777" w:rsidR="00CA4C4C" w:rsidRPr="006E31A6" w:rsidRDefault="00CA4C4C" w:rsidP="002A3BF4">
            <w:pPr>
              <w:pStyle w:val="COMTabletext"/>
              <w:jc w:val="center"/>
            </w:pPr>
            <w:r>
              <w:t>46.9, 65.0</w:t>
            </w:r>
          </w:p>
        </w:tc>
        <w:tc>
          <w:tcPr>
            <w:tcW w:w="1077" w:type="pct"/>
          </w:tcPr>
          <w:p w14:paraId="79B64A9F" w14:textId="77777777" w:rsidR="00CA4C4C" w:rsidRDefault="00CA4C4C" w:rsidP="002A3BF4">
            <w:pPr>
              <w:pStyle w:val="COMTabletext"/>
              <w:jc w:val="center"/>
            </w:pPr>
            <w:r>
              <w:t>21 (32.8)</w:t>
            </w:r>
          </w:p>
          <w:p w14:paraId="6159C1CD" w14:textId="77777777" w:rsidR="00CA4C4C" w:rsidRDefault="00CA4C4C" w:rsidP="002A3BF4">
            <w:pPr>
              <w:pStyle w:val="COMTabletext"/>
              <w:jc w:val="center"/>
            </w:pPr>
            <w:r>
              <w:t>21.6, 45.7</w:t>
            </w:r>
          </w:p>
        </w:tc>
      </w:tr>
      <w:tr w:rsidR="00CA4C4C" w:rsidRPr="00471739" w14:paraId="59431DBE" w14:textId="77777777" w:rsidTr="00437046">
        <w:tc>
          <w:tcPr>
            <w:tcW w:w="2858" w:type="pct"/>
          </w:tcPr>
          <w:p w14:paraId="265D0168" w14:textId="77777777" w:rsidR="00CA4C4C" w:rsidRPr="00471739" w:rsidRDefault="00CA4C4C" w:rsidP="002A3BF4">
            <w:pPr>
              <w:pStyle w:val="COMTabletext"/>
            </w:pPr>
            <w:r w:rsidRPr="00CF57A4">
              <w:t xml:space="preserve">Clinical </w:t>
            </w:r>
            <w:r>
              <w:t>b</w:t>
            </w:r>
            <w:r w:rsidRPr="00CF57A4">
              <w:t xml:space="preserve">enefit </w:t>
            </w:r>
            <w:r>
              <w:t xml:space="preserve">rate </w:t>
            </w:r>
            <w:r w:rsidRPr="00CF57A4">
              <w:t>(</w:t>
            </w:r>
            <w:proofErr w:type="spellStart"/>
            <w:r w:rsidRPr="00CF57A4">
              <w:t>sCR</w:t>
            </w:r>
            <w:proofErr w:type="spellEnd"/>
            <w:r>
              <w:t xml:space="preserve"> </w:t>
            </w:r>
            <w:r w:rsidRPr="00CF57A4">
              <w:t>+</w:t>
            </w:r>
            <w:r>
              <w:t xml:space="preserve"> </w:t>
            </w:r>
            <w:r w:rsidRPr="00CF57A4">
              <w:t>CR</w:t>
            </w:r>
            <w:r>
              <w:t xml:space="preserve"> </w:t>
            </w:r>
            <w:r w:rsidRPr="00CF57A4">
              <w:t>+</w:t>
            </w:r>
            <w:r>
              <w:t xml:space="preserve"> </w:t>
            </w:r>
            <w:r w:rsidRPr="00CF57A4">
              <w:t>VGPR</w:t>
            </w:r>
            <w:r>
              <w:t xml:space="preserve"> </w:t>
            </w:r>
            <w:r w:rsidRPr="00CF57A4">
              <w:t>+</w:t>
            </w:r>
            <w:r>
              <w:t xml:space="preserve"> </w:t>
            </w:r>
            <w:r w:rsidRPr="00CF57A4">
              <w:t>PR</w:t>
            </w:r>
            <w:r>
              <w:t xml:space="preserve"> </w:t>
            </w:r>
            <w:r w:rsidRPr="00CF57A4">
              <w:t>+</w:t>
            </w:r>
            <w:r>
              <w:t xml:space="preserve"> </w:t>
            </w:r>
            <w:r w:rsidRPr="00CF57A4">
              <w:t xml:space="preserve">MR) </w:t>
            </w:r>
            <w:r>
              <w:t>r</w:t>
            </w:r>
            <w:r w:rsidRPr="00CF57A4">
              <w:t>ate</w:t>
            </w:r>
            <w:r w:rsidRPr="00A2097A">
              <w:t>, n (%)</w:t>
            </w:r>
          </w:p>
          <w:p w14:paraId="590BAB5A" w14:textId="77777777" w:rsidR="00CA4C4C" w:rsidRDefault="00CA4C4C" w:rsidP="002A3BF4">
            <w:pPr>
              <w:pStyle w:val="COMTabletext"/>
            </w:pPr>
            <w:r>
              <w:t xml:space="preserve">- </w:t>
            </w:r>
            <w:r w:rsidRPr="00A2097A">
              <w:t>95% CI</w:t>
            </w:r>
          </w:p>
        </w:tc>
        <w:tc>
          <w:tcPr>
            <w:tcW w:w="1065" w:type="pct"/>
          </w:tcPr>
          <w:p w14:paraId="2FB97ADB" w14:textId="77777777" w:rsidR="00CA4C4C" w:rsidRDefault="00CA4C4C" w:rsidP="002A3BF4">
            <w:pPr>
              <w:pStyle w:val="COMTabletext"/>
              <w:jc w:val="center"/>
            </w:pPr>
            <w:r>
              <w:t>75 (61.0)</w:t>
            </w:r>
          </w:p>
          <w:p w14:paraId="79AAF142" w14:textId="77777777" w:rsidR="00CA4C4C" w:rsidRPr="006E31A6" w:rsidRDefault="00CA4C4C" w:rsidP="002A3BF4">
            <w:pPr>
              <w:pStyle w:val="COMTabletext"/>
              <w:jc w:val="center"/>
            </w:pPr>
            <w:r>
              <w:t>51.8, 69.6</w:t>
            </w:r>
          </w:p>
        </w:tc>
        <w:tc>
          <w:tcPr>
            <w:tcW w:w="1077" w:type="pct"/>
          </w:tcPr>
          <w:p w14:paraId="2DF658AE" w14:textId="77777777" w:rsidR="00CA4C4C" w:rsidRDefault="00CA4C4C" w:rsidP="002A3BF4">
            <w:pPr>
              <w:pStyle w:val="COMTabletext"/>
              <w:jc w:val="center"/>
            </w:pPr>
            <w:r>
              <w:t>22 (34.4)</w:t>
            </w:r>
          </w:p>
          <w:p w14:paraId="5EB4CDAC" w14:textId="77777777" w:rsidR="00CA4C4C" w:rsidRPr="00C141F7" w:rsidRDefault="00CA4C4C" w:rsidP="002A3BF4">
            <w:pPr>
              <w:pStyle w:val="COMTabletext"/>
              <w:jc w:val="center"/>
            </w:pPr>
            <w:r>
              <w:t>22.9, 47.3</w:t>
            </w:r>
          </w:p>
        </w:tc>
      </w:tr>
      <w:tr w:rsidR="00CA4C4C" w:rsidRPr="00471739" w14:paraId="223E033C" w14:textId="77777777" w:rsidTr="00437046">
        <w:tc>
          <w:tcPr>
            <w:tcW w:w="2858" w:type="pct"/>
          </w:tcPr>
          <w:p w14:paraId="7ED8EF31" w14:textId="77777777" w:rsidR="00CA4C4C" w:rsidRPr="00A2097A" w:rsidRDefault="00CA4C4C" w:rsidP="002A3BF4">
            <w:pPr>
              <w:pStyle w:val="COMTabletext"/>
            </w:pPr>
            <w:r w:rsidRPr="00CF57A4">
              <w:t xml:space="preserve">Participants </w:t>
            </w:r>
            <w:r>
              <w:t>o</w:t>
            </w:r>
            <w:r w:rsidRPr="00CF57A4">
              <w:t>n</w:t>
            </w:r>
            <w:r>
              <w:t xml:space="preserve"> </w:t>
            </w:r>
            <w:r w:rsidRPr="00CF57A4">
              <w:t>treatment</w:t>
            </w:r>
            <w:r>
              <w:t xml:space="preserve">, no </w:t>
            </w:r>
            <w:r w:rsidRPr="00CF57A4">
              <w:t>progression</w:t>
            </w:r>
            <w:r>
              <w:t xml:space="preserve">, </w:t>
            </w:r>
            <w:r w:rsidRPr="00CF57A4">
              <w:t>confirmed response</w:t>
            </w:r>
          </w:p>
        </w:tc>
        <w:tc>
          <w:tcPr>
            <w:tcW w:w="1065" w:type="pct"/>
            <w:vAlign w:val="center"/>
          </w:tcPr>
          <w:p w14:paraId="635D1D97" w14:textId="77777777" w:rsidR="00CA4C4C" w:rsidRPr="006E31A6" w:rsidRDefault="00CA4C4C" w:rsidP="002A3BF4">
            <w:pPr>
              <w:pStyle w:val="COMTabletext"/>
              <w:jc w:val="center"/>
            </w:pPr>
            <w:r>
              <w:t>0</w:t>
            </w:r>
          </w:p>
        </w:tc>
        <w:tc>
          <w:tcPr>
            <w:tcW w:w="1077" w:type="pct"/>
            <w:vAlign w:val="center"/>
          </w:tcPr>
          <w:p w14:paraId="06450E30" w14:textId="77777777" w:rsidR="00CA4C4C" w:rsidRPr="00C141F7" w:rsidRDefault="00CA4C4C" w:rsidP="002A3BF4">
            <w:pPr>
              <w:pStyle w:val="COMTabletext"/>
              <w:jc w:val="center"/>
            </w:pPr>
            <w:r>
              <w:t>0</w:t>
            </w:r>
          </w:p>
        </w:tc>
      </w:tr>
      <w:tr w:rsidR="00CA4C4C" w:rsidRPr="00471739" w14:paraId="26DFAFB2" w14:textId="77777777" w:rsidTr="00437046">
        <w:tc>
          <w:tcPr>
            <w:tcW w:w="2858" w:type="pct"/>
          </w:tcPr>
          <w:p w14:paraId="400EC653" w14:textId="77777777" w:rsidR="00CA4C4C" w:rsidRPr="00A2097A" w:rsidRDefault="00CA4C4C" w:rsidP="002A3BF4">
            <w:pPr>
              <w:pStyle w:val="COMTabletext"/>
            </w:pPr>
            <w:r w:rsidRPr="00CF57A4">
              <w:t>Responders on</w:t>
            </w:r>
            <w:r>
              <w:t xml:space="preserve"> </w:t>
            </w:r>
            <w:r w:rsidRPr="00CF57A4">
              <w:t>treatment</w:t>
            </w:r>
            <w:r>
              <w:t>, no</w:t>
            </w:r>
            <w:r w:rsidRPr="00CF57A4">
              <w:t xml:space="preserve"> progression</w:t>
            </w:r>
            <w:r>
              <w:t xml:space="preserve">, </w:t>
            </w:r>
            <w:r w:rsidRPr="00CF57A4">
              <w:t>confirmed VGPR</w:t>
            </w:r>
          </w:p>
        </w:tc>
        <w:tc>
          <w:tcPr>
            <w:tcW w:w="1065" w:type="pct"/>
            <w:vAlign w:val="center"/>
          </w:tcPr>
          <w:p w14:paraId="11DB3A78" w14:textId="77777777" w:rsidR="00CA4C4C" w:rsidRPr="006E31A6" w:rsidRDefault="00CA4C4C" w:rsidP="002A3BF4">
            <w:pPr>
              <w:pStyle w:val="COMTabletext"/>
              <w:jc w:val="center"/>
            </w:pPr>
            <w:r>
              <w:t>0</w:t>
            </w:r>
          </w:p>
        </w:tc>
        <w:tc>
          <w:tcPr>
            <w:tcW w:w="1077" w:type="pct"/>
            <w:vAlign w:val="center"/>
          </w:tcPr>
          <w:p w14:paraId="225EB8AE" w14:textId="77777777" w:rsidR="00CA4C4C" w:rsidRPr="00C141F7" w:rsidRDefault="00CA4C4C" w:rsidP="002A3BF4">
            <w:pPr>
              <w:pStyle w:val="COMTabletext"/>
              <w:jc w:val="center"/>
            </w:pPr>
            <w:r>
              <w:t>0</w:t>
            </w:r>
          </w:p>
        </w:tc>
      </w:tr>
      <w:tr w:rsidR="00CA4C4C" w:rsidRPr="00471739" w14:paraId="645CA525" w14:textId="77777777" w:rsidTr="00437046">
        <w:tc>
          <w:tcPr>
            <w:tcW w:w="2858" w:type="pct"/>
          </w:tcPr>
          <w:p w14:paraId="6E641A40" w14:textId="77777777" w:rsidR="00CA4C4C" w:rsidRPr="00A2097A" w:rsidRDefault="00CA4C4C" w:rsidP="002A3BF4">
            <w:pPr>
              <w:pStyle w:val="COMTabletext"/>
            </w:pPr>
            <w:r w:rsidRPr="00CF57A4">
              <w:t xml:space="preserve">Responders </w:t>
            </w:r>
            <w:r>
              <w:t>on t</w:t>
            </w:r>
            <w:r w:rsidRPr="00CF57A4">
              <w:t>reatment</w:t>
            </w:r>
            <w:r>
              <w:t xml:space="preserve">, no progression, </w:t>
            </w:r>
            <w:r w:rsidRPr="00CF57A4">
              <w:t>confirmed CR</w:t>
            </w:r>
          </w:p>
        </w:tc>
        <w:tc>
          <w:tcPr>
            <w:tcW w:w="1065" w:type="pct"/>
            <w:vAlign w:val="center"/>
          </w:tcPr>
          <w:p w14:paraId="114FFA3F" w14:textId="77777777" w:rsidR="00CA4C4C" w:rsidRPr="006E31A6" w:rsidRDefault="00CA4C4C" w:rsidP="002A3BF4">
            <w:pPr>
              <w:pStyle w:val="COMTabletext"/>
              <w:jc w:val="center"/>
            </w:pPr>
            <w:r w:rsidRPr="00A53922">
              <w:t>3 (2.4)</w:t>
            </w:r>
          </w:p>
        </w:tc>
        <w:tc>
          <w:tcPr>
            <w:tcW w:w="1077" w:type="pct"/>
            <w:vAlign w:val="center"/>
          </w:tcPr>
          <w:p w14:paraId="443FF311" w14:textId="77777777" w:rsidR="00CA4C4C" w:rsidRPr="00C141F7" w:rsidRDefault="00CA4C4C" w:rsidP="002A3BF4">
            <w:pPr>
              <w:pStyle w:val="COMTabletext"/>
              <w:jc w:val="center"/>
            </w:pPr>
            <w:r w:rsidRPr="00A53922">
              <w:t>3 (4.7)</w:t>
            </w:r>
          </w:p>
        </w:tc>
      </w:tr>
    </w:tbl>
    <w:p w14:paraId="513871B4" w14:textId="77777777" w:rsidR="00CA4C4C" w:rsidRDefault="00CA4C4C" w:rsidP="00CA4C4C">
      <w:pPr>
        <w:pStyle w:val="COMTablefooter"/>
      </w:pPr>
      <w:r w:rsidRPr="00471739">
        <w:t>Source:</w:t>
      </w:r>
      <w:r>
        <w:t xml:space="preserve"> Table 2.25, p110 of the resubmission.</w:t>
      </w:r>
    </w:p>
    <w:p w14:paraId="7D6EEA7E" w14:textId="77777777" w:rsidR="00CA4C4C" w:rsidRDefault="00CA4C4C" w:rsidP="00CA4C4C">
      <w:pPr>
        <w:pStyle w:val="COMTablefooter"/>
      </w:pPr>
      <w:r>
        <w:t xml:space="preserve">Abbreviations: CI, confidence interval; CR, complete response; MR, minimal response; NE, not evaluable; PD, progressive disease; PR, partial response; </w:t>
      </w:r>
      <w:proofErr w:type="spellStart"/>
      <w:r>
        <w:t>sCR</w:t>
      </w:r>
      <w:proofErr w:type="spellEnd"/>
      <w:r>
        <w:t>, stringent complete response; SD, stable disease; VGPR, very good partial response.</w:t>
      </w:r>
    </w:p>
    <w:p w14:paraId="2326D764" w14:textId="401B744E" w:rsidR="00CA4C4C" w:rsidRPr="00455205" w:rsidRDefault="00CA4C4C" w:rsidP="00CA4C4C">
      <w:pPr>
        <w:pStyle w:val="COMexecsummnumbered"/>
      </w:pPr>
      <w:r w:rsidRPr="00455205">
        <w:t>Treatment with elranatamab was associated with overall response rates of 61.0% and 34.4% in Cohorts A and B, respectively. The complete response rates were 37.4% and 14.1%, respectively.</w:t>
      </w:r>
    </w:p>
    <w:p w14:paraId="77327E64" w14:textId="3F39DAD6" w:rsidR="00CA4C4C" w:rsidRPr="00455205" w:rsidRDefault="00CA4C4C" w:rsidP="00CA4C4C">
      <w:pPr>
        <w:pStyle w:val="COMexecsummnumbered"/>
      </w:pPr>
      <w:r w:rsidRPr="00455205">
        <w:t>MRD negativity based on a sensitivity of 10</w:t>
      </w:r>
      <w:r w:rsidRPr="00455205">
        <w:rPr>
          <w:vertAlign w:val="superscript"/>
        </w:rPr>
        <w:t>-5</w:t>
      </w:r>
      <w:r w:rsidRPr="00455205">
        <w:t xml:space="preserve"> was achieved by 28 patients (22.8%) in Cohort A and 3 </w:t>
      </w:r>
      <w:r w:rsidR="00F856CC" w:rsidRPr="00455205">
        <w:t xml:space="preserve">patients </w:t>
      </w:r>
      <w:r w:rsidRPr="00455205">
        <w:t>(4.7%) in Cohort B; MRD negativity (based on a sensitivity of 10</w:t>
      </w:r>
      <w:r w:rsidRPr="00455205">
        <w:rPr>
          <w:vertAlign w:val="superscript"/>
        </w:rPr>
        <w:t>-6</w:t>
      </w:r>
      <w:r w:rsidRPr="00455205">
        <w:t>) was achieved by 19 patients (15.4%) in Cohort A and 2 patients (3.1%) in Cohort B.</w:t>
      </w:r>
    </w:p>
    <w:p w14:paraId="35C3B551" w14:textId="100545DF" w:rsidR="00ED3BE2" w:rsidRPr="00455205" w:rsidRDefault="00ED3BE2" w:rsidP="00CA4C4C">
      <w:pPr>
        <w:pStyle w:val="COMexecsummnumbered"/>
      </w:pPr>
      <w:r w:rsidRPr="00455205">
        <w:t>The median duration of response was not reached in either cohort. Among 75</w:t>
      </w:r>
      <w:r w:rsidR="00FA5B71">
        <w:t> </w:t>
      </w:r>
      <w:r w:rsidRPr="00455205">
        <w:t>patients who achieved a response in Cohort A, the proportion of patients remaining event-free at 24 months was 66.9% (95% CI: 54.4%, 76.7%). Among 22 patients who achieved a response in Cohort B, the proportion of patients remaining event-free at 12</w:t>
      </w:r>
      <w:r w:rsidR="00FA5B71">
        <w:t> </w:t>
      </w:r>
      <w:r w:rsidRPr="00455205">
        <w:t>months was 69.8% (95% CI: 44.5%, 85.2%).</w:t>
      </w:r>
    </w:p>
    <w:p w14:paraId="709B3D8E" w14:textId="789F6C12" w:rsidR="00ED3BE2" w:rsidRPr="00455205" w:rsidRDefault="00A5273B" w:rsidP="00CA4C4C">
      <w:pPr>
        <w:pStyle w:val="COMexecsummnumbered"/>
      </w:pPr>
      <w:r w:rsidRPr="00455205">
        <w:fldChar w:fldCharType="begin" w:fldLock="1"/>
      </w:r>
      <w:r w:rsidRPr="00455205">
        <w:instrText xml:space="preserve"> REF _Ref187747024 \h </w:instrText>
      </w:r>
      <w:r w:rsidR="00455205" w:rsidRPr="00455205">
        <w:instrText xml:space="preserve"> \* MERGEFORMAT </w:instrText>
      </w:r>
      <w:r w:rsidRPr="00455205">
        <w:fldChar w:fldCharType="separate"/>
      </w:r>
      <w:r w:rsidR="00347D89" w:rsidRPr="006E0FA2">
        <w:t xml:space="preserve">Table </w:t>
      </w:r>
      <w:r w:rsidR="00347D89">
        <w:rPr>
          <w:noProof/>
        </w:rPr>
        <w:t>6</w:t>
      </w:r>
      <w:r w:rsidRPr="00455205">
        <w:fldChar w:fldCharType="end"/>
      </w:r>
      <w:r w:rsidR="00ED3BE2" w:rsidRPr="00455205">
        <w:t xml:space="preserve"> presents the results for progression-free survival based on blinded independent central review for the MagnetisMM-3 study.</w:t>
      </w:r>
    </w:p>
    <w:p w14:paraId="7EC1D860" w14:textId="1FD66917" w:rsidR="00ED3BE2" w:rsidRPr="00471739" w:rsidRDefault="00A0323C" w:rsidP="00ED3BE2">
      <w:pPr>
        <w:pStyle w:val="COMtablefigcaption"/>
      </w:pPr>
      <w:bookmarkStart w:id="27" w:name="_Ref187747024"/>
      <w:r w:rsidRPr="006E0FA2">
        <w:lastRenderedPageBreak/>
        <w:t xml:space="preserve">Table </w:t>
      </w:r>
      <w:r w:rsidR="006B329A">
        <w:fldChar w:fldCharType="begin" w:fldLock="1"/>
      </w:r>
      <w:r w:rsidR="006B329A">
        <w:instrText xml:space="preserve"> SEQ Table \* ARABIC </w:instrText>
      </w:r>
      <w:r w:rsidR="006B329A">
        <w:fldChar w:fldCharType="separate"/>
      </w:r>
      <w:r w:rsidR="00347D89">
        <w:rPr>
          <w:noProof/>
        </w:rPr>
        <w:t>6</w:t>
      </w:r>
      <w:r w:rsidR="006B329A">
        <w:rPr>
          <w:noProof/>
        </w:rPr>
        <w:fldChar w:fldCharType="end"/>
      </w:r>
      <w:bookmarkEnd w:id="27"/>
      <w:r w:rsidR="00ED3BE2" w:rsidRPr="00471739">
        <w:t xml:space="preserve">: </w:t>
      </w:r>
      <w:r w:rsidR="00ED3BE2">
        <w:t>Progression-free survival based on blinded independent central review in the MagnetisMM-3 study</w:t>
      </w:r>
      <w:r w:rsidR="00ED3BE2" w:rsidRPr="00471739">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6: Progression-free survival based on blinded independent central review in the MagnetisMM-3 study "/>
      </w:tblPr>
      <w:tblGrid>
        <w:gridCol w:w="4316"/>
        <w:gridCol w:w="2400"/>
        <w:gridCol w:w="2301"/>
      </w:tblGrid>
      <w:tr w:rsidR="00ED3BE2" w:rsidRPr="00471739" w14:paraId="15537DA9" w14:textId="77777777" w:rsidTr="00477B08">
        <w:trPr>
          <w:tblHeader/>
        </w:trPr>
        <w:tc>
          <w:tcPr>
            <w:tcW w:w="2393" w:type="pct"/>
            <w:vAlign w:val="center"/>
          </w:tcPr>
          <w:p w14:paraId="6D96E4BE" w14:textId="77777777" w:rsidR="00ED3BE2" w:rsidRPr="00471739" w:rsidRDefault="00ED3BE2" w:rsidP="002A3BF4">
            <w:pPr>
              <w:pStyle w:val="COMTableheadingrow"/>
            </w:pPr>
          </w:p>
        </w:tc>
        <w:tc>
          <w:tcPr>
            <w:tcW w:w="1331" w:type="pct"/>
            <w:vAlign w:val="center"/>
          </w:tcPr>
          <w:p w14:paraId="50D22F41" w14:textId="77777777" w:rsidR="00ED3BE2" w:rsidRDefault="00ED3BE2" w:rsidP="002A3BF4">
            <w:pPr>
              <w:pStyle w:val="COMTableheadingrow"/>
              <w:jc w:val="center"/>
            </w:pPr>
            <w:r>
              <w:t>Elranatamab (Cohort A)</w:t>
            </w:r>
          </w:p>
          <w:p w14:paraId="2A6BAF8D" w14:textId="77777777" w:rsidR="00ED3BE2" w:rsidRPr="00471739" w:rsidRDefault="00ED3BE2" w:rsidP="002A3BF4">
            <w:pPr>
              <w:pStyle w:val="COMTableheadingrow"/>
              <w:jc w:val="center"/>
            </w:pPr>
            <w:r>
              <w:t>N=123</w:t>
            </w:r>
          </w:p>
        </w:tc>
        <w:tc>
          <w:tcPr>
            <w:tcW w:w="1276" w:type="pct"/>
          </w:tcPr>
          <w:p w14:paraId="003A6D06" w14:textId="77777777" w:rsidR="00ED3BE2" w:rsidRDefault="00ED3BE2" w:rsidP="002A3BF4">
            <w:pPr>
              <w:pStyle w:val="COMTableheadingrow"/>
              <w:jc w:val="center"/>
            </w:pPr>
            <w:r>
              <w:t>Elranatamab (Cohort B)</w:t>
            </w:r>
          </w:p>
          <w:p w14:paraId="5C752684" w14:textId="77777777" w:rsidR="00ED3BE2" w:rsidRDefault="00ED3BE2" w:rsidP="002A3BF4">
            <w:pPr>
              <w:pStyle w:val="COMTableheadingrow"/>
              <w:jc w:val="center"/>
            </w:pPr>
            <w:r>
              <w:t>N=64</w:t>
            </w:r>
          </w:p>
        </w:tc>
      </w:tr>
      <w:tr w:rsidR="00ED3BE2" w:rsidRPr="00471739" w14:paraId="45C50AA0" w14:textId="77777777" w:rsidTr="00477B08">
        <w:tc>
          <w:tcPr>
            <w:tcW w:w="2393" w:type="pct"/>
          </w:tcPr>
          <w:p w14:paraId="3F0866E1" w14:textId="7BE00CE0" w:rsidR="00ED3BE2" w:rsidRDefault="00ED3BE2" w:rsidP="002A3BF4">
            <w:pPr>
              <w:pStyle w:val="COMTabletext"/>
            </w:pPr>
            <w:r>
              <w:t>Median duration of follow-up</w:t>
            </w:r>
            <w:r w:rsidR="00F856CC">
              <w:t xml:space="preserve"> (95% CI)</w:t>
            </w:r>
          </w:p>
        </w:tc>
        <w:tc>
          <w:tcPr>
            <w:tcW w:w="1331" w:type="pct"/>
          </w:tcPr>
          <w:p w14:paraId="405F9F34" w14:textId="77777777" w:rsidR="00ED3BE2" w:rsidRDefault="00ED3BE2" w:rsidP="002A3BF4">
            <w:pPr>
              <w:pStyle w:val="COMTabletext"/>
              <w:jc w:val="center"/>
            </w:pPr>
            <w:r w:rsidRPr="00902AEC">
              <w:t>28.4 (28.0, 29.0)</w:t>
            </w:r>
          </w:p>
        </w:tc>
        <w:tc>
          <w:tcPr>
            <w:tcW w:w="1276" w:type="pct"/>
          </w:tcPr>
          <w:p w14:paraId="2F6B6316" w14:textId="77777777" w:rsidR="00ED3BE2" w:rsidRDefault="00ED3BE2" w:rsidP="002A3BF4">
            <w:pPr>
              <w:pStyle w:val="COMTabletext"/>
              <w:jc w:val="center"/>
            </w:pPr>
            <w:r w:rsidRPr="00902AEC">
              <w:t>27.7 (27.2, 28.4)</w:t>
            </w:r>
          </w:p>
        </w:tc>
      </w:tr>
      <w:tr w:rsidR="00ED3BE2" w:rsidRPr="00471739" w14:paraId="4094D0B5" w14:textId="77777777" w:rsidTr="00477B08">
        <w:tc>
          <w:tcPr>
            <w:tcW w:w="2393" w:type="pct"/>
          </w:tcPr>
          <w:p w14:paraId="3335687A" w14:textId="77777777" w:rsidR="00ED3BE2" w:rsidRDefault="00ED3BE2" w:rsidP="002A3BF4">
            <w:pPr>
              <w:pStyle w:val="COMTabletext"/>
            </w:pPr>
            <w:r>
              <w:t>Participants with event, n (%)</w:t>
            </w:r>
          </w:p>
          <w:p w14:paraId="22F5EDAF" w14:textId="77777777" w:rsidR="00ED3BE2" w:rsidRDefault="00ED3BE2" w:rsidP="002A3BF4">
            <w:pPr>
              <w:pStyle w:val="COMTabletext"/>
            </w:pPr>
            <w:r>
              <w:t>- Progressive disease, n (%)</w:t>
            </w:r>
          </w:p>
          <w:p w14:paraId="4FAC127D" w14:textId="77777777" w:rsidR="00ED3BE2" w:rsidRDefault="00ED3BE2" w:rsidP="002A3BF4">
            <w:pPr>
              <w:pStyle w:val="COMTabletext"/>
            </w:pPr>
            <w:r>
              <w:t>- Death, n (%)</w:t>
            </w:r>
          </w:p>
        </w:tc>
        <w:tc>
          <w:tcPr>
            <w:tcW w:w="1331" w:type="pct"/>
          </w:tcPr>
          <w:p w14:paraId="174E1CEE" w14:textId="77777777" w:rsidR="00ED3BE2" w:rsidRDefault="00ED3BE2" w:rsidP="002A3BF4">
            <w:pPr>
              <w:pStyle w:val="COMTabletext"/>
              <w:jc w:val="center"/>
            </w:pPr>
            <w:r>
              <w:t>58 (47.2)</w:t>
            </w:r>
          </w:p>
          <w:p w14:paraId="2AB88FEF" w14:textId="77777777" w:rsidR="00ED3BE2" w:rsidRDefault="00ED3BE2" w:rsidP="002A3BF4">
            <w:pPr>
              <w:pStyle w:val="COMTabletext"/>
              <w:jc w:val="center"/>
            </w:pPr>
            <w:r>
              <w:t>38 (30.9)</w:t>
            </w:r>
          </w:p>
          <w:p w14:paraId="05768384" w14:textId="77777777" w:rsidR="00ED3BE2" w:rsidRPr="0004686B" w:rsidRDefault="00ED3BE2" w:rsidP="002A3BF4">
            <w:pPr>
              <w:pStyle w:val="COMTabletext"/>
              <w:jc w:val="center"/>
            </w:pPr>
            <w:r>
              <w:t>20 (16.3)</w:t>
            </w:r>
          </w:p>
        </w:tc>
        <w:tc>
          <w:tcPr>
            <w:tcW w:w="1276" w:type="pct"/>
          </w:tcPr>
          <w:p w14:paraId="2EA02191" w14:textId="77777777" w:rsidR="00ED3BE2" w:rsidRDefault="00ED3BE2" w:rsidP="002A3BF4">
            <w:pPr>
              <w:pStyle w:val="COMTabletext"/>
              <w:jc w:val="center"/>
            </w:pPr>
            <w:r>
              <w:t>41 (64.1)</w:t>
            </w:r>
          </w:p>
          <w:p w14:paraId="50347D82" w14:textId="77777777" w:rsidR="00ED3BE2" w:rsidRDefault="00ED3BE2" w:rsidP="002A3BF4">
            <w:pPr>
              <w:pStyle w:val="COMTabletext"/>
              <w:jc w:val="center"/>
            </w:pPr>
            <w:r>
              <w:t>29 (45.3)</w:t>
            </w:r>
          </w:p>
          <w:p w14:paraId="08BFC929" w14:textId="77777777" w:rsidR="00ED3BE2" w:rsidRPr="00DE7197" w:rsidRDefault="00ED3BE2" w:rsidP="002A3BF4">
            <w:pPr>
              <w:pStyle w:val="COMTabletext"/>
              <w:jc w:val="center"/>
            </w:pPr>
            <w:r>
              <w:t>12 (18.8)</w:t>
            </w:r>
          </w:p>
        </w:tc>
      </w:tr>
      <w:tr w:rsidR="00ED3BE2" w:rsidRPr="00471739" w14:paraId="222014E6" w14:textId="77777777" w:rsidTr="00477B08">
        <w:tc>
          <w:tcPr>
            <w:tcW w:w="2393" w:type="pct"/>
          </w:tcPr>
          <w:p w14:paraId="28178D0B" w14:textId="77777777" w:rsidR="00ED3BE2" w:rsidRDefault="00ED3BE2" w:rsidP="002A3BF4">
            <w:pPr>
              <w:pStyle w:val="COMTabletext"/>
            </w:pPr>
            <w:r>
              <w:t>Median PFS, months (95% CI)</w:t>
            </w:r>
          </w:p>
        </w:tc>
        <w:tc>
          <w:tcPr>
            <w:tcW w:w="1331" w:type="pct"/>
          </w:tcPr>
          <w:p w14:paraId="2A8A97F1" w14:textId="77777777" w:rsidR="00ED3BE2" w:rsidRPr="0004686B" w:rsidRDefault="00ED3BE2" w:rsidP="002A3BF4">
            <w:pPr>
              <w:pStyle w:val="COMTabletext"/>
              <w:jc w:val="center"/>
            </w:pPr>
            <w:r>
              <w:t>17.2 (9.8, NE)</w:t>
            </w:r>
          </w:p>
        </w:tc>
        <w:tc>
          <w:tcPr>
            <w:tcW w:w="1276" w:type="pct"/>
          </w:tcPr>
          <w:p w14:paraId="21F3D431" w14:textId="77777777" w:rsidR="00ED3BE2" w:rsidRPr="00F044E4" w:rsidRDefault="00ED3BE2" w:rsidP="002A3BF4">
            <w:pPr>
              <w:pStyle w:val="COMTabletext"/>
              <w:jc w:val="center"/>
            </w:pPr>
            <w:r>
              <w:t>4.4</w:t>
            </w:r>
            <w:r w:rsidRPr="00E31E34">
              <w:t xml:space="preserve"> (</w:t>
            </w:r>
            <w:r>
              <w:t>1.9</w:t>
            </w:r>
            <w:r w:rsidRPr="00E31E34">
              <w:t xml:space="preserve">, </w:t>
            </w:r>
            <w:r>
              <w:t>7.4</w:t>
            </w:r>
            <w:r w:rsidRPr="00E31E34">
              <w:t>)</w:t>
            </w:r>
          </w:p>
        </w:tc>
      </w:tr>
      <w:tr w:rsidR="00ED3BE2" w:rsidRPr="00471739" w14:paraId="194DB9C4" w14:textId="77777777" w:rsidTr="00477B08">
        <w:tc>
          <w:tcPr>
            <w:tcW w:w="2393" w:type="pct"/>
          </w:tcPr>
          <w:p w14:paraId="43CE7EC4" w14:textId="77777777" w:rsidR="00ED3BE2" w:rsidRDefault="00ED3BE2" w:rsidP="002A3BF4">
            <w:pPr>
              <w:pStyle w:val="COMTabletext"/>
            </w:pPr>
            <w:r>
              <w:t>KM estimate of proportion remaining event-free</w:t>
            </w:r>
          </w:p>
          <w:p w14:paraId="63E1FC6B" w14:textId="77777777" w:rsidR="00ED3BE2" w:rsidRDefault="00ED3BE2" w:rsidP="002A3BF4">
            <w:pPr>
              <w:pStyle w:val="COMTabletext"/>
            </w:pPr>
            <w:r>
              <w:t>- 6 months, % (95% CI)</w:t>
            </w:r>
          </w:p>
          <w:p w14:paraId="6F9D7F31" w14:textId="77777777" w:rsidR="00ED3BE2" w:rsidRDefault="00ED3BE2" w:rsidP="002A3BF4">
            <w:pPr>
              <w:pStyle w:val="COMTabletext"/>
            </w:pPr>
            <w:r>
              <w:t>- 12 months, % (95% CI)</w:t>
            </w:r>
          </w:p>
          <w:p w14:paraId="08257157" w14:textId="77777777" w:rsidR="00ED3BE2" w:rsidRDefault="00ED3BE2" w:rsidP="002A3BF4">
            <w:pPr>
              <w:pStyle w:val="COMTabletext"/>
            </w:pPr>
            <w:r>
              <w:t>- 18 months, % (95% CI)</w:t>
            </w:r>
          </w:p>
          <w:p w14:paraId="1F79D7DF" w14:textId="77777777" w:rsidR="00ED3BE2" w:rsidRDefault="00ED3BE2" w:rsidP="002A3BF4">
            <w:pPr>
              <w:pStyle w:val="COMTabletext"/>
            </w:pPr>
            <w:r>
              <w:t>- 24 months, % (95% CI)</w:t>
            </w:r>
          </w:p>
        </w:tc>
        <w:tc>
          <w:tcPr>
            <w:tcW w:w="1331" w:type="pct"/>
          </w:tcPr>
          <w:p w14:paraId="205B4182" w14:textId="77777777" w:rsidR="00ED3BE2" w:rsidRDefault="00ED3BE2" w:rsidP="002A3BF4">
            <w:pPr>
              <w:pStyle w:val="COMTabletext"/>
              <w:jc w:val="center"/>
            </w:pPr>
          </w:p>
          <w:p w14:paraId="67ECD43E" w14:textId="77777777" w:rsidR="00ED3BE2" w:rsidRDefault="00ED3BE2" w:rsidP="002A3BF4">
            <w:pPr>
              <w:pStyle w:val="COMTabletext"/>
              <w:jc w:val="center"/>
            </w:pPr>
            <w:r w:rsidRPr="00265439">
              <w:t xml:space="preserve">63.6 (53.9, 71.8) </w:t>
            </w:r>
          </w:p>
          <w:p w14:paraId="03973B53" w14:textId="77777777" w:rsidR="00ED3BE2" w:rsidRDefault="00ED3BE2" w:rsidP="002A3BF4">
            <w:pPr>
              <w:pStyle w:val="COMTabletext"/>
              <w:jc w:val="center"/>
            </w:pPr>
            <w:r w:rsidRPr="00265439">
              <w:t xml:space="preserve">55.7 (45.8, 64.5) </w:t>
            </w:r>
          </w:p>
          <w:p w14:paraId="5BCB88BC" w14:textId="77777777" w:rsidR="00ED3BE2" w:rsidRDefault="00ED3BE2" w:rsidP="002A3BF4">
            <w:pPr>
              <w:pStyle w:val="COMTabletext"/>
              <w:jc w:val="center"/>
            </w:pPr>
            <w:r w:rsidRPr="00265439">
              <w:t xml:space="preserve">48.3 (38.4, 57.4) </w:t>
            </w:r>
          </w:p>
          <w:p w14:paraId="2A498D3C" w14:textId="77777777" w:rsidR="00ED3BE2" w:rsidRPr="0004686B" w:rsidRDefault="00ED3BE2" w:rsidP="002A3BF4">
            <w:pPr>
              <w:pStyle w:val="COMTabletext"/>
              <w:jc w:val="center"/>
            </w:pPr>
            <w:r w:rsidRPr="00265439">
              <w:t xml:space="preserve"> 48.3 (38.4, 57.4) </w:t>
            </w:r>
          </w:p>
        </w:tc>
        <w:tc>
          <w:tcPr>
            <w:tcW w:w="1276" w:type="pct"/>
          </w:tcPr>
          <w:p w14:paraId="62BBF0B7" w14:textId="77777777" w:rsidR="00ED3BE2" w:rsidRDefault="00ED3BE2" w:rsidP="002A3BF4">
            <w:pPr>
              <w:pStyle w:val="COMTabletext"/>
              <w:jc w:val="center"/>
            </w:pPr>
          </w:p>
          <w:p w14:paraId="5F0E85FA" w14:textId="77777777" w:rsidR="00ED3BE2" w:rsidRDefault="00ED3BE2" w:rsidP="002A3BF4">
            <w:pPr>
              <w:pStyle w:val="COMTabletext"/>
              <w:jc w:val="center"/>
            </w:pPr>
            <w:r w:rsidRPr="00265439">
              <w:t>39.9 (27.2, 52.3)</w:t>
            </w:r>
          </w:p>
          <w:p w14:paraId="4B36BE6E" w14:textId="77777777" w:rsidR="00ED3BE2" w:rsidRDefault="00ED3BE2" w:rsidP="002A3BF4">
            <w:pPr>
              <w:pStyle w:val="COMTabletext"/>
              <w:jc w:val="center"/>
            </w:pPr>
            <w:r w:rsidRPr="00265439">
              <w:t>32.1 (20.3, 44.5)</w:t>
            </w:r>
          </w:p>
          <w:p w14:paraId="0E347069" w14:textId="77777777" w:rsidR="00ED3BE2" w:rsidRDefault="00ED3BE2" w:rsidP="002A3BF4">
            <w:pPr>
              <w:pStyle w:val="COMTabletext"/>
              <w:jc w:val="center"/>
            </w:pPr>
            <w:r w:rsidRPr="00265439">
              <w:t>27.8 (16.6, 40.2)</w:t>
            </w:r>
          </w:p>
          <w:p w14:paraId="0CC91595" w14:textId="77777777" w:rsidR="00ED3BE2" w:rsidRDefault="00ED3BE2" w:rsidP="002A3BF4">
            <w:pPr>
              <w:pStyle w:val="COMTabletext"/>
              <w:jc w:val="center"/>
            </w:pPr>
            <w:r w:rsidRPr="00265439">
              <w:t>27.8 (16.6, 40.2)</w:t>
            </w:r>
          </w:p>
        </w:tc>
      </w:tr>
    </w:tbl>
    <w:p w14:paraId="55DC565D" w14:textId="77777777" w:rsidR="00ED3BE2" w:rsidRDefault="00ED3BE2" w:rsidP="00ED3BE2">
      <w:pPr>
        <w:pStyle w:val="COMTablefooter"/>
      </w:pPr>
      <w:r w:rsidRPr="00471739">
        <w:t>Source:</w:t>
      </w:r>
      <w:r>
        <w:t xml:space="preserve"> Table 14.2.3.1, pp282-283 of the MagnetisMM-3 clinical study report (March 2024 data cut).</w:t>
      </w:r>
    </w:p>
    <w:p w14:paraId="00EA168A" w14:textId="77777777" w:rsidR="00ED3BE2" w:rsidRDefault="00ED3BE2" w:rsidP="00ED3BE2">
      <w:pPr>
        <w:pStyle w:val="COMTablefooter"/>
      </w:pPr>
      <w:r>
        <w:t>Abbreviations: CI, confidence interval; KM, Kaplan-Meier; NE, not estimable; PFS, progression-free survival.</w:t>
      </w:r>
    </w:p>
    <w:p w14:paraId="4280951B" w14:textId="4395D075" w:rsidR="00F856CC" w:rsidRDefault="00F856CC" w:rsidP="00ED3BE2">
      <w:pPr>
        <w:pStyle w:val="COMexecsummnumbered"/>
      </w:pPr>
      <w:r w:rsidRPr="00F856CC">
        <w:t xml:space="preserve">Median progression-free survival was 17.2 months in Cohort A (based on a median follow-up of 28.4 months) and 4.4 months for </w:t>
      </w:r>
      <w:r>
        <w:t>C</w:t>
      </w:r>
      <w:r w:rsidRPr="00F856CC">
        <w:t>ohort B (based on a median follow-up of 27.7 months). The proportion of patients remaining progression-free at 24 months was 48.3% in Cohort A and 27.8% in Cohort B.</w:t>
      </w:r>
    </w:p>
    <w:p w14:paraId="276D4606" w14:textId="0B68519C" w:rsidR="00ED3BE2" w:rsidRDefault="00A5273B" w:rsidP="00ED3BE2">
      <w:pPr>
        <w:pStyle w:val="COMexecsummnumbered"/>
      </w:pPr>
      <w:r>
        <w:fldChar w:fldCharType="begin" w:fldLock="1"/>
      </w:r>
      <w:r>
        <w:instrText xml:space="preserve"> REF _Ref187747034 \h </w:instrText>
      </w:r>
      <w:r>
        <w:fldChar w:fldCharType="separate"/>
      </w:r>
      <w:r w:rsidR="00347D89" w:rsidRPr="006E0FA2">
        <w:t xml:space="preserve">Table </w:t>
      </w:r>
      <w:r w:rsidR="00347D89">
        <w:rPr>
          <w:noProof/>
        </w:rPr>
        <w:t>7</w:t>
      </w:r>
      <w:r>
        <w:fldChar w:fldCharType="end"/>
      </w:r>
      <w:r w:rsidR="00ED3BE2">
        <w:t xml:space="preserve"> present</w:t>
      </w:r>
      <w:r w:rsidR="00F856CC">
        <w:t>s</w:t>
      </w:r>
      <w:r w:rsidR="00ED3BE2">
        <w:t xml:space="preserve"> the results for overall survival for Cohorts A and B of the MagnetisMM</w:t>
      </w:r>
      <w:r w:rsidR="00ED3BE2">
        <w:noBreakHyphen/>
        <w:t>3 study.</w:t>
      </w:r>
    </w:p>
    <w:p w14:paraId="17A66DB7" w14:textId="6B6F5588" w:rsidR="00ED3BE2" w:rsidRPr="00471739" w:rsidRDefault="00A0323C" w:rsidP="00ED3BE2">
      <w:pPr>
        <w:pStyle w:val="COMtablefigcaption"/>
      </w:pPr>
      <w:bookmarkStart w:id="28" w:name="_Ref187747034"/>
      <w:r w:rsidRPr="006E0FA2">
        <w:t xml:space="preserve">Table </w:t>
      </w:r>
      <w:r w:rsidR="006B329A">
        <w:fldChar w:fldCharType="begin" w:fldLock="1"/>
      </w:r>
      <w:r w:rsidR="006B329A">
        <w:instrText xml:space="preserve"> SEQ Table \* ARABIC </w:instrText>
      </w:r>
      <w:r w:rsidR="006B329A">
        <w:fldChar w:fldCharType="separate"/>
      </w:r>
      <w:r w:rsidR="00347D89">
        <w:rPr>
          <w:noProof/>
        </w:rPr>
        <w:t>7</w:t>
      </w:r>
      <w:r w:rsidR="006B329A">
        <w:rPr>
          <w:noProof/>
        </w:rPr>
        <w:fldChar w:fldCharType="end"/>
      </w:r>
      <w:bookmarkEnd w:id="28"/>
      <w:r w:rsidR="00ED3BE2" w:rsidRPr="00471739">
        <w:t xml:space="preserve">: </w:t>
      </w:r>
      <w:r w:rsidR="00ED3BE2">
        <w:t>Overall survival results for the MagnetisMM-3 study</w:t>
      </w:r>
      <w:r w:rsidR="00ED3BE2" w:rsidRPr="00471739">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7: Overall survival results for the MagnetisMM-3 study "/>
      </w:tblPr>
      <w:tblGrid>
        <w:gridCol w:w="4316"/>
        <w:gridCol w:w="2400"/>
        <w:gridCol w:w="2301"/>
      </w:tblGrid>
      <w:tr w:rsidR="00ED3BE2" w:rsidRPr="00471739" w14:paraId="00011AED" w14:textId="77777777" w:rsidTr="00477B08">
        <w:trPr>
          <w:tblHeader/>
        </w:trPr>
        <w:tc>
          <w:tcPr>
            <w:tcW w:w="2393" w:type="pct"/>
            <w:vAlign w:val="center"/>
          </w:tcPr>
          <w:p w14:paraId="66CBCB16" w14:textId="77777777" w:rsidR="00ED3BE2" w:rsidRPr="00471739" w:rsidRDefault="00ED3BE2" w:rsidP="002A3BF4">
            <w:pPr>
              <w:pStyle w:val="COMTableheadingrow"/>
            </w:pPr>
          </w:p>
        </w:tc>
        <w:tc>
          <w:tcPr>
            <w:tcW w:w="1331" w:type="pct"/>
            <w:vAlign w:val="center"/>
          </w:tcPr>
          <w:p w14:paraId="333B0161" w14:textId="77777777" w:rsidR="00ED3BE2" w:rsidRDefault="00ED3BE2" w:rsidP="002A3BF4">
            <w:pPr>
              <w:pStyle w:val="COMTableheadingrow"/>
              <w:jc w:val="center"/>
            </w:pPr>
            <w:r>
              <w:t>Elranatamab (Cohort A)</w:t>
            </w:r>
          </w:p>
          <w:p w14:paraId="79B0BFC6" w14:textId="77777777" w:rsidR="00ED3BE2" w:rsidRPr="00471739" w:rsidRDefault="00ED3BE2" w:rsidP="002A3BF4">
            <w:pPr>
              <w:pStyle w:val="COMTableheadingrow"/>
              <w:jc w:val="center"/>
            </w:pPr>
            <w:r>
              <w:t>N=123</w:t>
            </w:r>
          </w:p>
        </w:tc>
        <w:tc>
          <w:tcPr>
            <w:tcW w:w="1276" w:type="pct"/>
          </w:tcPr>
          <w:p w14:paraId="0CBA1175" w14:textId="77777777" w:rsidR="00ED3BE2" w:rsidRDefault="00ED3BE2" w:rsidP="002A3BF4">
            <w:pPr>
              <w:pStyle w:val="COMTableheadingrow"/>
              <w:jc w:val="center"/>
            </w:pPr>
            <w:r>
              <w:t>Elranatamab (Cohort B)</w:t>
            </w:r>
          </w:p>
          <w:p w14:paraId="593C792A" w14:textId="77777777" w:rsidR="00ED3BE2" w:rsidRDefault="00ED3BE2" w:rsidP="002A3BF4">
            <w:pPr>
              <w:pStyle w:val="COMTableheadingrow"/>
              <w:jc w:val="center"/>
            </w:pPr>
            <w:r>
              <w:t>N=64</w:t>
            </w:r>
          </w:p>
        </w:tc>
      </w:tr>
      <w:tr w:rsidR="00ED3BE2" w:rsidRPr="00471739" w14:paraId="0557B53F" w14:textId="77777777" w:rsidTr="00477B08">
        <w:tc>
          <w:tcPr>
            <w:tcW w:w="2393" w:type="pct"/>
          </w:tcPr>
          <w:p w14:paraId="4572A155" w14:textId="4AC9FAF6" w:rsidR="00ED3BE2" w:rsidRDefault="00ED3BE2" w:rsidP="002A3BF4">
            <w:pPr>
              <w:pStyle w:val="COMTabletext"/>
            </w:pPr>
            <w:r>
              <w:t>Median duration of follow-up</w:t>
            </w:r>
            <w:r w:rsidR="00F856CC">
              <w:t xml:space="preserve"> (95% CI)</w:t>
            </w:r>
          </w:p>
        </w:tc>
        <w:tc>
          <w:tcPr>
            <w:tcW w:w="1331" w:type="pct"/>
          </w:tcPr>
          <w:p w14:paraId="59A40C4D" w14:textId="77777777" w:rsidR="00ED3BE2" w:rsidRDefault="00ED3BE2" w:rsidP="002A3BF4">
            <w:pPr>
              <w:pStyle w:val="COMTabletext"/>
              <w:jc w:val="center"/>
            </w:pPr>
            <w:r w:rsidRPr="00902AEC">
              <w:t>28.4 (28.0, 29.0)</w:t>
            </w:r>
          </w:p>
        </w:tc>
        <w:tc>
          <w:tcPr>
            <w:tcW w:w="1276" w:type="pct"/>
          </w:tcPr>
          <w:p w14:paraId="0578C62F" w14:textId="77777777" w:rsidR="00ED3BE2" w:rsidRDefault="00ED3BE2" w:rsidP="002A3BF4">
            <w:pPr>
              <w:pStyle w:val="COMTabletext"/>
              <w:jc w:val="center"/>
            </w:pPr>
            <w:r w:rsidRPr="00902AEC">
              <w:t>27.7 (27.2, 28.4)</w:t>
            </w:r>
          </w:p>
        </w:tc>
      </w:tr>
      <w:tr w:rsidR="00ED3BE2" w:rsidRPr="00471739" w14:paraId="54567F9D" w14:textId="77777777" w:rsidTr="00477B08">
        <w:tc>
          <w:tcPr>
            <w:tcW w:w="2393" w:type="pct"/>
          </w:tcPr>
          <w:p w14:paraId="10D0DFE5" w14:textId="77777777" w:rsidR="00ED3BE2" w:rsidRDefault="00ED3BE2" w:rsidP="002A3BF4">
            <w:pPr>
              <w:pStyle w:val="COMTabletext"/>
            </w:pPr>
            <w:r>
              <w:t>Deaths, n (%)</w:t>
            </w:r>
          </w:p>
        </w:tc>
        <w:tc>
          <w:tcPr>
            <w:tcW w:w="1331" w:type="pct"/>
          </w:tcPr>
          <w:p w14:paraId="382A1BE6" w14:textId="77777777" w:rsidR="00ED3BE2" w:rsidRPr="0004686B" w:rsidRDefault="00ED3BE2" w:rsidP="002A3BF4">
            <w:pPr>
              <w:pStyle w:val="COMTabletext"/>
              <w:jc w:val="center"/>
            </w:pPr>
            <w:r>
              <w:t>64 (52.0)</w:t>
            </w:r>
          </w:p>
        </w:tc>
        <w:tc>
          <w:tcPr>
            <w:tcW w:w="1276" w:type="pct"/>
          </w:tcPr>
          <w:p w14:paraId="427D19E0" w14:textId="77777777" w:rsidR="00ED3BE2" w:rsidRPr="00DE7197" w:rsidRDefault="00ED3BE2" w:rsidP="002A3BF4">
            <w:pPr>
              <w:pStyle w:val="COMTabletext"/>
              <w:jc w:val="center"/>
            </w:pPr>
            <w:r>
              <w:t>39 (60.9)</w:t>
            </w:r>
          </w:p>
        </w:tc>
      </w:tr>
      <w:tr w:rsidR="00ED3BE2" w:rsidRPr="00471739" w14:paraId="5DE261A6" w14:textId="77777777" w:rsidTr="00477B08">
        <w:tc>
          <w:tcPr>
            <w:tcW w:w="2393" w:type="pct"/>
          </w:tcPr>
          <w:p w14:paraId="156A90B1" w14:textId="77777777" w:rsidR="00ED3BE2" w:rsidRDefault="00ED3BE2" w:rsidP="002A3BF4">
            <w:pPr>
              <w:pStyle w:val="COMTabletext"/>
            </w:pPr>
            <w:r>
              <w:t>Median OS, months (95% CI)</w:t>
            </w:r>
          </w:p>
        </w:tc>
        <w:tc>
          <w:tcPr>
            <w:tcW w:w="1331" w:type="pct"/>
          </w:tcPr>
          <w:p w14:paraId="343D83EF" w14:textId="77777777" w:rsidR="00ED3BE2" w:rsidRPr="0004686B" w:rsidRDefault="00ED3BE2" w:rsidP="002A3BF4">
            <w:pPr>
              <w:pStyle w:val="COMTabletext"/>
              <w:jc w:val="center"/>
            </w:pPr>
            <w:r>
              <w:t>24.6 (13.4, NE)</w:t>
            </w:r>
          </w:p>
        </w:tc>
        <w:tc>
          <w:tcPr>
            <w:tcW w:w="1276" w:type="pct"/>
          </w:tcPr>
          <w:p w14:paraId="36FB330E" w14:textId="77777777" w:rsidR="00ED3BE2" w:rsidRPr="00F044E4" w:rsidRDefault="00ED3BE2" w:rsidP="002A3BF4">
            <w:pPr>
              <w:pStyle w:val="COMTabletext"/>
              <w:jc w:val="center"/>
            </w:pPr>
            <w:r>
              <w:t>11.3 (6.5, 22.2)</w:t>
            </w:r>
          </w:p>
        </w:tc>
      </w:tr>
      <w:tr w:rsidR="00ED3BE2" w:rsidRPr="00471739" w14:paraId="5BB20E55" w14:textId="77777777" w:rsidTr="00477B08">
        <w:tc>
          <w:tcPr>
            <w:tcW w:w="2393" w:type="pct"/>
          </w:tcPr>
          <w:p w14:paraId="50C8F4AC" w14:textId="77777777" w:rsidR="00ED3BE2" w:rsidRDefault="00ED3BE2" w:rsidP="002A3BF4">
            <w:pPr>
              <w:pStyle w:val="COMTabletext"/>
            </w:pPr>
            <w:r>
              <w:t>KM estimate of proportion remaining event-free</w:t>
            </w:r>
          </w:p>
          <w:p w14:paraId="485F3C61" w14:textId="77777777" w:rsidR="00ED3BE2" w:rsidRDefault="00ED3BE2" w:rsidP="002A3BF4">
            <w:pPr>
              <w:pStyle w:val="COMTabletext"/>
            </w:pPr>
            <w:r>
              <w:t>- 6 months, % (95% CI)</w:t>
            </w:r>
          </w:p>
          <w:p w14:paraId="089C4389" w14:textId="77777777" w:rsidR="00ED3BE2" w:rsidRDefault="00ED3BE2" w:rsidP="002A3BF4">
            <w:pPr>
              <w:pStyle w:val="COMTabletext"/>
            </w:pPr>
            <w:r>
              <w:t>- 12 months, % (95% CI)</w:t>
            </w:r>
          </w:p>
          <w:p w14:paraId="6DD7A0A1" w14:textId="77777777" w:rsidR="00ED3BE2" w:rsidRDefault="00ED3BE2" w:rsidP="002A3BF4">
            <w:pPr>
              <w:pStyle w:val="COMTabletext"/>
            </w:pPr>
            <w:r>
              <w:t>- 18 months, % (95% CI)</w:t>
            </w:r>
          </w:p>
          <w:p w14:paraId="043A33BB" w14:textId="77777777" w:rsidR="00ED3BE2" w:rsidRDefault="00ED3BE2" w:rsidP="002A3BF4">
            <w:pPr>
              <w:pStyle w:val="COMTabletext"/>
            </w:pPr>
            <w:r>
              <w:t>- 24 months, % (95% CI)</w:t>
            </w:r>
          </w:p>
        </w:tc>
        <w:tc>
          <w:tcPr>
            <w:tcW w:w="1331" w:type="pct"/>
          </w:tcPr>
          <w:p w14:paraId="47DF4E7F" w14:textId="77777777" w:rsidR="00ED3BE2" w:rsidRDefault="00ED3BE2" w:rsidP="002A3BF4">
            <w:pPr>
              <w:pStyle w:val="COMTabletext"/>
              <w:jc w:val="center"/>
            </w:pPr>
          </w:p>
          <w:p w14:paraId="5CD33580" w14:textId="77777777" w:rsidR="00ED3BE2" w:rsidRDefault="00ED3BE2" w:rsidP="002A3BF4">
            <w:pPr>
              <w:pStyle w:val="COMTabletext"/>
              <w:jc w:val="center"/>
            </w:pPr>
            <w:r w:rsidRPr="004D691A">
              <w:t xml:space="preserve">75.4 (66.8, 82.1) </w:t>
            </w:r>
          </w:p>
          <w:p w14:paraId="2DB867C3" w14:textId="77777777" w:rsidR="00ED3BE2" w:rsidRDefault="00ED3BE2" w:rsidP="002A3BF4">
            <w:pPr>
              <w:pStyle w:val="COMTabletext"/>
              <w:jc w:val="center"/>
            </w:pPr>
            <w:r w:rsidRPr="004D691A">
              <w:t xml:space="preserve">62.2 (53.0, 70.2) </w:t>
            </w:r>
          </w:p>
          <w:p w14:paraId="16716BC6" w14:textId="77777777" w:rsidR="00ED3BE2" w:rsidRDefault="00ED3BE2" w:rsidP="002A3BF4">
            <w:pPr>
              <w:pStyle w:val="COMTabletext"/>
              <w:jc w:val="center"/>
            </w:pPr>
            <w:r w:rsidRPr="00E7127D">
              <w:t>52.1 (42.8, 60.6)</w:t>
            </w:r>
          </w:p>
          <w:p w14:paraId="18404CCB" w14:textId="77777777" w:rsidR="00ED3BE2" w:rsidRPr="0004686B" w:rsidRDefault="00ED3BE2" w:rsidP="002A3BF4">
            <w:pPr>
              <w:pStyle w:val="COMTabletext"/>
              <w:jc w:val="center"/>
            </w:pPr>
            <w:r w:rsidRPr="00E7127D">
              <w:t>50.4 (41.1, 58.9)</w:t>
            </w:r>
          </w:p>
        </w:tc>
        <w:tc>
          <w:tcPr>
            <w:tcW w:w="1276" w:type="pct"/>
          </w:tcPr>
          <w:p w14:paraId="75CED49F" w14:textId="77777777" w:rsidR="00ED3BE2" w:rsidRDefault="00ED3BE2" w:rsidP="002A3BF4">
            <w:pPr>
              <w:pStyle w:val="COMTabletext"/>
              <w:jc w:val="center"/>
            </w:pPr>
          </w:p>
          <w:p w14:paraId="1ABFBF8A" w14:textId="77777777" w:rsidR="00ED3BE2" w:rsidRDefault="00ED3BE2" w:rsidP="002A3BF4">
            <w:pPr>
              <w:pStyle w:val="COMTabletext"/>
              <w:jc w:val="center"/>
            </w:pPr>
            <w:r w:rsidRPr="004D691A">
              <w:t>66.9 (53.8, 77.0)</w:t>
            </w:r>
          </w:p>
          <w:p w14:paraId="4923DAA3" w14:textId="77777777" w:rsidR="00ED3BE2" w:rsidRDefault="00ED3BE2" w:rsidP="002A3BF4">
            <w:pPr>
              <w:pStyle w:val="COMTabletext"/>
              <w:jc w:val="center"/>
            </w:pPr>
            <w:r w:rsidRPr="004D691A">
              <w:t>47.1 (34.3, 58.9)</w:t>
            </w:r>
          </w:p>
          <w:p w14:paraId="7F878051" w14:textId="77777777" w:rsidR="00ED3BE2" w:rsidRDefault="00ED3BE2" w:rsidP="002A3BF4">
            <w:pPr>
              <w:pStyle w:val="COMTabletext"/>
              <w:jc w:val="center"/>
            </w:pPr>
            <w:r w:rsidRPr="00E7127D">
              <w:t>40.4 (28.1, 52.3)</w:t>
            </w:r>
          </w:p>
          <w:p w14:paraId="0C52B337" w14:textId="77777777" w:rsidR="00ED3BE2" w:rsidRDefault="00ED3BE2" w:rsidP="002A3BF4">
            <w:pPr>
              <w:pStyle w:val="COMTabletext"/>
              <w:jc w:val="center"/>
            </w:pPr>
            <w:r w:rsidRPr="00E7127D">
              <w:t>36.9 (24.9, 48.8)</w:t>
            </w:r>
          </w:p>
        </w:tc>
      </w:tr>
    </w:tbl>
    <w:p w14:paraId="58DCCC69" w14:textId="77777777" w:rsidR="00ED3BE2" w:rsidRDefault="00ED3BE2" w:rsidP="00ED3BE2">
      <w:pPr>
        <w:pStyle w:val="COMTablefooter"/>
      </w:pPr>
      <w:r w:rsidRPr="00471739">
        <w:t>Source:</w:t>
      </w:r>
      <w:r>
        <w:t xml:space="preserve"> Table 14.2.7, p321 of the MagnetisMM-3 clinical study report (March 2024 data cut).</w:t>
      </w:r>
    </w:p>
    <w:p w14:paraId="299AC9D0" w14:textId="77777777" w:rsidR="00ED3BE2" w:rsidRDefault="00ED3BE2" w:rsidP="00ED3BE2">
      <w:pPr>
        <w:pStyle w:val="COMTablefooter"/>
      </w:pPr>
      <w:r>
        <w:t>Abbreviations: CI, confidence interval; NE, not estimable; OS, overall survival.</w:t>
      </w:r>
    </w:p>
    <w:p w14:paraId="545A5C03" w14:textId="35563D80" w:rsidR="00722401" w:rsidRDefault="00F856CC" w:rsidP="00ED3BE2">
      <w:pPr>
        <w:pStyle w:val="COMexecsummnumbered"/>
      </w:pPr>
      <w:r w:rsidRPr="00F856CC">
        <w:t xml:space="preserve">Median overall survival was 24.6 months in Cohort A (based on a median follow-up of 28.4 months) and 11.3 months for </w:t>
      </w:r>
      <w:r w:rsidR="00844A18">
        <w:t>C</w:t>
      </w:r>
      <w:r w:rsidRPr="00F856CC">
        <w:t>ohort B (based on a median follow-up of 27.7</w:t>
      </w:r>
      <w:r w:rsidR="00FA5B71">
        <w:t> </w:t>
      </w:r>
      <w:r w:rsidRPr="00F856CC">
        <w:t>months). The proportion of patients remaining alive at 24 months was 50</w:t>
      </w:r>
      <w:r w:rsidR="00844A18">
        <w:t>.</w:t>
      </w:r>
      <w:r w:rsidRPr="00F856CC">
        <w:t>4% in Cohort</w:t>
      </w:r>
      <w:r w:rsidR="00844A18">
        <w:t> </w:t>
      </w:r>
      <w:r w:rsidRPr="00F856CC">
        <w:t>A and 36.9% in Cohort B.</w:t>
      </w:r>
      <w:r w:rsidR="00722401">
        <w:t xml:space="preserve"> </w:t>
      </w:r>
    </w:p>
    <w:p w14:paraId="6C8F6622" w14:textId="7DACE2FF" w:rsidR="00F856CC" w:rsidRDefault="00722401" w:rsidP="00ED3BE2">
      <w:pPr>
        <w:pStyle w:val="COMexecsummnumbered"/>
      </w:pPr>
      <w:r>
        <w:t xml:space="preserve">Among patients with </w:t>
      </w:r>
      <w:r w:rsidRPr="00722401">
        <w:t>2-3 prior lines of therapy</w:t>
      </w:r>
      <w:r w:rsidR="009C3546">
        <w:t xml:space="preserve"> in Cohort A</w:t>
      </w:r>
      <w:r>
        <w:t xml:space="preserve">, the </w:t>
      </w:r>
      <w:r w:rsidRPr="00722401">
        <w:t>median overall survival was not reached (95% CI</w:t>
      </w:r>
      <w:r w:rsidR="00F309CE">
        <w:t>: NE</w:t>
      </w:r>
      <w:r w:rsidRPr="00722401">
        <w:t xml:space="preserve">) and was 14.9 months (95% CI: 10.1, </w:t>
      </w:r>
      <w:r w:rsidR="00F309CE">
        <w:t>NE</w:t>
      </w:r>
      <w:r w:rsidRPr="00722401">
        <w:t>) for participants with ≥</w:t>
      </w:r>
      <w:r w:rsidR="002C1C7F">
        <w:t> </w:t>
      </w:r>
      <w:r w:rsidRPr="00722401">
        <w:t>4 prior lines. The Kaplan-Meier probability of being alive at 24 months was 76.7% (95% C: 55.3, 88.8) for patients with 2-3 prior lines of treatment and 43.3% (95% CI: 33.2, 53.0) for patients with ≥4 prior lines.</w:t>
      </w:r>
    </w:p>
    <w:p w14:paraId="7C287A6F" w14:textId="499ABF9E" w:rsidR="00ED3BE2" w:rsidRPr="00ED3BE2" w:rsidRDefault="00ED3BE2" w:rsidP="00ED3BE2">
      <w:pPr>
        <w:pStyle w:val="COMexecsummnumbered"/>
      </w:pPr>
      <w:r>
        <w:t xml:space="preserve">Updated quality of life outcome results based on the March 2024 data cut were available for the EORTC QLQ-C30, EORTC QLQ-MY20, QLQ-CIPN20 and EQ-5D. </w:t>
      </w:r>
      <w:r w:rsidRPr="0035502F">
        <w:t xml:space="preserve">Due to the relatively small number of respondents at later time points for the </w:t>
      </w:r>
      <w:r w:rsidR="00760246" w:rsidRPr="0035502F">
        <w:t>quality-of-life</w:t>
      </w:r>
      <w:r w:rsidRPr="0035502F">
        <w:t xml:space="preserve"> survey instruments, the updated data was not considered to be informative.</w:t>
      </w:r>
    </w:p>
    <w:p w14:paraId="7B6417EC" w14:textId="4571AA46" w:rsidR="00ED3BE2" w:rsidRDefault="00622EBD" w:rsidP="00ED3BE2">
      <w:pPr>
        <w:pStyle w:val="COMexecsummnumbered"/>
      </w:pPr>
      <w:r w:rsidRPr="00622EBD">
        <w:lastRenderedPageBreak/>
        <w:t xml:space="preserve">For the EORTC QLQ-C30, group level scale scores worsened relative to baseline in the first 2 cycles for global </w:t>
      </w:r>
      <w:r>
        <w:t>quality of life</w:t>
      </w:r>
      <w:r w:rsidRPr="00622EBD">
        <w:t xml:space="preserve">, physical functioning, role functioning, social functioning, and financial difficulties, and then improved back to baseline levels. Group level scale scores </w:t>
      </w:r>
      <w:r>
        <w:t>for</w:t>
      </w:r>
      <w:r w:rsidRPr="00622EBD">
        <w:t xml:space="preserve"> pain improved relative to baseline starting at </w:t>
      </w:r>
      <w:r w:rsidR="00844A18">
        <w:t>day 1 of cycle 4</w:t>
      </w:r>
      <w:r w:rsidRPr="00622EBD">
        <w:t>, though the improvement was not maintained consistently</w:t>
      </w:r>
      <w:r>
        <w:t xml:space="preserve">. </w:t>
      </w:r>
      <w:r w:rsidRPr="00622EBD">
        <w:t xml:space="preserve">Group level scale scores </w:t>
      </w:r>
      <w:r w:rsidR="003C6C10">
        <w:t>for</w:t>
      </w:r>
      <w:r w:rsidRPr="00622EBD">
        <w:t xml:space="preserve"> fatigue, nausea/vomiting, and appetite loss increased (worsened) and remained elevated until </w:t>
      </w:r>
      <w:r w:rsidR="00844A18">
        <w:t>day 1 of cycle 6</w:t>
      </w:r>
      <w:r w:rsidRPr="00622EBD">
        <w:t xml:space="preserve"> and then decreased (improved) back to baseline levels. Group level domain scores were largely maintained over time for emotional functioning, cognitive functioning, dyspnoea, insomnia, constipation, and diarrhea with improvement beyond baseline at certain time points</w:t>
      </w:r>
      <w:r w:rsidR="00844A18">
        <w:t>.</w:t>
      </w:r>
    </w:p>
    <w:p w14:paraId="01920DD4" w14:textId="0DA689F9" w:rsidR="00622EBD" w:rsidRDefault="00622EBD" w:rsidP="00ED3BE2">
      <w:pPr>
        <w:pStyle w:val="COMexecsummnumbered"/>
      </w:pPr>
      <w:r w:rsidRPr="00622EBD">
        <w:t xml:space="preserve">For the EQ-5D, there was no change from baseline over the course of the first nine cycles for the index score, except for </w:t>
      </w:r>
      <w:r>
        <w:t xml:space="preserve">an </w:t>
      </w:r>
      <w:r w:rsidRPr="00622EBD">
        <w:t xml:space="preserve">increase (improvement) at </w:t>
      </w:r>
      <w:r w:rsidR="00844A18">
        <w:t xml:space="preserve">day 1 of cycle 11, day 1 of cycle 12 and day 1 of cycle 15 </w:t>
      </w:r>
      <w:r w:rsidRPr="00622EBD">
        <w:t>for Cohort A.</w:t>
      </w:r>
    </w:p>
    <w:p w14:paraId="1281BDE5" w14:textId="2A27D506" w:rsidR="003C6C10" w:rsidRPr="00A54103" w:rsidRDefault="00386EF9" w:rsidP="003C6C10">
      <w:pPr>
        <w:pStyle w:val="COMH3"/>
        <w:rPr>
          <w:sz w:val="24"/>
        </w:rPr>
      </w:pPr>
      <w:r>
        <w:rPr>
          <w:sz w:val="24"/>
        </w:rPr>
        <w:t>Unanchored</w:t>
      </w:r>
      <w:r w:rsidRPr="00A54103">
        <w:rPr>
          <w:sz w:val="24"/>
        </w:rPr>
        <w:t xml:space="preserve"> </w:t>
      </w:r>
      <w:r w:rsidR="00592013">
        <w:rPr>
          <w:sz w:val="24"/>
        </w:rPr>
        <w:t xml:space="preserve">indirect </w:t>
      </w:r>
      <w:r w:rsidR="000D6219" w:rsidRPr="00A54103">
        <w:rPr>
          <w:sz w:val="24"/>
        </w:rPr>
        <w:t xml:space="preserve">comparison of </w:t>
      </w:r>
      <w:r w:rsidR="003C6C10" w:rsidRPr="00A54103">
        <w:rPr>
          <w:sz w:val="24"/>
        </w:rPr>
        <w:t xml:space="preserve">elranatamab </w:t>
      </w:r>
      <w:r w:rsidR="00A123FB">
        <w:rPr>
          <w:sz w:val="24"/>
        </w:rPr>
        <w:t>(</w:t>
      </w:r>
      <w:r w:rsidR="00A123FB" w:rsidRPr="00A123FB">
        <w:rPr>
          <w:sz w:val="24"/>
        </w:rPr>
        <w:t>MagnetisMM-3</w:t>
      </w:r>
      <w:r w:rsidR="00A123FB">
        <w:rPr>
          <w:sz w:val="24"/>
        </w:rPr>
        <w:t>)</w:t>
      </w:r>
      <w:r w:rsidR="00A123FB" w:rsidRPr="000D6219">
        <w:t xml:space="preserve"> </w:t>
      </w:r>
      <w:r w:rsidR="000D6219" w:rsidRPr="00A54103">
        <w:rPr>
          <w:sz w:val="24"/>
        </w:rPr>
        <w:t xml:space="preserve">versus </w:t>
      </w:r>
      <w:r w:rsidR="00FB3F35">
        <w:rPr>
          <w:sz w:val="24"/>
        </w:rPr>
        <w:t>Cd</w:t>
      </w:r>
      <w:r w:rsidR="00A123FB">
        <w:rPr>
          <w:sz w:val="24"/>
        </w:rPr>
        <w:t xml:space="preserve"> (ENDEAVOR)</w:t>
      </w:r>
    </w:p>
    <w:p w14:paraId="285087EF" w14:textId="26B41272" w:rsidR="000D6219" w:rsidRDefault="000D6219" w:rsidP="00EC5836">
      <w:pPr>
        <w:pStyle w:val="COMexecsummnumbered"/>
      </w:pPr>
      <w:r w:rsidRPr="000D6219">
        <w:t xml:space="preserve">The resubmission noted differences in the MagnetisMM-3 and ENDEAVOR eligibility criteria, with the MagnetisMM-3 study including patients with </w:t>
      </w:r>
      <w:r w:rsidR="006C74D6">
        <w:t>RRMM</w:t>
      </w:r>
      <w:r w:rsidRPr="000D6219">
        <w:t xml:space="preserve"> that w</w:t>
      </w:r>
      <w:r w:rsidR="00C632C4">
        <w:t>ere</w:t>
      </w:r>
      <w:r w:rsidRPr="000D6219">
        <w:t xml:space="preserve"> triple class refractory, whereas the ENDEAVOR trial recruited patients with relapsing or progressing multiple myeloma disease who had received 1 to 3 prior lines of therapy.</w:t>
      </w:r>
    </w:p>
    <w:p w14:paraId="1CD3CA46" w14:textId="05B6720C" w:rsidR="00922979" w:rsidRPr="00922979" w:rsidRDefault="000D6219" w:rsidP="00922979">
      <w:pPr>
        <w:pStyle w:val="COMexecsummnumbered"/>
      </w:pPr>
      <w:r w:rsidRPr="000D6219">
        <w:t>Due to differences in the number of lines of therapy between trials, the resubmission presented a comparison based on the subgroup of patients in each study who had received 2 or 3 prior lines of therapy.</w:t>
      </w:r>
      <w:r w:rsidR="00922979">
        <w:t xml:space="preserve"> </w:t>
      </w:r>
      <w:r w:rsidR="00922979" w:rsidRPr="0035502F">
        <w:t xml:space="preserve">The subgroup of patients in Cohort A of the MagnetisMM-3 study was small, with only 5 patients (4%) having received 2 prior lines of therapies, and 21 patients (17%) having received 3 prior lines of therapy. Due to the relatively small number of patients in the elranatamab subgroup, an unanchored MAIC versus the </w:t>
      </w:r>
      <w:r w:rsidR="00FB3F35" w:rsidRPr="0035502F">
        <w:t>Cd</w:t>
      </w:r>
      <w:r w:rsidR="00922979" w:rsidRPr="0035502F">
        <w:t xml:space="preserve"> subgroup was not considered feasible</w:t>
      </w:r>
      <w:r w:rsidR="00922979" w:rsidRPr="00922979">
        <w:rPr>
          <w:i/>
          <w:iCs/>
        </w:rPr>
        <w:t>.</w:t>
      </w:r>
    </w:p>
    <w:p w14:paraId="7239FABE" w14:textId="7F324121" w:rsidR="00307D9D" w:rsidRPr="0035502F" w:rsidRDefault="00307D9D" w:rsidP="00307D9D">
      <w:pPr>
        <w:pStyle w:val="COMexecsummnumbered"/>
      </w:pPr>
      <w:r w:rsidRPr="0035502F">
        <w:t xml:space="preserve">There were limited published patient characteristics for the subgroup of patients in the 2 to 3 prior lines subgroup of the ENDEAVOR study. The median age of patients in the MagnetissMM-3 study was higher (66 years versus 64 years), a lower proportion of patients had Stage I disease (23% versus 44%), and a higher proportion of patients had an ECOG score of 0 (58% versus 48%) compared to patients in the ENDEAVOR study. </w:t>
      </w:r>
    </w:p>
    <w:p w14:paraId="73DA7877" w14:textId="488227E6" w:rsidR="00307D9D" w:rsidRPr="0035502F" w:rsidRDefault="00307D9D" w:rsidP="00307D9D">
      <w:pPr>
        <w:pStyle w:val="COMexecsummnumbered"/>
      </w:pPr>
      <w:r>
        <w:t xml:space="preserve">Based on the </w:t>
      </w:r>
      <w:r w:rsidR="00386EF9">
        <w:t>unanchored ITC</w:t>
      </w:r>
      <w:r>
        <w:t xml:space="preserve"> of progression-free survival, the hazard ratio favoured elranatamab but was not statistically significant (</w:t>
      </w:r>
      <w:r w:rsidR="00D36AB1">
        <w:t xml:space="preserve">HR = </w:t>
      </w:r>
      <w:r>
        <w:t xml:space="preserve">0.656; 95% CI: </w:t>
      </w:r>
      <w:r w:rsidRPr="003B751B">
        <w:t>0.303, 1.420</w:t>
      </w:r>
      <w:r>
        <w:t>; p=</w:t>
      </w:r>
      <w:r w:rsidRPr="003B751B">
        <w:t>0.284</w:t>
      </w:r>
      <w:r>
        <w:t xml:space="preserve">). </w:t>
      </w:r>
      <w:r w:rsidRPr="0035502F">
        <w:t xml:space="preserve">There was crossing of the curves at 7 months, with a higher proportion of patients treated with </w:t>
      </w:r>
      <w:r w:rsidR="00FB3F35" w:rsidRPr="0035502F">
        <w:t>Cd</w:t>
      </w:r>
      <w:r w:rsidRPr="0035502F">
        <w:t xml:space="preserve"> compared to elranatamab remaining progression free prior to 7</w:t>
      </w:r>
      <w:r w:rsidR="00163275">
        <w:t> </w:t>
      </w:r>
      <w:r w:rsidRPr="0035502F">
        <w:t xml:space="preserve">months, and a lower proportion of patients treated with </w:t>
      </w:r>
      <w:r w:rsidR="00FB3F35" w:rsidRPr="0035502F">
        <w:t>Cd</w:t>
      </w:r>
      <w:r w:rsidRPr="0035502F">
        <w:t xml:space="preserve"> compared to elranatamab remaining progression free after 7 months.</w:t>
      </w:r>
    </w:p>
    <w:p w14:paraId="6F17DE0B" w14:textId="3133B15D" w:rsidR="00FA77E2" w:rsidRDefault="008C448D" w:rsidP="00FA77E2">
      <w:pPr>
        <w:pStyle w:val="COMexecsummnumbered"/>
      </w:pPr>
      <w:r>
        <w:fldChar w:fldCharType="begin" w:fldLock="1"/>
      </w:r>
      <w:r>
        <w:instrText xml:space="preserve"> REF _Ref188189675 \h </w:instrText>
      </w:r>
      <w:r>
        <w:fldChar w:fldCharType="separate"/>
      </w:r>
      <w:r w:rsidR="00347D89">
        <w:t xml:space="preserve">Figure </w:t>
      </w:r>
      <w:r w:rsidR="00347D89">
        <w:rPr>
          <w:noProof/>
        </w:rPr>
        <w:t>1</w:t>
      </w:r>
      <w:r>
        <w:fldChar w:fldCharType="end"/>
      </w:r>
      <w:r w:rsidR="00FA77E2">
        <w:t xml:space="preserve"> presents the results of the </w:t>
      </w:r>
      <w:r w:rsidR="00386EF9">
        <w:t>unanchored ITC</w:t>
      </w:r>
      <w:r w:rsidR="00FA77E2">
        <w:t xml:space="preserve"> of overall survival for elranatamab versus</w:t>
      </w:r>
      <w:r w:rsidR="007C2F73">
        <w:t xml:space="preserve"> Cd</w:t>
      </w:r>
      <w:r w:rsidR="00FA77E2">
        <w:t>, based on the subgroup of patients with 2 to 3 prior lines of treatment.</w:t>
      </w:r>
    </w:p>
    <w:p w14:paraId="14274F73" w14:textId="2A43B5ED" w:rsidR="00FA77E2" w:rsidRPr="00836524" w:rsidRDefault="008C448D" w:rsidP="00FA77E2">
      <w:pPr>
        <w:pStyle w:val="COMtablefigcaption"/>
        <w:jc w:val="both"/>
      </w:pPr>
      <w:bookmarkStart w:id="29" w:name="_Ref188189675"/>
      <w:r>
        <w:lastRenderedPageBreak/>
        <w:t xml:space="preserve">Figure </w:t>
      </w:r>
      <w:r w:rsidR="006B329A">
        <w:fldChar w:fldCharType="begin" w:fldLock="1"/>
      </w:r>
      <w:r w:rsidR="006B329A">
        <w:instrText xml:space="preserve"> SEQ Figure \* ARABIC </w:instrText>
      </w:r>
      <w:r w:rsidR="006B329A">
        <w:fldChar w:fldCharType="separate"/>
      </w:r>
      <w:r w:rsidR="00347D89">
        <w:rPr>
          <w:noProof/>
        </w:rPr>
        <w:t>1</w:t>
      </w:r>
      <w:r w:rsidR="006B329A">
        <w:rPr>
          <w:noProof/>
        </w:rPr>
        <w:fldChar w:fldCharType="end"/>
      </w:r>
      <w:bookmarkEnd w:id="29"/>
      <w:r w:rsidR="00FA77E2" w:rsidRPr="00471739">
        <w:t xml:space="preserve">: </w:t>
      </w:r>
      <w:r w:rsidR="00386EF9">
        <w:t xml:space="preserve">Unanchored </w:t>
      </w:r>
      <w:r w:rsidR="00FA77E2">
        <w:t>indirect comparison of overall survival for elranatamab versus carfilzomib + dexamethasone</w:t>
      </w:r>
    </w:p>
    <w:p w14:paraId="431FB643" w14:textId="77777777" w:rsidR="00FA77E2" w:rsidRPr="009F2953" w:rsidRDefault="00FA77E2" w:rsidP="00FA77E2">
      <w:pPr>
        <w:rPr>
          <w:i/>
          <w:iCs/>
        </w:rPr>
      </w:pPr>
      <w:r w:rsidRPr="002E5D04">
        <w:rPr>
          <w:noProof/>
        </w:rPr>
        <w:drawing>
          <wp:inline distT="0" distB="0" distL="0" distR="0" wp14:anchorId="0654BA8A" wp14:editId="3A4923EF">
            <wp:extent cx="5729115" cy="2844800"/>
            <wp:effectExtent l="0" t="0" r="5080" b="0"/>
            <wp:docPr id="2124223553" name="Picture 2" descr="Figure 1: Unanchored indirect comparison of overall survival for elranatamab versus carfilzomib + dexamethaso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223553" name="Picture 2" descr="Figure 1: Unanchored indirect comparison of overall survival for elranatamab versus carfilzomib + dexamethasone.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7182" cy="2863702"/>
                    </a:xfrm>
                    <a:prstGeom prst="rect">
                      <a:avLst/>
                    </a:prstGeom>
                    <a:noFill/>
                  </pic:spPr>
                </pic:pic>
              </a:graphicData>
            </a:graphic>
          </wp:inline>
        </w:drawing>
      </w:r>
    </w:p>
    <w:p w14:paraId="329FFDC2" w14:textId="77777777" w:rsidR="00FA77E2" w:rsidRDefault="00FA77E2" w:rsidP="00FA77E2">
      <w:pPr>
        <w:pStyle w:val="COMTablefooter"/>
      </w:pPr>
      <w:r w:rsidRPr="00471739">
        <w:t>Source:</w:t>
      </w:r>
      <w:r>
        <w:t xml:space="preserve"> Figure 2.24, p206 of the resubmission.</w:t>
      </w:r>
    </w:p>
    <w:p w14:paraId="3ED6D803" w14:textId="77777777" w:rsidR="00FA77E2" w:rsidRDefault="00FA77E2" w:rsidP="00FA77E2">
      <w:pPr>
        <w:pStyle w:val="COMTablefooter"/>
      </w:pPr>
      <w:r>
        <w:t>Abbreviations: OS, overall survival.</w:t>
      </w:r>
    </w:p>
    <w:p w14:paraId="52FF13FB" w14:textId="4DAC862B" w:rsidR="00307D9D" w:rsidRPr="0035502F" w:rsidRDefault="00307D9D" w:rsidP="00307D9D">
      <w:pPr>
        <w:pStyle w:val="COMexecsummnumbered"/>
      </w:pPr>
      <w:r>
        <w:t xml:space="preserve">Based on the </w:t>
      </w:r>
      <w:r w:rsidR="00386EF9">
        <w:t>unanchored ITC</w:t>
      </w:r>
      <w:r>
        <w:t xml:space="preserve"> of overall survival, the hazard ratio favoured elranatamab but was not statistically significant (</w:t>
      </w:r>
      <w:r w:rsidR="00D36AB1">
        <w:t xml:space="preserve">HR = </w:t>
      </w:r>
      <w:r w:rsidRPr="00487C9C">
        <w:t>0.673</w:t>
      </w:r>
      <w:r>
        <w:t xml:space="preserve">; 95% CI: </w:t>
      </w:r>
      <w:r w:rsidRPr="007D6281">
        <w:t>0.305, 1.484</w:t>
      </w:r>
      <w:r>
        <w:t xml:space="preserve">). </w:t>
      </w:r>
      <w:r w:rsidRPr="0035502F">
        <w:t xml:space="preserve">There were multiple crosses of the overall survival curves prior to 12 months. Beyond 12 months, a higher proportion of patients treated with elranatamab remained progression free compared to </w:t>
      </w:r>
      <w:r w:rsidR="00FB3F35" w:rsidRPr="0035502F">
        <w:t>Cd</w:t>
      </w:r>
      <w:r w:rsidRPr="0035502F">
        <w:t>.</w:t>
      </w:r>
    </w:p>
    <w:p w14:paraId="235959AC" w14:textId="63EF3D3B" w:rsidR="00924168" w:rsidRPr="0035502F" w:rsidRDefault="00924168" w:rsidP="00924168">
      <w:pPr>
        <w:pStyle w:val="COMexecsummnumbered"/>
      </w:pPr>
      <w:bookmarkStart w:id="30" w:name="_Ref193179506"/>
      <w:r w:rsidRPr="0072792B">
        <w:t>The</w:t>
      </w:r>
      <w:r w:rsidRPr="00D36AB1">
        <w:rPr>
          <w:i/>
          <w:iCs/>
        </w:rPr>
        <w:t xml:space="preserve"> </w:t>
      </w:r>
      <w:r w:rsidRPr="0035502F">
        <w:t>results of the indirect comparison were considered uncertain for the following reasons:</w:t>
      </w:r>
      <w:bookmarkEnd w:id="30"/>
    </w:p>
    <w:p w14:paraId="35D1E12B" w14:textId="20149707" w:rsidR="00924168" w:rsidRPr="0035502F" w:rsidRDefault="00E03BBD" w:rsidP="007B055F">
      <w:pPr>
        <w:pStyle w:val="COMexecsummbulletlist"/>
        <w:ind w:hanging="357"/>
      </w:pPr>
      <w:r>
        <w:t>t</w:t>
      </w:r>
      <w:r w:rsidRPr="0035502F">
        <w:t xml:space="preserve">he </w:t>
      </w:r>
      <w:r w:rsidR="00924168" w:rsidRPr="0035502F">
        <w:t>small number of patients in the MagnetisMM-3 study subgroup with 2 to 3 prior treatments</w:t>
      </w:r>
      <w:r w:rsidR="001632CE">
        <w:t xml:space="preserve"> (n=26</w:t>
      </w:r>
      <w:proofErr w:type="gramStart"/>
      <w:r w:rsidR="001632CE">
        <w:t>)</w:t>
      </w:r>
      <w:r>
        <w:t>;</w:t>
      </w:r>
      <w:proofErr w:type="gramEnd"/>
    </w:p>
    <w:p w14:paraId="4FB8059D" w14:textId="08DB21D7" w:rsidR="00924168" w:rsidRPr="0035502F" w:rsidRDefault="00E03BBD" w:rsidP="007B055F">
      <w:pPr>
        <w:pStyle w:val="COMexecsummbulletlist"/>
        <w:ind w:hanging="357"/>
      </w:pPr>
      <w:r>
        <w:t>d</w:t>
      </w:r>
      <w:r w:rsidR="00924168" w:rsidRPr="0035502F">
        <w:t xml:space="preserve">ifferences in the eligibility criteria between the studies regarding prior treatment </w:t>
      </w:r>
      <w:proofErr w:type="gramStart"/>
      <w:r w:rsidR="00924168" w:rsidRPr="0035502F">
        <w:t>refractoriness</w:t>
      </w:r>
      <w:r>
        <w:t>;</w:t>
      </w:r>
      <w:proofErr w:type="gramEnd"/>
    </w:p>
    <w:p w14:paraId="61BC2D74" w14:textId="02CB6AC2" w:rsidR="00924168" w:rsidRPr="0035502F" w:rsidRDefault="00E03BBD" w:rsidP="007B055F">
      <w:pPr>
        <w:pStyle w:val="COMexecsummbulletlist"/>
        <w:ind w:hanging="357"/>
      </w:pPr>
      <w:r>
        <w:t>t</w:t>
      </w:r>
      <w:r w:rsidR="00924168" w:rsidRPr="0035502F">
        <w:t xml:space="preserve">he limited availability of patient characteristics for the </w:t>
      </w:r>
      <w:r w:rsidR="00FB3F35" w:rsidRPr="0035502F">
        <w:t>Cd</w:t>
      </w:r>
      <w:r w:rsidR="00924168" w:rsidRPr="0035502F">
        <w:t xml:space="preserve"> </w:t>
      </w:r>
      <w:proofErr w:type="gramStart"/>
      <w:r w:rsidR="00924168" w:rsidRPr="0035502F">
        <w:t>subgroup</w:t>
      </w:r>
      <w:r>
        <w:t>;</w:t>
      </w:r>
      <w:proofErr w:type="gramEnd"/>
    </w:p>
    <w:p w14:paraId="0B2897AE" w14:textId="20DF1577" w:rsidR="00924168" w:rsidRPr="0035502F" w:rsidRDefault="00E03BBD" w:rsidP="007B055F">
      <w:pPr>
        <w:pStyle w:val="COMexecsummbulletlist"/>
        <w:ind w:hanging="357"/>
      </w:pPr>
      <w:r>
        <w:t>c</w:t>
      </w:r>
      <w:r w:rsidR="00924168" w:rsidRPr="0035502F">
        <w:t>rossing of the progression-free survival and overall survival curves, and the lack of a statistically significant difference for the comparisons of progression-free survival and overall survival</w:t>
      </w:r>
      <w:r>
        <w:t xml:space="preserve">; and </w:t>
      </w:r>
    </w:p>
    <w:p w14:paraId="2F4FAE33" w14:textId="29473758" w:rsidR="00924168" w:rsidRPr="0035502F" w:rsidRDefault="00E03BBD" w:rsidP="007B055F">
      <w:pPr>
        <w:pStyle w:val="COMexecsummbulletlist"/>
      </w:pPr>
      <w:r>
        <w:t>p</w:t>
      </w:r>
      <w:r w:rsidR="00924168" w:rsidRPr="0035502F">
        <w:t>otential differences in the multiple myeloma treatments used, including prior therapies, and therapies used in the post-progression setting.</w:t>
      </w:r>
    </w:p>
    <w:p w14:paraId="1AEAC9B6" w14:textId="705A75AF" w:rsidR="00C8450D" w:rsidRDefault="00C8450D" w:rsidP="00C016DD">
      <w:pPr>
        <w:pStyle w:val="COMexecsummnumbered"/>
      </w:pPr>
      <w:r>
        <w:t xml:space="preserve">The pre-PBAC response </w:t>
      </w:r>
      <w:r w:rsidR="00BB25F5">
        <w:t>acknowledged the limitations of the indirect comparison between elranatamab and Cd</w:t>
      </w:r>
      <w:r w:rsidR="00DF7AF7">
        <w:t xml:space="preserve"> and stated that </w:t>
      </w:r>
      <w:r w:rsidR="002C0AC8">
        <w:t>although the results should be interpreted with caution, the comparison offered valuable context regarding the treatment effect of elranatamab within the Australian RRM</w:t>
      </w:r>
      <w:r w:rsidR="002147B4">
        <w:t>M</w:t>
      </w:r>
      <w:r w:rsidR="002C0AC8">
        <w:t xml:space="preserve"> landscape. In addition, the pre-PBAC response </w:t>
      </w:r>
      <w:r w:rsidR="00AD782E">
        <w:t xml:space="preserve">noted that elranatamab was associated with </w:t>
      </w:r>
      <w:r w:rsidR="00D470F3">
        <w:t xml:space="preserve">favourable </w:t>
      </w:r>
      <w:r w:rsidR="00D470F3">
        <w:lastRenderedPageBreak/>
        <w:t xml:space="preserve">hazard ratios for </w:t>
      </w:r>
      <w:r w:rsidR="00A02109">
        <w:t>progression free and overall survival</w:t>
      </w:r>
      <w:r w:rsidR="00AD782E">
        <w:t xml:space="preserve"> compared to Cd and the results were trending towards statistical significance.</w:t>
      </w:r>
    </w:p>
    <w:p w14:paraId="3D5019BA" w14:textId="77777777" w:rsidR="00AD782E" w:rsidRPr="00AD782E" w:rsidRDefault="00AD782E" w:rsidP="00AD782E">
      <w:pPr>
        <w:pStyle w:val="3-BodyText"/>
        <w:rPr>
          <w:b/>
          <w:bCs/>
        </w:rPr>
      </w:pPr>
      <w:r w:rsidRPr="00AD782E">
        <w:rPr>
          <w:b/>
          <w:bCs/>
        </w:rPr>
        <w:t>Unanchored MAIC of elranatamab (MagnetisMM-3) versus Pd (MM-003)</w:t>
      </w:r>
    </w:p>
    <w:p w14:paraId="19839B80" w14:textId="430E24EF" w:rsidR="00C016DD" w:rsidRPr="0035502F" w:rsidRDefault="00924168" w:rsidP="00C016DD">
      <w:pPr>
        <w:pStyle w:val="COMexecsummnumbered"/>
      </w:pPr>
      <w:r w:rsidRPr="002D039A">
        <w:t xml:space="preserve">The </w:t>
      </w:r>
      <w:r>
        <w:t xml:space="preserve">resubmission noted differences in the MagnetisMM-3 and MM-003 eligibility criteria, with the </w:t>
      </w:r>
      <w:r w:rsidRPr="002D039A">
        <w:t xml:space="preserve">MagnetisMM-3 </w:t>
      </w:r>
      <w:r>
        <w:t xml:space="preserve">study </w:t>
      </w:r>
      <w:r w:rsidRPr="002D039A">
        <w:t>includ</w:t>
      </w:r>
      <w:r>
        <w:t>ing</w:t>
      </w:r>
      <w:r w:rsidRPr="002D039A">
        <w:t xml:space="preserve"> patients </w:t>
      </w:r>
      <w:r>
        <w:t xml:space="preserve">with </w:t>
      </w:r>
      <w:r w:rsidR="006C74D6">
        <w:t>RRMM</w:t>
      </w:r>
      <w:r>
        <w:t xml:space="preserve"> that w</w:t>
      </w:r>
      <w:r w:rsidR="00553FCA">
        <w:t>ere</w:t>
      </w:r>
      <w:r>
        <w:t xml:space="preserve"> triple therapy refractory, whereas the </w:t>
      </w:r>
      <w:r w:rsidRPr="002D039A">
        <w:t xml:space="preserve">MM-003 </w:t>
      </w:r>
      <w:r>
        <w:t xml:space="preserve">trial recruited patients with </w:t>
      </w:r>
      <w:r w:rsidR="006C74D6">
        <w:t>RRMM</w:t>
      </w:r>
      <w:r>
        <w:t xml:space="preserve"> with at least 2 prior lines of therapy and who had previously failed treatment with</w:t>
      </w:r>
      <w:r w:rsidRPr="002D039A">
        <w:t xml:space="preserve"> bortezomib and lenalidomide.</w:t>
      </w:r>
      <w:r w:rsidR="00C016DD">
        <w:t xml:space="preserve"> </w:t>
      </w:r>
      <w:r w:rsidR="00C016DD" w:rsidRPr="00C016DD">
        <w:t xml:space="preserve">The resubmission noted that </w:t>
      </w:r>
      <w:proofErr w:type="gramStart"/>
      <w:r w:rsidR="00C016DD" w:rsidRPr="00C016DD">
        <w:t>the majority of</w:t>
      </w:r>
      <w:proofErr w:type="gramEnd"/>
      <w:r w:rsidR="00C016DD" w:rsidRPr="00C016DD">
        <w:t xml:space="preserve"> patients in the MagnetisMM-3 study (81%) had previously received treatment with pomalidomide</w:t>
      </w:r>
      <w:r w:rsidR="00C016DD">
        <w:t>. P</w:t>
      </w:r>
      <w:r w:rsidR="00C016DD" w:rsidRPr="00C016DD">
        <w:t>atients who had previously received treatment with pomalidomide</w:t>
      </w:r>
      <w:r w:rsidR="00C016DD">
        <w:t xml:space="preserve"> were excluded from the </w:t>
      </w:r>
      <w:r w:rsidR="00C016DD" w:rsidRPr="00C016DD">
        <w:t>MM-003 trial</w:t>
      </w:r>
      <w:r w:rsidR="00C016DD">
        <w:t xml:space="preserve">. </w:t>
      </w:r>
      <w:r w:rsidR="008C448D" w:rsidRPr="0035502F">
        <w:t>MM-003 w</w:t>
      </w:r>
      <w:r w:rsidR="00C016DD" w:rsidRPr="0035502F">
        <w:t xml:space="preserve">as an older study, and the results may not reflect the current management of patients with </w:t>
      </w:r>
      <w:r w:rsidR="006C74D6">
        <w:t>RRMM</w:t>
      </w:r>
      <w:r w:rsidR="00C016DD" w:rsidRPr="0035502F">
        <w:t xml:space="preserve"> given changes in the availability of standard of care treatments over time. Progression-free survival for the MM-003 study was based on investigator assessment (assessment by blinded independent review committee were not included in the trial).</w:t>
      </w:r>
    </w:p>
    <w:p w14:paraId="6AC68AE2" w14:textId="2081FB9C" w:rsidR="00C016DD" w:rsidRPr="00C016DD" w:rsidRDefault="00C016DD" w:rsidP="00C016DD">
      <w:pPr>
        <w:pStyle w:val="COMexecsummnumbered"/>
        <w:rPr>
          <w:i/>
          <w:iCs/>
        </w:rPr>
      </w:pPr>
      <w:r>
        <w:t xml:space="preserve">Of </w:t>
      </w:r>
      <w:r w:rsidRPr="00DF53E3">
        <w:t xml:space="preserve">the identified </w:t>
      </w:r>
      <w:r>
        <w:t>prognostic and treatment effect modifier variables</w:t>
      </w:r>
      <w:r w:rsidRPr="00DF53E3">
        <w:t>, high-risk cytogenetics, extramedullary disease</w:t>
      </w:r>
      <w:r w:rsidR="0063399E">
        <w:t xml:space="preserve"> status</w:t>
      </w:r>
      <w:r w:rsidRPr="00DF53E3">
        <w:t xml:space="preserve">, penta-exposed and penta-refractory </w:t>
      </w:r>
      <w:r w:rsidR="00620791">
        <w:t xml:space="preserve">status </w:t>
      </w:r>
      <w:r w:rsidRPr="00DF53E3">
        <w:t xml:space="preserve">were not adjusted for in the MAIC as they were not reported </w:t>
      </w:r>
      <w:r>
        <w:t>for</w:t>
      </w:r>
      <w:r w:rsidRPr="00DF53E3">
        <w:t xml:space="preserve"> the MM-003 </w:t>
      </w:r>
      <w:r>
        <w:t>trial</w:t>
      </w:r>
      <w:r w:rsidRPr="00DF53E3">
        <w:t>. The</w:t>
      </w:r>
      <w:r>
        <w:t xml:space="preserve"> resubmission noted that the </w:t>
      </w:r>
      <w:r w:rsidRPr="00DF53E3">
        <w:t>exclusion</w:t>
      </w:r>
      <w:r>
        <w:t xml:space="preserve"> of </w:t>
      </w:r>
      <w:r w:rsidRPr="00DF53E3">
        <w:t>high-risk cytogenetics and extramedullary disease</w:t>
      </w:r>
      <w:r>
        <w:t xml:space="preserve"> </w:t>
      </w:r>
      <w:r w:rsidR="0063399E">
        <w:t xml:space="preserve">status </w:t>
      </w:r>
      <w:r>
        <w:t>from the MAIC may have introduced bias, a</w:t>
      </w:r>
      <w:r w:rsidRPr="00DF53E3">
        <w:t xml:space="preserve">s these variables were identified as key </w:t>
      </w:r>
      <w:r>
        <w:t>prognostic</w:t>
      </w:r>
      <w:r w:rsidRPr="00DF53E3">
        <w:t>/</w:t>
      </w:r>
      <w:r>
        <w:t xml:space="preserve">treatment effect modifier variables </w:t>
      </w:r>
      <w:r w:rsidRPr="00DF53E3">
        <w:t xml:space="preserve">based on </w:t>
      </w:r>
      <w:r>
        <w:t xml:space="preserve">expert </w:t>
      </w:r>
      <w:r w:rsidRPr="00DF53E3">
        <w:t>clinical opinion</w:t>
      </w:r>
      <w:r>
        <w:t xml:space="preserve">. The resubmission also noted that </w:t>
      </w:r>
      <w:r w:rsidRPr="00417604">
        <w:t>previous exposure to pomalidomide could not be adjusted in the MAIC</w:t>
      </w:r>
      <w:r>
        <w:t>,</w:t>
      </w:r>
      <w:r w:rsidRPr="00417604">
        <w:t xml:space="preserve"> as it would lead to a very small sample size.</w:t>
      </w:r>
    </w:p>
    <w:p w14:paraId="4C3A6B8A" w14:textId="1A500130" w:rsidR="00C016DD" w:rsidRPr="00C016DD" w:rsidRDefault="00A5273B" w:rsidP="00C016DD">
      <w:pPr>
        <w:pStyle w:val="COMexecsummnumbered"/>
        <w:rPr>
          <w:i/>
          <w:iCs/>
        </w:rPr>
      </w:pPr>
      <w:r>
        <w:fldChar w:fldCharType="begin" w:fldLock="1"/>
      </w:r>
      <w:r>
        <w:instrText xml:space="preserve"> REF _Ref187747046 \h </w:instrText>
      </w:r>
      <w:r>
        <w:fldChar w:fldCharType="separate"/>
      </w:r>
      <w:r w:rsidR="00347D89" w:rsidRPr="006E0FA2">
        <w:t xml:space="preserve">Table </w:t>
      </w:r>
      <w:r w:rsidR="00347D89">
        <w:rPr>
          <w:noProof/>
        </w:rPr>
        <w:t>8</w:t>
      </w:r>
      <w:r>
        <w:fldChar w:fldCharType="end"/>
      </w:r>
      <w:r w:rsidR="00C016DD">
        <w:t xml:space="preserve"> presents a comparison of the available baseline patient characteristics for Cohort A of the MagnetisMM-3 study and the </w:t>
      </w:r>
      <w:r w:rsidR="00702674">
        <w:t>Pd</w:t>
      </w:r>
      <w:r w:rsidR="00C016DD">
        <w:t xml:space="preserve"> arm of the MM-003 trial.</w:t>
      </w:r>
    </w:p>
    <w:p w14:paraId="42581855" w14:textId="1B23A4C1" w:rsidR="00C016DD" w:rsidRPr="00471739" w:rsidRDefault="00A0323C" w:rsidP="00644AF4">
      <w:pPr>
        <w:pStyle w:val="COMtablefigcaption"/>
        <w:keepLines/>
      </w:pPr>
      <w:bookmarkStart w:id="31" w:name="_Ref187747046"/>
      <w:r w:rsidRPr="006E0FA2">
        <w:lastRenderedPageBreak/>
        <w:t xml:space="preserve">Table </w:t>
      </w:r>
      <w:r w:rsidR="006B329A">
        <w:fldChar w:fldCharType="begin" w:fldLock="1"/>
      </w:r>
      <w:r w:rsidR="006B329A">
        <w:instrText xml:space="preserve"> SEQ Table \* ARABIC </w:instrText>
      </w:r>
      <w:r w:rsidR="006B329A">
        <w:fldChar w:fldCharType="separate"/>
      </w:r>
      <w:r w:rsidR="00347D89">
        <w:rPr>
          <w:noProof/>
        </w:rPr>
        <w:t>8</w:t>
      </w:r>
      <w:r w:rsidR="006B329A">
        <w:rPr>
          <w:noProof/>
        </w:rPr>
        <w:fldChar w:fldCharType="end"/>
      </w:r>
      <w:bookmarkEnd w:id="31"/>
      <w:r w:rsidR="00C016DD" w:rsidRPr="00471739">
        <w:t xml:space="preserve">: </w:t>
      </w:r>
      <w:r w:rsidR="00C016DD">
        <w:t>Comparison of patient characteristics for the MagnetisMM-3 and MM-003 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8: Comparison of patient characteristics for the MagnetisMM-3 and MM-003 studies"/>
      </w:tblPr>
      <w:tblGrid>
        <w:gridCol w:w="3114"/>
        <w:gridCol w:w="1921"/>
        <w:gridCol w:w="2040"/>
        <w:gridCol w:w="1942"/>
      </w:tblGrid>
      <w:tr w:rsidR="00C016DD" w:rsidRPr="00471739" w14:paraId="66147A87" w14:textId="77777777" w:rsidTr="002D2EE9">
        <w:trPr>
          <w:tblHeader/>
        </w:trPr>
        <w:tc>
          <w:tcPr>
            <w:tcW w:w="1727" w:type="pct"/>
            <w:vAlign w:val="center"/>
          </w:tcPr>
          <w:p w14:paraId="48AA5769" w14:textId="77777777" w:rsidR="00C016DD" w:rsidRPr="00471739" w:rsidRDefault="00C016DD" w:rsidP="00644AF4">
            <w:pPr>
              <w:pStyle w:val="COMTableheadingrow"/>
              <w:keepLines/>
            </w:pPr>
          </w:p>
        </w:tc>
        <w:tc>
          <w:tcPr>
            <w:tcW w:w="1065" w:type="pct"/>
            <w:vAlign w:val="center"/>
          </w:tcPr>
          <w:p w14:paraId="49E82B83" w14:textId="77777777" w:rsidR="00C016DD" w:rsidRDefault="00C016DD" w:rsidP="00644AF4">
            <w:pPr>
              <w:pStyle w:val="COMTableheadingrow"/>
              <w:keepLines/>
              <w:jc w:val="center"/>
            </w:pPr>
            <w:r>
              <w:t>MagnetisMM-3</w:t>
            </w:r>
          </w:p>
          <w:p w14:paraId="6ADA2EA8" w14:textId="77777777" w:rsidR="00C016DD" w:rsidRDefault="00C016DD" w:rsidP="00644AF4">
            <w:pPr>
              <w:pStyle w:val="COMTableheadingrow"/>
              <w:keepLines/>
              <w:jc w:val="center"/>
            </w:pPr>
            <w:r>
              <w:t>Elranatamab (Cohort A)</w:t>
            </w:r>
          </w:p>
          <w:p w14:paraId="4F3CDCB7" w14:textId="77777777" w:rsidR="00C016DD" w:rsidRDefault="00C016DD" w:rsidP="00644AF4">
            <w:pPr>
              <w:pStyle w:val="COMTableheadingrow"/>
              <w:keepLines/>
              <w:jc w:val="center"/>
            </w:pPr>
            <w:r>
              <w:t>Unadjusted</w:t>
            </w:r>
          </w:p>
          <w:p w14:paraId="6CEC31B8" w14:textId="77777777" w:rsidR="00C016DD" w:rsidRPr="00471739" w:rsidRDefault="00C016DD" w:rsidP="00644AF4">
            <w:pPr>
              <w:pStyle w:val="COMTableheadingrow"/>
              <w:keepLines/>
              <w:jc w:val="center"/>
            </w:pPr>
            <w:r>
              <w:t>N=123</w:t>
            </w:r>
          </w:p>
        </w:tc>
        <w:tc>
          <w:tcPr>
            <w:tcW w:w="1131" w:type="pct"/>
          </w:tcPr>
          <w:p w14:paraId="3C3C467F" w14:textId="77777777" w:rsidR="00C016DD" w:rsidRDefault="00C016DD" w:rsidP="00644AF4">
            <w:pPr>
              <w:pStyle w:val="COMTableheadingrow"/>
              <w:keepLines/>
              <w:jc w:val="center"/>
            </w:pPr>
            <w:r>
              <w:t>MM-003</w:t>
            </w:r>
          </w:p>
          <w:p w14:paraId="6F694A47" w14:textId="019485D9" w:rsidR="00C016DD" w:rsidRDefault="00702674" w:rsidP="00644AF4">
            <w:pPr>
              <w:pStyle w:val="COMTableheadingrow"/>
              <w:keepLines/>
              <w:jc w:val="center"/>
            </w:pPr>
            <w:r>
              <w:t>Pd</w:t>
            </w:r>
          </w:p>
          <w:p w14:paraId="35538552" w14:textId="77777777" w:rsidR="00C016DD" w:rsidRDefault="00C016DD" w:rsidP="00644AF4">
            <w:pPr>
              <w:pStyle w:val="COMTableheadingrow"/>
              <w:keepLines/>
              <w:jc w:val="center"/>
            </w:pPr>
            <w:r>
              <w:t>N=302</w:t>
            </w:r>
          </w:p>
        </w:tc>
        <w:tc>
          <w:tcPr>
            <w:tcW w:w="1077" w:type="pct"/>
          </w:tcPr>
          <w:p w14:paraId="602E7A9F" w14:textId="77777777" w:rsidR="00C016DD" w:rsidRDefault="00C016DD" w:rsidP="00644AF4">
            <w:pPr>
              <w:pStyle w:val="COMTableheadingrow"/>
              <w:keepLines/>
              <w:jc w:val="center"/>
            </w:pPr>
            <w:r>
              <w:t>MagnetisMM-3</w:t>
            </w:r>
          </w:p>
          <w:p w14:paraId="72230BD0" w14:textId="77777777" w:rsidR="00C016DD" w:rsidRDefault="00C016DD" w:rsidP="00644AF4">
            <w:pPr>
              <w:pStyle w:val="COMTableheadingrow"/>
              <w:keepLines/>
              <w:jc w:val="center"/>
            </w:pPr>
            <w:r>
              <w:t>Elranatamab (Cohort A)</w:t>
            </w:r>
          </w:p>
          <w:p w14:paraId="45891389" w14:textId="77777777" w:rsidR="00C016DD" w:rsidRDefault="00C016DD" w:rsidP="00644AF4">
            <w:pPr>
              <w:pStyle w:val="COMTableheadingrow"/>
              <w:keepLines/>
              <w:jc w:val="center"/>
            </w:pPr>
            <w:r>
              <w:t>Adjusted</w:t>
            </w:r>
          </w:p>
          <w:p w14:paraId="36BF5B0B" w14:textId="77777777" w:rsidR="00C016DD" w:rsidRDefault="00C016DD" w:rsidP="00644AF4">
            <w:pPr>
              <w:pStyle w:val="COMTableheadingrow"/>
              <w:keepLines/>
              <w:jc w:val="center"/>
            </w:pPr>
            <w:r>
              <w:t>ESS=76</w:t>
            </w:r>
          </w:p>
        </w:tc>
      </w:tr>
      <w:tr w:rsidR="00C016DD" w:rsidRPr="00471739" w14:paraId="3E7C857A" w14:textId="77777777" w:rsidTr="002D2EE9">
        <w:trPr>
          <w:trHeight w:val="79"/>
          <w:tblHeader/>
        </w:trPr>
        <w:tc>
          <w:tcPr>
            <w:tcW w:w="1727" w:type="pct"/>
          </w:tcPr>
          <w:p w14:paraId="3AAD7C76" w14:textId="77777777" w:rsidR="00C016DD" w:rsidRPr="00E83A9C" w:rsidRDefault="00C016DD" w:rsidP="00644AF4">
            <w:pPr>
              <w:pStyle w:val="COMTableheadingrow"/>
              <w:keepLines/>
              <w:rPr>
                <w:b w:val="0"/>
                <w:bCs/>
              </w:rPr>
            </w:pPr>
            <w:r>
              <w:rPr>
                <w:b w:val="0"/>
                <w:bCs/>
              </w:rPr>
              <w:t>Age &gt;75 years</w:t>
            </w:r>
          </w:p>
        </w:tc>
        <w:tc>
          <w:tcPr>
            <w:tcW w:w="1065" w:type="pct"/>
          </w:tcPr>
          <w:p w14:paraId="2C8C9887" w14:textId="77777777" w:rsidR="00C016DD" w:rsidRPr="00DF53E3" w:rsidRDefault="00C016DD" w:rsidP="00644AF4">
            <w:pPr>
              <w:pStyle w:val="COMTableheadingrow"/>
              <w:keepLines/>
              <w:jc w:val="center"/>
              <w:rPr>
                <w:b w:val="0"/>
                <w:bCs/>
              </w:rPr>
            </w:pPr>
            <w:r w:rsidRPr="00DF53E3">
              <w:rPr>
                <w:b w:val="0"/>
                <w:bCs/>
              </w:rPr>
              <w:t>21 (17%)</w:t>
            </w:r>
          </w:p>
        </w:tc>
        <w:tc>
          <w:tcPr>
            <w:tcW w:w="1131" w:type="pct"/>
          </w:tcPr>
          <w:p w14:paraId="28C44ED5" w14:textId="77777777" w:rsidR="00C016DD" w:rsidRPr="00DF53E3" w:rsidRDefault="00C016DD" w:rsidP="00644AF4">
            <w:pPr>
              <w:pStyle w:val="COMTabletext"/>
              <w:keepLines/>
              <w:jc w:val="center"/>
            </w:pPr>
            <w:r w:rsidRPr="00DF53E3">
              <w:t>24 (8%)</w:t>
            </w:r>
          </w:p>
        </w:tc>
        <w:tc>
          <w:tcPr>
            <w:tcW w:w="1077" w:type="pct"/>
          </w:tcPr>
          <w:p w14:paraId="0E11086A" w14:textId="77777777" w:rsidR="00C016DD" w:rsidRPr="00DF53E3" w:rsidRDefault="00C016DD" w:rsidP="00644AF4">
            <w:pPr>
              <w:pStyle w:val="COMTabletext"/>
              <w:keepLines/>
              <w:jc w:val="center"/>
            </w:pPr>
            <w:r w:rsidRPr="004F2341">
              <w:t>8%</w:t>
            </w:r>
          </w:p>
        </w:tc>
      </w:tr>
      <w:tr w:rsidR="00C016DD" w:rsidRPr="00471739" w14:paraId="085BC9F3" w14:textId="77777777" w:rsidTr="002D2EE9">
        <w:trPr>
          <w:trHeight w:val="79"/>
          <w:tblHeader/>
        </w:trPr>
        <w:tc>
          <w:tcPr>
            <w:tcW w:w="1727" w:type="pct"/>
          </w:tcPr>
          <w:p w14:paraId="4A197149" w14:textId="77777777" w:rsidR="00C016DD" w:rsidRDefault="00C016DD" w:rsidP="00644AF4">
            <w:pPr>
              <w:pStyle w:val="COMTableheadingrow"/>
              <w:keepLines/>
              <w:tabs>
                <w:tab w:val="left" w:pos="2076"/>
              </w:tabs>
              <w:rPr>
                <w:b w:val="0"/>
                <w:bCs/>
              </w:rPr>
            </w:pPr>
            <w:r>
              <w:rPr>
                <w:b w:val="0"/>
                <w:bCs/>
              </w:rPr>
              <w:t>Male</w:t>
            </w:r>
          </w:p>
        </w:tc>
        <w:tc>
          <w:tcPr>
            <w:tcW w:w="1065" w:type="pct"/>
          </w:tcPr>
          <w:p w14:paraId="4D1BE0CD" w14:textId="77777777" w:rsidR="00C016DD" w:rsidRPr="00DF53E3" w:rsidRDefault="00C016DD" w:rsidP="00644AF4">
            <w:pPr>
              <w:pStyle w:val="COMTableheadingrow"/>
              <w:keepLines/>
              <w:jc w:val="center"/>
              <w:rPr>
                <w:b w:val="0"/>
                <w:bCs/>
              </w:rPr>
            </w:pPr>
            <w:r w:rsidRPr="00DF53E3">
              <w:rPr>
                <w:b w:val="0"/>
                <w:bCs/>
              </w:rPr>
              <w:t>68 (55%)</w:t>
            </w:r>
          </w:p>
        </w:tc>
        <w:tc>
          <w:tcPr>
            <w:tcW w:w="1131" w:type="pct"/>
          </w:tcPr>
          <w:p w14:paraId="418BE5CD" w14:textId="77777777" w:rsidR="00C016DD" w:rsidRPr="00DF53E3" w:rsidRDefault="00C016DD" w:rsidP="00644AF4">
            <w:pPr>
              <w:pStyle w:val="COMTabletext"/>
              <w:keepLines/>
              <w:jc w:val="center"/>
            </w:pPr>
            <w:r w:rsidRPr="00DF53E3">
              <w:t>181 (60%)</w:t>
            </w:r>
          </w:p>
        </w:tc>
        <w:tc>
          <w:tcPr>
            <w:tcW w:w="1077" w:type="pct"/>
          </w:tcPr>
          <w:p w14:paraId="2EFBAE55" w14:textId="77777777" w:rsidR="00C016DD" w:rsidRPr="00DF53E3" w:rsidRDefault="00C016DD" w:rsidP="00644AF4">
            <w:pPr>
              <w:pStyle w:val="COMTabletext"/>
              <w:keepLines/>
              <w:jc w:val="center"/>
            </w:pPr>
            <w:r w:rsidRPr="004F2341">
              <w:t>60%</w:t>
            </w:r>
          </w:p>
        </w:tc>
      </w:tr>
      <w:tr w:rsidR="00C016DD" w:rsidRPr="00471739" w14:paraId="6AF7EFCF" w14:textId="77777777" w:rsidTr="002D2EE9">
        <w:trPr>
          <w:trHeight w:val="79"/>
          <w:tblHeader/>
        </w:trPr>
        <w:tc>
          <w:tcPr>
            <w:tcW w:w="1727" w:type="pct"/>
          </w:tcPr>
          <w:p w14:paraId="445F254D" w14:textId="77777777" w:rsidR="00C016DD" w:rsidRDefault="00C016DD" w:rsidP="00644AF4">
            <w:pPr>
              <w:pStyle w:val="COMTableheadingrow"/>
              <w:keepLines/>
              <w:tabs>
                <w:tab w:val="left" w:pos="2076"/>
              </w:tabs>
              <w:rPr>
                <w:b w:val="0"/>
                <w:bCs/>
              </w:rPr>
            </w:pPr>
            <w:r>
              <w:rPr>
                <w:b w:val="0"/>
                <w:bCs/>
              </w:rPr>
              <w:t>Median time from initial diagnosis, years</w:t>
            </w:r>
          </w:p>
        </w:tc>
        <w:tc>
          <w:tcPr>
            <w:tcW w:w="1065" w:type="pct"/>
            <w:vAlign w:val="center"/>
          </w:tcPr>
          <w:p w14:paraId="1126D364" w14:textId="77777777" w:rsidR="00C016DD" w:rsidRPr="00C902FE" w:rsidRDefault="00C016DD" w:rsidP="00644AF4">
            <w:pPr>
              <w:pStyle w:val="COMTableheadingrow"/>
              <w:keepLines/>
              <w:jc w:val="center"/>
              <w:rPr>
                <w:b w:val="0"/>
                <w:bCs/>
              </w:rPr>
            </w:pPr>
            <w:r w:rsidRPr="00C902FE">
              <w:rPr>
                <w:b w:val="0"/>
                <w:bCs/>
              </w:rPr>
              <w:t>6.1</w:t>
            </w:r>
          </w:p>
        </w:tc>
        <w:tc>
          <w:tcPr>
            <w:tcW w:w="1131" w:type="pct"/>
            <w:vAlign w:val="center"/>
          </w:tcPr>
          <w:p w14:paraId="198863B2" w14:textId="77777777" w:rsidR="00C016DD" w:rsidRPr="00DF53E3" w:rsidRDefault="00C016DD" w:rsidP="00644AF4">
            <w:pPr>
              <w:pStyle w:val="COMTabletext"/>
              <w:keepLines/>
              <w:jc w:val="center"/>
            </w:pPr>
            <w:r w:rsidRPr="00DC08EA">
              <w:t>5.3</w:t>
            </w:r>
          </w:p>
        </w:tc>
        <w:tc>
          <w:tcPr>
            <w:tcW w:w="1077" w:type="pct"/>
            <w:vAlign w:val="center"/>
          </w:tcPr>
          <w:p w14:paraId="20655844" w14:textId="77777777" w:rsidR="00C016DD" w:rsidRPr="00DC08EA" w:rsidRDefault="00C016DD" w:rsidP="00644AF4">
            <w:pPr>
              <w:pStyle w:val="COMTabletext"/>
              <w:keepLines/>
              <w:jc w:val="center"/>
            </w:pPr>
            <w:r w:rsidRPr="004F2341">
              <w:t>5.3</w:t>
            </w:r>
          </w:p>
        </w:tc>
      </w:tr>
      <w:tr w:rsidR="00C016DD" w:rsidRPr="00471739" w14:paraId="42D47272" w14:textId="77777777" w:rsidTr="002D2EE9">
        <w:tc>
          <w:tcPr>
            <w:tcW w:w="1727" w:type="pct"/>
          </w:tcPr>
          <w:p w14:paraId="44B7C080" w14:textId="77777777" w:rsidR="00C016DD" w:rsidRDefault="00C016DD" w:rsidP="00644AF4">
            <w:pPr>
              <w:pStyle w:val="COMTabletext"/>
              <w:keepLines/>
            </w:pPr>
            <w:r>
              <w:t>ISS disease stage</w:t>
            </w:r>
          </w:p>
          <w:p w14:paraId="5860C258" w14:textId="77777777" w:rsidR="00C016DD" w:rsidRDefault="00C016DD" w:rsidP="00644AF4">
            <w:pPr>
              <w:pStyle w:val="COMTabletext"/>
              <w:keepLines/>
            </w:pPr>
            <w:r>
              <w:t>- Stage I to II</w:t>
            </w:r>
          </w:p>
          <w:p w14:paraId="130C8DA0" w14:textId="77777777" w:rsidR="00C016DD" w:rsidRDefault="00C016DD" w:rsidP="00644AF4">
            <w:pPr>
              <w:pStyle w:val="COMTabletext"/>
              <w:keepLines/>
            </w:pPr>
            <w:r>
              <w:t>- Stage III</w:t>
            </w:r>
          </w:p>
          <w:p w14:paraId="63A1FCED" w14:textId="77777777" w:rsidR="00C016DD" w:rsidRPr="00A67148" w:rsidRDefault="00C016DD" w:rsidP="00644AF4">
            <w:pPr>
              <w:pStyle w:val="COMTabletext"/>
              <w:keepLines/>
            </w:pPr>
            <w:r>
              <w:t>- Missing</w:t>
            </w:r>
          </w:p>
        </w:tc>
        <w:tc>
          <w:tcPr>
            <w:tcW w:w="1065" w:type="pct"/>
          </w:tcPr>
          <w:p w14:paraId="58710D14" w14:textId="77777777" w:rsidR="00C016DD" w:rsidRDefault="00C016DD" w:rsidP="00644AF4">
            <w:pPr>
              <w:pStyle w:val="COMTabletext"/>
              <w:keepLines/>
              <w:jc w:val="center"/>
            </w:pPr>
          </w:p>
          <w:p w14:paraId="040F9136" w14:textId="77777777" w:rsidR="00C016DD" w:rsidRDefault="00C016DD" w:rsidP="00644AF4">
            <w:pPr>
              <w:pStyle w:val="COMTabletext"/>
              <w:keepLines/>
              <w:jc w:val="center"/>
            </w:pPr>
            <w:r>
              <w:t>82 (67%)</w:t>
            </w:r>
          </w:p>
          <w:p w14:paraId="64426908" w14:textId="77777777" w:rsidR="00C016DD" w:rsidRDefault="00C016DD" w:rsidP="00644AF4">
            <w:pPr>
              <w:pStyle w:val="COMTabletext"/>
              <w:keepLines/>
              <w:jc w:val="center"/>
            </w:pPr>
            <w:r>
              <w:t>24 (20%)</w:t>
            </w:r>
          </w:p>
          <w:p w14:paraId="62C43C62" w14:textId="77777777" w:rsidR="00C016DD" w:rsidRPr="00471739" w:rsidRDefault="00C016DD" w:rsidP="00644AF4">
            <w:pPr>
              <w:pStyle w:val="COMTabletext"/>
              <w:keepLines/>
              <w:jc w:val="center"/>
            </w:pPr>
            <w:r>
              <w:t>17 (14%)</w:t>
            </w:r>
          </w:p>
        </w:tc>
        <w:tc>
          <w:tcPr>
            <w:tcW w:w="1131" w:type="pct"/>
          </w:tcPr>
          <w:p w14:paraId="1D4D6BB2" w14:textId="77777777" w:rsidR="00C016DD" w:rsidRDefault="00C016DD" w:rsidP="00644AF4">
            <w:pPr>
              <w:pStyle w:val="COMTabletext"/>
              <w:keepLines/>
              <w:jc w:val="center"/>
            </w:pPr>
          </w:p>
          <w:p w14:paraId="3E295B50" w14:textId="77777777" w:rsidR="00C016DD" w:rsidRDefault="00C016DD" w:rsidP="00644AF4">
            <w:pPr>
              <w:pStyle w:val="COMTabletext"/>
              <w:keepLines/>
              <w:jc w:val="center"/>
            </w:pPr>
            <w:r>
              <w:t>197 (65%)</w:t>
            </w:r>
          </w:p>
          <w:p w14:paraId="53A0E91F" w14:textId="77777777" w:rsidR="00C016DD" w:rsidRDefault="00C016DD" w:rsidP="00644AF4">
            <w:pPr>
              <w:pStyle w:val="COMTabletext"/>
              <w:keepLines/>
              <w:jc w:val="center"/>
            </w:pPr>
            <w:r>
              <w:t>93 (31%)</w:t>
            </w:r>
          </w:p>
          <w:p w14:paraId="5F1C3B07" w14:textId="77777777" w:rsidR="00C016DD" w:rsidRPr="006E31A6" w:rsidRDefault="00C016DD" w:rsidP="00644AF4">
            <w:pPr>
              <w:pStyle w:val="COMTabletext"/>
              <w:keepLines/>
              <w:jc w:val="center"/>
            </w:pPr>
            <w:r>
              <w:t>12 (4%)</w:t>
            </w:r>
          </w:p>
        </w:tc>
        <w:tc>
          <w:tcPr>
            <w:tcW w:w="1077" w:type="pct"/>
          </w:tcPr>
          <w:p w14:paraId="5911638B" w14:textId="77777777" w:rsidR="00C016DD" w:rsidRDefault="00C016DD" w:rsidP="00644AF4">
            <w:pPr>
              <w:pStyle w:val="COMTabletext"/>
              <w:keepLines/>
              <w:jc w:val="center"/>
            </w:pPr>
          </w:p>
          <w:p w14:paraId="0B24A9D6" w14:textId="77777777" w:rsidR="00C016DD" w:rsidRDefault="00C016DD" w:rsidP="00644AF4">
            <w:pPr>
              <w:pStyle w:val="COMTabletext"/>
              <w:keepLines/>
              <w:jc w:val="center"/>
            </w:pPr>
            <w:r w:rsidRPr="004F2341">
              <w:t>65%</w:t>
            </w:r>
          </w:p>
          <w:p w14:paraId="18941E28" w14:textId="77777777" w:rsidR="00C016DD" w:rsidRDefault="00C016DD" w:rsidP="00644AF4">
            <w:pPr>
              <w:pStyle w:val="COMTabletext"/>
              <w:keepLines/>
              <w:jc w:val="center"/>
            </w:pPr>
            <w:r w:rsidRPr="004F2341">
              <w:t>31%</w:t>
            </w:r>
          </w:p>
          <w:p w14:paraId="0555ACD7" w14:textId="77777777" w:rsidR="00C016DD" w:rsidRDefault="00C016DD" w:rsidP="00644AF4">
            <w:pPr>
              <w:pStyle w:val="COMTabletext"/>
              <w:keepLines/>
              <w:jc w:val="center"/>
            </w:pPr>
            <w:r>
              <w:t>NR</w:t>
            </w:r>
          </w:p>
        </w:tc>
      </w:tr>
      <w:tr w:rsidR="00083FEE" w:rsidRPr="00471739" w14:paraId="091391C6" w14:textId="77777777" w:rsidTr="002D2EE9">
        <w:tc>
          <w:tcPr>
            <w:tcW w:w="1727" w:type="pct"/>
          </w:tcPr>
          <w:p w14:paraId="60D3F8F0" w14:textId="30155D08" w:rsidR="00083FEE" w:rsidRDefault="00083FEE" w:rsidP="00644AF4">
            <w:pPr>
              <w:pStyle w:val="COMTabletext"/>
              <w:keepLines/>
            </w:pPr>
            <w:r>
              <w:t>&gt;2 lines of prior therapy</w:t>
            </w:r>
          </w:p>
        </w:tc>
        <w:tc>
          <w:tcPr>
            <w:tcW w:w="1065" w:type="pct"/>
          </w:tcPr>
          <w:p w14:paraId="3F01EF52" w14:textId="3E9EB839" w:rsidR="00083FEE" w:rsidRDefault="00083FEE" w:rsidP="00644AF4">
            <w:pPr>
              <w:pStyle w:val="COMTabletext"/>
              <w:keepLines/>
              <w:jc w:val="center"/>
            </w:pPr>
            <w:r w:rsidRPr="0014443A">
              <w:t>118 (96%)</w:t>
            </w:r>
          </w:p>
        </w:tc>
        <w:tc>
          <w:tcPr>
            <w:tcW w:w="1131" w:type="pct"/>
          </w:tcPr>
          <w:p w14:paraId="4846F85A" w14:textId="6A0E4503" w:rsidR="00083FEE" w:rsidRDefault="00083FEE" w:rsidP="00644AF4">
            <w:pPr>
              <w:pStyle w:val="COMTabletext"/>
              <w:keepLines/>
              <w:jc w:val="center"/>
            </w:pPr>
            <w:r w:rsidRPr="0014443A">
              <w:t>285 (94%)</w:t>
            </w:r>
          </w:p>
        </w:tc>
        <w:tc>
          <w:tcPr>
            <w:tcW w:w="1077" w:type="pct"/>
          </w:tcPr>
          <w:p w14:paraId="65B26D2F" w14:textId="407A69EB" w:rsidR="00083FEE" w:rsidRDefault="00083FEE" w:rsidP="00644AF4">
            <w:pPr>
              <w:pStyle w:val="COMTabletext"/>
              <w:keepLines/>
              <w:jc w:val="center"/>
            </w:pPr>
            <w:r w:rsidRPr="0014443A">
              <w:t>94%</w:t>
            </w:r>
          </w:p>
        </w:tc>
      </w:tr>
      <w:tr w:rsidR="00C016DD" w:rsidRPr="00471739" w14:paraId="2042B28C" w14:textId="77777777" w:rsidTr="002D2EE9">
        <w:tc>
          <w:tcPr>
            <w:tcW w:w="1727" w:type="pct"/>
          </w:tcPr>
          <w:p w14:paraId="6B375E0C" w14:textId="77777777" w:rsidR="00C016DD" w:rsidRDefault="00C016DD" w:rsidP="00644AF4">
            <w:pPr>
              <w:pStyle w:val="COMTabletext"/>
              <w:keepLines/>
            </w:pPr>
            <w:r>
              <w:t>ECOG</w:t>
            </w:r>
          </w:p>
          <w:p w14:paraId="461FDC02" w14:textId="77777777" w:rsidR="00C016DD" w:rsidRDefault="00C016DD" w:rsidP="00644AF4">
            <w:pPr>
              <w:pStyle w:val="COMTabletext"/>
              <w:keepLines/>
            </w:pPr>
            <w:r>
              <w:t>- 0 to 1</w:t>
            </w:r>
          </w:p>
          <w:p w14:paraId="4F481710" w14:textId="77777777" w:rsidR="00C016DD" w:rsidRDefault="00C016DD" w:rsidP="00644AF4">
            <w:pPr>
              <w:pStyle w:val="COMTabletext"/>
              <w:keepLines/>
            </w:pPr>
            <w:r>
              <w:t>- 2</w:t>
            </w:r>
          </w:p>
          <w:p w14:paraId="1BA98E97" w14:textId="77777777" w:rsidR="00C016DD" w:rsidRPr="00A67148" w:rsidRDefault="00C016DD" w:rsidP="00644AF4">
            <w:pPr>
              <w:pStyle w:val="COMTabletext"/>
              <w:keepLines/>
            </w:pPr>
            <w:r>
              <w:t>- Missing</w:t>
            </w:r>
          </w:p>
        </w:tc>
        <w:tc>
          <w:tcPr>
            <w:tcW w:w="1065" w:type="pct"/>
          </w:tcPr>
          <w:p w14:paraId="52CFFF29" w14:textId="77777777" w:rsidR="00C016DD" w:rsidRDefault="00C016DD" w:rsidP="00644AF4">
            <w:pPr>
              <w:pStyle w:val="COMTabletext"/>
              <w:keepLines/>
              <w:jc w:val="center"/>
            </w:pPr>
          </w:p>
          <w:p w14:paraId="107CAC9A" w14:textId="77777777" w:rsidR="00C016DD" w:rsidRDefault="00C016DD" w:rsidP="00644AF4">
            <w:pPr>
              <w:pStyle w:val="COMTabletext"/>
              <w:keepLines/>
              <w:jc w:val="center"/>
            </w:pPr>
            <w:r>
              <w:t>116 (94%)</w:t>
            </w:r>
          </w:p>
          <w:p w14:paraId="19F64838" w14:textId="77777777" w:rsidR="00C016DD" w:rsidRDefault="00C016DD" w:rsidP="00644AF4">
            <w:pPr>
              <w:pStyle w:val="COMTabletext"/>
              <w:keepLines/>
              <w:jc w:val="center"/>
            </w:pPr>
            <w:r>
              <w:t>7 (6%)</w:t>
            </w:r>
          </w:p>
          <w:p w14:paraId="183D4FA2" w14:textId="77777777" w:rsidR="00C016DD" w:rsidRPr="00471739" w:rsidRDefault="00C016DD" w:rsidP="00644AF4">
            <w:pPr>
              <w:pStyle w:val="COMTabletext"/>
              <w:keepLines/>
              <w:jc w:val="center"/>
            </w:pPr>
            <w:r>
              <w:t>0 (0%)</w:t>
            </w:r>
          </w:p>
        </w:tc>
        <w:tc>
          <w:tcPr>
            <w:tcW w:w="1131" w:type="pct"/>
          </w:tcPr>
          <w:p w14:paraId="0324B1AD" w14:textId="77777777" w:rsidR="00C016DD" w:rsidRDefault="00C016DD" w:rsidP="00644AF4">
            <w:pPr>
              <w:pStyle w:val="COMTabletext"/>
              <w:keepLines/>
              <w:jc w:val="center"/>
            </w:pPr>
          </w:p>
          <w:p w14:paraId="31C0F9B0" w14:textId="77777777" w:rsidR="00C016DD" w:rsidRDefault="00C016DD" w:rsidP="00644AF4">
            <w:pPr>
              <w:pStyle w:val="COMTabletext"/>
              <w:keepLines/>
              <w:jc w:val="center"/>
            </w:pPr>
            <w:r>
              <w:t>248 (82%)</w:t>
            </w:r>
          </w:p>
          <w:p w14:paraId="5337A57D" w14:textId="77777777" w:rsidR="00C016DD" w:rsidRDefault="00C016DD" w:rsidP="00644AF4">
            <w:pPr>
              <w:pStyle w:val="COMTabletext"/>
              <w:keepLines/>
              <w:jc w:val="center"/>
            </w:pPr>
            <w:r>
              <w:t>52 (17%)</w:t>
            </w:r>
          </w:p>
          <w:p w14:paraId="18D48102" w14:textId="77777777" w:rsidR="00C016DD" w:rsidRPr="006E31A6" w:rsidRDefault="00C016DD" w:rsidP="00644AF4">
            <w:pPr>
              <w:pStyle w:val="COMTabletext"/>
              <w:keepLines/>
              <w:jc w:val="center"/>
            </w:pPr>
            <w:r>
              <w:t>2 (&lt;1%)</w:t>
            </w:r>
          </w:p>
        </w:tc>
        <w:tc>
          <w:tcPr>
            <w:tcW w:w="1077" w:type="pct"/>
          </w:tcPr>
          <w:p w14:paraId="2B65DFFA" w14:textId="77777777" w:rsidR="00C016DD" w:rsidRDefault="00C016DD" w:rsidP="00644AF4">
            <w:pPr>
              <w:pStyle w:val="COMTabletext"/>
              <w:keepLines/>
              <w:jc w:val="center"/>
            </w:pPr>
          </w:p>
          <w:p w14:paraId="7E4E40C6" w14:textId="77777777" w:rsidR="00C016DD" w:rsidRDefault="00C016DD" w:rsidP="00644AF4">
            <w:pPr>
              <w:pStyle w:val="COMTabletext"/>
              <w:keepLines/>
              <w:jc w:val="center"/>
            </w:pPr>
            <w:r>
              <w:t>83%</w:t>
            </w:r>
          </w:p>
          <w:p w14:paraId="1B17ECA9" w14:textId="77777777" w:rsidR="00C016DD" w:rsidRDefault="00C016DD" w:rsidP="00644AF4">
            <w:pPr>
              <w:pStyle w:val="COMTabletext"/>
              <w:keepLines/>
              <w:jc w:val="center"/>
            </w:pPr>
            <w:r>
              <w:t>17%</w:t>
            </w:r>
          </w:p>
          <w:p w14:paraId="7FDEC544" w14:textId="77777777" w:rsidR="00C016DD" w:rsidRDefault="00C016DD" w:rsidP="00644AF4">
            <w:pPr>
              <w:pStyle w:val="COMTabletext"/>
              <w:keepLines/>
              <w:jc w:val="center"/>
            </w:pPr>
            <w:r>
              <w:t>NR</w:t>
            </w:r>
          </w:p>
        </w:tc>
      </w:tr>
      <w:tr w:rsidR="00C016DD" w:rsidRPr="00471739" w14:paraId="089DF3B5" w14:textId="77777777" w:rsidTr="002D2EE9">
        <w:tc>
          <w:tcPr>
            <w:tcW w:w="1727" w:type="pct"/>
          </w:tcPr>
          <w:p w14:paraId="39C86D9E" w14:textId="77777777" w:rsidR="00C016DD" w:rsidRPr="00A67148" w:rsidRDefault="00C016DD" w:rsidP="00644AF4">
            <w:pPr>
              <w:pStyle w:val="COMTabletext"/>
              <w:keepLines/>
            </w:pPr>
            <w:r>
              <w:t>Creatinine clearance &lt;60 mL/min</w:t>
            </w:r>
          </w:p>
        </w:tc>
        <w:tc>
          <w:tcPr>
            <w:tcW w:w="1065" w:type="pct"/>
            <w:vAlign w:val="center"/>
          </w:tcPr>
          <w:p w14:paraId="5922082F" w14:textId="77777777" w:rsidR="00C016DD" w:rsidRPr="00471739" w:rsidRDefault="00C016DD" w:rsidP="00644AF4">
            <w:pPr>
              <w:pStyle w:val="COMTabletext"/>
              <w:keepLines/>
              <w:jc w:val="center"/>
            </w:pPr>
            <w:r w:rsidRPr="00E8523E">
              <w:t>37 (30%)</w:t>
            </w:r>
          </w:p>
        </w:tc>
        <w:tc>
          <w:tcPr>
            <w:tcW w:w="1131" w:type="pct"/>
            <w:vAlign w:val="center"/>
          </w:tcPr>
          <w:p w14:paraId="09A0DF59" w14:textId="77777777" w:rsidR="00C016DD" w:rsidRPr="006E31A6" w:rsidRDefault="00C016DD" w:rsidP="00644AF4">
            <w:pPr>
              <w:pStyle w:val="COMTabletext"/>
              <w:keepLines/>
              <w:jc w:val="center"/>
            </w:pPr>
            <w:r w:rsidRPr="00E8523E">
              <w:t>95 (31%)</w:t>
            </w:r>
          </w:p>
        </w:tc>
        <w:tc>
          <w:tcPr>
            <w:tcW w:w="1077" w:type="pct"/>
            <w:vAlign w:val="center"/>
          </w:tcPr>
          <w:p w14:paraId="7BA51EDD" w14:textId="77777777" w:rsidR="00C016DD" w:rsidRPr="00E8523E" w:rsidRDefault="00C016DD" w:rsidP="00644AF4">
            <w:pPr>
              <w:pStyle w:val="COMTabletext"/>
              <w:keepLines/>
              <w:jc w:val="center"/>
            </w:pPr>
            <w:r w:rsidRPr="0065256C">
              <w:t>31%</w:t>
            </w:r>
          </w:p>
        </w:tc>
      </w:tr>
    </w:tbl>
    <w:p w14:paraId="2E9B1E21" w14:textId="77777777" w:rsidR="00C016DD" w:rsidRDefault="00C016DD" w:rsidP="00644AF4">
      <w:pPr>
        <w:pStyle w:val="COMTablefooter"/>
        <w:keepNext/>
        <w:keepLines/>
      </w:pPr>
      <w:r w:rsidRPr="00471739">
        <w:t>Source:</w:t>
      </w:r>
      <w:r>
        <w:t xml:space="preserve"> Table 2.66, p210 of the resubmission; Table 1, p1 of the ‘</w:t>
      </w:r>
      <w:proofErr w:type="spellStart"/>
      <w:r w:rsidRPr="00576B4D">
        <w:t>Elranatamab_ITC_Australia</w:t>
      </w:r>
      <w:proofErr w:type="spellEnd"/>
      <w:r w:rsidRPr="00576B4D">
        <w:t xml:space="preserve"> asks_DEC202024</w:t>
      </w:r>
      <w:r>
        <w:t>’ document provided during the evaluation.</w:t>
      </w:r>
    </w:p>
    <w:p w14:paraId="0FDF9462" w14:textId="3EBB2B2F" w:rsidR="00C016DD" w:rsidRDefault="00C016DD" w:rsidP="00C016DD">
      <w:pPr>
        <w:pStyle w:val="COMTablefooter"/>
      </w:pPr>
      <w:r>
        <w:t xml:space="preserve">Abbreviations: ECOG, Eastern Cooperative Oncology Group; </w:t>
      </w:r>
      <w:r w:rsidR="002046D8">
        <w:t>ESS, effective sample size</w:t>
      </w:r>
      <w:r w:rsidR="00AE79E1">
        <w:t xml:space="preserve">; </w:t>
      </w:r>
      <w:r>
        <w:t>ISS, International Staging System</w:t>
      </w:r>
      <w:r w:rsidR="00702674">
        <w:t>; Pd, pomalidomide + dexamethasone</w:t>
      </w:r>
      <w:r>
        <w:t>.</w:t>
      </w:r>
    </w:p>
    <w:p w14:paraId="48C2C010" w14:textId="32708930" w:rsidR="00E41FE0" w:rsidRPr="0035502F" w:rsidRDefault="00E41FE0" w:rsidP="00E41FE0">
      <w:pPr>
        <w:pStyle w:val="COMexecsummnumbered"/>
      </w:pPr>
      <w:r>
        <w:t xml:space="preserve">After matching for the available characteristics, the effective sample size for patients in the MagnetisMM-3 study was 76. </w:t>
      </w:r>
      <w:r w:rsidR="00985186" w:rsidRPr="0035502F">
        <w:t>Based on examination of the plot of patient weights, 3 patients received weights of around 4</w:t>
      </w:r>
      <w:r w:rsidR="00E263F2" w:rsidRPr="0035502F">
        <w:t>,</w:t>
      </w:r>
      <w:r w:rsidR="00985186" w:rsidRPr="0035502F">
        <w:t xml:space="preserve"> and 1 patient included a weighting of around 6. The impact of the adjustment on other characteristics that were not selected for matching was unclear, as post-matching characteristics for variables that were not included for matching were not provided.</w:t>
      </w:r>
    </w:p>
    <w:p w14:paraId="65E9475C" w14:textId="72F4B7DD" w:rsidR="00E41FE0" w:rsidRDefault="00A5273B" w:rsidP="007F403B">
      <w:pPr>
        <w:pStyle w:val="COMexecsummnumbered"/>
      </w:pPr>
      <w:r>
        <w:fldChar w:fldCharType="begin" w:fldLock="1"/>
      </w:r>
      <w:r>
        <w:instrText xml:space="preserve"> REF _Ref187747060 \h </w:instrText>
      </w:r>
      <w:r>
        <w:fldChar w:fldCharType="separate"/>
      </w:r>
      <w:r w:rsidR="00347D89" w:rsidRPr="006E0FA2">
        <w:t xml:space="preserve">Table </w:t>
      </w:r>
      <w:r w:rsidR="00347D89">
        <w:rPr>
          <w:noProof/>
        </w:rPr>
        <w:t>9</w:t>
      </w:r>
      <w:r>
        <w:fldChar w:fldCharType="end"/>
      </w:r>
      <w:r w:rsidR="00E41FE0">
        <w:t xml:space="preserve"> present</w:t>
      </w:r>
      <w:r w:rsidR="00E263F2">
        <w:t>s</w:t>
      </w:r>
      <w:r w:rsidR="00E41FE0">
        <w:t xml:space="preserve"> the results of the </w:t>
      </w:r>
      <w:r w:rsidR="00386EF9">
        <w:t>unanchored ITC</w:t>
      </w:r>
      <w:r w:rsidR="00E41FE0">
        <w:t xml:space="preserve"> and unanchored MAIC</w:t>
      </w:r>
      <w:r w:rsidR="00E263F2">
        <w:t>s for</w:t>
      </w:r>
      <w:r w:rsidR="00E41FE0" w:rsidRPr="00BE42BD">
        <w:t xml:space="preserve"> elranatamab</w:t>
      </w:r>
      <w:r w:rsidR="00E41FE0">
        <w:t xml:space="preserve"> versus </w:t>
      </w:r>
      <w:r w:rsidR="00702674">
        <w:t>Pd</w:t>
      </w:r>
      <w:r w:rsidR="00E41FE0">
        <w:t xml:space="preserve">. </w:t>
      </w:r>
      <w:r w:rsidR="00E263F2">
        <w:t xml:space="preserve">A Kaplan-Meier plot of overall survival is presented in </w:t>
      </w:r>
      <w:r w:rsidR="003169B2">
        <w:fldChar w:fldCharType="begin" w:fldLock="1"/>
      </w:r>
      <w:r w:rsidR="003169B2">
        <w:instrText xml:space="preserve"> REF _Ref187747350 \h </w:instrText>
      </w:r>
      <w:r w:rsidR="003169B2">
        <w:fldChar w:fldCharType="separate"/>
      </w:r>
      <w:r w:rsidR="00347D89">
        <w:t xml:space="preserve">Figure </w:t>
      </w:r>
      <w:r w:rsidR="00347D89">
        <w:rPr>
          <w:noProof/>
        </w:rPr>
        <w:t>2</w:t>
      </w:r>
      <w:r w:rsidR="003169B2">
        <w:fldChar w:fldCharType="end"/>
      </w:r>
      <w:r w:rsidR="00E263F2">
        <w:t>.</w:t>
      </w:r>
    </w:p>
    <w:p w14:paraId="5B86009F" w14:textId="77777777" w:rsidR="00DD3063" w:rsidRDefault="00DD3063" w:rsidP="00E41FE0"/>
    <w:p w14:paraId="40300689" w14:textId="2235B1D5" w:rsidR="00DD3063" w:rsidRPr="00836524" w:rsidRDefault="00A5273B" w:rsidP="00644AF4">
      <w:pPr>
        <w:pStyle w:val="COMtablefigcaption"/>
        <w:keepLines/>
      </w:pPr>
      <w:bookmarkStart w:id="32" w:name="_Ref187747350"/>
      <w:r>
        <w:lastRenderedPageBreak/>
        <w:t xml:space="preserve">Figure </w:t>
      </w:r>
      <w:r w:rsidR="006B329A">
        <w:fldChar w:fldCharType="begin" w:fldLock="1"/>
      </w:r>
      <w:r w:rsidR="006B329A">
        <w:instrText xml:space="preserve"> SEQ Figure \* ARABIC </w:instrText>
      </w:r>
      <w:r w:rsidR="006B329A">
        <w:fldChar w:fldCharType="separate"/>
      </w:r>
      <w:r w:rsidR="00347D89">
        <w:rPr>
          <w:noProof/>
        </w:rPr>
        <w:t>2</w:t>
      </w:r>
      <w:r w:rsidR="006B329A">
        <w:rPr>
          <w:noProof/>
        </w:rPr>
        <w:fldChar w:fldCharType="end"/>
      </w:r>
      <w:bookmarkEnd w:id="32"/>
      <w:r w:rsidR="00DD3063" w:rsidRPr="00471739">
        <w:t xml:space="preserve">: </w:t>
      </w:r>
      <w:r w:rsidR="00DD3063">
        <w:t xml:space="preserve">Indirect comparison of overall survival for elranatamab versus </w:t>
      </w:r>
      <w:r w:rsidR="00702674">
        <w:t>Pd</w:t>
      </w:r>
    </w:p>
    <w:p w14:paraId="0D77935C" w14:textId="77777777" w:rsidR="00DD3063" w:rsidRDefault="00DD3063" w:rsidP="00644AF4">
      <w:pPr>
        <w:keepNext/>
        <w:keepLines/>
      </w:pPr>
      <w:r w:rsidRPr="002E5D04">
        <w:rPr>
          <w:noProof/>
          <w:lang w:val="en-GB"/>
        </w:rPr>
        <w:drawing>
          <wp:inline distT="0" distB="0" distL="0" distR="0" wp14:anchorId="543093C9" wp14:editId="09448CA3">
            <wp:extent cx="5727700" cy="2818780"/>
            <wp:effectExtent l="0" t="0" r="6350" b="635"/>
            <wp:docPr id="349318486" name="Picture 2" descr="Figure 2: Indirect comparison of overall survival for elranatamab versus P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318486" name="Picture 2" descr="Figure 2: Indirect comparison of overall survival for elranatamab versus P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7700" cy="2818780"/>
                    </a:xfrm>
                    <a:prstGeom prst="rect">
                      <a:avLst/>
                    </a:prstGeom>
                    <a:noFill/>
                  </pic:spPr>
                </pic:pic>
              </a:graphicData>
            </a:graphic>
          </wp:inline>
        </w:drawing>
      </w:r>
    </w:p>
    <w:p w14:paraId="3F5CDEE1" w14:textId="77777777" w:rsidR="00DD3063" w:rsidRDefault="00DD3063" w:rsidP="00644AF4">
      <w:pPr>
        <w:pStyle w:val="COMTablefooter"/>
        <w:keepNext/>
        <w:keepLines/>
      </w:pPr>
      <w:r w:rsidRPr="00471739">
        <w:t>Source:</w:t>
      </w:r>
      <w:r>
        <w:t xml:space="preserve"> Figure 2.26, p211 of the resubmission.</w:t>
      </w:r>
    </w:p>
    <w:p w14:paraId="68DF28E4" w14:textId="3967658B" w:rsidR="00DD3063" w:rsidRDefault="00DD3063" w:rsidP="00DD3063">
      <w:pPr>
        <w:pStyle w:val="COMTablefooter"/>
      </w:pPr>
      <w:r>
        <w:t>Abbreviations: OS, overall survival</w:t>
      </w:r>
      <w:r w:rsidR="00702674">
        <w:t>; Pd, pomalidomide + dexamethasone.</w:t>
      </w:r>
    </w:p>
    <w:p w14:paraId="5DA79BB8" w14:textId="0CCD6E9F" w:rsidR="00E41FE0" w:rsidRPr="00471739" w:rsidRDefault="00A0323C" w:rsidP="00644AF4">
      <w:pPr>
        <w:pStyle w:val="COMtablefigcaption"/>
        <w:keepLines/>
      </w:pPr>
      <w:bookmarkStart w:id="33" w:name="_Ref187747060"/>
      <w:r w:rsidRPr="006E0FA2">
        <w:t xml:space="preserve">Table </w:t>
      </w:r>
      <w:r w:rsidR="006B329A">
        <w:fldChar w:fldCharType="begin" w:fldLock="1"/>
      </w:r>
      <w:r w:rsidR="006B329A">
        <w:instrText xml:space="preserve"> SEQ Table \* ARABIC </w:instrText>
      </w:r>
      <w:r w:rsidR="006B329A">
        <w:fldChar w:fldCharType="separate"/>
      </w:r>
      <w:r w:rsidR="00347D89">
        <w:rPr>
          <w:noProof/>
        </w:rPr>
        <w:t>9</w:t>
      </w:r>
      <w:r w:rsidR="006B329A">
        <w:rPr>
          <w:noProof/>
        </w:rPr>
        <w:fldChar w:fldCharType="end"/>
      </w:r>
      <w:bookmarkEnd w:id="33"/>
      <w:r w:rsidR="00E41FE0" w:rsidRPr="00471739">
        <w:t xml:space="preserve">: </w:t>
      </w:r>
      <w:r w:rsidR="00E41FE0">
        <w:t xml:space="preserve">Results for the unanchored MAIC </w:t>
      </w:r>
      <w:r w:rsidR="00DD3063">
        <w:t>for e</w:t>
      </w:r>
      <w:r w:rsidR="00E41FE0" w:rsidRPr="00A52C44">
        <w:t xml:space="preserve">lranatamab versus </w:t>
      </w:r>
      <w:r w:rsidR="00702674">
        <w:t>Pd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9: Results for the unanchored MAIC for elranatamab versus Pd"/>
      </w:tblPr>
      <w:tblGrid>
        <w:gridCol w:w="2832"/>
        <w:gridCol w:w="2061"/>
        <w:gridCol w:w="2061"/>
        <w:gridCol w:w="2063"/>
      </w:tblGrid>
      <w:tr w:rsidR="00E41FE0" w:rsidRPr="00471739" w14:paraId="3C98AFA8" w14:textId="77777777" w:rsidTr="002A3BF4">
        <w:trPr>
          <w:tblHeader/>
        </w:trPr>
        <w:tc>
          <w:tcPr>
            <w:tcW w:w="1570" w:type="pct"/>
            <w:vAlign w:val="center"/>
          </w:tcPr>
          <w:p w14:paraId="020DC940" w14:textId="05005705" w:rsidR="00E41FE0" w:rsidRPr="00471739" w:rsidRDefault="00E41FE0" w:rsidP="00644AF4">
            <w:pPr>
              <w:pStyle w:val="COMTableheadingrow"/>
              <w:keepLines/>
            </w:pPr>
          </w:p>
        </w:tc>
        <w:tc>
          <w:tcPr>
            <w:tcW w:w="1143" w:type="pct"/>
            <w:vAlign w:val="center"/>
          </w:tcPr>
          <w:p w14:paraId="65EE42D6" w14:textId="77777777" w:rsidR="00E41FE0" w:rsidRPr="00471739" w:rsidRDefault="00E41FE0" w:rsidP="00644AF4">
            <w:pPr>
              <w:pStyle w:val="COMTableheadingrow"/>
              <w:keepLines/>
              <w:jc w:val="center"/>
            </w:pPr>
            <w:r>
              <w:t>ESS</w:t>
            </w:r>
          </w:p>
        </w:tc>
        <w:tc>
          <w:tcPr>
            <w:tcW w:w="1143" w:type="pct"/>
          </w:tcPr>
          <w:p w14:paraId="0086FA7E" w14:textId="77777777" w:rsidR="00E41FE0" w:rsidRDefault="00E41FE0" w:rsidP="00644AF4">
            <w:pPr>
              <w:pStyle w:val="COMTableheadingrow"/>
              <w:keepLines/>
              <w:jc w:val="center"/>
            </w:pPr>
            <w:r>
              <w:t>HR (95% CI)</w:t>
            </w:r>
          </w:p>
        </w:tc>
        <w:tc>
          <w:tcPr>
            <w:tcW w:w="1144" w:type="pct"/>
          </w:tcPr>
          <w:p w14:paraId="554469B9" w14:textId="77777777" w:rsidR="00E41FE0" w:rsidRDefault="00E41FE0" w:rsidP="00644AF4">
            <w:pPr>
              <w:pStyle w:val="COMTableheadingrow"/>
              <w:keepLines/>
              <w:jc w:val="center"/>
            </w:pPr>
            <w:r>
              <w:t>p-value</w:t>
            </w:r>
          </w:p>
        </w:tc>
      </w:tr>
      <w:tr w:rsidR="00E263F2" w:rsidRPr="00471739" w14:paraId="6C7B2781" w14:textId="77777777" w:rsidTr="00E263F2">
        <w:trPr>
          <w:trHeight w:val="79"/>
          <w:tblHeader/>
        </w:trPr>
        <w:tc>
          <w:tcPr>
            <w:tcW w:w="5000" w:type="pct"/>
            <w:gridSpan w:val="4"/>
          </w:tcPr>
          <w:p w14:paraId="7252C5CC" w14:textId="1B17BA5F" w:rsidR="00E263F2" w:rsidRPr="00E263F2" w:rsidRDefault="00E263F2" w:rsidP="00644AF4">
            <w:pPr>
              <w:pStyle w:val="COMTabletext"/>
              <w:keepLines/>
              <w:rPr>
                <w:b/>
                <w:bCs w:val="0"/>
              </w:rPr>
            </w:pPr>
            <w:r>
              <w:rPr>
                <w:b/>
                <w:bCs w:val="0"/>
              </w:rPr>
              <w:t>Progression-free survival</w:t>
            </w:r>
          </w:p>
        </w:tc>
      </w:tr>
      <w:tr w:rsidR="00E41FE0" w:rsidRPr="00471739" w14:paraId="0B7579EC" w14:textId="77777777" w:rsidTr="002A3BF4">
        <w:trPr>
          <w:trHeight w:val="79"/>
          <w:tblHeader/>
        </w:trPr>
        <w:tc>
          <w:tcPr>
            <w:tcW w:w="1570" w:type="pct"/>
          </w:tcPr>
          <w:p w14:paraId="48978FFB" w14:textId="4AD2E68C" w:rsidR="00E41FE0" w:rsidRPr="00974983" w:rsidRDefault="00386EF9" w:rsidP="00644AF4">
            <w:pPr>
              <w:pStyle w:val="COMTableheadingrow"/>
              <w:keepLines/>
              <w:rPr>
                <w:b w:val="0"/>
                <w:bCs/>
              </w:rPr>
            </w:pPr>
            <w:r>
              <w:rPr>
                <w:b w:val="0"/>
                <w:bCs/>
              </w:rPr>
              <w:t>Unanchored ITC</w:t>
            </w:r>
            <w:r w:rsidR="00E41FE0" w:rsidRPr="00974983">
              <w:rPr>
                <w:b w:val="0"/>
                <w:bCs/>
              </w:rPr>
              <w:t xml:space="preserve"> </w:t>
            </w:r>
          </w:p>
        </w:tc>
        <w:tc>
          <w:tcPr>
            <w:tcW w:w="1143" w:type="pct"/>
          </w:tcPr>
          <w:p w14:paraId="797B62C0" w14:textId="77777777" w:rsidR="00E41FE0" w:rsidRPr="00974983" w:rsidRDefault="00E41FE0" w:rsidP="00644AF4">
            <w:pPr>
              <w:pStyle w:val="COMTableheadingrow"/>
              <w:keepLines/>
              <w:jc w:val="center"/>
              <w:rPr>
                <w:b w:val="0"/>
                <w:bCs/>
              </w:rPr>
            </w:pPr>
            <w:r w:rsidRPr="00974983">
              <w:rPr>
                <w:b w:val="0"/>
                <w:bCs/>
              </w:rPr>
              <w:t>123</w:t>
            </w:r>
          </w:p>
        </w:tc>
        <w:tc>
          <w:tcPr>
            <w:tcW w:w="1143" w:type="pct"/>
          </w:tcPr>
          <w:p w14:paraId="0D886666" w14:textId="77777777" w:rsidR="00E41FE0" w:rsidRPr="00DF53E3" w:rsidRDefault="00E41FE0" w:rsidP="00644AF4">
            <w:pPr>
              <w:pStyle w:val="COMTabletext"/>
              <w:keepLines/>
              <w:jc w:val="center"/>
            </w:pPr>
            <w:r w:rsidRPr="00346DDF">
              <w:t>0.362 (0.257, 0.510)</w:t>
            </w:r>
          </w:p>
        </w:tc>
        <w:tc>
          <w:tcPr>
            <w:tcW w:w="1144" w:type="pct"/>
          </w:tcPr>
          <w:p w14:paraId="44CD1A44" w14:textId="77777777" w:rsidR="00E41FE0" w:rsidRPr="00DF53E3" w:rsidRDefault="00E41FE0" w:rsidP="00644AF4">
            <w:pPr>
              <w:pStyle w:val="COMTabletext"/>
              <w:keepLines/>
              <w:jc w:val="center"/>
            </w:pPr>
            <w:r w:rsidRPr="00346DDF">
              <w:t>≤0.001</w:t>
            </w:r>
          </w:p>
        </w:tc>
      </w:tr>
      <w:tr w:rsidR="00E41FE0" w:rsidRPr="00471739" w14:paraId="4C152FF6" w14:textId="77777777" w:rsidTr="002A3BF4">
        <w:trPr>
          <w:trHeight w:val="79"/>
          <w:tblHeader/>
        </w:trPr>
        <w:tc>
          <w:tcPr>
            <w:tcW w:w="1570" w:type="pct"/>
          </w:tcPr>
          <w:p w14:paraId="34D316B2" w14:textId="77777777" w:rsidR="00E41FE0" w:rsidRPr="00974983" w:rsidRDefault="00E41FE0" w:rsidP="00644AF4">
            <w:pPr>
              <w:pStyle w:val="COMTableheadingrow"/>
              <w:keepLines/>
              <w:tabs>
                <w:tab w:val="left" w:pos="2076"/>
              </w:tabs>
              <w:rPr>
                <w:b w:val="0"/>
                <w:bCs/>
              </w:rPr>
            </w:pPr>
            <w:r>
              <w:rPr>
                <w:b w:val="0"/>
                <w:bCs/>
              </w:rPr>
              <w:t xml:space="preserve">Unanchored MAIC </w:t>
            </w:r>
          </w:p>
        </w:tc>
        <w:tc>
          <w:tcPr>
            <w:tcW w:w="1143" w:type="pct"/>
          </w:tcPr>
          <w:p w14:paraId="211A7AD7" w14:textId="77777777" w:rsidR="00E41FE0" w:rsidRPr="00974983" w:rsidRDefault="00E41FE0" w:rsidP="00644AF4">
            <w:pPr>
              <w:pStyle w:val="COMTableheadingrow"/>
              <w:keepLines/>
              <w:jc w:val="center"/>
              <w:rPr>
                <w:b w:val="0"/>
                <w:bCs/>
              </w:rPr>
            </w:pPr>
            <w:r w:rsidRPr="00974983">
              <w:rPr>
                <w:b w:val="0"/>
                <w:bCs/>
              </w:rPr>
              <w:t>76</w:t>
            </w:r>
          </w:p>
        </w:tc>
        <w:tc>
          <w:tcPr>
            <w:tcW w:w="1143" w:type="pct"/>
          </w:tcPr>
          <w:p w14:paraId="0FE74B39" w14:textId="77777777" w:rsidR="00E41FE0" w:rsidRPr="00DF53E3" w:rsidRDefault="00E41FE0" w:rsidP="00644AF4">
            <w:pPr>
              <w:pStyle w:val="COMTabletext"/>
              <w:keepLines/>
              <w:jc w:val="center"/>
            </w:pPr>
            <w:r w:rsidRPr="00346DDF">
              <w:t>0.385 (0.254, 0.584)</w:t>
            </w:r>
          </w:p>
        </w:tc>
        <w:tc>
          <w:tcPr>
            <w:tcW w:w="1144" w:type="pct"/>
          </w:tcPr>
          <w:p w14:paraId="373D7744" w14:textId="77777777" w:rsidR="00E41FE0" w:rsidRPr="00DF53E3" w:rsidRDefault="00E41FE0" w:rsidP="00644AF4">
            <w:pPr>
              <w:pStyle w:val="COMTabletext"/>
              <w:keepLines/>
              <w:jc w:val="center"/>
            </w:pPr>
            <w:r w:rsidRPr="00346DDF">
              <w:t>≤0.001</w:t>
            </w:r>
          </w:p>
        </w:tc>
      </w:tr>
      <w:tr w:rsidR="00E263F2" w:rsidRPr="00471739" w14:paraId="2356B29E" w14:textId="77777777" w:rsidTr="00E263F2">
        <w:trPr>
          <w:trHeight w:val="79"/>
          <w:tblHeader/>
        </w:trPr>
        <w:tc>
          <w:tcPr>
            <w:tcW w:w="5000" w:type="pct"/>
            <w:gridSpan w:val="4"/>
          </w:tcPr>
          <w:p w14:paraId="75ED154A" w14:textId="7B064E6C" w:rsidR="00E263F2" w:rsidRPr="00DD3063" w:rsidRDefault="00DD3063" w:rsidP="00644AF4">
            <w:pPr>
              <w:pStyle w:val="COMTabletext"/>
              <w:keepLines/>
              <w:rPr>
                <w:b/>
                <w:bCs w:val="0"/>
              </w:rPr>
            </w:pPr>
            <w:r>
              <w:rPr>
                <w:b/>
                <w:bCs w:val="0"/>
              </w:rPr>
              <w:t>Overall survival</w:t>
            </w:r>
          </w:p>
        </w:tc>
      </w:tr>
      <w:tr w:rsidR="00DD3063" w:rsidRPr="00471739" w14:paraId="1248DE96" w14:textId="77777777" w:rsidTr="002A3BF4">
        <w:trPr>
          <w:trHeight w:val="79"/>
          <w:tblHeader/>
        </w:trPr>
        <w:tc>
          <w:tcPr>
            <w:tcW w:w="1570" w:type="pct"/>
          </w:tcPr>
          <w:p w14:paraId="60E403E2" w14:textId="7054FD74" w:rsidR="00DD3063" w:rsidRDefault="00386EF9" w:rsidP="00644AF4">
            <w:pPr>
              <w:pStyle w:val="COMTableheadingrow"/>
              <w:keepLines/>
              <w:tabs>
                <w:tab w:val="left" w:pos="2076"/>
              </w:tabs>
              <w:rPr>
                <w:b w:val="0"/>
                <w:bCs/>
              </w:rPr>
            </w:pPr>
            <w:r>
              <w:rPr>
                <w:b w:val="0"/>
                <w:bCs/>
              </w:rPr>
              <w:t>Unanchored ITC</w:t>
            </w:r>
          </w:p>
        </w:tc>
        <w:tc>
          <w:tcPr>
            <w:tcW w:w="1143" w:type="pct"/>
          </w:tcPr>
          <w:p w14:paraId="2675E6B2" w14:textId="21725AD8" w:rsidR="00DD3063" w:rsidRPr="00974983" w:rsidRDefault="00DD3063" w:rsidP="00644AF4">
            <w:pPr>
              <w:pStyle w:val="COMTableheadingrow"/>
              <w:keepLines/>
              <w:jc w:val="center"/>
              <w:rPr>
                <w:b w:val="0"/>
                <w:bCs/>
              </w:rPr>
            </w:pPr>
            <w:r w:rsidRPr="00983B0D">
              <w:rPr>
                <w:b w:val="0"/>
                <w:bCs/>
              </w:rPr>
              <w:t>123</w:t>
            </w:r>
          </w:p>
        </w:tc>
        <w:tc>
          <w:tcPr>
            <w:tcW w:w="1143" w:type="pct"/>
          </w:tcPr>
          <w:p w14:paraId="141FFC3B" w14:textId="3B13D10F" w:rsidR="00DD3063" w:rsidRPr="00346DDF" w:rsidRDefault="00DD3063" w:rsidP="00644AF4">
            <w:pPr>
              <w:pStyle w:val="COMTabletext"/>
              <w:keepLines/>
              <w:jc w:val="center"/>
            </w:pPr>
            <w:r w:rsidRPr="00996D32">
              <w:t>0.623 (0.446, 0.871)</w:t>
            </w:r>
          </w:p>
        </w:tc>
        <w:tc>
          <w:tcPr>
            <w:tcW w:w="1144" w:type="pct"/>
          </w:tcPr>
          <w:p w14:paraId="2A1C1470" w14:textId="0247F5F5" w:rsidR="00DD3063" w:rsidRPr="00346DDF" w:rsidRDefault="00DD3063" w:rsidP="00644AF4">
            <w:pPr>
              <w:pStyle w:val="COMTabletext"/>
              <w:keepLines/>
              <w:jc w:val="center"/>
            </w:pPr>
            <w:r w:rsidRPr="00996D32">
              <w:t>0.006</w:t>
            </w:r>
          </w:p>
        </w:tc>
      </w:tr>
      <w:tr w:rsidR="00DD3063" w:rsidRPr="00471739" w14:paraId="786DE803" w14:textId="77777777" w:rsidTr="002A3BF4">
        <w:trPr>
          <w:trHeight w:val="79"/>
          <w:tblHeader/>
        </w:trPr>
        <w:tc>
          <w:tcPr>
            <w:tcW w:w="1570" w:type="pct"/>
          </w:tcPr>
          <w:p w14:paraId="50948FA5" w14:textId="1DB372C0" w:rsidR="00DD3063" w:rsidRDefault="00DD3063" w:rsidP="00644AF4">
            <w:pPr>
              <w:pStyle w:val="COMTableheadingrow"/>
              <w:keepLines/>
              <w:tabs>
                <w:tab w:val="left" w:pos="2076"/>
              </w:tabs>
              <w:rPr>
                <w:b w:val="0"/>
                <w:bCs/>
              </w:rPr>
            </w:pPr>
            <w:r>
              <w:rPr>
                <w:b w:val="0"/>
                <w:bCs/>
              </w:rPr>
              <w:t xml:space="preserve">Unanchored MAIC </w:t>
            </w:r>
          </w:p>
        </w:tc>
        <w:tc>
          <w:tcPr>
            <w:tcW w:w="1143" w:type="pct"/>
          </w:tcPr>
          <w:p w14:paraId="6E577ED6" w14:textId="0845F2D1" w:rsidR="00DD3063" w:rsidRPr="00974983" w:rsidRDefault="00DD3063" w:rsidP="00644AF4">
            <w:pPr>
              <w:pStyle w:val="COMTableheadingrow"/>
              <w:keepLines/>
              <w:jc w:val="center"/>
              <w:rPr>
                <w:b w:val="0"/>
                <w:bCs/>
              </w:rPr>
            </w:pPr>
            <w:r w:rsidRPr="00983B0D">
              <w:rPr>
                <w:b w:val="0"/>
                <w:bCs/>
              </w:rPr>
              <w:t>76</w:t>
            </w:r>
          </w:p>
        </w:tc>
        <w:tc>
          <w:tcPr>
            <w:tcW w:w="1143" w:type="pct"/>
          </w:tcPr>
          <w:p w14:paraId="2DA9C60A" w14:textId="7E80F5D8" w:rsidR="00DD3063" w:rsidRPr="00346DDF" w:rsidRDefault="00DD3063" w:rsidP="00644AF4">
            <w:pPr>
              <w:pStyle w:val="COMTabletext"/>
              <w:keepLines/>
              <w:jc w:val="center"/>
            </w:pPr>
            <w:r w:rsidRPr="00996D32">
              <w:t>0.658 (0.456, 0.949)</w:t>
            </w:r>
          </w:p>
        </w:tc>
        <w:tc>
          <w:tcPr>
            <w:tcW w:w="1144" w:type="pct"/>
          </w:tcPr>
          <w:p w14:paraId="651F2F7E" w14:textId="346448F8" w:rsidR="00DD3063" w:rsidRPr="00346DDF" w:rsidRDefault="00DD3063" w:rsidP="00644AF4">
            <w:pPr>
              <w:pStyle w:val="COMTabletext"/>
              <w:keepLines/>
              <w:jc w:val="center"/>
            </w:pPr>
            <w:r w:rsidRPr="00996D32">
              <w:t>0.025</w:t>
            </w:r>
          </w:p>
        </w:tc>
      </w:tr>
    </w:tbl>
    <w:p w14:paraId="63DDDC69" w14:textId="58EBE92A" w:rsidR="00E41FE0" w:rsidRDefault="00E41FE0" w:rsidP="00644AF4">
      <w:pPr>
        <w:pStyle w:val="COMTablefooter"/>
        <w:keepNext/>
        <w:keepLines/>
      </w:pPr>
      <w:r w:rsidRPr="00471739">
        <w:t>Source:</w:t>
      </w:r>
      <w:r>
        <w:t xml:space="preserve"> </w:t>
      </w:r>
      <w:r w:rsidR="00E263F2">
        <w:t>Table 2.68, p211;</w:t>
      </w:r>
      <w:r w:rsidR="00E263F2" w:rsidRPr="00E263F2">
        <w:t xml:space="preserve"> </w:t>
      </w:r>
      <w:r w:rsidR="00E263F2">
        <w:t>Table 2.69, p212 of the resubmission.</w:t>
      </w:r>
    </w:p>
    <w:p w14:paraId="515DA580" w14:textId="5B195EA7" w:rsidR="00E41FE0" w:rsidRDefault="00E41FE0" w:rsidP="00E41FE0">
      <w:pPr>
        <w:pStyle w:val="COMTablefooter"/>
      </w:pPr>
      <w:r>
        <w:t xml:space="preserve">Abbreviations: CI, confidence interval; ESS, effective sample size; HR, hazard ratio; </w:t>
      </w:r>
      <w:r w:rsidR="00386EF9">
        <w:t xml:space="preserve">ITC, indirect treatment comparison; </w:t>
      </w:r>
      <w:r>
        <w:t>MAIC, matching adjusted indirect comparison</w:t>
      </w:r>
      <w:r w:rsidR="00702674">
        <w:t>; Pd, pomalidomide + dexamethasone.</w:t>
      </w:r>
    </w:p>
    <w:p w14:paraId="15016850" w14:textId="7C9C0676" w:rsidR="00DD3063" w:rsidRDefault="00DD3063" w:rsidP="00DD3063">
      <w:pPr>
        <w:pStyle w:val="COMexecsummnumbered"/>
      </w:pPr>
      <w:r w:rsidRPr="00DD3063">
        <w:t xml:space="preserve">Based on the </w:t>
      </w:r>
      <w:r w:rsidR="00386EF9">
        <w:t>unanchored ITC</w:t>
      </w:r>
      <w:r w:rsidRPr="00DD3063">
        <w:t xml:space="preserve"> of progression-free survival, the hazard ratio favoured elranatamab, and the difference was nominally statistically significant. The results of the unanchored MAIC also favoured elranatamab, and the difference was nominally statistically significant. </w:t>
      </w:r>
    </w:p>
    <w:p w14:paraId="6CABFD5E" w14:textId="566224D0" w:rsidR="00E41FE0" w:rsidRDefault="00E41FE0" w:rsidP="00DD3063">
      <w:pPr>
        <w:pStyle w:val="COMexecsummnumbered"/>
      </w:pPr>
      <w:r>
        <w:t xml:space="preserve">Based on the </w:t>
      </w:r>
      <w:r w:rsidR="00386EF9">
        <w:t>unanchored ITC</w:t>
      </w:r>
      <w:r>
        <w:t xml:space="preserve"> of overall survival, the hazard ratio favoured elranatamab, and the difference was nominally statistically significant. The results of the unanchored MAIC also favoured elranatamab, and the difference was nominally statistically significant.</w:t>
      </w:r>
    </w:p>
    <w:p w14:paraId="07A3817B" w14:textId="51B35BE3" w:rsidR="00E41FE0" w:rsidRPr="0035502F" w:rsidRDefault="00E41FE0" w:rsidP="00DD3063">
      <w:pPr>
        <w:pStyle w:val="COMexecsummnumbered"/>
      </w:pPr>
      <w:bookmarkStart w:id="34" w:name="_Ref193351923"/>
      <w:r w:rsidRPr="0035502F">
        <w:t xml:space="preserve">Overall, the results of the indirect comparisons were suggestive of superiority for elranatamab compared to </w:t>
      </w:r>
      <w:r w:rsidR="00702674" w:rsidRPr="0035502F">
        <w:t>Pd</w:t>
      </w:r>
      <w:r w:rsidRPr="0035502F">
        <w:t>, however, the results should be interpreted with caution due to the following reasons:</w:t>
      </w:r>
      <w:bookmarkEnd w:id="34"/>
    </w:p>
    <w:p w14:paraId="26AB11F8" w14:textId="076B03C4" w:rsidR="00E41FE0" w:rsidRPr="0035502F" w:rsidRDefault="002D2EE9" w:rsidP="00644AF4">
      <w:pPr>
        <w:pStyle w:val="COMexecsummbulletlist"/>
        <w:ind w:hanging="357"/>
      </w:pPr>
      <w:r>
        <w:t>t</w:t>
      </w:r>
      <w:r w:rsidRPr="0035502F">
        <w:t xml:space="preserve">he </w:t>
      </w:r>
      <w:r w:rsidR="00E41FE0" w:rsidRPr="0035502F">
        <w:t xml:space="preserve">lack of patient characteristics reported for the MM-003 trial, which limited the number of prognostic/treatment effect modifier variables that could be matched in the </w:t>
      </w:r>
      <w:proofErr w:type="gramStart"/>
      <w:r w:rsidR="00E41FE0" w:rsidRPr="0035502F">
        <w:t>MAIC</w:t>
      </w:r>
      <w:r>
        <w:t>;</w:t>
      </w:r>
      <w:proofErr w:type="gramEnd"/>
    </w:p>
    <w:p w14:paraId="0BDD191C" w14:textId="4997070A" w:rsidR="00E41FE0" w:rsidRPr="0035502F" w:rsidRDefault="00A23FDD" w:rsidP="00644AF4">
      <w:pPr>
        <w:pStyle w:val="COMexecsummbulletlist"/>
        <w:ind w:hanging="357"/>
      </w:pPr>
      <w:r>
        <w:t>p</w:t>
      </w:r>
      <w:r w:rsidR="00E41FE0" w:rsidRPr="0035502F">
        <w:t>otential differences in the multiple myeloma treatments used, including prior therapies, and therapies used in the post-progression setting</w:t>
      </w:r>
      <w:r>
        <w:t>; and</w:t>
      </w:r>
    </w:p>
    <w:p w14:paraId="3C18FB9F" w14:textId="41F5D616" w:rsidR="00E41FE0" w:rsidRPr="0035502F" w:rsidRDefault="00A23FDD" w:rsidP="00644AF4">
      <w:pPr>
        <w:pStyle w:val="COMexecsummbulletlist"/>
      </w:pPr>
      <w:r>
        <w:lastRenderedPageBreak/>
        <w:t>d</w:t>
      </w:r>
      <w:r w:rsidR="00E41FE0" w:rsidRPr="0035502F">
        <w:t>ifferences in eligibility criteria between the studies.</w:t>
      </w:r>
    </w:p>
    <w:p w14:paraId="2EF129E0" w14:textId="01D91533" w:rsidR="00787E30" w:rsidRPr="00AE79E1" w:rsidRDefault="00787E30" w:rsidP="00787E30">
      <w:pPr>
        <w:pStyle w:val="COMH3"/>
        <w:rPr>
          <w:sz w:val="24"/>
        </w:rPr>
      </w:pPr>
      <w:r w:rsidRPr="00AE79E1">
        <w:rPr>
          <w:sz w:val="24"/>
        </w:rPr>
        <w:t xml:space="preserve">Unanchored MAIC of elranatamab (MagnetisMM-3) versus </w:t>
      </w:r>
      <w:r w:rsidR="00702674">
        <w:rPr>
          <w:sz w:val="24"/>
        </w:rPr>
        <w:t>Sd</w:t>
      </w:r>
      <w:r w:rsidRPr="00AE79E1">
        <w:rPr>
          <w:sz w:val="24"/>
        </w:rPr>
        <w:t xml:space="preserve"> (STORM)</w:t>
      </w:r>
    </w:p>
    <w:p w14:paraId="44C5CFD2" w14:textId="48C0DF73" w:rsidR="00787E30" w:rsidRDefault="00787E30" w:rsidP="00787E30">
      <w:pPr>
        <w:pStyle w:val="COMexecsummnumbered"/>
      </w:pPr>
      <w:r w:rsidRPr="00787E30">
        <w:t xml:space="preserve">The resubmission noted differences in the MagnetisMM-3 and STORM eligibility criteria, with the MagnetisMM-3 study including patients who had </w:t>
      </w:r>
      <w:r w:rsidR="006C74D6">
        <w:t>RRMM</w:t>
      </w:r>
      <w:r w:rsidRPr="00787E30">
        <w:t xml:space="preserve"> that was triple class refractory whereas the STORM study included patients who had previously received ≥</w:t>
      </w:r>
      <w:r w:rsidR="00644AF4">
        <w:t> </w:t>
      </w:r>
      <w:r w:rsidRPr="00787E30">
        <w:t>3 anti-myeloma regimens (including an alkylating agent, lenalidomide, pomalidomide, bortezomib, carfilzomib, daratumumab, and a glucocorticoid), and who were refractory to glucocorticoids, a proteasome inhibitor, an immunomodulatory drug and daratumumab.</w:t>
      </w:r>
    </w:p>
    <w:p w14:paraId="1CA04BE8" w14:textId="294DEA29" w:rsidR="00BE5CDC" w:rsidRDefault="00BE5CDC" w:rsidP="00BE5CDC">
      <w:pPr>
        <w:pStyle w:val="COMexecsummnumbered"/>
      </w:pPr>
      <w:r w:rsidRPr="00BE5CDC">
        <w:t xml:space="preserve">The resubmission noted extramedullary disease </w:t>
      </w:r>
      <w:r w:rsidR="00620791">
        <w:t xml:space="preserve">status </w:t>
      </w:r>
      <w:r w:rsidRPr="00BE5CDC">
        <w:t>was identified as a key prognostic variable based on the literature review and clinical expert opinion but was not reported for the STORM study.</w:t>
      </w:r>
    </w:p>
    <w:p w14:paraId="6D889230" w14:textId="51E17BC9" w:rsidR="00BE5CDC" w:rsidRDefault="00A5273B" w:rsidP="00BE5CDC">
      <w:pPr>
        <w:pStyle w:val="COMexecsummnumbered"/>
      </w:pPr>
      <w:r>
        <w:fldChar w:fldCharType="begin" w:fldLock="1"/>
      </w:r>
      <w:r>
        <w:instrText xml:space="preserve"> REF _Ref187747078 \h </w:instrText>
      </w:r>
      <w:r>
        <w:fldChar w:fldCharType="separate"/>
      </w:r>
      <w:r w:rsidR="00347D89" w:rsidRPr="006E0FA2">
        <w:t xml:space="preserve">Table </w:t>
      </w:r>
      <w:r w:rsidR="00347D89">
        <w:rPr>
          <w:noProof/>
        </w:rPr>
        <w:t>10</w:t>
      </w:r>
      <w:r>
        <w:fldChar w:fldCharType="end"/>
      </w:r>
      <w:r w:rsidR="00BE5CDC">
        <w:t xml:space="preserve"> presents a comparison of the available baseline patient characteristics for Cohort A of the MagnetisMM-3 study and </w:t>
      </w:r>
      <w:r w:rsidR="00702674">
        <w:t>Sd</w:t>
      </w:r>
      <w:r w:rsidR="00BE5CDC">
        <w:t xml:space="preserve"> in the STORM study.</w:t>
      </w:r>
    </w:p>
    <w:p w14:paraId="279CF8F0" w14:textId="5A19CD38" w:rsidR="00BE5CDC" w:rsidRPr="00471739" w:rsidRDefault="00A0323C" w:rsidP="00644AF4">
      <w:pPr>
        <w:pStyle w:val="COMtablefigcaption"/>
        <w:keepLines/>
      </w:pPr>
      <w:bookmarkStart w:id="35" w:name="_Ref187747078"/>
      <w:r w:rsidRPr="006E0FA2">
        <w:t xml:space="preserve">Table </w:t>
      </w:r>
      <w:r w:rsidR="006B329A">
        <w:fldChar w:fldCharType="begin" w:fldLock="1"/>
      </w:r>
      <w:r w:rsidR="006B329A">
        <w:instrText xml:space="preserve"> SEQ Table \* ARABIC </w:instrText>
      </w:r>
      <w:r w:rsidR="006B329A">
        <w:fldChar w:fldCharType="separate"/>
      </w:r>
      <w:r w:rsidR="00347D89">
        <w:rPr>
          <w:noProof/>
        </w:rPr>
        <w:t>10</w:t>
      </w:r>
      <w:r w:rsidR="006B329A">
        <w:rPr>
          <w:noProof/>
        </w:rPr>
        <w:fldChar w:fldCharType="end"/>
      </w:r>
      <w:bookmarkEnd w:id="35"/>
      <w:r w:rsidR="00BE5CDC" w:rsidRPr="00471739">
        <w:t xml:space="preserve">: </w:t>
      </w:r>
      <w:r w:rsidR="00BE5CDC">
        <w:t>Comparison of patient characteristics between the MagnetisMM-3 and STORM 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0: Comparison of patient characteristics between the MagnetisMM-3 and STORM studies"/>
      </w:tblPr>
      <w:tblGrid>
        <w:gridCol w:w="3235"/>
        <w:gridCol w:w="1919"/>
        <w:gridCol w:w="1921"/>
        <w:gridCol w:w="1942"/>
      </w:tblGrid>
      <w:tr w:rsidR="00BE5CDC" w:rsidRPr="00471739" w14:paraId="0769A29A" w14:textId="77777777" w:rsidTr="00A23FDD">
        <w:trPr>
          <w:tblHeader/>
        </w:trPr>
        <w:tc>
          <w:tcPr>
            <w:tcW w:w="1794" w:type="pct"/>
            <w:vAlign w:val="center"/>
          </w:tcPr>
          <w:p w14:paraId="4C06CDE7" w14:textId="77777777" w:rsidR="00BE5CDC" w:rsidRPr="00471739" w:rsidRDefault="00BE5CDC" w:rsidP="00644AF4">
            <w:pPr>
              <w:pStyle w:val="COMTableheadingrow"/>
              <w:keepLines/>
            </w:pPr>
          </w:p>
        </w:tc>
        <w:tc>
          <w:tcPr>
            <w:tcW w:w="1064" w:type="pct"/>
            <w:vAlign w:val="center"/>
          </w:tcPr>
          <w:p w14:paraId="3C15F208" w14:textId="77777777" w:rsidR="00BE5CDC" w:rsidRDefault="00BE5CDC" w:rsidP="00644AF4">
            <w:pPr>
              <w:pStyle w:val="COMTableheadingrow"/>
              <w:keepLines/>
              <w:jc w:val="center"/>
            </w:pPr>
            <w:r>
              <w:t>MagnetisMM-3</w:t>
            </w:r>
          </w:p>
          <w:p w14:paraId="30F2F1F3" w14:textId="22E901C6" w:rsidR="00BE5CDC" w:rsidRDefault="00BE5CDC" w:rsidP="00644AF4">
            <w:pPr>
              <w:pStyle w:val="COMTableheadingrow"/>
              <w:keepLines/>
              <w:jc w:val="center"/>
            </w:pPr>
            <w:r>
              <w:t xml:space="preserve">Elranatamab </w:t>
            </w:r>
            <w:r w:rsidR="00A23FDD">
              <w:t>(</w:t>
            </w:r>
            <w:r>
              <w:t>Cohort A</w:t>
            </w:r>
            <w:r w:rsidR="00A23FDD">
              <w:t>)</w:t>
            </w:r>
          </w:p>
          <w:p w14:paraId="7338D755" w14:textId="77777777" w:rsidR="00BE5CDC" w:rsidRDefault="00BE5CDC" w:rsidP="00644AF4">
            <w:pPr>
              <w:pStyle w:val="COMTableheadingrow"/>
              <w:keepLines/>
              <w:jc w:val="center"/>
            </w:pPr>
            <w:r>
              <w:t>Unadjusted</w:t>
            </w:r>
          </w:p>
          <w:p w14:paraId="66A9D2D6" w14:textId="77777777" w:rsidR="00BE5CDC" w:rsidRPr="00471739" w:rsidRDefault="00BE5CDC" w:rsidP="00644AF4">
            <w:pPr>
              <w:pStyle w:val="COMTableheadingrow"/>
              <w:keepLines/>
              <w:jc w:val="center"/>
            </w:pPr>
            <w:r>
              <w:t>(N = 123)</w:t>
            </w:r>
          </w:p>
        </w:tc>
        <w:tc>
          <w:tcPr>
            <w:tcW w:w="1065" w:type="pct"/>
            <w:vAlign w:val="center"/>
          </w:tcPr>
          <w:p w14:paraId="1C0A386E" w14:textId="77777777" w:rsidR="00BE5CDC" w:rsidRDefault="00BE5CDC" w:rsidP="00644AF4">
            <w:pPr>
              <w:pStyle w:val="COMTableheadingrow"/>
              <w:keepLines/>
              <w:jc w:val="center"/>
            </w:pPr>
            <w:r>
              <w:t>STORM</w:t>
            </w:r>
          </w:p>
          <w:p w14:paraId="4F23A1E3" w14:textId="0D21B6C8" w:rsidR="00BE5CDC" w:rsidRDefault="00702674" w:rsidP="00644AF4">
            <w:pPr>
              <w:pStyle w:val="COMTableheadingrow"/>
              <w:keepLines/>
              <w:jc w:val="center"/>
            </w:pPr>
            <w:r>
              <w:t>Sd</w:t>
            </w:r>
          </w:p>
          <w:p w14:paraId="250657B6" w14:textId="77777777" w:rsidR="00BE5CDC" w:rsidRDefault="00BE5CDC" w:rsidP="00644AF4">
            <w:pPr>
              <w:pStyle w:val="COMTableheadingrow"/>
              <w:keepLines/>
              <w:jc w:val="center"/>
            </w:pPr>
            <w:r>
              <w:t>(N = 122)</w:t>
            </w:r>
          </w:p>
        </w:tc>
        <w:tc>
          <w:tcPr>
            <w:tcW w:w="1077" w:type="pct"/>
          </w:tcPr>
          <w:p w14:paraId="7F5F9736" w14:textId="77777777" w:rsidR="00BE5CDC" w:rsidRDefault="00BE5CDC" w:rsidP="00644AF4">
            <w:pPr>
              <w:pStyle w:val="COMTableheadingrow"/>
              <w:keepLines/>
              <w:jc w:val="center"/>
            </w:pPr>
            <w:r>
              <w:t>MagnetisMM-3</w:t>
            </w:r>
          </w:p>
          <w:p w14:paraId="1138F85E" w14:textId="31DA3357" w:rsidR="00BE5CDC" w:rsidRDefault="00BE5CDC" w:rsidP="00644AF4">
            <w:pPr>
              <w:pStyle w:val="COMTableheadingrow"/>
              <w:keepLines/>
              <w:jc w:val="center"/>
            </w:pPr>
            <w:r>
              <w:t xml:space="preserve">Elranatamab </w:t>
            </w:r>
            <w:r w:rsidR="00A23FDD">
              <w:t>(</w:t>
            </w:r>
            <w:r>
              <w:t>Cohort A</w:t>
            </w:r>
            <w:r w:rsidR="00A23FDD">
              <w:t>)</w:t>
            </w:r>
          </w:p>
          <w:p w14:paraId="519CEA77" w14:textId="77777777" w:rsidR="00BE5CDC" w:rsidRDefault="00BE5CDC" w:rsidP="00644AF4">
            <w:pPr>
              <w:pStyle w:val="COMTableheadingrow"/>
              <w:keepLines/>
              <w:jc w:val="center"/>
            </w:pPr>
            <w:r>
              <w:t>Adjusted</w:t>
            </w:r>
          </w:p>
          <w:p w14:paraId="0BDBB98A" w14:textId="77777777" w:rsidR="00BE5CDC" w:rsidRDefault="00BE5CDC" w:rsidP="00644AF4">
            <w:pPr>
              <w:pStyle w:val="COMTableheadingrow"/>
              <w:keepLines/>
              <w:jc w:val="center"/>
            </w:pPr>
            <w:r>
              <w:t>ESS=47</w:t>
            </w:r>
          </w:p>
        </w:tc>
      </w:tr>
      <w:tr w:rsidR="00BE5CDC" w:rsidRPr="00471739" w14:paraId="6CF20E4A" w14:textId="77777777" w:rsidTr="00A23FDD">
        <w:trPr>
          <w:trHeight w:val="79"/>
          <w:tblHeader/>
        </w:trPr>
        <w:tc>
          <w:tcPr>
            <w:tcW w:w="1794" w:type="pct"/>
          </w:tcPr>
          <w:p w14:paraId="7A8F9BA6" w14:textId="77777777" w:rsidR="00BE5CDC" w:rsidRPr="00E83A9C" w:rsidRDefault="00BE5CDC" w:rsidP="00644AF4">
            <w:pPr>
              <w:pStyle w:val="COMTableheadingrow"/>
              <w:keepLines/>
              <w:rPr>
                <w:b w:val="0"/>
                <w:bCs/>
              </w:rPr>
            </w:pPr>
            <w:r>
              <w:rPr>
                <w:b w:val="0"/>
                <w:bCs/>
              </w:rPr>
              <w:t>Age &gt;75 years</w:t>
            </w:r>
          </w:p>
        </w:tc>
        <w:tc>
          <w:tcPr>
            <w:tcW w:w="1064" w:type="pct"/>
          </w:tcPr>
          <w:p w14:paraId="725327DD" w14:textId="77777777" w:rsidR="00BE5CDC" w:rsidRPr="00DF53E3" w:rsidRDefault="00BE5CDC" w:rsidP="00644AF4">
            <w:pPr>
              <w:pStyle w:val="COMTableheadingrow"/>
              <w:keepLines/>
              <w:jc w:val="center"/>
              <w:rPr>
                <w:b w:val="0"/>
                <w:bCs/>
              </w:rPr>
            </w:pPr>
            <w:r w:rsidRPr="00DF53E3">
              <w:rPr>
                <w:b w:val="0"/>
                <w:bCs/>
              </w:rPr>
              <w:t>21 (17%)</w:t>
            </w:r>
          </w:p>
        </w:tc>
        <w:tc>
          <w:tcPr>
            <w:tcW w:w="1065" w:type="pct"/>
          </w:tcPr>
          <w:p w14:paraId="7B2D2D29" w14:textId="77777777" w:rsidR="00BE5CDC" w:rsidRPr="00DF53E3" w:rsidRDefault="00BE5CDC" w:rsidP="00644AF4">
            <w:pPr>
              <w:pStyle w:val="COMTabletext"/>
              <w:keepLines/>
              <w:jc w:val="center"/>
            </w:pPr>
            <w:r>
              <w:t>18</w:t>
            </w:r>
            <w:r w:rsidRPr="00DF53E3">
              <w:t xml:space="preserve"> (</w:t>
            </w:r>
            <w:r>
              <w:t>15%</w:t>
            </w:r>
            <w:r w:rsidRPr="00DF53E3">
              <w:t>)</w:t>
            </w:r>
          </w:p>
        </w:tc>
        <w:tc>
          <w:tcPr>
            <w:tcW w:w="1077" w:type="pct"/>
          </w:tcPr>
          <w:p w14:paraId="0F2A830C" w14:textId="77777777" w:rsidR="00BE5CDC" w:rsidRPr="00DF53E3" w:rsidRDefault="00BE5CDC" w:rsidP="00644AF4">
            <w:pPr>
              <w:pStyle w:val="COMTabletext"/>
              <w:keepLines/>
              <w:jc w:val="center"/>
            </w:pPr>
            <w:r w:rsidRPr="000E38A6">
              <w:t>15%</w:t>
            </w:r>
          </w:p>
        </w:tc>
      </w:tr>
      <w:tr w:rsidR="00BE5CDC" w:rsidRPr="00471739" w14:paraId="202A75DD" w14:textId="77777777" w:rsidTr="00A23FDD">
        <w:trPr>
          <w:trHeight w:val="79"/>
          <w:tblHeader/>
        </w:trPr>
        <w:tc>
          <w:tcPr>
            <w:tcW w:w="1794" w:type="pct"/>
          </w:tcPr>
          <w:p w14:paraId="1D1B3029" w14:textId="77777777" w:rsidR="00BE5CDC" w:rsidRDefault="00BE5CDC" w:rsidP="00644AF4">
            <w:pPr>
              <w:pStyle w:val="COMTableheadingrow"/>
              <w:keepLines/>
              <w:tabs>
                <w:tab w:val="left" w:pos="2076"/>
              </w:tabs>
              <w:rPr>
                <w:b w:val="0"/>
                <w:bCs/>
              </w:rPr>
            </w:pPr>
            <w:r>
              <w:rPr>
                <w:b w:val="0"/>
                <w:bCs/>
              </w:rPr>
              <w:t>Male</w:t>
            </w:r>
            <w:r>
              <w:rPr>
                <w:b w:val="0"/>
                <w:bCs/>
              </w:rPr>
              <w:tab/>
            </w:r>
          </w:p>
        </w:tc>
        <w:tc>
          <w:tcPr>
            <w:tcW w:w="1064" w:type="pct"/>
          </w:tcPr>
          <w:p w14:paraId="3713515D" w14:textId="77777777" w:rsidR="00BE5CDC" w:rsidRPr="0028018D" w:rsidRDefault="00BE5CDC" w:rsidP="00644AF4">
            <w:pPr>
              <w:pStyle w:val="COMTableheadingrow"/>
              <w:keepLines/>
              <w:jc w:val="center"/>
              <w:rPr>
                <w:b w:val="0"/>
                <w:bCs/>
              </w:rPr>
            </w:pPr>
            <w:r w:rsidRPr="0028018D">
              <w:rPr>
                <w:b w:val="0"/>
                <w:bCs/>
              </w:rPr>
              <w:t>68 (55%)</w:t>
            </w:r>
          </w:p>
        </w:tc>
        <w:tc>
          <w:tcPr>
            <w:tcW w:w="1065" w:type="pct"/>
          </w:tcPr>
          <w:p w14:paraId="7B2526A9" w14:textId="77777777" w:rsidR="00BE5CDC" w:rsidRPr="00DF53E3" w:rsidRDefault="00BE5CDC" w:rsidP="00644AF4">
            <w:pPr>
              <w:pStyle w:val="COMTabletext"/>
              <w:keepLines/>
              <w:jc w:val="center"/>
            </w:pPr>
            <w:r w:rsidRPr="00B00A5C">
              <w:t>71 (58%)</w:t>
            </w:r>
          </w:p>
        </w:tc>
        <w:tc>
          <w:tcPr>
            <w:tcW w:w="1077" w:type="pct"/>
          </w:tcPr>
          <w:p w14:paraId="5B492558" w14:textId="77777777" w:rsidR="00BE5CDC" w:rsidRPr="00B00A5C" w:rsidRDefault="00BE5CDC" w:rsidP="00644AF4">
            <w:pPr>
              <w:pStyle w:val="COMTabletext"/>
              <w:keepLines/>
              <w:jc w:val="center"/>
            </w:pPr>
            <w:r w:rsidRPr="000E38A6">
              <w:t>58%</w:t>
            </w:r>
          </w:p>
        </w:tc>
      </w:tr>
      <w:tr w:rsidR="00BE5CDC" w:rsidRPr="00471739" w14:paraId="34346AD1" w14:textId="77777777" w:rsidTr="00A23FDD">
        <w:trPr>
          <w:trHeight w:val="79"/>
          <w:tblHeader/>
        </w:trPr>
        <w:tc>
          <w:tcPr>
            <w:tcW w:w="1794" w:type="pct"/>
          </w:tcPr>
          <w:p w14:paraId="17F87169" w14:textId="77777777" w:rsidR="00BE5CDC" w:rsidRDefault="00BE5CDC" w:rsidP="00644AF4">
            <w:pPr>
              <w:pStyle w:val="COMTableheadingrow"/>
              <w:keepLines/>
              <w:tabs>
                <w:tab w:val="left" w:pos="2076"/>
              </w:tabs>
              <w:rPr>
                <w:b w:val="0"/>
                <w:bCs/>
              </w:rPr>
            </w:pPr>
            <w:r>
              <w:rPr>
                <w:b w:val="0"/>
                <w:bCs/>
              </w:rPr>
              <w:t>Median time from initial diagnosis, years</w:t>
            </w:r>
          </w:p>
        </w:tc>
        <w:tc>
          <w:tcPr>
            <w:tcW w:w="1064" w:type="pct"/>
            <w:vAlign w:val="center"/>
          </w:tcPr>
          <w:p w14:paraId="31237F9E" w14:textId="77777777" w:rsidR="00BE5CDC" w:rsidRPr="0028018D" w:rsidRDefault="00BE5CDC" w:rsidP="00644AF4">
            <w:pPr>
              <w:pStyle w:val="COMTableheadingrow"/>
              <w:keepLines/>
              <w:jc w:val="center"/>
              <w:rPr>
                <w:b w:val="0"/>
                <w:bCs/>
              </w:rPr>
            </w:pPr>
            <w:r w:rsidRPr="0028018D">
              <w:rPr>
                <w:b w:val="0"/>
                <w:bCs/>
              </w:rPr>
              <w:t>6.1</w:t>
            </w:r>
          </w:p>
        </w:tc>
        <w:tc>
          <w:tcPr>
            <w:tcW w:w="1065" w:type="pct"/>
            <w:vAlign w:val="center"/>
          </w:tcPr>
          <w:p w14:paraId="39E3AC43" w14:textId="77777777" w:rsidR="00BE5CDC" w:rsidRPr="00DF53E3" w:rsidRDefault="00BE5CDC" w:rsidP="00644AF4">
            <w:pPr>
              <w:pStyle w:val="COMTabletext"/>
              <w:keepLines/>
              <w:jc w:val="center"/>
            </w:pPr>
            <w:r>
              <w:t>6.6</w:t>
            </w:r>
          </w:p>
        </w:tc>
        <w:tc>
          <w:tcPr>
            <w:tcW w:w="1077" w:type="pct"/>
            <w:vAlign w:val="center"/>
          </w:tcPr>
          <w:p w14:paraId="6E545456" w14:textId="77777777" w:rsidR="00BE5CDC" w:rsidRDefault="00BE5CDC" w:rsidP="00644AF4">
            <w:pPr>
              <w:pStyle w:val="COMTabletext"/>
              <w:keepLines/>
              <w:jc w:val="center"/>
            </w:pPr>
            <w:r w:rsidRPr="0058691C">
              <w:t>6.6</w:t>
            </w:r>
          </w:p>
        </w:tc>
      </w:tr>
      <w:tr w:rsidR="00BE5CDC" w:rsidRPr="00471739" w14:paraId="798F84FF" w14:textId="77777777" w:rsidTr="00A23FDD">
        <w:tc>
          <w:tcPr>
            <w:tcW w:w="1794" w:type="pct"/>
          </w:tcPr>
          <w:p w14:paraId="59F2AC44" w14:textId="77777777" w:rsidR="00BE5CDC" w:rsidRDefault="00BE5CDC" w:rsidP="00644AF4">
            <w:pPr>
              <w:pStyle w:val="COMTabletext"/>
              <w:keepLines/>
            </w:pPr>
            <w:r>
              <w:t>R-ISS disease stage</w:t>
            </w:r>
          </w:p>
          <w:p w14:paraId="4DC78C76" w14:textId="77777777" w:rsidR="00BE5CDC" w:rsidRDefault="00BE5CDC" w:rsidP="00644AF4">
            <w:pPr>
              <w:pStyle w:val="COMTabletext"/>
              <w:keepLines/>
            </w:pPr>
            <w:r>
              <w:t>- Stage I</w:t>
            </w:r>
          </w:p>
          <w:p w14:paraId="7B6469F3" w14:textId="77777777" w:rsidR="00BE5CDC" w:rsidRDefault="00BE5CDC" w:rsidP="00644AF4">
            <w:pPr>
              <w:pStyle w:val="COMTabletext"/>
              <w:keepLines/>
            </w:pPr>
            <w:r>
              <w:t>- Stage II</w:t>
            </w:r>
          </w:p>
          <w:p w14:paraId="56417C5F" w14:textId="77777777" w:rsidR="00BE5CDC" w:rsidRPr="00A67148" w:rsidRDefault="00BE5CDC" w:rsidP="00644AF4">
            <w:pPr>
              <w:pStyle w:val="COMTabletext"/>
              <w:keepLines/>
            </w:pPr>
            <w:r>
              <w:t>- Stage III</w:t>
            </w:r>
          </w:p>
        </w:tc>
        <w:tc>
          <w:tcPr>
            <w:tcW w:w="1064" w:type="pct"/>
          </w:tcPr>
          <w:p w14:paraId="294D3456" w14:textId="77777777" w:rsidR="00BE5CDC" w:rsidRDefault="00BE5CDC" w:rsidP="00644AF4">
            <w:pPr>
              <w:pStyle w:val="COMTabletext"/>
              <w:keepLines/>
              <w:jc w:val="center"/>
            </w:pPr>
          </w:p>
          <w:p w14:paraId="11DD8955" w14:textId="77777777" w:rsidR="00BE5CDC" w:rsidRDefault="00BE5CDC" w:rsidP="00644AF4">
            <w:pPr>
              <w:pStyle w:val="COMTabletext"/>
              <w:keepLines/>
              <w:jc w:val="center"/>
            </w:pPr>
            <w:r>
              <w:t>28 (23%)</w:t>
            </w:r>
          </w:p>
          <w:p w14:paraId="7AEA3D4B" w14:textId="77777777" w:rsidR="00BE5CDC" w:rsidRDefault="00BE5CDC" w:rsidP="00644AF4">
            <w:pPr>
              <w:pStyle w:val="COMTabletext"/>
              <w:keepLines/>
              <w:jc w:val="center"/>
            </w:pPr>
            <w:r>
              <w:t>68 (55%)</w:t>
            </w:r>
          </w:p>
          <w:p w14:paraId="073E6807" w14:textId="77777777" w:rsidR="00BE5CDC" w:rsidRPr="00471739" w:rsidRDefault="00BE5CDC" w:rsidP="00644AF4">
            <w:pPr>
              <w:pStyle w:val="COMTabletext"/>
              <w:keepLines/>
              <w:jc w:val="center"/>
            </w:pPr>
            <w:r>
              <w:t>19 (15%)</w:t>
            </w:r>
          </w:p>
        </w:tc>
        <w:tc>
          <w:tcPr>
            <w:tcW w:w="1065" w:type="pct"/>
          </w:tcPr>
          <w:p w14:paraId="002978BD" w14:textId="77777777" w:rsidR="00BE5CDC" w:rsidRDefault="00BE5CDC" w:rsidP="00644AF4">
            <w:pPr>
              <w:pStyle w:val="COMTabletext"/>
              <w:keepLines/>
              <w:jc w:val="center"/>
            </w:pPr>
          </w:p>
          <w:p w14:paraId="520993DF" w14:textId="77777777" w:rsidR="00BE5CDC" w:rsidRDefault="00BE5CDC" w:rsidP="00644AF4">
            <w:pPr>
              <w:pStyle w:val="COMTabletext"/>
              <w:keepLines/>
              <w:jc w:val="center"/>
            </w:pPr>
            <w:r>
              <w:t>20 (16%)</w:t>
            </w:r>
          </w:p>
          <w:p w14:paraId="547AA81B" w14:textId="77777777" w:rsidR="00BE5CDC" w:rsidRDefault="00BE5CDC" w:rsidP="00644AF4">
            <w:pPr>
              <w:pStyle w:val="COMTabletext"/>
              <w:keepLines/>
              <w:jc w:val="center"/>
            </w:pPr>
            <w:r>
              <w:t>78 (64%)</w:t>
            </w:r>
          </w:p>
          <w:p w14:paraId="008FF0B9" w14:textId="77777777" w:rsidR="00BE5CDC" w:rsidRPr="006E31A6" w:rsidRDefault="00BE5CDC" w:rsidP="00644AF4">
            <w:pPr>
              <w:pStyle w:val="COMTabletext"/>
              <w:keepLines/>
              <w:jc w:val="center"/>
            </w:pPr>
            <w:r>
              <w:t>23 (19%)</w:t>
            </w:r>
          </w:p>
        </w:tc>
        <w:tc>
          <w:tcPr>
            <w:tcW w:w="1077" w:type="pct"/>
          </w:tcPr>
          <w:p w14:paraId="2D12A5AD" w14:textId="77777777" w:rsidR="00BE5CDC" w:rsidRDefault="00BE5CDC" w:rsidP="00644AF4">
            <w:pPr>
              <w:pStyle w:val="COMTabletext"/>
              <w:keepLines/>
              <w:jc w:val="center"/>
            </w:pPr>
          </w:p>
          <w:p w14:paraId="3F6AA7BA" w14:textId="77777777" w:rsidR="00BE5CDC" w:rsidRDefault="00BE5CDC" w:rsidP="00644AF4">
            <w:pPr>
              <w:pStyle w:val="COMTabletext"/>
              <w:keepLines/>
              <w:jc w:val="center"/>
            </w:pPr>
            <w:r>
              <w:t>16%</w:t>
            </w:r>
          </w:p>
          <w:p w14:paraId="79B173A7" w14:textId="77777777" w:rsidR="00BE5CDC" w:rsidRDefault="00BE5CDC" w:rsidP="00644AF4">
            <w:pPr>
              <w:pStyle w:val="COMTabletext"/>
              <w:keepLines/>
              <w:jc w:val="center"/>
            </w:pPr>
            <w:r>
              <w:t>64%</w:t>
            </w:r>
          </w:p>
          <w:p w14:paraId="27AED78A" w14:textId="77777777" w:rsidR="00BE5CDC" w:rsidRDefault="00BE5CDC" w:rsidP="00644AF4">
            <w:pPr>
              <w:pStyle w:val="COMTabletext"/>
              <w:keepLines/>
              <w:jc w:val="center"/>
            </w:pPr>
            <w:r>
              <w:t>19%</w:t>
            </w:r>
          </w:p>
        </w:tc>
      </w:tr>
      <w:tr w:rsidR="00BE5CDC" w:rsidRPr="00471739" w14:paraId="2A667144" w14:textId="77777777" w:rsidTr="00A23FDD">
        <w:tc>
          <w:tcPr>
            <w:tcW w:w="1794" w:type="pct"/>
          </w:tcPr>
          <w:p w14:paraId="11EE2FDD" w14:textId="77777777" w:rsidR="00BE5CDC" w:rsidRDefault="00BE5CDC" w:rsidP="00644AF4">
            <w:pPr>
              <w:pStyle w:val="COMTabletext"/>
              <w:keepLines/>
            </w:pPr>
            <w:r>
              <w:t>High risk cytogenetics</w:t>
            </w:r>
          </w:p>
          <w:p w14:paraId="79AEE342" w14:textId="77777777" w:rsidR="00BE5CDC" w:rsidRDefault="00BE5CDC" w:rsidP="00644AF4">
            <w:pPr>
              <w:pStyle w:val="COMTabletext"/>
              <w:keepLines/>
            </w:pPr>
            <w:r>
              <w:t>- del(17p)/p53</w:t>
            </w:r>
          </w:p>
          <w:p w14:paraId="45516119" w14:textId="77777777" w:rsidR="00BE5CDC" w:rsidRDefault="00BE5CDC" w:rsidP="00644AF4">
            <w:pPr>
              <w:pStyle w:val="COMTabletext"/>
              <w:keepLines/>
            </w:pPr>
            <w:r>
              <w:t xml:space="preserve">- </w:t>
            </w:r>
            <w:proofErr w:type="gramStart"/>
            <w:r>
              <w:t>t(</w:t>
            </w:r>
            <w:proofErr w:type="gramEnd"/>
            <w:r>
              <w:t>4;14)</w:t>
            </w:r>
          </w:p>
          <w:p w14:paraId="5E06DB50" w14:textId="77777777" w:rsidR="00BE5CDC" w:rsidRDefault="00BE5CDC" w:rsidP="00644AF4">
            <w:pPr>
              <w:pStyle w:val="COMTabletext"/>
              <w:keepLines/>
            </w:pPr>
            <w:r>
              <w:t xml:space="preserve">- </w:t>
            </w:r>
            <w:proofErr w:type="gramStart"/>
            <w:r>
              <w:t>t(</w:t>
            </w:r>
            <w:proofErr w:type="gramEnd"/>
            <w:r>
              <w:t>14;16)</w:t>
            </w:r>
          </w:p>
        </w:tc>
        <w:tc>
          <w:tcPr>
            <w:tcW w:w="1064" w:type="pct"/>
          </w:tcPr>
          <w:p w14:paraId="48188718" w14:textId="77777777" w:rsidR="00BE5CDC" w:rsidRDefault="00BE5CDC" w:rsidP="00644AF4">
            <w:pPr>
              <w:pStyle w:val="COMTabletext"/>
              <w:keepLines/>
              <w:jc w:val="center"/>
            </w:pPr>
          </w:p>
          <w:p w14:paraId="7003874C" w14:textId="77777777" w:rsidR="00BE5CDC" w:rsidRDefault="00BE5CDC" w:rsidP="00644AF4">
            <w:pPr>
              <w:pStyle w:val="COMTabletext"/>
              <w:keepLines/>
              <w:jc w:val="center"/>
            </w:pPr>
            <w:r>
              <w:t>19 (15%)</w:t>
            </w:r>
          </w:p>
          <w:p w14:paraId="526A57CF" w14:textId="77777777" w:rsidR="00BE5CDC" w:rsidRDefault="00BE5CDC" w:rsidP="00644AF4">
            <w:pPr>
              <w:pStyle w:val="COMTabletext"/>
              <w:keepLines/>
              <w:jc w:val="center"/>
            </w:pPr>
            <w:r>
              <w:t>10 (8%)</w:t>
            </w:r>
          </w:p>
          <w:p w14:paraId="54B77AF0" w14:textId="77777777" w:rsidR="00BE5CDC" w:rsidRDefault="00BE5CDC" w:rsidP="00644AF4">
            <w:pPr>
              <w:pStyle w:val="COMTabletext"/>
              <w:keepLines/>
              <w:jc w:val="center"/>
            </w:pPr>
            <w:r>
              <w:t>2 (2%)</w:t>
            </w:r>
          </w:p>
        </w:tc>
        <w:tc>
          <w:tcPr>
            <w:tcW w:w="1065" w:type="pct"/>
          </w:tcPr>
          <w:p w14:paraId="1DF421C1" w14:textId="77777777" w:rsidR="00BE5CDC" w:rsidRDefault="00BE5CDC" w:rsidP="00644AF4">
            <w:pPr>
              <w:pStyle w:val="COMTabletext"/>
              <w:keepLines/>
              <w:jc w:val="center"/>
            </w:pPr>
          </w:p>
          <w:p w14:paraId="39BFB76A" w14:textId="77777777" w:rsidR="00BE5CDC" w:rsidRDefault="00BE5CDC" w:rsidP="00644AF4">
            <w:pPr>
              <w:pStyle w:val="COMTabletext"/>
              <w:keepLines/>
              <w:jc w:val="center"/>
            </w:pPr>
            <w:r>
              <w:t>32 (26%)</w:t>
            </w:r>
          </w:p>
          <w:p w14:paraId="0AEC303B" w14:textId="77777777" w:rsidR="00BE5CDC" w:rsidRDefault="00BE5CDC" w:rsidP="00644AF4">
            <w:pPr>
              <w:pStyle w:val="COMTabletext"/>
              <w:keepLines/>
              <w:jc w:val="center"/>
            </w:pPr>
            <w:r>
              <w:t>17 (14%)</w:t>
            </w:r>
          </w:p>
          <w:p w14:paraId="22030F4B" w14:textId="77777777" w:rsidR="00BE5CDC" w:rsidRDefault="00BE5CDC" w:rsidP="00644AF4">
            <w:pPr>
              <w:pStyle w:val="COMTabletext"/>
              <w:keepLines/>
              <w:jc w:val="center"/>
            </w:pPr>
            <w:r>
              <w:t xml:space="preserve"> 5 (4%)</w:t>
            </w:r>
          </w:p>
        </w:tc>
        <w:tc>
          <w:tcPr>
            <w:tcW w:w="1077" w:type="pct"/>
          </w:tcPr>
          <w:p w14:paraId="6A6E6B23" w14:textId="77777777" w:rsidR="00BE5CDC" w:rsidRDefault="00BE5CDC" w:rsidP="00644AF4">
            <w:pPr>
              <w:pStyle w:val="COMTabletext"/>
              <w:keepLines/>
              <w:jc w:val="center"/>
            </w:pPr>
          </w:p>
          <w:p w14:paraId="29111514" w14:textId="77777777" w:rsidR="00BE5CDC" w:rsidRDefault="00BE5CDC" w:rsidP="00644AF4">
            <w:pPr>
              <w:pStyle w:val="COMTabletext"/>
              <w:keepLines/>
              <w:jc w:val="center"/>
            </w:pPr>
            <w:r>
              <w:t>26%</w:t>
            </w:r>
          </w:p>
          <w:p w14:paraId="0F62614F" w14:textId="77777777" w:rsidR="00BE5CDC" w:rsidRDefault="00BE5CDC" w:rsidP="00644AF4">
            <w:pPr>
              <w:pStyle w:val="COMTabletext"/>
              <w:keepLines/>
              <w:jc w:val="center"/>
            </w:pPr>
            <w:r>
              <w:t>14%</w:t>
            </w:r>
          </w:p>
          <w:p w14:paraId="4C3BBA49" w14:textId="77777777" w:rsidR="00BE5CDC" w:rsidRDefault="00BE5CDC" w:rsidP="00644AF4">
            <w:pPr>
              <w:pStyle w:val="COMTabletext"/>
              <w:keepLines/>
              <w:jc w:val="center"/>
            </w:pPr>
            <w:r>
              <w:t xml:space="preserve"> 4%</w:t>
            </w:r>
          </w:p>
        </w:tc>
      </w:tr>
      <w:tr w:rsidR="00BE5CDC" w:rsidRPr="00471739" w14:paraId="53EDF113" w14:textId="77777777" w:rsidTr="00A23FDD">
        <w:tc>
          <w:tcPr>
            <w:tcW w:w="1794" w:type="pct"/>
          </w:tcPr>
          <w:p w14:paraId="37140303" w14:textId="77777777" w:rsidR="00BE5CDC" w:rsidRDefault="00BE5CDC" w:rsidP="00644AF4">
            <w:pPr>
              <w:pStyle w:val="COMTabletext"/>
              <w:keepLines/>
            </w:pPr>
            <w:r>
              <w:t>Median number of prior treatments</w:t>
            </w:r>
          </w:p>
        </w:tc>
        <w:tc>
          <w:tcPr>
            <w:tcW w:w="1064" w:type="pct"/>
            <w:vAlign w:val="center"/>
          </w:tcPr>
          <w:p w14:paraId="15C4649B" w14:textId="77777777" w:rsidR="00BE5CDC" w:rsidRDefault="00BE5CDC" w:rsidP="00644AF4">
            <w:pPr>
              <w:pStyle w:val="COMTabletext"/>
              <w:keepLines/>
              <w:jc w:val="center"/>
            </w:pPr>
            <w:r>
              <w:t>5</w:t>
            </w:r>
          </w:p>
        </w:tc>
        <w:tc>
          <w:tcPr>
            <w:tcW w:w="1065" w:type="pct"/>
            <w:vAlign w:val="center"/>
          </w:tcPr>
          <w:p w14:paraId="2A5451F8" w14:textId="77777777" w:rsidR="00BE5CDC" w:rsidRDefault="00BE5CDC" w:rsidP="00644AF4">
            <w:pPr>
              <w:pStyle w:val="COMTabletext"/>
              <w:keepLines/>
              <w:jc w:val="center"/>
            </w:pPr>
            <w:r>
              <w:t>7</w:t>
            </w:r>
          </w:p>
        </w:tc>
        <w:tc>
          <w:tcPr>
            <w:tcW w:w="1077" w:type="pct"/>
            <w:vAlign w:val="center"/>
          </w:tcPr>
          <w:p w14:paraId="7FD971C1" w14:textId="77777777" w:rsidR="00BE5CDC" w:rsidRDefault="00BE5CDC" w:rsidP="00644AF4">
            <w:pPr>
              <w:pStyle w:val="COMTabletext"/>
              <w:keepLines/>
              <w:jc w:val="center"/>
            </w:pPr>
            <w:r w:rsidRPr="0058691C">
              <w:t>7</w:t>
            </w:r>
          </w:p>
        </w:tc>
      </w:tr>
      <w:tr w:rsidR="00BE5CDC" w:rsidRPr="00471739" w14:paraId="499DF926" w14:textId="77777777" w:rsidTr="00A23FDD">
        <w:tc>
          <w:tcPr>
            <w:tcW w:w="1794" w:type="pct"/>
          </w:tcPr>
          <w:p w14:paraId="6A463865" w14:textId="77777777" w:rsidR="00BE5CDC" w:rsidRDefault="00BE5CDC" w:rsidP="00644AF4">
            <w:pPr>
              <w:pStyle w:val="COMTabletext"/>
              <w:keepLines/>
            </w:pPr>
            <w:r>
              <w:t>ECOG score</w:t>
            </w:r>
          </w:p>
          <w:p w14:paraId="22EE7A5F" w14:textId="77777777" w:rsidR="00BE5CDC" w:rsidRDefault="00BE5CDC" w:rsidP="00644AF4">
            <w:pPr>
              <w:pStyle w:val="COMTabletext"/>
              <w:keepLines/>
            </w:pPr>
            <w:r>
              <w:t>- 0</w:t>
            </w:r>
          </w:p>
          <w:p w14:paraId="31D955C5" w14:textId="77777777" w:rsidR="00BE5CDC" w:rsidRPr="00A67148" w:rsidRDefault="00BE5CDC" w:rsidP="00644AF4">
            <w:pPr>
              <w:pStyle w:val="COMTabletext"/>
              <w:keepLines/>
            </w:pPr>
            <w:r>
              <w:t>- ≥1</w:t>
            </w:r>
          </w:p>
        </w:tc>
        <w:tc>
          <w:tcPr>
            <w:tcW w:w="1064" w:type="pct"/>
          </w:tcPr>
          <w:p w14:paraId="79BC3670" w14:textId="77777777" w:rsidR="00BE5CDC" w:rsidRDefault="00BE5CDC" w:rsidP="00644AF4">
            <w:pPr>
              <w:pStyle w:val="COMTabletext"/>
              <w:keepLines/>
              <w:jc w:val="center"/>
            </w:pPr>
          </w:p>
          <w:p w14:paraId="448158A7" w14:textId="77777777" w:rsidR="00BE5CDC" w:rsidRDefault="00BE5CDC" w:rsidP="00644AF4">
            <w:pPr>
              <w:pStyle w:val="COMTabletext"/>
              <w:keepLines/>
              <w:jc w:val="center"/>
            </w:pPr>
            <w:r>
              <w:t>45 (37%)</w:t>
            </w:r>
          </w:p>
          <w:p w14:paraId="3132E326" w14:textId="77777777" w:rsidR="00BE5CDC" w:rsidRPr="00471739" w:rsidRDefault="00BE5CDC" w:rsidP="00644AF4">
            <w:pPr>
              <w:pStyle w:val="COMTabletext"/>
              <w:keepLines/>
              <w:jc w:val="center"/>
            </w:pPr>
            <w:r>
              <w:t>78 (63%)</w:t>
            </w:r>
          </w:p>
        </w:tc>
        <w:tc>
          <w:tcPr>
            <w:tcW w:w="1065" w:type="pct"/>
          </w:tcPr>
          <w:p w14:paraId="0840F28A" w14:textId="77777777" w:rsidR="00BE5CDC" w:rsidRDefault="00BE5CDC" w:rsidP="00644AF4">
            <w:pPr>
              <w:pStyle w:val="COMTabletext"/>
              <w:keepLines/>
              <w:jc w:val="center"/>
            </w:pPr>
          </w:p>
          <w:p w14:paraId="3EA5416B" w14:textId="77777777" w:rsidR="00BE5CDC" w:rsidRDefault="00BE5CDC" w:rsidP="00644AF4">
            <w:pPr>
              <w:pStyle w:val="COMTabletext"/>
              <w:keepLines/>
              <w:jc w:val="center"/>
            </w:pPr>
            <w:r>
              <w:t>36 (30%)</w:t>
            </w:r>
          </w:p>
          <w:p w14:paraId="64CB82EE" w14:textId="77777777" w:rsidR="00BE5CDC" w:rsidRPr="006E31A6" w:rsidRDefault="00BE5CDC" w:rsidP="00644AF4">
            <w:pPr>
              <w:pStyle w:val="COMTabletext"/>
              <w:keepLines/>
              <w:jc w:val="center"/>
            </w:pPr>
            <w:r>
              <w:t>82 (67%)</w:t>
            </w:r>
          </w:p>
        </w:tc>
        <w:tc>
          <w:tcPr>
            <w:tcW w:w="1077" w:type="pct"/>
          </w:tcPr>
          <w:p w14:paraId="6E6AD53A" w14:textId="77777777" w:rsidR="00BE5CDC" w:rsidRDefault="00BE5CDC" w:rsidP="00644AF4">
            <w:pPr>
              <w:pStyle w:val="COMTabletext"/>
              <w:keepLines/>
              <w:jc w:val="center"/>
            </w:pPr>
          </w:p>
          <w:p w14:paraId="1382FA13" w14:textId="77777777" w:rsidR="00BE5CDC" w:rsidRDefault="00BE5CDC" w:rsidP="00644AF4">
            <w:pPr>
              <w:pStyle w:val="COMTabletext"/>
              <w:keepLines/>
              <w:jc w:val="center"/>
            </w:pPr>
            <w:r>
              <w:t>30%</w:t>
            </w:r>
          </w:p>
          <w:p w14:paraId="22C062E0" w14:textId="77777777" w:rsidR="00BE5CDC" w:rsidRDefault="00BE5CDC" w:rsidP="00644AF4">
            <w:pPr>
              <w:pStyle w:val="COMTabletext"/>
              <w:keepLines/>
              <w:jc w:val="center"/>
            </w:pPr>
            <w:r>
              <w:t>67%</w:t>
            </w:r>
          </w:p>
        </w:tc>
      </w:tr>
      <w:tr w:rsidR="00BE5CDC" w:rsidRPr="00471739" w14:paraId="0A8D18FD" w14:textId="77777777" w:rsidTr="00A23FDD">
        <w:tc>
          <w:tcPr>
            <w:tcW w:w="1794" w:type="pct"/>
          </w:tcPr>
          <w:p w14:paraId="4C6C1579" w14:textId="77777777" w:rsidR="00BE5CDC" w:rsidRPr="00A67148" w:rsidRDefault="00BE5CDC" w:rsidP="00644AF4">
            <w:pPr>
              <w:pStyle w:val="COMTabletext"/>
              <w:keepLines/>
            </w:pPr>
            <w:r>
              <w:t>Creatinine clearance ≥60 mL/min</w:t>
            </w:r>
          </w:p>
        </w:tc>
        <w:tc>
          <w:tcPr>
            <w:tcW w:w="1064" w:type="pct"/>
            <w:vAlign w:val="center"/>
          </w:tcPr>
          <w:p w14:paraId="6980A7A9" w14:textId="77777777" w:rsidR="00BE5CDC" w:rsidRPr="00471739" w:rsidRDefault="00BE5CDC" w:rsidP="00644AF4">
            <w:pPr>
              <w:pStyle w:val="COMTabletext"/>
              <w:keepLines/>
              <w:jc w:val="center"/>
            </w:pPr>
            <w:r w:rsidRPr="00C25BB5">
              <w:t>72 (59%)</w:t>
            </w:r>
          </w:p>
        </w:tc>
        <w:tc>
          <w:tcPr>
            <w:tcW w:w="1065" w:type="pct"/>
            <w:vAlign w:val="center"/>
          </w:tcPr>
          <w:p w14:paraId="07ACDD08" w14:textId="77777777" w:rsidR="00BE5CDC" w:rsidRPr="006E31A6" w:rsidRDefault="00BE5CDC" w:rsidP="00644AF4">
            <w:pPr>
              <w:pStyle w:val="COMTabletext"/>
              <w:keepLines/>
              <w:jc w:val="center"/>
            </w:pPr>
            <w:r w:rsidRPr="00C25BB5">
              <w:t>82 (67%)</w:t>
            </w:r>
          </w:p>
        </w:tc>
        <w:tc>
          <w:tcPr>
            <w:tcW w:w="1077" w:type="pct"/>
            <w:vAlign w:val="center"/>
          </w:tcPr>
          <w:p w14:paraId="0DA83F32" w14:textId="77777777" w:rsidR="00BE5CDC" w:rsidRPr="00C25BB5" w:rsidRDefault="00BE5CDC" w:rsidP="00644AF4">
            <w:pPr>
              <w:pStyle w:val="COMTabletext"/>
              <w:keepLines/>
              <w:jc w:val="center"/>
            </w:pPr>
            <w:r w:rsidRPr="00440973">
              <w:t>67%</w:t>
            </w:r>
          </w:p>
        </w:tc>
      </w:tr>
      <w:tr w:rsidR="00BE5CDC" w:rsidRPr="00471739" w14:paraId="4FC3A968" w14:textId="77777777" w:rsidTr="00A23FDD">
        <w:tc>
          <w:tcPr>
            <w:tcW w:w="1794" w:type="pct"/>
          </w:tcPr>
          <w:p w14:paraId="620461BF" w14:textId="77777777" w:rsidR="00BE5CDC" w:rsidRDefault="00BE5CDC" w:rsidP="00644AF4">
            <w:pPr>
              <w:pStyle w:val="COMTabletext"/>
              <w:keepLines/>
            </w:pPr>
            <w:r>
              <w:t>Penta-drug refractory</w:t>
            </w:r>
          </w:p>
        </w:tc>
        <w:tc>
          <w:tcPr>
            <w:tcW w:w="1064" w:type="pct"/>
          </w:tcPr>
          <w:p w14:paraId="5D26D34C" w14:textId="77777777" w:rsidR="00BE5CDC" w:rsidRPr="00C25BB5" w:rsidRDefault="00BE5CDC" w:rsidP="00644AF4">
            <w:pPr>
              <w:pStyle w:val="COMTabletext"/>
              <w:keepLines/>
              <w:jc w:val="center"/>
            </w:pPr>
            <w:r w:rsidRPr="00872BD0">
              <w:t>51 (41%)</w:t>
            </w:r>
          </w:p>
        </w:tc>
        <w:tc>
          <w:tcPr>
            <w:tcW w:w="1065" w:type="pct"/>
          </w:tcPr>
          <w:p w14:paraId="3584EE91" w14:textId="77777777" w:rsidR="00BE5CDC" w:rsidRPr="00C25BB5" w:rsidRDefault="00BE5CDC" w:rsidP="00644AF4">
            <w:pPr>
              <w:pStyle w:val="COMTabletext"/>
              <w:keepLines/>
              <w:jc w:val="center"/>
            </w:pPr>
            <w:r w:rsidRPr="00872BD0">
              <w:t>83 (68%)</w:t>
            </w:r>
          </w:p>
        </w:tc>
        <w:tc>
          <w:tcPr>
            <w:tcW w:w="1077" w:type="pct"/>
          </w:tcPr>
          <w:p w14:paraId="47C0EFFD" w14:textId="77777777" w:rsidR="00BE5CDC" w:rsidRPr="00872BD0" w:rsidRDefault="00BE5CDC" w:rsidP="00644AF4">
            <w:pPr>
              <w:pStyle w:val="COMTabletext"/>
              <w:keepLines/>
              <w:jc w:val="center"/>
            </w:pPr>
            <w:r w:rsidRPr="00440973">
              <w:t>68%</w:t>
            </w:r>
          </w:p>
        </w:tc>
      </w:tr>
      <w:tr w:rsidR="00BE5CDC" w:rsidRPr="00471739" w14:paraId="13EE04AF" w14:textId="77777777" w:rsidTr="00A23FDD">
        <w:tc>
          <w:tcPr>
            <w:tcW w:w="1794" w:type="pct"/>
          </w:tcPr>
          <w:p w14:paraId="2046D539" w14:textId="77777777" w:rsidR="00BE5CDC" w:rsidRDefault="00BE5CDC" w:rsidP="00644AF4">
            <w:pPr>
              <w:pStyle w:val="COMTabletext"/>
              <w:keepLines/>
            </w:pPr>
            <w:r>
              <w:t>Type of myeloma</w:t>
            </w:r>
          </w:p>
          <w:p w14:paraId="586EA866" w14:textId="77777777" w:rsidR="00BE5CDC" w:rsidRDefault="00BE5CDC" w:rsidP="00644AF4">
            <w:pPr>
              <w:pStyle w:val="COMTabletext"/>
              <w:keepLines/>
            </w:pPr>
            <w:r>
              <w:t>- IgG</w:t>
            </w:r>
          </w:p>
          <w:p w14:paraId="283F2FD7" w14:textId="77777777" w:rsidR="00BE5CDC" w:rsidRDefault="00BE5CDC" w:rsidP="00644AF4">
            <w:pPr>
              <w:pStyle w:val="COMTabletext"/>
              <w:keepLines/>
            </w:pPr>
            <w:r>
              <w:t>- Non-IgG</w:t>
            </w:r>
          </w:p>
        </w:tc>
        <w:tc>
          <w:tcPr>
            <w:tcW w:w="1064" w:type="pct"/>
          </w:tcPr>
          <w:p w14:paraId="1B1B1C55" w14:textId="77777777" w:rsidR="00BE5CDC" w:rsidRDefault="00BE5CDC" w:rsidP="00644AF4">
            <w:pPr>
              <w:pStyle w:val="COMTabletext"/>
              <w:keepLines/>
              <w:jc w:val="center"/>
            </w:pPr>
          </w:p>
          <w:p w14:paraId="7A1A9875" w14:textId="77777777" w:rsidR="00BE5CDC" w:rsidRDefault="00BE5CDC" w:rsidP="00644AF4">
            <w:pPr>
              <w:pStyle w:val="COMTabletext"/>
              <w:keepLines/>
              <w:jc w:val="center"/>
            </w:pPr>
            <w:r>
              <w:t>65 (53%)</w:t>
            </w:r>
          </w:p>
          <w:p w14:paraId="6957A774" w14:textId="77777777" w:rsidR="00BE5CDC" w:rsidRPr="00872BD0" w:rsidRDefault="00BE5CDC" w:rsidP="00644AF4">
            <w:pPr>
              <w:pStyle w:val="COMTabletext"/>
              <w:keepLines/>
              <w:jc w:val="center"/>
            </w:pPr>
            <w:r>
              <w:t>45 (37%)</w:t>
            </w:r>
          </w:p>
        </w:tc>
        <w:tc>
          <w:tcPr>
            <w:tcW w:w="1065" w:type="pct"/>
          </w:tcPr>
          <w:p w14:paraId="62BFFD28" w14:textId="77777777" w:rsidR="00BE5CDC" w:rsidRDefault="00BE5CDC" w:rsidP="00644AF4">
            <w:pPr>
              <w:pStyle w:val="COMTabletext"/>
              <w:keepLines/>
              <w:jc w:val="center"/>
            </w:pPr>
          </w:p>
          <w:p w14:paraId="7A5FD692" w14:textId="77777777" w:rsidR="00BE5CDC" w:rsidRDefault="00BE5CDC" w:rsidP="00644AF4">
            <w:pPr>
              <w:pStyle w:val="COMTabletext"/>
              <w:keepLines/>
              <w:jc w:val="center"/>
            </w:pPr>
            <w:r>
              <w:t>82 (67%)</w:t>
            </w:r>
          </w:p>
          <w:p w14:paraId="49B7A696" w14:textId="77777777" w:rsidR="00BE5CDC" w:rsidRPr="00872BD0" w:rsidRDefault="00BE5CDC" w:rsidP="00644AF4">
            <w:pPr>
              <w:pStyle w:val="COMTabletext"/>
              <w:keepLines/>
              <w:jc w:val="center"/>
            </w:pPr>
            <w:r>
              <w:t>40 (33%)</w:t>
            </w:r>
          </w:p>
        </w:tc>
        <w:tc>
          <w:tcPr>
            <w:tcW w:w="1077" w:type="pct"/>
          </w:tcPr>
          <w:p w14:paraId="257E9299" w14:textId="77777777" w:rsidR="00BE5CDC" w:rsidRDefault="00BE5CDC" w:rsidP="00644AF4">
            <w:pPr>
              <w:pStyle w:val="COMTabletext"/>
              <w:keepLines/>
              <w:jc w:val="center"/>
            </w:pPr>
          </w:p>
          <w:p w14:paraId="03CAC3B7" w14:textId="77777777" w:rsidR="00BE5CDC" w:rsidRDefault="00BE5CDC" w:rsidP="00644AF4">
            <w:pPr>
              <w:pStyle w:val="COMTabletext"/>
              <w:keepLines/>
              <w:jc w:val="center"/>
            </w:pPr>
            <w:r>
              <w:t>67%</w:t>
            </w:r>
          </w:p>
          <w:p w14:paraId="14C2E593" w14:textId="77777777" w:rsidR="00BE5CDC" w:rsidRDefault="00BE5CDC" w:rsidP="00644AF4">
            <w:pPr>
              <w:pStyle w:val="COMTabletext"/>
              <w:keepLines/>
              <w:jc w:val="center"/>
            </w:pPr>
            <w:r>
              <w:t>33%</w:t>
            </w:r>
          </w:p>
        </w:tc>
      </w:tr>
    </w:tbl>
    <w:p w14:paraId="2D365D9B" w14:textId="77777777" w:rsidR="00BE5CDC" w:rsidRDefault="00BE5CDC" w:rsidP="00644AF4">
      <w:pPr>
        <w:pStyle w:val="COMTablefooter"/>
        <w:keepNext/>
        <w:keepLines/>
      </w:pPr>
      <w:r w:rsidRPr="00471739">
        <w:t>Source:</w:t>
      </w:r>
      <w:r>
        <w:t xml:space="preserve"> Table 2.72, p214 of the resubmission; Table 2, p3 </w:t>
      </w:r>
      <w:r w:rsidRPr="00576B4D">
        <w:t>of the ‘</w:t>
      </w:r>
      <w:proofErr w:type="spellStart"/>
      <w:r w:rsidRPr="00576B4D">
        <w:t>Elranatamab_ITC_Australia</w:t>
      </w:r>
      <w:proofErr w:type="spellEnd"/>
      <w:r w:rsidRPr="00576B4D">
        <w:t xml:space="preserve"> asks_DEC202024’ document provided during the evaluation.</w:t>
      </w:r>
    </w:p>
    <w:p w14:paraId="19B1C759" w14:textId="76EC03C6" w:rsidR="00BE5CDC" w:rsidRDefault="00BE5CDC" w:rsidP="00BE5CDC">
      <w:pPr>
        <w:pStyle w:val="COMTablefooter"/>
      </w:pPr>
      <w:r>
        <w:t xml:space="preserve">Abbreviations: ECOG, Eastern Cooperative Oncology Group; </w:t>
      </w:r>
      <w:r w:rsidR="00797839">
        <w:t xml:space="preserve">ESS, effective sample size; </w:t>
      </w:r>
      <w:r>
        <w:t>IgG, immunoglobulin G; R-ISS,</w:t>
      </w:r>
      <w:r w:rsidRPr="003077DD">
        <w:t xml:space="preserve"> Revised International Staging System</w:t>
      </w:r>
      <w:r w:rsidR="00702674">
        <w:t>; Sd, selinexor + dexamethasone.</w:t>
      </w:r>
    </w:p>
    <w:p w14:paraId="567045B2" w14:textId="718EA0F6" w:rsidR="00BE5CDC" w:rsidRPr="0035502F" w:rsidRDefault="00BE5CDC" w:rsidP="00BE5CDC">
      <w:pPr>
        <w:pStyle w:val="COMexecsummnumbered"/>
      </w:pPr>
      <w:r>
        <w:t xml:space="preserve">After matching based on the selected characteristics, the effective sample size for patients in the MagnetisMM-3 study was 47. </w:t>
      </w:r>
      <w:r w:rsidRPr="0035502F">
        <w:t xml:space="preserve">Based on examination of the plot of patient weights, some patients had a relatively large weighting applied (6 patients received weights of between 4 to 6). The impact of the adjustment on other </w:t>
      </w:r>
      <w:r w:rsidRPr="0035502F">
        <w:lastRenderedPageBreak/>
        <w:t>characteristics that were not selected for matching was unclear, as post-matching characteristics for variables that were not included for matching were not provided.</w:t>
      </w:r>
    </w:p>
    <w:p w14:paraId="1407C366" w14:textId="2665A98F" w:rsidR="00BE5CDC" w:rsidRDefault="00A5273B" w:rsidP="00BE5CDC">
      <w:pPr>
        <w:pStyle w:val="COMexecsummnumbered"/>
      </w:pPr>
      <w:r>
        <w:fldChar w:fldCharType="begin" w:fldLock="1"/>
      </w:r>
      <w:r>
        <w:instrText xml:space="preserve"> REF _Ref187747091 \h </w:instrText>
      </w:r>
      <w:r>
        <w:fldChar w:fldCharType="separate"/>
      </w:r>
      <w:r w:rsidR="00347D89" w:rsidRPr="006E0FA2">
        <w:t xml:space="preserve">Table </w:t>
      </w:r>
      <w:r w:rsidR="00347D89">
        <w:rPr>
          <w:noProof/>
        </w:rPr>
        <w:t>11</w:t>
      </w:r>
      <w:r>
        <w:fldChar w:fldCharType="end"/>
      </w:r>
      <w:r w:rsidR="00BE5CDC">
        <w:t xml:space="preserve"> presents the results of the </w:t>
      </w:r>
      <w:r w:rsidR="00386EF9">
        <w:t>unanchored ITC</w:t>
      </w:r>
      <w:r w:rsidR="00BE5CDC">
        <w:t xml:space="preserve"> and unanchored MAICs for</w:t>
      </w:r>
      <w:r w:rsidR="00BE5CDC" w:rsidRPr="00BE42BD">
        <w:t xml:space="preserve"> elranatamab</w:t>
      </w:r>
      <w:r w:rsidR="00BE5CDC">
        <w:t xml:space="preserve"> versus </w:t>
      </w:r>
      <w:r w:rsidR="00702674">
        <w:t>Sd</w:t>
      </w:r>
      <w:r w:rsidR="00BE5CDC">
        <w:t xml:space="preserve">. A Kaplan-Meier plot of overall survival is presented in </w:t>
      </w:r>
      <w:r w:rsidR="003169B2">
        <w:fldChar w:fldCharType="begin" w:fldLock="1"/>
      </w:r>
      <w:r w:rsidR="003169B2">
        <w:instrText xml:space="preserve"> REF _Ref187747364 \h </w:instrText>
      </w:r>
      <w:r w:rsidR="003169B2">
        <w:fldChar w:fldCharType="separate"/>
      </w:r>
      <w:r w:rsidR="00347D89">
        <w:t xml:space="preserve">Figure </w:t>
      </w:r>
      <w:r w:rsidR="00347D89">
        <w:rPr>
          <w:noProof/>
        </w:rPr>
        <w:t>3</w:t>
      </w:r>
      <w:r w:rsidR="003169B2">
        <w:fldChar w:fldCharType="end"/>
      </w:r>
      <w:r w:rsidR="00BE5CDC">
        <w:t>.</w:t>
      </w:r>
    </w:p>
    <w:p w14:paraId="58F01A7F" w14:textId="08A64A6B" w:rsidR="009850A7" w:rsidRPr="00836524" w:rsidRDefault="00A5273B" w:rsidP="00B73FA7">
      <w:pPr>
        <w:pStyle w:val="COMtablefigcaption"/>
        <w:keepLines/>
      </w:pPr>
      <w:bookmarkStart w:id="36" w:name="_Ref187747364"/>
      <w:r>
        <w:t xml:space="preserve">Figure </w:t>
      </w:r>
      <w:r w:rsidR="006B329A">
        <w:fldChar w:fldCharType="begin" w:fldLock="1"/>
      </w:r>
      <w:r w:rsidR="006B329A">
        <w:instrText xml:space="preserve"> SEQ Figure \* ARABIC </w:instrText>
      </w:r>
      <w:r w:rsidR="006B329A">
        <w:fldChar w:fldCharType="separate"/>
      </w:r>
      <w:r w:rsidR="00347D89">
        <w:rPr>
          <w:noProof/>
        </w:rPr>
        <w:t>3</w:t>
      </w:r>
      <w:r w:rsidR="006B329A">
        <w:rPr>
          <w:noProof/>
        </w:rPr>
        <w:fldChar w:fldCharType="end"/>
      </w:r>
      <w:bookmarkEnd w:id="36"/>
      <w:r w:rsidR="009850A7" w:rsidRPr="00471739">
        <w:t xml:space="preserve">: </w:t>
      </w:r>
      <w:r w:rsidR="009850A7">
        <w:t xml:space="preserve">Indirect comparison of overall survival for elranatamab versus </w:t>
      </w:r>
      <w:r w:rsidR="00702674">
        <w:t>Sd</w:t>
      </w:r>
    </w:p>
    <w:p w14:paraId="0E35587A" w14:textId="77777777" w:rsidR="009850A7" w:rsidRDefault="009850A7" w:rsidP="00B73FA7">
      <w:pPr>
        <w:keepNext/>
        <w:keepLines/>
      </w:pPr>
      <w:r>
        <w:rPr>
          <w:noProof/>
        </w:rPr>
        <w:drawing>
          <wp:inline distT="0" distB="0" distL="0" distR="0" wp14:anchorId="2899EDF1" wp14:editId="2C005076">
            <wp:extent cx="5730875" cy="3347085"/>
            <wp:effectExtent l="0" t="0" r="3175" b="5715"/>
            <wp:docPr id="1767690798" name="Picture 4" descr="Figure 3: Indirect comparison of overall survival for elranatamab versus 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690798" name="Picture 4" descr="Figure 3: Indirect comparison of overall survival for elranatamab versus S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0875" cy="3347085"/>
                    </a:xfrm>
                    <a:prstGeom prst="rect">
                      <a:avLst/>
                    </a:prstGeom>
                    <a:noFill/>
                  </pic:spPr>
                </pic:pic>
              </a:graphicData>
            </a:graphic>
          </wp:inline>
        </w:drawing>
      </w:r>
    </w:p>
    <w:p w14:paraId="2F8FE7BC" w14:textId="77777777" w:rsidR="009850A7" w:rsidRDefault="009850A7" w:rsidP="00B73FA7">
      <w:pPr>
        <w:pStyle w:val="COMTablefooter"/>
        <w:keepNext/>
        <w:keepLines/>
      </w:pPr>
      <w:r w:rsidRPr="00471739">
        <w:t>Source:</w:t>
      </w:r>
      <w:r>
        <w:t xml:space="preserve"> Figure 2.28, p216 of the resubmission.</w:t>
      </w:r>
    </w:p>
    <w:p w14:paraId="3EB9DF9A" w14:textId="77777777" w:rsidR="009850A7" w:rsidRDefault="009850A7" w:rsidP="009850A7">
      <w:pPr>
        <w:pStyle w:val="COMTablefooter"/>
      </w:pPr>
      <w:r>
        <w:t>Abbreviations: OS, overall survival.</w:t>
      </w:r>
    </w:p>
    <w:p w14:paraId="1FBC5BD3" w14:textId="08BE5B16" w:rsidR="00BE5CDC" w:rsidRPr="00471739" w:rsidRDefault="00A0323C" w:rsidP="00BE5CDC">
      <w:pPr>
        <w:pStyle w:val="COMtablefigcaption"/>
      </w:pPr>
      <w:bookmarkStart w:id="37" w:name="_Ref187747091"/>
      <w:r w:rsidRPr="006E0FA2">
        <w:t xml:space="preserve">Table </w:t>
      </w:r>
      <w:r w:rsidR="006B329A">
        <w:fldChar w:fldCharType="begin" w:fldLock="1"/>
      </w:r>
      <w:r w:rsidR="006B329A">
        <w:instrText xml:space="preserve"> SEQ Table \* ARABIC </w:instrText>
      </w:r>
      <w:r w:rsidR="006B329A">
        <w:fldChar w:fldCharType="separate"/>
      </w:r>
      <w:r w:rsidR="00347D89">
        <w:rPr>
          <w:noProof/>
        </w:rPr>
        <w:t>11</w:t>
      </w:r>
      <w:r w:rsidR="006B329A">
        <w:rPr>
          <w:noProof/>
        </w:rPr>
        <w:fldChar w:fldCharType="end"/>
      </w:r>
      <w:bookmarkEnd w:id="37"/>
      <w:r w:rsidR="00BE5CDC" w:rsidRPr="00471739">
        <w:t xml:space="preserve">: </w:t>
      </w:r>
      <w:r w:rsidR="00BE5CDC">
        <w:t xml:space="preserve">Results for the unanchored MAIC for elranatamab versus </w:t>
      </w:r>
      <w:r w:rsidR="00702674">
        <w:t>Sd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1: Results for the unanchored MAIC for elranatamab versus Sd"/>
      </w:tblPr>
      <w:tblGrid>
        <w:gridCol w:w="2832"/>
        <w:gridCol w:w="2061"/>
        <w:gridCol w:w="2061"/>
        <w:gridCol w:w="2063"/>
      </w:tblGrid>
      <w:tr w:rsidR="00BE5CDC" w:rsidRPr="00471739" w14:paraId="554E1344" w14:textId="77777777" w:rsidTr="002A3BF4">
        <w:trPr>
          <w:tblHeader/>
        </w:trPr>
        <w:tc>
          <w:tcPr>
            <w:tcW w:w="1570" w:type="pct"/>
            <w:vAlign w:val="center"/>
          </w:tcPr>
          <w:p w14:paraId="181B6A6C" w14:textId="77777777" w:rsidR="00BE5CDC" w:rsidRPr="00471739" w:rsidRDefault="00BE5CDC" w:rsidP="002A3BF4">
            <w:pPr>
              <w:pStyle w:val="COMTableheadingrow"/>
            </w:pPr>
          </w:p>
        </w:tc>
        <w:tc>
          <w:tcPr>
            <w:tcW w:w="1143" w:type="pct"/>
            <w:vAlign w:val="center"/>
          </w:tcPr>
          <w:p w14:paraId="6ECE709F" w14:textId="77777777" w:rsidR="00BE5CDC" w:rsidRPr="00471739" w:rsidRDefault="00BE5CDC" w:rsidP="002A3BF4">
            <w:pPr>
              <w:pStyle w:val="COMTableheadingrow"/>
              <w:jc w:val="center"/>
            </w:pPr>
            <w:r>
              <w:t>ESS</w:t>
            </w:r>
          </w:p>
        </w:tc>
        <w:tc>
          <w:tcPr>
            <w:tcW w:w="1143" w:type="pct"/>
          </w:tcPr>
          <w:p w14:paraId="00C3773B" w14:textId="77777777" w:rsidR="00BE5CDC" w:rsidRDefault="00BE5CDC" w:rsidP="002A3BF4">
            <w:pPr>
              <w:pStyle w:val="COMTableheadingrow"/>
              <w:jc w:val="center"/>
            </w:pPr>
            <w:r>
              <w:t>HR (95% CI)</w:t>
            </w:r>
          </w:p>
        </w:tc>
        <w:tc>
          <w:tcPr>
            <w:tcW w:w="1144" w:type="pct"/>
          </w:tcPr>
          <w:p w14:paraId="65C1C276" w14:textId="77777777" w:rsidR="00BE5CDC" w:rsidRDefault="00BE5CDC" w:rsidP="002A3BF4">
            <w:pPr>
              <w:pStyle w:val="COMTableheadingrow"/>
              <w:jc w:val="center"/>
            </w:pPr>
            <w:r>
              <w:t>p-value</w:t>
            </w:r>
          </w:p>
        </w:tc>
      </w:tr>
      <w:tr w:rsidR="00BE5CDC" w:rsidRPr="00471739" w14:paraId="6B162C76" w14:textId="77777777" w:rsidTr="00BE5CDC">
        <w:trPr>
          <w:trHeight w:val="79"/>
          <w:tblHeader/>
        </w:trPr>
        <w:tc>
          <w:tcPr>
            <w:tcW w:w="5000" w:type="pct"/>
            <w:gridSpan w:val="4"/>
          </w:tcPr>
          <w:p w14:paraId="73F72367" w14:textId="0C1B4681" w:rsidR="00BE5CDC" w:rsidRPr="00BE5CDC" w:rsidRDefault="00BE5CDC" w:rsidP="00BE5CDC">
            <w:pPr>
              <w:pStyle w:val="COMTabletext"/>
              <w:rPr>
                <w:b/>
                <w:bCs w:val="0"/>
              </w:rPr>
            </w:pPr>
            <w:r>
              <w:rPr>
                <w:b/>
                <w:bCs w:val="0"/>
              </w:rPr>
              <w:t>Progression-free survival</w:t>
            </w:r>
          </w:p>
        </w:tc>
      </w:tr>
      <w:tr w:rsidR="00BE5CDC" w:rsidRPr="00471739" w14:paraId="62FFDC6D" w14:textId="77777777" w:rsidTr="002A3BF4">
        <w:trPr>
          <w:trHeight w:val="79"/>
          <w:tblHeader/>
        </w:trPr>
        <w:tc>
          <w:tcPr>
            <w:tcW w:w="1570" w:type="pct"/>
          </w:tcPr>
          <w:p w14:paraId="2F45FA4F" w14:textId="38AA3269" w:rsidR="00BE5CDC" w:rsidRPr="00974983" w:rsidRDefault="00386EF9" w:rsidP="002A3BF4">
            <w:pPr>
              <w:pStyle w:val="COMTableheadingrow"/>
              <w:rPr>
                <w:b w:val="0"/>
                <w:bCs/>
              </w:rPr>
            </w:pPr>
            <w:r>
              <w:rPr>
                <w:b w:val="0"/>
                <w:bCs/>
              </w:rPr>
              <w:t>Unanchored ITC</w:t>
            </w:r>
          </w:p>
        </w:tc>
        <w:tc>
          <w:tcPr>
            <w:tcW w:w="1143" w:type="pct"/>
          </w:tcPr>
          <w:p w14:paraId="2AA0840A" w14:textId="77777777" w:rsidR="00BE5CDC" w:rsidRPr="003077DD" w:rsidRDefault="00BE5CDC" w:rsidP="002A3BF4">
            <w:pPr>
              <w:pStyle w:val="COMTableheadingrow"/>
              <w:jc w:val="center"/>
              <w:rPr>
                <w:b w:val="0"/>
                <w:bCs/>
              </w:rPr>
            </w:pPr>
            <w:r w:rsidRPr="003077DD">
              <w:rPr>
                <w:b w:val="0"/>
                <w:bCs/>
              </w:rPr>
              <w:t>123</w:t>
            </w:r>
          </w:p>
        </w:tc>
        <w:tc>
          <w:tcPr>
            <w:tcW w:w="1143" w:type="pct"/>
          </w:tcPr>
          <w:p w14:paraId="6AF63737" w14:textId="77777777" w:rsidR="00BE5CDC" w:rsidRPr="00DF53E3" w:rsidRDefault="00BE5CDC" w:rsidP="002A3BF4">
            <w:pPr>
              <w:pStyle w:val="COMTabletext"/>
              <w:jc w:val="center"/>
            </w:pPr>
            <w:r w:rsidRPr="002C5E3B">
              <w:t>0.481 (0.309, 0.749)</w:t>
            </w:r>
          </w:p>
        </w:tc>
        <w:tc>
          <w:tcPr>
            <w:tcW w:w="1144" w:type="pct"/>
          </w:tcPr>
          <w:p w14:paraId="02B1330B" w14:textId="77777777" w:rsidR="00BE5CDC" w:rsidRPr="00DF53E3" w:rsidRDefault="00BE5CDC" w:rsidP="002A3BF4">
            <w:pPr>
              <w:pStyle w:val="COMTabletext"/>
              <w:jc w:val="center"/>
            </w:pPr>
            <w:r w:rsidRPr="002C5E3B">
              <w:t>0.001</w:t>
            </w:r>
          </w:p>
        </w:tc>
      </w:tr>
      <w:tr w:rsidR="00BE5CDC" w:rsidRPr="00471739" w14:paraId="6747B253" w14:textId="77777777" w:rsidTr="002A3BF4">
        <w:trPr>
          <w:trHeight w:val="79"/>
          <w:tblHeader/>
        </w:trPr>
        <w:tc>
          <w:tcPr>
            <w:tcW w:w="1570" w:type="pct"/>
          </w:tcPr>
          <w:p w14:paraId="0CB81A9E" w14:textId="77777777" w:rsidR="00BE5CDC" w:rsidRPr="00974983" w:rsidRDefault="00BE5CDC" w:rsidP="002A3BF4">
            <w:pPr>
              <w:pStyle w:val="COMTableheadingrow"/>
              <w:tabs>
                <w:tab w:val="left" w:pos="2076"/>
              </w:tabs>
              <w:rPr>
                <w:b w:val="0"/>
                <w:bCs/>
              </w:rPr>
            </w:pPr>
            <w:r>
              <w:rPr>
                <w:b w:val="0"/>
                <w:bCs/>
              </w:rPr>
              <w:t xml:space="preserve">Unanchored MAIC </w:t>
            </w:r>
          </w:p>
        </w:tc>
        <w:tc>
          <w:tcPr>
            <w:tcW w:w="1143" w:type="pct"/>
          </w:tcPr>
          <w:p w14:paraId="0DE1E1CA" w14:textId="77777777" w:rsidR="00BE5CDC" w:rsidRPr="003077DD" w:rsidRDefault="00BE5CDC" w:rsidP="002A3BF4">
            <w:pPr>
              <w:pStyle w:val="COMTableheadingrow"/>
              <w:jc w:val="center"/>
              <w:rPr>
                <w:b w:val="0"/>
                <w:bCs/>
              </w:rPr>
            </w:pPr>
            <w:r w:rsidRPr="003077DD">
              <w:rPr>
                <w:b w:val="0"/>
                <w:bCs/>
              </w:rPr>
              <w:t>47</w:t>
            </w:r>
          </w:p>
        </w:tc>
        <w:tc>
          <w:tcPr>
            <w:tcW w:w="1143" w:type="pct"/>
          </w:tcPr>
          <w:p w14:paraId="2D9FB350" w14:textId="77777777" w:rsidR="00BE5CDC" w:rsidRPr="00DF53E3" w:rsidRDefault="00BE5CDC" w:rsidP="002A3BF4">
            <w:pPr>
              <w:pStyle w:val="COMTabletext"/>
              <w:jc w:val="center"/>
            </w:pPr>
            <w:r w:rsidRPr="002C5E3B">
              <w:t>0.442 (0.238, 0.818)</w:t>
            </w:r>
          </w:p>
        </w:tc>
        <w:tc>
          <w:tcPr>
            <w:tcW w:w="1144" w:type="pct"/>
          </w:tcPr>
          <w:p w14:paraId="62AECEFD" w14:textId="77777777" w:rsidR="00BE5CDC" w:rsidRPr="00DF53E3" w:rsidRDefault="00BE5CDC" w:rsidP="002A3BF4">
            <w:pPr>
              <w:pStyle w:val="COMTabletext"/>
              <w:jc w:val="center"/>
            </w:pPr>
            <w:r w:rsidRPr="002C5E3B">
              <w:t>0.009</w:t>
            </w:r>
          </w:p>
        </w:tc>
      </w:tr>
      <w:tr w:rsidR="00BE5CDC" w:rsidRPr="00471739" w14:paraId="56C34985" w14:textId="77777777" w:rsidTr="00BE5CDC">
        <w:trPr>
          <w:trHeight w:val="79"/>
          <w:tblHeader/>
        </w:trPr>
        <w:tc>
          <w:tcPr>
            <w:tcW w:w="5000" w:type="pct"/>
            <w:gridSpan w:val="4"/>
          </w:tcPr>
          <w:p w14:paraId="6438167B" w14:textId="45CC47A8" w:rsidR="00BE5CDC" w:rsidRPr="00BE5CDC" w:rsidRDefault="00BE5CDC" w:rsidP="00BE5CDC">
            <w:pPr>
              <w:pStyle w:val="COMTabletext"/>
              <w:rPr>
                <w:b/>
                <w:bCs w:val="0"/>
              </w:rPr>
            </w:pPr>
            <w:r>
              <w:rPr>
                <w:b/>
                <w:bCs w:val="0"/>
              </w:rPr>
              <w:t>Overall survival</w:t>
            </w:r>
          </w:p>
        </w:tc>
      </w:tr>
      <w:tr w:rsidR="00BE5CDC" w:rsidRPr="00471739" w14:paraId="59F1471F" w14:textId="77777777" w:rsidTr="002A3BF4">
        <w:trPr>
          <w:trHeight w:val="79"/>
          <w:tblHeader/>
        </w:trPr>
        <w:tc>
          <w:tcPr>
            <w:tcW w:w="1570" w:type="pct"/>
          </w:tcPr>
          <w:p w14:paraId="5CFD1B51" w14:textId="745CC96C" w:rsidR="00BE5CDC" w:rsidRDefault="00386EF9" w:rsidP="00BE5CDC">
            <w:pPr>
              <w:pStyle w:val="COMTableheadingrow"/>
              <w:tabs>
                <w:tab w:val="left" w:pos="2076"/>
              </w:tabs>
              <w:rPr>
                <w:b w:val="0"/>
                <w:bCs/>
              </w:rPr>
            </w:pPr>
            <w:r>
              <w:rPr>
                <w:b w:val="0"/>
                <w:bCs/>
              </w:rPr>
              <w:t>Unanchored ITC</w:t>
            </w:r>
            <w:r w:rsidR="00BE5CDC" w:rsidRPr="00974983">
              <w:rPr>
                <w:b w:val="0"/>
                <w:bCs/>
              </w:rPr>
              <w:t xml:space="preserve"> </w:t>
            </w:r>
          </w:p>
        </w:tc>
        <w:tc>
          <w:tcPr>
            <w:tcW w:w="1143" w:type="pct"/>
          </w:tcPr>
          <w:p w14:paraId="750DD182" w14:textId="70EB34EE" w:rsidR="00BE5CDC" w:rsidRPr="003077DD" w:rsidRDefault="00BE5CDC" w:rsidP="00BE5CDC">
            <w:pPr>
              <w:pStyle w:val="COMTableheadingrow"/>
              <w:jc w:val="center"/>
              <w:rPr>
                <w:b w:val="0"/>
                <w:bCs/>
              </w:rPr>
            </w:pPr>
            <w:r w:rsidRPr="003077DD">
              <w:rPr>
                <w:b w:val="0"/>
                <w:bCs/>
              </w:rPr>
              <w:t>123</w:t>
            </w:r>
          </w:p>
        </w:tc>
        <w:tc>
          <w:tcPr>
            <w:tcW w:w="1143" w:type="pct"/>
          </w:tcPr>
          <w:p w14:paraId="2E2B5553" w14:textId="0A5A7D6F" w:rsidR="00BE5CDC" w:rsidRPr="002C5E3B" w:rsidRDefault="00BE5CDC" w:rsidP="00BE5CDC">
            <w:pPr>
              <w:pStyle w:val="COMTabletext"/>
              <w:jc w:val="center"/>
            </w:pPr>
            <w:r w:rsidRPr="00662316">
              <w:t>0.491 (0.337, 0.716)</w:t>
            </w:r>
          </w:p>
        </w:tc>
        <w:tc>
          <w:tcPr>
            <w:tcW w:w="1144" w:type="pct"/>
          </w:tcPr>
          <w:p w14:paraId="4F75169C" w14:textId="4C8ABF40" w:rsidR="00BE5CDC" w:rsidRPr="002C5E3B" w:rsidRDefault="00BE5CDC" w:rsidP="00BE5CDC">
            <w:pPr>
              <w:pStyle w:val="COMTabletext"/>
              <w:jc w:val="center"/>
            </w:pPr>
            <w:r w:rsidRPr="00662316">
              <w:t>≤0.001</w:t>
            </w:r>
          </w:p>
        </w:tc>
      </w:tr>
      <w:tr w:rsidR="00BE5CDC" w:rsidRPr="00471739" w14:paraId="1DC55538" w14:textId="77777777" w:rsidTr="002A3BF4">
        <w:trPr>
          <w:trHeight w:val="79"/>
          <w:tblHeader/>
        </w:trPr>
        <w:tc>
          <w:tcPr>
            <w:tcW w:w="1570" w:type="pct"/>
          </w:tcPr>
          <w:p w14:paraId="191C710A" w14:textId="01D7CF5F" w:rsidR="00BE5CDC" w:rsidRDefault="00BE5CDC" w:rsidP="00BE5CDC">
            <w:pPr>
              <w:pStyle w:val="COMTableheadingrow"/>
              <w:tabs>
                <w:tab w:val="left" w:pos="2076"/>
              </w:tabs>
              <w:rPr>
                <w:b w:val="0"/>
                <w:bCs/>
              </w:rPr>
            </w:pPr>
            <w:r>
              <w:rPr>
                <w:b w:val="0"/>
                <w:bCs/>
              </w:rPr>
              <w:t xml:space="preserve">Unanchored MAIC </w:t>
            </w:r>
          </w:p>
        </w:tc>
        <w:tc>
          <w:tcPr>
            <w:tcW w:w="1143" w:type="pct"/>
          </w:tcPr>
          <w:p w14:paraId="73295B28" w14:textId="4F3B302D" w:rsidR="00BE5CDC" w:rsidRPr="003077DD" w:rsidRDefault="00BE5CDC" w:rsidP="00BE5CDC">
            <w:pPr>
              <w:pStyle w:val="COMTableheadingrow"/>
              <w:jc w:val="center"/>
              <w:rPr>
                <w:b w:val="0"/>
                <w:bCs/>
              </w:rPr>
            </w:pPr>
            <w:r w:rsidRPr="003077DD">
              <w:rPr>
                <w:b w:val="0"/>
                <w:bCs/>
              </w:rPr>
              <w:t>47</w:t>
            </w:r>
          </w:p>
        </w:tc>
        <w:tc>
          <w:tcPr>
            <w:tcW w:w="1143" w:type="pct"/>
          </w:tcPr>
          <w:p w14:paraId="149AF529" w14:textId="2CB3FED3" w:rsidR="00BE5CDC" w:rsidRPr="002C5E3B" w:rsidRDefault="00BE5CDC" w:rsidP="00BE5CDC">
            <w:pPr>
              <w:pStyle w:val="COMTabletext"/>
              <w:jc w:val="center"/>
            </w:pPr>
            <w:r w:rsidRPr="00662316">
              <w:t>0.563 (0.348, 0.912)</w:t>
            </w:r>
          </w:p>
        </w:tc>
        <w:tc>
          <w:tcPr>
            <w:tcW w:w="1144" w:type="pct"/>
          </w:tcPr>
          <w:p w14:paraId="17BBE177" w14:textId="1043B248" w:rsidR="00BE5CDC" w:rsidRPr="002C5E3B" w:rsidRDefault="00BE5CDC" w:rsidP="00BE5CDC">
            <w:pPr>
              <w:pStyle w:val="COMTabletext"/>
              <w:jc w:val="center"/>
            </w:pPr>
            <w:r w:rsidRPr="00662316">
              <w:t>0.020</w:t>
            </w:r>
          </w:p>
        </w:tc>
      </w:tr>
    </w:tbl>
    <w:p w14:paraId="44910201" w14:textId="0B832B3C" w:rsidR="00BE5CDC" w:rsidRDefault="00BE5CDC" w:rsidP="00BE5CDC">
      <w:pPr>
        <w:pStyle w:val="COMTablefooter"/>
      </w:pPr>
      <w:r w:rsidRPr="00471739">
        <w:t>Source:</w:t>
      </w:r>
      <w:r>
        <w:t xml:space="preserve"> Table 2.69, p212</w:t>
      </w:r>
      <w:r w:rsidR="009850A7">
        <w:t xml:space="preserve">; Table 2.75, p216 </w:t>
      </w:r>
      <w:r>
        <w:t>of the resubmission.</w:t>
      </w:r>
    </w:p>
    <w:p w14:paraId="0A06B0C4" w14:textId="4D9FF15D" w:rsidR="00BE5CDC" w:rsidRDefault="00BE5CDC" w:rsidP="00BE5CDC">
      <w:pPr>
        <w:pStyle w:val="COMTablefooter"/>
      </w:pPr>
      <w:r>
        <w:t xml:space="preserve">Abbreviations: CI, confidence interval; ESS, effective sample size; HR, hazard ratio; </w:t>
      </w:r>
      <w:r w:rsidR="00386EF9">
        <w:t xml:space="preserve">ITC, indirect treatment comparison; </w:t>
      </w:r>
      <w:r>
        <w:t>MAIC, matching adjusted indirect comparison</w:t>
      </w:r>
      <w:r w:rsidR="00702674">
        <w:t>; Sd, selinexor + dexamethasone.</w:t>
      </w:r>
    </w:p>
    <w:p w14:paraId="3F2F3F0D" w14:textId="26A827ED" w:rsidR="00A60085" w:rsidRDefault="00A60085" w:rsidP="00A60085">
      <w:pPr>
        <w:pStyle w:val="COMexecsummnumbered"/>
      </w:pPr>
      <w:r>
        <w:t xml:space="preserve">Based on the </w:t>
      </w:r>
      <w:r w:rsidR="00386EF9">
        <w:t>unanchored ITC</w:t>
      </w:r>
      <w:r>
        <w:t xml:space="preserve"> of progression-free survival, the hazard ratio favoured elranatamab, and the difference was nominally statistically significant. The results of the unanchored MAIC also favoured elranatamab, and the difference was nominally statistically significant.</w:t>
      </w:r>
    </w:p>
    <w:p w14:paraId="46CEF169" w14:textId="1C1073F6" w:rsidR="00BE5CDC" w:rsidRDefault="00BE5CDC" w:rsidP="009850A7">
      <w:pPr>
        <w:pStyle w:val="COMexecsummnumbered"/>
      </w:pPr>
      <w:r>
        <w:t xml:space="preserve">Based on the </w:t>
      </w:r>
      <w:r w:rsidR="00386EF9">
        <w:t>unanchored ITC</w:t>
      </w:r>
      <w:r>
        <w:t xml:space="preserve"> of overall survival, the hazard ratio favoured elranatamab, and the difference was nominally statistically significant. The results of the unanchored MAIC also favoured elranatamab, and the difference was nominally statistically significant.</w:t>
      </w:r>
    </w:p>
    <w:p w14:paraId="620F6FBC" w14:textId="35B37893" w:rsidR="00BE5CDC" w:rsidRPr="0035502F" w:rsidRDefault="00BE5CDC" w:rsidP="009850A7">
      <w:pPr>
        <w:pStyle w:val="COMexecsummnumbered"/>
      </w:pPr>
      <w:bookmarkStart w:id="38" w:name="_Ref193352017"/>
      <w:r w:rsidRPr="0035502F">
        <w:lastRenderedPageBreak/>
        <w:t xml:space="preserve">Overall, the results of the indirect comparisons were suggestive of superiority for elranatamab compared to </w:t>
      </w:r>
      <w:r w:rsidR="00702674" w:rsidRPr="0035502F">
        <w:t>Sd</w:t>
      </w:r>
      <w:r w:rsidRPr="0035502F">
        <w:t>, however, the results should be interpreted with caution due to the following reasons:</w:t>
      </w:r>
      <w:bookmarkEnd w:id="38"/>
    </w:p>
    <w:p w14:paraId="053E692D" w14:textId="08244343" w:rsidR="00BE5CDC" w:rsidRPr="0035502F" w:rsidRDefault="008C5A0C" w:rsidP="00CF3967">
      <w:pPr>
        <w:pStyle w:val="COMexecsummbulletlist"/>
        <w:ind w:hanging="357"/>
      </w:pPr>
      <w:r>
        <w:t>t</w:t>
      </w:r>
      <w:r w:rsidRPr="0035502F">
        <w:t xml:space="preserve">he </w:t>
      </w:r>
      <w:r w:rsidR="00BE5CDC" w:rsidRPr="0035502F">
        <w:t xml:space="preserve">effective sample size after matching was relatively </w:t>
      </w:r>
      <w:proofErr w:type="gramStart"/>
      <w:r w:rsidR="00BE5CDC" w:rsidRPr="0035502F">
        <w:t>small</w:t>
      </w:r>
      <w:r>
        <w:t>;</w:t>
      </w:r>
      <w:proofErr w:type="gramEnd"/>
    </w:p>
    <w:p w14:paraId="465589B6" w14:textId="789A9109" w:rsidR="00BE5CDC" w:rsidRPr="0035502F" w:rsidRDefault="008C5A0C" w:rsidP="00CF3967">
      <w:pPr>
        <w:pStyle w:val="COMexecsummbulletlist"/>
        <w:ind w:hanging="357"/>
      </w:pPr>
      <w:r>
        <w:t>d</w:t>
      </w:r>
      <w:r w:rsidR="00BE5CDC" w:rsidRPr="0035502F">
        <w:t xml:space="preserve">ifferences in eligibility criteria between the </w:t>
      </w:r>
      <w:proofErr w:type="gramStart"/>
      <w:r w:rsidR="00BE5CDC" w:rsidRPr="0035502F">
        <w:t>studies</w:t>
      </w:r>
      <w:r>
        <w:t>;</w:t>
      </w:r>
      <w:proofErr w:type="gramEnd"/>
    </w:p>
    <w:p w14:paraId="5A90E4F4" w14:textId="0CFCECD4" w:rsidR="00BE5CDC" w:rsidRPr="0035502F" w:rsidRDefault="008C5A0C" w:rsidP="00CF3967">
      <w:pPr>
        <w:pStyle w:val="COMexecsummbulletlist"/>
        <w:ind w:hanging="357"/>
      </w:pPr>
      <w:r>
        <w:t>p</w:t>
      </w:r>
      <w:r w:rsidR="00BE5CDC" w:rsidRPr="0035502F">
        <w:t>otential differences in the multiple myeloma treatments used, including prior therapies, and therapies used in the post-progression setting</w:t>
      </w:r>
      <w:r>
        <w:t>; and</w:t>
      </w:r>
    </w:p>
    <w:p w14:paraId="03AC5CAE" w14:textId="5E164426" w:rsidR="00BE5CDC" w:rsidRPr="0035502F" w:rsidRDefault="008C5A0C" w:rsidP="00CF3967">
      <w:pPr>
        <w:pStyle w:val="COMexecsummbulletlist"/>
      </w:pPr>
      <w:r>
        <w:t>i</w:t>
      </w:r>
      <w:r w:rsidR="00BE5CDC" w:rsidRPr="0035502F">
        <w:t>t was unclear whether all relevant prognostic and treatment effect modifier variables were matched in the unanchored MAICs.</w:t>
      </w:r>
    </w:p>
    <w:p w14:paraId="1452C351" w14:textId="0D19F1B0" w:rsidR="00B60939" w:rsidRPr="006E0FA2" w:rsidRDefault="00B60939" w:rsidP="003D5DE7">
      <w:pPr>
        <w:pStyle w:val="COMH2-non-numbered"/>
      </w:pPr>
      <w:bookmarkStart w:id="39" w:name="_Toc22897642"/>
      <w:bookmarkStart w:id="40" w:name="_Toc188287177"/>
      <w:r w:rsidRPr="006E0FA2">
        <w:t>Comparative harms</w:t>
      </w:r>
      <w:bookmarkEnd w:id="39"/>
      <w:bookmarkEnd w:id="40"/>
    </w:p>
    <w:p w14:paraId="4E910D63" w14:textId="1669B0C1" w:rsidR="007B53F1" w:rsidRPr="007B53F1" w:rsidRDefault="007B53F1" w:rsidP="007B53F1">
      <w:pPr>
        <w:pStyle w:val="COMexecsummnumbered"/>
        <w:rPr>
          <w:i/>
          <w:iCs/>
        </w:rPr>
      </w:pPr>
      <w:r w:rsidRPr="0035502F">
        <w:t>Compared to the July 2024 submission, the resubmission presented updated adverse event results based on a median follow-up of 28.4 months for Cohort A and 27.7</w:t>
      </w:r>
      <w:r w:rsidR="00CF3967">
        <w:t> </w:t>
      </w:r>
      <w:r w:rsidRPr="0035502F">
        <w:t>months for Cohort B</w:t>
      </w:r>
      <w:r w:rsidRPr="007B53F1">
        <w:rPr>
          <w:i/>
          <w:iCs/>
        </w:rPr>
        <w:t>.</w:t>
      </w:r>
    </w:p>
    <w:p w14:paraId="09C7777A" w14:textId="1612C945" w:rsidR="007B53F1" w:rsidRDefault="00A5273B" w:rsidP="007B53F1">
      <w:pPr>
        <w:pStyle w:val="COMexecsummnumbered"/>
      </w:pPr>
      <w:r>
        <w:fldChar w:fldCharType="begin" w:fldLock="1"/>
      </w:r>
      <w:r>
        <w:instrText xml:space="preserve"> REF _Ref187747099 \h </w:instrText>
      </w:r>
      <w:r>
        <w:fldChar w:fldCharType="separate"/>
      </w:r>
      <w:r w:rsidR="00347D89" w:rsidRPr="006E0FA2">
        <w:t xml:space="preserve">Table </w:t>
      </w:r>
      <w:r w:rsidR="00347D89">
        <w:rPr>
          <w:noProof/>
        </w:rPr>
        <w:t>12</w:t>
      </w:r>
      <w:r>
        <w:fldChar w:fldCharType="end"/>
      </w:r>
      <w:r w:rsidR="007B53F1">
        <w:t xml:space="preserve"> presents a summary of adverse events among patients in the MagnetisMM-3 study, based on the March 2024 data cut.</w:t>
      </w:r>
    </w:p>
    <w:p w14:paraId="48E3B93F" w14:textId="408C8018" w:rsidR="007B53F1" w:rsidRPr="00471739" w:rsidRDefault="00A0323C" w:rsidP="00166B10">
      <w:pPr>
        <w:pStyle w:val="COMtablefigcaption"/>
        <w:keepLines/>
      </w:pPr>
      <w:bookmarkStart w:id="41" w:name="_Ref187747099"/>
      <w:r w:rsidRPr="006E0FA2">
        <w:lastRenderedPageBreak/>
        <w:t xml:space="preserve">Table </w:t>
      </w:r>
      <w:r w:rsidR="006B329A">
        <w:fldChar w:fldCharType="begin" w:fldLock="1"/>
      </w:r>
      <w:r w:rsidR="006B329A">
        <w:instrText xml:space="preserve"> SEQ Table \* ARABIC </w:instrText>
      </w:r>
      <w:r w:rsidR="006B329A">
        <w:fldChar w:fldCharType="separate"/>
      </w:r>
      <w:r w:rsidR="00347D89">
        <w:rPr>
          <w:noProof/>
        </w:rPr>
        <w:t>12</w:t>
      </w:r>
      <w:r w:rsidR="006B329A">
        <w:rPr>
          <w:noProof/>
        </w:rPr>
        <w:fldChar w:fldCharType="end"/>
      </w:r>
      <w:bookmarkEnd w:id="41"/>
      <w:r w:rsidR="007B53F1" w:rsidRPr="00471739">
        <w:t xml:space="preserve">: Summary of </w:t>
      </w:r>
      <w:r w:rsidR="007B53F1">
        <w:t>adverse events in the MagnetisMM-3 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Caption w:val="Table 12: Summary of adverse events in the MagnetisMM-3 study"/>
      </w:tblPr>
      <w:tblGrid>
        <w:gridCol w:w="4248"/>
        <w:gridCol w:w="1589"/>
        <w:gridCol w:w="1591"/>
        <w:gridCol w:w="1589"/>
      </w:tblGrid>
      <w:tr w:rsidR="007B53F1" w:rsidRPr="00471739" w14:paraId="27F9AD68" w14:textId="77777777" w:rsidTr="00032C04">
        <w:trPr>
          <w:trHeight w:val="50"/>
        </w:trPr>
        <w:tc>
          <w:tcPr>
            <w:tcW w:w="2356" w:type="pct"/>
            <w:vAlign w:val="center"/>
          </w:tcPr>
          <w:p w14:paraId="63467BD4" w14:textId="77777777" w:rsidR="007B53F1" w:rsidRDefault="007B53F1" w:rsidP="00166B10">
            <w:pPr>
              <w:pStyle w:val="COMTabletext"/>
              <w:keepLines/>
            </w:pPr>
          </w:p>
        </w:tc>
        <w:tc>
          <w:tcPr>
            <w:tcW w:w="881" w:type="pct"/>
          </w:tcPr>
          <w:p w14:paraId="22095AF8" w14:textId="77777777" w:rsidR="007B53F1" w:rsidRDefault="007B53F1" w:rsidP="00166B10">
            <w:pPr>
              <w:pStyle w:val="COMTabletext"/>
              <w:keepLines/>
              <w:jc w:val="center"/>
              <w:rPr>
                <w:b/>
                <w:bCs w:val="0"/>
              </w:rPr>
            </w:pPr>
            <w:r w:rsidRPr="000A63CF">
              <w:rPr>
                <w:b/>
                <w:bCs w:val="0"/>
              </w:rPr>
              <w:t>Cohort A</w:t>
            </w:r>
          </w:p>
          <w:p w14:paraId="5BF3A599" w14:textId="77777777" w:rsidR="007B53F1" w:rsidRPr="000A63CF" w:rsidRDefault="007B53F1" w:rsidP="00166B10">
            <w:pPr>
              <w:pStyle w:val="COMTabletext"/>
              <w:keepLines/>
              <w:jc w:val="center"/>
              <w:rPr>
                <w:b/>
                <w:bCs w:val="0"/>
              </w:rPr>
            </w:pPr>
            <w:r>
              <w:rPr>
                <w:b/>
                <w:bCs w:val="0"/>
              </w:rPr>
              <w:t>N=123</w:t>
            </w:r>
          </w:p>
        </w:tc>
        <w:tc>
          <w:tcPr>
            <w:tcW w:w="882" w:type="pct"/>
            <w:vAlign w:val="center"/>
          </w:tcPr>
          <w:p w14:paraId="2D24BFB1" w14:textId="77777777" w:rsidR="007B53F1" w:rsidRPr="000A63CF" w:rsidRDefault="007B53F1" w:rsidP="00166B10">
            <w:pPr>
              <w:pStyle w:val="COMTabletext"/>
              <w:keepLines/>
              <w:jc w:val="center"/>
              <w:rPr>
                <w:b/>
                <w:bCs w:val="0"/>
              </w:rPr>
            </w:pPr>
            <w:r w:rsidRPr="000A63CF">
              <w:rPr>
                <w:b/>
                <w:bCs w:val="0"/>
              </w:rPr>
              <w:t>Cohort B</w:t>
            </w:r>
          </w:p>
          <w:p w14:paraId="75DAAC5C" w14:textId="77777777" w:rsidR="007B53F1" w:rsidRPr="000A63CF" w:rsidRDefault="007B53F1" w:rsidP="00166B10">
            <w:pPr>
              <w:pStyle w:val="COMTabletext"/>
              <w:keepLines/>
              <w:jc w:val="center"/>
              <w:rPr>
                <w:b/>
                <w:bCs w:val="0"/>
              </w:rPr>
            </w:pPr>
            <w:r w:rsidRPr="000A63CF">
              <w:rPr>
                <w:b/>
                <w:bCs w:val="0"/>
              </w:rPr>
              <w:t>N=64</w:t>
            </w:r>
          </w:p>
        </w:tc>
        <w:tc>
          <w:tcPr>
            <w:tcW w:w="881" w:type="pct"/>
          </w:tcPr>
          <w:p w14:paraId="61133510" w14:textId="77777777" w:rsidR="007B53F1" w:rsidRDefault="007B53F1" w:rsidP="00166B10">
            <w:pPr>
              <w:pStyle w:val="COMTabletext"/>
              <w:keepLines/>
              <w:jc w:val="center"/>
              <w:rPr>
                <w:b/>
                <w:bCs w:val="0"/>
              </w:rPr>
            </w:pPr>
            <w:r>
              <w:rPr>
                <w:b/>
                <w:bCs w:val="0"/>
              </w:rPr>
              <w:t>Total</w:t>
            </w:r>
          </w:p>
          <w:p w14:paraId="38E79987" w14:textId="77777777" w:rsidR="007B53F1" w:rsidRPr="000A63CF" w:rsidRDefault="007B53F1" w:rsidP="00166B10">
            <w:pPr>
              <w:pStyle w:val="COMTabletext"/>
              <w:keepLines/>
              <w:jc w:val="center"/>
              <w:rPr>
                <w:b/>
                <w:bCs w:val="0"/>
              </w:rPr>
            </w:pPr>
            <w:r>
              <w:rPr>
                <w:b/>
                <w:bCs w:val="0"/>
              </w:rPr>
              <w:t>N=187</w:t>
            </w:r>
          </w:p>
        </w:tc>
      </w:tr>
      <w:tr w:rsidR="001524B6" w:rsidRPr="00471739" w14:paraId="5CA55BB4" w14:textId="77777777">
        <w:trPr>
          <w:trHeight w:val="50"/>
        </w:trPr>
        <w:tc>
          <w:tcPr>
            <w:tcW w:w="2356" w:type="pct"/>
          </w:tcPr>
          <w:p w14:paraId="307E2EB2" w14:textId="7BBCF2F3" w:rsidR="001524B6" w:rsidRDefault="001524B6" w:rsidP="00166B10">
            <w:pPr>
              <w:pStyle w:val="COMTabletext"/>
              <w:keepLines/>
            </w:pPr>
            <w:r>
              <w:t>Median duration of follow-up, months (95% CI)</w:t>
            </w:r>
          </w:p>
        </w:tc>
        <w:tc>
          <w:tcPr>
            <w:tcW w:w="881" w:type="pct"/>
          </w:tcPr>
          <w:p w14:paraId="73D23A2D" w14:textId="37FA6C90" w:rsidR="001524B6" w:rsidRPr="00A64EA3" w:rsidRDefault="001524B6" w:rsidP="00166B10">
            <w:pPr>
              <w:pStyle w:val="COMTabletext"/>
              <w:keepLines/>
              <w:jc w:val="center"/>
            </w:pPr>
            <w:r w:rsidRPr="00902AEC">
              <w:t>28.4 (28.0, 29.0)</w:t>
            </w:r>
          </w:p>
        </w:tc>
        <w:tc>
          <w:tcPr>
            <w:tcW w:w="882" w:type="pct"/>
          </w:tcPr>
          <w:p w14:paraId="630ED68B" w14:textId="79C268AD" w:rsidR="001524B6" w:rsidRDefault="001524B6" w:rsidP="00166B10">
            <w:pPr>
              <w:pStyle w:val="COMTabletext"/>
              <w:keepLines/>
              <w:jc w:val="center"/>
            </w:pPr>
            <w:r w:rsidRPr="00902AEC">
              <w:t>27.7 (27.2, 28.4)</w:t>
            </w:r>
          </w:p>
        </w:tc>
        <w:tc>
          <w:tcPr>
            <w:tcW w:w="881" w:type="pct"/>
          </w:tcPr>
          <w:p w14:paraId="4B49789F" w14:textId="77777777" w:rsidR="001524B6" w:rsidRDefault="001524B6" w:rsidP="00166B10">
            <w:pPr>
              <w:pStyle w:val="COMTabletext"/>
              <w:keepLines/>
              <w:jc w:val="center"/>
            </w:pPr>
            <w:r>
              <w:t>NR</w:t>
            </w:r>
          </w:p>
        </w:tc>
      </w:tr>
      <w:tr w:rsidR="007B53F1" w:rsidRPr="00471739" w14:paraId="598B611E" w14:textId="77777777" w:rsidTr="00032C04">
        <w:trPr>
          <w:trHeight w:val="50"/>
        </w:trPr>
        <w:tc>
          <w:tcPr>
            <w:tcW w:w="2356" w:type="pct"/>
            <w:vAlign w:val="center"/>
          </w:tcPr>
          <w:p w14:paraId="4EBBF077" w14:textId="77777777" w:rsidR="007B53F1" w:rsidRDefault="007B53F1" w:rsidP="00166B10">
            <w:pPr>
              <w:pStyle w:val="COMTabletext"/>
              <w:keepLines/>
            </w:pPr>
            <w:r>
              <w:t>Number of events, n</w:t>
            </w:r>
          </w:p>
          <w:p w14:paraId="1B04EA89" w14:textId="77777777" w:rsidR="007B53F1" w:rsidRDefault="007B53F1" w:rsidP="00166B10">
            <w:pPr>
              <w:pStyle w:val="COMTabletext"/>
              <w:keepLines/>
            </w:pPr>
            <w:r>
              <w:t>- Treatment related</w:t>
            </w:r>
          </w:p>
        </w:tc>
        <w:tc>
          <w:tcPr>
            <w:tcW w:w="881" w:type="pct"/>
          </w:tcPr>
          <w:p w14:paraId="26A6536D" w14:textId="77777777" w:rsidR="007B53F1" w:rsidRDefault="007B53F1" w:rsidP="00166B10">
            <w:pPr>
              <w:pStyle w:val="COMTabletext"/>
              <w:keepLines/>
              <w:jc w:val="center"/>
            </w:pPr>
            <w:r w:rsidRPr="00D774B5">
              <w:t xml:space="preserve">2275 </w:t>
            </w:r>
          </w:p>
          <w:p w14:paraId="55DB4547" w14:textId="77777777" w:rsidR="007B53F1" w:rsidRPr="00AE0ACA" w:rsidRDefault="007B53F1" w:rsidP="00166B10">
            <w:pPr>
              <w:pStyle w:val="COMTabletext"/>
              <w:keepLines/>
              <w:jc w:val="center"/>
            </w:pPr>
            <w:r w:rsidRPr="00A066C5">
              <w:t>959</w:t>
            </w:r>
          </w:p>
        </w:tc>
        <w:tc>
          <w:tcPr>
            <w:tcW w:w="882" w:type="pct"/>
          </w:tcPr>
          <w:p w14:paraId="57FD95F9" w14:textId="77777777" w:rsidR="007B53F1" w:rsidRDefault="007B53F1" w:rsidP="00166B10">
            <w:pPr>
              <w:pStyle w:val="COMTabletext"/>
              <w:keepLines/>
              <w:jc w:val="center"/>
            </w:pPr>
            <w:r w:rsidRPr="00D774B5">
              <w:t>978</w:t>
            </w:r>
          </w:p>
          <w:p w14:paraId="366F61DA" w14:textId="77777777" w:rsidR="007B53F1" w:rsidRPr="00AE0ACA" w:rsidRDefault="007B53F1" w:rsidP="00166B10">
            <w:pPr>
              <w:pStyle w:val="COMTabletext"/>
              <w:keepLines/>
              <w:jc w:val="center"/>
            </w:pPr>
            <w:r w:rsidRPr="00A066C5">
              <w:t>349</w:t>
            </w:r>
          </w:p>
        </w:tc>
        <w:tc>
          <w:tcPr>
            <w:tcW w:w="881" w:type="pct"/>
          </w:tcPr>
          <w:p w14:paraId="6A09AD5A" w14:textId="77777777" w:rsidR="007B53F1" w:rsidRDefault="007B53F1" w:rsidP="00166B10">
            <w:pPr>
              <w:pStyle w:val="COMTabletext"/>
              <w:keepLines/>
              <w:jc w:val="center"/>
            </w:pPr>
            <w:r w:rsidRPr="003F358F">
              <w:t>3253</w:t>
            </w:r>
          </w:p>
          <w:p w14:paraId="104C48A3" w14:textId="77777777" w:rsidR="007B53F1" w:rsidRPr="00D774B5" w:rsidRDefault="007B53F1" w:rsidP="00166B10">
            <w:pPr>
              <w:pStyle w:val="COMTabletext"/>
              <w:keepLines/>
              <w:jc w:val="center"/>
            </w:pPr>
            <w:r w:rsidRPr="003F358F">
              <w:t>1308</w:t>
            </w:r>
          </w:p>
        </w:tc>
      </w:tr>
      <w:tr w:rsidR="007B53F1" w:rsidRPr="00471739" w14:paraId="518B4E29" w14:textId="77777777" w:rsidTr="00032C04">
        <w:trPr>
          <w:trHeight w:val="50"/>
        </w:trPr>
        <w:tc>
          <w:tcPr>
            <w:tcW w:w="2356" w:type="pct"/>
            <w:vAlign w:val="center"/>
          </w:tcPr>
          <w:p w14:paraId="531995D0" w14:textId="77777777" w:rsidR="007B53F1" w:rsidRDefault="007B53F1" w:rsidP="00166B10">
            <w:pPr>
              <w:pStyle w:val="COMTabletext"/>
              <w:keepLines/>
            </w:pPr>
            <w:r>
              <w:t>Any AE, n (%)</w:t>
            </w:r>
          </w:p>
          <w:p w14:paraId="17952535" w14:textId="77777777" w:rsidR="007B53F1" w:rsidRPr="00471739" w:rsidRDefault="007B53F1" w:rsidP="00166B10">
            <w:pPr>
              <w:pStyle w:val="COMTabletext"/>
              <w:keepLines/>
            </w:pPr>
            <w:r>
              <w:t>- Treatment related</w:t>
            </w:r>
          </w:p>
        </w:tc>
        <w:tc>
          <w:tcPr>
            <w:tcW w:w="881" w:type="pct"/>
          </w:tcPr>
          <w:p w14:paraId="4FC11129" w14:textId="77777777" w:rsidR="007B53F1" w:rsidRDefault="007B53F1" w:rsidP="00166B10">
            <w:pPr>
              <w:pStyle w:val="COMTabletext"/>
              <w:keepLines/>
              <w:jc w:val="center"/>
            </w:pPr>
            <w:r w:rsidRPr="00AE0ACA">
              <w:t>123 (100.0)</w:t>
            </w:r>
          </w:p>
          <w:p w14:paraId="3CBC207F" w14:textId="77777777" w:rsidR="007B53F1" w:rsidRPr="00471739" w:rsidRDefault="007B53F1" w:rsidP="00166B10">
            <w:pPr>
              <w:pStyle w:val="COMTabletext"/>
              <w:keepLines/>
              <w:jc w:val="center"/>
            </w:pPr>
            <w:r w:rsidRPr="00381A1E">
              <w:t>112 (91.1)</w:t>
            </w:r>
          </w:p>
        </w:tc>
        <w:tc>
          <w:tcPr>
            <w:tcW w:w="882" w:type="pct"/>
          </w:tcPr>
          <w:p w14:paraId="1837705F" w14:textId="77777777" w:rsidR="007B53F1" w:rsidRDefault="007B53F1" w:rsidP="00166B10">
            <w:pPr>
              <w:pStyle w:val="COMTabletext"/>
              <w:keepLines/>
              <w:jc w:val="center"/>
            </w:pPr>
            <w:r w:rsidRPr="00AE0ACA">
              <w:t>64 (100.0)</w:t>
            </w:r>
          </w:p>
          <w:p w14:paraId="21DEA3E3" w14:textId="77777777" w:rsidR="007B53F1" w:rsidRDefault="007B53F1" w:rsidP="00166B10">
            <w:pPr>
              <w:pStyle w:val="COMTabletext"/>
              <w:keepLines/>
              <w:jc w:val="center"/>
            </w:pPr>
            <w:r w:rsidRPr="00381A1E">
              <w:t>59 (92.2)</w:t>
            </w:r>
          </w:p>
        </w:tc>
        <w:tc>
          <w:tcPr>
            <w:tcW w:w="881" w:type="pct"/>
          </w:tcPr>
          <w:p w14:paraId="7541F7DB" w14:textId="77777777" w:rsidR="007B53F1" w:rsidRDefault="007B53F1" w:rsidP="00166B10">
            <w:pPr>
              <w:pStyle w:val="COMTabletext"/>
              <w:keepLines/>
              <w:jc w:val="center"/>
            </w:pPr>
            <w:r w:rsidRPr="003F358F">
              <w:t>187 (100.0)</w:t>
            </w:r>
          </w:p>
          <w:p w14:paraId="7ECE75D4" w14:textId="77777777" w:rsidR="007B53F1" w:rsidRPr="00AE0ACA" w:rsidRDefault="007B53F1" w:rsidP="00166B10">
            <w:pPr>
              <w:pStyle w:val="COMTabletext"/>
              <w:keepLines/>
              <w:jc w:val="center"/>
            </w:pPr>
            <w:r w:rsidRPr="003F358F">
              <w:t>171 (91.4)</w:t>
            </w:r>
          </w:p>
        </w:tc>
      </w:tr>
      <w:tr w:rsidR="007B53F1" w:rsidRPr="00471739" w14:paraId="48986E36" w14:textId="77777777" w:rsidTr="00032C04">
        <w:tc>
          <w:tcPr>
            <w:tcW w:w="2356" w:type="pct"/>
            <w:vAlign w:val="center"/>
          </w:tcPr>
          <w:p w14:paraId="68425661" w14:textId="77777777" w:rsidR="007B53F1" w:rsidRDefault="007B53F1" w:rsidP="00166B10">
            <w:pPr>
              <w:pStyle w:val="COMTabletext"/>
              <w:keepLines/>
            </w:pPr>
            <w:r>
              <w:t>Serious AE, n (%)</w:t>
            </w:r>
          </w:p>
          <w:p w14:paraId="53F8BF1F" w14:textId="77777777" w:rsidR="007B53F1" w:rsidRPr="00471739" w:rsidRDefault="007B53F1" w:rsidP="00166B10">
            <w:pPr>
              <w:pStyle w:val="COMTabletext"/>
              <w:keepLines/>
            </w:pPr>
            <w:r>
              <w:t>- Treatment related</w:t>
            </w:r>
          </w:p>
        </w:tc>
        <w:tc>
          <w:tcPr>
            <w:tcW w:w="881" w:type="pct"/>
          </w:tcPr>
          <w:p w14:paraId="08C8FA15" w14:textId="77777777" w:rsidR="007B53F1" w:rsidRDefault="007B53F1" w:rsidP="00166B10">
            <w:pPr>
              <w:pStyle w:val="COMTabletext"/>
              <w:keepLines/>
              <w:jc w:val="center"/>
            </w:pPr>
            <w:r w:rsidRPr="0092424C">
              <w:t>94 (76.4)</w:t>
            </w:r>
          </w:p>
          <w:p w14:paraId="212EA7BC" w14:textId="77777777" w:rsidR="007B53F1" w:rsidRPr="00471739" w:rsidRDefault="007B53F1" w:rsidP="00166B10">
            <w:pPr>
              <w:pStyle w:val="COMTabletext"/>
              <w:keepLines/>
              <w:jc w:val="center"/>
            </w:pPr>
            <w:r w:rsidRPr="00381A1E">
              <w:t>47 (38.2)</w:t>
            </w:r>
          </w:p>
        </w:tc>
        <w:tc>
          <w:tcPr>
            <w:tcW w:w="882" w:type="pct"/>
          </w:tcPr>
          <w:p w14:paraId="15E5A24E" w14:textId="77777777" w:rsidR="007B53F1" w:rsidRDefault="007B53F1" w:rsidP="00166B10">
            <w:pPr>
              <w:pStyle w:val="COMTabletext"/>
              <w:keepLines/>
              <w:jc w:val="center"/>
            </w:pPr>
            <w:r w:rsidRPr="0092424C">
              <w:t>47 (73.4)</w:t>
            </w:r>
          </w:p>
          <w:p w14:paraId="259036FF" w14:textId="77777777" w:rsidR="007B53F1" w:rsidRDefault="007B53F1" w:rsidP="00166B10">
            <w:pPr>
              <w:pStyle w:val="COMTabletext"/>
              <w:keepLines/>
              <w:jc w:val="center"/>
            </w:pPr>
            <w:r w:rsidRPr="00381A1E">
              <w:t>19 (29.7)</w:t>
            </w:r>
          </w:p>
        </w:tc>
        <w:tc>
          <w:tcPr>
            <w:tcW w:w="881" w:type="pct"/>
          </w:tcPr>
          <w:p w14:paraId="289A9201" w14:textId="77777777" w:rsidR="007B53F1" w:rsidRDefault="007B53F1" w:rsidP="00166B10">
            <w:pPr>
              <w:pStyle w:val="COMTabletext"/>
              <w:keepLines/>
              <w:jc w:val="center"/>
            </w:pPr>
            <w:r w:rsidRPr="003F358F">
              <w:t>141 (75.4)</w:t>
            </w:r>
          </w:p>
          <w:p w14:paraId="4CE00123" w14:textId="77777777" w:rsidR="007B53F1" w:rsidRPr="0092424C" w:rsidRDefault="007B53F1" w:rsidP="00166B10">
            <w:pPr>
              <w:pStyle w:val="COMTabletext"/>
              <w:keepLines/>
              <w:jc w:val="center"/>
            </w:pPr>
            <w:r w:rsidRPr="003F358F">
              <w:t>66 (35.3)</w:t>
            </w:r>
          </w:p>
        </w:tc>
      </w:tr>
      <w:tr w:rsidR="007B53F1" w:rsidRPr="00471739" w14:paraId="41D1C46C" w14:textId="77777777" w:rsidTr="00032C04">
        <w:tc>
          <w:tcPr>
            <w:tcW w:w="2356" w:type="pct"/>
            <w:vAlign w:val="center"/>
          </w:tcPr>
          <w:p w14:paraId="1AC8E6EF" w14:textId="25D22B37" w:rsidR="007B53F1" w:rsidRDefault="007B53F1" w:rsidP="00166B10">
            <w:pPr>
              <w:pStyle w:val="COMTabletext"/>
              <w:keepLines/>
            </w:pPr>
            <w:r>
              <w:t>Grade 3</w:t>
            </w:r>
            <w:r w:rsidR="00032C04">
              <w:t>/</w:t>
            </w:r>
            <w:r>
              <w:t>4 AE, n (%)</w:t>
            </w:r>
          </w:p>
          <w:p w14:paraId="28502615" w14:textId="77777777" w:rsidR="007B53F1" w:rsidRPr="00471739" w:rsidRDefault="007B53F1" w:rsidP="00166B10">
            <w:pPr>
              <w:pStyle w:val="COMTabletext"/>
              <w:keepLines/>
            </w:pPr>
            <w:r>
              <w:t>- Treatment related</w:t>
            </w:r>
          </w:p>
        </w:tc>
        <w:tc>
          <w:tcPr>
            <w:tcW w:w="881" w:type="pct"/>
          </w:tcPr>
          <w:p w14:paraId="25D1C381" w14:textId="77777777" w:rsidR="007B53F1" w:rsidRDefault="007B53F1" w:rsidP="00166B10">
            <w:pPr>
              <w:pStyle w:val="COMTabletext"/>
              <w:keepLines/>
              <w:jc w:val="center"/>
            </w:pPr>
            <w:r w:rsidRPr="00F4624E">
              <w:t>89 (72.4)</w:t>
            </w:r>
          </w:p>
          <w:p w14:paraId="7B45F776" w14:textId="77777777" w:rsidR="007B53F1" w:rsidRPr="00471739" w:rsidRDefault="007B53F1" w:rsidP="00166B10">
            <w:pPr>
              <w:pStyle w:val="COMTabletext"/>
              <w:keepLines/>
              <w:jc w:val="center"/>
            </w:pPr>
            <w:r w:rsidRPr="00381A1E">
              <w:t>81 (65.9)</w:t>
            </w:r>
          </w:p>
        </w:tc>
        <w:tc>
          <w:tcPr>
            <w:tcW w:w="882" w:type="pct"/>
          </w:tcPr>
          <w:p w14:paraId="463374A2" w14:textId="77777777" w:rsidR="007B53F1" w:rsidRDefault="007B53F1" w:rsidP="00166B10">
            <w:pPr>
              <w:pStyle w:val="COMTabletext"/>
              <w:keepLines/>
              <w:jc w:val="center"/>
            </w:pPr>
            <w:r w:rsidRPr="00F4624E">
              <w:t>42 (65.6)</w:t>
            </w:r>
          </w:p>
          <w:p w14:paraId="3F0E53FA" w14:textId="77777777" w:rsidR="007B53F1" w:rsidRDefault="007B53F1" w:rsidP="00166B10">
            <w:pPr>
              <w:pStyle w:val="COMTabletext"/>
              <w:keepLines/>
              <w:jc w:val="center"/>
            </w:pPr>
            <w:r w:rsidRPr="00381A1E">
              <w:t>44 (68.8)</w:t>
            </w:r>
          </w:p>
        </w:tc>
        <w:tc>
          <w:tcPr>
            <w:tcW w:w="881" w:type="pct"/>
          </w:tcPr>
          <w:p w14:paraId="23B87198" w14:textId="77777777" w:rsidR="007B53F1" w:rsidRDefault="007B53F1" w:rsidP="00166B10">
            <w:pPr>
              <w:pStyle w:val="COMTabletext"/>
              <w:keepLines/>
              <w:jc w:val="center"/>
            </w:pPr>
            <w:r w:rsidRPr="003F358F">
              <w:t>131 (70.1)</w:t>
            </w:r>
          </w:p>
          <w:p w14:paraId="75EA8A8A" w14:textId="77777777" w:rsidR="007B53F1" w:rsidRPr="00F4624E" w:rsidRDefault="007B53F1" w:rsidP="00166B10">
            <w:pPr>
              <w:pStyle w:val="COMTabletext"/>
              <w:keepLines/>
              <w:jc w:val="center"/>
            </w:pPr>
            <w:r w:rsidRPr="003F358F">
              <w:t>125 (66.8)</w:t>
            </w:r>
          </w:p>
        </w:tc>
      </w:tr>
      <w:tr w:rsidR="007B53F1" w:rsidRPr="00471739" w14:paraId="7D3E6F47" w14:textId="77777777" w:rsidTr="00032C04">
        <w:tc>
          <w:tcPr>
            <w:tcW w:w="2356" w:type="pct"/>
            <w:vAlign w:val="center"/>
          </w:tcPr>
          <w:p w14:paraId="2769397B" w14:textId="77777777" w:rsidR="007B53F1" w:rsidRDefault="007B53F1" w:rsidP="00166B10">
            <w:pPr>
              <w:pStyle w:val="COMTabletext"/>
              <w:keepLines/>
            </w:pPr>
            <w:r>
              <w:t>Grade 5 AE, n (%)</w:t>
            </w:r>
          </w:p>
          <w:p w14:paraId="0ACED9C9" w14:textId="77777777" w:rsidR="007B53F1" w:rsidRDefault="007B53F1" w:rsidP="00166B10">
            <w:pPr>
              <w:pStyle w:val="COMTabletext"/>
              <w:keepLines/>
            </w:pPr>
            <w:r>
              <w:t>- Treatment related</w:t>
            </w:r>
          </w:p>
        </w:tc>
        <w:tc>
          <w:tcPr>
            <w:tcW w:w="881" w:type="pct"/>
          </w:tcPr>
          <w:p w14:paraId="3C85AD0A" w14:textId="77777777" w:rsidR="007B53F1" w:rsidRDefault="007B53F1" w:rsidP="00166B10">
            <w:pPr>
              <w:pStyle w:val="COMTabletext"/>
              <w:keepLines/>
              <w:jc w:val="center"/>
            </w:pPr>
            <w:r w:rsidRPr="00E57B64">
              <w:t>25 (20.3)</w:t>
            </w:r>
          </w:p>
          <w:p w14:paraId="6F4C3B3C" w14:textId="77777777" w:rsidR="007B53F1" w:rsidRPr="00F4624E" w:rsidRDefault="007B53F1" w:rsidP="00166B10">
            <w:pPr>
              <w:pStyle w:val="COMTabletext"/>
              <w:keepLines/>
              <w:jc w:val="center"/>
            </w:pPr>
            <w:r w:rsidRPr="00381A1E">
              <w:t>4 (3.3)</w:t>
            </w:r>
          </w:p>
        </w:tc>
        <w:tc>
          <w:tcPr>
            <w:tcW w:w="882" w:type="pct"/>
          </w:tcPr>
          <w:p w14:paraId="5A896E7F" w14:textId="77777777" w:rsidR="007B53F1" w:rsidRDefault="007B53F1" w:rsidP="00166B10">
            <w:pPr>
              <w:pStyle w:val="COMTabletext"/>
              <w:keepLines/>
              <w:jc w:val="center"/>
            </w:pPr>
            <w:r w:rsidRPr="00E57B64">
              <w:t>17 (26.6)</w:t>
            </w:r>
          </w:p>
          <w:p w14:paraId="6560E829" w14:textId="77777777" w:rsidR="007B53F1" w:rsidRPr="00F4624E" w:rsidRDefault="007B53F1" w:rsidP="00166B10">
            <w:pPr>
              <w:pStyle w:val="COMTabletext"/>
              <w:keepLines/>
              <w:jc w:val="center"/>
            </w:pPr>
            <w:r w:rsidRPr="00381A1E">
              <w:t>2 (3.1)</w:t>
            </w:r>
          </w:p>
        </w:tc>
        <w:tc>
          <w:tcPr>
            <w:tcW w:w="881" w:type="pct"/>
          </w:tcPr>
          <w:p w14:paraId="51B7478F" w14:textId="77777777" w:rsidR="007B53F1" w:rsidRDefault="007B53F1" w:rsidP="00166B10">
            <w:pPr>
              <w:pStyle w:val="COMTabletext"/>
              <w:keepLines/>
              <w:jc w:val="center"/>
            </w:pPr>
            <w:r w:rsidRPr="003F358F">
              <w:t>42 (22.5)</w:t>
            </w:r>
          </w:p>
          <w:p w14:paraId="7F410A8B" w14:textId="77777777" w:rsidR="007B53F1" w:rsidRPr="00E57B64" w:rsidRDefault="007B53F1" w:rsidP="00166B10">
            <w:pPr>
              <w:pStyle w:val="COMTabletext"/>
              <w:keepLines/>
              <w:jc w:val="center"/>
            </w:pPr>
            <w:r w:rsidRPr="003F358F">
              <w:t>6 (3.2)</w:t>
            </w:r>
          </w:p>
        </w:tc>
      </w:tr>
      <w:tr w:rsidR="007B53F1" w:rsidRPr="00471739" w14:paraId="54192BEF" w14:textId="77777777" w:rsidTr="00032C04">
        <w:tc>
          <w:tcPr>
            <w:tcW w:w="2356" w:type="pct"/>
            <w:vAlign w:val="center"/>
          </w:tcPr>
          <w:p w14:paraId="5F3FEF80" w14:textId="77777777" w:rsidR="007B53F1" w:rsidRDefault="007B53F1" w:rsidP="00166B10">
            <w:pPr>
              <w:pStyle w:val="COMTabletext"/>
              <w:keepLines/>
            </w:pPr>
            <w:r w:rsidRPr="00CE7D99">
              <w:t>AE leading to treatment discontinuation, n (%)</w:t>
            </w:r>
          </w:p>
          <w:p w14:paraId="32D3F351" w14:textId="77777777" w:rsidR="007B53F1" w:rsidRPr="00471739" w:rsidRDefault="007B53F1" w:rsidP="00166B10">
            <w:pPr>
              <w:pStyle w:val="COMTabletext"/>
              <w:keepLines/>
            </w:pPr>
            <w:r>
              <w:t>- Treatment related</w:t>
            </w:r>
          </w:p>
        </w:tc>
        <w:tc>
          <w:tcPr>
            <w:tcW w:w="881" w:type="pct"/>
            <w:vAlign w:val="center"/>
          </w:tcPr>
          <w:p w14:paraId="082A40E6" w14:textId="77777777" w:rsidR="007B53F1" w:rsidRDefault="007B53F1" w:rsidP="00166B10">
            <w:pPr>
              <w:pStyle w:val="COMTabletext"/>
              <w:keepLines/>
              <w:jc w:val="center"/>
            </w:pPr>
            <w:r w:rsidRPr="00A34F6E">
              <w:t>31 (25.2)</w:t>
            </w:r>
          </w:p>
          <w:p w14:paraId="58085C32" w14:textId="77777777" w:rsidR="007B53F1" w:rsidRPr="00471739" w:rsidRDefault="007B53F1" w:rsidP="00166B10">
            <w:pPr>
              <w:pStyle w:val="COMTabletext"/>
              <w:keepLines/>
              <w:jc w:val="center"/>
            </w:pPr>
            <w:r w:rsidRPr="00381A1E">
              <w:t>23 (18.7)</w:t>
            </w:r>
          </w:p>
        </w:tc>
        <w:tc>
          <w:tcPr>
            <w:tcW w:w="882" w:type="pct"/>
            <w:vAlign w:val="center"/>
          </w:tcPr>
          <w:p w14:paraId="53C5BD2F" w14:textId="77777777" w:rsidR="007B53F1" w:rsidRDefault="007B53F1" w:rsidP="00166B10">
            <w:pPr>
              <w:pStyle w:val="COMTabletext"/>
              <w:keepLines/>
              <w:jc w:val="center"/>
            </w:pPr>
            <w:r w:rsidRPr="00A34F6E">
              <w:t>18 (28.1)</w:t>
            </w:r>
          </w:p>
          <w:p w14:paraId="63F797CD" w14:textId="77777777" w:rsidR="007B53F1" w:rsidRPr="000E7783" w:rsidRDefault="007B53F1" w:rsidP="00166B10">
            <w:pPr>
              <w:pStyle w:val="COMTabletext"/>
              <w:keepLines/>
              <w:jc w:val="center"/>
            </w:pPr>
            <w:r w:rsidRPr="00381A1E">
              <w:t>9 (14.1)</w:t>
            </w:r>
          </w:p>
        </w:tc>
        <w:tc>
          <w:tcPr>
            <w:tcW w:w="881" w:type="pct"/>
          </w:tcPr>
          <w:p w14:paraId="2C878A9C" w14:textId="77777777" w:rsidR="007B53F1" w:rsidRDefault="007B53F1" w:rsidP="00166B10">
            <w:pPr>
              <w:pStyle w:val="COMTabletext"/>
              <w:keepLines/>
              <w:jc w:val="center"/>
            </w:pPr>
            <w:r w:rsidRPr="003F358F">
              <w:t>49 (26.2)</w:t>
            </w:r>
          </w:p>
          <w:p w14:paraId="66DD552A" w14:textId="77777777" w:rsidR="007B53F1" w:rsidRPr="00A34F6E" w:rsidRDefault="007B53F1" w:rsidP="00166B10">
            <w:pPr>
              <w:pStyle w:val="COMTabletext"/>
              <w:keepLines/>
              <w:jc w:val="center"/>
            </w:pPr>
            <w:r w:rsidRPr="003F358F">
              <w:t>32 (17.1)</w:t>
            </w:r>
          </w:p>
        </w:tc>
      </w:tr>
      <w:tr w:rsidR="007B53F1" w:rsidRPr="00471739" w14:paraId="3D5E82F7" w14:textId="77777777" w:rsidTr="00032C04">
        <w:tc>
          <w:tcPr>
            <w:tcW w:w="2356" w:type="pct"/>
            <w:vAlign w:val="center"/>
          </w:tcPr>
          <w:p w14:paraId="64B75D71" w14:textId="77777777" w:rsidR="007B53F1" w:rsidRDefault="007B53F1" w:rsidP="00166B10">
            <w:pPr>
              <w:pStyle w:val="COMTabletext"/>
              <w:keepLines/>
            </w:pPr>
            <w:r w:rsidRPr="00CE7D99">
              <w:t xml:space="preserve">AE leading to </w:t>
            </w:r>
            <w:r>
              <w:t>dose reduction</w:t>
            </w:r>
            <w:r w:rsidRPr="00CE7D99">
              <w:t>, n (%)</w:t>
            </w:r>
          </w:p>
          <w:p w14:paraId="6988AE49" w14:textId="77777777" w:rsidR="007B53F1" w:rsidRPr="00CE7D99" w:rsidRDefault="007B53F1" w:rsidP="00166B10">
            <w:pPr>
              <w:pStyle w:val="COMTabletext"/>
              <w:keepLines/>
            </w:pPr>
            <w:r>
              <w:t>- Treatment related</w:t>
            </w:r>
          </w:p>
        </w:tc>
        <w:tc>
          <w:tcPr>
            <w:tcW w:w="881" w:type="pct"/>
            <w:vAlign w:val="center"/>
          </w:tcPr>
          <w:p w14:paraId="3B93187C" w14:textId="77777777" w:rsidR="007B53F1" w:rsidRDefault="007B53F1" w:rsidP="00166B10">
            <w:pPr>
              <w:pStyle w:val="COMTabletext"/>
              <w:keepLines/>
              <w:jc w:val="center"/>
            </w:pPr>
            <w:r w:rsidRPr="00414466">
              <w:t>36 (29.3)</w:t>
            </w:r>
          </w:p>
          <w:p w14:paraId="151F3174" w14:textId="77777777" w:rsidR="007B53F1" w:rsidRPr="000E7783" w:rsidRDefault="007B53F1" w:rsidP="00166B10">
            <w:pPr>
              <w:pStyle w:val="COMTabletext"/>
              <w:keepLines/>
              <w:jc w:val="center"/>
            </w:pPr>
            <w:r w:rsidRPr="004E593D">
              <w:t>36 (29.3)</w:t>
            </w:r>
          </w:p>
        </w:tc>
        <w:tc>
          <w:tcPr>
            <w:tcW w:w="882" w:type="pct"/>
            <w:vAlign w:val="center"/>
          </w:tcPr>
          <w:p w14:paraId="68B8F1E6" w14:textId="77777777" w:rsidR="007B53F1" w:rsidRDefault="007B53F1" w:rsidP="00166B10">
            <w:pPr>
              <w:pStyle w:val="COMTabletext"/>
              <w:keepLines/>
              <w:jc w:val="center"/>
            </w:pPr>
            <w:r w:rsidRPr="00414466">
              <w:t>9 (14.1)</w:t>
            </w:r>
          </w:p>
          <w:p w14:paraId="1A24FEB1" w14:textId="77777777" w:rsidR="007B53F1" w:rsidRPr="000E7783" w:rsidRDefault="007B53F1" w:rsidP="00166B10">
            <w:pPr>
              <w:pStyle w:val="COMTabletext"/>
              <w:keepLines/>
              <w:jc w:val="center"/>
            </w:pPr>
            <w:r w:rsidRPr="004E593D">
              <w:t>8 (12.5)</w:t>
            </w:r>
          </w:p>
        </w:tc>
        <w:tc>
          <w:tcPr>
            <w:tcW w:w="881" w:type="pct"/>
          </w:tcPr>
          <w:p w14:paraId="184B82A0" w14:textId="77777777" w:rsidR="007B53F1" w:rsidRDefault="007B53F1" w:rsidP="00166B10">
            <w:pPr>
              <w:pStyle w:val="COMTabletext"/>
              <w:keepLines/>
              <w:jc w:val="center"/>
            </w:pPr>
            <w:r w:rsidRPr="003F358F">
              <w:t>45 (24.1)</w:t>
            </w:r>
          </w:p>
          <w:p w14:paraId="23DF020D" w14:textId="77777777" w:rsidR="007B53F1" w:rsidRPr="00414466" w:rsidRDefault="007B53F1" w:rsidP="00166B10">
            <w:pPr>
              <w:pStyle w:val="COMTabletext"/>
              <w:keepLines/>
              <w:jc w:val="center"/>
            </w:pPr>
            <w:r w:rsidRPr="00B82750">
              <w:t>44 (23.5)</w:t>
            </w:r>
          </w:p>
        </w:tc>
      </w:tr>
      <w:tr w:rsidR="007B53F1" w:rsidRPr="00471739" w14:paraId="27C6C61B" w14:textId="77777777" w:rsidTr="00032C04">
        <w:tc>
          <w:tcPr>
            <w:tcW w:w="2356" w:type="pct"/>
            <w:vAlign w:val="center"/>
          </w:tcPr>
          <w:p w14:paraId="6DD31A31" w14:textId="77777777" w:rsidR="007B53F1" w:rsidRDefault="007B53F1" w:rsidP="00166B10">
            <w:pPr>
              <w:pStyle w:val="COMTabletext"/>
              <w:keepLines/>
            </w:pPr>
            <w:r w:rsidRPr="00CE7D99">
              <w:t xml:space="preserve">AE leading to </w:t>
            </w:r>
            <w:r>
              <w:t>treatment interruption</w:t>
            </w:r>
            <w:r w:rsidRPr="00CE7D99">
              <w:t>, n (%)</w:t>
            </w:r>
          </w:p>
          <w:p w14:paraId="56A0A92F" w14:textId="77777777" w:rsidR="007B53F1" w:rsidRPr="00471739" w:rsidRDefault="007B53F1" w:rsidP="00166B10">
            <w:pPr>
              <w:pStyle w:val="COMTabletext"/>
              <w:keepLines/>
            </w:pPr>
            <w:r>
              <w:t>- Treatment related</w:t>
            </w:r>
          </w:p>
        </w:tc>
        <w:tc>
          <w:tcPr>
            <w:tcW w:w="881" w:type="pct"/>
            <w:vAlign w:val="center"/>
          </w:tcPr>
          <w:p w14:paraId="6C8752C1" w14:textId="77777777" w:rsidR="007B53F1" w:rsidRDefault="007B53F1" w:rsidP="00166B10">
            <w:pPr>
              <w:pStyle w:val="COMTabletext"/>
              <w:keepLines/>
              <w:jc w:val="center"/>
            </w:pPr>
            <w:r w:rsidRPr="00414466">
              <w:t>96 (78.0)</w:t>
            </w:r>
          </w:p>
          <w:p w14:paraId="1E7E986C" w14:textId="77777777" w:rsidR="007B53F1" w:rsidRPr="00471739" w:rsidRDefault="007B53F1" w:rsidP="00166B10">
            <w:pPr>
              <w:pStyle w:val="COMTabletext"/>
              <w:keepLines/>
              <w:jc w:val="center"/>
            </w:pPr>
            <w:r w:rsidRPr="004E593D">
              <w:t>65 (52.8)</w:t>
            </w:r>
          </w:p>
        </w:tc>
        <w:tc>
          <w:tcPr>
            <w:tcW w:w="882" w:type="pct"/>
            <w:vAlign w:val="center"/>
          </w:tcPr>
          <w:p w14:paraId="79AA26B2" w14:textId="77777777" w:rsidR="007B53F1" w:rsidRDefault="007B53F1" w:rsidP="00166B10">
            <w:pPr>
              <w:pStyle w:val="COMTabletext"/>
              <w:keepLines/>
              <w:jc w:val="center"/>
            </w:pPr>
            <w:r w:rsidRPr="00414466">
              <w:t>45 (70.3)</w:t>
            </w:r>
          </w:p>
          <w:p w14:paraId="0F9B751A" w14:textId="77777777" w:rsidR="007B53F1" w:rsidRDefault="007B53F1" w:rsidP="00166B10">
            <w:pPr>
              <w:pStyle w:val="COMTabletext"/>
              <w:keepLines/>
              <w:jc w:val="center"/>
            </w:pPr>
            <w:r w:rsidRPr="004E593D">
              <w:t>33 (51.6)</w:t>
            </w:r>
          </w:p>
        </w:tc>
        <w:tc>
          <w:tcPr>
            <w:tcW w:w="881" w:type="pct"/>
          </w:tcPr>
          <w:p w14:paraId="59E8126D" w14:textId="77777777" w:rsidR="007B53F1" w:rsidRDefault="007B53F1" w:rsidP="00166B10">
            <w:pPr>
              <w:pStyle w:val="COMTabletext"/>
              <w:keepLines/>
              <w:jc w:val="center"/>
            </w:pPr>
            <w:r w:rsidRPr="003F358F">
              <w:t>141 (75.4)</w:t>
            </w:r>
          </w:p>
          <w:p w14:paraId="3717D157" w14:textId="77777777" w:rsidR="007B53F1" w:rsidRPr="00414466" w:rsidRDefault="007B53F1" w:rsidP="00166B10">
            <w:pPr>
              <w:pStyle w:val="COMTabletext"/>
              <w:keepLines/>
              <w:jc w:val="center"/>
            </w:pPr>
            <w:r w:rsidRPr="00B82750">
              <w:t>98 (52.4)</w:t>
            </w:r>
          </w:p>
        </w:tc>
      </w:tr>
      <w:tr w:rsidR="00EF3B90" w:rsidRPr="00471739" w14:paraId="1D663810" w14:textId="77777777" w:rsidTr="00032C04">
        <w:trPr>
          <w:trHeight w:val="2938"/>
        </w:trPr>
        <w:tc>
          <w:tcPr>
            <w:tcW w:w="2356" w:type="pct"/>
          </w:tcPr>
          <w:p w14:paraId="7413BE0E" w14:textId="77777777" w:rsidR="00EF3B90" w:rsidRDefault="00EF3B90" w:rsidP="00166B10">
            <w:pPr>
              <w:pStyle w:val="COMTabletext"/>
              <w:keepLines/>
            </w:pPr>
            <w:r>
              <w:t>Grade 3/4</w:t>
            </w:r>
            <w:r w:rsidRPr="008E533F">
              <w:t xml:space="preserve"> AE occurring in ≥</w:t>
            </w:r>
            <w:r>
              <w:t>5</w:t>
            </w:r>
            <w:r w:rsidRPr="008E533F">
              <w:t>%, n (%)</w:t>
            </w:r>
          </w:p>
          <w:p w14:paraId="346F26A2" w14:textId="77777777" w:rsidR="00EF3B90" w:rsidRDefault="00EF3B90" w:rsidP="00166B10">
            <w:pPr>
              <w:pStyle w:val="COMTabletext"/>
              <w:keepLines/>
            </w:pPr>
            <w:r>
              <w:t xml:space="preserve">- </w:t>
            </w:r>
            <w:r w:rsidRPr="007D10C7">
              <w:t>Anaemia</w:t>
            </w:r>
          </w:p>
          <w:p w14:paraId="2729DEF5" w14:textId="77777777" w:rsidR="00EF3B90" w:rsidRDefault="00EF3B90" w:rsidP="00166B10">
            <w:pPr>
              <w:pStyle w:val="COMTabletext"/>
              <w:keepLines/>
            </w:pPr>
            <w:r>
              <w:t xml:space="preserve">- </w:t>
            </w:r>
            <w:r w:rsidRPr="00515607">
              <w:t>Neutropenia</w:t>
            </w:r>
          </w:p>
          <w:p w14:paraId="0C5B2922" w14:textId="77777777" w:rsidR="00EF3B90" w:rsidRDefault="00EF3B90" w:rsidP="00166B10">
            <w:pPr>
              <w:pStyle w:val="COMTabletext"/>
              <w:keepLines/>
            </w:pPr>
            <w:r>
              <w:t xml:space="preserve">- </w:t>
            </w:r>
            <w:r w:rsidRPr="00515607">
              <w:t>Thrombocytopenia</w:t>
            </w:r>
          </w:p>
          <w:p w14:paraId="2045C5CF" w14:textId="77777777" w:rsidR="00EF3B90" w:rsidRDefault="00EF3B90" w:rsidP="00166B10">
            <w:pPr>
              <w:pStyle w:val="COMTabletext"/>
              <w:keepLines/>
            </w:pPr>
            <w:r>
              <w:t xml:space="preserve">- </w:t>
            </w:r>
            <w:r w:rsidRPr="00515607">
              <w:t>Lymphopenia</w:t>
            </w:r>
          </w:p>
          <w:p w14:paraId="2FC2627A" w14:textId="77777777" w:rsidR="00EF3B90" w:rsidRDefault="00EF3B90" w:rsidP="00166B10">
            <w:pPr>
              <w:pStyle w:val="COMTabletext"/>
              <w:keepLines/>
            </w:pPr>
            <w:r>
              <w:t xml:space="preserve">- </w:t>
            </w:r>
            <w:r w:rsidRPr="00515607">
              <w:t>Leukopenia</w:t>
            </w:r>
          </w:p>
          <w:p w14:paraId="4F48B8B6" w14:textId="77777777" w:rsidR="00EF3B90" w:rsidRDefault="00EF3B90" w:rsidP="00166B10">
            <w:pPr>
              <w:pStyle w:val="COMTabletext"/>
              <w:keepLines/>
            </w:pPr>
            <w:r>
              <w:t xml:space="preserve">- </w:t>
            </w:r>
            <w:r w:rsidRPr="00515607">
              <w:t>COVID-19 pneumonia</w:t>
            </w:r>
          </w:p>
          <w:p w14:paraId="33E30884" w14:textId="77777777" w:rsidR="00EF3B90" w:rsidRDefault="00EF3B90" w:rsidP="00166B10">
            <w:pPr>
              <w:pStyle w:val="COMTabletext"/>
              <w:keepLines/>
            </w:pPr>
            <w:r>
              <w:t xml:space="preserve">- </w:t>
            </w:r>
            <w:r w:rsidRPr="00515607">
              <w:t>Hypokalaemia</w:t>
            </w:r>
          </w:p>
          <w:p w14:paraId="27CA8719" w14:textId="77777777" w:rsidR="00EF3B90" w:rsidRDefault="00EF3B90" w:rsidP="00166B10">
            <w:pPr>
              <w:pStyle w:val="COMTabletext"/>
              <w:keepLines/>
            </w:pPr>
            <w:r>
              <w:t xml:space="preserve">- </w:t>
            </w:r>
            <w:r w:rsidRPr="00E87ACC">
              <w:t>Pneumonia</w:t>
            </w:r>
          </w:p>
          <w:p w14:paraId="1FAD8713" w14:textId="77777777" w:rsidR="00EF3B90" w:rsidRDefault="00EF3B90" w:rsidP="00166B10">
            <w:pPr>
              <w:pStyle w:val="COMTabletext"/>
              <w:keepLines/>
            </w:pPr>
            <w:r>
              <w:t xml:space="preserve">- </w:t>
            </w:r>
            <w:r w:rsidRPr="00E87ACC">
              <w:t>Hypertension</w:t>
            </w:r>
          </w:p>
          <w:p w14:paraId="5F23B832" w14:textId="77777777" w:rsidR="00EF3B90" w:rsidRDefault="00EF3B90" w:rsidP="00166B10">
            <w:pPr>
              <w:pStyle w:val="COMTabletext"/>
              <w:keepLines/>
            </w:pPr>
            <w:r>
              <w:t xml:space="preserve">- </w:t>
            </w:r>
            <w:r w:rsidRPr="00E87ACC">
              <w:t>Sepsis</w:t>
            </w:r>
          </w:p>
          <w:p w14:paraId="785E3D43" w14:textId="77777777" w:rsidR="00EF3B90" w:rsidRDefault="00EF3B90" w:rsidP="00166B10">
            <w:pPr>
              <w:pStyle w:val="COMTabletext"/>
              <w:keepLines/>
            </w:pPr>
            <w:r>
              <w:t xml:space="preserve">- </w:t>
            </w:r>
            <w:r w:rsidRPr="00E87ACC">
              <w:t>SARS-CoV-2 test positive</w:t>
            </w:r>
          </w:p>
          <w:p w14:paraId="52613125" w14:textId="77777777" w:rsidR="00EF3B90" w:rsidRDefault="00EF3B90" w:rsidP="00166B10">
            <w:pPr>
              <w:pStyle w:val="COMTabletext"/>
              <w:keepLines/>
            </w:pPr>
            <w:r>
              <w:t xml:space="preserve">- </w:t>
            </w:r>
            <w:r w:rsidRPr="00E87ACC">
              <w:t>Asthenia</w:t>
            </w:r>
          </w:p>
          <w:p w14:paraId="75A73161" w14:textId="77777777" w:rsidR="00EF3B90" w:rsidRDefault="00EF3B90" w:rsidP="00166B10">
            <w:pPr>
              <w:pStyle w:val="COMTabletext"/>
              <w:keepLines/>
            </w:pPr>
            <w:r>
              <w:t>- Alanine aminotransferase increased</w:t>
            </w:r>
          </w:p>
          <w:p w14:paraId="65E5B66E" w14:textId="2A1E4762" w:rsidR="00EF3B90" w:rsidRPr="008E533F" w:rsidRDefault="00EF3B90" w:rsidP="00166B10">
            <w:pPr>
              <w:pStyle w:val="COMTabletext"/>
              <w:keepLines/>
            </w:pPr>
            <w:r>
              <w:t xml:space="preserve">- </w:t>
            </w:r>
            <w:r w:rsidRPr="00E87ACC">
              <w:t>Dyspnoea</w:t>
            </w:r>
          </w:p>
        </w:tc>
        <w:tc>
          <w:tcPr>
            <w:tcW w:w="881" w:type="pct"/>
          </w:tcPr>
          <w:p w14:paraId="6B837450" w14:textId="77777777" w:rsidR="00EF3B90" w:rsidRDefault="00EF3B90" w:rsidP="00166B10">
            <w:pPr>
              <w:pStyle w:val="COMTabletext"/>
              <w:keepLines/>
              <w:jc w:val="center"/>
            </w:pPr>
          </w:p>
          <w:p w14:paraId="2D120ED5" w14:textId="77777777" w:rsidR="00EF3B90" w:rsidRDefault="00EF3B90" w:rsidP="00166B10">
            <w:pPr>
              <w:pStyle w:val="COMTabletext"/>
              <w:keepLines/>
              <w:jc w:val="center"/>
            </w:pPr>
            <w:r>
              <w:t>46 (37.4)</w:t>
            </w:r>
          </w:p>
          <w:p w14:paraId="28CFDF44" w14:textId="77777777" w:rsidR="00EF3B90" w:rsidRDefault="00EF3B90" w:rsidP="00166B10">
            <w:pPr>
              <w:pStyle w:val="COMTabletext"/>
              <w:keepLines/>
              <w:jc w:val="center"/>
            </w:pPr>
            <w:r>
              <w:t>61 (49.6)</w:t>
            </w:r>
          </w:p>
          <w:p w14:paraId="49B4FE08" w14:textId="77777777" w:rsidR="00EF3B90" w:rsidRDefault="00EF3B90" w:rsidP="00166B10">
            <w:pPr>
              <w:pStyle w:val="COMTabletext"/>
              <w:keepLines/>
              <w:jc w:val="center"/>
            </w:pPr>
            <w:r>
              <w:t>29 (23.6)</w:t>
            </w:r>
          </w:p>
          <w:p w14:paraId="3F8259F0" w14:textId="77777777" w:rsidR="00EF3B90" w:rsidRDefault="00EF3B90" w:rsidP="00166B10">
            <w:pPr>
              <w:pStyle w:val="COMTabletext"/>
              <w:keepLines/>
              <w:jc w:val="center"/>
            </w:pPr>
            <w:r>
              <w:t>31 (25.2)</w:t>
            </w:r>
          </w:p>
          <w:p w14:paraId="06C12EA6" w14:textId="77777777" w:rsidR="00EF3B90" w:rsidRDefault="00EF3B90" w:rsidP="00166B10">
            <w:pPr>
              <w:pStyle w:val="COMTabletext"/>
              <w:keepLines/>
              <w:jc w:val="center"/>
            </w:pPr>
            <w:r>
              <w:t>17 (13.8)</w:t>
            </w:r>
          </w:p>
          <w:p w14:paraId="3C273D58" w14:textId="77777777" w:rsidR="00EF3B90" w:rsidRDefault="00EF3B90" w:rsidP="00166B10">
            <w:pPr>
              <w:pStyle w:val="COMTabletext"/>
              <w:keepLines/>
              <w:jc w:val="center"/>
            </w:pPr>
            <w:r>
              <w:t>16 (13.0)</w:t>
            </w:r>
          </w:p>
          <w:p w14:paraId="486924CC" w14:textId="77777777" w:rsidR="00EF3B90" w:rsidRDefault="00EF3B90" w:rsidP="00166B10">
            <w:pPr>
              <w:pStyle w:val="COMTabletext"/>
              <w:keepLines/>
              <w:jc w:val="center"/>
            </w:pPr>
            <w:r>
              <w:t>15 (12.2)</w:t>
            </w:r>
          </w:p>
          <w:p w14:paraId="04B5790F" w14:textId="77777777" w:rsidR="00EF3B90" w:rsidRDefault="00EF3B90" w:rsidP="00166B10">
            <w:pPr>
              <w:pStyle w:val="COMTabletext"/>
              <w:keepLines/>
              <w:jc w:val="center"/>
            </w:pPr>
            <w:r w:rsidRPr="00E87ACC">
              <w:t>11 (8.9)</w:t>
            </w:r>
          </w:p>
          <w:p w14:paraId="40F1EAD9" w14:textId="77777777" w:rsidR="00EF3B90" w:rsidRDefault="00EF3B90" w:rsidP="00166B10">
            <w:pPr>
              <w:pStyle w:val="COMTabletext"/>
              <w:keepLines/>
              <w:jc w:val="center"/>
            </w:pPr>
            <w:r w:rsidRPr="00E87ACC">
              <w:t>9 (7.3)</w:t>
            </w:r>
          </w:p>
          <w:p w14:paraId="1BCB5BBA" w14:textId="77777777" w:rsidR="00EF3B90" w:rsidRDefault="00EF3B90" w:rsidP="00166B10">
            <w:pPr>
              <w:pStyle w:val="COMTabletext"/>
              <w:keepLines/>
              <w:jc w:val="center"/>
            </w:pPr>
            <w:r w:rsidRPr="00E87ACC">
              <w:t>8 (6.5)</w:t>
            </w:r>
          </w:p>
          <w:p w14:paraId="638AC0B1" w14:textId="77777777" w:rsidR="00EF3B90" w:rsidRDefault="00EF3B90" w:rsidP="00166B10">
            <w:pPr>
              <w:pStyle w:val="COMTabletext"/>
              <w:keepLines/>
              <w:jc w:val="center"/>
            </w:pPr>
            <w:r w:rsidRPr="00E87ACC">
              <w:t>7 (5.7)</w:t>
            </w:r>
          </w:p>
          <w:p w14:paraId="5D0F2323" w14:textId="77777777" w:rsidR="00EF3B90" w:rsidRDefault="00EF3B90" w:rsidP="00166B10">
            <w:pPr>
              <w:pStyle w:val="COMTabletext"/>
              <w:keepLines/>
              <w:jc w:val="center"/>
            </w:pPr>
            <w:r w:rsidRPr="00E87ACC">
              <w:t>7 (5.7)</w:t>
            </w:r>
          </w:p>
          <w:p w14:paraId="28C3D194" w14:textId="77777777" w:rsidR="00EF3B90" w:rsidRDefault="00EF3B90" w:rsidP="00166B10">
            <w:pPr>
              <w:pStyle w:val="COMTabletext"/>
              <w:keepLines/>
              <w:jc w:val="center"/>
            </w:pPr>
            <w:r w:rsidRPr="00E87ACC">
              <w:t>7 (5.7</w:t>
            </w:r>
            <w:r>
              <w:t>)</w:t>
            </w:r>
          </w:p>
          <w:p w14:paraId="0B20B667" w14:textId="7B4BE8C3" w:rsidR="00EF3B90" w:rsidRDefault="00EF3B90" w:rsidP="00166B10">
            <w:pPr>
              <w:pStyle w:val="COMTabletext"/>
              <w:keepLines/>
              <w:jc w:val="center"/>
            </w:pPr>
            <w:r w:rsidRPr="00E87ACC">
              <w:t>3 (2.4)</w:t>
            </w:r>
          </w:p>
        </w:tc>
        <w:tc>
          <w:tcPr>
            <w:tcW w:w="882" w:type="pct"/>
          </w:tcPr>
          <w:p w14:paraId="2F3DAEDA" w14:textId="77777777" w:rsidR="00EF3B90" w:rsidRDefault="00EF3B90" w:rsidP="00166B10">
            <w:pPr>
              <w:pStyle w:val="COMTabletext"/>
              <w:keepLines/>
              <w:jc w:val="center"/>
            </w:pPr>
          </w:p>
          <w:p w14:paraId="6C699A97" w14:textId="77777777" w:rsidR="00EF3B90" w:rsidRDefault="00EF3B90" w:rsidP="00166B10">
            <w:pPr>
              <w:pStyle w:val="COMTabletext"/>
              <w:keepLines/>
              <w:jc w:val="center"/>
            </w:pPr>
            <w:r>
              <w:t>33 (51.6)</w:t>
            </w:r>
          </w:p>
          <w:p w14:paraId="2A5C71F1" w14:textId="77777777" w:rsidR="00EF3B90" w:rsidRDefault="00EF3B90" w:rsidP="00166B10">
            <w:pPr>
              <w:pStyle w:val="COMTabletext"/>
              <w:keepLines/>
              <w:jc w:val="center"/>
            </w:pPr>
            <w:r>
              <w:t>22 (34.4)</w:t>
            </w:r>
          </w:p>
          <w:p w14:paraId="378BF15C" w14:textId="77777777" w:rsidR="00EF3B90" w:rsidRDefault="00EF3B90" w:rsidP="00166B10">
            <w:pPr>
              <w:pStyle w:val="COMTabletext"/>
              <w:keepLines/>
              <w:jc w:val="center"/>
            </w:pPr>
            <w:r>
              <w:t>19 (29.7)</w:t>
            </w:r>
          </w:p>
          <w:p w14:paraId="0EB722DA" w14:textId="77777777" w:rsidR="00EF3B90" w:rsidRDefault="00EF3B90" w:rsidP="00166B10">
            <w:pPr>
              <w:pStyle w:val="COMTabletext"/>
              <w:keepLines/>
              <w:jc w:val="center"/>
            </w:pPr>
            <w:r>
              <w:t>20 (31.3)</w:t>
            </w:r>
          </w:p>
          <w:p w14:paraId="22C0C32A" w14:textId="77777777" w:rsidR="00EF3B90" w:rsidRDefault="00EF3B90" w:rsidP="00166B10">
            <w:pPr>
              <w:pStyle w:val="COMTabletext"/>
              <w:keepLines/>
              <w:jc w:val="center"/>
            </w:pPr>
            <w:r w:rsidRPr="00515607">
              <w:t>7 (10.9)</w:t>
            </w:r>
          </w:p>
          <w:p w14:paraId="580BDE0D" w14:textId="77777777" w:rsidR="00EF3B90" w:rsidRDefault="00EF3B90" w:rsidP="00166B10">
            <w:pPr>
              <w:pStyle w:val="COMTabletext"/>
              <w:keepLines/>
              <w:jc w:val="center"/>
            </w:pPr>
            <w:r w:rsidRPr="00515607">
              <w:t>7 (10.9)</w:t>
            </w:r>
          </w:p>
          <w:p w14:paraId="5A52709D" w14:textId="77777777" w:rsidR="00EF3B90" w:rsidRDefault="00EF3B90" w:rsidP="00166B10">
            <w:pPr>
              <w:pStyle w:val="COMTabletext"/>
              <w:keepLines/>
              <w:jc w:val="center"/>
            </w:pPr>
            <w:r w:rsidRPr="00515607">
              <w:t>3 (4.7)</w:t>
            </w:r>
          </w:p>
          <w:p w14:paraId="27B71359" w14:textId="77777777" w:rsidR="00EF3B90" w:rsidRDefault="00EF3B90" w:rsidP="00166B10">
            <w:pPr>
              <w:pStyle w:val="COMTabletext"/>
              <w:keepLines/>
              <w:jc w:val="center"/>
            </w:pPr>
            <w:r w:rsidRPr="00E87ACC">
              <w:t>5 (7.8)</w:t>
            </w:r>
          </w:p>
          <w:p w14:paraId="356E0EC8" w14:textId="77777777" w:rsidR="00EF3B90" w:rsidRDefault="00EF3B90" w:rsidP="00166B10">
            <w:pPr>
              <w:pStyle w:val="COMTabletext"/>
              <w:keepLines/>
              <w:jc w:val="center"/>
            </w:pPr>
            <w:r w:rsidRPr="00E87ACC">
              <w:t>5 (7.8)</w:t>
            </w:r>
          </w:p>
          <w:p w14:paraId="5A39D324" w14:textId="77777777" w:rsidR="00EF3B90" w:rsidRDefault="00EF3B90" w:rsidP="00166B10">
            <w:pPr>
              <w:pStyle w:val="COMTabletext"/>
              <w:keepLines/>
              <w:jc w:val="center"/>
            </w:pPr>
            <w:r w:rsidRPr="00E87ACC">
              <w:t>1 (1.6)</w:t>
            </w:r>
          </w:p>
          <w:p w14:paraId="7765E6AA" w14:textId="77777777" w:rsidR="00EF3B90" w:rsidRDefault="00EF3B90" w:rsidP="00166B10">
            <w:pPr>
              <w:pStyle w:val="COMTabletext"/>
              <w:keepLines/>
              <w:jc w:val="center"/>
            </w:pPr>
            <w:r w:rsidRPr="00E87ACC">
              <w:t>2 (3.1)</w:t>
            </w:r>
          </w:p>
          <w:p w14:paraId="1B4EF8C1" w14:textId="77777777" w:rsidR="00EF3B90" w:rsidRDefault="00EF3B90" w:rsidP="00166B10">
            <w:pPr>
              <w:pStyle w:val="COMTabletext"/>
              <w:keepLines/>
              <w:jc w:val="center"/>
            </w:pPr>
            <w:r w:rsidRPr="00E87ACC">
              <w:t>1 (1.6)</w:t>
            </w:r>
          </w:p>
          <w:p w14:paraId="3FA9B44B" w14:textId="77777777" w:rsidR="00EF3B90" w:rsidRDefault="00EF3B90" w:rsidP="00166B10">
            <w:pPr>
              <w:pStyle w:val="COMTabletext"/>
              <w:keepLines/>
              <w:jc w:val="center"/>
            </w:pPr>
            <w:r w:rsidRPr="00E87ACC">
              <w:t>2 (3.1)</w:t>
            </w:r>
          </w:p>
          <w:p w14:paraId="27FF7C17" w14:textId="6C767337" w:rsidR="00EF3B90" w:rsidRDefault="00EF3B90" w:rsidP="00166B10">
            <w:pPr>
              <w:pStyle w:val="COMTabletext"/>
              <w:keepLines/>
              <w:jc w:val="center"/>
            </w:pPr>
            <w:r w:rsidRPr="00E87ACC">
              <w:t>5 (7.8)</w:t>
            </w:r>
          </w:p>
        </w:tc>
        <w:tc>
          <w:tcPr>
            <w:tcW w:w="881" w:type="pct"/>
          </w:tcPr>
          <w:p w14:paraId="004300B5" w14:textId="77777777" w:rsidR="00EF3B90" w:rsidRDefault="00EF3B90" w:rsidP="00166B10">
            <w:pPr>
              <w:pStyle w:val="COMTabletext"/>
              <w:keepLines/>
              <w:jc w:val="center"/>
            </w:pPr>
          </w:p>
          <w:p w14:paraId="257ECD9D" w14:textId="77777777" w:rsidR="00EF3B90" w:rsidRDefault="00EF3B90" w:rsidP="00166B10">
            <w:pPr>
              <w:pStyle w:val="COMTabletext"/>
              <w:keepLines/>
              <w:jc w:val="center"/>
            </w:pPr>
            <w:r>
              <w:t>79 (42.2)</w:t>
            </w:r>
          </w:p>
          <w:p w14:paraId="0CA2B9CF" w14:textId="77777777" w:rsidR="00EF3B90" w:rsidRDefault="00EF3B90" w:rsidP="00166B10">
            <w:pPr>
              <w:pStyle w:val="COMTabletext"/>
              <w:keepLines/>
              <w:jc w:val="center"/>
            </w:pPr>
            <w:r>
              <w:t>83 (44.4)</w:t>
            </w:r>
          </w:p>
          <w:p w14:paraId="59BEFDC9" w14:textId="77777777" w:rsidR="00EF3B90" w:rsidRDefault="00EF3B90" w:rsidP="00166B10">
            <w:pPr>
              <w:pStyle w:val="COMTabletext"/>
              <w:keepLines/>
              <w:jc w:val="center"/>
            </w:pPr>
            <w:r>
              <w:t>48 (25.7)</w:t>
            </w:r>
          </w:p>
          <w:p w14:paraId="0F1ADBB8" w14:textId="77777777" w:rsidR="00EF3B90" w:rsidRDefault="00EF3B90" w:rsidP="00166B10">
            <w:pPr>
              <w:pStyle w:val="COMTabletext"/>
              <w:keepLines/>
              <w:jc w:val="center"/>
            </w:pPr>
            <w:r>
              <w:t>51 (27.3)</w:t>
            </w:r>
          </w:p>
          <w:p w14:paraId="146BD134" w14:textId="77777777" w:rsidR="00EF3B90" w:rsidRDefault="00EF3B90" w:rsidP="00166B10">
            <w:pPr>
              <w:pStyle w:val="COMTabletext"/>
              <w:keepLines/>
              <w:jc w:val="center"/>
            </w:pPr>
            <w:r>
              <w:t>24 (12.8)</w:t>
            </w:r>
          </w:p>
          <w:p w14:paraId="07456394" w14:textId="77777777" w:rsidR="00EF3B90" w:rsidRDefault="00EF3B90" w:rsidP="00166B10">
            <w:pPr>
              <w:pStyle w:val="COMTabletext"/>
              <w:keepLines/>
              <w:jc w:val="center"/>
            </w:pPr>
            <w:r>
              <w:t>23 (12.3)</w:t>
            </w:r>
          </w:p>
          <w:p w14:paraId="0C09D446" w14:textId="77777777" w:rsidR="00EF3B90" w:rsidRDefault="00EF3B90" w:rsidP="00166B10">
            <w:pPr>
              <w:pStyle w:val="COMTabletext"/>
              <w:keepLines/>
              <w:jc w:val="center"/>
            </w:pPr>
            <w:r>
              <w:t>18 (9.6)</w:t>
            </w:r>
          </w:p>
          <w:p w14:paraId="70213B0C" w14:textId="77777777" w:rsidR="00EF3B90" w:rsidRDefault="00EF3B90" w:rsidP="00166B10">
            <w:pPr>
              <w:pStyle w:val="COMTabletext"/>
              <w:keepLines/>
              <w:jc w:val="center"/>
            </w:pPr>
            <w:r w:rsidRPr="00AB74C5">
              <w:t>16 (8.6)</w:t>
            </w:r>
          </w:p>
          <w:p w14:paraId="45E32F59" w14:textId="77777777" w:rsidR="00EF3B90" w:rsidRDefault="00EF3B90" w:rsidP="00166B10">
            <w:pPr>
              <w:pStyle w:val="COMTabletext"/>
              <w:keepLines/>
              <w:jc w:val="center"/>
            </w:pPr>
            <w:r w:rsidRPr="00AB74C5">
              <w:t>14 (7.5)</w:t>
            </w:r>
          </w:p>
          <w:p w14:paraId="379C4A11" w14:textId="77777777" w:rsidR="00EF3B90" w:rsidRDefault="00EF3B90" w:rsidP="00166B10">
            <w:pPr>
              <w:pStyle w:val="COMTabletext"/>
              <w:keepLines/>
              <w:jc w:val="center"/>
            </w:pPr>
            <w:r w:rsidRPr="00AB74C5">
              <w:t>9 (4.8)</w:t>
            </w:r>
          </w:p>
          <w:p w14:paraId="01D234C3" w14:textId="77777777" w:rsidR="00EF3B90" w:rsidRDefault="00EF3B90" w:rsidP="00166B10">
            <w:pPr>
              <w:pStyle w:val="COMTabletext"/>
              <w:keepLines/>
              <w:jc w:val="center"/>
            </w:pPr>
            <w:r w:rsidRPr="00AB74C5">
              <w:t>9 (4.8)</w:t>
            </w:r>
          </w:p>
          <w:p w14:paraId="783ED45C" w14:textId="77777777" w:rsidR="00EF3B90" w:rsidRDefault="00EF3B90" w:rsidP="00166B10">
            <w:pPr>
              <w:pStyle w:val="COMTabletext"/>
              <w:keepLines/>
              <w:jc w:val="center"/>
            </w:pPr>
            <w:r w:rsidRPr="00AB74C5">
              <w:t>8 (4.3)</w:t>
            </w:r>
          </w:p>
          <w:p w14:paraId="1D65BE1E" w14:textId="77777777" w:rsidR="00EF3B90" w:rsidRDefault="00EF3B90" w:rsidP="00166B10">
            <w:pPr>
              <w:pStyle w:val="COMTabletext"/>
              <w:keepLines/>
              <w:jc w:val="center"/>
            </w:pPr>
            <w:r w:rsidRPr="008F6461">
              <w:t>9 (4.8)</w:t>
            </w:r>
          </w:p>
          <w:p w14:paraId="63DC81A3" w14:textId="633B56A5" w:rsidR="00EF3B90" w:rsidRDefault="00EF3B90" w:rsidP="00166B10">
            <w:pPr>
              <w:pStyle w:val="COMTabletext"/>
              <w:keepLines/>
              <w:jc w:val="center"/>
            </w:pPr>
            <w:r w:rsidRPr="008F6461">
              <w:t>8 (4.3)</w:t>
            </w:r>
          </w:p>
        </w:tc>
      </w:tr>
    </w:tbl>
    <w:p w14:paraId="75817C3A" w14:textId="77777777" w:rsidR="007B53F1" w:rsidRDefault="007B53F1" w:rsidP="00166B10">
      <w:pPr>
        <w:pStyle w:val="COMTablefooter"/>
        <w:keepNext/>
        <w:keepLines/>
      </w:pPr>
      <w:r w:rsidRPr="00471739">
        <w:t xml:space="preserve">Source: </w:t>
      </w:r>
      <w:r>
        <w:t>Table 19, p64, Table 20, p65; Table 21, pp66-69 of the MagnetisMM-3 clinical study report.</w:t>
      </w:r>
    </w:p>
    <w:p w14:paraId="0387A2AD" w14:textId="77777777" w:rsidR="007B53F1" w:rsidRDefault="007B53F1" w:rsidP="007B53F1">
      <w:pPr>
        <w:pStyle w:val="COMTablefooter"/>
      </w:pPr>
      <w:r>
        <w:t>Abbreviations: AE, adverse event.</w:t>
      </w:r>
    </w:p>
    <w:p w14:paraId="05788604" w14:textId="0453478A" w:rsidR="007B53F1" w:rsidRDefault="007B53F1" w:rsidP="00032C04">
      <w:pPr>
        <w:pStyle w:val="COMexecsummnumbered"/>
      </w:pPr>
      <w:r>
        <w:t>All patients experienced at least one adverse event, with 91% experiencing at least one treatment-related adverse event. The most commonly occurring adverse events in the overall population were cytokine release syndrome (58.8%), anaemia (53.5%), neutropenia (46.0%), diarrhoea (42.2%), thrombocytopenia (35.3%) and fatigue (29.9%).</w:t>
      </w:r>
    </w:p>
    <w:p w14:paraId="291C03AF" w14:textId="7677D84C" w:rsidR="00032C04" w:rsidRDefault="007B53F1" w:rsidP="007B53F1">
      <w:pPr>
        <w:pStyle w:val="COMexecsummnumbered"/>
      </w:pPr>
      <w:r>
        <w:t>Grade 3</w:t>
      </w:r>
      <w:r w:rsidR="00032C04">
        <w:t>/</w:t>
      </w:r>
      <w:r>
        <w:t>4 adverse events occurred in 70% of the overall population. The most commonly occurring Grade 3</w:t>
      </w:r>
      <w:r w:rsidR="00032C04">
        <w:t>/</w:t>
      </w:r>
      <w:r>
        <w:t>4 adverse events were anaemia (42.2%), neutropenia (44.4%), thrombocytopenia (25.7%), lymphopenia (27.3%), leukopenia (12.8%) and COVID-19 pneumonia (12.3%).</w:t>
      </w:r>
    </w:p>
    <w:p w14:paraId="56CDAEE4" w14:textId="6FAE973B" w:rsidR="007B53F1" w:rsidRDefault="007B53F1" w:rsidP="007B53F1">
      <w:pPr>
        <w:pStyle w:val="COMexecsummnumbered"/>
      </w:pPr>
      <w:r>
        <w:t xml:space="preserve">Fatal adverse events occurred in 42 patients (22.5%) </w:t>
      </w:r>
      <w:r w:rsidR="00032C04">
        <w:t>in</w:t>
      </w:r>
      <w:r>
        <w:t xml:space="preserve"> the overall population, with 6</w:t>
      </w:r>
      <w:r w:rsidR="00166B10">
        <w:t> </w:t>
      </w:r>
      <w:r>
        <w:t>events (3.2%</w:t>
      </w:r>
      <w:r w:rsidR="008730FA">
        <w:t xml:space="preserve"> of the overall population</w:t>
      </w:r>
      <w:r>
        <w:t xml:space="preserve">) considered to be related to treatment. The treatment-related </w:t>
      </w:r>
      <w:r w:rsidR="008730FA">
        <w:t xml:space="preserve">fatal </w:t>
      </w:r>
      <w:r>
        <w:t>adverse events included cardiac arrest, failure to thrive, pneumonia pseudomonal, adenoviral hepatitis, and septic shock. One participant experienced a concurrent event of adenovirus infection and adenoviral</w:t>
      </w:r>
      <w:r w:rsidRPr="001C1C12">
        <w:t xml:space="preserve"> </w:t>
      </w:r>
      <w:r>
        <w:t>pneumonia.</w:t>
      </w:r>
    </w:p>
    <w:p w14:paraId="76A08E9F" w14:textId="1CA7D78C" w:rsidR="0099240F" w:rsidRDefault="008730FA" w:rsidP="0099240F">
      <w:pPr>
        <w:pStyle w:val="COMexecsummnumbered"/>
      </w:pPr>
      <w:r w:rsidRPr="008730FA">
        <w:lastRenderedPageBreak/>
        <w:t>The product information for elranatamab includes a boxed warning for cytokine release syndrome</w:t>
      </w:r>
      <w:r w:rsidR="00433C1C">
        <w:t xml:space="preserve"> (CRS)</w:t>
      </w:r>
      <w:r w:rsidRPr="008730FA">
        <w:t xml:space="preserve"> and neurologic toxicity including </w:t>
      </w:r>
      <w:r w:rsidR="00032235">
        <w:t>i</w:t>
      </w:r>
      <w:r w:rsidR="00032235" w:rsidRPr="00032235">
        <w:t xml:space="preserve">mmune </w:t>
      </w:r>
      <w:r w:rsidR="00032235">
        <w:t>e</w:t>
      </w:r>
      <w:r w:rsidR="00032235" w:rsidRPr="00032235">
        <w:t xml:space="preserve">ffector </w:t>
      </w:r>
      <w:r w:rsidR="00032235">
        <w:t>c</w:t>
      </w:r>
      <w:r w:rsidR="00032235" w:rsidRPr="00032235">
        <w:t>ell-</w:t>
      </w:r>
      <w:r w:rsidR="00032235">
        <w:t>a</w:t>
      </w:r>
      <w:r w:rsidR="00032235" w:rsidRPr="00032235">
        <w:t xml:space="preserve">ssociated </w:t>
      </w:r>
      <w:r w:rsidR="00032235">
        <w:t>n</w:t>
      </w:r>
      <w:r w:rsidR="00032235" w:rsidRPr="00032235">
        <w:t xml:space="preserve">eurotoxicity </w:t>
      </w:r>
      <w:r w:rsidR="00032235">
        <w:t>s</w:t>
      </w:r>
      <w:r w:rsidR="00032235" w:rsidRPr="00032235">
        <w:t>yndrome</w:t>
      </w:r>
      <w:r w:rsidR="00032235">
        <w:t xml:space="preserve"> (</w:t>
      </w:r>
      <w:r w:rsidRPr="008730FA">
        <w:t>ICANS</w:t>
      </w:r>
      <w:r w:rsidR="00032235">
        <w:t>)</w:t>
      </w:r>
      <w:r w:rsidRPr="008730FA">
        <w:t>.</w:t>
      </w:r>
      <w:r w:rsidR="0099240F">
        <w:t xml:space="preserve"> In the overall population</w:t>
      </w:r>
      <w:r w:rsidR="00AD7942">
        <w:t xml:space="preserve"> of the MagnetisMM-3 study</w:t>
      </w:r>
      <w:r w:rsidR="0099240F">
        <w:t xml:space="preserve">, 80 patients experienced Grade 1, 29 patients experienced Grade 2, and 1 patient experienced Grade 3 </w:t>
      </w:r>
      <w:r w:rsidR="00AD7942">
        <w:t xml:space="preserve">adverse events of </w:t>
      </w:r>
      <w:r w:rsidR="00433C1C">
        <w:t>CRS</w:t>
      </w:r>
      <w:r w:rsidR="0099240F">
        <w:t xml:space="preserve">. </w:t>
      </w:r>
      <w:r w:rsidR="003D149D">
        <w:t xml:space="preserve">The pre-PBAC response highlighted that </w:t>
      </w:r>
      <w:proofErr w:type="gramStart"/>
      <w:r w:rsidR="003D149D">
        <w:t>the majority of</w:t>
      </w:r>
      <w:proofErr w:type="gramEnd"/>
      <w:r w:rsidR="003D149D">
        <w:t xml:space="preserve"> CRS </w:t>
      </w:r>
      <w:r w:rsidR="00DF49F0">
        <w:t>cases were low grade (96.5</w:t>
      </w:r>
      <w:r w:rsidR="002C53DE">
        <w:t>%</w:t>
      </w:r>
      <w:r w:rsidR="00DF49F0">
        <w:t xml:space="preserve"> were Grade 1/2). </w:t>
      </w:r>
      <w:r w:rsidR="0099240F">
        <w:t xml:space="preserve">Two patients experienced Grade 1 events, 4 patients experienced Grade 2 events, and 2 patients experienced Grade 3 </w:t>
      </w:r>
      <w:r w:rsidR="00AD7942">
        <w:t xml:space="preserve">adverse </w:t>
      </w:r>
      <w:r w:rsidR="0099240F">
        <w:t>events</w:t>
      </w:r>
      <w:r w:rsidR="00AD7942">
        <w:t xml:space="preserve"> of ICANS</w:t>
      </w:r>
      <w:r w:rsidR="0099240F">
        <w:t>.</w:t>
      </w:r>
      <w:r w:rsidR="00A60894">
        <w:t xml:space="preserve"> The pre-PBAC response highlighted that 60% of ICANs cases were low grade and were manageable</w:t>
      </w:r>
      <w:r w:rsidR="00773921">
        <w:t>.</w:t>
      </w:r>
    </w:p>
    <w:p w14:paraId="7C2B9E1D" w14:textId="03DF48DE" w:rsidR="008730FA" w:rsidRDefault="0099240F" w:rsidP="0099240F">
      <w:pPr>
        <w:pStyle w:val="COMexecsummnumbered"/>
      </w:pPr>
      <w:r>
        <w:t xml:space="preserve">In the overall population, a total of 8 patients (4.3%) developed ICANS events, including 2/4 patients (50%) who received 1 step-up dose of 44 mg elranatamab and 6/183 participants (3.3%) who received 2 step-up priming doses. </w:t>
      </w:r>
      <w:r w:rsidR="00545D15">
        <w:t xml:space="preserve">The pre-PBAC response noted that </w:t>
      </w:r>
      <w:proofErr w:type="gramStart"/>
      <w:r w:rsidR="00545D15">
        <w:t xml:space="preserve">the </w:t>
      </w:r>
      <w:r w:rsidR="00433C1C">
        <w:t>majority of</w:t>
      </w:r>
      <w:proofErr w:type="gramEnd"/>
      <w:r w:rsidR="00433C1C">
        <w:t xml:space="preserve"> patients who experienced CRS and ICANs </w:t>
      </w:r>
      <w:r w:rsidR="00CC432A">
        <w:t>did so during the first week of treatment when they were already in hospital</w:t>
      </w:r>
      <w:r w:rsidR="00020421">
        <w:t>.</w:t>
      </w:r>
    </w:p>
    <w:p w14:paraId="393F4893" w14:textId="2A60CDD1" w:rsidR="006D3BF1" w:rsidRDefault="00E27124" w:rsidP="002A3BF4">
      <w:pPr>
        <w:pStyle w:val="COMexecsummnumbered"/>
      </w:pPr>
      <w:r>
        <w:t>Selected a</w:t>
      </w:r>
      <w:r w:rsidR="00EB2029">
        <w:t>dverse event</w:t>
      </w:r>
      <w:r>
        <w:t xml:space="preserve"> results</w:t>
      </w:r>
      <w:r w:rsidR="00EB2029">
        <w:t xml:space="preserve"> for </w:t>
      </w:r>
      <w:r w:rsidR="00702674">
        <w:t>Cd</w:t>
      </w:r>
      <w:r w:rsidR="00DA0725">
        <w:t xml:space="preserve">, </w:t>
      </w:r>
      <w:r w:rsidR="00702674">
        <w:t>Pd</w:t>
      </w:r>
      <w:r w:rsidR="00DA0725">
        <w:t xml:space="preserve"> and </w:t>
      </w:r>
      <w:r w:rsidR="00702674">
        <w:t>Sd</w:t>
      </w:r>
      <w:r w:rsidR="00EB2029">
        <w:t xml:space="preserve"> reported in the respective </w:t>
      </w:r>
      <w:r>
        <w:t xml:space="preserve">study publications </w:t>
      </w:r>
      <w:r w:rsidR="00EB2029">
        <w:t>were presented in the resubmission</w:t>
      </w:r>
      <w:r w:rsidR="00DA0725">
        <w:t xml:space="preserve">. </w:t>
      </w:r>
      <w:r w:rsidR="00DA0725" w:rsidRPr="0035502F">
        <w:t xml:space="preserve">In general, comparison of adverse events between </w:t>
      </w:r>
      <w:r w:rsidR="00EB2029" w:rsidRPr="0035502F">
        <w:t>studies</w:t>
      </w:r>
      <w:r w:rsidR="00DA0725" w:rsidRPr="0035502F">
        <w:t xml:space="preserve"> was impacted by limited </w:t>
      </w:r>
      <w:r w:rsidR="006D3BF1" w:rsidRPr="0035502F">
        <w:t xml:space="preserve">reporting of adverse events for the </w:t>
      </w:r>
      <w:r w:rsidR="001D16EA" w:rsidRPr="0035502F">
        <w:t xml:space="preserve">comparator studies, </w:t>
      </w:r>
      <w:r w:rsidR="006D3BF1" w:rsidRPr="0035502F">
        <w:t>differences in the included patient populations</w:t>
      </w:r>
      <w:r w:rsidR="001D16EA" w:rsidRPr="0035502F">
        <w:t>,</w:t>
      </w:r>
      <w:r w:rsidR="006D3BF1" w:rsidRPr="0035502F">
        <w:t xml:space="preserve"> and differences in the adverse event reporting periods between the studies.</w:t>
      </w:r>
    </w:p>
    <w:p w14:paraId="04908C7F" w14:textId="415B9B7D" w:rsidR="007F1017" w:rsidRPr="006E0FA2" w:rsidRDefault="007F1017" w:rsidP="003D5DE7">
      <w:pPr>
        <w:pStyle w:val="COMH2-non-numbered"/>
      </w:pPr>
      <w:bookmarkStart w:id="42" w:name="_Toc22897643"/>
      <w:bookmarkStart w:id="43" w:name="_Toc188287178"/>
      <w:r w:rsidRPr="006E0FA2">
        <w:t>Benefits/harms</w:t>
      </w:r>
      <w:bookmarkEnd w:id="42"/>
      <w:bookmarkEnd w:id="43"/>
    </w:p>
    <w:p w14:paraId="4EB1614F" w14:textId="3943373E" w:rsidR="007D1352" w:rsidRPr="0035502F" w:rsidRDefault="00C67331" w:rsidP="00AB6DB3">
      <w:pPr>
        <w:pStyle w:val="COMexecsummnumbered"/>
      </w:pPr>
      <w:r w:rsidRPr="0035502F">
        <w:t>The indirect comparisons presented in the resubmission did not allow for a robust comparison of the benefits and harms of elranatamab and standard of care. Accordingly, a benefits/harms table has not been presented.</w:t>
      </w:r>
    </w:p>
    <w:p w14:paraId="7A1772B6" w14:textId="23BB3145" w:rsidR="00B60939" w:rsidRPr="006E0FA2" w:rsidRDefault="00B60939" w:rsidP="003D5DE7">
      <w:pPr>
        <w:pStyle w:val="COMH2-non-numbered"/>
      </w:pPr>
      <w:bookmarkStart w:id="44" w:name="_Toc22897644"/>
      <w:bookmarkStart w:id="45" w:name="_Toc188287179"/>
      <w:r w:rsidRPr="006E0FA2">
        <w:t>Clinical claim</w:t>
      </w:r>
      <w:bookmarkEnd w:id="44"/>
      <w:bookmarkEnd w:id="45"/>
    </w:p>
    <w:p w14:paraId="29261416" w14:textId="50F30EDE" w:rsidR="007B6C1D" w:rsidRPr="00455205" w:rsidRDefault="007B6C1D" w:rsidP="007B6C1D">
      <w:pPr>
        <w:pStyle w:val="COMexecsummnumbered"/>
      </w:pPr>
      <w:r w:rsidRPr="00455205">
        <w:t xml:space="preserve">The submission described elranatamab as superior in terms of effectiveness and non-inferior but different in terms of safety compared to standard of care, represented </w:t>
      </w:r>
      <w:r w:rsidR="002C53DE">
        <w:t>by Cd, Pd and Sd</w:t>
      </w:r>
      <w:r w:rsidRPr="00455205">
        <w:t xml:space="preserve">. </w:t>
      </w:r>
    </w:p>
    <w:p w14:paraId="2C462CA8" w14:textId="2D7ACA70" w:rsidR="007B6C1D" w:rsidRPr="00455205" w:rsidRDefault="007B6C1D" w:rsidP="007B6C1D">
      <w:pPr>
        <w:pStyle w:val="COMexecsummnumbered"/>
      </w:pPr>
      <w:r w:rsidRPr="00455205">
        <w:t>The therapeutic conclusion presented in the submission was partially supported</w:t>
      </w:r>
      <w:r w:rsidR="007C4DD5" w:rsidRPr="00455205">
        <w:t xml:space="preserve"> by the ESC</w:t>
      </w:r>
      <w:r w:rsidR="00095B4C" w:rsidRPr="00455205">
        <w:t>, as outlined below</w:t>
      </w:r>
      <w:r w:rsidRPr="00455205">
        <w:t>:</w:t>
      </w:r>
    </w:p>
    <w:p w14:paraId="014C0423" w14:textId="02E8362D" w:rsidR="007B6C1D" w:rsidRPr="00455205" w:rsidRDefault="007B6C1D" w:rsidP="00AB6DB3">
      <w:pPr>
        <w:pStyle w:val="COMexecsummbulletlist"/>
        <w:ind w:hanging="357"/>
      </w:pPr>
      <w:r w:rsidRPr="00455205">
        <w:t xml:space="preserve">The </w:t>
      </w:r>
      <w:r w:rsidR="007C4DD5" w:rsidRPr="00455205">
        <w:t xml:space="preserve">ESC noted that </w:t>
      </w:r>
      <w:r w:rsidR="00666069" w:rsidRPr="00455205">
        <w:t xml:space="preserve">the </w:t>
      </w:r>
      <w:r w:rsidRPr="00455205">
        <w:t xml:space="preserve">comparison of elranatamab versus </w:t>
      </w:r>
      <w:r w:rsidR="00E6046D" w:rsidRPr="00455205">
        <w:t>Cd</w:t>
      </w:r>
      <w:r w:rsidRPr="00455205">
        <w:t>, which was assumed to represent 51.0% of the standard care therapy mix, was limited to a</w:t>
      </w:r>
      <w:r w:rsidR="00574371">
        <w:t>n</w:t>
      </w:r>
      <w:r w:rsidRPr="00455205">
        <w:t xml:space="preserve"> </w:t>
      </w:r>
      <w:r w:rsidR="00386EF9" w:rsidRPr="00455205">
        <w:t>unanchored ITC</w:t>
      </w:r>
      <w:r w:rsidRPr="00455205">
        <w:t xml:space="preserve"> of outcomes among a subgroup </w:t>
      </w:r>
      <w:r w:rsidR="00666069" w:rsidRPr="00455205">
        <w:t xml:space="preserve">of </w:t>
      </w:r>
      <w:r w:rsidRPr="00455205">
        <w:t xml:space="preserve">patients with 2 to 3 prior </w:t>
      </w:r>
      <w:r w:rsidR="00574371">
        <w:t xml:space="preserve">lines of </w:t>
      </w:r>
      <w:r w:rsidRPr="00455205">
        <w:t xml:space="preserve">treatment. </w:t>
      </w:r>
      <w:r w:rsidR="00D16204" w:rsidRPr="00455205">
        <w:t>T</w:t>
      </w:r>
      <w:r w:rsidR="00666069" w:rsidRPr="00455205">
        <w:t xml:space="preserve">he ESC considered that </w:t>
      </w:r>
      <w:r w:rsidR="001D5D3E" w:rsidRPr="00455205">
        <w:t>although there was a trend towards elranatamab being superior in terms of efficacy</w:t>
      </w:r>
      <w:r w:rsidR="007C031F" w:rsidRPr="00455205">
        <w:t xml:space="preserve"> compared to Cd</w:t>
      </w:r>
      <w:r w:rsidR="001D5D3E" w:rsidRPr="00455205">
        <w:t xml:space="preserve">, </w:t>
      </w:r>
      <w:r w:rsidR="007C031F" w:rsidRPr="00455205">
        <w:t>the data presented did not adequately support the claim</w:t>
      </w:r>
      <w:r w:rsidR="00695027">
        <w:t xml:space="preserve"> for the reasons outlined in paragraph </w:t>
      </w:r>
      <w:r w:rsidR="00695027">
        <w:fldChar w:fldCharType="begin" w:fldLock="1"/>
      </w:r>
      <w:r w:rsidR="00695027">
        <w:instrText xml:space="preserve"> REF _Ref193179506 \r \h </w:instrText>
      </w:r>
      <w:r w:rsidR="00695027">
        <w:fldChar w:fldCharType="separate"/>
      </w:r>
      <w:r w:rsidR="00347D89">
        <w:t>6.29</w:t>
      </w:r>
      <w:r w:rsidR="00695027">
        <w:fldChar w:fldCharType="end"/>
      </w:r>
      <w:r w:rsidR="007C031F" w:rsidRPr="00455205">
        <w:t>.</w:t>
      </w:r>
      <w:r w:rsidR="00D16204" w:rsidRPr="00455205">
        <w:t xml:space="preserve"> </w:t>
      </w:r>
    </w:p>
    <w:p w14:paraId="5C476C55" w14:textId="55838B37" w:rsidR="007B6C1D" w:rsidRPr="00455205" w:rsidRDefault="007B6C1D" w:rsidP="00AB6DB3">
      <w:pPr>
        <w:pStyle w:val="COMexecsummbulletlist"/>
        <w:ind w:hanging="357"/>
      </w:pPr>
      <w:r w:rsidRPr="00455205">
        <w:t xml:space="preserve">The </w:t>
      </w:r>
      <w:r w:rsidR="007C031F" w:rsidRPr="00455205">
        <w:t xml:space="preserve">ESC noted that </w:t>
      </w:r>
      <w:r w:rsidR="00095B4C" w:rsidRPr="00455205">
        <w:t xml:space="preserve">the </w:t>
      </w:r>
      <w:r w:rsidRPr="00455205">
        <w:t xml:space="preserve">comparison of elranatamab versus </w:t>
      </w:r>
      <w:r w:rsidR="00E6046D" w:rsidRPr="00455205">
        <w:t>Pd</w:t>
      </w:r>
      <w:r w:rsidRPr="00455205">
        <w:t>, which was assumed to represent 46.5% of the standard care therapy mix, was based on the results of a</w:t>
      </w:r>
      <w:r w:rsidR="00574371">
        <w:t>n</w:t>
      </w:r>
      <w:r w:rsidRPr="00455205">
        <w:t xml:space="preserve"> </w:t>
      </w:r>
      <w:r w:rsidR="00386EF9" w:rsidRPr="00455205">
        <w:t>unanchored ITC</w:t>
      </w:r>
      <w:r w:rsidRPr="00455205">
        <w:t xml:space="preserve"> and an unanchored MAIC. </w:t>
      </w:r>
      <w:r w:rsidR="00176CED">
        <w:t>The ESC noted the</w:t>
      </w:r>
      <w:r w:rsidR="003D2887">
        <w:t xml:space="preserve"> limitation</w:t>
      </w:r>
      <w:r w:rsidR="002D73D0">
        <w:t>s</w:t>
      </w:r>
      <w:r w:rsidR="003D2887">
        <w:t xml:space="preserve"> associated</w:t>
      </w:r>
      <w:r w:rsidR="00176CED">
        <w:t xml:space="preserve"> with this comparison</w:t>
      </w:r>
      <w:r w:rsidR="00716613">
        <w:t xml:space="preserve"> (see paragraph </w:t>
      </w:r>
      <w:r w:rsidR="00716613">
        <w:fldChar w:fldCharType="begin" w:fldLock="1"/>
      </w:r>
      <w:r w:rsidR="00716613">
        <w:instrText xml:space="preserve"> REF _Ref193351923 \r \h </w:instrText>
      </w:r>
      <w:r w:rsidR="00716613">
        <w:fldChar w:fldCharType="separate"/>
      </w:r>
      <w:r w:rsidR="00347D89">
        <w:t>6.38</w:t>
      </w:r>
      <w:r w:rsidR="00716613">
        <w:fldChar w:fldCharType="end"/>
      </w:r>
      <w:r w:rsidR="00716613">
        <w:t>)</w:t>
      </w:r>
      <w:r w:rsidR="00176CED">
        <w:t>; h</w:t>
      </w:r>
      <w:r w:rsidRPr="00455205">
        <w:t xml:space="preserve">owever, </w:t>
      </w:r>
      <w:r w:rsidR="003D2887">
        <w:t xml:space="preserve">noted </w:t>
      </w:r>
      <w:r w:rsidRPr="00455205">
        <w:t xml:space="preserve">the results </w:t>
      </w:r>
      <w:r w:rsidRPr="00455205">
        <w:lastRenderedPageBreak/>
        <w:t xml:space="preserve">of the unanchored MAICs demonstrated </w:t>
      </w:r>
      <w:r w:rsidR="00E27124" w:rsidRPr="00455205">
        <w:t xml:space="preserve">(nominally) </w:t>
      </w:r>
      <w:r w:rsidRPr="00455205">
        <w:t xml:space="preserve">statistically significant differences favouring elranatamab, and in each case there was a clear difference in the trajectory of the Kaplan-Meier </w:t>
      </w:r>
      <w:r w:rsidR="007A0C2B" w:rsidRPr="00455205">
        <w:t xml:space="preserve">overall survival </w:t>
      </w:r>
      <w:r w:rsidRPr="00455205">
        <w:t>curves.</w:t>
      </w:r>
      <w:r w:rsidR="00095B4C" w:rsidRPr="00455205">
        <w:t xml:space="preserve"> On balance, the ESC considered that the data presented supported the claim that elranatamab was superior in terms of efficacy compared to Pd.</w:t>
      </w:r>
    </w:p>
    <w:p w14:paraId="3B13ECDF" w14:textId="0AF5BEA7" w:rsidR="007B6C1D" w:rsidRPr="00455205" w:rsidRDefault="007B6C1D" w:rsidP="00AB6DB3">
      <w:pPr>
        <w:pStyle w:val="COMexecsummbulletlist"/>
        <w:ind w:hanging="357"/>
      </w:pPr>
      <w:r w:rsidRPr="00455205">
        <w:t xml:space="preserve">The </w:t>
      </w:r>
      <w:r w:rsidR="005B2826" w:rsidRPr="00455205">
        <w:t xml:space="preserve">ESC noted that the </w:t>
      </w:r>
      <w:r w:rsidRPr="00455205">
        <w:t xml:space="preserve">comparison of elranatamab versus </w:t>
      </w:r>
      <w:r w:rsidR="00E6046D" w:rsidRPr="00455205">
        <w:t>Sd</w:t>
      </w:r>
      <w:r w:rsidRPr="00455205">
        <w:t>, which was assumed to represent 2.5% of the standard care therapy mix, was based on the results of a</w:t>
      </w:r>
      <w:r w:rsidR="00574371">
        <w:t>n</w:t>
      </w:r>
      <w:r w:rsidRPr="00455205">
        <w:t xml:space="preserve"> </w:t>
      </w:r>
      <w:r w:rsidR="00C46339" w:rsidRPr="00455205">
        <w:t>unanchored ITC</w:t>
      </w:r>
      <w:r w:rsidRPr="00455205">
        <w:t xml:space="preserve"> and an unanchored MAIC. </w:t>
      </w:r>
      <w:r w:rsidR="002D73D0">
        <w:t xml:space="preserve">The ESC noted the limitations associated with this comparison (see paragraph </w:t>
      </w:r>
      <w:r w:rsidR="002D73D0">
        <w:fldChar w:fldCharType="begin" w:fldLock="1"/>
      </w:r>
      <w:r w:rsidR="002D73D0">
        <w:instrText xml:space="preserve"> REF _Ref193352017 \r \h </w:instrText>
      </w:r>
      <w:r w:rsidR="002D73D0">
        <w:fldChar w:fldCharType="separate"/>
      </w:r>
      <w:r w:rsidR="00347D89">
        <w:t>6.46</w:t>
      </w:r>
      <w:r w:rsidR="002D73D0">
        <w:fldChar w:fldCharType="end"/>
      </w:r>
      <w:r w:rsidR="002D73D0">
        <w:t>); h</w:t>
      </w:r>
      <w:r w:rsidR="002D73D0" w:rsidRPr="00455205">
        <w:t xml:space="preserve">owever, </w:t>
      </w:r>
      <w:r w:rsidR="002D73D0">
        <w:t>noted</w:t>
      </w:r>
      <w:r w:rsidR="00574371">
        <w:t xml:space="preserve"> </w:t>
      </w:r>
      <w:r w:rsidRPr="00455205">
        <w:t xml:space="preserve">the results of the unanchored MAICs demonstrated </w:t>
      </w:r>
      <w:r w:rsidR="00E27124" w:rsidRPr="00455205">
        <w:t xml:space="preserve">(nominally) </w:t>
      </w:r>
      <w:r w:rsidRPr="00455205">
        <w:t xml:space="preserve">statistically significant differences favouring elranatamab, and in each case there was a clear difference in the trajectory of the Kaplan-Meier </w:t>
      </w:r>
      <w:r w:rsidR="007A0C2B" w:rsidRPr="00455205">
        <w:t xml:space="preserve">overall survival </w:t>
      </w:r>
      <w:r w:rsidRPr="00455205">
        <w:t>curves.</w:t>
      </w:r>
      <w:r w:rsidR="005B2826" w:rsidRPr="00455205">
        <w:t xml:space="preserve"> On balance, the ESC considered that the data presented supported the claim that elranatamab was superior in terms of efficacy compared to Sd.</w:t>
      </w:r>
    </w:p>
    <w:p w14:paraId="131572F2" w14:textId="596BEF9F" w:rsidR="00B57427" w:rsidRPr="00455205" w:rsidRDefault="00B57427" w:rsidP="00AB6DB3">
      <w:pPr>
        <w:pStyle w:val="COMexecsummbulletlist"/>
        <w:ind w:hanging="357"/>
      </w:pPr>
      <w:r w:rsidRPr="00455205">
        <w:t xml:space="preserve">While the resubmission presented the results for Cohort B of the MagnetisMM-3 study (patients with prior BCMA-directed therapy), no clinical claim in relation to patients with prior BCMA-directed therapy was made, and no estimates of comparative effectiveness were presented. </w:t>
      </w:r>
      <w:r w:rsidR="007262D6" w:rsidRPr="00455205">
        <w:t>The ESC noted that the r</w:t>
      </w:r>
      <w:r w:rsidRPr="00455205">
        <w:t>esults for Cohort B suggest that patients with prior BCMA-directed therapy experienced poorer outcomes with elranatamab.</w:t>
      </w:r>
    </w:p>
    <w:p w14:paraId="0672ECD9" w14:textId="44B7B000" w:rsidR="007B6C1D" w:rsidRPr="00574371" w:rsidRDefault="007B6C1D" w:rsidP="00AB6DB3">
      <w:pPr>
        <w:pStyle w:val="COMexecsummbulletlist"/>
      </w:pPr>
      <w:r w:rsidRPr="00455205">
        <w:t xml:space="preserve">The </w:t>
      </w:r>
      <w:r w:rsidR="005B2826" w:rsidRPr="00455205">
        <w:t xml:space="preserve">ESC noted that the </w:t>
      </w:r>
      <w:r w:rsidRPr="00455205">
        <w:t>comparison of safety outcomes was impacted by the limited reporting of adverse events for the standard of care therapies, differences in the included patient populations, and differences in the adverse event reporting periods between the studies</w:t>
      </w:r>
      <w:bookmarkStart w:id="46" w:name="_Hlk187759743"/>
      <w:r w:rsidR="00A322DB" w:rsidRPr="00455205">
        <w:t>.</w:t>
      </w:r>
      <w:bookmarkEnd w:id="46"/>
      <w:r w:rsidR="003B6B79" w:rsidRPr="00455205">
        <w:t xml:space="preserve"> </w:t>
      </w:r>
      <w:r w:rsidR="004753F9" w:rsidRPr="00455205">
        <w:t xml:space="preserve">Noting </w:t>
      </w:r>
      <w:r w:rsidR="0053626C" w:rsidRPr="00455205">
        <w:t xml:space="preserve">that elranatamab was associated </w:t>
      </w:r>
      <w:r w:rsidR="0053626C" w:rsidRPr="00574371">
        <w:t xml:space="preserve">with </w:t>
      </w:r>
      <w:r w:rsidR="00453D55" w:rsidRPr="00574371">
        <w:t>CRS</w:t>
      </w:r>
      <w:r w:rsidR="0053626C" w:rsidRPr="00574371">
        <w:t xml:space="preserve"> and ICANs, the ESC considered that elranatamab was inferior compared to standard of care</w:t>
      </w:r>
      <w:r w:rsidR="00386EF9" w:rsidRPr="00574371">
        <w:t xml:space="preserve"> in terms of safety.</w:t>
      </w:r>
      <w:r w:rsidR="00773921" w:rsidRPr="00574371">
        <w:t xml:space="preserve"> The pre-PBAC response </w:t>
      </w:r>
      <w:r w:rsidR="00394B30" w:rsidRPr="00574371">
        <w:t>reiterated</w:t>
      </w:r>
      <w:r w:rsidR="009F68D7" w:rsidRPr="00574371">
        <w:t xml:space="preserve"> that elranatamab was not inferior to standard of care, but that it had a different adverse event profile</w:t>
      </w:r>
      <w:r w:rsidR="00C5422D" w:rsidRPr="00574371">
        <w:t xml:space="preserve"> to carfilzomib, pomalidomide and selinexor.</w:t>
      </w:r>
    </w:p>
    <w:p w14:paraId="0B865C35" w14:textId="0E2B2757" w:rsidR="003F597A" w:rsidRPr="00574371" w:rsidRDefault="001B0C2A" w:rsidP="003F597A">
      <w:pPr>
        <w:pStyle w:val="COMexecsummnumbered"/>
        <w:rPr>
          <w:snapToGrid w:val="0"/>
        </w:rPr>
      </w:pPr>
      <w:bookmarkStart w:id="47" w:name="_Hlk76376200"/>
      <w:r w:rsidRPr="00574371">
        <w:rPr>
          <w:iCs/>
          <w:snapToGrid w:val="0"/>
        </w:rPr>
        <w:t>On balance, t</w:t>
      </w:r>
      <w:r w:rsidR="003F597A" w:rsidRPr="00574371">
        <w:rPr>
          <w:iCs/>
          <w:snapToGrid w:val="0"/>
        </w:rPr>
        <w:t>he</w:t>
      </w:r>
      <w:r w:rsidR="003F597A" w:rsidRPr="00574371">
        <w:rPr>
          <w:snapToGrid w:val="0"/>
        </w:rPr>
        <w:t xml:space="preserve"> PBAC considered that the claim </w:t>
      </w:r>
      <w:r w:rsidR="00394B30" w:rsidRPr="00574371">
        <w:rPr>
          <w:snapToGrid w:val="0"/>
        </w:rPr>
        <w:t xml:space="preserve">that elranatamab had </w:t>
      </w:r>
      <w:r w:rsidR="003F597A" w:rsidRPr="00574371">
        <w:rPr>
          <w:snapToGrid w:val="0"/>
        </w:rPr>
        <w:t xml:space="preserve">superior comparative effectiveness </w:t>
      </w:r>
      <w:r w:rsidR="00394B30" w:rsidRPr="00574371">
        <w:rPr>
          <w:snapToGrid w:val="0"/>
        </w:rPr>
        <w:t>compared to Cd, Pd and S</w:t>
      </w:r>
      <w:r w:rsidR="00AD0C31" w:rsidRPr="00574371">
        <w:rPr>
          <w:snapToGrid w:val="0"/>
        </w:rPr>
        <w:t>d</w:t>
      </w:r>
      <w:r w:rsidR="00394B30" w:rsidRPr="00574371">
        <w:rPr>
          <w:snapToGrid w:val="0"/>
        </w:rPr>
        <w:t xml:space="preserve"> </w:t>
      </w:r>
      <w:r w:rsidR="003F597A" w:rsidRPr="00574371">
        <w:rPr>
          <w:snapToGrid w:val="0"/>
        </w:rPr>
        <w:t>was reasonable.</w:t>
      </w:r>
    </w:p>
    <w:p w14:paraId="3C8C12D4" w14:textId="19DFEFA1" w:rsidR="003F597A" w:rsidRPr="00574371" w:rsidRDefault="003F597A" w:rsidP="003F597A">
      <w:pPr>
        <w:pStyle w:val="COMexecsummnumbered"/>
        <w:rPr>
          <w:snapToGrid w:val="0"/>
        </w:rPr>
      </w:pPr>
      <w:r w:rsidRPr="00574371">
        <w:rPr>
          <w:snapToGrid w:val="0"/>
        </w:rPr>
        <w:t>The PBAC considered that the claim of non-inferior</w:t>
      </w:r>
      <w:r w:rsidR="00DD4A7C" w:rsidRPr="00574371">
        <w:rPr>
          <w:snapToGrid w:val="0"/>
        </w:rPr>
        <w:t xml:space="preserve"> but different</w:t>
      </w:r>
      <w:r w:rsidRPr="00574371">
        <w:rPr>
          <w:snapToGrid w:val="0"/>
        </w:rPr>
        <w:t xml:space="preserve"> comparative safety was not adequately supported by the data.</w:t>
      </w:r>
    </w:p>
    <w:p w14:paraId="526546F8" w14:textId="77777777" w:rsidR="003F597A" w:rsidRPr="00574371" w:rsidRDefault="003F597A" w:rsidP="00B360F6">
      <w:pPr>
        <w:pStyle w:val="COMH2-non-numbered"/>
      </w:pPr>
      <w:bookmarkStart w:id="48" w:name="_Toc22897645"/>
      <w:bookmarkStart w:id="49" w:name="_Toc188287180"/>
      <w:bookmarkEnd w:id="47"/>
      <w:r w:rsidRPr="00574371">
        <w:t>Economic analysis</w:t>
      </w:r>
      <w:bookmarkEnd w:id="48"/>
      <w:bookmarkEnd w:id="49"/>
      <w:r w:rsidRPr="00574371">
        <w:t xml:space="preserve"> </w:t>
      </w:r>
    </w:p>
    <w:p w14:paraId="47260E42" w14:textId="05A4516B" w:rsidR="00B16A62" w:rsidRPr="00EE45BD" w:rsidRDefault="00B16A62" w:rsidP="00641FB3">
      <w:pPr>
        <w:pStyle w:val="COMexecsummnumbered"/>
        <w:rPr>
          <w:b/>
          <w:bCs/>
        </w:rPr>
      </w:pPr>
      <w:r w:rsidRPr="00574371">
        <w:t xml:space="preserve">The resubmission presented a modelled economic evaluation comparing elranatamab with standard of care, for the treatment of patients with </w:t>
      </w:r>
      <w:r w:rsidR="006C74D6" w:rsidRPr="00574371">
        <w:t>RRMM</w:t>
      </w:r>
      <w:r w:rsidRPr="00574371">
        <w:t xml:space="preserve"> who have received at least three</w:t>
      </w:r>
      <w:r w:rsidRPr="00B16A62">
        <w:t xml:space="preserve"> prior lines of therapy. The base case was derived as the weighted average of modelled results for elranatamab versus each of the nominated standard of care components (</w:t>
      </w:r>
      <w:r w:rsidR="00E6046D">
        <w:t>Cd</w:t>
      </w:r>
      <w:r w:rsidRPr="00B16A62">
        <w:t xml:space="preserve">: 51.0%; </w:t>
      </w:r>
      <w:r w:rsidR="00E6046D">
        <w:t>Pd</w:t>
      </w:r>
      <w:r w:rsidRPr="00B16A62">
        <w:t xml:space="preserve">: 46.5%; </w:t>
      </w:r>
      <w:r w:rsidR="00E6046D">
        <w:t>Sd</w:t>
      </w:r>
      <w:r w:rsidRPr="00B16A62">
        <w:t xml:space="preserve">: 2.5%). The economic evaluation was based on the </w:t>
      </w:r>
      <w:r w:rsidR="00631C3E">
        <w:t xml:space="preserve">updated </w:t>
      </w:r>
      <w:r w:rsidRPr="00B16A62">
        <w:t xml:space="preserve">results of the MagnetisMM-3 study for elranatamab, and the ENDEAVOR, MM-003 and STORM studies for </w:t>
      </w:r>
      <w:r w:rsidR="00E6046D">
        <w:t>Cd</w:t>
      </w:r>
      <w:r w:rsidRPr="00B16A62">
        <w:t xml:space="preserve">, </w:t>
      </w:r>
      <w:r w:rsidR="00E6046D">
        <w:t>Pd</w:t>
      </w:r>
      <w:r w:rsidRPr="00B16A62">
        <w:t xml:space="preserve"> and </w:t>
      </w:r>
      <w:r w:rsidR="00E6046D">
        <w:t>Sd</w:t>
      </w:r>
      <w:r w:rsidRPr="00B16A62">
        <w:t xml:space="preserve">, respectively. </w:t>
      </w:r>
      <w:r w:rsidR="00BB75E9">
        <w:t>Further, the PBAC noted that the economic evaluation incorporated</w:t>
      </w:r>
      <w:r w:rsidR="006B18BA">
        <w:t xml:space="preserve"> 4-weekly dosing of elranatamab from </w:t>
      </w:r>
      <w:r w:rsidR="006B18BA">
        <w:lastRenderedPageBreak/>
        <w:t xml:space="preserve">Week 49. The PBAC noted that this was not consistent with the current Product Information for elranatamab. </w:t>
      </w:r>
      <w:r w:rsidRPr="00B16A62">
        <w:t xml:space="preserve">The economic evaluation was presented as a stepped cost-effectiveness/cost-utility analysis. </w:t>
      </w:r>
    </w:p>
    <w:p w14:paraId="15A9AFA4" w14:textId="3EA89EAF" w:rsidR="00275C5A" w:rsidRPr="006E0FA2" w:rsidRDefault="00E16AD8" w:rsidP="005903B1">
      <w:pPr>
        <w:pStyle w:val="COMtablefigcaption"/>
        <w:keepLines/>
      </w:pPr>
      <w:r w:rsidRPr="006E0FA2">
        <w:lastRenderedPageBreak/>
        <w:t xml:space="preserve">Table </w:t>
      </w:r>
      <w:r w:rsidR="006B329A">
        <w:fldChar w:fldCharType="begin" w:fldLock="1"/>
      </w:r>
      <w:r w:rsidR="006B329A">
        <w:instrText xml:space="preserve"> SEQ Table \* ARABIC </w:instrText>
      </w:r>
      <w:r w:rsidR="006B329A">
        <w:fldChar w:fldCharType="separate"/>
      </w:r>
      <w:r w:rsidR="00347D89">
        <w:rPr>
          <w:noProof/>
        </w:rPr>
        <w:t>13</w:t>
      </w:r>
      <w:r w:rsidR="006B329A">
        <w:rPr>
          <w:noProof/>
        </w:rPr>
        <w:fldChar w:fldCharType="end"/>
      </w:r>
      <w:r w:rsidRPr="006E0FA2">
        <w:t>:</w:t>
      </w:r>
      <w:r w:rsidR="00275C5A" w:rsidRPr="006E0FA2">
        <w:t xml:space="preserve"> Summary of model structure</w:t>
      </w:r>
      <w:r w:rsidR="00184B0E" w:rsidRPr="006E0FA2">
        <w:t>, key inputs</w:t>
      </w:r>
      <w:r w:rsidR="00275C5A" w:rsidRPr="006E0FA2">
        <w:t xml:space="preserv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Table 13: Summary of model structure, key inputs and rationale"/>
      </w:tblPr>
      <w:tblGrid>
        <w:gridCol w:w="1695"/>
        <w:gridCol w:w="7322"/>
      </w:tblGrid>
      <w:tr w:rsidR="00114FA7" w:rsidRPr="00455205" w14:paraId="48BB958D" w14:textId="77777777" w:rsidTr="005903B1">
        <w:trPr>
          <w:tblHeader/>
        </w:trPr>
        <w:tc>
          <w:tcPr>
            <w:tcW w:w="940" w:type="pct"/>
            <w:shd w:val="clear" w:color="auto" w:fill="auto"/>
            <w:vAlign w:val="center"/>
          </w:tcPr>
          <w:p w14:paraId="29C3D629" w14:textId="77777777" w:rsidR="00275C5A" w:rsidRPr="00455205" w:rsidRDefault="00275C5A" w:rsidP="005903B1">
            <w:pPr>
              <w:pStyle w:val="COMTableheadingrow"/>
              <w:keepLines/>
            </w:pPr>
            <w:r w:rsidRPr="00455205">
              <w:t>Component</w:t>
            </w:r>
          </w:p>
        </w:tc>
        <w:tc>
          <w:tcPr>
            <w:tcW w:w="4060" w:type="pct"/>
            <w:shd w:val="clear" w:color="auto" w:fill="auto"/>
            <w:vAlign w:val="center"/>
          </w:tcPr>
          <w:p w14:paraId="58FBA37B" w14:textId="77777777" w:rsidR="00275C5A" w:rsidRPr="00455205" w:rsidRDefault="00275C5A" w:rsidP="005903B1">
            <w:pPr>
              <w:pStyle w:val="COMTableheadingrow"/>
              <w:keepLines/>
              <w:jc w:val="center"/>
            </w:pPr>
            <w:r w:rsidRPr="00455205">
              <w:t>Summary</w:t>
            </w:r>
          </w:p>
        </w:tc>
      </w:tr>
      <w:tr w:rsidR="00114FA7" w:rsidRPr="00455205" w14:paraId="7476B2FD" w14:textId="77777777" w:rsidTr="005903B1">
        <w:tc>
          <w:tcPr>
            <w:tcW w:w="940" w:type="pct"/>
            <w:shd w:val="clear" w:color="auto" w:fill="auto"/>
            <w:vAlign w:val="center"/>
          </w:tcPr>
          <w:p w14:paraId="5FA8442E" w14:textId="27CD0EEA" w:rsidR="000A6039" w:rsidRPr="00455205" w:rsidRDefault="000A6039" w:rsidP="005903B1">
            <w:pPr>
              <w:pStyle w:val="COMTabletext"/>
              <w:keepLines/>
            </w:pPr>
            <w:r w:rsidRPr="00455205">
              <w:t>Treatments</w:t>
            </w:r>
          </w:p>
        </w:tc>
        <w:tc>
          <w:tcPr>
            <w:tcW w:w="4060" w:type="pct"/>
            <w:shd w:val="clear" w:color="auto" w:fill="auto"/>
            <w:vAlign w:val="center"/>
          </w:tcPr>
          <w:p w14:paraId="554C8AD3" w14:textId="76CBCD08" w:rsidR="000A6039" w:rsidRPr="00455205" w:rsidRDefault="005E4C0F" w:rsidP="005903B1">
            <w:pPr>
              <w:pStyle w:val="COMTabletext"/>
              <w:keepLines/>
            </w:pPr>
            <w:r w:rsidRPr="00455205">
              <w:t xml:space="preserve">Elranatamab versus standard of care, represented by the weighted average of results compared to </w:t>
            </w:r>
            <w:r w:rsidR="00E6046D" w:rsidRPr="00455205">
              <w:t>Cd</w:t>
            </w:r>
            <w:r w:rsidRPr="00455205">
              <w:t xml:space="preserve"> (51.0%), </w:t>
            </w:r>
            <w:r w:rsidR="00E6046D" w:rsidRPr="00455205">
              <w:t>Pd</w:t>
            </w:r>
            <w:r w:rsidRPr="00455205">
              <w:t xml:space="preserve"> (46.5%) and </w:t>
            </w:r>
            <w:r w:rsidR="00E6046D" w:rsidRPr="00455205">
              <w:t>Sd</w:t>
            </w:r>
            <w:r w:rsidRPr="00455205">
              <w:t xml:space="preserve"> (2.5%).</w:t>
            </w:r>
          </w:p>
        </w:tc>
      </w:tr>
      <w:tr w:rsidR="00114FA7" w:rsidRPr="00455205" w14:paraId="6A8D84D4" w14:textId="77777777" w:rsidTr="005903B1">
        <w:tc>
          <w:tcPr>
            <w:tcW w:w="940" w:type="pct"/>
            <w:shd w:val="clear" w:color="auto" w:fill="auto"/>
            <w:vAlign w:val="center"/>
          </w:tcPr>
          <w:p w14:paraId="5F652354" w14:textId="77777777" w:rsidR="00275C5A" w:rsidRPr="00455205" w:rsidRDefault="00275C5A" w:rsidP="005903B1">
            <w:pPr>
              <w:pStyle w:val="COMTabletext"/>
              <w:keepLines/>
            </w:pPr>
            <w:r w:rsidRPr="00455205">
              <w:t>Time horizon</w:t>
            </w:r>
          </w:p>
        </w:tc>
        <w:tc>
          <w:tcPr>
            <w:tcW w:w="4060" w:type="pct"/>
            <w:shd w:val="clear" w:color="auto" w:fill="auto"/>
            <w:vAlign w:val="center"/>
          </w:tcPr>
          <w:p w14:paraId="460936F1" w14:textId="5D6E7968" w:rsidR="00275C5A" w:rsidRPr="00455205" w:rsidRDefault="005E4C0F" w:rsidP="005903B1">
            <w:pPr>
              <w:pStyle w:val="COMTabletext"/>
              <w:keepLines/>
            </w:pPr>
            <w:r w:rsidRPr="00455205">
              <w:t>7 years in the base case versus a median follow-up of 28.4 months in the MagnetisMM</w:t>
            </w:r>
            <w:r w:rsidR="00C87DE8" w:rsidRPr="00455205">
              <w:t>-</w:t>
            </w:r>
            <w:r w:rsidRPr="00455205">
              <w:t>3 study.</w:t>
            </w:r>
            <w:r w:rsidR="00C40B11" w:rsidRPr="00455205">
              <w:t xml:space="preserve"> The ESC considered that the time horizon was long</w:t>
            </w:r>
            <w:r w:rsidR="00BA31DA" w:rsidRPr="00455205">
              <w:t xml:space="preserve"> given the positioning of elranatamab as a fourth-line treatment. The ESC considered that a time horizon of 5 years would be more reasonable.</w:t>
            </w:r>
            <w:r w:rsidR="003928CB">
              <w:t xml:space="preserve"> The pre-PBAC response noted the PBAC have previously considered time horizons of 10 years to be appropriate in the second line treatment setting (carfilzomib, July 2017)</w:t>
            </w:r>
            <w:r w:rsidR="0016359A">
              <w:t xml:space="preserve"> and 5 years in the penta-refractory setting (</w:t>
            </w:r>
            <w:r w:rsidR="003B2565">
              <w:t>s</w:t>
            </w:r>
            <w:r w:rsidR="0016359A">
              <w:t>elinexor, March 2022).</w:t>
            </w:r>
          </w:p>
        </w:tc>
      </w:tr>
      <w:tr w:rsidR="00114FA7" w:rsidRPr="00455205" w14:paraId="003209BF" w14:textId="77777777" w:rsidTr="005903B1">
        <w:tc>
          <w:tcPr>
            <w:tcW w:w="940" w:type="pct"/>
            <w:shd w:val="clear" w:color="auto" w:fill="auto"/>
            <w:vAlign w:val="center"/>
          </w:tcPr>
          <w:p w14:paraId="522DAB95" w14:textId="77777777" w:rsidR="00275C5A" w:rsidRPr="00455205" w:rsidRDefault="00275C5A" w:rsidP="005903B1">
            <w:pPr>
              <w:pStyle w:val="COMTabletext"/>
              <w:keepLines/>
            </w:pPr>
            <w:r w:rsidRPr="00455205">
              <w:t>Outcomes</w:t>
            </w:r>
          </w:p>
        </w:tc>
        <w:tc>
          <w:tcPr>
            <w:tcW w:w="4060" w:type="pct"/>
            <w:shd w:val="clear" w:color="auto" w:fill="auto"/>
            <w:vAlign w:val="center"/>
          </w:tcPr>
          <w:p w14:paraId="3D1C428E" w14:textId="46639FD8" w:rsidR="00275C5A" w:rsidRPr="00455205" w:rsidRDefault="005E4C0F" w:rsidP="005903B1">
            <w:pPr>
              <w:pStyle w:val="COMTabletext"/>
              <w:keepLines/>
            </w:pPr>
            <w:r w:rsidRPr="00455205">
              <w:t>Quality-adjusted life years; life years.</w:t>
            </w:r>
          </w:p>
        </w:tc>
      </w:tr>
      <w:tr w:rsidR="00114FA7" w:rsidRPr="00455205" w14:paraId="29120B3F" w14:textId="77777777" w:rsidTr="005903B1">
        <w:tc>
          <w:tcPr>
            <w:tcW w:w="940" w:type="pct"/>
            <w:shd w:val="clear" w:color="auto" w:fill="auto"/>
            <w:vAlign w:val="center"/>
          </w:tcPr>
          <w:p w14:paraId="1AAC94CB" w14:textId="77777777" w:rsidR="00275C5A" w:rsidRPr="00455205" w:rsidRDefault="00275C5A" w:rsidP="005903B1">
            <w:pPr>
              <w:pStyle w:val="COMTabletext"/>
              <w:keepLines/>
            </w:pPr>
            <w:r w:rsidRPr="00455205">
              <w:t>Methods used to generate results</w:t>
            </w:r>
          </w:p>
        </w:tc>
        <w:tc>
          <w:tcPr>
            <w:tcW w:w="4060" w:type="pct"/>
            <w:shd w:val="clear" w:color="auto" w:fill="auto"/>
            <w:vAlign w:val="center"/>
          </w:tcPr>
          <w:p w14:paraId="69D4F042" w14:textId="61D98144" w:rsidR="00275C5A" w:rsidRPr="00455205" w:rsidRDefault="005E4C0F" w:rsidP="005903B1">
            <w:pPr>
              <w:pStyle w:val="COMTabletext"/>
              <w:keepLines/>
            </w:pPr>
            <w:r w:rsidRPr="00455205">
              <w:t>Partitioned survival analysis</w:t>
            </w:r>
          </w:p>
        </w:tc>
      </w:tr>
      <w:tr w:rsidR="00114FA7" w:rsidRPr="00455205" w14:paraId="7F7ACECA" w14:textId="77777777" w:rsidTr="005903B1">
        <w:tc>
          <w:tcPr>
            <w:tcW w:w="940" w:type="pct"/>
            <w:shd w:val="clear" w:color="auto" w:fill="auto"/>
            <w:vAlign w:val="center"/>
          </w:tcPr>
          <w:p w14:paraId="344631D3" w14:textId="77777777" w:rsidR="00275C5A" w:rsidRPr="00455205" w:rsidRDefault="00275C5A" w:rsidP="005903B1">
            <w:pPr>
              <w:pStyle w:val="COMTabletext"/>
              <w:keepLines/>
            </w:pPr>
            <w:r w:rsidRPr="00455205">
              <w:t>Health states</w:t>
            </w:r>
          </w:p>
        </w:tc>
        <w:tc>
          <w:tcPr>
            <w:tcW w:w="4060" w:type="pct"/>
            <w:shd w:val="clear" w:color="auto" w:fill="auto"/>
            <w:vAlign w:val="center"/>
          </w:tcPr>
          <w:p w14:paraId="03F23F80" w14:textId="64D66EC6" w:rsidR="00275C5A" w:rsidRPr="00455205" w:rsidRDefault="005E4C0F" w:rsidP="005903B1">
            <w:pPr>
              <w:pStyle w:val="COMTabletext"/>
              <w:keepLines/>
            </w:pPr>
            <w:r w:rsidRPr="00455205">
              <w:t>Progression-free, progressed disease, dead.</w:t>
            </w:r>
          </w:p>
        </w:tc>
      </w:tr>
      <w:tr w:rsidR="00114FA7" w:rsidRPr="00455205" w14:paraId="7F944EEA" w14:textId="77777777" w:rsidTr="005903B1">
        <w:tc>
          <w:tcPr>
            <w:tcW w:w="940" w:type="pct"/>
            <w:shd w:val="clear" w:color="auto" w:fill="auto"/>
            <w:vAlign w:val="center"/>
          </w:tcPr>
          <w:p w14:paraId="255C0B8D" w14:textId="77777777" w:rsidR="00275C5A" w:rsidRPr="00455205" w:rsidRDefault="00275C5A" w:rsidP="005903B1">
            <w:pPr>
              <w:pStyle w:val="COMTabletext"/>
              <w:keepLines/>
            </w:pPr>
            <w:r w:rsidRPr="00455205">
              <w:t>Cycle length</w:t>
            </w:r>
          </w:p>
        </w:tc>
        <w:tc>
          <w:tcPr>
            <w:tcW w:w="4060" w:type="pct"/>
            <w:shd w:val="clear" w:color="auto" w:fill="auto"/>
            <w:vAlign w:val="center"/>
          </w:tcPr>
          <w:p w14:paraId="5733F6EA" w14:textId="6E24A52C" w:rsidR="00275C5A" w:rsidRPr="00455205" w:rsidRDefault="005E4C0F" w:rsidP="005903B1">
            <w:pPr>
              <w:pStyle w:val="COMTabletext"/>
              <w:keepLines/>
            </w:pPr>
            <w:r w:rsidRPr="00455205">
              <w:t>1 week</w:t>
            </w:r>
          </w:p>
        </w:tc>
      </w:tr>
      <w:tr w:rsidR="00114FA7" w:rsidRPr="00455205" w14:paraId="6EFF7035" w14:textId="77777777" w:rsidTr="005903B1">
        <w:tc>
          <w:tcPr>
            <w:tcW w:w="940" w:type="pct"/>
            <w:shd w:val="clear" w:color="auto" w:fill="auto"/>
            <w:vAlign w:val="center"/>
          </w:tcPr>
          <w:p w14:paraId="77A45407" w14:textId="7CC7A885" w:rsidR="00081E63" w:rsidRPr="00455205" w:rsidRDefault="005E4C0F" w:rsidP="005903B1">
            <w:pPr>
              <w:pStyle w:val="COMTabletext"/>
              <w:keepLines/>
            </w:pPr>
            <w:r w:rsidRPr="00455205">
              <w:t>Allocation to health states</w:t>
            </w:r>
          </w:p>
        </w:tc>
        <w:tc>
          <w:tcPr>
            <w:tcW w:w="4060" w:type="pct"/>
            <w:shd w:val="clear" w:color="auto" w:fill="auto"/>
            <w:vAlign w:val="center"/>
          </w:tcPr>
          <w:p w14:paraId="54C2A0B2" w14:textId="709AABF5" w:rsidR="005E4C0F" w:rsidRPr="00455205" w:rsidRDefault="005E4C0F" w:rsidP="005903B1">
            <w:pPr>
              <w:pStyle w:val="COMTabletext"/>
              <w:keepLines/>
            </w:pPr>
            <w:r w:rsidRPr="00455205">
              <w:t xml:space="preserve">Elranatamab: Progression-free survival and overall survival data based on the results of </w:t>
            </w:r>
            <w:r w:rsidR="00E43408">
              <w:t xml:space="preserve">Cohort A from the </w:t>
            </w:r>
            <w:r w:rsidRPr="00455205">
              <w:t xml:space="preserve">MagnetisMM-3 study, with extrapolation using parametric functions. </w:t>
            </w:r>
          </w:p>
          <w:p w14:paraId="499BA441" w14:textId="77777777" w:rsidR="005E4C0F" w:rsidRPr="00455205" w:rsidRDefault="005E4C0F" w:rsidP="005903B1">
            <w:pPr>
              <w:pStyle w:val="COMTabletext"/>
              <w:keepLines/>
            </w:pPr>
          </w:p>
          <w:p w14:paraId="72F9386A" w14:textId="77777777" w:rsidR="005E4C0F" w:rsidRPr="00455205" w:rsidRDefault="005E4C0F" w:rsidP="005903B1">
            <w:pPr>
              <w:pStyle w:val="COMTabletext"/>
              <w:keepLines/>
            </w:pPr>
            <w:r w:rsidRPr="00455205">
              <w:t>Standard of care: Progression-free survival and overall survival derived from extrapolated elranatamab survival curves, by application of hazard ratios obtained from the indirect comparisons presented in Section 2:</w:t>
            </w:r>
          </w:p>
          <w:p w14:paraId="5DF61C70" w14:textId="314A5A68" w:rsidR="005E4C0F" w:rsidRPr="00455205" w:rsidRDefault="00C46339" w:rsidP="005903B1">
            <w:pPr>
              <w:pStyle w:val="COMTabletext"/>
              <w:keepLines/>
              <w:numPr>
                <w:ilvl w:val="0"/>
                <w:numId w:val="9"/>
              </w:numPr>
              <w:ind w:left="235" w:hanging="178"/>
            </w:pPr>
            <w:r w:rsidRPr="00455205">
              <w:t xml:space="preserve">Unanchored </w:t>
            </w:r>
            <w:r w:rsidR="005E4C0F" w:rsidRPr="00455205">
              <w:t xml:space="preserve">indirect comparison of elranatamab (MagnetisMM-3) versus </w:t>
            </w:r>
            <w:r w:rsidR="00E6046D" w:rsidRPr="00455205">
              <w:t>Cd</w:t>
            </w:r>
            <w:r w:rsidR="005E4C0F" w:rsidRPr="00455205">
              <w:t xml:space="preserve"> (ENDEAVOR).</w:t>
            </w:r>
          </w:p>
          <w:p w14:paraId="59AEE3D0" w14:textId="67BC8688" w:rsidR="005E4C0F" w:rsidRPr="00455205" w:rsidRDefault="005E4C0F" w:rsidP="005903B1">
            <w:pPr>
              <w:pStyle w:val="COMTabletext"/>
              <w:keepLines/>
              <w:numPr>
                <w:ilvl w:val="0"/>
                <w:numId w:val="9"/>
              </w:numPr>
              <w:ind w:left="235" w:hanging="178"/>
            </w:pPr>
            <w:r w:rsidRPr="00455205">
              <w:t xml:space="preserve">Unanchored MAIC of elranatamab (MagnetisMM-3) versus </w:t>
            </w:r>
            <w:r w:rsidR="00E6046D" w:rsidRPr="00455205">
              <w:t>Pd</w:t>
            </w:r>
            <w:r w:rsidRPr="00455205">
              <w:t xml:space="preserve"> (MM-003).</w:t>
            </w:r>
          </w:p>
          <w:p w14:paraId="76387578" w14:textId="03DF1694" w:rsidR="00275C5A" w:rsidRPr="00455205" w:rsidRDefault="005E4C0F" w:rsidP="005903B1">
            <w:pPr>
              <w:pStyle w:val="COMTabletext"/>
              <w:keepLines/>
              <w:numPr>
                <w:ilvl w:val="0"/>
                <w:numId w:val="9"/>
              </w:numPr>
              <w:ind w:left="235" w:hanging="178"/>
            </w:pPr>
            <w:r w:rsidRPr="00455205">
              <w:t xml:space="preserve">Unanchored MAIC of elranatamab (MagnetisMM-3) versus </w:t>
            </w:r>
            <w:r w:rsidR="00E6046D" w:rsidRPr="00455205">
              <w:t>Sd</w:t>
            </w:r>
            <w:r w:rsidRPr="00455205">
              <w:t xml:space="preserve"> (STORM).</w:t>
            </w:r>
          </w:p>
        </w:tc>
      </w:tr>
      <w:tr w:rsidR="00114FA7" w:rsidRPr="00455205" w14:paraId="0BC5FD61" w14:textId="77777777" w:rsidTr="005903B1">
        <w:tc>
          <w:tcPr>
            <w:tcW w:w="940" w:type="pct"/>
            <w:shd w:val="clear" w:color="auto" w:fill="auto"/>
            <w:vAlign w:val="center"/>
          </w:tcPr>
          <w:p w14:paraId="3EE19BE5" w14:textId="7EE5FF57" w:rsidR="00501854" w:rsidRPr="00455205" w:rsidRDefault="00501854" w:rsidP="005903B1">
            <w:pPr>
              <w:pStyle w:val="COMTabletext"/>
              <w:keepLines/>
            </w:pPr>
            <w:r w:rsidRPr="00455205">
              <w:t>Extrapolation method</w:t>
            </w:r>
          </w:p>
        </w:tc>
        <w:tc>
          <w:tcPr>
            <w:tcW w:w="4060" w:type="pct"/>
            <w:shd w:val="clear" w:color="auto" w:fill="auto"/>
            <w:vAlign w:val="center"/>
          </w:tcPr>
          <w:p w14:paraId="1FA785B0" w14:textId="5A51C83C" w:rsidR="00D533EC" w:rsidRPr="00455205" w:rsidRDefault="00545E5B" w:rsidP="005903B1">
            <w:pPr>
              <w:pStyle w:val="COMTabletext"/>
              <w:keepLines/>
            </w:pPr>
            <w:r w:rsidRPr="00455205">
              <w:t xml:space="preserve">Elranatamab: </w:t>
            </w:r>
            <w:r w:rsidR="007C4470" w:rsidRPr="00455205">
              <w:t>Progression-free survival, overall survival and time to treatment discontinuation data for elranatamab derived by extrapolation</w:t>
            </w:r>
            <w:r w:rsidRPr="00455205">
              <w:t xml:space="preserve"> of Kaplan-Meier data us</w:t>
            </w:r>
            <w:r w:rsidR="007C4470" w:rsidRPr="00455205">
              <w:t>ing a parametric function (Weibull).</w:t>
            </w:r>
          </w:p>
          <w:p w14:paraId="4ADD9EC5" w14:textId="77777777" w:rsidR="007C4470" w:rsidRPr="00455205" w:rsidRDefault="007C4470" w:rsidP="005903B1">
            <w:pPr>
              <w:pStyle w:val="COMTabletext"/>
              <w:keepLines/>
            </w:pPr>
          </w:p>
          <w:p w14:paraId="0C9AE8F0" w14:textId="13457D06" w:rsidR="007C4470" w:rsidRPr="00455205" w:rsidRDefault="00545E5B" w:rsidP="005903B1">
            <w:pPr>
              <w:pStyle w:val="COMTabletext"/>
              <w:keepLines/>
            </w:pPr>
            <w:r w:rsidRPr="00455205">
              <w:t>Standard of care: Progression-free survival and overall survival curves derived by applying hazard ratios obtained from indirect comparisons of progression-free survival and overall survival for elranatamab versus each of the nominated standard of care component treatments to the extrapolated elranatamab progression-free survival and overall survival curves. Time to treatment discontinuation derived by fitting an exponential function to the median treatment duration</w:t>
            </w:r>
            <w:r w:rsidR="000771EA" w:rsidRPr="00455205">
              <w:t xml:space="preserve"> for</w:t>
            </w:r>
            <w:r w:rsidRPr="00455205">
              <w:t xml:space="preserve"> </w:t>
            </w:r>
            <w:r w:rsidR="000771EA" w:rsidRPr="00455205">
              <w:t>each of the nominated standard of care component treatments.</w:t>
            </w:r>
          </w:p>
          <w:p w14:paraId="2AA0D5DF" w14:textId="77777777" w:rsidR="00501854" w:rsidRPr="00455205" w:rsidRDefault="00501854" w:rsidP="005903B1">
            <w:pPr>
              <w:pStyle w:val="COMTabletext"/>
              <w:keepLines/>
            </w:pPr>
          </w:p>
          <w:p w14:paraId="7026638D" w14:textId="1FF285D6" w:rsidR="00D533EC" w:rsidRPr="00455205" w:rsidRDefault="005647FC" w:rsidP="005903B1">
            <w:pPr>
              <w:pStyle w:val="COMTabletext"/>
              <w:keepLines/>
            </w:pPr>
            <w:r w:rsidRPr="00455205">
              <w:t>64</w:t>
            </w:r>
            <w:r w:rsidR="00D533EC" w:rsidRPr="00455205">
              <w:t xml:space="preserve">% of </w:t>
            </w:r>
            <w:r w:rsidRPr="00455205">
              <w:t xml:space="preserve">the incremental </w:t>
            </w:r>
            <w:r w:rsidR="00D533EC" w:rsidRPr="00455205">
              <w:t>QALYs</w:t>
            </w:r>
            <w:r w:rsidRPr="00455205">
              <w:t xml:space="preserve"> and 15% </w:t>
            </w:r>
            <w:r w:rsidR="00D533EC" w:rsidRPr="00455205">
              <w:t>of</w:t>
            </w:r>
            <w:r w:rsidRPr="00455205">
              <w:t xml:space="preserve"> the incremental</w:t>
            </w:r>
            <w:r w:rsidR="00D533EC" w:rsidRPr="00455205">
              <w:t xml:space="preserve"> costs occur in the extrapolated period</w:t>
            </w:r>
            <w:r w:rsidR="00DD0F78" w:rsidRPr="00455205">
              <w:t>.</w:t>
            </w:r>
          </w:p>
        </w:tc>
      </w:tr>
      <w:tr w:rsidR="00114FA7" w:rsidRPr="00455205" w14:paraId="07C0A709" w14:textId="77777777" w:rsidTr="005903B1">
        <w:tc>
          <w:tcPr>
            <w:tcW w:w="940" w:type="pct"/>
            <w:shd w:val="clear" w:color="auto" w:fill="auto"/>
            <w:vAlign w:val="center"/>
          </w:tcPr>
          <w:p w14:paraId="33B632EB" w14:textId="4B6D1EE3" w:rsidR="00501854" w:rsidRPr="00455205" w:rsidRDefault="00DD0F78" w:rsidP="005903B1">
            <w:pPr>
              <w:pStyle w:val="COMTabletext"/>
              <w:keepLines/>
            </w:pPr>
            <w:r w:rsidRPr="00455205">
              <w:t>Health related quality of life</w:t>
            </w:r>
          </w:p>
        </w:tc>
        <w:tc>
          <w:tcPr>
            <w:tcW w:w="4060" w:type="pct"/>
            <w:shd w:val="clear" w:color="auto" w:fill="auto"/>
            <w:vAlign w:val="center"/>
          </w:tcPr>
          <w:p w14:paraId="30BE0524" w14:textId="77777777" w:rsidR="001F4081" w:rsidRPr="00455205" w:rsidRDefault="00A64352" w:rsidP="005903B1">
            <w:pPr>
              <w:pStyle w:val="COMTabletext"/>
              <w:keepLines/>
            </w:pPr>
            <w:r w:rsidRPr="00455205">
              <w:t>Progression-free and progressed disease health state utilities based on a post hoc analysis of EQ-5D-5L data for Cohort A of the MagnetisMM-3 study.</w:t>
            </w:r>
          </w:p>
          <w:p w14:paraId="6E384F70" w14:textId="77777777" w:rsidR="00A64352" w:rsidRPr="00455205" w:rsidRDefault="00A64352" w:rsidP="005903B1">
            <w:pPr>
              <w:pStyle w:val="COMTabletext"/>
              <w:keepLines/>
            </w:pPr>
          </w:p>
          <w:p w14:paraId="6FCC32AA" w14:textId="4124B455" w:rsidR="00A64352" w:rsidRPr="00455205" w:rsidRDefault="00A64352" w:rsidP="005903B1">
            <w:pPr>
              <w:pStyle w:val="COMTabletext"/>
              <w:keepLines/>
            </w:pPr>
            <w:r w:rsidRPr="00455205">
              <w:t>Adverse event disutilities derived from a post hoc analysis of the MagnetisMM-3 study, the 2018 daratumumab NICE submission (TA510), and Howell et al. (2022).</w:t>
            </w:r>
          </w:p>
        </w:tc>
      </w:tr>
      <w:tr w:rsidR="0028393B" w:rsidRPr="00455205" w14:paraId="01C3E847" w14:textId="77777777" w:rsidTr="005903B1">
        <w:tc>
          <w:tcPr>
            <w:tcW w:w="940" w:type="pct"/>
            <w:shd w:val="clear" w:color="auto" w:fill="auto"/>
            <w:vAlign w:val="center"/>
          </w:tcPr>
          <w:p w14:paraId="34EB2807" w14:textId="2F3399BC" w:rsidR="0028393B" w:rsidRPr="00455205" w:rsidRDefault="0028393B" w:rsidP="005903B1">
            <w:pPr>
              <w:pStyle w:val="COMTabletext"/>
              <w:keepLines/>
            </w:pPr>
            <w:r w:rsidRPr="00455205">
              <w:t>Primary treatment cost</w:t>
            </w:r>
          </w:p>
        </w:tc>
        <w:tc>
          <w:tcPr>
            <w:tcW w:w="4060" w:type="pct"/>
            <w:shd w:val="clear" w:color="auto" w:fill="auto"/>
            <w:vAlign w:val="center"/>
          </w:tcPr>
          <w:p w14:paraId="3C6B7713" w14:textId="6C94E56B" w:rsidR="0028393B" w:rsidRPr="00455205" w:rsidRDefault="0028393B" w:rsidP="005903B1">
            <w:pPr>
              <w:pStyle w:val="COMTabletext"/>
              <w:keepLines/>
            </w:pPr>
            <w:r w:rsidRPr="00455205">
              <w:t xml:space="preserve">Based on the proposed effective price of elranatamab, and the published prices for carfilzomib, pomalidomide, selinexor and dexamethasone. Treatment regimen for elranatamab based on the updated treatment regimen (including reduced dose frequency to every 4 weeks beyond Week 49). Treatment regimens for standard of care therapies based on </w:t>
            </w:r>
            <w:proofErr w:type="spellStart"/>
            <w:r w:rsidRPr="00455205">
              <w:t>eviQ</w:t>
            </w:r>
            <w:proofErr w:type="spellEnd"/>
            <w:r w:rsidRPr="00455205">
              <w:t xml:space="preserve"> protocols.</w:t>
            </w:r>
          </w:p>
        </w:tc>
      </w:tr>
      <w:tr w:rsidR="00114FA7" w:rsidRPr="00455205" w14:paraId="6093DA19" w14:textId="77777777" w:rsidTr="005903B1">
        <w:tc>
          <w:tcPr>
            <w:tcW w:w="940" w:type="pct"/>
            <w:shd w:val="clear" w:color="auto" w:fill="auto"/>
            <w:vAlign w:val="center"/>
          </w:tcPr>
          <w:p w14:paraId="63E46A80" w14:textId="5EF0110B" w:rsidR="00DD0F78" w:rsidRPr="00455205" w:rsidRDefault="0028393B" w:rsidP="005903B1">
            <w:pPr>
              <w:pStyle w:val="COMTabletext"/>
              <w:keepLines/>
            </w:pPr>
            <w:r w:rsidRPr="00455205">
              <w:t>Subsequent treatment costs</w:t>
            </w:r>
          </w:p>
        </w:tc>
        <w:tc>
          <w:tcPr>
            <w:tcW w:w="4060" w:type="pct"/>
            <w:shd w:val="clear" w:color="auto" w:fill="auto"/>
            <w:vAlign w:val="center"/>
          </w:tcPr>
          <w:p w14:paraId="4CD69EB8" w14:textId="668594A8" w:rsidR="00501854" w:rsidRPr="00455205" w:rsidRDefault="0028393B" w:rsidP="005903B1">
            <w:pPr>
              <w:pStyle w:val="COMTabletext"/>
              <w:keepLines/>
            </w:pPr>
            <w:r w:rsidRPr="00455205">
              <w:t>Medicine costs and administration costs derived based on an assumption that 40.8% of patients would receive subsequent treatment. Duration of treatment based on patient-months spent in post-progression survival, capped at the reported median duration of subsequent treatment reported for the MagnetisMM-3 study.</w:t>
            </w:r>
            <w:r w:rsidR="009E7B30" w:rsidRPr="00455205">
              <w:t xml:space="preserve"> Assumed a mix of 5 subsequent treatment regimens: </w:t>
            </w:r>
            <w:proofErr w:type="spellStart"/>
            <w:r w:rsidR="00E6046D" w:rsidRPr="00455205">
              <w:t>ELd</w:t>
            </w:r>
            <w:proofErr w:type="spellEnd"/>
            <w:r w:rsidR="009E7B30" w:rsidRPr="00455205">
              <w:t xml:space="preserve"> (20.0%), </w:t>
            </w:r>
            <w:r w:rsidR="00E6046D" w:rsidRPr="00455205">
              <w:t xml:space="preserve">Cd </w:t>
            </w:r>
            <w:r w:rsidR="009E7B30" w:rsidRPr="00455205">
              <w:t xml:space="preserve">+ </w:t>
            </w:r>
            <w:proofErr w:type="spellStart"/>
            <w:r w:rsidR="009E7B30" w:rsidRPr="00455205">
              <w:t>cyclo</w:t>
            </w:r>
            <w:proofErr w:type="spellEnd"/>
            <w:r w:rsidR="009E7B30" w:rsidRPr="00455205">
              <w:t xml:space="preserve"> (11.4%), </w:t>
            </w:r>
            <w:r w:rsidR="00E6046D" w:rsidRPr="00455205">
              <w:t>Pd</w:t>
            </w:r>
            <w:r w:rsidR="009E7B30" w:rsidRPr="00455205">
              <w:t xml:space="preserve"> (20.0%), </w:t>
            </w:r>
            <w:r w:rsidR="00E6046D" w:rsidRPr="00455205">
              <w:t>Cd</w:t>
            </w:r>
            <w:r w:rsidR="009E7B30" w:rsidRPr="00455205">
              <w:t xml:space="preserve"> (37.1%) and </w:t>
            </w:r>
            <w:proofErr w:type="spellStart"/>
            <w:r w:rsidR="00E6046D" w:rsidRPr="00455205">
              <w:t>PBd</w:t>
            </w:r>
            <w:proofErr w:type="spellEnd"/>
            <w:r w:rsidR="009E7B30" w:rsidRPr="00455205">
              <w:t xml:space="preserve"> (11.4%).</w:t>
            </w:r>
          </w:p>
        </w:tc>
      </w:tr>
    </w:tbl>
    <w:p w14:paraId="1A4A2098" w14:textId="77777777" w:rsidR="00B95799" w:rsidRDefault="00B95799" w:rsidP="005903B1">
      <w:pPr>
        <w:pStyle w:val="COMTablefooter"/>
        <w:keepNext/>
        <w:keepLines/>
      </w:pPr>
      <w:r w:rsidRPr="00B95799">
        <w:t>Source: Section 3, pp229-280 of the resubmission.</w:t>
      </w:r>
    </w:p>
    <w:p w14:paraId="213DED56" w14:textId="0A08BC57" w:rsidR="003270E4" w:rsidRPr="006E0FA2" w:rsidRDefault="00B95799" w:rsidP="005903B1">
      <w:pPr>
        <w:pStyle w:val="COMTablefooter"/>
        <w:keepLines/>
      </w:pPr>
      <w:r>
        <w:t xml:space="preserve">Abbreviations: </w:t>
      </w:r>
      <w:r w:rsidR="00E6046D">
        <w:t xml:space="preserve">Cd, carfilzomib + dexamethasone; </w:t>
      </w:r>
      <w:proofErr w:type="spellStart"/>
      <w:r w:rsidR="00886BF6">
        <w:t>cyclo</w:t>
      </w:r>
      <w:proofErr w:type="spellEnd"/>
      <w:r w:rsidR="00886BF6">
        <w:t xml:space="preserve">, cyclophosphamide; Eld, elotuzumab + lenalidomide + dexamethasone; MAIC, matching adjusted indirect comparison; </w:t>
      </w:r>
      <w:proofErr w:type="spellStart"/>
      <w:r w:rsidR="00886BF6">
        <w:t>PBd</w:t>
      </w:r>
      <w:proofErr w:type="spellEnd"/>
      <w:r w:rsidR="00886BF6">
        <w:t xml:space="preserve">, pomalidomide + bortexomib + dexamethasone; </w:t>
      </w:r>
      <w:r w:rsidR="00E6046D">
        <w:t xml:space="preserve">Pd, pomalidomide + dexamethasone; </w:t>
      </w:r>
      <w:r w:rsidR="00C87DE8">
        <w:t>QALY, quality-adjusted life year</w:t>
      </w:r>
      <w:r w:rsidR="00E6046D">
        <w:t>; Sd, selinexor + dexamethasone.</w:t>
      </w:r>
    </w:p>
    <w:p w14:paraId="10C0AA5F" w14:textId="6F19B560" w:rsidR="00560C50" w:rsidRPr="00B83066" w:rsidRDefault="00CB1B4C" w:rsidP="002A3BF4">
      <w:pPr>
        <w:pStyle w:val="COMexecsummnumbered"/>
      </w:pPr>
      <w:r w:rsidRPr="00B83066">
        <w:t>A partitioned survival approach was used to distribute patients between the model health states</w:t>
      </w:r>
      <w:r w:rsidR="00A230BE" w:rsidRPr="00B83066">
        <w:t>.</w:t>
      </w:r>
      <w:r w:rsidR="00560C50" w:rsidRPr="00B83066">
        <w:t xml:space="preserve"> Progression-free survival and overall survival curves for each of the </w:t>
      </w:r>
      <w:r w:rsidR="00560C50" w:rsidRPr="00B83066">
        <w:lastRenderedPageBreak/>
        <w:t xml:space="preserve">standard of care components were generated by applying the hazard ratios obtained </w:t>
      </w:r>
      <w:r w:rsidR="00B315D0" w:rsidRPr="00B83066">
        <w:t>from the indirect comparisons</w:t>
      </w:r>
      <w:r w:rsidR="00560C50" w:rsidRPr="00B83066">
        <w:t xml:space="preserve"> to the extrapolated progression-free survival and overall survival curves for elranatamab. The results </w:t>
      </w:r>
      <w:r w:rsidR="00B315D0" w:rsidRPr="00B83066">
        <w:t xml:space="preserve">of </w:t>
      </w:r>
      <w:r w:rsidR="00560C50" w:rsidRPr="00B83066">
        <w:t>the indirect comparisons were associated with a substantial amount of uncertainty.</w:t>
      </w:r>
      <w:r w:rsidR="00B315D0" w:rsidRPr="00B83066">
        <w:t xml:space="preserve"> While the results of the MAICs versus </w:t>
      </w:r>
      <w:r w:rsidR="00DA30D1" w:rsidRPr="00B83066">
        <w:t>Pd</w:t>
      </w:r>
      <w:r w:rsidR="00B315D0" w:rsidRPr="00B83066">
        <w:t xml:space="preserve"> and </w:t>
      </w:r>
      <w:r w:rsidR="00DA30D1" w:rsidRPr="00B83066">
        <w:t>Sd</w:t>
      </w:r>
      <w:r w:rsidR="00B315D0" w:rsidRPr="00B83066">
        <w:t xml:space="preserve"> were nominally statistically significant, the results of the indirect comparisons versus </w:t>
      </w:r>
      <w:r w:rsidR="00DA30D1" w:rsidRPr="00B83066">
        <w:t>Cd</w:t>
      </w:r>
      <w:r w:rsidR="00B315D0" w:rsidRPr="00B83066">
        <w:t xml:space="preserve"> </w:t>
      </w:r>
      <w:r w:rsidR="00A93333" w:rsidRPr="00B83066">
        <w:t>did</w:t>
      </w:r>
      <w:r w:rsidR="00B315D0" w:rsidRPr="00B83066">
        <w:t xml:space="preserve"> not </w:t>
      </w:r>
      <w:r w:rsidR="00A93333" w:rsidRPr="00B83066">
        <w:t>achieve statistical significance</w:t>
      </w:r>
      <w:r w:rsidR="00B315D0" w:rsidRPr="00B83066">
        <w:t>.</w:t>
      </w:r>
    </w:p>
    <w:p w14:paraId="0E8F3BA5" w14:textId="681F3317" w:rsidR="008303D6" w:rsidRPr="00B83066" w:rsidRDefault="008303D6" w:rsidP="008303D6">
      <w:pPr>
        <w:pStyle w:val="COMexecsummnumbered"/>
      </w:pPr>
      <w:r w:rsidRPr="00B83066">
        <w:t xml:space="preserve">In the model, the progression-free survival curves were capped by the overall survival curves to ensure that modelled progression-free survival did not exceed the modelled overall survival. Similarly, the time to treatment discontinuation curves were capped by the progression-free survival curves to ensure that the modelled time to treatment discontinuation curve did not exceed the modelled progression-free survival. Capping of the progression-free survival curve resulted in progression-free survival and overall survival for the elranatamab arm that was similar from 2 years onwards, and identical from 3 years onwards (see </w:t>
      </w:r>
      <w:r w:rsidRPr="00B83066">
        <w:fldChar w:fldCharType="begin" w:fldLock="1"/>
      </w:r>
      <w:r w:rsidRPr="00B83066">
        <w:instrText xml:space="preserve"> REF _Ref187766836 \h  \* MERGEFORMAT </w:instrText>
      </w:r>
      <w:r w:rsidRPr="00B83066">
        <w:fldChar w:fldCharType="separate"/>
      </w:r>
      <w:r w:rsidR="00347D89">
        <w:t xml:space="preserve">Figure </w:t>
      </w:r>
      <w:r w:rsidR="00347D89">
        <w:rPr>
          <w:noProof/>
        </w:rPr>
        <w:t>4</w:t>
      </w:r>
      <w:r w:rsidRPr="00B83066">
        <w:fldChar w:fldCharType="end"/>
      </w:r>
      <w:r w:rsidRPr="00B83066">
        <w:t xml:space="preserve"> below). </w:t>
      </w:r>
      <w:proofErr w:type="gramStart"/>
      <w:r w:rsidRPr="00B83066">
        <w:t>As a consequence</w:t>
      </w:r>
      <w:proofErr w:type="gramEnd"/>
      <w:r w:rsidRPr="00B83066">
        <w:t xml:space="preserve">, </w:t>
      </w:r>
      <w:proofErr w:type="gramStart"/>
      <w:r w:rsidRPr="00B83066">
        <w:t>all of</w:t>
      </w:r>
      <w:proofErr w:type="gramEnd"/>
      <w:r w:rsidRPr="00B83066">
        <w:t xml:space="preserve"> the patients in the elranatamab arm surviving beyond 3 years remain progression-free.</w:t>
      </w:r>
    </w:p>
    <w:p w14:paraId="6D86D84D" w14:textId="7C3E902C" w:rsidR="00930E68" w:rsidRPr="00B83066" w:rsidRDefault="00930E68" w:rsidP="004D228F">
      <w:pPr>
        <w:pStyle w:val="COMexecsummnumbered"/>
      </w:pPr>
      <w:r w:rsidRPr="00B83066">
        <w:t>This suggests that the selected combination of progression-free survival and overall survival extrapolations were not appropriate. The PSCR stated that of the seven parametric extrapolations considered, the Weibull, exponential and Gamma distributions were deemed the most clinically plausible as the other appeared to overestimate progression free and overall survival and that the Weibull model demonstrated the best fit to the Kaplan Meier data.</w:t>
      </w:r>
      <w:r w:rsidR="00267A16" w:rsidRPr="00B83066">
        <w:t xml:space="preserve"> The ESC </w:t>
      </w:r>
      <w:r w:rsidR="001E6A02" w:rsidRPr="00B83066">
        <w:t xml:space="preserve">noted that although the parametric distributions </w:t>
      </w:r>
      <w:r w:rsidR="00EC0318" w:rsidRPr="00B83066">
        <w:t>were conservative, the result</w:t>
      </w:r>
      <w:r w:rsidR="00DA1D56" w:rsidRPr="00B83066">
        <w:t>s were not clinically plausible and introduced a high degree of uncertainty</w:t>
      </w:r>
      <w:r w:rsidR="00A37C25" w:rsidRPr="00B83066">
        <w:t>.</w:t>
      </w:r>
    </w:p>
    <w:p w14:paraId="27EFF0B9" w14:textId="661A600C" w:rsidR="008303D6" w:rsidRPr="00B83066" w:rsidRDefault="008303D6" w:rsidP="008303D6">
      <w:pPr>
        <w:pStyle w:val="COMexecsummnumbered"/>
      </w:pPr>
      <w:r w:rsidRPr="00B83066">
        <w:t xml:space="preserve">The duration of subsequent treatment in each treatment arm was assumed to be the lower of 7.98 months (the median duration of subsequent treatment observed among patients in the MagnetisMM-3 study) and the modelled patient-months of post-progression survival. The </w:t>
      </w:r>
      <w:r w:rsidR="00907211" w:rsidRPr="00B83066">
        <w:t xml:space="preserve">ESC noted that the </w:t>
      </w:r>
      <w:r w:rsidRPr="00B83066">
        <w:t xml:space="preserve">capping of progression-free survival in the elranatamab arm resulted in a substantially shorter duration of post-progression survival, a shorter duration of subsequent treatment, and a lower cost of subsequent treatment for elranatamab compared to the other treatments. The </w:t>
      </w:r>
      <w:r w:rsidR="00907211" w:rsidRPr="00B83066">
        <w:t xml:space="preserve">ESC considered that the </w:t>
      </w:r>
      <w:r w:rsidRPr="00B83066">
        <w:t>assumed differences in post-progression treatment costs were not adequately justified in the resubmission.</w:t>
      </w:r>
      <w:r w:rsidR="0046009A" w:rsidRPr="00B83066">
        <w:t xml:space="preserve"> The PSCR stated that despite the capping of the progression-free survival curve, the difference in post-progression costs between the treatment arms was less than $10,000 per average patient.</w:t>
      </w:r>
    </w:p>
    <w:p w14:paraId="604A5153" w14:textId="77777777" w:rsidR="005170B7" w:rsidRPr="00B83066" w:rsidRDefault="008303D6" w:rsidP="008303D6">
      <w:pPr>
        <w:pStyle w:val="COMexecsummnumbered"/>
      </w:pPr>
      <w:r w:rsidRPr="00B83066">
        <w:t xml:space="preserve">While no capping of progression-free survival was observed in the standard of care arm over the 7-year time horizon, capping of the </w:t>
      </w:r>
      <w:r w:rsidR="005170B7" w:rsidRPr="00B83066">
        <w:t xml:space="preserve">modelled </w:t>
      </w:r>
      <w:r w:rsidRPr="00B83066">
        <w:t>time to treatment discontinuation curve</w:t>
      </w:r>
      <w:r w:rsidR="005170B7" w:rsidRPr="00B83066">
        <w:t xml:space="preserve"> by the modelled progression-free survival arm was present</w:t>
      </w:r>
      <w:r w:rsidRPr="00B83066">
        <w:t xml:space="preserve"> in the standard of care arm </w:t>
      </w:r>
      <w:r w:rsidR="005170B7" w:rsidRPr="00B83066">
        <w:t>d</w:t>
      </w:r>
      <w:r w:rsidRPr="00B83066">
        <w:t>uring the initial 6 months.</w:t>
      </w:r>
    </w:p>
    <w:p w14:paraId="72824147" w14:textId="11D3FF93" w:rsidR="00EE7F56" w:rsidRPr="00B83066" w:rsidRDefault="005170B7" w:rsidP="008303D6">
      <w:pPr>
        <w:pStyle w:val="COMexecsummnumbered"/>
      </w:pPr>
      <w:r w:rsidRPr="00B83066">
        <w:t xml:space="preserve">In general, the </w:t>
      </w:r>
      <w:r w:rsidR="00907211" w:rsidRPr="00B83066">
        <w:t xml:space="preserve">ESC noted that the </w:t>
      </w:r>
      <w:r w:rsidRPr="00B83066">
        <w:t>modelled results were constrained by the assumption of fixed treatment effects for elranatamab versus standard of care (due to the application of hazard ratios</w:t>
      </w:r>
      <w:r w:rsidR="00C97B31" w:rsidRPr="00B83066">
        <w:t xml:space="preserve"> to the extrapolated elranatamab data to obtain progression-free survival and overall survival for the standard of care arm), and the </w:t>
      </w:r>
      <w:r w:rsidR="00C97B31" w:rsidRPr="00B83066">
        <w:lastRenderedPageBreak/>
        <w:t xml:space="preserve">occurrence of capping effects when various alternative extrapolation functions were used. </w:t>
      </w:r>
    </w:p>
    <w:p w14:paraId="24573070" w14:textId="77777777" w:rsidR="00353F46" w:rsidRPr="00B83066" w:rsidRDefault="00353F46" w:rsidP="00353F46">
      <w:pPr>
        <w:pStyle w:val="COMexecsummnumbered"/>
      </w:pPr>
      <w:r w:rsidRPr="00B83066">
        <w:t xml:space="preserve">The proportion of patients in the elranatamab arm remaining progression-free at 5 years (26%) was substantially higher than the proportion of patients in the standard of care arm remaining progression free (7%). </w:t>
      </w:r>
    </w:p>
    <w:p w14:paraId="3FEA0F9B" w14:textId="77777777" w:rsidR="00353F46" w:rsidRPr="00B83066" w:rsidRDefault="00353F46" w:rsidP="00353F46">
      <w:pPr>
        <w:pStyle w:val="COMexecsummnumbered"/>
      </w:pPr>
      <w:r w:rsidRPr="00B83066">
        <w:t>The proportion of patients in the elranatamab arm remaining alive at 5 years (26%) was also substantially higher than the proportion of patients in the standard of care arm remaining alive (12%).</w:t>
      </w:r>
    </w:p>
    <w:p w14:paraId="11657BC3" w14:textId="533C79FC" w:rsidR="00353F46" w:rsidRPr="00B83066" w:rsidRDefault="00353F46" w:rsidP="00353F46">
      <w:pPr>
        <w:pStyle w:val="COMexecsummnumbered"/>
      </w:pPr>
      <w:r w:rsidRPr="00B83066">
        <w:t>Further, the ESC noted that</w:t>
      </w:r>
      <w:r w:rsidR="004D1911">
        <w:t xml:space="preserve"> </w:t>
      </w:r>
      <w:r w:rsidR="00CD5FC9">
        <w:t xml:space="preserve">approximately </w:t>
      </w:r>
      <w:r w:rsidR="004D1911">
        <w:t>17</w:t>
      </w:r>
      <w:r w:rsidRPr="00B83066">
        <w:t>% of patients in the elranatamab arm remained alive/progression free at the time horizon of 7 years, which the ESC considered lacked clinical plausibility.</w:t>
      </w:r>
    </w:p>
    <w:p w14:paraId="0CFB6F10" w14:textId="20CC2B72" w:rsidR="00D64766" w:rsidRDefault="00D64766" w:rsidP="004B73FB">
      <w:pPr>
        <w:pStyle w:val="Caption"/>
      </w:pPr>
      <w:bookmarkStart w:id="50" w:name="_Ref187766836"/>
      <w:r>
        <w:t xml:space="preserve">Figure </w:t>
      </w:r>
      <w:r w:rsidR="006B329A">
        <w:fldChar w:fldCharType="begin" w:fldLock="1"/>
      </w:r>
      <w:r w:rsidR="006B329A">
        <w:instrText xml:space="preserve"> SEQ Figure \* ARABIC </w:instrText>
      </w:r>
      <w:r w:rsidR="006B329A">
        <w:fldChar w:fldCharType="separate"/>
      </w:r>
      <w:r w:rsidR="00347D89">
        <w:rPr>
          <w:noProof/>
        </w:rPr>
        <w:t>4</w:t>
      </w:r>
      <w:r w:rsidR="006B329A">
        <w:rPr>
          <w:noProof/>
        </w:rPr>
        <w:fldChar w:fldCharType="end"/>
      </w:r>
      <w:bookmarkEnd w:id="50"/>
      <w:r>
        <w:t xml:space="preserve">: Partitioned survival approach used in the resubmission </w:t>
      </w:r>
    </w:p>
    <w:p w14:paraId="0207BB9D" w14:textId="109856A0" w:rsidR="00720457" w:rsidRDefault="000A2580" w:rsidP="004B73FB">
      <w:pPr>
        <w:pStyle w:val="COMexecsummnumbered"/>
        <w:keepNext/>
        <w:numPr>
          <w:ilvl w:val="0"/>
          <w:numId w:val="0"/>
        </w:numPr>
        <w:spacing w:before="0" w:after="0"/>
      </w:pPr>
      <w:r>
        <w:rPr>
          <w:noProof/>
        </w:rPr>
        <w:drawing>
          <wp:inline distT="0" distB="0" distL="0" distR="0" wp14:anchorId="6186B027" wp14:editId="749FAA78">
            <wp:extent cx="5698541" cy="3344808"/>
            <wp:effectExtent l="0" t="0" r="0" b="8255"/>
            <wp:docPr id="485469134" name="Picture 8" descr="Figure 4: Partitioned survival approach used in the resubmiss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469134" name="Picture 8" descr="Figure 4: Partitioned survival approach used in the resubmission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6542" cy="3349504"/>
                    </a:xfrm>
                    <a:prstGeom prst="rect">
                      <a:avLst/>
                    </a:prstGeom>
                    <a:noFill/>
                  </pic:spPr>
                </pic:pic>
              </a:graphicData>
            </a:graphic>
          </wp:inline>
        </w:drawing>
      </w:r>
    </w:p>
    <w:p w14:paraId="1DB3D5B4" w14:textId="77777777" w:rsidR="00333619" w:rsidRDefault="00333619" w:rsidP="00333619">
      <w:pPr>
        <w:pStyle w:val="COMTablefooter"/>
      </w:pPr>
      <w:r>
        <w:t>Source: Constructed during the evaluation using the Section 3 economic model Excel workbook (b</w:t>
      </w:r>
      <w:r w:rsidRPr="00365F50">
        <w:t>ased on the model traces for the elranatamab arm</w:t>
      </w:r>
      <w:r>
        <w:t>).</w:t>
      </w:r>
    </w:p>
    <w:p w14:paraId="53A0B939" w14:textId="77777777" w:rsidR="0044071E" w:rsidRDefault="0044071E">
      <w:pPr>
        <w:jc w:val="left"/>
        <w:rPr>
          <w:rFonts w:asciiTheme="minorHAnsi" w:eastAsiaTheme="minorHAnsi" w:hAnsiTheme="minorHAnsi" w:cstheme="minorBidi"/>
          <w:szCs w:val="22"/>
        </w:rPr>
      </w:pPr>
      <w:r>
        <w:br w:type="page"/>
      </w:r>
    </w:p>
    <w:p w14:paraId="37B4237B" w14:textId="023BB461" w:rsidR="00275C5A" w:rsidRPr="006E0FA2" w:rsidRDefault="00A5273B" w:rsidP="00BB00B3">
      <w:pPr>
        <w:pStyle w:val="COMexecsummnumbered"/>
      </w:pPr>
      <w:r>
        <w:lastRenderedPageBreak/>
        <w:fldChar w:fldCharType="begin" w:fldLock="1"/>
      </w:r>
      <w:r>
        <w:instrText xml:space="preserve"> REF _Ref104805122 \h </w:instrText>
      </w:r>
      <w:r>
        <w:fldChar w:fldCharType="separate"/>
      </w:r>
      <w:r w:rsidR="00347D89" w:rsidRPr="006E0FA2">
        <w:t xml:space="preserve">Table </w:t>
      </w:r>
      <w:r w:rsidR="00347D89">
        <w:rPr>
          <w:noProof/>
        </w:rPr>
        <w:t>14</w:t>
      </w:r>
      <w:r>
        <w:fldChar w:fldCharType="end"/>
      </w:r>
      <w:r w:rsidR="003B5EA8">
        <w:t xml:space="preserve"> summarises the key drivers of the economic model.</w:t>
      </w:r>
    </w:p>
    <w:p w14:paraId="774D46B7" w14:textId="676D1CF2" w:rsidR="00D110BD" w:rsidRPr="006E0FA2" w:rsidRDefault="00E16AD8" w:rsidP="00FF3ECD">
      <w:pPr>
        <w:pStyle w:val="COMtablefigcaption"/>
      </w:pPr>
      <w:bookmarkStart w:id="51" w:name="_Ref104805122"/>
      <w:r w:rsidRPr="006E0FA2">
        <w:t xml:space="preserve">Table </w:t>
      </w:r>
      <w:r w:rsidR="006B329A">
        <w:fldChar w:fldCharType="begin" w:fldLock="1"/>
      </w:r>
      <w:r w:rsidR="006B329A">
        <w:instrText xml:space="preserve"> SEQ Table \* ARABIC </w:instrText>
      </w:r>
      <w:r w:rsidR="006B329A">
        <w:fldChar w:fldCharType="separate"/>
      </w:r>
      <w:r w:rsidR="00347D89">
        <w:rPr>
          <w:noProof/>
        </w:rPr>
        <w:t>14</w:t>
      </w:r>
      <w:r w:rsidR="006B329A">
        <w:rPr>
          <w:noProof/>
        </w:rPr>
        <w:fldChar w:fldCharType="end"/>
      </w:r>
      <w:bookmarkEnd w:id="51"/>
      <w:r w:rsidRPr="006E0FA2">
        <w:t>:</w:t>
      </w:r>
      <w:r w:rsidR="00D110BD" w:rsidRPr="006E0FA2">
        <w:t xml:space="preserve">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4: Key drivers of the model"/>
      </w:tblPr>
      <w:tblGrid>
        <w:gridCol w:w="1129"/>
        <w:gridCol w:w="6649"/>
        <w:gridCol w:w="1239"/>
      </w:tblGrid>
      <w:tr w:rsidR="00114FA7" w:rsidRPr="006E0FA2" w14:paraId="4DD8026E" w14:textId="77777777" w:rsidTr="00F37B8A">
        <w:trPr>
          <w:tblHeader/>
        </w:trPr>
        <w:tc>
          <w:tcPr>
            <w:tcW w:w="626" w:type="pct"/>
            <w:shd w:val="clear" w:color="auto" w:fill="auto"/>
            <w:vAlign w:val="center"/>
          </w:tcPr>
          <w:p w14:paraId="6A9EC2DA" w14:textId="77777777" w:rsidR="00D110BD" w:rsidRPr="006E0FA2" w:rsidRDefault="00D110BD" w:rsidP="00942559">
            <w:pPr>
              <w:pStyle w:val="COMTableheadingrow"/>
            </w:pPr>
            <w:r w:rsidRPr="006E0FA2">
              <w:t>Description</w:t>
            </w:r>
          </w:p>
        </w:tc>
        <w:tc>
          <w:tcPr>
            <w:tcW w:w="3687" w:type="pct"/>
            <w:shd w:val="clear" w:color="auto" w:fill="auto"/>
            <w:vAlign w:val="center"/>
          </w:tcPr>
          <w:p w14:paraId="67A62672" w14:textId="77777777" w:rsidR="00D110BD" w:rsidRPr="006E0FA2" w:rsidRDefault="00D110BD" w:rsidP="00F37B8A">
            <w:pPr>
              <w:pStyle w:val="COMTableheadingrow"/>
              <w:jc w:val="center"/>
            </w:pPr>
            <w:r w:rsidRPr="006E0FA2">
              <w:t>Method/Value</w:t>
            </w:r>
          </w:p>
        </w:tc>
        <w:tc>
          <w:tcPr>
            <w:tcW w:w="687" w:type="pct"/>
            <w:shd w:val="clear" w:color="auto" w:fill="auto"/>
            <w:vAlign w:val="center"/>
          </w:tcPr>
          <w:p w14:paraId="6C1DC9EA" w14:textId="2B79BBE7" w:rsidR="00490B17" w:rsidRPr="006E0FA2" w:rsidRDefault="00F37B8A" w:rsidP="00F37B8A">
            <w:pPr>
              <w:pStyle w:val="COMTableheadingrow"/>
              <w:jc w:val="center"/>
            </w:pPr>
            <w:r>
              <w:t>Impact</w:t>
            </w:r>
          </w:p>
        </w:tc>
      </w:tr>
      <w:tr w:rsidR="000A4236" w:rsidRPr="006E0FA2" w14:paraId="3DE22150" w14:textId="77777777" w:rsidTr="00F37B8A">
        <w:tc>
          <w:tcPr>
            <w:tcW w:w="626" w:type="pct"/>
            <w:shd w:val="clear" w:color="auto" w:fill="auto"/>
            <w:vAlign w:val="center"/>
          </w:tcPr>
          <w:p w14:paraId="72E20981" w14:textId="305A7BEE" w:rsidR="000A4236" w:rsidRPr="006E0FA2" w:rsidRDefault="000A4236" w:rsidP="000A4236">
            <w:pPr>
              <w:pStyle w:val="COMTabletext"/>
            </w:pPr>
            <w:r>
              <w:t>Comparative effectiveness</w:t>
            </w:r>
          </w:p>
        </w:tc>
        <w:tc>
          <w:tcPr>
            <w:tcW w:w="3687" w:type="pct"/>
            <w:shd w:val="clear" w:color="auto" w:fill="auto"/>
            <w:vAlign w:val="center"/>
          </w:tcPr>
          <w:p w14:paraId="64938802" w14:textId="52B5A420" w:rsidR="000A4236" w:rsidRPr="0035502F" w:rsidRDefault="000A4236" w:rsidP="000A4236">
            <w:pPr>
              <w:pStyle w:val="COMTabletext"/>
            </w:pPr>
            <w:r w:rsidRPr="0035502F">
              <w:t xml:space="preserve">Progression-free survival and overall survival curves for each of the standard of care components were generated by applying the hazard ratios obtained from the indirect comparisons to the extrapolated progression-free survival and overall survival curves for elranatamab. </w:t>
            </w:r>
            <w:r w:rsidR="009D56CB" w:rsidRPr="0035502F">
              <w:t xml:space="preserve">While the results of the MAICs versus </w:t>
            </w:r>
            <w:r w:rsidR="00DA30D1" w:rsidRPr="0035502F">
              <w:t>Pd</w:t>
            </w:r>
            <w:r w:rsidR="009D56CB" w:rsidRPr="0035502F">
              <w:t xml:space="preserve"> and </w:t>
            </w:r>
            <w:r w:rsidR="00DA30D1" w:rsidRPr="0035502F">
              <w:t>Sd</w:t>
            </w:r>
            <w:r w:rsidR="009D56CB" w:rsidRPr="0035502F">
              <w:t xml:space="preserve"> were nominally statistically significant, the results of the indirect comparisons versus </w:t>
            </w:r>
            <w:r w:rsidR="00DA30D1" w:rsidRPr="0035502F">
              <w:t>Cd</w:t>
            </w:r>
            <w:r w:rsidR="009D56CB" w:rsidRPr="0035502F">
              <w:t xml:space="preserve"> did not achieve statistical significance.</w:t>
            </w:r>
          </w:p>
        </w:tc>
        <w:tc>
          <w:tcPr>
            <w:tcW w:w="687" w:type="pct"/>
            <w:shd w:val="clear" w:color="auto" w:fill="auto"/>
            <w:vAlign w:val="center"/>
          </w:tcPr>
          <w:p w14:paraId="0AD58F2B" w14:textId="3433304C" w:rsidR="000A4236" w:rsidRPr="0035502F" w:rsidRDefault="000A4236" w:rsidP="000A4236">
            <w:pPr>
              <w:pStyle w:val="COMTabletext"/>
            </w:pPr>
            <w:r w:rsidRPr="0035502F">
              <w:t>High, favours elranatamab.</w:t>
            </w:r>
          </w:p>
        </w:tc>
      </w:tr>
      <w:tr w:rsidR="000A4236" w:rsidRPr="006E0FA2" w14:paraId="0A6A02E8" w14:textId="77777777" w:rsidTr="00F37B8A">
        <w:tc>
          <w:tcPr>
            <w:tcW w:w="626" w:type="pct"/>
            <w:shd w:val="clear" w:color="auto" w:fill="auto"/>
            <w:vAlign w:val="center"/>
          </w:tcPr>
          <w:p w14:paraId="76B9F16B" w14:textId="0D7D2B5C" w:rsidR="000A4236" w:rsidRPr="006E0FA2" w:rsidRDefault="000A4236" w:rsidP="000A4236">
            <w:pPr>
              <w:pStyle w:val="COMTabletext"/>
            </w:pPr>
            <w:r w:rsidRPr="006E0FA2">
              <w:t>Extrapolation</w:t>
            </w:r>
          </w:p>
        </w:tc>
        <w:tc>
          <w:tcPr>
            <w:tcW w:w="3687" w:type="pct"/>
            <w:shd w:val="clear" w:color="auto" w:fill="auto"/>
            <w:vAlign w:val="center"/>
          </w:tcPr>
          <w:p w14:paraId="566F8417" w14:textId="397B270C" w:rsidR="00F37B8A" w:rsidRPr="0035502F" w:rsidRDefault="007B7162" w:rsidP="000F581C">
            <w:pPr>
              <w:pStyle w:val="COMTabletext"/>
            </w:pPr>
            <w:r w:rsidRPr="0035502F">
              <w:t xml:space="preserve">Due to </w:t>
            </w:r>
            <w:r w:rsidR="007109AE" w:rsidRPr="0035502F">
              <w:t xml:space="preserve">the </w:t>
            </w:r>
            <w:r w:rsidRPr="0035502F">
              <w:t xml:space="preserve">capping of the progression-survival curve by the overall survival curve, the progression-free survival and overall survival curves for the elranatamab arm were similar from 2 years onwards and identical from 3 years onwards, resulting in </w:t>
            </w:r>
            <w:r w:rsidR="00FE0FCD" w:rsidRPr="0035502F">
              <w:t xml:space="preserve">all elranatamab </w:t>
            </w:r>
            <w:r w:rsidR="00311B36" w:rsidRPr="0035502F">
              <w:t xml:space="preserve">patients </w:t>
            </w:r>
            <w:r w:rsidR="00FE0FCD" w:rsidRPr="0035502F">
              <w:t xml:space="preserve">remaining progression-free from 3 years, </w:t>
            </w:r>
            <w:r w:rsidR="007109AE" w:rsidRPr="0035502F">
              <w:t xml:space="preserve">and </w:t>
            </w:r>
            <w:r w:rsidRPr="0035502F">
              <w:t xml:space="preserve">a lower duration of post-progression survival in the elranatamab arm, </w:t>
            </w:r>
            <w:r w:rsidR="007109AE" w:rsidRPr="0035502F">
              <w:t xml:space="preserve">with </w:t>
            </w:r>
            <w:r w:rsidRPr="0035502F">
              <w:t>lower associated subsequent treatment costs.</w:t>
            </w:r>
          </w:p>
        </w:tc>
        <w:tc>
          <w:tcPr>
            <w:tcW w:w="687" w:type="pct"/>
            <w:shd w:val="clear" w:color="auto" w:fill="auto"/>
            <w:vAlign w:val="center"/>
          </w:tcPr>
          <w:p w14:paraId="0F2B47B1" w14:textId="4495DBC3" w:rsidR="000A4236" w:rsidRPr="0035502F" w:rsidRDefault="00BD671A" w:rsidP="000A4236">
            <w:pPr>
              <w:pStyle w:val="COMTabletext"/>
            </w:pPr>
            <w:r w:rsidRPr="0035502F">
              <w:t>High</w:t>
            </w:r>
            <w:r w:rsidR="000A4236" w:rsidRPr="0035502F">
              <w:t>, favours elranatamab.</w:t>
            </w:r>
          </w:p>
        </w:tc>
      </w:tr>
      <w:tr w:rsidR="000A4236" w:rsidRPr="006E0FA2" w14:paraId="3483847F" w14:textId="77777777" w:rsidTr="00F37B8A">
        <w:tc>
          <w:tcPr>
            <w:tcW w:w="626" w:type="pct"/>
            <w:shd w:val="clear" w:color="auto" w:fill="auto"/>
            <w:vAlign w:val="center"/>
          </w:tcPr>
          <w:p w14:paraId="2724D8D9" w14:textId="2A7ECFDF" w:rsidR="000A4236" w:rsidRPr="006E0FA2" w:rsidRDefault="000A4236" w:rsidP="000A4236">
            <w:pPr>
              <w:pStyle w:val="COMTabletext"/>
            </w:pPr>
            <w:r>
              <w:t>Time horizon</w:t>
            </w:r>
          </w:p>
        </w:tc>
        <w:tc>
          <w:tcPr>
            <w:tcW w:w="3687" w:type="pct"/>
            <w:shd w:val="clear" w:color="auto" w:fill="auto"/>
            <w:vAlign w:val="center"/>
          </w:tcPr>
          <w:p w14:paraId="4B9FCE0E" w14:textId="24B76296" w:rsidR="000A4236" w:rsidRPr="0035502F" w:rsidRDefault="000F581C" w:rsidP="000A4236">
            <w:pPr>
              <w:pStyle w:val="COMTabletext"/>
            </w:pPr>
            <w:r w:rsidRPr="0035502F">
              <w:t xml:space="preserve">Extrapolation of the clinical evidence and the associated comparative effectiveness was associated with </w:t>
            </w:r>
            <w:r w:rsidR="00E04F3E" w:rsidRPr="0035502F">
              <w:t>a large degree of uncertainty.</w:t>
            </w:r>
          </w:p>
        </w:tc>
        <w:tc>
          <w:tcPr>
            <w:tcW w:w="687" w:type="pct"/>
            <w:shd w:val="clear" w:color="auto" w:fill="auto"/>
            <w:vAlign w:val="center"/>
          </w:tcPr>
          <w:p w14:paraId="4CB0C507" w14:textId="4917C5BC" w:rsidR="000A4236" w:rsidRPr="0035502F" w:rsidRDefault="000A4236" w:rsidP="000A4236">
            <w:pPr>
              <w:pStyle w:val="COMTabletext"/>
            </w:pPr>
            <w:r w:rsidRPr="0035502F">
              <w:t>Moderate, favours elranatamab.</w:t>
            </w:r>
          </w:p>
        </w:tc>
      </w:tr>
      <w:tr w:rsidR="000A4236" w:rsidRPr="006E0FA2" w14:paraId="39E46D5B" w14:textId="77777777" w:rsidTr="00F37B8A">
        <w:tc>
          <w:tcPr>
            <w:tcW w:w="626" w:type="pct"/>
            <w:shd w:val="clear" w:color="auto" w:fill="auto"/>
            <w:vAlign w:val="center"/>
          </w:tcPr>
          <w:p w14:paraId="347EC5A4" w14:textId="66395FA8" w:rsidR="000A4236" w:rsidRPr="006E0FA2" w:rsidRDefault="000A4236" w:rsidP="000A4236">
            <w:pPr>
              <w:pStyle w:val="COMTabletext"/>
            </w:pPr>
            <w:r>
              <w:t>Treatment adherence</w:t>
            </w:r>
          </w:p>
        </w:tc>
        <w:tc>
          <w:tcPr>
            <w:tcW w:w="3687" w:type="pct"/>
            <w:shd w:val="clear" w:color="auto" w:fill="auto"/>
            <w:vAlign w:val="center"/>
          </w:tcPr>
          <w:p w14:paraId="7E7105AF" w14:textId="7D1BCA38" w:rsidR="000A4236" w:rsidRPr="0035502F" w:rsidRDefault="00E04F3E" w:rsidP="00E04F3E">
            <w:pPr>
              <w:pStyle w:val="TableText"/>
              <w:numPr>
                <w:ilvl w:val="0"/>
                <w:numId w:val="0"/>
              </w:numPr>
            </w:pPr>
            <w:r w:rsidRPr="0035502F">
              <w:t>The assumed treatment adherence for elranatamab (79%) was lower than the treatment adherence assumed for carfilzomib (93% for once weekly and 87% for twice weekly regimen) and pomalidomide (90%). Differences in treatment adherence between clinical studies may be due to other factors (e.g., differences in patient populations), and may not reflect treatment adherence in Australian clinical practice.</w:t>
            </w:r>
          </w:p>
        </w:tc>
        <w:tc>
          <w:tcPr>
            <w:tcW w:w="687" w:type="pct"/>
            <w:shd w:val="clear" w:color="auto" w:fill="auto"/>
            <w:vAlign w:val="center"/>
          </w:tcPr>
          <w:p w14:paraId="50F3F3FF" w14:textId="2AFE6D56" w:rsidR="000A4236" w:rsidRPr="0035502F" w:rsidRDefault="00E04F3E" w:rsidP="00E04F3E">
            <w:pPr>
              <w:pStyle w:val="TableText"/>
              <w:numPr>
                <w:ilvl w:val="0"/>
                <w:numId w:val="0"/>
              </w:numPr>
            </w:pPr>
            <w:r w:rsidRPr="0035502F">
              <w:t>Moderate, favours elranatamab</w:t>
            </w:r>
          </w:p>
        </w:tc>
      </w:tr>
    </w:tbl>
    <w:p w14:paraId="4698238E" w14:textId="77777777" w:rsidR="003F3D5F" w:rsidRDefault="009D792E" w:rsidP="007E51D5">
      <w:pPr>
        <w:pStyle w:val="COMTablefooter"/>
      </w:pPr>
      <w:r w:rsidRPr="006E0FA2">
        <w:t xml:space="preserve">Source: </w:t>
      </w:r>
      <w:r w:rsidR="003F3D5F">
        <w:t>Constructed during the evaluation using the Section 3 economic model Excel workbook.</w:t>
      </w:r>
    </w:p>
    <w:p w14:paraId="30E97087" w14:textId="166448A7" w:rsidR="00D110BD" w:rsidRDefault="003F3D5F" w:rsidP="007E51D5">
      <w:pPr>
        <w:pStyle w:val="COMTablefooter"/>
      </w:pPr>
      <w:r>
        <w:t xml:space="preserve">Abbreviations: </w:t>
      </w:r>
      <w:r w:rsidR="00DA30D1">
        <w:t xml:space="preserve">Cd, carfilzomib + dexamethasone; </w:t>
      </w:r>
      <w:r>
        <w:t>MAIC, matching adjusted indirect comparison</w:t>
      </w:r>
      <w:r w:rsidR="00DA30D1">
        <w:t>; Pd, pomalidomide + dexamethasone; Sd, selinexor + dexamethasone.</w:t>
      </w:r>
    </w:p>
    <w:p w14:paraId="72EA9E83" w14:textId="50882710" w:rsidR="00F17041" w:rsidRPr="00F17041" w:rsidRDefault="003169B2" w:rsidP="000F2D40">
      <w:pPr>
        <w:pStyle w:val="COMexecsummnumbered"/>
      </w:pPr>
      <w:r>
        <w:fldChar w:fldCharType="begin" w:fldLock="1"/>
      </w:r>
      <w:r>
        <w:instrText xml:space="preserve"> REF _Ref187747374 \h </w:instrText>
      </w:r>
      <w:r>
        <w:fldChar w:fldCharType="separate"/>
      </w:r>
      <w:r w:rsidR="00347D89">
        <w:t xml:space="preserve">Figure </w:t>
      </w:r>
      <w:r w:rsidR="00347D89">
        <w:rPr>
          <w:noProof/>
        </w:rPr>
        <w:t>5</w:t>
      </w:r>
      <w:r>
        <w:fldChar w:fldCharType="end"/>
      </w:r>
      <w:r w:rsidR="00F17041" w:rsidRPr="00F17041">
        <w:t xml:space="preserve"> presents model traces for the elranatamab and standard of care arms.</w:t>
      </w:r>
    </w:p>
    <w:p w14:paraId="7EF3D3D1" w14:textId="53E8008A" w:rsidR="00F17041" w:rsidRDefault="00A5273B" w:rsidP="00F17041">
      <w:pPr>
        <w:pStyle w:val="COMtablefigcaption"/>
      </w:pPr>
      <w:bookmarkStart w:id="52" w:name="_Ref187747374"/>
      <w:r>
        <w:t xml:space="preserve">Figure </w:t>
      </w:r>
      <w:r w:rsidR="006B329A">
        <w:fldChar w:fldCharType="begin" w:fldLock="1"/>
      </w:r>
      <w:r w:rsidR="006B329A">
        <w:instrText xml:space="preserve"> SEQ Figure \* ARABIC </w:instrText>
      </w:r>
      <w:r w:rsidR="006B329A">
        <w:fldChar w:fldCharType="separate"/>
      </w:r>
      <w:r w:rsidR="00347D89">
        <w:rPr>
          <w:noProof/>
        </w:rPr>
        <w:t>5</w:t>
      </w:r>
      <w:r w:rsidR="006B329A">
        <w:rPr>
          <w:noProof/>
        </w:rPr>
        <w:fldChar w:fldCharType="end"/>
      </w:r>
      <w:bookmarkEnd w:id="52"/>
      <w:r w:rsidR="00F17041" w:rsidRPr="007B1F68">
        <w:t xml:space="preserve">: Model traces for </w:t>
      </w:r>
      <w:r w:rsidR="00F17041">
        <w:t>elranatamab</w:t>
      </w:r>
      <w:r w:rsidR="00F17041" w:rsidRPr="007B1F68">
        <w:t xml:space="preserve"> and </w:t>
      </w:r>
      <w:r w:rsidR="00F17041">
        <w:t>standard of care</w:t>
      </w:r>
    </w:p>
    <w:p w14:paraId="6B11F3A8" w14:textId="09CA5BF7" w:rsidR="00F17041" w:rsidRDefault="002B0005" w:rsidP="002B0005">
      <w:r>
        <w:rPr>
          <w:noProof/>
        </w:rPr>
        <w:drawing>
          <wp:inline distT="0" distB="0" distL="0" distR="0" wp14:anchorId="07800199" wp14:editId="3E834E25">
            <wp:extent cx="5720467" cy="3357677"/>
            <wp:effectExtent l="0" t="0" r="0" b="0"/>
            <wp:docPr id="303712121" name="Picture 6" descr="Figure 5: Model traces for elranatamab and standard of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712121" name="Picture 6" descr="Figure 5: Model traces for elranatamab and standard of ca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2926" cy="3364990"/>
                    </a:xfrm>
                    <a:prstGeom prst="rect">
                      <a:avLst/>
                    </a:prstGeom>
                    <a:noFill/>
                  </pic:spPr>
                </pic:pic>
              </a:graphicData>
            </a:graphic>
          </wp:inline>
        </w:drawing>
      </w:r>
    </w:p>
    <w:p w14:paraId="2ABD6241" w14:textId="77777777" w:rsidR="00F17041" w:rsidRDefault="00F17041" w:rsidP="00F17041">
      <w:pPr>
        <w:pStyle w:val="COMTablefooter"/>
      </w:pPr>
      <w:r w:rsidRPr="001A5ADB">
        <w:t>Source: Constructed during the evaluation using the Section 3 economic model Excel workbook.</w:t>
      </w:r>
      <w:r>
        <w:t xml:space="preserve"> </w:t>
      </w:r>
    </w:p>
    <w:p w14:paraId="3E6F1295" w14:textId="77777777" w:rsidR="00F17041" w:rsidRDefault="00F17041" w:rsidP="00F17041">
      <w:pPr>
        <w:pStyle w:val="COMTablefooter"/>
      </w:pPr>
      <w:r>
        <w:t>Standard of care traces derived from the weighted average proportion of patients in the progression-free, progressed and dead states for the nominated standard of care therapies (carfilzomib + dexamethasone: 51.0%; pomalidomide + dexamethasone: 46.5%; selinexor + dexamethasone: 2.5%).</w:t>
      </w:r>
    </w:p>
    <w:p w14:paraId="722285BA" w14:textId="1897DA19" w:rsidR="007F403B" w:rsidRPr="007F403B" w:rsidRDefault="00AB618C" w:rsidP="007F403B">
      <w:pPr>
        <w:pStyle w:val="COMexecsummnumbered"/>
        <w:rPr>
          <w:i/>
          <w:iCs/>
        </w:rPr>
      </w:pPr>
      <w:r>
        <w:lastRenderedPageBreak/>
        <w:fldChar w:fldCharType="begin" w:fldLock="1"/>
      </w:r>
      <w:r>
        <w:instrText xml:space="preserve"> REF _Ref187747135 \h </w:instrText>
      </w:r>
      <w:r>
        <w:fldChar w:fldCharType="separate"/>
      </w:r>
      <w:r w:rsidR="00347D89" w:rsidRPr="006E0FA2">
        <w:t xml:space="preserve">Table </w:t>
      </w:r>
      <w:r w:rsidR="00347D89">
        <w:rPr>
          <w:noProof/>
        </w:rPr>
        <w:t>15</w:t>
      </w:r>
      <w:r>
        <w:fldChar w:fldCharType="end"/>
      </w:r>
      <w:r w:rsidR="007F403B" w:rsidRPr="008A16C4">
        <w:t xml:space="preserve"> presents the results of the stepped economic evaluation</w:t>
      </w:r>
      <w:r w:rsidR="00D15D24">
        <w:t xml:space="preserve"> based on published prices</w:t>
      </w:r>
      <w:r w:rsidR="009D640C">
        <w:t xml:space="preserve"> and 4-weekly dosing of elranatamab from Week 49</w:t>
      </w:r>
      <w:r w:rsidR="007F403B" w:rsidRPr="008A16C4">
        <w:t xml:space="preserve">. </w:t>
      </w:r>
    </w:p>
    <w:p w14:paraId="5D71B8CC" w14:textId="69487AE2" w:rsidR="007F403B" w:rsidRPr="006E0FA2" w:rsidRDefault="00A0323C" w:rsidP="007F403B">
      <w:pPr>
        <w:pStyle w:val="COMtablefigcaption"/>
      </w:pPr>
      <w:bookmarkStart w:id="53" w:name="_Ref187747135"/>
      <w:r w:rsidRPr="006E0FA2">
        <w:t xml:space="preserve">Table </w:t>
      </w:r>
      <w:r w:rsidR="006B329A">
        <w:fldChar w:fldCharType="begin" w:fldLock="1"/>
      </w:r>
      <w:r w:rsidR="006B329A">
        <w:instrText xml:space="preserve"> SEQ Table \* ARABIC </w:instrText>
      </w:r>
      <w:r w:rsidR="006B329A">
        <w:fldChar w:fldCharType="separate"/>
      </w:r>
      <w:r w:rsidR="00347D89">
        <w:rPr>
          <w:noProof/>
        </w:rPr>
        <w:t>15</w:t>
      </w:r>
      <w:r w:rsidR="006B329A">
        <w:rPr>
          <w:noProof/>
        </w:rPr>
        <w:fldChar w:fldCharType="end"/>
      </w:r>
      <w:bookmarkEnd w:id="53"/>
      <w:r w:rsidR="007F403B" w:rsidRPr="006E0FA2">
        <w:t>: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5: Results of the stepped economic evaluation"/>
      </w:tblPr>
      <w:tblGrid>
        <w:gridCol w:w="2757"/>
        <w:gridCol w:w="2451"/>
        <w:gridCol w:w="2298"/>
        <w:gridCol w:w="1511"/>
      </w:tblGrid>
      <w:tr w:rsidR="007F403B" w:rsidRPr="006E0FA2" w14:paraId="7413CB18" w14:textId="77777777" w:rsidTr="002A3BF4">
        <w:trPr>
          <w:tblHeader/>
        </w:trPr>
        <w:tc>
          <w:tcPr>
            <w:tcW w:w="1529" w:type="pct"/>
            <w:vAlign w:val="center"/>
          </w:tcPr>
          <w:p w14:paraId="6ECB539B" w14:textId="77777777" w:rsidR="007F403B" w:rsidRPr="006E0FA2" w:rsidRDefault="007F403B" w:rsidP="002A3BF4">
            <w:pPr>
              <w:pStyle w:val="COMTableheadingrow"/>
            </w:pPr>
            <w:r w:rsidRPr="006E0FA2">
              <w:t>Step and component</w:t>
            </w:r>
          </w:p>
        </w:tc>
        <w:tc>
          <w:tcPr>
            <w:tcW w:w="1359" w:type="pct"/>
            <w:vAlign w:val="center"/>
          </w:tcPr>
          <w:p w14:paraId="095357EC" w14:textId="77777777" w:rsidR="007F403B" w:rsidRPr="006E0FA2" w:rsidRDefault="007F403B" w:rsidP="002A3BF4">
            <w:pPr>
              <w:pStyle w:val="COMTableheadingrow"/>
              <w:jc w:val="center"/>
            </w:pPr>
            <w:r>
              <w:t>Elranatamab</w:t>
            </w:r>
          </w:p>
        </w:tc>
        <w:tc>
          <w:tcPr>
            <w:tcW w:w="1274" w:type="pct"/>
            <w:vAlign w:val="center"/>
          </w:tcPr>
          <w:p w14:paraId="5D60C0E4" w14:textId="77777777" w:rsidR="007F403B" w:rsidRPr="006E0FA2" w:rsidRDefault="007F403B" w:rsidP="002A3BF4">
            <w:pPr>
              <w:pStyle w:val="COMTableheadingrow"/>
              <w:jc w:val="center"/>
            </w:pPr>
            <w:r>
              <w:t>Standard of care</w:t>
            </w:r>
          </w:p>
        </w:tc>
        <w:tc>
          <w:tcPr>
            <w:tcW w:w="838" w:type="pct"/>
            <w:vAlign w:val="center"/>
          </w:tcPr>
          <w:p w14:paraId="63D4C198" w14:textId="77777777" w:rsidR="007F403B" w:rsidRPr="006E0FA2" w:rsidRDefault="007F403B" w:rsidP="002A3BF4">
            <w:pPr>
              <w:pStyle w:val="COMTableheadingrow"/>
              <w:jc w:val="center"/>
            </w:pPr>
            <w:r w:rsidRPr="006E0FA2">
              <w:t>Increment</w:t>
            </w:r>
          </w:p>
        </w:tc>
      </w:tr>
      <w:tr w:rsidR="007F403B" w:rsidRPr="006E0FA2" w14:paraId="18B2D2A1" w14:textId="77777777" w:rsidTr="002A3BF4">
        <w:tc>
          <w:tcPr>
            <w:tcW w:w="5000" w:type="pct"/>
            <w:gridSpan w:val="4"/>
            <w:vAlign w:val="center"/>
          </w:tcPr>
          <w:p w14:paraId="3663409F" w14:textId="77777777" w:rsidR="007F403B" w:rsidRPr="00B665F3" w:rsidRDefault="007F403B" w:rsidP="002A3BF4">
            <w:pPr>
              <w:pStyle w:val="COMTabletext"/>
              <w:rPr>
                <w:b/>
                <w:bCs w:val="0"/>
              </w:rPr>
            </w:pPr>
            <w:r w:rsidRPr="00B665F3">
              <w:rPr>
                <w:b/>
                <w:bCs w:val="0"/>
              </w:rPr>
              <w:t>Step 1: Modelled analysis over 28.4 months. Results for comparators derived using hazard ratios obtained from indirect comparisons. ICER weighted based on nominated standard of care comparator distribution.</w:t>
            </w:r>
          </w:p>
        </w:tc>
      </w:tr>
      <w:tr w:rsidR="007F403B" w:rsidRPr="006E0FA2" w14:paraId="6A5CEE41" w14:textId="77777777" w:rsidTr="002A3BF4">
        <w:tc>
          <w:tcPr>
            <w:tcW w:w="1529" w:type="pct"/>
            <w:vAlign w:val="center"/>
          </w:tcPr>
          <w:p w14:paraId="1F472D2D" w14:textId="77777777" w:rsidR="007F403B" w:rsidRPr="006E0FA2" w:rsidRDefault="007F403B" w:rsidP="002A3BF4">
            <w:pPr>
              <w:pStyle w:val="COMTabletext"/>
              <w:rPr>
                <w:rFonts w:ascii="Times" w:hAnsi="Times"/>
              </w:rPr>
            </w:pPr>
            <w:r w:rsidRPr="006E0FA2">
              <w:t>Costs</w:t>
            </w:r>
          </w:p>
        </w:tc>
        <w:tc>
          <w:tcPr>
            <w:tcW w:w="1359" w:type="pct"/>
          </w:tcPr>
          <w:p w14:paraId="089CE427" w14:textId="5AB349D6" w:rsidR="007F403B" w:rsidRPr="006E0FA2" w:rsidRDefault="007F403B" w:rsidP="002A3BF4">
            <w:pPr>
              <w:pStyle w:val="COMTabletext"/>
              <w:jc w:val="center"/>
              <w:rPr>
                <w:rFonts w:ascii="Times" w:hAnsi="Times"/>
              </w:rPr>
            </w:pPr>
            <w:r w:rsidRPr="00E45693">
              <w:t>$</w:t>
            </w:r>
            <w:r w:rsidR="003F51AF" w:rsidRPr="003F51AF">
              <w:rPr>
                <w:color w:val="000000"/>
                <w:shd w:val="solid" w:color="000000" w:fill="000000"/>
                <w14:textFill>
                  <w14:solidFill>
                    <w14:srgbClr w14:val="000000">
                      <w14:alpha w14:val="100000"/>
                    </w14:srgbClr>
                  </w14:solidFill>
                </w14:textFill>
              </w:rPr>
              <w:t>|</w:t>
            </w:r>
          </w:p>
        </w:tc>
        <w:tc>
          <w:tcPr>
            <w:tcW w:w="1274" w:type="pct"/>
          </w:tcPr>
          <w:p w14:paraId="05E9669E" w14:textId="77777777" w:rsidR="007F403B" w:rsidRPr="006E0FA2" w:rsidRDefault="007F403B" w:rsidP="002A3BF4">
            <w:pPr>
              <w:pStyle w:val="COMTabletext"/>
              <w:jc w:val="center"/>
              <w:rPr>
                <w:rFonts w:ascii="Times" w:hAnsi="Times"/>
              </w:rPr>
            </w:pPr>
            <w:r w:rsidRPr="00E45693">
              <w:t>$87,828</w:t>
            </w:r>
          </w:p>
        </w:tc>
        <w:tc>
          <w:tcPr>
            <w:tcW w:w="838" w:type="pct"/>
          </w:tcPr>
          <w:p w14:paraId="66126295" w14:textId="741A7156" w:rsidR="007F403B" w:rsidRPr="006E0FA2" w:rsidRDefault="007F403B" w:rsidP="002A3BF4">
            <w:pPr>
              <w:pStyle w:val="COMTabletext"/>
              <w:jc w:val="center"/>
              <w:rPr>
                <w:rFonts w:ascii="Times" w:hAnsi="Times"/>
              </w:rPr>
            </w:pPr>
            <w:r w:rsidRPr="00E45693">
              <w:t>$</w:t>
            </w:r>
            <w:r w:rsidR="003F51AF" w:rsidRPr="003F51AF">
              <w:rPr>
                <w:color w:val="000000"/>
                <w:shd w:val="solid" w:color="000000" w:fill="000000"/>
                <w14:textFill>
                  <w14:solidFill>
                    <w14:srgbClr w14:val="000000">
                      <w14:alpha w14:val="100000"/>
                    </w14:srgbClr>
                  </w14:solidFill>
                </w14:textFill>
              </w:rPr>
              <w:t>|</w:t>
            </w:r>
          </w:p>
        </w:tc>
      </w:tr>
      <w:tr w:rsidR="007F403B" w:rsidRPr="006E0FA2" w14:paraId="5ECACE54" w14:textId="77777777" w:rsidTr="002A3BF4">
        <w:tc>
          <w:tcPr>
            <w:tcW w:w="1529" w:type="pct"/>
            <w:vAlign w:val="center"/>
          </w:tcPr>
          <w:p w14:paraId="0A2D24AF" w14:textId="77777777" w:rsidR="007F403B" w:rsidRPr="006E0FA2" w:rsidRDefault="007F403B" w:rsidP="002A3BF4">
            <w:pPr>
              <w:pStyle w:val="COMTabletext"/>
              <w:rPr>
                <w:rFonts w:ascii="Times" w:hAnsi="Times"/>
              </w:rPr>
            </w:pPr>
            <w:r>
              <w:t>Life years</w:t>
            </w:r>
          </w:p>
        </w:tc>
        <w:tc>
          <w:tcPr>
            <w:tcW w:w="1359" w:type="pct"/>
          </w:tcPr>
          <w:p w14:paraId="00E504BA" w14:textId="77777777" w:rsidR="007F403B" w:rsidRPr="006E0FA2" w:rsidRDefault="007F403B" w:rsidP="002A3BF4">
            <w:pPr>
              <w:pStyle w:val="COMTabletext"/>
              <w:jc w:val="center"/>
              <w:rPr>
                <w:rFonts w:ascii="Times" w:hAnsi="Times"/>
              </w:rPr>
            </w:pPr>
            <w:r w:rsidRPr="00E45693">
              <w:t>1.486</w:t>
            </w:r>
          </w:p>
        </w:tc>
        <w:tc>
          <w:tcPr>
            <w:tcW w:w="1274" w:type="pct"/>
          </w:tcPr>
          <w:p w14:paraId="6CF2FB0E" w14:textId="77777777" w:rsidR="007F403B" w:rsidRPr="006E0FA2" w:rsidRDefault="007F403B" w:rsidP="002A3BF4">
            <w:pPr>
              <w:pStyle w:val="COMTabletext"/>
              <w:jc w:val="center"/>
              <w:rPr>
                <w:rFonts w:ascii="Times" w:hAnsi="Times"/>
              </w:rPr>
            </w:pPr>
            <w:r w:rsidRPr="00E45693">
              <w:t>1.202</w:t>
            </w:r>
          </w:p>
        </w:tc>
        <w:tc>
          <w:tcPr>
            <w:tcW w:w="838" w:type="pct"/>
          </w:tcPr>
          <w:p w14:paraId="40963DBA" w14:textId="77777777" w:rsidR="007F403B" w:rsidRPr="006E0FA2" w:rsidRDefault="007F403B" w:rsidP="002A3BF4">
            <w:pPr>
              <w:pStyle w:val="COMTabletext"/>
              <w:jc w:val="center"/>
            </w:pPr>
            <w:r w:rsidRPr="00E45693">
              <w:t>0.283</w:t>
            </w:r>
          </w:p>
        </w:tc>
      </w:tr>
      <w:tr w:rsidR="007F403B" w:rsidRPr="006E0FA2" w14:paraId="45ACB94F" w14:textId="77777777" w:rsidTr="002A3BF4">
        <w:tc>
          <w:tcPr>
            <w:tcW w:w="4162" w:type="pct"/>
            <w:gridSpan w:val="3"/>
            <w:vAlign w:val="center"/>
          </w:tcPr>
          <w:p w14:paraId="255A4A7A" w14:textId="77777777" w:rsidR="007F403B" w:rsidRPr="006E0FA2" w:rsidRDefault="007F403B" w:rsidP="002A3BF4">
            <w:pPr>
              <w:pStyle w:val="COMTabletext"/>
              <w:rPr>
                <w:rFonts w:ascii="Times" w:hAnsi="Times"/>
              </w:rPr>
            </w:pPr>
            <w:r w:rsidRPr="006E0FA2">
              <w:t>Incremental cost</w:t>
            </w:r>
            <w:r>
              <w:t xml:space="preserve"> per life year</w:t>
            </w:r>
            <w:r w:rsidRPr="006E0FA2">
              <w:t xml:space="preserve"> gained</w:t>
            </w:r>
          </w:p>
        </w:tc>
        <w:tc>
          <w:tcPr>
            <w:tcW w:w="838" w:type="pct"/>
            <w:vAlign w:val="center"/>
          </w:tcPr>
          <w:p w14:paraId="13E7FB9F" w14:textId="494DE0D6" w:rsidR="007F403B" w:rsidRPr="00392A25" w:rsidRDefault="007F403B" w:rsidP="002A3BF4">
            <w:pPr>
              <w:pStyle w:val="COMTabletext"/>
              <w:jc w:val="center"/>
              <w:rPr>
                <w:rFonts w:ascii="Times" w:hAnsi="Times"/>
                <w:vertAlign w:val="superscript"/>
              </w:rPr>
            </w:pPr>
            <w:r w:rsidRPr="00617910">
              <w:t>$</w:t>
            </w:r>
            <w:r w:rsidR="003F51AF" w:rsidRPr="003F51AF">
              <w:rPr>
                <w:color w:val="000000"/>
                <w:shd w:val="solid" w:color="000000" w:fill="000000"/>
                <w14:textFill>
                  <w14:solidFill>
                    <w14:srgbClr w14:val="000000">
                      <w14:alpha w14:val="100000"/>
                    </w14:srgbClr>
                  </w14:solidFill>
                </w14:textFill>
              </w:rPr>
              <w:t>|</w:t>
            </w:r>
            <w:r w:rsidR="00392A25">
              <w:t xml:space="preserve"> </w:t>
            </w:r>
            <w:r w:rsidR="00392A25">
              <w:rPr>
                <w:vertAlign w:val="superscript"/>
              </w:rPr>
              <w:t>1</w:t>
            </w:r>
          </w:p>
        </w:tc>
      </w:tr>
      <w:tr w:rsidR="007F403B" w:rsidRPr="006E0FA2" w14:paraId="5EC4A149" w14:textId="77777777" w:rsidTr="002A3BF4">
        <w:tc>
          <w:tcPr>
            <w:tcW w:w="5000" w:type="pct"/>
            <w:gridSpan w:val="4"/>
            <w:vAlign w:val="center"/>
          </w:tcPr>
          <w:p w14:paraId="0E4DEE88" w14:textId="77777777" w:rsidR="007F403B" w:rsidRPr="006E0FA2" w:rsidRDefault="007F403B" w:rsidP="002A3BF4">
            <w:pPr>
              <w:pStyle w:val="COMTableheadingrow"/>
            </w:pPr>
            <w:r w:rsidRPr="006E0FA2">
              <w:t xml:space="preserve">Step 2: </w:t>
            </w:r>
            <w:r w:rsidRPr="00B665F3">
              <w:t xml:space="preserve">Time horizon increased to 7 years. Elranatamab </w:t>
            </w:r>
            <w:r>
              <w:t>progression-free survival</w:t>
            </w:r>
            <w:r w:rsidRPr="00B665F3">
              <w:t xml:space="preserve">, </w:t>
            </w:r>
            <w:r>
              <w:t>overall survival</w:t>
            </w:r>
            <w:r w:rsidRPr="00B665F3">
              <w:t xml:space="preserve"> and </w:t>
            </w:r>
            <w:r>
              <w:t xml:space="preserve">time to </w:t>
            </w:r>
            <w:proofErr w:type="gramStart"/>
            <w:r>
              <w:t>treatment discontinuation</w:t>
            </w:r>
            <w:proofErr w:type="gramEnd"/>
            <w:r>
              <w:t xml:space="preserve"> </w:t>
            </w:r>
            <w:r w:rsidRPr="00B665F3">
              <w:t>extrapolated using parametric functions.</w:t>
            </w:r>
          </w:p>
        </w:tc>
      </w:tr>
      <w:tr w:rsidR="007F403B" w:rsidRPr="006E0FA2" w14:paraId="465AA542" w14:textId="77777777" w:rsidTr="002A3BF4">
        <w:tc>
          <w:tcPr>
            <w:tcW w:w="1529" w:type="pct"/>
            <w:vAlign w:val="center"/>
          </w:tcPr>
          <w:p w14:paraId="386C4B1B" w14:textId="77777777" w:rsidR="007F403B" w:rsidRPr="006E0FA2" w:rsidRDefault="007F403B" w:rsidP="002A3BF4">
            <w:pPr>
              <w:pStyle w:val="COMTabletext"/>
              <w:rPr>
                <w:rFonts w:ascii="Times" w:hAnsi="Times"/>
              </w:rPr>
            </w:pPr>
            <w:r w:rsidRPr="006E0FA2">
              <w:t>Costs</w:t>
            </w:r>
          </w:p>
        </w:tc>
        <w:tc>
          <w:tcPr>
            <w:tcW w:w="1359" w:type="pct"/>
          </w:tcPr>
          <w:p w14:paraId="2D8A1FA1" w14:textId="21DB48A0" w:rsidR="007F403B" w:rsidRPr="006E0FA2" w:rsidRDefault="007F403B" w:rsidP="002A3BF4">
            <w:pPr>
              <w:pStyle w:val="COMTabletext"/>
              <w:jc w:val="center"/>
              <w:rPr>
                <w:rFonts w:ascii="Times" w:hAnsi="Times"/>
              </w:rPr>
            </w:pPr>
            <w:r w:rsidRPr="00BD4721">
              <w:t>$</w:t>
            </w:r>
            <w:r w:rsidR="003F51AF" w:rsidRPr="003F51AF">
              <w:rPr>
                <w:color w:val="000000"/>
                <w:shd w:val="solid" w:color="000000" w:fill="000000"/>
                <w14:textFill>
                  <w14:solidFill>
                    <w14:srgbClr w14:val="000000">
                      <w14:alpha w14:val="100000"/>
                    </w14:srgbClr>
                  </w14:solidFill>
                </w14:textFill>
              </w:rPr>
              <w:t>|</w:t>
            </w:r>
          </w:p>
        </w:tc>
        <w:tc>
          <w:tcPr>
            <w:tcW w:w="1274" w:type="pct"/>
          </w:tcPr>
          <w:p w14:paraId="26EC2EA5" w14:textId="77777777" w:rsidR="007F403B" w:rsidRPr="006E0FA2" w:rsidRDefault="007F403B" w:rsidP="002A3BF4">
            <w:pPr>
              <w:pStyle w:val="COMTabletext"/>
              <w:jc w:val="center"/>
              <w:rPr>
                <w:rFonts w:ascii="Times" w:hAnsi="Times"/>
              </w:rPr>
            </w:pPr>
            <w:r w:rsidRPr="00BD4721">
              <w:t>$101,026</w:t>
            </w:r>
          </w:p>
        </w:tc>
        <w:tc>
          <w:tcPr>
            <w:tcW w:w="838" w:type="pct"/>
          </w:tcPr>
          <w:p w14:paraId="4DC62A89" w14:textId="65C7BD6D" w:rsidR="007F403B" w:rsidRPr="006E0FA2" w:rsidRDefault="007F403B" w:rsidP="002A3BF4">
            <w:pPr>
              <w:pStyle w:val="COMTabletext"/>
              <w:jc w:val="center"/>
              <w:rPr>
                <w:rFonts w:ascii="Times" w:hAnsi="Times"/>
              </w:rPr>
            </w:pPr>
            <w:r w:rsidRPr="00BD4721">
              <w:t>$</w:t>
            </w:r>
            <w:r w:rsidR="003F51AF" w:rsidRPr="003F51AF">
              <w:rPr>
                <w:color w:val="000000"/>
                <w:shd w:val="solid" w:color="000000" w:fill="000000"/>
                <w14:textFill>
                  <w14:solidFill>
                    <w14:srgbClr w14:val="000000">
                      <w14:alpha w14:val="100000"/>
                    </w14:srgbClr>
                  </w14:solidFill>
                </w14:textFill>
              </w:rPr>
              <w:t>|</w:t>
            </w:r>
          </w:p>
        </w:tc>
      </w:tr>
      <w:tr w:rsidR="007F403B" w:rsidRPr="006E0FA2" w14:paraId="183DBC72" w14:textId="77777777" w:rsidTr="002A3BF4">
        <w:tc>
          <w:tcPr>
            <w:tcW w:w="1529" w:type="pct"/>
            <w:vAlign w:val="center"/>
          </w:tcPr>
          <w:p w14:paraId="1E82A680" w14:textId="77777777" w:rsidR="007F403B" w:rsidRPr="006E0FA2" w:rsidRDefault="007F403B" w:rsidP="002A3BF4">
            <w:pPr>
              <w:pStyle w:val="COMTabletext"/>
              <w:rPr>
                <w:rFonts w:ascii="Times" w:hAnsi="Times"/>
              </w:rPr>
            </w:pPr>
            <w:r>
              <w:t>Life years</w:t>
            </w:r>
          </w:p>
        </w:tc>
        <w:tc>
          <w:tcPr>
            <w:tcW w:w="1359" w:type="pct"/>
          </w:tcPr>
          <w:p w14:paraId="153A47F5" w14:textId="77777777" w:rsidR="007F403B" w:rsidRPr="006E0FA2" w:rsidRDefault="007F403B" w:rsidP="002A3BF4">
            <w:pPr>
              <w:pStyle w:val="COMTabletext"/>
              <w:jc w:val="center"/>
              <w:rPr>
                <w:rFonts w:ascii="Times" w:hAnsi="Times"/>
              </w:rPr>
            </w:pPr>
            <w:r w:rsidRPr="00BD4721">
              <w:t>2.828</w:t>
            </w:r>
          </w:p>
        </w:tc>
        <w:tc>
          <w:tcPr>
            <w:tcW w:w="1274" w:type="pct"/>
          </w:tcPr>
          <w:p w14:paraId="77E7321B" w14:textId="77777777" w:rsidR="007F403B" w:rsidRPr="006E0FA2" w:rsidRDefault="007F403B" w:rsidP="002A3BF4">
            <w:pPr>
              <w:pStyle w:val="COMTabletext"/>
              <w:jc w:val="center"/>
              <w:rPr>
                <w:rFonts w:ascii="Times" w:hAnsi="Times"/>
              </w:rPr>
            </w:pPr>
            <w:r w:rsidRPr="00BD4721">
              <w:t>1.947</w:t>
            </w:r>
          </w:p>
        </w:tc>
        <w:tc>
          <w:tcPr>
            <w:tcW w:w="838" w:type="pct"/>
          </w:tcPr>
          <w:p w14:paraId="7B7A272C" w14:textId="77777777" w:rsidR="007F403B" w:rsidRPr="006E0FA2" w:rsidRDefault="007F403B" w:rsidP="002A3BF4">
            <w:pPr>
              <w:pStyle w:val="COMTabletext"/>
              <w:jc w:val="center"/>
            </w:pPr>
            <w:r w:rsidRPr="00BD4721">
              <w:t>0.881</w:t>
            </w:r>
          </w:p>
        </w:tc>
      </w:tr>
      <w:tr w:rsidR="007F403B" w:rsidRPr="006E0FA2" w14:paraId="75E1C32D" w14:textId="77777777" w:rsidTr="002A3BF4">
        <w:tc>
          <w:tcPr>
            <w:tcW w:w="4162" w:type="pct"/>
            <w:gridSpan w:val="3"/>
            <w:vAlign w:val="center"/>
          </w:tcPr>
          <w:p w14:paraId="137325D4" w14:textId="77777777" w:rsidR="007F403B" w:rsidRPr="006E0FA2" w:rsidRDefault="007F403B" w:rsidP="002A3BF4">
            <w:pPr>
              <w:pStyle w:val="COMTabletext"/>
              <w:rPr>
                <w:rFonts w:ascii="Times" w:hAnsi="Times"/>
              </w:rPr>
            </w:pPr>
            <w:r w:rsidRPr="006E0FA2">
              <w:t>Incremental cost</w:t>
            </w:r>
            <w:r>
              <w:t xml:space="preserve"> per life year</w:t>
            </w:r>
            <w:r w:rsidRPr="006E0FA2">
              <w:t xml:space="preserve"> gained</w:t>
            </w:r>
          </w:p>
        </w:tc>
        <w:tc>
          <w:tcPr>
            <w:tcW w:w="838" w:type="pct"/>
            <w:vAlign w:val="center"/>
          </w:tcPr>
          <w:p w14:paraId="437EE346" w14:textId="50DACE1F" w:rsidR="007F403B" w:rsidRPr="00392A25" w:rsidRDefault="007F403B" w:rsidP="002A3BF4">
            <w:pPr>
              <w:pStyle w:val="COMTabletext"/>
              <w:jc w:val="center"/>
              <w:rPr>
                <w:rFonts w:ascii="Times" w:hAnsi="Times"/>
                <w:vertAlign w:val="superscript"/>
              </w:rPr>
            </w:pPr>
            <w:r w:rsidRPr="00617910">
              <w:t>$</w:t>
            </w:r>
            <w:r w:rsidR="003F51AF" w:rsidRPr="003F51AF">
              <w:rPr>
                <w:color w:val="000000"/>
                <w:shd w:val="solid" w:color="000000" w:fill="000000"/>
                <w14:textFill>
                  <w14:solidFill>
                    <w14:srgbClr w14:val="000000">
                      <w14:alpha w14:val="100000"/>
                    </w14:srgbClr>
                  </w14:solidFill>
                </w14:textFill>
              </w:rPr>
              <w:t>|</w:t>
            </w:r>
            <w:r w:rsidR="00392A25">
              <w:t xml:space="preserve"> </w:t>
            </w:r>
            <w:r w:rsidR="00392A25">
              <w:rPr>
                <w:vertAlign w:val="superscript"/>
              </w:rPr>
              <w:t>2</w:t>
            </w:r>
          </w:p>
        </w:tc>
      </w:tr>
      <w:tr w:rsidR="007F403B" w:rsidRPr="006E0FA2" w14:paraId="172E3A62" w14:textId="77777777" w:rsidTr="002A3BF4">
        <w:tc>
          <w:tcPr>
            <w:tcW w:w="5000" w:type="pct"/>
            <w:gridSpan w:val="4"/>
            <w:vAlign w:val="center"/>
          </w:tcPr>
          <w:p w14:paraId="710991E0" w14:textId="77777777" w:rsidR="007F403B" w:rsidRPr="006E0FA2" w:rsidRDefault="007F403B" w:rsidP="002A3BF4">
            <w:pPr>
              <w:pStyle w:val="COMTableheadingrow"/>
            </w:pPr>
            <w:r w:rsidRPr="006E0FA2">
              <w:t xml:space="preserve">Step 3: </w:t>
            </w:r>
            <w:r w:rsidRPr="00B665F3">
              <w:t>Incorporation of health state utilities and adverse event disutilities.</w:t>
            </w:r>
          </w:p>
        </w:tc>
      </w:tr>
      <w:tr w:rsidR="007F403B" w:rsidRPr="006E0FA2" w14:paraId="15FAC8A2" w14:textId="77777777" w:rsidTr="002A3BF4">
        <w:tc>
          <w:tcPr>
            <w:tcW w:w="1529" w:type="pct"/>
            <w:vAlign w:val="center"/>
          </w:tcPr>
          <w:p w14:paraId="63828CC1" w14:textId="77777777" w:rsidR="007F403B" w:rsidRPr="006E0FA2" w:rsidRDefault="007F403B" w:rsidP="002A3BF4">
            <w:pPr>
              <w:pStyle w:val="COMTabletext"/>
              <w:rPr>
                <w:rFonts w:ascii="Times" w:hAnsi="Times"/>
              </w:rPr>
            </w:pPr>
            <w:r w:rsidRPr="006E0FA2">
              <w:t>Costs</w:t>
            </w:r>
          </w:p>
        </w:tc>
        <w:tc>
          <w:tcPr>
            <w:tcW w:w="1359" w:type="pct"/>
          </w:tcPr>
          <w:p w14:paraId="225EA913" w14:textId="50B2A1A4" w:rsidR="007F403B" w:rsidRPr="006E0FA2" w:rsidRDefault="007F403B" w:rsidP="002A3BF4">
            <w:pPr>
              <w:pStyle w:val="COMTabletext"/>
              <w:jc w:val="center"/>
              <w:rPr>
                <w:rFonts w:ascii="Times" w:hAnsi="Times"/>
              </w:rPr>
            </w:pPr>
            <w:r w:rsidRPr="00D076B4">
              <w:t>$</w:t>
            </w:r>
            <w:r w:rsidR="003F51AF" w:rsidRPr="003F51AF">
              <w:rPr>
                <w:color w:val="000000"/>
                <w:shd w:val="solid" w:color="000000" w:fill="000000"/>
                <w14:textFill>
                  <w14:solidFill>
                    <w14:srgbClr w14:val="000000">
                      <w14:alpha w14:val="100000"/>
                    </w14:srgbClr>
                  </w14:solidFill>
                </w14:textFill>
              </w:rPr>
              <w:t>|</w:t>
            </w:r>
          </w:p>
        </w:tc>
        <w:tc>
          <w:tcPr>
            <w:tcW w:w="1274" w:type="pct"/>
          </w:tcPr>
          <w:p w14:paraId="2488F307" w14:textId="77777777" w:rsidR="007F403B" w:rsidRPr="006E0FA2" w:rsidRDefault="007F403B" w:rsidP="002A3BF4">
            <w:pPr>
              <w:pStyle w:val="COMTabletext"/>
              <w:jc w:val="center"/>
              <w:rPr>
                <w:rFonts w:ascii="Times" w:hAnsi="Times"/>
              </w:rPr>
            </w:pPr>
            <w:r w:rsidRPr="00D076B4">
              <w:t>$101,026</w:t>
            </w:r>
          </w:p>
        </w:tc>
        <w:tc>
          <w:tcPr>
            <w:tcW w:w="838" w:type="pct"/>
          </w:tcPr>
          <w:p w14:paraId="34E02511" w14:textId="519DD0C3" w:rsidR="007F403B" w:rsidRPr="006E0FA2" w:rsidRDefault="007F403B" w:rsidP="002A3BF4">
            <w:pPr>
              <w:pStyle w:val="COMTabletext"/>
              <w:jc w:val="center"/>
              <w:rPr>
                <w:rFonts w:ascii="Times" w:hAnsi="Times"/>
              </w:rPr>
            </w:pPr>
            <w:r w:rsidRPr="00D076B4">
              <w:t>$</w:t>
            </w:r>
            <w:r w:rsidR="003F51AF" w:rsidRPr="003F51AF">
              <w:rPr>
                <w:color w:val="000000"/>
                <w:shd w:val="solid" w:color="000000" w:fill="000000"/>
                <w14:textFill>
                  <w14:solidFill>
                    <w14:srgbClr w14:val="000000">
                      <w14:alpha w14:val="100000"/>
                    </w14:srgbClr>
                  </w14:solidFill>
                </w14:textFill>
              </w:rPr>
              <w:t>|</w:t>
            </w:r>
          </w:p>
        </w:tc>
      </w:tr>
      <w:tr w:rsidR="007F403B" w:rsidRPr="006E0FA2" w14:paraId="4881C5AC" w14:textId="77777777" w:rsidTr="002A3BF4">
        <w:tc>
          <w:tcPr>
            <w:tcW w:w="1529" w:type="pct"/>
            <w:vAlign w:val="center"/>
          </w:tcPr>
          <w:p w14:paraId="50EF9EF4" w14:textId="77777777" w:rsidR="007F403B" w:rsidRPr="006E0FA2" w:rsidRDefault="007F403B" w:rsidP="002A3BF4">
            <w:pPr>
              <w:pStyle w:val="COMTabletext"/>
              <w:rPr>
                <w:rFonts w:ascii="Times" w:hAnsi="Times"/>
              </w:rPr>
            </w:pPr>
            <w:r>
              <w:t>QALYs</w:t>
            </w:r>
          </w:p>
        </w:tc>
        <w:tc>
          <w:tcPr>
            <w:tcW w:w="1359" w:type="pct"/>
          </w:tcPr>
          <w:p w14:paraId="13B1E803" w14:textId="77777777" w:rsidR="007F403B" w:rsidRPr="006E0FA2" w:rsidRDefault="007F403B" w:rsidP="002A3BF4">
            <w:pPr>
              <w:pStyle w:val="COMTabletext"/>
              <w:jc w:val="center"/>
              <w:rPr>
                <w:rFonts w:ascii="Times" w:hAnsi="Times"/>
              </w:rPr>
            </w:pPr>
            <w:r w:rsidRPr="00D076B4">
              <w:t>2.367</w:t>
            </w:r>
          </w:p>
        </w:tc>
        <w:tc>
          <w:tcPr>
            <w:tcW w:w="1274" w:type="pct"/>
          </w:tcPr>
          <w:p w14:paraId="2B1E67C0" w14:textId="77777777" w:rsidR="007F403B" w:rsidRPr="006E0FA2" w:rsidRDefault="007F403B" w:rsidP="002A3BF4">
            <w:pPr>
              <w:pStyle w:val="COMTabletext"/>
              <w:jc w:val="center"/>
              <w:rPr>
                <w:rFonts w:ascii="Times" w:hAnsi="Times"/>
              </w:rPr>
            </w:pPr>
            <w:r w:rsidRPr="00D076B4">
              <w:t>1.599</w:t>
            </w:r>
          </w:p>
        </w:tc>
        <w:tc>
          <w:tcPr>
            <w:tcW w:w="838" w:type="pct"/>
          </w:tcPr>
          <w:p w14:paraId="487EEE1E" w14:textId="77777777" w:rsidR="007F403B" w:rsidRPr="006E0FA2" w:rsidRDefault="007F403B" w:rsidP="002A3BF4">
            <w:pPr>
              <w:pStyle w:val="COMTabletext"/>
              <w:jc w:val="center"/>
            </w:pPr>
            <w:r w:rsidRPr="00D076B4">
              <w:t>0.768</w:t>
            </w:r>
          </w:p>
        </w:tc>
      </w:tr>
      <w:tr w:rsidR="007F403B" w:rsidRPr="006E0FA2" w14:paraId="5CEF04C1" w14:textId="77777777" w:rsidTr="002A3BF4">
        <w:tc>
          <w:tcPr>
            <w:tcW w:w="4162" w:type="pct"/>
            <w:gridSpan w:val="3"/>
            <w:vAlign w:val="center"/>
          </w:tcPr>
          <w:p w14:paraId="358929FB" w14:textId="77777777" w:rsidR="007F403B" w:rsidRPr="006E0FA2" w:rsidRDefault="007F403B" w:rsidP="002A3BF4">
            <w:pPr>
              <w:pStyle w:val="COMTabletext"/>
              <w:rPr>
                <w:rFonts w:ascii="Times" w:hAnsi="Times"/>
              </w:rPr>
            </w:pPr>
            <w:r w:rsidRPr="006E0FA2">
              <w:t>Incremental cost</w:t>
            </w:r>
            <w:r>
              <w:t xml:space="preserve"> per QALY gained</w:t>
            </w:r>
          </w:p>
        </w:tc>
        <w:tc>
          <w:tcPr>
            <w:tcW w:w="838" w:type="pct"/>
            <w:vAlign w:val="center"/>
          </w:tcPr>
          <w:p w14:paraId="6A1C5B7F" w14:textId="0F880C97" w:rsidR="007F403B" w:rsidRPr="00392A25" w:rsidRDefault="007F403B" w:rsidP="002A3BF4">
            <w:pPr>
              <w:pStyle w:val="COMTabletext"/>
              <w:jc w:val="center"/>
              <w:rPr>
                <w:rFonts w:ascii="Times" w:hAnsi="Times"/>
                <w:vertAlign w:val="superscript"/>
              </w:rPr>
            </w:pPr>
            <w:r w:rsidRPr="00617910">
              <w:t>$</w:t>
            </w:r>
            <w:r w:rsidR="003F51AF" w:rsidRPr="003F51AF">
              <w:rPr>
                <w:color w:val="000000"/>
                <w:shd w:val="solid" w:color="000000" w:fill="000000"/>
                <w14:textFill>
                  <w14:solidFill>
                    <w14:srgbClr w14:val="000000">
                      <w14:alpha w14:val="100000"/>
                    </w14:srgbClr>
                  </w14:solidFill>
                </w14:textFill>
              </w:rPr>
              <w:t>|</w:t>
            </w:r>
            <w:r w:rsidR="00392A25">
              <w:t xml:space="preserve"> </w:t>
            </w:r>
            <w:r w:rsidR="00392A25">
              <w:rPr>
                <w:vertAlign w:val="superscript"/>
              </w:rPr>
              <w:t>3</w:t>
            </w:r>
          </w:p>
        </w:tc>
      </w:tr>
      <w:tr w:rsidR="007F403B" w:rsidRPr="006E0FA2" w14:paraId="1A7B864D" w14:textId="77777777" w:rsidTr="002A3BF4">
        <w:tc>
          <w:tcPr>
            <w:tcW w:w="5000" w:type="pct"/>
            <w:gridSpan w:val="4"/>
            <w:vAlign w:val="center"/>
          </w:tcPr>
          <w:p w14:paraId="58965659" w14:textId="77777777" w:rsidR="007F403B" w:rsidRPr="006E0FA2" w:rsidRDefault="007F403B" w:rsidP="002A3BF4">
            <w:pPr>
              <w:pStyle w:val="COMTableheadingrow"/>
            </w:pPr>
            <w:r w:rsidRPr="006E0FA2">
              <w:t xml:space="preserve">Step 4: </w:t>
            </w:r>
            <w:r w:rsidRPr="00B665F3">
              <w:t xml:space="preserve">Inclusion of </w:t>
            </w:r>
            <w:proofErr w:type="gramStart"/>
            <w:r w:rsidRPr="00B665F3">
              <w:t>discounting for</w:t>
            </w:r>
            <w:proofErr w:type="gramEnd"/>
            <w:r w:rsidRPr="00B665F3">
              <w:t xml:space="preserve"> costs and outcomes.</w:t>
            </w:r>
          </w:p>
        </w:tc>
      </w:tr>
      <w:tr w:rsidR="007F403B" w:rsidRPr="006E0FA2" w14:paraId="25116B9D" w14:textId="77777777" w:rsidTr="002A3BF4">
        <w:tc>
          <w:tcPr>
            <w:tcW w:w="1529" w:type="pct"/>
            <w:vAlign w:val="center"/>
          </w:tcPr>
          <w:p w14:paraId="0FDBF604" w14:textId="77777777" w:rsidR="007F403B" w:rsidRPr="006E0FA2" w:rsidRDefault="007F403B" w:rsidP="002A3BF4">
            <w:pPr>
              <w:pStyle w:val="COMTabletext"/>
              <w:rPr>
                <w:rFonts w:ascii="Times" w:hAnsi="Times"/>
              </w:rPr>
            </w:pPr>
            <w:r w:rsidRPr="006E0FA2">
              <w:t>Costs</w:t>
            </w:r>
          </w:p>
        </w:tc>
        <w:tc>
          <w:tcPr>
            <w:tcW w:w="1359" w:type="pct"/>
          </w:tcPr>
          <w:p w14:paraId="0479BA38" w14:textId="111E673E" w:rsidR="007F403B" w:rsidRPr="006E0FA2" w:rsidRDefault="007F403B" w:rsidP="002A3BF4">
            <w:pPr>
              <w:pStyle w:val="COMTabletext"/>
              <w:jc w:val="center"/>
              <w:rPr>
                <w:rFonts w:ascii="Times" w:hAnsi="Times"/>
              </w:rPr>
            </w:pPr>
            <w:r w:rsidRPr="00E558F3">
              <w:t>$</w:t>
            </w:r>
            <w:r w:rsidR="003F51AF" w:rsidRPr="003F51AF">
              <w:rPr>
                <w:color w:val="000000"/>
                <w:shd w:val="solid" w:color="000000" w:fill="000000"/>
                <w14:textFill>
                  <w14:solidFill>
                    <w14:srgbClr w14:val="000000">
                      <w14:alpha w14:val="100000"/>
                    </w14:srgbClr>
                  </w14:solidFill>
                </w14:textFill>
              </w:rPr>
              <w:t>|</w:t>
            </w:r>
          </w:p>
        </w:tc>
        <w:tc>
          <w:tcPr>
            <w:tcW w:w="1274" w:type="pct"/>
          </w:tcPr>
          <w:p w14:paraId="4CE9A3C0" w14:textId="77777777" w:rsidR="007F403B" w:rsidRPr="006E0FA2" w:rsidRDefault="007F403B" w:rsidP="002A3BF4">
            <w:pPr>
              <w:pStyle w:val="COMTabletext"/>
              <w:jc w:val="center"/>
              <w:rPr>
                <w:rFonts w:ascii="Times" w:hAnsi="Times"/>
              </w:rPr>
            </w:pPr>
            <w:r w:rsidRPr="00E558F3">
              <w:t>$96,293</w:t>
            </w:r>
          </w:p>
        </w:tc>
        <w:tc>
          <w:tcPr>
            <w:tcW w:w="838" w:type="pct"/>
          </w:tcPr>
          <w:p w14:paraId="3A3BD970" w14:textId="61D15412" w:rsidR="007F403B" w:rsidRPr="006E0FA2" w:rsidRDefault="007F403B" w:rsidP="002A3BF4">
            <w:pPr>
              <w:pStyle w:val="COMTabletext"/>
              <w:jc w:val="center"/>
              <w:rPr>
                <w:rFonts w:ascii="Times" w:hAnsi="Times"/>
              </w:rPr>
            </w:pPr>
            <w:r w:rsidRPr="00E558F3">
              <w:t>$</w:t>
            </w:r>
            <w:r w:rsidR="003F51AF" w:rsidRPr="003F51AF">
              <w:rPr>
                <w:color w:val="000000"/>
                <w:shd w:val="solid" w:color="000000" w:fill="000000"/>
                <w14:textFill>
                  <w14:solidFill>
                    <w14:srgbClr w14:val="000000">
                      <w14:alpha w14:val="100000"/>
                    </w14:srgbClr>
                  </w14:solidFill>
                </w14:textFill>
              </w:rPr>
              <w:t>|</w:t>
            </w:r>
          </w:p>
        </w:tc>
      </w:tr>
      <w:tr w:rsidR="007F403B" w:rsidRPr="006E0FA2" w14:paraId="0F8D32DE" w14:textId="77777777" w:rsidTr="002A3BF4">
        <w:tc>
          <w:tcPr>
            <w:tcW w:w="1529" w:type="pct"/>
            <w:vAlign w:val="center"/>
          </w:tcPr>
          <w:p w14:paraId="285A3C48" w14:textId="77777777" w:rsidR="007F403B" w:rsidRPr="006E0FA2" w:rsidRDefault="007F403B" w:rsidP="002A3BF4">
            <w:pPr>
              <w:pStyle w:val="COMTabletext"/>
              <w:rPr>
                <w:rFonts w:ascii="Times" w:hAnsi="Times"/>
              </w:rPr>
            </w:pPr>
            <w:r>
              <w:t>QALYs</w:t>
            </w:r>
          </w:p>
        </w:tc>
        <w:tc>
          <w:tcPr>
            <w:tcW w:w="1359" w:type="pct"/>
          </w:tcPr>
          <w:p w14:paraId="28C74C42" w14:textId="77777777" w:rsidR="007F403B" w:rsidRPr="006E0FA2" w:rsidRDefault="007F403B" w:rsidP="002A3BF4">
            <w:pPr>
              <w:pStyle w:val="COMTabletext"/>
              <w:jc w:val="center"/>
              <w:rPr>
                <w:rFonts w:ascii="Times" w:hAnsi="Times"/>
              </w:rPr>
            </w:pPr>
            <w:r w:rsidRPr="00E558F3">
              <w:t>2.096</w:t>
            </w:r>
          </w:p>
        </w:tc>
        <w:tc>
          <w:tcPr>
            <w:tcW w:w="1274" w:type="pct"/>
          </w:tcPr>
          <w:p w14:paraId="00C53900" w14:textId="77777777" w:rsidR="007F403B" w:rsidRPr="006E0FA2" w:rsidRDefault="007F403B" w:rsidP="002A3BF4">
            <w:pPr>
              <w:pStyle w:val="COMTabletext"/>
              <w:jc w:val="center"/>
              <w:rPr>
                <w:rFonts w:ascii="Times" w:hAnsi="Times"/>
              </w:rPr>
            </w:pPr>
            <w:r w:rsidRPr="00E558F3">
              <w:t>1.445</w:t>
            </w:r>
          </w:p>
        </w:tc>
        <w:tc>
          <w:tcPr>
            <w:tcW w:w="838" w:type="pct"/>
          </w:tcPr>
          <w:p w14:paraId="2928713E" w14:textId="77777777" w:rsidR="007F403B" w:rsidRPr="006E0FA2" w:rsidRDefault="007F403B" w:rsidP="002A3BF4">
            <w:pPr>
              <w:pStyle w:val="COMTabletext"/>
              <w:jc w:val="center"/>
            </w:pPr>
            <w:r w:rsidRPr="00E558F3">
              <w:t>0.651</w:t>
            </w:r>
          </w:p>
        </w:tc>
      </w:tr>
      <w:tr w:rsidR="007F403B" w:rsidRPr="006E0FA2" w14:paraId="5F559CB9" w14:textId="77777777" w:rsidTr="002A3BF4">
        <w:tc>
          <w:tcPr>
            <w:tcW w:w="4162" w:type="pct"/>
            <w:gridSpan w:val="3"/>
            <w:vAlign w:val="center"/>
          </w:tcPr>
          <w:p w14:paraId="36E5175F" w14:textId="77777777" w:rsidR="007F403B" w:rsidRPr="00617910" w:rsidRDefault="007F403B" w:rsidP="002A3BF4">
            <w:pPr>
              <w:pStyle w:val="COMTabletext"/>
              <w:rPr>
                <w:rFonts w:ascii="Times" w:hAnsi="Times"/>
                <w:b/>
                <w:bCs w:val="0"/>
              </w:rPr>
            </w:pPr>
            <w:r w:rsidRPr="00617910">
              <w:rPr>
                <w:b/>
                <w:bCs w:val="0"/>
              </w:rPr>
              <w:t>Incremental cost per QALY gained</w:t>
            </w:r>
          </w:p>
        </w:tc>
        <w:tc>
          <w:tcPr>
            <w:tcW w:w="838" w:type="pct"/>
            <w:vAlign w:val="center"/>
          </w:tcPr>
          <w:p w14:paraId="0DBE79DC" w14:textId="68796F35" w:rsidR="007F403B" w:rsidRPr="00617910" w:rsidRDefault="007F403B" w:rsidP="002A3BF4">
            <w:pPr>
              <w:pStyle w:val="COMTabletext"/>
              <w:jc w:val="center"/>
              <w:rPr>
                <w:rFonts w:ascii="Times" w:hAnsi="Times"/>
                <w:b/>
                <w:bCs w:val="0"/>
              </w:rPr>
            </w:pPr>
            <w:r w:rsidRPr="00617910">
              <w:rPr>
                <w:b/>
                <w:bCs w:val="0"/>
              </w:rPr>
              <w:t>$</w:t>
            </w:r>
            <w:r w:rsidR="003F51AF" w:rsidRPr="003F51AF">
              <w:rPr>
                <w:b/>
                <w:bCs w:val="0"/>
                <w:color w:val="000000"/>
                <w:shd w:val="solid" w:color="000000" w:fill="000000"/>
                <w14:textFill>
                  <w14:solidFill>
                    <w14:srgbClr w14:val="000000">
                      <w14:alpha w14:val="100000"/>
                    </w14:srgbClr>
                  </w14:solidFill>
                </w14:textFill>
              </w:rPr>
              <w:t>|</w:t>
            </w:r>
            <w:r w:rsidR="00392A25">
              <w:t xml:space="preserve"> </w:t>
            </w:r>
            <w:r w:rsidR="00392A25">
              <w:rPr>
                <w:vertAlign w:val="superscript"/>
              </w:rPr>
              <w:t>3</w:t>
            </w:r>
          </w:p>
        </w:tc>
      </w:tr>
    </w:tbl>
    <w:p w14:paraId="726A6110" w14:textId="77777777" w:rsidR="007F403B" w:rsidRDefault="007F403B" w:rsidP="007F403B">
      <w:pPr>
        <w:pStyle w:val="COMTablefooter"/>
      </w:pPr>
      <w:r w:rsidRPr="006E0FA2">
        <w:t xml:space="preserve">Source: </w:t>
      </w:r>
      <w:r>
        <w:t>Table 3.27, p270 of the resubmission.</w:t>
      </w:r>
    </w:p>
    <w:p w14:paraId="761A8650" w14:textId="77777777" w:rsidR="007F403B" w:rsidRDefault="007F403B" w:rsidP="00B05F3E">
      <w:pPr>
        <w:pStyle w:val="COMTablefooter"/>
        <w:spacing w:after="0"/>
      </w:pPr>
      <w:r>
        <w:t>Abbreviations: QALY, quality-adjusted life year.</w:t>
      </w:r>
    </w:p>
    <w:p w14:paraId="0D379940" w14:textId="77777777" w:rsidR="00B05F3E" w:rsidRPr="00E7494F" w:rsidRDefault="00B05F3E" w:rsidP="00B05F3E">
      <w:pPr>
        <w:rPr>
          <w:rFonts w:ascii="Arial Narrow" w:hAnsi="Arial Narrow"/>
          <w:iCs/>
          <w:sz w:val="18"/>
          <w:szCs w:val="18"/>
        </w:rPr>
      </w:pPr>
      <w:r w:rsidRPr="00E7494F">
        <w:rPr>
          <w:rFonts w:ascii="Arial Narrow" w:hAnsi="Arial Narrow"/>
          <w:iCs/>
          <w:sz w:val="18"/>
          <w:szCs w:val="18"/>
        </w:rPr>
        <w:t xml:space="preserve">The redacted values correspond to the following ranges: </w:t>
      </w:r>
    </w:p>
    <w:p w14:paraId="28FEDF47" w14:textId="0C6CF89C" w:rsidR="00B05F3E" w:rsidRPr="00E7494F" w:rsidRDefault="00B05F3E" w:rsidP="00B05F3E">
      <w:pPr>
        <w:rPr>
          <w:rFonts w:ascii="Arial Narrow" w:hAnsi="Arial Narrow"/>
          <w:iCs/>
          <w:sz w:val="18"/>
          <w:szCs w:val="18"/>
        </w:rPr>
      </w:pPr>
      <w:r w:rsidRPr="00E7494F">
        <w:rPr>
          <w:rFonts w:ascii="Arial Narrow" w:hAnsi="Arial Narrow"/>
          <w:iCs/>
          <w:sz w:val="18"/>
          <w:szCs w:val="18"/>
          <w:vertAlign w:val="superscript"/>
        </w:rPr>
        <w:t>1</w:t>
      </w:r>
      <w:r w:rsidRPr="00E7494F">
        <w:rPr>
          <w:rFonts w:ascii="Arial Narrow" w:hAnsi="Arial Narrow"/>
          <w:iCs/>
          <w:sz w:val="18"/>
          <w:szCs w:val="18"/>
        </w:rPr>
        <w:t xml:space="preserve"> </w:t>
      </w:r>
      <w:r w:rsidR="003A4F2C" w:rsidRPr="00E7494F">
        <w:rPr>
          <w:rFonts w:ascii="Arial Narrow" w:hAnsi="Arial Narrow"/>
          <w:iCs/>
          <w:sz w:val="18"/>
          <w:szCs w:val="18"/>
        </w:rPr>
        <w:t>$115,000 to &lt; $135,000</w:t>
      </w:r>
    </w:p>
    <w:p w14:paraId="54C87504" w14:textId="4D9AB0FA" w:rsidR="00B05F3E" w:rsidRPr="00E7494F" w:rsidRDefault="00B05F3E" w:rsidP="00B05F3E">
      <w:pPr>
        <w:rPr>
          <w:rFonts w:ascii="Arial Narrow" w:hAnsi="Arial Narrow"/>
          <w:iCs/>
          <w:sz w:val="18"/>
          <w:szCs w:val="18"/>
        </w:rPr>
      </w:pPr>
      <w:r w:rsidRPr="00E7494F">
        <w:rPr>
          <w:rFonts w:ascii="Arial Narrow" w:hAnsi="Arial Narrow"/>
          <w:iCs/>
          <w:sz w:val="18"/>
          <w:szCs w:val="18"/>
          <w:vertAlign w:val="superscript"/>
        </w:rPr>
        <w:t>2</w:t>
      </w:r>
      <w:r w:rsidRPr="00E7494F">
        <w:rPr>
          <w:rFonts w:ascii="Arial Narrow" w:hAnsi="Arial Narrow"/>
          <w:iCs/>
          <w:sz w:val="18"/>
          <w:szCs w:val="18"/>
        </w:rPr>
        <w:t xml:space="preserve"> </w:t>
      </w:r>
      <w:r w:rsidR="00EE5D35" w:rsidRPr="00E7494F">
        <w:rPr>
          <w:rFonts w:ascii="Arial Narrow" w:hAnsi="Arial Narrow"/>
          <w:iCs/>
          <w:sz w:val="18"/>
          <w:szCs w:val="18"/>
        </w:rPr>
        <w:t>$45,000 to &lt; $55,000</w:t>
      </w:r>
    </w:p>
    <w:p w14:paraId="7FA4FC6A" w14:textId="0B03A5A1" w:rsidR="00B05F3E" w:rsidRPr="00E7494F" w:rsidRDefault="00B05F3E" w:rsidP="00B05F3E">
      <w:pPr>
        <w:spacing w:after="120"/>
        <w:rPr>
          <w:rFonts w:ascii="Arial Narrow" w:hAnsi="Arial Narrow"/>
          <w:iCs/>
          <w:sz w:val="18"/>
          <w:szCs w:val="18"/>
        </w:rPr>
      </w:pPr>
      <w:r w:rsidRPr="00E7494F">
        <w:rPr>
          <w:rFonts w:ascii="Arial Narrow" w:hAnsi="Arial Narrow"/>
          <w:iCs/>
          <w:sz w:val="18"/>
          <w:szCs w:val="18"/>
          <w:vertAlign w:val="superscript"/>
        </w:rPr>
        <w:t>3</w:t>
      </w:r>
      <w:r w:rsidRPr="00E7494F">
        <w:rPr>
          <w:rFonts w:ascii="Arial Narrow" w:hAnsi="Arial Narrow"/>
          <w:iCs/>
          <w:sz w:val="18"/>
          <w:szCs w:val="18"/>
        </w:rPr>
        <w:t xml:space="preserve"> </w:t>
      </w:r>
      <w:r w:rsidR="00E93356" w:rsidRPr="00E7494F">
        <w:rPr>
          <w:rFonts w:ascii="Arial Narrow" w:hAnsi="Arial Narrow"/>
          <w:iCs/>
          <w:sz w:val="18"/>
          <w:szCs w:val="18"/>
        </w:rPr>
        <w:t>$55,000 to &lt; $75,000</w:t>
      </w:r>
    </w:p>
    <w:p w14:paraId="729FB3A7" w14:textId="434B17F2" w:rsidR="007F403B" w:rsidRPr="0035502F" w:rsidRDefault="007F403B" w:rsidP="000F2D40">
      <w:pPr>
        <w:pStyle w:val="COMexecsummnumbered"/>
      </w:pPr>
      <w:r>
        <w:t xml:space="preserve">Based on the economic model, treatment with elranatamab was associated with an incremental cost per QALY of </w:t>
      </w:r>
      <w:r w:rsidR="00E93356" w:rsidRPr="00E93356">
        <w:t>$55,000 to &lt; $75,000</w:t>
      </w:r>
      <w:r w:rsidR="00E93356">
        <w:t xml:space="preserve"> </w:t>
      </w:r>
      <w:r>
        <w:t xml:space="preserve">compared to standard of care. </w:t>
      </w:r>
      <w:r w:rsidRPr="0035502F">
        <w:t>Extrapolation of the time horizon to 7 years had the largest impact on the ICER.</w:t>
      </w:r>
      <w:r w:rsidR="009D640C">
        <w:t xml:space="preserve"> The PBAC noted that </w:t>
      </w:r>
      <w:r w:rsidR="005029B9">
        <w:t xml:space="preserve">if 2-weekly dosing was applied from Week 24, i.e. no reduction in dosing to 4-weekly at Week 49, the ICER increased </w:t>
      </w:r>
      <w:r w:rsidR="00BD3368">
        <w:t xml:space="preserve">by </w:t>
      </w:r>
      <w:r w:rsidR="003F51AF" w:rsidRPr="00347D89">
        <w:rPr>
          <w:color w:val="000000"/>
          <w:w w:val="15"/>
          <w:shd w:val="solid" w:color="000000" w:fill="000000"/>
          <w:fitText w:val="-20" w:id="-694959861"/>
          <w14:textFill>
            <w14:solidFill>
              <w14:srgbClr w14:val="000000">
                <w14:alpha w14:val="100000"/>
              </w14:srgbClr>
            </w14:solidFill>
          </w14:textFill>
        </w:rPr>
        <w:t>|</w:t>
      </w:r>
      <w:r w:rsidR="00BC142B" w:rsidRPr="00347D89">
        <w:rPr>
          <w:color w:val="000000"/>
          <w:w w:val="15"/>
          <w:shd w:val="solid" w:color="000000" w:fill="000000"/>
          <w:fitText w:val="-20" w:id="-694959861"/>
          <w14:textFill>
            <w14:solidFill>
              <w14:srgbClr w14:val="000000">
                <w14:alpha w14:val="100000"/>
              </w14:srgbClr>
            </w14:solidFill>
          </w14:textFill>
        </w:rPr>
        <w:t xml:space="preserve"> </w:t>
      </w:r>
      <w:r w:rsidR="003F51AF" w:rsidRPr="00347D89">
        <w:rPr>
          <w:color w:val="000000"/>
          <w:spacing w:val="-61"/>
          <w:w w:val="15"/>
          <w:shd w:val="solid" w:color="000000" w:fill="000000"/>
          <w:fitText w:val="-20" w:id="-694959861"/>
          <w14:textFill>
            <w14:solidFill>
              <w14:srgbClr w14:val="000000">
                <w14:alpha w14:val="100000"/>
              </w14:srgbClr>
            </w14:solidFill>
          </w14:textFill>
        </w:rPr>
        <w:t>|</w:t>
      </w:r>
      <w:r w:rsidR="00BD3368">
        <w:t xml:space="preserve">% to </w:t>
      </w:r>
      <w:r w:rsidR="00E93356" w:rsidRPr="00E93356">
        <w:rPr>
          <w:iCs/>
        </w:rPr>
        <w:t xml:space="preserve">$115,000 to &lt; $135,000 </w:t>
      </w:r>
      <w:r w:rsidR="00BD3368">
        <w:t>per QALY.</w:t>
      </w:r>
    </w:p>
    <w:p w14:paraId="7A3150F7" w14:textId="6173961B" w:rsidR="000F2D40" w:rsidRPr="0035502F" w:rsidRDefault="000F2D40" w:rsidP="000F2D40">
      <w:pPr>
        <w:pStyle w:val="COMexecsummnumbered"/>
      </w:pPr>
      <w:r w:rsidRPr="0035502F">
        <w:t>The difference in total costs between treatment arms was primarily driven by drug costs (acquisition and administration) for elranatamab in the progression-free health state, which were partly offset by drug acquisition costs for standard of care in the progressed disease state.</w:t>
      </w:r>
    </w:p>
    <w:p w14:paraId="35866BD3" w14:textId="123D9ED8" w:rsidR="000F2D40" w:rsidRPr="0035502F" w:rsidRDefault="000F2D40" w:rsidP="000F2D40">
      <w:pPr>
        <w:pStyle w:val="COMexecsummnumbered"/>
      </w:pPr>
      <w:r w:rsidRPr="0035502F">
        <w:t>The difference in health outcomes between treatment arms was primarily driven by the difference in overall survival.</w:t>
      </w:r>
    </w:p>
    <w:p w14:paraId="4A1B71F2" w14:textId="3BCA7041" w:rsidR="000F2D40" w:rsidRPr="000F2D40" w:rsidRDefault="000F2D40" w:rsidP="000F2D40">
      <w:pPr>
        <w:pStyle w:val="COMexecsummnumbered"/>
        <w:rPr>
          <w:i/>
          <w:iCs/>
        </w:rPr>
      </w:pPr>
      <w:r w:rsidRPr="00822AC5">
        <w:t>In the model, 64% of the incremental QALYs, 20% of the incremental primary medicine costs, 1% of the incremental primary medicine administration costs, 64% of the incremental disease management costs, 0% of the incremental adverse event management costs, 12% of the subsequent medicine costs and 12% of the subsequent medicine administration costs were accrued in the extrapolated period beyond 24.8</w:t>
      </w:r>
      <w:r w:rsidR="00BE4C0D">
        <w:t> </w:t>
      </w:r>
      <w:r w:rsidRPr="00822AC5">
        <w:t>months.</w:t>
      </w:r>
    </w:p>
    <w:p w14:paraId="00122E07" w14:textId="4F22B818" w:rsidR="000F2D40" w:rsidRPr="000F2D40" w:rsidRDefault="000F2D40" w:rsidP="000F2D40">
      <w:pPr>
        <w:pStyle w:val="COMexecsummnumbered"/>
        <w:rPr>
          <w:i/>
          <w:iCs/>
        </w:rPr>
      </w:pPr>
      <w:r w:rsidRPr="006D3642">
        <w:lastRenderedPageBreak/>
        <w:t xml:space="preserve">For every patient treated with </w:t>
      </w:r>
      <w:r>
        <w:t>elranatamab</w:t>
      </w:r>
      <w:r w:rsidRPr="006D3642">
        <w:t xml:space="preserve"> versus </w:t>
      </w:r>
      <w:r w:rsidR="005E26AC">
        <w:t xml:space="preserve">standard of care </w:t>
      </w:r>
      <w:r w:rsidRPr="006D3642">
        <w:t>and followed up for 7 years, the economic evaluation (without discounting) estimated that there would be:</w:t>
      </w:r>
    </w:p>
    <w:p w14:paraId="547C62C3" w14:textId="77777777" w:rsidR="000F2D40" w:rsidRPr="006D3642" w:rsidRDefault="000F2D40" w:rsidP="006F0F1F">
      <w:pPr>
        <w:pStyle w:val="COMexecsummbulletlist"/>
        <w:ind w:hanging="357"/>
      </w:pPr>
      <w:r w:rsidRPr="006D3642">
        <w:t>An additional 0.88 years of life lived.</w:t>
      </w:r>
    </w:p>
    <w:p w14:paraId="42E5B0BA" w14:textId="77777777" w:rsidR="000F2D40" w:rsidRPr="006D3642" w:rsidRDefault="000F2D40" w:rsidP="006F0F1F">
      <w:pPr>
        <w:pStyle w:val="COMexecsummbulletlist"/>
        <w:ind w:hanging="357"/>
      </w:pPr>
      <w:r w:rsidRPr="006D3642">
        <w:t>An additional 0.77 years of quality-adjusted life lived.</w:t>
      </w:r>
    </w:p>
    <w:p w14:paraId="00B9A78A" w14:textId="3653495F" w:rsidR="000F2D40" w:rsidRPr="006D3642" w:rsidRDefault="000F2D40" w:rsidP="006F0F1F">
      <w:pPr>
        <w:pStyle w:val="COMexecsummbulletlist"/>
      </w:pPr>
      <w:r w:rsidRPr="006D3642">
        <w:t xml:space="preserve">Additional primary </w:t>
      </w:r>
      <w:r>
        <w:t>therapy</w:t>
      </w:r>
      <w:r w:rsidRPr="006D3642">
        <w:t xml:space="preserve"> costs of $</w:t>
      </w:r>
      <w:r w:rsidR="003F51AF" w:rsidRPr="00347D89">
        <w:rPr>
          <w:color w:val="000000"/>
          <w:w w:val="15"/>
          <w:shd w:val="solid" w:color="000000" w:fill="000000"/>
          <w:fitText w:val="-20" w:id="-694959860"/>
          <w14:textFill>
            <w14:solidFill>
              <w14:srgbClr w14:val="000000">
                <w14:alpha w14:val="100000"/>
              </w14:srgbClr>
            </w14:solidFill>
          </w14:textFill>
        </w:rPr>
        <w:t>|</w:t>
      </w:r>
      <w:r w:rsidR="00BC142B" w:rsidRPr="00347D89">
        <w:rPr>
          <w:color w:val="000000"/>
          <w:w w:val="15"/>
          <w:shd w:val="solid" w:color="000000" w:fill="000000"/>
          <w:fitText w:val="-20" w:id="-694959860"/>
          <w14:textFill>
            <w14:solidFill>
              <w14:srgbClr w14:val="000000">
                <w14:alpha w14:val="100000"/>
              </w14:srgbClr>
            </w14:solidFill>
          </w14:textFill>
        </w:rPr>
        <w:t xml:space="preserve"> </w:t>
      </w:r>
      <w:r w:rsidR="003F51AF" w:rsidRPr="00347D89">
        <w:rPr>
          <w:color w:val="000000"/>
          <w:spacing w:val="-61"/>
          <w:w w:val="15"/>
          <w:shd w:val="solid" w:color="000000" w:fill="000000"/>
          <w:fitText w:val="-20" w:id="-694959860"/>
          <w14:textFill>
            <w14:solidFill>
              <w14:srgbClr w14:val="000000">
                <w14:alpha w14:val="100000"/>
              </w14:srgbClr>
            </w14:solidFill>
          </w14:textFill>
        </w:rPr>
        <w:t>|</w:t>
      </w:r>
      <w:r>
        <w:t xml:space="preserve"> (including administration costs)</w:t>
      </w:r>
      <w:r w:rsidRPr="006D3642">
        <w:t xml:space="preserve">, additional disease monitoring </w:t>
      </w:r>
      <w:r>
        <w:t xml:space="preserve">and adverse event costs of </w:t>
      </w:r>
      <w:r w:rsidRPr="006D3642">
        <w:t>$</w:t>
      </w:r>
      <w:r>
        <w:t>7</w:t>
      </w:r>
      <w:r w:rsidRPr="006D3642">
        <w:t>,</w:t>
      </w:r>
      <w:r>
        <w:t>489</w:t>
      </w:r>
      <w:r w:rsidRPr="006D3642">
        <w:t xml:space="preserve">, </w:t>
      </w:r>
      <w:r>
        <w:t xml:space="preserve">and </w:t>
      </w:r>
      <w:r w:rsidRPr="006D3642">
        <w:t>a reduction in subsequent medicine costs of $</w:t>
      </w:r>
      <w:r>
        <w:t>1</w:t>
      </w:r>
      <w:r w:rsidRPr="006D3642">
        <w:t>9,</w:t>
      </w:r>
      <w:r>
        <w:t>107 (including administration costs).</w:t>
      </w:r>
    </w:p>
    <w:p w14:paraId="1BAC1159" w14:textId="10BFC39C" w:rsidR="00A86E8B" w:rsidRPr="006E0FA2" w:rsidRDefault="00D23D11" w:rsidP="00BB732D">
      <w:pPr>
        <w:pStyle w:val="COMexecsummnumbered"/>
      </w:pPr>
      <w:r w:rsidRPr="006E0FA2">
        <w:t>The results of key</w:t>
      </w:r>
      <w:r w:rsidR="004454AE">
        <w:t xml:space="preserve"> sensitivity analyses presented in the resubmission </w:t>
      </w:r>
      <w:r w:rsidR="004454AE" w:rsidRPr="0035502F">
        <w:t xml:space="preserve">and conducted during the evaluation </w:t>
      </w:r>
      <w:r w:rsidRPr="0035502F">
        <w:t xml:space="preserve">are summarised </w:t>
      </w:r>
      <w:r w:rsidR="00E16AD8" w:rsidRPr="0035502F">
        <w:t xml:space="preserve">in </w:t>
      </w:r>
      <w:r w:rsidR="00E16AD8" w:rsidRPr="0035502F">
        <w:fldChar w:fldCharType="begin" w:fldLock="1"/>
      </w:r>
      <w:r w:rsidR="00E16AD8" w:rsidRPr="0035502F">
        <w:instrText xml:space="preserve"> REF _Ref104804865 \h </w:instrText>
      </w:r>
      <w:r w:rsidR="0035502F">
        <w:instrText xml:space="preserve"> \* MERGEFORMAT </w:instrText>
      </w:r>
      <w:r w:rsidR="00E16AD8" w:rsidRPr="0035502F">
        <w:fldChar w:fldCharType="separate"/>
      </w:r>
      <w:r w:rsidR="00347D89" w:rsidRPr="006E0FA2">
        <w:t xml:space="preserve">Table </w:t>
      </w:r>
      <w:r w:rsidR="00347D89">
        <w:rPr>
          <w:noProof/>
        </w:rPr>
        <w:t>16</w:t>
      </w:r>
      <w:r w:rsidR="00E16AD8" w:rsidRPr="0035502F">
        <w:fldChar w:fldCharType="end"/>
      </w:r>
      <w:r w:rsidRPr="0035502F">
        <w:t>.</w:t>
      </w:r>
    </w:p>
    <w:p w14:paraId="3A64F4E7" w14:textId="17D4E92A" w:rsidR="00D23D11" w:rsidRPr="006E0FA2" w:rsidRDefault="00E16AD8" w:rsidP="00FF3ECD">
      <w:pPr>
        <w:pStyle w:val="COMtablefigcaption"/>
      </w:pPr>
      <w:bookmarkStart w:id="54" w:name="_Ref104804865"/>
      <w:r w:rsidRPr="006E0FA2">
        <w:t xml:space="preserve">Table </w:t>
      </w:r>
      <w:r w:rsidR="006B329A">
        <w:fldChar w:fldCharType="begin" w:fldLock="1"/>
      </w:r>
      <w:r w:rsidR="006B329A">
        <w:instrText xml:space="preserve"> SEQ Table \* ARABIC </w:instrText>
      </w:r>
      <w:r w:rsidR="006B329A">
        <w:fldChar w:fldCharType="separate"/>
      </w:r>
      <w:r w:rsidR="00347D89">
        <w:rPr>
          <w:noProof/>
        </w:rPr>
        <w:t>16</w:t>
      </w:r>
      <w:r w:rsidR="006B329A">
        <w:rPr>
          <w:noProof/>
        </w:rPr>
        <w:fldChar w:fldCharType="end"/>
      </w:r>
      <w:bookmarkEnd w:id="54"/>
      <w:r w:rsidRPr="006E0FA2">
        <w:t>:</w:t>
      </w:r>
      <w:r w:rsidR="00354F64" w:rsidRPr="006E0FA2">
        <w:t xml:space="preserve"> </w:t>
      </w:r>
      <w:r w:rsidR="00D15314" w:rsidRPr="006E0FA2">
        <w:t>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874"/>
        <w:gridCol w:w="1280"/>
        <w:gridCol w:w="1282"/>
        <w:gridCol w:w="1378"/>
        <w:gridCol w:w="1203"/>
      </w:tblGrid>
      <w:tr w:rsidR="004454AE" w:rsidRPr="006E0FA2" w14:paraId="0E6F09A5" w14:textId="77777777" w:rsidTr="00A37B65">
        <w:trPr>
          <w:tblHeader/>
        </w:trPr>
        <w:tc>
          <w:tcPr>
            <w:tcW w:w="2148" w:type="pct"/>
            <w:vAlign w:val="center"/>
          </w:tcPr>
          <w:p w14:paraId="52A5363F" w14:textId="77777777" w:rsidR="004454AE" w:rsidRPr="0035502F" w:rsidRDefault="004454AE" w:rsidP="002A3BF4">
            <w:pPr>
              <w:pStyle w:val="COMTableheadingrow"/>
              <w:keepNext w:val="0"/>
            </w:pPr>
            <w:r w:rsidRPr="0035502F">
              <w:t>Analyses</w:t>
            </w:r>
          </w:p>
        </w:tc>
        <w:tc>
          <w:tcPr>
            <w:tcW w:w="710" w:type="pct"/>
            <w:vAlign w:val="center"/>
          </w:tcPr>
          <w:p w14:paraId="271EFEE8" w14:textId="77777777" w:rsidR="004454AE" w:rsidRPr="0035502F" w:rsidRDefault="004454AE" w:rsidP="002A3BF4">
            <w:pPr>
              <w:pStyle w:val="COMTableheadingrow"/>
              <w:keepNext w:val="0"/>
              <w:jc w:val="center"/>
            </w:pPr>
            <w:r w:rsidRPr="0035502F">
              <w:t>Incremental cost</w:t>
            </w:r>
          </w:p>
        </w:tc>
        <w:tc>
          <w:tcPr>
            <w:tcW w:w="711" w:type="pct"/>
            <w:vAlign w:val="center"/>
          </w:tcPr>
          <w:p w14:paraId="6B25D2F6" w14:textId="77777777" w:rsidR="004454AE" w:rsidRPr="0035502F" w:rsidRDefault="004454AE" w:rsidP="002A3BF4">
            <w:pPr>
              <w:pStyle w:val="COMTableheadingrow"/>
              <w:keepNext w:val="0"/>
              <w:jc w:val="center"/>
            </w:pPr>
            <w:r w:rsidRPr="0035502F">
              <w:t>Incremental QALY</w:t>
            </w:r>
          </w:p>
        </w:tc>
        <w:tc>
          <w:tcPr>
            <w:tcW w:w="764" w:type="pct"/>
            <w:vAlign w:val="center"/>
          </w:tcPr>
          <w:p w14:paraId="251B088D" w14:textId="77777777" w:rsidR="004454AE" w:rsidRPr="0035502F" w:rsidRDefault="004454AE" w:rsidP="002A3BF4">
            <w:pPr>
              <w:pStyle w:val="COMTableheadingrow"/>
              <w:keepNext w:val="0"/>
              <w:jc w:val="center"/>
            </w:pPr>
            <w:r w:rsidRPr="0035502F">
              <w:t>ICER</w:t>
            </w:r>
          </w:p>
        </w:tc>
        <w:tc>
          <w:tcPr>
            <w:tcW w:w="667" w:type="pct"/>
            <w:vAlign w:val="center"/>
          </w:tcPr>
          <w:p w14:paraId="1923D354" w14:textId="77777777" w:rsidR="004454AE" w:rsidRPr="0035502F" w:rsidRDefault="004454AE" w:rsidP="002A3BF4">
            <w:pPr>
              <w:pStyle w:val="COMTableheadingrow"/>
              <w:keepNext w:val="0"/>
              <w:jc w:val="center"/>
            </w:pPr>
            <w:r w:rsidRPr="0035502F">
              <w:t>% change</w:t>
            </w:r>
          </w:p>
        </w:tc>
      </w:tr>
      <w:tr w:rsidR="004454AE" w:rsidRPr="006E0FA2" w14:paraId="0217E3F2" w14:textId="77777777" w:rsidTr="00A37B65">
        <w:tc>
          <w:tcPr>
            <w:tcW w:w="2148" w:type="pct"/>
          </w:tcPr>
          <w:p w14:paraId="54D1C765" w14:textId="77777777" w:rsidR="004454AE" w:rsidRPr="0035502F" w:rsidRDefault="004454AE" w:rsidP="002A3BF4">
            <w:pPr>
              <w:pStyle w:val="COMTabletext"/>
              <w:keepNext w:val="0"/>
              <w:rPr>
                <w:b/>
                <w:bCs w:val="0"/>
              </w:rPr>
            </w:pPr>
            <w:r w:rsidRPr="0035502F">
              <w:rPr>
                <w:b/>
                <w:bCs w:val="0"/>
              </w:rPr>
              <w:t>Base case</w:t>
            </w:r>
          </w:p>
        </w:tc>
        <w:tc>
          <w:tcPr>
            <w:tcW w:w="710" w:type="pct"/>
          </w:tcPr>
          <w:p w14:paraId="0EDB6056" w14:textId="381EADBD" w:rsidR="004454AE" w:rsidRPr="0035502F" w:rsidRDefault="004454AE" w:rsidP="002A3BF4">
            <w:pPr>
              <w:pStyle w:val="COMTabletext"/>
              <w:keepNext w:val="0"/>
              <w:jc w:val="center"/>
              <w:rPr>
                <w:b/>
                <w:bCs w:val="0"/>
              </w:rPr>
            </w:pPr>
            <w:r w:rsidRPr="0035502F">
              <w:rPr>
                <w:b/>
                <w:bCs w:val="0"/>
              </w:rPr>
              <w:t>$</w:t>
            </w:r>
            <w:r w:rsidR="003F51AF" w:rsidRPr="00347D89">
              <w:rPr>
                <w:rFonts w:hint="eastAsia"/>
                <w:b/>
                <w:bCs w:val="0"/>
                <w:color w:val="000000"/>
                <w:w w:val="15"/>
                <w:shd w:val="solid" w:color="000000" w:fill="000000"/>
                <w:fitText w:val="20" w:id="-694959859"/>
                <w14:textFill>
                  <w14:solidFill>
                    <w14:srgbClr w14:val="000000">
                      <w14:alpha w14:val="100000"/>
                    </w14:srgbClr>
                  </w14:solidFill>
                </w14:textFill>
              </w:rPr>
              <w:t xml:space="preserve">　</w:t>
            </w:r>
            <w:r w:rsidR="003F51AF" w:rsidRPr="00347D89">
              <w:rPr>
                <w:b/>
                <w:bCs w:val="0"/>
                <w:color w:val="000000"/>
                <w:w w:val="15"/>
                <w:shd w:val="solid" w:color="000000" w:fill="000000"/>
                <w:fitText w:val="20" w:id="-694959859"/>
                <w14:textFill>
                  <w14:solidFill>
                    <w14:srgbClr w14:val="000000">
                      <w14:alpha w14:val="100000"/>
                    </w14:srgbClr>
                  </w14:solidFill>
                </w14:textFill>
              </w:rPr>
              <w:t>|</w:t>
            </w:r>
            <w:r w:rsidR="003F51AF" w:rsidRPr="00347D89">
              <w:rPr>
                <w:rFonts w:hint="eastAsia"/>
                <w:b/>
                <w:bCs w:val="0"/>
                <w:color w:val="000000"/>
                <w:spacing w:val="-46"/>
                <w:w w:val="15"/>
                <w:shd w:val="solid" w:color="000000" w:fill="000000"/>
                <w:fitText w:val="20" w:id="-694959859"/>
                <w14:textFill>
                  <w14:solidFill>
                    <w14:srgbClr w14:val="000000">
                      <w14:alpha w14:val="100000"/>
                    </w14:srgbClr>
                  </w14:solidFill>
                </w14:textFill>
              </w:rPr>
              <w:t xml:space="preserve">　</w:t>
            </w:r>
          </w:p>
        </w:tc>
        <w:tc>
          <w:tcPr>
            <w:tcW w:w="711" w:type="pct"/>
          </w:tcPr>
          <w:p w14:paraId="110B7346" w14:textId="77777777" w:rsidR="004454AE" w:rsidRPr="0035502F" w:rsidRDefault="004454AE" w:rsidP="002A3BF4">
            <w:pPr>
              <w:pStyle w:val="COMTabletext"/>
              <w:keepNext w:val="0"/>
              <w:jc w:val="center"/>
              <w:rPr>
                <w:b/>
                <w:bCs w:val="0"/>
              </w:rPr>
            </w:pPr>
            <w:r w:rsidRPr="0035502F">
              <w:rPr>
                <w:b/>
                <w:bCs w:val="0"/>
              </w:rPr>
              <w:t>0.651</w:t>
            </w:r>
          </w:p>
        </w:tc>
        <w:tc>
          <w:tcPr>
            <w:tcW w:w="764" w:type="pct"/>
          </w:tcPr>
          <w:p w14:paraId="7F520876" w14:textId="6CDB8496" w:rsidR="004454AE" w:rsidRPr="00DE229C" w:rsidRDefault="004454AE" w:rsidP="002A3BF4">
            <w:pPr>
              <w:pStyle w:val="COMTabletext"/>
              <w:keepNext w:val="0"/>
              <w:jc w:val="center"/>
              <w:rPr>
                <w:b/>
                <w:bCs w:val="0"/>
                <w:vertAlign w:val="superscript"/>
              </w:rPr>
            </w:pPr>
            <w:r w:rsidRPr="0035502F">
              <w:rPr>
                <w:b/>
                <w:bCs w:val="0"/>
              </w:rPr>
              <w:t>$</w:t>
            </w:r>
            <w:r w:rsidR="003F51AF" w:rsidRPr="00347D89">
              <w:rPr>
                <w:rFonts w:hint="eastAsia"/>
                <w:b/>
                <w:bCs w:val="0"/>
                <w:color w:val="000000"/>
                <w:w w:val="15"/>
                <w:shd w:val="solid" w:color="000000" w:fill="000000"/>
                <w:fitText w:val="20" w:id="-694959858"/>
                <w14:textFill>
                  <w14:solidFill>
                    <w14:srgbClr w14:val="000000">
                      <w14:alpha w14:val="100000"/>
                    </w14:srgbClr>
                  </w14:solidFill>
                </w14:textFill>
              </w:rPr>
              <w:t xml:space="preserve">　</w:t>
            </w:r>
            <w:proofErr w:type="gramStart"/>
            <w:r w:rsidR="003F51AF" w:rsidRPr="00347D89">
              <w:rPr>
                <w:b/>
                <w:bCs w:val="0"/>
                <w:color w:val="000000"/>
                <w:w w:val="15"/>
                <w:shd w:val="solid" w:color="000000" w:fill="000000"/>
                <w:fitText w:val="20" w:id="-694959858"/>
                <w14:textFill>
                  <w14:solidFill>
                    <w14:srgbClr w14:val="000000">
                      <w14:alpha w14:val="100000"/>
                    </w14:srgbClr>
                  </w14:solidFill>
                </w14:textFill>
              </w:rPr>
              <w:t>|</w:t>
            </w:r>
            <w:r w:rsidR="003F51AF" w:rsidRPr="00347D89">
              <w:rPr>
                <w:rFonts w:hint="eastAsia"/>
                <w:b/>
                <w:bCs w:val="0"/>
                <w:color w:val="000000"/>
                <w:spacing w:val="-46"/>
                <w:w w:val="15"/>
                <w:shd w:val="solid" w:color="000000" w:fill="000000"/>
                <w:fitText w:val="20" w:id="-694959858"/>
                <w14:textFill>
                  <w14:solidFill>
                    <w14:srgbClr w14:val="000000">
                      <w14:alpha w14:val="100000"/>
                    </w14:srgbClr>
                  </w14:solidFill>
                </w14:textFill>
              </w:rPr>
              <w:t xml:space="preserve">　</w:t>
            </w:r>
            <w:r w:rsidR="00DE229C">
              <w:rPr>
                <w:b/>
                <w:bCs w:val="0"/>
              </w:rPr>
              <w:t xml:space="preserve"> </w:t>
            </w:r>
            <w:r w:rsidR="00DE229C">
              <w:rPr>
                <w:b/>
                <w:bCs w:val="0"/>
                <w:vertAlign w:val="superscript"/>
              </w:rPr>
              <w:t>1</w:t>
            </w:r>
            <w:proofErr w:type="gramEnd"/>
          </w:p>
        </w:tc>
        <w:tc>
          <w:tcPr>
            <w:tcW w:w="667" w:type="pct"/>
          </w:tcPr>
          <w:p w14:paraId="091B9460" w14:textId="77777777" w:rsidR="004454AE" w:rsidRPr="0035502F" w:rsidRDefault="004454AE" w:rsidP="002A3BF4">
            <w:pPr>
              <w:pStyle w:val="COMTabletext"/>
              <w:keepNext w:val="0"/>
              <w:jc w:val="center"/>
              <w:rPr>
                <w:b/>
                <w:bCs w:val="0"/>
              </w:rPr>
            </w:pPr>
            <w:r w:rsidRPr="0035502F">
              <w:rPr>
                <w:b/>
                <w:bCs w:val="0"/>
              </w:rPr>
              <w:t>-</w:t>
            </w:r>
          </w:p>
        </w:tc>
      </w:tr>
      <w:tr w:rsidR="004454AE" w:rsidRPr="006E0FA2" w14:paraId="651E618B" w14:textId="77777777" w:rsidTr="002A3BF4">
        <w:tc>
          <w:tcPr>
            <w:tcW w:w="5000" w:type="pct"/>
            <w:gridSpan w:val="5"/>
          </w:tcPr>
          <w:p w14:paraId="69906FD0" w14:textId="77777777" w:rsidR="004454AE" w:rsidRPr="0035502F" w:rsidRDefault="004454AE" w:rsidP="002A3BF4">
            <w:pPr>
              <w:pStyle w:val="COMTabletext"/>
              <w:keepNext w:val="0"/>
              <w:rPr>
                <w:b/>
                <w:bCs w:val="0"/>
              </w:rPr>
            </w:pPr>
            <w:r w:rsidRPr="0035502F">
              <w:rPr>
                <w:b/>
                <w:bCs w:val="0"/>
              </w:rPr>
              <w:t>Time horizon (base case: 7 years)</w:t>
            </w:r>
          </w:p>
        </w:tc>
      </w:tr>
      <w:tr w:rsidR="004454AE" w:rsidRPr="006E0FA2" w14:paraId="2FA6296D" w14:textId="77777777" w:rsidTr="00A37B65">
        <w:tc>
          <w:tcPr>
            <w:tcW w:w="2148" w:type="pct"/>
          </w:tcPr>
          <w:p w14:paraId="59910050" w14:textId="77777777" w:rsidR="004454AE" w:rsidRPr="0035502F" w:rsidRDefault="004454AE" w:rsidP="002A3BF4">
            <w:pPr>
              <w:pStyle w:val="COMTabletext"/>
              <w:keepNext w:val="0"/>
            </w:pPr>
            <w:r w:rsidRPr="0035502F">
              <w:t>5 years</w:t>
            </w:r>
          </w:p>
        </w:tc>
        <w:tc>
          <w:tcPr>
            <w:tcW w:w="710" w:type="pct"/>
          </w:tcPr>
          <w:p w14:paraId="2AC5EFB4" w14:textId="6DA5B3B6" w:rsidR="004454AE" w:rsidRPr="0035502F" w:rsidRDefault="004454AE" w:rsidP="002A3BF4">
            <w:pPr>
              <w:pStyle w:val="COMTabletext"/>
              <w:keepNext w:val="0"/>
              <w:jc w:val="center"/>
            </w:pPr>
            <w:r w:rsidRPr="0035502F">
              <w:t>$</w:t>
            </w:r>
            <w:r w:rsidR="003F51AF" w:rsidRPr="003F51AF">
              <w:rPr>
                <w:color w:val="000000"/>
                <w:shd w:val="solid" w:color="000000" w:fill="000000"/>
                <w14:textFill>
                  <w14:solidFill>
                    <w14:srgbClr w14:val="000000">
                      <w14:alpha w14:val="100000"/>
                    </w14:srgbClr>
                  </w14:solidFill>
                </w14:textFill>
              </w:rPr>
              <w:t>|</w:t>
            </w:r>
          </w:p>
        </w:tc>
        <w:tc>
          <w:tcPr>
            <w:tcW w:w="711" w:type="pct"/>
          </w:tcPr>
          <w:p w14:paraId="0689A2C9" w14:textId="77777777" w:rsidR="004454AE" w:rsidRPr="0035502F" w:rsidRDefault="004454AE" w:rsidP="002A3BF4">
            <w:pPr>
              <w:pStyle w:val="COMTabletext"/>
              <w:keepNext w:val="0"/>
              <w:jc w:val="center"/>
            </w:pPr>
            <w:r w:rsidRPr="0035502F">
              <w:t>0.503</w:t>
            </w:r>
          </w:p>
        </w:tc>
        <w:tc>
          <w:tcPr>
            <w:tcW w:w="764" w:type="pct"/>
          </w:tcPr>
          <w:p w14:paraId="6936BD0D" w14:textId="52DD65BF" w:rsidR="004454AE" w:rsidRPr="0035502F" w:rsidRDefault="004454AE" w:rsidP="002A3BF4">
            <w:pPr>
              <w:pStyle w:val="COMTabletext"/>
              <w:keepNext w:val="0"/>
              <w:jc w:val="center"/>
            </w:pPr>
            <w:r w:rsidRPr="0035502F">
              <w:t>$</w:t>
            </w:r>
            <w:r w:rsidR="003F51AF" w:rsidRPr="003F51AF">
              <w:rPr>
                <w:color w:val="000000"/>
                <w:shd w:val="solid" w:color="000000" w:fill="000000"/>
                <w14:textFill>
                  <w14:solidFill>
                    <w14:srgbClr w14:val="000000">
                      <w14:alpha w14:val="100000"/>
                    </w14:srgbClr>
                  </w14:solidFill>
                </w14:textFill>
              </w:rPr>
              <w:t>|</w:t>
            </w:r>
            <w:r w:rsidR="00DE229C">
              <w:rPr>
                <w:b/>
                <w:bCs w:val="0"/>
              </w:rPr>
              <w:t xml:space="preserve"> </w:t>
            </w:r>
            <w:r w:rsidR="00DE229C">
              <w:rPr>
                <w:b/>
                <w:bCs w:val="0"/>
                <w:vertAlign w:val="superscript"/>
              </w:rPr>
              <w:t>2</w:t>
            </w:r>
          </w:p>
        </w:tc>
        <w:tc>
          <w:tcPr>
            <w:tcW w:w="667" w:type="pct"/>
          </w:tcPr>
          <w:p w14:paraId="73FF993A" w14:textId="2B386DFD" w:rsidR="004454AE" w:rsidRPr="0035502F" w:rsidRDefault="003F51AF" w:rsidP="002A3BF4">
            <w:pPr>
              <w:pStyle w:val="COMTabletext"/>
              <w:keepNext w:val="0"/>
              <w:jc w:val="center"/>
            </w:pPr>
            <w:r w:rsidRPr="003F51AF">
              <w:rPr>
                <w:rFonts w:hint="eastAsia"/>
                <w:color w:val="000000"/>
                <w:w w:val="15"/>
                <w:shd w:val="solid" w:color="000000" w:fill="000000"/>
                <w:fitText w:val="50" w:id="-694959857"/>
                <w14:textFill>
                  <w14:solidFill>
                    <w14:srgbClr w14:val="000000">
                      <w14:alpha w14:val="100000"/>
                    </w14:srgbClr>
                  </w14:solidFill>
                </w14:textFill>
              </w:rPr>
              <w:t xml:space="preserve">　</w:t>
            </w:r>
            <w:r w:rsidRPr="003F51AF">
              <w:rPr>
                <w:color w:val="000000"/>
                <w:w w:val="15"/>
                <w:shd w:val="solid" w:color="000000" w:fill="000000"/>
                <w:fitText w:val="50" w:id="-694959857"/>
                <w14:textFill>
                  <w14:solidFill>
                    <w14:srgbClr w14:val="000000">
                      <w14:alpha w14:val="100000"/>
                    </w14:srgbClr>
                  </w14:solidFill>
                </w14:textFill>
              </w:rPr>
              <w:t>|</w:t>
            </w:r>
            <w:r w:rsidRPr="003F51AF">
              <w:rPr>
                <w:rFonts w:hint="eastAsia"/>
                <w:color w:val="000000"/>
                <w:spacing w:val="-15"/>
                <w:w w:val="15"/>
                <w:shd w:val="solid" w:color="000000" w:fill="000000"/>
                <w:fitText w:val="50" w:id="-694959857"/>
                <w14:textFill>
                  <w14:solidFill>
                    <w14:srgbClr w14:val="000000">
                      <w14:alpha w14:val="100000"/>
                    </w14:srgbClr>
                  </w14:solidFill>
                </w14:textFill>
              </w:rPr>
              <w:t xml:space="preserve">　</w:t>
            </w:r>
            <w:r w:rsidR="004454AE" w:rsidRPr="0035502F">
              <w:t>%</w:t>
            </w:r>
          </w:p>
        </w:tc>
      </w:tr>
      <w:tr w:rsidR="004454AE" w:rsidRPr="006E0FA2" w14:paraId="12489F81" w14:textId="77777777" w:rsidTr="002A3BF4">
        <w:tc>
          <w:tcPr>
            <w:tcW w:w="5000" w:type="pct"/>
            <w:gridSpan w:val="5"/>
          </w:tcPr>
          <w:p w14:paraId="02264C45" w14:textId="77777777" w:rsidR="004454AE" w:rsidRPr="0035502F" w:rsidRDefault="004454AE" w:rsidP="002A3BF4">
            <w:pPr>
              <w:pStyle w:val="COMTabletext"/>
              <w:keepNext w:val="0"/>
              <w:rPr>
                <w:b/>
                <w:bCs w:val="0"/>
              </w:rPr>
            </w:pPr>
            <w:r w:rsidRPr="0035502F">
              <w:rPr>
                <w:b/>
                <w:bCs w:val="0"/>
              </w:rPr>
              <w:t>Discount rate (base case: 5% for costs and outcomes)</w:t>
            </w:r>
          </w:p>
        </w:tc>
      </w:tr>
      <w:tr w:rsidR="004454AE" w:rsidRPr="006E0FA2" w14:paraId="07B6F396" w14:textId="77777777" w:rsidTr="00A37B65">
        <w:tc>
          <w:tcPr>
            <w:tcW w:w="2148" w:type="pct"/>
          </w:tcPr>
          <w:p w14:paraId="071BC055" w14:textId="77777777" w:rsidR="004454AE" w:rsidRPr="0035502F" w:rsidRDefault="004454AE" w:rsidP="002A3BF4">
            <w:pPr>
              <w:pStyle w:val="COMTabletext"/>
              <w:keepNext w:val="0"/>
            </w:pPr>
            <w:r w:rsidRPr="0035502F">
              <w:t>0%</w:t>
            </w:r>
          </w:p>
        </w:tc>
        <w:tc>
          <w:tcPr>
            <w:tcW w:w="710" w:type="pct"/>
          </w:tcPr>
          <w:p w14:paraId="4EAE244A" w14:textId="2E6CD440" w:rsidR="004454AE" w:rsidRPr="0035502F" w:rsidRDefault="004454AE" w:rsidP="002A3BF4">
            <w:pPr>
              <w:pStyle w:val="COMTabletext"/>
              <w:keepNext w:val="0"/>
              <w:jc w:val="center"/>
            </w:pPr>
            <w:r w:rsidRPr="0035502F">
              <w:t>$</w:t>
            </w:r>
            <w:r w:rsidR="003F51AF" w:rsidRPr="003F51AF">
              <w:rPr>
                <w:color w:val="000000"/>
                <w:shd w:val="solid" w:color="000000" w:fill="000000"/>
                <w14:textFill>
                  <w14:solidFill>
                    <w14:srgbClr w14:val="000000">
                      <w14:alpha w14:val="100000"/>
                    </w14:srgbClr>
                  </w14:solidFill>
                </w14:textFill>
              </w:rPr>
              <w:t>|</w:t>
            </w:r>
          </w:p>
        </w:tc>
        <w:tc>
          <w:tcPr>
            <w:tcW w:w="711" w:type="pct"/>
          </w:tcPr>
          <w:p w14:paraId="09B3198E" w14:textId="77777777" w:rsidR="004454AE" w:rsidRPr="0035502F" w:rsidRDefault="004454AE" w:rsidP="002A3BF4">
            <w:pPr>
              <w:pStyle w:val="COMTabletext"/>
              <w:keepNext w:val="0"/>
              <w:jc w:val="center"/>
            </w:pPr>
            <w:r w:rsidRPr="0035502F">
              <w:t>0.768</w:t>
            </w:r>
          </w:p>
        </w:tc>
        <w:tc>
          <w:tcPr>
            <w:tcW w:w="764" w:type="pct"/>
          </w:tcPr>
          <w:p w14:paraId="36E81AED" w14:textId="49EF4077" w:rsidR="004454AE" w:rsidRPr="0035502F" w:rsidRDefault="004454AE" w:rsidP="002A3BF4">
            <w:pPr>
              <w:pStyle w:val="COMTabletext"/>
              <w:keepNext w:val="0"/>
              <w:jc w:val="center"/>
            </w:pPr>
            <w:r w:rsidRPr="0035502F">
              <w:t>$</w:t>
            </w:r>
            <w:r w:rsidR="003F51AF" w:rsidRPr="003F51AF">
              <w:rPr>
                <w:color w:val="000000"/>
                <w:shd w:val="solid" w:color="000000" w:fill="000000"/>
                <w14:textFill>
                  <w14:solidFill>
                    <w14:srgbClr w14:val="000000">
                      <w14:alpha w14:val="100000"/>
                    </w14:srgbClr>
                  </w14:solidFill>
                </w14:textFill>
              </w:rPr>
              <w:t>|</w:t>
            </w:r>
            <w:r w:rsidR="00DE229C">
              <w:rPr>
                <w:b/>
                <w:bCs w:val="0"/>
              </w:rPr>
              <w:t xml:space="preserve"> </w:t>
            </w:r>
            <w:r w:rsidR="00DE229C">
              <w:rPr>
                <w:b/>
                <w:bCs w:val="0"/>
                <w:vertAlign w:val="superscript"/>
              </w:rPr>
              <w:t>1</w:t>
            </w:r>
          </w:p>
        </w:tc>
        <w:tc>
          <w:tcPr>
            <w:tcW w:w="667" w:type="pct"/>
          </w:tcPr>
          <w:p w14:paraId="015DD4BC" w14:textId="73252917" w:rsidR="004454AE" w:rsidRPr="0035502F" w:rsidRDefault="004454AE" w:rsidP="002A3BF4">
            <w:pPr>
              <w:pStyle w:val="COMTabletext"/>
              <w:keepNext w:val="0"/>
              <w:jc w:val="center"/>
            </w:pPr>
            <w:r w:rsidRPr="0035502F">
              <w:t>-</w:t>
            </w:r>
            <w:r w:rsidR="003F51AF" w:rsidRPr="003F51AF">
              <w:rPr>
                <w:rFonts w:hint="eastAsia"/>
                <w:color w:val="000000"/>
                <w:w w:val="18"/>
                <w:shd w:val="solid" w:color="000000" w:fill="000000"/>
                <w:fitText w:val="80" w:id="-694959856"/>
                <w14:textFill>
                  <w14:solidFill>
                    <w14:srgbClr w14:val="000000">
                      <w14:alpha w14:val="100000"/>
                    </w14:srgbClr>
                  </w14:solidFill>
                </w14:textFill>
              </w:rPr>
              <w:t xml:space="preserve">　</w:t>
            </w:r>
            <w:r w:rsidR="003F51AF" w:rsidRPr="003F51AF">
              <w:rPr>
                <w:color w:val="000000"/>
                <w:w w:val="18"/>
                <w:shd w:val="solid" w:color="000000" w:fill="000000"/>
                <w:fitText w:val="80" w:id="-694959856"/>
                <w14:textFill>
                  <w14:solidFill>
                    <w14:srgbClr w14:val="000000">
                      <w14:alpha w14:val="100000"/>
                    </w14:srgbClr>
                  </w14:solidFill>
                </w14:textFill>
              </w:rPr>
              <w:t>|</w:t>
            </w:r>
            <w:r w:rsidR="003F51AF" w:rsidRPr="003F51AF">
              <w:rPr>
                <w:rFonts w:hint="eastAsia"/>
                <w:color w:val="000000"/>
                <w:w w:val="18"/>
                <w:shd w:val="solid" w:color="000000" w:fill="000000"/>
                <w:fitText w:val="80" w:id="-694959856"/>
                <w14:textFill>
                  <w14:solidFill>
                    <w14:srgbClr w14:val="000000">
                      <w14:alpha w14:val="100000"/>
                    </w14:srgbClr>
                  </w14:solidFill>
                </w14:textFill>
              </w:rPr>
              <w:t xml:space="preserve">　</w:t>
            </w:r>
            <w:r w:rsidRPr="0035502F">
              <w:t>%</w:t>
            </w:r>
          </w:p>
        </w:tc>
      </w:tr>
      <w:tr w:rsidR="004454AE" w:rsidRPr="006E0FA2" w14:paraId="765B4C95" w14:textId="77777777" w:rsidTr="00A37B65">
        <w:tc>
          <w:tcPr>
            <w:tcW w:w="2148" w:type="pct"/>
          </w:tcPr>
          <w:p w14:paraId="4C779B86" w14:textId="77777777" w:rsidR="004454AE" w:rsidRPr="0035502F" w:rsidRDefault="004454AE" w:rsidP="002A3BF4">
            <w:pPr>
              <w:pStyle w:val="COMTabletext"/>
              <w:keepNext w:val="0"/>
            </w:pPr>
            <w:r w:rsidRPr="0035502F">
              <w:t>3.5%</w:t>
            </w:r>
          </w:p>
        </w:tc>
        <w:tc>
          <w:tcPr>
            <w:tcW w:w="710" w:type="pct"/>
          </w:tcPr>
          <w:p w14:paraId="23964311" w14:textId="02A05BCC" w:rsidR="004454AE" w:rsidRPr="0035502F" w:rsidRDefault="004454AE" w:rsidP="002A3BF4">
            <w:pPr>
              <w:pStyle w:val="COMTabletext"/>
              <w:keepNext w:val="0"/>
              <w:jc w:val="center"/>
            </w:pPr>
            <w:r w:rsidRPr="0035502F">
              <w:t>$</w:t>
            </w:r>
            <w:r w:rsidR="003F51AF" w:rsidRPr="003F51AF">
              <w:rPr>
                <w:color w:val="000000"/>
                <w:shd w:val="solid" w:color="000000" w:fill="000000"/>
                <w14:textFill>
                  <w14:solidFill>
                    <w14:srgbClr w14:val="000000">
                      <w14:alpha w14:val="100000"/>
                    </w14:srgbClr>
                  </w14:solidFill>
                </w14:textFill>
              </w:rPr>
              <w:t>|</w:t>
            </w:r>
          </w:p>
        </w:tc>
        <w:tc>
          <w:tcPr>
            <w:tcW w:w="711" w:type="pct"/>
          </w:tcPr>
          <w:p w14:paraId="56979F6B" w14:textId="77777777" w:rsidR="004454AE" w:rsidRPr="0035502F" w:rsidRDefault="004454AE" w:rsidP="002A3BF4">
            <w:pPr>
              <w:pStyle w:val="COMTabletext"/>
              <w:keepNext w:val="0"/>
              <w:jc w:val="center"/>
            </w:pPr>
            <w:r w:rsidRPr="0035502F">
              <w:t>0.68</w:t>
            </w:r>
          </w:p>
        </w:tc>
        <w:tc>
          <w:tcPr>
            <w:tcW w:w="764" w:type="pct"/>
          </w:tcPr>
          <w:p w14:paraId="11CBA736" w14:textId="7FBAD404" w:rsidR="004454AE" w:rsidRPr="0035502F" w:rsidRDefault="004454AE" w:rsidP="002A3BF4">
            <w:pPr>
              <w:pStyle w:val="COMTabletext"/>
              <w:keepNext w:val="0"/>
              <w:jc w:val="center"/>
            </w:pPr>
            <w:r w:rsidRPr="0035502F">
              <w:t>$</w:t>
            </w:r>
            <w:r w:rsidR="003F51AF" w:rsidRPr="003F51AF">
              <w:rPr>
                <w:color w:val="000000"/>
                <w:shd w:val="solid" w:color="000000" w:fill="000000"/>
                <w14:textFill>
                  <w14:solidFill>
                    <w14:srgbClr w14:val="000000">
                      <w14:alpha w14:val="100000"/>
                    </w14:srgbClr>
                  </w14:solidFill>
                </w14:textFill>
              </w:rPr>
              <w:t>|</w:t>
            </w:r>
            <w:r w:rsidR="00DE229C">
              <w:rPr>
                <w:b/>
                <w:bCs w:val="0"/>
              </w:rPr>
              <w:t xml:space="preserve"> </w:t>
            </w:r>
            <w:r w:rsidR="00DE229C">
              <w:rPr>
                <w:b/>
                <w:bCs w:val="0"/>
                <w:vertAlign w:val="superscript"/>
              </w:rPr>
              <w:t>1</w:t>
            </w:r>
          </w:p>
        </w:tc>
        <w:tc>
          <w:tcPr>
            <w:tcW w:w="667" w:type="pct"/>
          </w:tcPr>
          <w:p w14:paraId="4CDA8634" w14:textId="2FE20AF4" w:rsidR="004454AE" w:rsidRPr="0035502F" w:rsidRDefault="004454AE" w:rsidP="002A3BF4">
            <w:pPr>
              <w:pStyle w:val="COMTabletext"/>
              <w:keepNext w:val="0"/>
              <w:jc w:val="center"/>
            </w:pPr>
            <w:r w:rsidRPr="0035502F">
              <w:t>-</w:t>
            </w:r>
            <w:r w:rsidR="003F51AF" w:rsidRPr="003F51AF">
              <w:rPr>
                <w:rFonts w:hint="eastAsia"/>
                <w:color w:val="000000"/>
                <w:w w:val="18"/>
                <w:shd w:val="solid" w:color="000000" w:fill="000000"/>
                <w:fitText w:val="80" w:id="-694959872"/>
                <w14:textFill>
                  <w14:solidFill>
                    <w14:srgbClr w14:val="000000">
                      <w14:alpha w14:val="100000"/>
                    </w14:srgbClr>
                  </w14:solidFill>
                </w14:textFill>
              </w:rPr>
              <w:t xml:space="preserve">　</w:t>
            </w:r>
            <w:r w:rsidR="003F51AF" w:rsidRPr="003F51AF">
              <w:rPr>
                <w:color w:val="000000"/>
                <w:w w:val="18"/>
                <w:shd w:val="solid" w:color="000000" w:fill="000000"/>
                <w:fitText w:val="80" w:id="-694959872"/>
                <w14:textFill>
                  <w14:solidFill>
                    <w14:srgbClr w14:val="000000">
                      <w14:alpha w14:val="100000"/>
                    </w14:srgbClr>
                  </w14:solidFill>
                </w14:textFill>
              </w:rPr>
              <w:t>|</w:t>
            </w:r>
            <w:r w:rsidR="003F51AF" w:rsidRPr="003F51AF">
              <w:rPr>
                <w:rFonts w:hint="eastAsia"/>
                <w:color w:val="000000"/>
                <w:w w:val="18"/>
                <w:shd w:val="solid" w:color="000000" w:fill="000000"/>
                <w:fitText w:val="80" w:id="-694959872"/>
                <w14:textFill>
                  <w14:solidFill>
                    <w14:srgbClr w14:val="000000">
                      <w14:alpha w14:val="100000"/>
                    </w14:srgbClr>
                  </w14:solidFill>
                </w14:textFill>
              </w:rPr>
              <w:t xml:space="preserve">　</w:t>
            </w:r>
            <w:r w:rsidRPr="0035502F">
              <w:t>%</w:t>
            </w:r>
          </w:p>
        </w:tc>
      </w:tr>
      <w:tr w:rsidR="004454AE" w:rsidRPr="006E0FA2" w14:paraId="3D93A5AA" w14:textId="77777777" w:rsidTr="002A3BF4">
        <w:tc>
          <w:tcPr>
            <w:tcW w:w="5000" w:type="pct"/>
            <w:gridSpan w:val="5"/>
          </w:tcPr>
          <w:p w14:paraId="2795EC36" w14:textId="77777777" w:rsidR="004454AE" w:rsidRPr="0035502F" w:rsidRDefault="004454AE" w:rsidP="002A3BF4">
            <w:pPr>
              <w:pStyle w:val="COMTabletext"/>
              <w:keepNext w:val="0"/>
              <w:rPr>
                <w:b/>
                <w:bCs w:val="0"/>
              </w:rPr>
            </w:pPr>
            <w:r w:rsidRPr="0035502F">
              <w:rPr>
                <w:b/>
                <w:bCs w:val="0"/>
              </w:rPr>
              <w:t>Elranatamab progression-free survival extrapolation (base case: Weibull)</w:t>
            </w:r>
          </w:p>
        </w:tc>
      </w:tr>
      <w:tr w:rsidR="004454AE" w:rsidRPr="006E0FA2" w14:paraId="0588F89D" w14:textId="77777777" w:rsidTr="00A37B65">
        <w:tc>
          <w:tcPr>
            <w:tcW w:w="2148" w:type="pct"/>
          </w:tcPr>
          <w:p w14:paraId="644740A0" w14:textId="77777777" w:rsidR="004454AE" w:rsidRPr="0035502F" w:rsidRDefault="004454AE" w:rsidP="002A3BF4">
            <w:pPr>
              <w:pStyle w:val="COMTabletext"/>
              <w:keepNext w:val="0"/>
            </w:pPr>
            <w:r w:rsidRPr="0035502F">
              <w:t>Gamma</w:t>
            </w:r>
          </w:p>
        </w:tc>
        <w:tc>
          <w:tcPr>
            <w:tcW w:w="710" w:type="pct"/>
          </w:tcPr>
          <w:p w14:paraId="1C871A1C" w14:textId="0D03C8DF" w:rsidR="004454AE" w:rsidRPr="0035502F" w:rsidRDefault="004454AE" w:rsidP="002A3BF4">
            <w:pPr>
              <w:pStyle w:val="COMTabletext"/>
              <w:keepNext w:val="0"/>
              <w:jc w:val="center"/>
            </w:pPr>
            <w:r w:rsidRPr="0035502F">
              <w:t>$</w:t>
            </w:r>
            <w:r w:rsidR="003F51AF" w:rsidRPr="003F51AF">
              <w:rPr>
                <w:color w:val="000000"/>
                <w:shd w:val="solid" w:color="000000" w:fill="000000"/>
                <w14:textFill>
                  <w14:solidFill>
                    <w14:srgbClr w14:val="000000">
                      <w14:alpha w14:val="100000"/>
                    </w14:srgbClr>
                  </w14:solidFill>
                </w14:textFill>
              </w:rPr>
              <w:t>|</w:t>
            </w:r>
          </w:p>
        </w:tc>
        <w:tc>
          <w:tcPr>
            <w:tcW w:w="711" w:type="pct"/>
          </w:tcPr>
          <w:p w14:paraId="060171CD" w14:textId="77777777" w:rsidR="004454AE" w:rsidRPr="0035502F" w:rsidRDefault="004454AE" w:rsidP="002A3BF4">
            <w:pPr>
              <w:pStyle w:val="COMTabletext"/>
              <w:keepNext w:val="0"/>
              <w:jc w:val="center"/>
            </w:pPr>
            <w:r w:rsidRPr="0035502F">
              <w:t>0.652</w:t>
            </w:r>
          </w:p>
        </w:tc>
        <w:tc>
          <w:tcPr>
            <w:tcW w:w="764" w:type="pct"/>
          </w:tcPr>
          <w:p w14:paraId="00777FD9" w14:textId="6ACCD6B8" w:rsidR="004454AE" w:rsidRPr="0035502F" w:rsidRDefault="004454AE" w:rsidP="002A3BF4">
            <w:pPr>
              <w:pStyle w:val="COMTabletext"/>
              <w:keepNext w:val="0"/>
              <w:jc w:val="center"/>
            </w:pPr>
            <w:r w:rsidRPr="0035502F">
              <w:t>$</w:t>
            </w:r>
            <w:r w:rsidR="003F51AF" w:rsidRPr="003F51AF">
              <w:rPr>
                <w:color w:val="000000"/>
                <w:shd w:val="solid" w:color="000000" w:fill="000000"/>
                <w14:textFill>
                  <w14:solidFill>
                    <w14:srgbClr w14:val="000000">
                      <w14:alpha w14:val="100000"/>
                    </w14:srgbClr>
                  </w14:solidFill>
                </w14:textFill>
              </w:rPr>
              <w:t>|</w:t>
            </w:r>
            <w:r w:rsidR="00DE229C">
              <w:rPr>
                <w:b/>
                <w:bCs w:val="0"/>
              </w:rPr>
              <w:t xml:space="preserve"> </w:t>
            </w:r>
            <w:r w:rsidR="00DE229C">
              <w:rPr>
                <w:b/>
                <w:bCs w:val="0"/>
                <w:vertAlign w:val="superscript"/>
              </w:rPr>
              <w:t>1</w:t>
            </w:r>
          </w:p>
        </w:tc>
        <w:tc>
          <w:tcPr>
            <w:tcW w:w="667" w:type="pct"/>
          </w:tcPr>
          <w:p w14:paraId="0370480E" w14:textId="201674FD" w:rsidR="004454AE" w:rsidRPr="0035502F" w:rsidRDefault="004454AE" w:rsidP="002A3BF4">
            <w:pPr>
              <w:pStyle w:val="COMTabletext"/>
              <w:keepNext w:val="0"/>
              <w:jc w:val="center"/>
            </w:pPr>
            <w:r w:rsidRPr="0035502F">
              <w:t>-</w:t>
            </w:r>
            <w:r w:rsidR="003F51AF" w:rsidRPr="003F51AF">
              <w:rPr>
                <w:rFonts w:hint="eastAsia"/>
                <w:color w:val="000000"/>
                <w:w w:val="18"/>
                <w:shd w:val="solid" w:color="000000" w:fill="000000"/>
                <w:fitText w:val="80" w:id="-694959871"/>
                <w14:textFill>
                  <w14:solidFill>
                    <w14:srgbClr w14:val="000000">
                      <w14:alpha w14:val="100000"/>
                    </w14:srgbClr>
                  </w14:solidFill>
                </w14:textFill>
              </w:rPr>
              <w:t xml:space="preserve">　</w:t>
            </w:r>
            <w:r w:rsidR="003F51AF" w:rsidRPr="003F51AF">
              <w:rPr>
                <w:color w:val="000000"/>
                <w:w w:val="18"/>
                <w:shd w:val="solid" w:color="000000" w:fill="000000"/>
                <w:fitText w:val="80" w:id="-694959871"/>
                <w14:textFill>
                  <w14:solidFill>
                    <w14:srgbClr w14:val="000000">
                      <w14:alpha w14:val="100000"/>
                    </w14:srgbClr>
                  </w14:solidFill>
                </w14:textFill>
              </w:rPr>
              <w:t>|</w:t>
            </w:r>
            <w:r w:rsidR="003F51AF" w:rsidRPr="003F51AF">
              <w:rPr>
                <w:rFonts w:hint="eastAsia"/>
                <w:color w:val="000000"/>
                <w:w w:val="18"/>
                <w:shd w:val="solid" w:color="000000" w:fill="000000"/>
                <w:fitText w:val="80" w:id="-694959871"/>
                <w14:textFill>
                  <w14:solidFill>
                    <w14:srgbClr w14:val="000000">
                      <w14:alpha w14:val="100000"/>
                    </w14:srgbClr>
                  </w14:solidFill>
                </w14:textFill>
              </w:rPr>
              <w:t xml:space="preserve">　</w:t>
            </w:r>
            <w:r w:rsidRPr="0035502F">
              <w:t>%</w:t>
            </w:r>
          </w:p>
        </w:tc>
      </w:tr>
      <w:tr w:rsidR="004454AE" w:rsidRPr="006E0FA2" w14:paraId="3F17F19E" w14:textId="77777777" w:rsidTr="00A37B65">
        <w:tc>
          <w:tcPr>
            <w:tcW w:w="2148" w:type="pct"/>
          </w:tcPr>
          <w:p w14:paraId="72B64E7F" w14:textId="77777777" w:rsidR="004454AE" w:rsidRPr="0035502F" w:rsidRDefault="004454AE" w:rsidP="002A3BF4">
            <w:pPr>
              <w:pStyle w:val="COMTabletext"/>
              <w:keepNext w:val="0"/>
            </w:pPr>
            <w:r w:rsidRPr="0035502F">
              <w:t>Exponential</w:t>
            </w:r>
          </w:p>
        </w:tc>
        <w:tc>
          <w:tcPr>
            <w:tcW w:w="710" w:type="pct"/>
          </w:tcPr>
          <w:p w14:paraId="56EE4630" w14:textId="3689422A" w:rsidR="004454AE" w:rsidRPr="0035502F" w:rsidRDefault="004454AE" w:rsidP="002A3BF4">
            <w:pPr>
              <w:pStyle w:val="COMTabletext"/>
              <w:keepNext w:val="0"/>
              <w:jc w:val="center"/>
            </w:pPr>
            <w:r w:rsidRPr="0035502F">
              <w:t>$</w:t>
            </w:r>
            <w:r w:rsidR="003F51AF" w:rsidRPr="003F51AF">
              <w:rPr>
                <w:color w:val="000000"/>
                <w:shd w:val="solid" w:color="000000" w:fill="000000"/>
                <w14:textFill>
                  <w14:solidFill>
                    <w14:srgbClr w14:val="000000">
                      <w14:alpha w14:val="100000"/>
                    </w14:srgbClr>
                  </w14:solidFill>
                </w14:textFill>
              </w:rPr>
              <w:t>|</w:t>
            </w:r>
          </w:p>
        </w:tc>
        <w:tc>
          <w:tcPr>
            <w:tcW w:w="711" w:type="pct"/>
          </w:tcPr>
          <w:p w14:paraId="0E0784F8" w14:textId="77777777" w:rsidR="004454AE" w:rsidRPr="0035502F" w:rsidRDefault="004454AE" w:rsidP="002A3BF4">
            <w:pPr>
              <w:pStyle w:val="COMTabletext"/>
              <w:keepNext w:val="0"/>
              <w:jc w:val="center"/>
            </w:pPr>
            <w:r w:rsidRPr="0035502F">
              <w:t>0.641</w:t>
            </w:r>
          </w:p>
        </w:tc>
        <w:tc>
          <w:tcPr>
            <w:tcW w:w="764" w:type="pct"/>
          </w:tcPr>
          <w:p w14:paraId="5184D64A" w14:textId="0BA4273F" w:rsidR="004454AE" w:rsidRPr="0035502F" w:rsidRDefault="004454AE" w:rsidP="002A3BF4">
            <w:pPr>
              <w:pStyle w:val="COMTabletext"/>
              <w:keepNext w:val="0"/>
              <w:jc w:val="center"/>
            </w:pPr>
            <w:r w:rsidRPr="0035502F">
              <w:t>$</w:t>
            </w:r>
            <w:r w:rsidR="003F51AF" w:rsidRPr="003F51AF">
              <w:rPr>
                <w:color w:val="000000"/>
                <w:shd w:val="solid" w:color="000000" w:fill="000000"/>
                <w14:textFill>
                  <w14:solidFill>
                    <w14:srgbClr w14:val="000000">
                      <w14:alpha w14:val="100000"/>
                    </w14:srgbClr>
                  </w14:solidFill>
                </w14:textFill>
              </w:rPr>
              <w:t>|</w:t>
            </w:r>
            <w:r w:rsidR="00DE229C">
              <w:rPr>
                <w:b/>
                <w:bCs w:val="0"/>
              </w:rPr>
              <w:t xml:space="preserve"> </w:t>
            </w:r>
            <w:r w:rsidR="00DE229C">
              <w:rPr>
                <w:b/>
                <w:bCs w:val="0"/>
                <w:vertAlign w:val="superscript"/>
              </w:rPr>
              <w:t>2</w:t>
            </w:r>
          </w:p>
        </w:tc>
        <w:tc>
          <w:tcPr>
            <w:tcW w:w="667" w:type="pct"/>
          </w:tcPr>
          <w:p w14:paraId="701DB790" w14:textId="1E9B51A5" w:rsidR="004454AE" w:rsidRPr="0035502F" w:rsidRDefault="003F51AF" w:rsidP="002A3BF4">
            <w:pPr>
              <w:pStyle w:val="COMTabletext"/>
              <w:keepNext w:val="0"/>
              <w:jc w:val="center"/>
            </w:pPr>
            <w:r w:rsidRPr="003F51AF">
              <w:rPr>
                <w:rFonts w:hint="eastAsia"/>
                <w:color w:val="000000"/>
                <w:w w:val="15"/>
                <w:shd w:val="solid" w:color="000000" w:fill="000000"/>
                <w:fitText w:val="50" w:id="-694959870"/>
                <w14:textFill>
                  <w14:solidFill>
                    <w14:srgbClr w14:val="000000">
                      <w14:alpha w14:val="100000"/>
                    </w14:srgbClr>
                  </w14:solidFill>
                </w14:textFill>
              </w:rPr>
              <w:t xml:space="preserve">　</w:t>
            </w:r>
            <w:r w:rsidRPr="003F51AF">
              <w:rPr>
                <w:color w:val="000000"/>
                <w:w w:val="15"/>
                <w:shd w:val="solid" w:color="000000" w:fill="000000"/>
                <w:fitText w:val="50" w:id="-694959870"/>
                <w14:textFill>
                  <w14:solidFill>
                    <w14:srgbClr w14:val="000000">
                      <w14:alpha w14:val="100000"/>
                    </w14:srgbClr>
                  </w14:solidFill>
                </w14:textFill>
              </w:rPr>
              <w:t>|</w:t>
            </w:r>
            <w:r w:rsidRPr="003F51AF">
              <w:rPr>
                <w:rFonts w:hint="eastAsia"/>
                <w:color w:val="000000"/>
                <w:spacing w:val="-15"/>
                <w:w w:val="15"/>
                <w:shd w:val="solid" w:color="000000" w:fill="000000"/>
                <w:fitText w:val="50" w:id="-694959870"/>
                <w14:textFill>
                  <w14:solidFill>
                    <w14:srgbClr w14:val="000000">
                      <w14:alpha w14:val="100000"/>
                    </w14:srgbClr>
                  </w14:solidFill>
                </w14:textFill>
              </w:rPr>
              <w:t xml:space="preserve">　</w:t>
            </w:r>
            <w:r w:rsidR="004454AE" w:rsidRPr="0035502F">
              <w:t>%</w:t>
            </w:r>
          </w:p>
        </w:tc>
      </w:tr>
      <w:tr w:rsidR="004454AE" w:rsidRPr="006E0FA2" w14:paraId="6AEA2523" w14:textId="77777777" w:rsidTr="002A3BF4">
        <w:tc>
          <w:tcPr>
            <w:tcW w:w="5000" w:type="pct"/>
            <w:gridSpan w:val="5"/>
          </w:tcPr>
          <w:p w14:paraId="149D203B" w14:textId="77777777" w:rsidR="004454AE" w:rsidRPr="0035502F" w:rsidRDefault="004454AE" w:rsidP="002A3BF4">
            <w:pPr>
              <w:pStyle w:val="COMTabletext"/>
              <w:keepNext w:val="0"/>
              <w:rPr>
                <w:b/>
                <w:bCs w:val="0"/>
              </w:rPr>
            </w:pPr>
            <w:r w:rsidRPr="0035502F">
              <w:rPr>
                <w:b/>
                <w:bCs w:val="0"/>
              </w:rPr>
              <w:t>Elranatamab overall survival extrapolation (base case: Weibull)</w:t>
            </w:r>
          </w:p>
        </w:tc>
      </w:tr>
      <w:tr w:rsidR="004454AE" w:rsidRPr="006E0FA2" w14:paraId="57FE9479" w14:textId="77777777" w:rsidTr="00A37B65">
        <w:tc>
          <w:tcPr>
            <w:tcW w:w="2148" w:type="pct"/>
          </w:tcPr>
          <w:p w14:paraId="339FA847" w14:textId="77777777" w:rsidR="004454AE" w:rsidRPr="0035502F" w:rsidRDefault="004454AE" w:rsidP="002A3BF4">
            <w:pPr>
              <w:pStyle w:val="COMTabletext"/>
              <w:keepNext w:val="0"/>
            </w:pPr>
            <w:r w:rsidRPr="0035502F">
              <w:t>Gamma</w:t>
            </w:r>
          </w:p>
        </w:tc>
        <w:tc>
          <w:tcPr>
            <w:tcW w:w="710" w:type="pct"/>
          </w:tcPr>
          <w:p w14:paraId="0F076950" w14:textId="2322458B" w:rsidR="004454AE" w:rsidRPr="0035502F" w:rsidRDefault="004454AE" w:rsidP="002A3BF4">
            <w:pPr>
              <w:pStyle w:val="COMTabletext"/>
              <w:keepNext w:val="0"/>
              <w:jc w:val="center"/>
            </w:pPr>
            <w:r w:rsidRPr="0035502F">
              <w:t>$</w:t>
            </w:r>
            <w:r w:rsidR="003F51AF" w:rsidRPr="003F51AF">
              <w:rPr>
                <w:color w:val="000000"/>
                <w:shd w:val="solid" w:color="000000" w:fill="000000"/>
                <w14:textFill>
                  <w14:solidFill>
                    <w14:srgbClr w14:val="000000">
                      <w14:alpha w14:val="100000"/>
                    </w14:srgbClr>
                  </w14:solidFill>
                </w14:textFill>
              </w:rPr>
              <w:t>|</w:t>
            </w:r>
          </w:p>
        </w:tc>
        <w:tc>
          <w:tcPr>
            <w:tcW w:w="711" w:type="pct"/>
          </w:tcPr>
          <w:p w14:paraId="2A5FDA69" w14:textId="77777777" w:rsidR="004454AE" w:rsidRPr="0035502F" w:rsidRDefault="004454AE" w:rsidP="002A3BF4">
            <w:pPr>
              <w:pStyle w:val="COMTabletext"/>
              <w:keepNext w:val="0"/>
              <w:jc w:val="center"/>
            </w:pPr>
            <w:r w:rsidRPr="0035502F">
              <w:t>0.636</w:t>
            </w:r>
          </w:p>
        </w:tc>
        <w:tc>
          <w:tcPr>
            <w:tcW w:w="764" w:type="pct"/>
          </w:tcPr>
          <w:p w14:paraId="3A4AB866" w14:textId="6DCD19E2" w:rsidR="004454AE" w:rsidRPr="0035502F" w:rsidRDefault="004454AE" w:rsidP="002A3BF4">
            <w:pPr>
              <w:pStyle w:val="COMTabletext"/>
              <w:keepNext w:val="0"/>
              <w:jc w:val="center"/>
            </w:pPr>
            <w:r w:rsidRPr="0035502F">
              <w:t>$</w:t>
            </w:r>
            <w:r w:rsidR="003F51AF" w:rsidRPr="003F51AF">
              <w:rPr>
                <w:color w:val="000000"/>
                <w:shd w:val="solid" w:color="000000" w:fill="000000"/>
                <w14:textFill>
                  <w14:solidFill>
                    <w14:srgbClr w14:val="000000">
                      <w14:alpha w14:val="100000"/>
                    </w14:srgbClr>
                  </w14:solidFill>
                </w14:textFill>
              </w:rPr>
              <w:t>|</w:t>
            </w:r>
            <w:r w:rsidR="00DE229C">
              <w:rPr>
                <w:b/>
                <w:bCs w:val="0"/>
              </w:rPr>
              <w:t xml:space="preserve"> </w:t>
            </w:r>
            <w:r w:rsidR="00DE229C">
              <w:rPr>
                <w:b/>
                <w:bCs w:val="0"/>
                <w:vertAlign w:val="superscript"/>
              </w:rPr>
              <w:t>1</w:t>
            </w:r>
          </w:p>
        </w:tc>
        <w:tc>
          <w:tcPr>
            <w:tcW w:w="667" w:type="pct"/>
          </w:tcPr>
          <w:p w14:paraId="5F90FB1E" w14:textId="4F896415" w:rsidR="004454AE" w:rsidRPr="0035502F" w:rsidRDefault="003F51AF" w:rsidP="002A3BF4">
            <w:pPr>
              <w:pStyle w:val="COMTabletext"/>
              <w:keepNext w:val="0"/>
              <w:jc w:val="center"/>
            </w:pPr>
            <w:r w:rsidRPr="003F51AF">
              <w:rPr>
                <w:rFonts w:hint="eastAsia"/>
                <w:color w:val="000000"/>
                <w:w w:val="15"/>
                <w:shd w:val="solid" w:color="000000" w:fill="000000"/>
                <w:fitText w:val="50" w:id="-694959869"/>
                <w14:textFill>
                  <w14:solidFill>
                    <w14:srgbClr w14:val="000000">
                      <w14:alpha w14:val="100000"/>
                    </w14:srgbClr>
                  </w14:solidFill>
                </w14:textFill>
              </w:rPr>
              <w:t xml:space="preserve">　</w:t>
            </w:r>
            <w:r w:rsidRPr="003F51AF">
              <w:rPr>
                <w:color w:val="000000"/>
                <w:w w:val="15"/>
                <w:shd w:val="solid" w:color="000000" w:fill="000000"/>
                <w:fitText w:val="50" w:id="-694959869"/>
                <w14:textFill>
                  <w14:solidFill>
                    <w14:srgbClr w14:val="000000">
                      <w14:alpha w14:val="100000"/>
                    </w14:srgbClr>
                  </w14:solidFill>
                </w14:textFill>
              </w:rPr>
              <w:t>|</w:t>
            </w:r>
            <w:r w:rsidRPr="003F51AF">
              <w:rPr>
                <w:rFonts w:hint="eastAsia"/>
                <w:color w:val="000000"/>
                <w:spacing w:val="-15"/>
                <w:w w:val="15"/>
                <w:shd w:val="solid" w:color="000000" w:fill="000000"/>
                <w:fitText w:val="50" w:id="-694959869"/>
                <w14:textFill>
                  <w14:solidFill>
                    <w14:srgbClr w14:val="000000">
                      <w14:alpha w14:val="100000"/>
                    </w14:srgbClr>
                  </w14:solidFill>
                </w14:textFill>
              </w:rPr>
              <w:t xml:space="preserve">　</w:t>
            </w:r>
            <w:r w:rsidR="004454AE" w:rsidRPr="0035502F">
              <w:t>%</w:t>
            </w:r>
          </w:p>
        </w:tc>
      </w:tr>
      <w:tr w:rsidR="004454AE" w:rsidRPr="006E0FA2" w14:paraId="6EF073F5" w14:textId="77777777" w:rsidTr="00A37B65">
        <w:tc>
          <w:tcPr>
            <w:tcW w:w="2148" w:type="pct"/>
          </w:tcPr>
          <w:p w14:paraId="5C92D958" w14:textId="77777777" w:rsidR="004454AE" w:rsidRPr="0035502F" w:rsidRDefault="004454AE" w:rsidP="002A3BF4">
            <w:pPr>
              <w:pStyle w:val="COMTabletext"/>
              <w:keepNext w:val="0"/>
            </w:pPr>
            <w:r w:rsidRPr="0035502F">
              <w:t>Exponential</w:t>
            </w:r>
          </w:p>
        </w:tc>
        <w:tc>
          <w:tcPr>
            <w:tcW w:w="710" w:type="pct"/>
          </w:tcPr>
          <w:p w14:paraId="08A8FAAF" w14:textId="2E6EDB37" w:rsidR="004454AE" w:rsidRPr="0035502F" w:rsidRDefault="004454AE" w:rsidP="002A3BF4">
            <w:pPr>
              <w:pStyle w:val="COMTabletext"/>
              <w:keepNext w:val="0"/>
              <w:jc w:val="center"/>
            </w:pPr>
            <w:r w:rsidRPr="0035502F">
              <w:t>$</w:t>
            </w:r>
            <w:r w:rsidR="003F51AF" w:rsidRPr="003F51AF">
              <w:rPr>
                <w:color w:val="000000"/>
                <w:shd w:val="solid" w:color="000000" w:fill="000000"/>
                <w14:textFill>
                  <w14:solidFill>
                    <w14:srgbClr w14:val="000000">
                      <w14:alpha w14:val="100000"/>
                    </w14:srgbClr>
                  </w14:solidFill>
                </w14:textFill>
              </w:rPr>
              <w:t>|</w:t>
            </w:r>
          </w:p>
        </w:tc>
        <w:tc>
          <w:tcPr>
            <w:tcW w:w="711" w:type="pct"/>
          </w:tcPr>
          <w:p w14:paraId="55A5CCC3" w14:textId="77777777" w:rsidR="004454AE" w:rsidRPr="0035502F" w:rsidRDefault="004454AE" w:rsidP="002A3BF4">
            <w:pPr>
              <w:pStyle w:val="COMTabletext"/>
              <w:keepNext w:val="0"/>
              <w:jc w:val="center"/>
            </w:pPr>
            <w:r w:rsidRPr="0035502F">
              <w:t>0.593</w:t>
            </w:r>
          </w:p>
        </w:tc>
        <w:tc>
          <w:tcPr>
            <w:tcW w:w="764" w:type="pct"/>
          </w:tcPr>
          <w:p w14:paraId="54AD2FBA" w14:textId="00767808" w:rsidR="004454AE" w:rsidRPr="0035502F" w:rsidRDefault="004454AE" w:rsidP="002A3BF4">
            <w:pPr>
              <w:pStyle w:val="COMTabletext"/>
              <w:keepNext w:val="0"/>
              <w:jc w:val="center"/>
            </w:pPr>
            <w:r w:rsidRPr="0035502F">
              <w:t>$</w:t>
            </w:r>
            <w:r w:rsidR="003F51AF" w:rsidRPr="003F51AF">
              <w:rPr>
                <w:color w:val="000000"/>
                <w:shd w:val="solid" w:color="000000" w:fill="000000"/>
                <w14:textFill>
                  <w14:solidFill>
                    <w14:srgbClr w14:val="000000">
                      <w14:alpha w14:val="100000"/>
                    </w14:srgbClr>
                  </w14:solidFill>
                </w14:textFill>
              </w:rPr>
              <w:t>|</w:t>
            </w:r>
            <w:r w:rsidR="00DE229C">
              <w:rPr>
                <w:b/>
                <w:bCs w:val="0"/>
              </w:rPr>
              <w:t xml:space="preserve"> </w:t>
            </w:r>
            <w:r w:rsidR="00DE229C">
              <w:rPr>
                <w:b/>
                <w:bCs w:val="0"/>
                <w:vertAlign w:val="superscript"/>
              </w:rPr>
              <w:t>1</w:t>
            </w:r>
          </w:p>
        </w:tc>
        <w:tc>
          <w:tcPr>
            <w:tcW w:w="667" w:type="pct"/>
          </w:tcPr>
          <w:p w14:paraId="130CD913" w14:textId="0A5D857F" w:rsidR="004454AE" w:rsidRPr="0035502F" w:rsidRDefault="003F51AF" w:rsidP="002A3BF4">
            <w:pPr>
              <w:pStyle w:val="COMTabletext"/>
              <w:keepNext w:val="0"/>
              <w:jc w:val="center"/>
            </w:pPr>
            <w:r w:rsidRPr="003F51AF">
              <w:rPr>
                <w:rFonts w:hint="eastAsia"/>
                <w:color w:val="000000"/>
                <w:w w:val="15"/>
                <w:shd w:val="solid" w:color="000000" w:fill="000000"/>
                <w:fitText w:val="50" w:id="-694959868"/>
                <w14:textFill>
                  <w14:solidFill>
                    <w14:srgbClr w14:val="000000">
                      <w14:alpha w14:val="100000"/>
                    </w14:srgbClr>
                  </w14:solidFill>
                </w14:textFill>
              </w:rPr>
              <w:t xml:space="preserve">　</w:t>
            </w:r>
            <w:r w:rsidRPr="003F51AF">
              <w:rPr>
                <w:color w:val="000000"/>
                <w:w w:val="15"/>
                <w:shd w:val="solid" w:color="000000" w:fill="000000"/>
                <w:fitText w:val="50" w:id="-694959868"/>
                <w14:textFill>
                  <w14:solidFill>
                    <w14:srgbClr w14:val="000000">
                      <w14:alpha w14:val="100000"/>
                    </w14:srgbClr>
                  </w14:solidFill>
                </w14:textFill>
              </w:rPr>
              <w:t>|</w:t>
            </w:r>
            <w:r w:rsidRPr="003F51AF">
              <w:rPr>
                <w:rFonts w:hint="eastAsia"/>
                <w:color w:val="000000"/>
                <w:spacing w:val="-15"/>
                <w:w w:val="15"/>
                <w:shd w:val="solid" w:color="000000" w:fill="000000"/>
                <w:fitText w:val="50" w:id="-694959868"/>
                <w14:textFill>
                  <w14:solidFill>
                    <w14:srgbClr w14:val="000000">
                      <w14:alpha w14:val="100000"/>
                    </w14:srgbClr>
                  </w14:solidFill>
                </w14:textFill>
              </w:rPr>
              <w:t xml:space="preserve">　</w:t>
            </w:r>
            <w:r w:rsidR="004454AE" w:rsidRPr="0035502F">
              <w:t>%</w:t>
            </w:r>
          </w:p>
        </w:tc>
      </w:tr>
      <w:tr w:rsidR="004454AE" w:rsidRPr="006E0FA2" w14:paraId="490B3411" w14:textId="77777777" w:rsidTr="002A3BF4">
        <w:tc>
          <w:tcPr>
            <w:tcW w:w="5000" w:type="pct"/>
            <w:gridSpan w:val="5"/>
          </w:tcPr>
          <w:p w14:paraId="199D77D7" w14:textId="77777777" w:rsidR="004454AE" w:rsidRPr="0035502F" w:rsidRDefault="004454AE" w:rsidP="002A3BF4">
            <w:pPr>
              <w:pStyle w:val="COMTabletext"/>
              <w:keepNext w:val="0"/>
              <w:rPr>
                <w:b/>
                <w:bCs w:val="0"/>
              </w:rPr>
            </w:pPr>
            <w:r w:rsidRPr="0035502F">
              <w:rPr>
                <w:b/>
                <w:bCs w:val="0"/>
              </w:rPr>
              <w:t>Elranatamab time to treatment discontinuation extrapolation (base case: Weibull)</w:t>
            </w:r>
          </w:p>
        </w:tc>
      </w:tr>
      <w:tr w:rsidR="004454AE" w:rsidRPr="006E0FA2" w14:paraId="2F42F8C0" w14:textId="77777777" w:rsidTr="00A37B65">
        <w:tc>
          <w:tcPr>
            <w:tcW w:w="2148" w:type="pct"/>
          </w:tcPr>
          <w:p w14:paraId="4DD95C86" w14:textId="77777777" w:rsidR="004454AE" w:rsidRPr="0035502F" w:rsidRDefault="004454AE" w:rsidP="002A3BF4">
            <w:pPr>
              <w:pStyle w:val="COMTabletext"/>
              <w:keepNext w:val="0"/>
            </w:pPr>
            <w:r w:rsidRPr="0035502F">
              <w:t>Gamma</w:t>
            </w:r>
          </w:p>
        </w:tc>
        <w:tc>
          <w:tcPr>
            <w:tcW w:w="710" w:type="pct"/>
          </w:tcPr>
          <w:p w14:paraId="26BF4D2F" w14:textId="69E0289D" w:rsidR="004454AE" w:rsidRPr="0035502F" w:rsidRDefault="004454AE" w:rsidP="002A3BF4">
            <w:pPr>
              <w:pStyle w:val="COMTabletext"/>
              <w:keepNext w:val="0"/>
              <w:jc w:val="center"/>
            </w:pPr>
            <w:r w:rsidRPr="005316F6">
              <w:t>$</w:t>
            </w:r>
            <w:r w:rsidR="003F51AF" w:rsidRPr="003F51AF">
              <w:rPr>
                <w:color w:val="000000"/>
                <w:shd w:val="solid" w:color="000000" w:fill="000000"/>
                <w14:textFill>
                  <w14:solidFill>
                    <w14:srgbClr w14:val="000000">
                      <w14:alpha w14:val="100000"/>
                    </w14:srgbClr>
                  </w14:solidFill>
                </w14:textFill>
              </w:rPr>
              <w:t>|</w:t>
            </w:r>
          </w:p>
        </w:tc>
        <w:tc>
          <w:tcPr>
            <w:tcW w:w="711" w:type="pct"/>
          </w:tcPr>
          <w:p w14:paraId="1400C903" w14:textId="77777777" w:rsidR="004454AE" w:rsidRPr="0035502F" w:rsidRDefault="004454AE" w:rsidP="002A3BF4">
            <w:pPr>
              <w:pStyle w:val="COMTabletext"/>
              <w:keepNext w:val="0"/>
              <w:jc w:val="center"/>
            </w:pPr>
            <w:r w:rsidRPr="0035502F">
              <w:t>0.65</w:t>
            </w:r>
          </w:p>
        </w:tc>
        <w:tc>
          <w:tcPr>
            <w:tcW w:w="764" w:type="pct"/>
          </w:tcPr>
          <w:p w14:paraId="7D2C2FC2" w14:textId="598F51E6" w:rsidR="004454AE" w:rsidRPr="0035502F" w:rsidRDefault="004454AE" w:rsidP="002A3BF4">
            <w:pPr>
              <w:pStyle w:val="COMTabletext"/>
              <w:keepNext w:val="0"/>
              <w:jc w:val="center"/>
            </w:pPr>
            <w:r w:rsidRPr="0035502F">
              <w:t>$</w:t>
            </w:r>
            <w:r w:rsidR="003F51AF" w:rsidRPr="003F51AF">
              <w:rPr>
                <w:color w:val="000000"/>
                <w:shd w:val="solid" w:color="000000" w:fill="000000"/>
                <w14:textFill>
                  <w14:solidFill>
                    <w14:srgbClr w14:val="000000">
                      <w14:alpha w14:val="100000"/>
                    </w14:srgbClr>
                  </w14:solidFill>
                </w14:textFill>
              </w:rPr>
              <w:t>|</w:t>
            </w:r>
            <w:r w:rsidR="00DE229C">
              <w:rPr>
                <w:b/>
                <w:bCs w:val="0"/>
              </w:rPr>
              <w:t xml:space="preserve"> </w:t>
            </w:r>
            <w:r w:rsidR="00DE229C">
              <w:rPr>
                <w:b/>
                <w:bCs w:val="0"/>
                <w:vertAlign w:val="superscript"/>
              </w:rPr>
              <w:t>1</w:t>
            </w:r>
          </w:p>
        </w:tc>
        <w:tc>
          <w:tcPr>
            <w:tcW w:w="667" w:type="pct"/>
          </w:tcPr>
          <w:p w14:paraId="2331241C" w14:textId="655D9315" w:rsidR="004454AE" w:rsidRPr="0035502F" w:rsidRDefault="004454AE" w:rsidP="002A3BF4">
            <w:pPr>
              <w:pStyle w:val="COMTabletext"/>
              <w:keepNext w:val="0"/>
              <w:jc w:val="center"/>
            </w:pPr>
            <w:r w:rsidRPr="0035502F">
              <w:t>-</w:t>
            </w:r>
            <w:r w:rsidR="003F51AF" w:rsidRPr="003F51AF">
              <w:rPr>
                <w:rFonts w:hint="eastAsia"/>
                <w:color w:val="000000"/>
                <w:w w:val="18"/>
                <w:shd w:val="solid" w:color="000000" w:fill="000000"/>
                <w:fitText w:val="80" w:id="-694959867"/>
                <w14:textFill>
                  <w14:solidFill>
                    <w14:srgbClr w14:val="000000">
                      <w14:alpha w14:val="100000"/>
                    </w14:srgbClr>
                  </w14:solidFill>
                </w14:textFill>
              </w:rPr>
              <w:t xml:space="preserve">　</w:t>
            </w:r>
            <w:r w:rsidR="003F51AF" w:rsidRPr="003F51AF">
              <w:rPr>
                <w:color w:val="000000"/>
                <w:w w:val="18"/>
                <w:shd w:val="solid" w:color="000000" w:fill="000000"/>
                <w:fitText w:val="80" w:id="-694959867"/>
                <w14:textFill>
                  <w14:solidFill>
                    <w14:srgbClr w14:val="000000">
                      <w14:alpha w14:val="100000"/>
                    </w14:srgbClr>
                  </w14:solidFill>
                </w14:textFill>
              </w:rPr>
              <w:t>|</w:t>
            </w:r>
            <w:r w:rsidR="003F51AF" w:rsidRPr="003F51AF">
              <w:rPr>
                <w:rFonts w:hint="eastAsia"/>
                <w:color w:val="000000"/>
                <w:w w:val="18"/>
                <w:shd w:val="solid" w:color="000000" w:fill="000000"/>
                <w:fitText w:val="80" w:id="-694959867"/>
                <w14:textFill>
                  <w14:solidFill>
                    <w14:srgbClr w14:val="000000">
                      <w14:alpha w14:val="100000"/>
                    </w14:srgbClr>
                  </w14:solidFill>
                </w14:textFill>
              </w:rPr>
              <w:t xml:space="preserve">　</w:t>
            </w:r>
            <w:r w:rsidRPr="0035502F">
              <w:t>%</w:t>
            </w:r>
          </w:p>
        </w:tc>
      </w:tr>
      <w:tr w:rsidR="004454AE" w:rsidRPr="006E0FA2" w14:paraId="6A7C278C" w14:textId="77777777" w:rsidTr="00A37B65">
        <w:tc>
          <w:tcPr>
            <w:tcW w:w="2148" w:type="pct"/>
          </w:tcPr>
          <w:p w14:paraId="374DA887" w14:textId="77777777" w:rsidR="004454AE" w:rsidRPr="0035502F" w:rsidRDefault="004454AE" w:rsidP="002A3BF4">
            <w:pPr>
              <w:pStyle w:val="COMTabletext"/>
              <w:keepNext w:val="0"/>
            </w:pPr>
            <w:r w:rsidRPr="0035502F">
              <w:t>Exponential</w:t>
            </w:r>
          </w:p>
        </w:tc>
        <w:tc>
          <w:tcPr>
            <w:tcW w:w="710" w:type="pct"/>
          </w:tcPr>
          <w:p w14:paraId="39472786" w14:textId="7F4A4679" w:rsidR="004454AE" w:rsidRPr="0035502F" w:rsidRDefault="004454AE" w:rsidP="002A3BF4">
            <w:pPr>
              <w:pStyle w:val="COMTabletext"/>
              <w:keepNext w:val="0"/>
              <w:jc w:val="center"/>
            </w:pPr>
            <w:r w:rsidRPr="0035502F">
              <w:t>$</w:t>
            </w:r>
            <w:r w:rsidR="003F51AF" w:rsidRPr="003F51AF">
              <w:rPr>
                <w:color w:val="000000"/>
                <w:shd w:val="solid" w:color="000000" w:fill="000000"/>
                <w14:textFill>
                  <w14:solidFill>
                    <w14:srgbClr w14:val="000000">
                      <w14:alpha w14:val="100000"/>
                    </w14:srgbClr>
                  </w14:solidFill>
                </w14:textFill>
              </w:rPr>
              <w:t>|</w:t>
            </w:r>
          </w:p>
        </w:tc>
        <w:tc>
          <w:tcPr>
            <w:tcW w:w="711" w:type="pct"/>
          </w:tcPr>
          <w:p w14:paraId="79C40968" w14:textId="77777777" w:rsidR="004454AE" w:rsidRPr="0035502F" w:rsidRDefault="004454AE" w:rsidP="002A3BF4">
            <w:pPr>
              <w:pStyle w:val="COMTabletext"/>
              <w:keepNext w:val="0"/>
              <w:jc w:val="center"/>
            </w:pPr>
            <w:r w:rsidRPr="0035502F">
              <w:t>0.651</w:t>
            </w:r>
          </w:p>
        </w:tc>
        <w:tc>
          <w:tcPr>
            <w:tcW w:w="764" w:type="pct"/>
          </w:tcPr>
          <w:p w14:paraId="70A9D0CA" w14:textId="091C2CED" w:rsidR="004454AE" w:rsidRPr="0035502F" w:rsidRDefault="004454AE" w:rsidP="002A3BF4">
            <w:pPr>
              <w:pStyle w:val="COMTabletext"/>
              <w:keepNext w:val="0"/>
              <w:jc w:val="center"/>
            </w:pPr>
            <w:r w:rsidRPr="0035502F">
              <w:t>$</w:t>
            </w:r>
            <w:r w:rsidR="003F51AF" w:rsidRPr="003F51AF">
              <w:rPr>
                <w:color w:val="000000"/>
                <w:shd w:val="solid" w:color="000000" w:fill="000000"/>
                <w14:textFill>
                  <w14:solidFill>
                    <w14:srgbClr w14:val="000000">
                      <w14:alpha w14:val="100000"/>
                    </w14:srgbClr>
                  </w14:solidFill>
                </w14:textFill>
              </w:rPr>
              <w:t>|</w:t>
            </w:r>
            <w:r w:rsidR="00DE229C">
              <w:rPr>
                <w:b/>
                <w:bCs w:val="0"/>
              </w:rPr>
              <w:t xml:space="preserve"> </w:t>
            </w:r>
            <w:r w:rsidR="00DE229C">
              <w:rPr>
                <w:b/>
                <w:bCs w:val="0"/>
                <w:vertAlign w:val="superscript"/>
              </w:rPr>
              <w:t>1</w:t>
            </w:r>
          </w:p>
        </w:tc>
        <w:tc>
          <w:tcPr>
            <w:tcW w:w="667" w:type="pct"/>
          </w:tcPr>
          <w:p w14:paraId="3DBBD8E2" w14:textId="7A3D1F4B" w:rsidR="004454AE" w:rsidRPr="0035502F" w:rsidRDefault="004454AE" w:rsidP="002A3BF4">
            <w:pPr>
              <w:pStyle w:val="COMTabletext"/>
              <w:keepNext w:val="0"/>
              <w:jc w:val="center"/>
            </w:pPr>
            <w:r w:rsidRPr="0035502F">
              <w:t>-</w:t>
            </w:r>
            <w:r w:rsidR="003F51AF" w:rsidRPr="003F51AF">
              <w:rPr>
                <w:rFonts w:hint="eastAsia"/>
                <w:color w:val="000000"/>
                <w:w w:val="18"/>
                <w:shd w:val="solid" w:color="000000" w:fill="000000"/>
                <w:fitText w:val="80" w:id="-694959866"/>
                <w14:textFill>
                  <w14:solidFill>
                    <w14:srgbClr w14:val="000000">
                      <w14:alpha w14:val="100000"/>
                    </w14:srgbClr>
                  </w14:solidFill>
                </w14:textFill>
              </w:rPr>
              <w:t xml:space="preserve">　</w:t>
            </w:r>
            <w:r w:rsidR="003F51AF" w:rsidRPr="003F51AF">
              <w:rPr>
                <w:color w:val="000000"/>
                <w:w w:val="18"/>
                <w:shd w:val="solid" w:color="000000" w:fill="000000"/>
                <w:fitText w:val="80" w:id="-694959866"/>
                <w14:textFill>
                  <w14:solidFill>
                    <w14:srgbClr w14:val="000000">
                      <w14:alpha w14:val="100000"/>
                    </w14:srgbClr>
                  </w14:solidFill>
                </w14:textFill>
              </w:rPr>
              <w:t>|</w:t>
            </w:r>
            <w:r w:rsidR="003F51AF" w:rsidRPr="003F51AF">
              <w:rPr>
                <w:rFonts w:hint="eastAsia"/>
                <w:color w:val="000000"/>
                <w:w w:val="18"/>
                <w:shd w:val="solid" w:color="000000" w:fill="000000"/>
                <w:fitText w:val="80" w:id="-694959866"/>
                <w14:textFill>
                  <w14:solidFill>
                    <w14:srgbClr w14:val="000000">
                      <w14:alpha w14:val="100000"/>
                    </w14:srgbClr>
                  </w14:solidFill>
                </w14:textFill>
              </w:rPr>
              <w:t xml:space="preserve">　</w:t>
            </w:r>
            <w:r w:rsidRPr="005316F6">
              <w:t>%</w:t>
            </w:r>
          </w:p>
        </w:tc>
      </w:tr>
      <w:tr w:rsidR="004454AE" w:rsidRPr="006E0FA2" w14:paraId="1408757C" w14:textId="77777777" w:rsidTr="00A37B65">
        <w:tc>
          <w:tcPr>
            <w:tcW w:w="2148" w:type="pct"/>
          </w:tcPr>
          <w:p w14:paraId="380610B5" w14:textId="77777777" w:rsidR="004454AE" w:rsidRPr="0035502F" w:rsidRDefault="004454AE" w:rsidP="002A3BF4">
            <w:pPr>
              <w:pStyle w:val="COMTabletext"/>
              <w:keepNext w:val="0"/>
            </w:pPr>
            <w:r w:rsidRPr="0035502F">
              <w:t>Log-logistic</w:t>
            </w:r>
          </w:p>
        </w:tc>
        <w:tc>
          <w:tcPr>
            <w:tcW w:w="710" w:type="pct"/>
          </w:tcPr>
          <w:p w14:paraId="5BBBCA57" w14:textId="2A285F77" w:rsidR="004454AE" w:rsidRPr="0035502F" w:rsidRDefault="004454AE" w:rsidP="002A3BF4">
            <w:pPr>
              <w:pStyle w:val="COMTabletext"/>
              <w:keepNext w:val="0"/>
              <w:jc w:val="center"/>
            </w:pPr>
            <w:r w:rsidRPr="0035502F">
              <w:t>$</w:t>
            </w:r>
            <w:r w:rsidR="003F51AF" w:rsidRPr="003F51AF">
              <w:rPr>
                <w:color w:val="000000"/>
                <w:shd w:val="solid" w:color="000000" w:fill="000000"/>
                <w14:textFill>
                  <w14:solidFill>
                    <w14:srgbClr w14:val="000000">
                      <w14:alpha w14:val="100000"/>
                    </w14:srgbClr>
                  </w14:solidFill>
                </w14:textFill>
              </w:rPr>
              <w:t>|</w:t>
            </w:r>
          </w:p>
        </w:tc>
        <w:tc>
          <w:tcPr>
            <w:tcW w:w="711" w:type="pct"/>
          </w:tcPr>
          <w:p w14:paraId="4E4E5C99" w14:textId="77777777" w:rsidR="004454AE" w:rsidRPr="0035502F" w:rsidRDefault="004454AE" w:rsidP="002A3BF4">
            <w:pPr>
              <w:pStyle w:val="COMTabletext"/>
              <w:keepNext w:val="0"/>
              <w:jc w:val="center"/>
            </w:pPr>
            <w:r w:rsidRPr="0035502F">
              <w:t>0.651</w:t>
            </w:r>
          </w:p>
        </w:tc>
        <w:tc>
          <w:tcPr>
            <w:tcW w:w="764" w:type="pct"/>
          </w:tcPr>
          <w:p w14:paraId="2F433020" w14:textId="67EF88D5" w:rsidR="004454AE" w:rsidRPr="0035502F" w:rsidRDefault="004454AE" w:rsidP="002A3BF4">
            <w:pPr>
              <w:pStyle w:val="COMTabletext"/>
              <w:keepNext w:val="0"/>
              <w:jc w:val="center"/>
            </w:pPr>
            <w:r w:rsidRPr="0035502F">
              <w:t>$</w:t>
            </w:r>
            <w:r w:rsidR="003F51AF" w:rsidRPr="003F51AF">
              <w:rPr>
                <w:color w:val="000000"/>
                <w:shd w:val="solid" w:color="000000" w:fill="000000"/>
                <w14:textFill>
                  <w14:solidFill>
                    <w14:srgbClr w14:val="000000">
                      <w14:alpha w14:val="100000"/>
                    </w14:srgbClr>
                  </w14:solidFill>
                </w14:textFill>
              </w:rPr>
              <w:t>|</w:t>
            </w:r>
            <w:r w:rsidR="00DE229C">
              <w:rPr>
                <w:b/>
                <w:bCs w:val="0"/>
              </w:rPr>
              <w:t xml:space="preserve"> </w:t>
            </w:r>
            <w:r w:rsidR="00DE229C">
              <w:rPr>
                <w:b/>
                <w:bCs w:val="0"/>
                <w:vertAlign w:val="superscript"/>
              </w:rPr>
              <w:t>2</w:t>
            </w:r>
          </w:p>
        </w:tc>
        <w:tc>
          <w:tcPr>
            <w:tcW w:w="667" w:type="pct"/>
          </w:tcPr>
          <w:p w14:paraId="3F9A0D99" w14:textId="38619DE0" w:rsidR="004454AE" w:rsidRPr="0035502F" w:rsidRDefault="003F51AF" w:rsidP="002A3BF4">
            <w:pPr>
              <w:pStyle w:val="COMTabletext"/>
              <w:keepNext w:val="0"/>
              <w:jc w:val="center"/>
            </w:pPr>
            <w:r w:rsidRPr="003F51AF">
              <w:rPr>
                <w:rFonts w:hint="eastAsia"/>
                <w:color w:val="000000"/>
                <w:w w:val="15"/>
                <w:shd w:val="solid" w:color="000000" w:fill="000000"/>
                <w:fitText w:val="50" w:id="-694959865"/>
                <w14:textFill>
                  <w14:solidFill>
                    <w14:srgbClr w14:val="000000">
                      <w14:alpha w14:val="100000"/>
                    </w14:srgbClr>
                  </w14:solidFill>
                </w14:textFill>
              </w:rPr>
              <w:t xml:space="preserve">　</w:t>
            </w:r>
            <w:r w:rsidRPr="003F51AF">
              <w:rPr>
                <w:color w:val="000000"/>
                <w:w w:val="15"/>
                <w:shd w:val="solid" w:color="000000" w:fill="000000"/>
                <w:fitText w:val="50" w:id="-694959865"/>
                <w14:textFill>
                  <w14:solidFill>
                    <w14:srgbClr w14:val="000000">
                      <w14:alpha w14:val="100000"/>
                    </w14:srgbClr>
                  </w14:solidFill>
                </w14:textFill>
              </w:rPr>
              <w:t>|</w:t>
            </w:r>
            <w:r w:rsidRPr="003F51AF">
              <w:rPr>
                <w:rFonts w:hint="eastAsia"/>
                <w:color w:val="000000"/>
                <w:spacing w:val="-15"/>
                <w:w w:val="15"/>
                <w:shd w:val="solid" w:color="000000" w:fill="000000"/>
                <w:fitText w:val="50" w:id="-694959865"/>
                <w14:textFill>
                  <w14:solidFill>
                    <w14:srgbClr w14:val="000000">
                      <w14:alpha w14:val="100000"/>
                    </w14:srgbClr>
                  </w14:solidFill>
                </w14:textFill>
              </w:rPr>
              <w:t xml:space="preserve">　</w:t>
            </w:r>
            <w:r w:rsidR="004454AE" w:rsidRPr="0035502F">
              <w:t>%</w:t>
            </w:r>
          </w:p>
        </w:tc>
      </w:tr>
      <w:tr w:rsidR="004454AE" w:rsidRPr="009F57B6" w14:paraId="5FBCB9A2" w14:textId="77777777" w:rsidTr="009F57B6">
        <w:tc>
          <w:tcPr>
            <w:tcW w:w="5000" w:type="pct"/>
            <w:gridSpan w:val="5"/>
            <w:shd w:val="clear" w:color="auto" w:fill="auto"/>
          </w:tcPr>
          <w:p w14:paraId="238FD3CA" w14:textId="0B250570" w:rsidR="004454AE" w:rsidRPr="009F57B6" w:rsidRDefault="004454AE" w:rsidP="002A3BF4">
            <w:pPr>
              <w:pStyle w:val="COMTabletext"/>
              <w:keepNext w:val="0"/>
              <w:rPr>
                <w:b/>
                <w:bCs w:val="0"/>
              </w:rPr>
            </w:pPr>
            <w:r w:rsidRPr="009F57B6">
              <w:rPr>
                <w:b/>
                <w:bCs w:val="0"/>
              </w:rPr>
              <w:t xml:space="preserve">Standard of care distribution (base case: </w:t>
            </w:r>
            <w:r w:rsidR="00DA30D1" w:rsidRPr="009F57B6">
              <w:rPr>
                <w:b/>
                <w:bCs w:val="0"/>
              </w:rPr>
              <w:t>Cd</w:t>
            </w:r>
            <w:r w:rsidRPr="009F57B6">
              <w:rPr>
                <w:b/>
                <w:bCs w:val="0"/>
              </w:rPr>
              <w:t xml:space="preserve">: 51.0%; </w:t>
            </w:r>
            <w:r w:rsidR="00DA30D1" w:rsidRPr="009F57B6">
              <w:rPr>
                <w:b/>
                <w:bCs w:val="0"/>
              </w:rPr>
              <w:t>Pd</w:t>
            </w:r>
            <w:r w:rsidRPr="009F57B6">
              <w:rPr>
                <w:b/>
                <w:bCs w:val="0"/>
              </w:rPr>
              <w:t xml:space="preserve">: 46.5%; </w:t>
            </w:r>
            <w:r w:rsidR="00DA30D1" w:rsidRPr="009F57B6">
              <w:rPr>
                <w:b/>
                <w:bCs w:val="0"/>
              </w:rPr>
              <w:t>Sd</w:t>
            </w:r>
            <w:r w:rsidRPr="009F57B6">
              <w:rPr>
                <w:b/>
                <w:bCs w:val="0"/>
              </w:rPr>
              <w:t xml:space="preserve">: 2.5%) </w:t>
            </w:r>
          </w:p>
        </w:tc>
      </w:tr>
      <w:tr w:rsidR="004454AE" w:rsidRPr="009F57B6" w14:paraId="0BC2122A" w14:textId="77777777" w:rsidTr="009F57B6">
        <w:tc>
          <w:tcPr>
            <w:tcW w:w="2148" w:type="pct"/>
            <w:shd w:val="clear" w:color="auto" w:fill="auto"/>
          </w:tcPr>
          <w:p w14:paraId="662A601B" w14:textId="3DBC4A67" w:rsidR="004454AE" w:rsidRPr="009F57B6" w:rsidRDefault="00DA30D1" w:rsidP="002A3BF4">
            <w:pPr>
              <w:pStyle w:val="COMTabletext"/>
              <w:keepNext w:val="0"/>
            </w:pPr>
            <w:r w:rsidRPr="009F57B6">
              <w:t>Cd</w:t>
            </w:r>
            <w:r w:rsidR="004454AE" w:rsidRPr="009F57B6">
              <w:t xml:space="preserve"> 100%</w:t>
            </w:r>
          </w:p>
        </w:tc>
        <w:tc>
          <w:tcPr>
            <w:tcW w:w="710" w:type="pct"/>
            <w:shd w:val="clear" w:color="auto" w:fill="auto"/>
          </w:tcPr>
          <w:p w14:paraId="02B5C700" w14:textId="10119274" w:rsidR="004454AE" w:rsidRPr="009F57B6" w:rsidRDefault="004454AE" w:rsidP="002A3BF4">
            <w:pPr>
              <w:pStyle w:val="COMTabletext"/>
              <w:keepNext w:val="0"/>
              <w:jc w:val="center"/>
            </w:pPr>
            <w:r w:rsidRPr="009F57B6">
              <w:t>$</w:t>
            </w:r>
            <w:r w:rsidR="003F51AF" w:rsidRPr="003F51AF">
              <w:rPr>
                <w:color w:val="000000"/>
                <w:shd w:val="solid" w:color="000000" w:fill="000000"/>
                <w14:textFill>
                  <w14:solidFill>
                    <w14:srgbClr w14:val="000000">
                      <w14:alpha w14:val="100000"/>
                    </w14:srgbClr>
                  </w14:solidFill>
                </w14:textFill>
              </w:rPr>
              <w:t>|</w:t>
            </w:r>
          </w:p>
        </w:tc>
        <w:tc>
          <w:tcPr>
            <w:tcW w:w="711" w:type="pct"/>
            <w:shd w:val="clear" w:color="auto" w:fill="auto"/>
          </w:tcPr>
          <w:p w14:paraId="12A000A7" w14:textId="77777777" w:rsidR="004454AE" w:rsidRPr="009F57B6" w:rsidRDefault="004454AE" w:rsidP="002A3BF4">
            <w:pPr>
              <w:pStyle w:val="COMTabletext"/>
              <w:keepNext w:val="0"/>
              <w:jc w:val="center"/>
            </w:pPr>
            <w:r w:rsidRPr="009F57B6">
              <w:t>0.606</w:t>
            </w:r>
          </w:p>
        </w:tc>
        <w:tc>
          <w:tcPr>
            <w:tcW w:w="764" w:type="pct"/>
            <w:shd w:val="clear" w:color="auto" w:fill="auto"/>
          </w:tcPr>
          <w:p w14:paraId="1F45BC3F" w14:textId="2CD4F1B1" w:rsidR="004454AE" w:rsidRPr="009F57B6" w:rsidRDefault="004454AE" w:rsidP="002A3BF4">
            <w:pPr>
              <w:pStyle w:val="COMTabletext"/>
              <w:keepNext w:val="0"/>
              <w:jc w:val="center"/>
            </w:pPr>
            <w:r w:rsidRPr="009F57B6">
              <w:t>$</w:t>
            </w:r>
            <w:r w:rsidR="003F51AF" w:rsidRPr="003F51AF">
              <w:rPr>
                <w:color w:val="000000"/>
                <w:shd w:val="solid" w:color="000000" w:fill="000000"/>
                <w14:textFill>
                  <w14:solidFill>
                    <w14:srgbClr w14:val="000000">
                      <w14:alpha w14:val="100000"/>
                    </w14:srgbClr>
                  </w14:solidFill>
                </w14:textFill>
              </w:rPr>
              <w:t>|</w:t>
            </w:r>
            <w:r w:rsidR="00DE229C">
              <w:rPr>
                <w:b/>
                <w:bCs w:val="0"/>
              </w:rPr>
              <w:t xml:space="preserve"> </w:t>
            </w:r>
            <w:r w:rsidR="00DE229C">
              <w:rPr>
                <w:b/>
                <w:bCs w:val="0"/>
                <w:vertAlign w:val="superscript"/>
              </w:rPr>
              <w:t>3</w:t>
            </w:r>
          </w:p>
        </w:tc>
        <w:tc>
          <w:tcPr>
            <w:tcW w:w="667" w:type="pct"/>
            <w:shd w:val="clear" w:color="auto" w:fill="auto"/>
          </w:tcPr>
          <w:p w14:paraId="5153827F" w14:textId="61891742" w:rsidR="004454AE" w:rsidRPr="009F57B6" w:rsidRDefault="004454AE" w:rsidP="002A3BF4">
            <w:pPr>
              <w:pStyle w:val="COMTabletext"/>
              <w:keepNext w:val="0"/>
              <w:jc w:val="center"/>
            </w:pPr>
            <w:r w:rsidRPr="009F57B6">
              <w:t>-</w:t>
            </w:r>
            <w:r w:rsidR="003F51AF" w:rsidRPr="003F51AF">
              <w:rPr>
                <w:rFonts w:hint="eastAsia"/>
                <w:color w:val="000000"/>
                <w:w w:val="18"/>
                <w:shd w:val="solid" w:color="000000" w:fill="000000"/>
                <w:fitText w:val="80" w:id="-694959864"/>
                <w14:textFill>
                  <w14:solidFill>
                    <w14:srgbClr w14:val="000000">
                      <w14:alpha w14:val="100000"/>
                    </w14:srgbClr>
                  </w14:solidFill>
                </w14:textFill>
              </w:rPr>
              <w:t xml:space="preserve">　</w:t>
            </w:r>
            <w:r w:rsidR="003F51AF" w:rsidRPr="003F51AF">
              <w:rPr>
                <w:color w:val="000000"/>
                <w:w w:val="18"/>
                <w:shd w:val="solid" w:color="000000" w:fill="000000"/>
                <w:fitText w:val="80" w:id="-694959864"/>
                <w14:textFill>
                  <w14:solidFill>
                    <w14:srgbClr w14:val="000000">
                      <w14:alpha w14:val="100000"/>
                    </w14:srgbClr>
                  </w14:solidFill>
                </w14:textFill>
              </w:rPr>
              <w:t>|</w:t>
            </w:r>
            <w:r w:rsidR="003F51AF" w:rsidRPr="003F51AF">
              <w:rPr>
                <w:rFonts w:hint="eastAsia"/>
                <w:color w:val="000000"/>
                <w:w w:val="18"/>
                <w:shd w:val="solid" w:color="000000" w:fill="000000"/>
                <w:fitText w:val="80" w:id="-694959864"/>
                <w14:textFill>
                  <w14:solidFill>
                    <w14:srgbClr w14:val="000000">
                      <w14:alpha w14:val="100000"/>
                    </w14:srgbClr>
                  </w14:solidFill>
                </w14:textFill>
              </w:rPr>
              <w:t xml:space="preserve">　</w:t>
            </w:r>
            <w:r w:rsidRPr="009F57B6">
              <w:t>%</w:t>
            </w:r>
          </w:p>
        </w:tc>
      </w:tr>
      <w:tr w:rsidR="004454AE" w:rsidRPr="009F57B6" w14:paraId="4DC68F6D" w14:textId="77777777" w:rsidTr="009F57B6">
        <w:tc>
          <w:tcPr>
            <w:tcW w:w="2148" w:type="pct"/>
            <w:shd w:val="clear" w:color="auto" w:fill="auto"/>
          </w:tcPr>
          <w:p w14:paraId="2F3F886F" w14:textId="21DAFD87" w:rsidR="004454AE" w:rsidRPr="009F57B6" w:rsidRDefault="00DA30D1" w:rsidP="002A3BF4">
            <w:pPr>
              <w:pStyle w:val="COMTabletext"/>
              <w:keepNext w:val="0"/>
            </w:pPr>
            <w:r w:rsidRPr="009F57B6">
              <w:t>Pd</w:t>
            </w:r>
            <w:r w:rsidR="004454AE" w:rsidRPr="009F57B6">
              <w:t xml:space="preserve"> 100%</w:t>
            </w:r>
          </w:p>
        </w:tc>
        <w:tc>
          <w:tcPr>
            <w:tcW w:w="710" w:type="pct"/>
            <w:shd w:val="clear" w:color="auto" w:fill="auto"/>
          </w:tcPr>
          <w:p w14:paraId="3361E67D" w14:textId="4985FEC8" w:rsidR="004454AE" w:rsidRPr="009F57B6" w:rsidRDefault="004454AE" w:rsidP="002A3BF4">
            <w:pPr>
              <w:pStyle w:val="COMTabletext"/>
              <w:keepNext w:val="0"/>
              <w:jc w:val="center"/>
            </w:pPr>
            <w:r w:rsidRPr="009F57B6">
              <w:t>$</w:t>
            </w:r>
            <w:r w:rsidR="003F51AF" w:rsidRPr="003F51AF">
              <w:rPr>
                <w:color w:val="000000"/>
                <w:shd w:val="solid" w:color="000000" w:fill="000000"/>
                <w14:textFill>
                  <w14:solidFill>
                    <w14:srgbClr w14:val="000000">
                      <w14:alpha w14:val="100000"/>
                    </w14:srgbClr>
                  </w14:solidFill>
                </w14:textFill>
              </w:rPr>
              <w:t>|</w:t>
            </w:r>
          </w:p>
        </w:tc>
        <w:tc>
          <w:tcPr>
            <w:tcW w:w="711" w:type="pct"/>
            <w:shd w:val="clear" w:color="auto" w:fill="auto"/>
          </w:tcPr>
          <w:p w14:paraId="4DD40CEC" w14:textId="77777777" w:rsidR="004454AE" w:rsidRPr="009F57B6" w:rsidRDefault="004454AE" w:rsidP="002A3BF4">
            <w:pPr>
              <w:pStyle w:val="COMTabletext"/>
              <w:keepNext w:val="0"/>
              <w:jc w:val="center"/>
            </w:pPr>
            <w:r w:rsidRPr="009F57B6">
              <w:t>0.687</w:t>
            </w:r>
          </w:p>
        </w:tc>
        <w:tc>
          <w:tcPr>
            <w:tcW w:w="764" w:type="pct"/>
            <w:shd w:val="clear" w:color="auto" w:fill="auto"/>
          </w:tcPr>
          <w:p w14:paraId="5B008676" w14:textId="0726FF8F" w:rsidR="004454AE" w:rsidRPr="009F57B6" w:rsidRDefault="004454AE" w:rsidP="002A3BF4">
            <w:pPr>
              <w:pStyle w:val="COMTabletext"/>
              <w:keepNext w:val="0"/>
              <w:jc w:val="center"/>
            </w:pPr>
            <w:r w:rsidRPr="009F57B6">
              <w:t>$</w:t>
            </w:r>
            <w:r w:rsidR="003F51AF" w:rsidRPr="003F51AF">
              <w:rPr>
                <w:color w:val="000000"/>
                <w:shd w:val="solid" w:color="000000" w:fill="000000"/>
                <w14:textFill>
                  <w14:solidFill>
                    <w14:srgbClr w14:val="000000">
                      <w14:alpha w14:val="100000"/>
                    </w14:srgbClr>
                  </w14:solidFill>
                </w14:textFill>
              </w:rPr>
              <w:t>|</w:t>
            </w:r>
            <w:r w:rsidR="00DE229C">
              <w:rPr>
                <w:b/>
                <w:bCs w:val="0"/>
              </w:rPr>
              <w:t xml:space="preserve"> </w:t>
            </w:r>
            <w:r w:rsidR="00DE229C">
              <w:rPr>
                <w:b/>
                <w:bCs w:val="0"/>
                <w:vertAlign w:val="superscript"/>
              </w:rPr>
              <w:t>4</w:t>
            </w:r>
          </w:p>
        </w:tc>
        <w:tc>
          <w:tcPr>
            <w:tcW w:w="667" w:type="pct"/>
            <w:shd w:val="clear" w:color="auto" w:fill="auto"/>
          </w:tcPr>
          <w:p w14:paraId="3E3336B5" w14:textId="01EB922F" w:rsidR="004454AE" w:rsidRPr="009F57B6" w:rsidRDefault="003F51AF" w:rsidP="002A3BF4">
            <w:pPr>
              <w:pStyle w:val="COMTabletext"/>
              <w:keepNext w:val="0"/>
              <w:jc w:val="center"/>
            </w:pPr>
            <w:r w:rsidRPr="003F51AF">
              <w:rPr>
                <w:rFonts w:hint="eastAsia"/>
                <w:color w:val="000000"/>
                <w:w w:val="15"/>
                <w:shd w:val="solid" w:color="000000" w:fill="000000"/>
                <w:fitText w:val="50" w:id="-694959863"/>
                <w14:textFill>
                  <w14:solidFill>
                    <w14:srgbClr w14:val="000000">
                      <w14:alpha w14:val="100000"/>
                    </w14:srgbClr>
                  </w14:solidFill>
                </w14:textFill>
              </w:rPr>
              <w:t xml:space="preserve">　</w:t>
            </w:r>
            <w:r w:rsidRPr="003F51AF">
              <w:rPr>
                <w:color w:val="000000"/>
                <w:w w:val="15"/>
                <w:shd w:val="solid" w:color="000000" w:fill="000000"/>
                <w:fitText w:val="50" w:id="-694959863"/>
                <w14:textFill>
                  <w14:solidFill>
                    <w14:srgbClr w14:val="000000">
                      <w14:alpha w14:val="100000"/>
                    </w14:srgbClr>
                  </w14:solidFill>
                </w14:textFill>
              </w:rPr>
              <w:t>|</w:t>
            </w:r>
            <w:r w:rsidRPr="003F51AF">
              <w:rPr>
                <w:rFonts w:hint="eastAsia"/>
                <w:color w:val="000000"/>
                <w:spacing w:val="-15"/>
                <w:w w:val="15"/>
                <w:shd w:val="solid" w:color="000000" w:fill="000000"/>
                <w:fitText w:val="50" w:id="-694959863"/>
                <w14:textFill>
                  <w14:solidFill>
                    <w14:srgbClr w14:val="000000">
                      <w14:alpha w14:val="100000"/>
                    </w14:srgbClr>
                  </w14:solidFill>
                </w14:textFill>
              </w:rPr>
              <w:t xml:space="preserve">　</w:t>
            </w:r>
            <w:r w:rsidR="004454AE" w:rsidRPr="009F57B6">
              <w:t>%</w:t>
            </w:r>
          </w:p>
        </w:tc>
      </w:tr>
      <w:tr w:rsidR="004454AE" w:rsidRPr="009F57B6" w14:paraId="19858542" w14:textId="77777777" w:rsidTr="009F57B6">
        <w:tc>
          <w:tcPr>
            <w:tcW w:w="2148" w:type="pct"/>
            <w:shd w:val="clear" w:color="auto" w:fill="auto"/>
          </w:tcPr>
          <w:p w14:paraId="557921FC" w14:textId="2D821E85" w:rsidR="004454AE" w:rsidRPr="009F57B6" w:rsidRDefault="00DA30D1" w:rsidP="002A3BF4">
            <w:pPr>
              <w:pStyle w:val="COMTabletext"/>
              <w:keepNext w:val="0"/>
            </w:pPr>
            <w:r w:rsidRPr="009F57B6">
              <w:t>Sd</w:t>
            </w:r>
            <w:r w:rsidR="004454AE" w:rsidRPr="009F57B6">
              <w:t xml:space="preserve"> 100%</w:t>
            </w:r>
          </w:p>
        </w:tc>
        <w:tc>
          <w:tcPr>
            <w:tcW w:w="710" w:type="pct"/>
            <w:shd w:val="clear" w:color="auto" w:fill="auto"/>
          </w:tcPr>
          <w:p w14:paraId="2319B523" w14:textId="2EAEEEC7" w:rsidR="004454AE" w:rsidRPr="009F57B6" w:rsidRDefault="004454AE" w:rsidP="002A3BF4">
            <w:pPr>
              <w:pStyle w:val="COMTabletext"/>
              <w:keepNext w:val="0"/>
              <w:jc w:val="center"/>
            </w:pPr>
            <w:r w:rsidRPr="009F57B6">
              <w:t>$</w:t>
            </w:r>
            <w:r w:rsidR="003F51AF" w:rsidRPr="003F51AF">
              <w:rPr>
                <w:color w:val="000000"/>
                <w:shd w:val="solid" w:color="000000" w:fill="000000"/>
                <w14:textFill>
                  <w14:solidFill>
                    <w14:srgbClr w14:val="000000">
                      <w14:alpha w14:val="100000"/>
                    </w14:srgbClr>
                  </w14:solidFill>
                </w14:textFill>
              </w:rPr>
              <w:t>|</w:t>
            </w:r>
          </w:p>
        </w:tc>
        <w:tc>
          <w:tcPr>
            <w:tcW w:w="711" w:type="pct"/>
            <w:shd w:val="clear" w:color="auto" w:fill="auto"/>
          </w:tcPr>
          <w:p w14:paraId="2C46CB78" w14:textId="77777777" w:rsidR="004454AE" w:rsidRPr="009F57B6" w:rsidRDefault="004454AE" w:rsidP="002A3BF4">
            <w:pPr>
              <w:pStyle w:val="COMTabletext"/>
              <w:keepNext w:val="0"/>
              <w:jc w:val="center"/>
            </w:pPr>
            <w:r w:rsidRPr="009F57B6">
              <w:t>0.880</w:t>
            </w:r>
          </w:p>
        </w:tc>
        <w:tc>
          <w:tcPr>
            <w:tcW w:w="764" w:type="pct"/>
            <w:shd w:val="clear" w:color="auto" w:fill="auto"/>
          </w:tcPr>
          <w:p w14:paraId="32F88692" w14:textId="612C471F" w:rsidR="004454AE" w:rsidRPr="009F57B6" w:rsidRDefault="004454AE" w:rsidP="002A3BF4">
            <w:pPr>
              <w:pStyle w:val="COMTabletext"/>
              <w:keepNext w:val="0"/>
              <w:jc w:val="center"/>
            </w:pPr>
            <w:r w:rsidRPr="009F57B6">
              <w:t>$</w:t>
            </w:r>
            <w:r w:rsidR="003F51AF" w:rsidRPr="003F51AF">
              <w:rPr>
                <w:color w:val="000000"/>
                <w:shd w:val="solid" w:color="000000" w:fill="000000"/>
                <w14:textFill>
                  <w14:solidFill>
                    <w14:srgbClr w14:val="000000">
                      <w14:alpha w14:val="100000"/>
                    </w14:srgbClr>
                  </w14:solidFill>
                </w14:textFill>
              </w:rPr>
              <w:t>|</w:t>
            </w:r>
            <w:r w:rsidR="00DE229C">
              <w:rPr>
                <w:b/>
                <w:bCs w:val="0"/>
              </w:rPr>
              <w:t xml:space="preserve"> </w:t>
            </w:r>
            <w:r w:rsidR="00DE229C">
              <w:rPr>
                <w:b/>
                <w:bCs w:val="0"/>
                <w:vertAlign w:val="superscript"/>
              </w:rPr>
              <w:t>2</w:t>
            </w:r>
          </w:p>
        </w:tc>
        <w:tc>
          <w:tcPr>
            <w:tcW w:w="667" w:type="pct"/>
            <w:shd w:val="clear" w:color="auto" w:fill="auto"/>
          </w:tcPr>
          <w:p w14:paraId="034F6FED" w14:textId="5CD18DB3" w:rsidR="004454AE" w:rsidRPr="009F57B6" w:rsidRDefault="003F51AF" w:rsidP="002A3BF4">
            <w:pPr>
              <w:pStyle w:val="COMTabletext"/>
              <w:keepNext w:val="0"/>
              <w:jc w:val="center"/>
            </w:pPr>
            <w:r w:rsidRPr="003F51AF">
              <w:rPr>
                <w:rFonts w:hint="eastAsia"/>
                <w:color w:val="000000"/>
                <w:w w:val="15"/>
                <w:shd w:val="solid" w:color="000000" w:fill="000000"/>
                <w:fitText w:val="50" w:id="-694959862"/>
                <w14:textFill>
                  <w14:solidFill>
                    <w14:srgbClr w14:val="000000">
                      <w14:alpha w14:val="100000"/>
                    </w14:srgbClr>
                  </w14:solidFill>
                </w14:textFill>
              </w:rPr>
              <w:t xml:space="preserve">　</w:t>
            </w:r>
            <w:r w:rsidRPr="003F51AF">
              <w:rPr>
                <w:color w:val="000000"/>
                <w:w w:val="15"/>
                <w:shd w:val="solid" w:color="000000" w:fill="000000"/>
                <w:fitText w:val="50" w:id="-694959862"/>
                <w14:textFill>
                  <w14:solidFill>
                    <w14:srgbClr w14:val="000000">
                      <w14:alpha w14:val="100000"/>
                    </w14:srgbClr>
                  </w14:solidFill>
                </w14:textFill>
              </w:rPr>
              <w:t>|</w:t>
            </w:r>
            <w:r w:rsidRPr="003F51AF">
              <w:rPr>
                <w:rFonts w:hint="eastAsia"/>
                <w:color w:val="000000"/>
                <w:spacing w:val="-15"/>
                <w:w w:val="15"/>
                <w:shd w:val="solid" w:color="000000" w:fill="000000"/>
                <w:fitText w:val="50" w:id="-694959862"/>
                <w14:textFill>
                  <w14:solidFill>
                    <w14:srgbClr w14:val="000000">
                      <w14:alpha w14:val="100000"/>
                    </w14:srgbClr>
                  </w14:solidFill>
                </w14:textFill>
              </w:rPr>
              <w:t xml:space="preserve">　</w:t>
            </w:r>
            <w:r w:rsidR="004454AE" w:rsidRPr="009F57B6">
              <w:t>%</w:t>
            </w:r>
          </w:p>
        </w:tc>
      </w:tr>
      <w:tr w:rsidR="004454AE" w:rsidRPr="009F57B6" w14:paraId="55BAC49F" w14:textId="77777777" w:rsidTr="009F57B6">
        <w:tc>
          <w:tcPr>
            <w:tcW w:w="5000" w:type="pct"/>
            <w:gridSpan w:val="5"/>
            <w:shd w:val="clear" w:color="auto" w:fill="auto"/>
          </w:tcPr>
          <w:p w14:paraId="4F2B9332" w14:textId="473CC368" w:rsidR="004454AE" w:rsidRPr="009F57B6" w:rsidRDefault="004454AE" w:rsidP="00422A1A">
            <w:pPr>
              <w:pStyle w:val="COMTabletext"/>
              <w:rPr>
                <w:b/>
                <w:bCs w:val="0"/>
              </w:rPr>
            </w:pPr>
            <w:r w:rsidRPr="009F57B6">
              <w:rPr>
                <w:b/>
                <w:bCs w:val="0"/>
              </w:rPr>
              <w:t xml:space="preserve">Progression-free survival hazard ratio (base case: </w:t>
            </w:r>
            <w:r w:rsidR="00DA30D1" w:rsidRPr="009F57B6">
              <w:rPr>
                <w:b/>
                <w:bCs w:val="0"/>
              </w:rPr>
              <w:t>Cd</w:t>
            </w:r>
            <w:r w:rsidRPr="009F57B6">
              <w:rPr>
                <w:b/>
                <w:bCs w:val="0"/>
              </w:rPr>
              <w:t xml:space="preserve">: 0.656 (95% CI: 0.303, 1.420); </w:t>
            </w:r>
            <w:r w:rsidR="00DA30D1" w:rsidRPr="009F57B6">
              <w:rPr>
                <w:b/>
                <w:bCs w:val="0"/>
              </w:rPr>
              <w:t>Pd</w:t>
            </w:r>
            <w:r w:rsidRPr="009F57B6">
              <w:rPr>
                <w:b/>
                <w:bCs w:val="0"/>
              </w:rPr>
              <w:t xml:space="preserve">: 0.385 (95% CI: 0.254, 0.584); </w:t>
            </w:r>
            <w:r w:rsidR="00DA30D1" w:rsidRPr="009F57B6">
              <w:rPr>
                <w:b/>
                <w:bCs w:val="0"/>
              </w:rPr>
              <w:t>Sd</w:t>
            </w:r>
            <w:r w:rsidRPr="009F57B6">
              <w:rPr>
                <w:b/>
                <w:bCs w:val="0"/>
              </w:rPr>
              <w:t>: 0.442 (95% CI: 0.238, 0.818))</w:t>
            </w:r>
          </w:p>
        </w:tc>
      </w:tr>
      <w:tr w:rsidR="004454AE" w:rsidRPr="009F57B6" w14:paraId="5CD9CAED" w14:textId="77777777" w:rsidTr="009F57B6">
        <w:tc>
          <w:tcPr>
            <w:tcW w:w="2148" w:type="pct"/>
            <w:shd w:val="clear" w:color="auto" w:fill="auto"/>
          </w:tcPr>
          <w:p w14:paraId="7915F155" w14:textId="6EF9A8B8" w:rsidR="004454AE" w:rsidRPr="009F57B6" w:rsidRDefault="00DA30D1" w:rsidP="002A3BF4">
            <w:pPr>
              <w:pStyle w:val="COMTabletext"/>
              <w:keepNext w:val="0"/>
            </w:pPr>
            <w:r w:rsidRPr="009F57B6">
              <w:t>Cd</w:t>
            </w:r>
            <w:r w:rsidR="004454AE" w:rsidRPr="009F57B6">
              <w:t xml:space="preserve"> hazard ratio = 0.303</w:t>
            </w:r>
          </w:p>
        </w:tc>
        <w:tc>
          <w:tcPr>
            <w:tcW w:w="710" w:type="pct"/>
            <w:shd w:val="clear" w:color="auto" w:fill="auto"/>
          </w:tcPr>
          <w:p w14:paraId="59D84775" w14:textId="30A1D2F9" w:rsidR="004454AE" w:rsidRPr="009F57B6" w:rsidRDefault="004454AE" w:rsidP="002A3BF4">
            <w:pPr>
              <w:pStyle w:val="COMTabletext"/>
              <w:keepNext w:val="0"/>
              <w:jc w:val="center"/>
            </w:pPr>
            <w:r w:rsidRPr="009F57B6">
              <w:t>$</w:t>
            </w:r>
            <w:r w:rsidR="003F51AF" w:rsidRPr="003F51AF">
              <w:rPr>
                <w:color w:val="000000"/>
                <w:shd w:val="solid" w:color="000000" w:fill="000000"/>
                <w14:textFill>
                  <w14:solidFill>
                    <w14:srgbClr w14:val="000000">
                      <w14:alpha w14:val="100000"/>
                    </w14:srgbClr>
                  </w14:solidFill>
                </w14:textFill>
              </w:rPr>
              <w:t>|</w:t>
            </w:r>
          </w:p>
        </w:tc>
        <w:tc>
          <w:tcPr>
            <w:tcW w:w="711" w:type="pct"/>
            <w:shd w:val="clear" w:color="auto" w:fill="auto"/>
          </w:tcPr>
          <w:p w14:paraId="593A3DD3" w14:textId="77777777" w:rsidR="004454AE" w:rsidRPr="009F57B6" w:rsidRDefault="004454AE" w:rsidP="002A3BF4">
            <w:pPr>
              <w:pStyle w:val="COMTabletext"/>
              <w:keepNext w:val="0"/>
              <w:jc w:val="center"/>
            </w:pPr>
            <w:r w:rsidRPr="009F57B6">
              <w:t>0.684</w:t>
            </w:r>
          </w:p>
        </w:tc>
        <w:tc>
          <w:tcPr>
            <w:tcW w:w="764" w:type="pct"/>
            <w:shd w:val="clear" w:color="auto" w:fill="auto"/>
          </w:tcPr>
          <w:p w14:paraId="2A62BE31" w14:textId="3B58912B" w:rsidR="004454AE" w:rsidRPr="009F57B6" w:rsidRDefault="004454AE" w:rsidP="002A3BF4">
            <w:pPr>
              <w:pStyle w:val="COMTabletext"/>
              <w:keepNext w:val="0"/>
              <w:jc w:val="center"/>
              <w:rPr>
                <w:vertAlign w:val="superscript"/>
              </w:rPr>
            </w:pPr>
            <w:r w:rsidRPr="009F57B6">
              <w:t>$</w:t>
            </w:r>
            <w:r w:rsidR="003F51AF" w:rsidRPr="003F51AF">
              <w:rPr>
                <w:rFonts w:hint="eastAsia"/>
                <w:color w:val="000000"/>
                <w:w w:val="15"/>
                <w:shd w:val="solid" w:color="000000" w:fill="000000"/>
                <w:fitText w:val="40" w:id="-694959861"/>
                <w14:textFill>
                  <w14:solidFill>
                    <w14:srgbClr w14:val="000000">
                      <w14:alpha w14:val="100000"/>
                    </w14:srgbClr>
                  </w14:solidFill>
                </w14:textFill>
              </w:rPr>
              <w:t xml:space="preserve">　</w:t>
            </w:r>
            <w:proofErr w:type="gramStart"/>
            <w:r w:rsidR="003F51AF" w:rsidRPr="003F51AF">
              <w:rPr>
                <w:color w:val="000000"/>
                <w:w w:val="15"/>
                <w:shd w:val="solid" w:color="000000" w:fill="000000"/>
                <w:fitText w:val="40" w:id="-694959861"/>
                <w14:textFill>
                  <w14:solidFill>
                    <w14:srgbClr w14:val="000000">
                      <w14:alpha w14:val="100000"/>
                    </w14:srgbClr>
                  </w14:solidFill>
                </w14:textFill>
              </w:rPr>
              <w:t>|</w:t>
            </w:r>
            <w:r w:rsidR="003F51AF" w:rsidRPr="003F51AF">
              <w:rPr>
                <w:rFonts w:hint="eastAsia"/>
                <w:color w:val="000000"/>
                <w:spacing w:val="-25"/>
                <w:w w:val="15"/>
                <w:shd w:val="solid" w:color="000000" w:fill="000000"/>
                <w:fitText w:val="40" w:id="-694959861"/>
                <w14:textFill>
                  <w14:solidFill>
                    <w14:srgbClr w14:val="000000">
                      <w14:alpha w14:val="100000"/>
                    </w14:srgbClr>
                  </w14:solidFill>
                </w14:textFill>
              </w:rPr>
              <w:t xml:space="preserve">　</w:t>
            </w:r>
            <w:r w:rsidR="00105014" w:rsidRPr="009F57B6">
              <w:t xml:space="preserve"> </w:t>
            </w:r>
            <w:r w:rsidR="00105014" w:rsidRPr="009F57B6">
              <w:rPr>
                <w:vertAlign w:val="superscript"/>
              </w:rPr>
              <w:t>a</w:t>
            </w:r>
            <w:proofErr w:type="gramEnd"/>
            <w:r w:rsidR="00DE229C">
              <w:rPr>
                <w:b/>
                <w:bCs w:val="0"/>
              </w:rPr>
              <w:t xml:space="preserve"> </w:t>
            </w:r>
            <w:r w:rsidR="00DE229C">
              <w:rPr>
                <w:b/>
                <w:bCs w:val="0"/>
                <w:vertAlign w:val="superscript"/>
              </w:rPr>
              <w:t>2</w:t>
            </w:r>
          </w:p>
        </w:tc>
        <w:tc>
          <w:tcPr>
            <w:tcW w:w="667" w:type="pct"/>
            <w:shd w:val="clear" w:color="auto" w:fill="auto"/>
          </w:tcPr>
          <w:p w14:paraId="29271EEA" w14:textId="7945AFD3" w:rsidR="004454AE" w:rsidRPr="009F57B6" w:rsidRDefault="003F51AF" w:rsidP="002A3BF4">
            <w:pPr>
              <w:pStyle w:val="COMTabletext"/>
              <w:keepNext w:val="0"/>
              <w:jc w:val="center"/>
            </w:pPr>
            <w:r w:rsidRPr="003F51AF">
              <w:rPr>
                <w:rFonts w:hint="eastAsia"/>
                <w:color w:val="000000"/>
                <w:w w:val="15"/>
                <w:shd w:val="solid" w:color="000000" w:fill="000000"/>
                <w:fitText w:val="50" w:id="-694959860"/>
                <w14:textFill>
                  <w14:solidFill>
                    <w14:srgbClr w14:val="000000">
                      <w14:alpha w14:val="100000"/>
                    </w14:srgbClr>
                  </w14:solidFill>
                </w14:textFill>
              </w:rPr>
              <w:t xml:space="preserve">　</w:t>
            </w:r>
            <w:r w:rsidRPr="003F51AF">
              <w:rPr>
                <w:color w:val="000000"/>
                <w:w w:val="15"/>
                <w:shd w:val="solid" w:color="000000" w:fill="000000"/>
                <w:fitText w:val="50" w:id="-694959860"/>
                <w14:textFill>
                  <w14:solidFill>
                    <w14:srgbClr w14:val="000000">
                      <w14:alpha w14:val="100000"/>
                    </w14:srgbClr>
                  </w14:solidFill>
                </w14:textFill>
              </w:rPr>
              <w:t>|</w:t>
            </w:r>
            <w:r w:rsidRPr="003F51AF">
              <w:rPr>
                <w:rFonts w:hint="eastAsia"/>
                <w:color w:val="000000"/>
                <w:spacing w:val="-15"/>
                <w:w w:val="15"/>
                <w:shd w:val="solid" w:color="000000" w:fill="000000"/>
                <w:fitText w:val="50" w:id="-694959860"/>
                <w14:textFill>
                  <w14:solidFill>
                    <w14:srgbClr w14:val="000000">
                      <w14:alpha w14:val="100000"/>
                    </w14:srgbClr>
                  </w14:solidFill>
                </w14:textFill>
              </w:rPr>
              <w:t xml:space="preserve">　</w:t>
            </w:r>
            <w:r w:rsidR="004454AE" w:rsidRPr="009F57B6">
              <w:t>%</w:t>
            </w:r>
          </w:p>
        </w:tc>
      </w:tr>
      <w:tr w:rsidR="004454AE" w:rsidRPr="009F57B6" w14:paraId="281E713D" w14:textId="77777777" w:rsidTr="009F57B6">
        <w:tc>
          <w:tcPr>
            <w:tcW w:w="2148" w:type="pct"/>
            <w:shd w:val="clear" w:color="auto" w:fill="auto"/>
          </w:tcPr>
          <w:p w14:paraId="2A4AD0B9" w14:textId="454B4746" w:rsidR="004454AE" w:rsidRPr="009F57B6" w:rsidRDefault="00DA30D1" w:rsidP="002A3BF4">
            <w:pPr>
              <w:pStyle w:val="COMTabletext"/>
              <w:keepNext w:val="0"/>
            </w:pPr>
            <w:r w:rsidRPr="009F57B6">
              <w:t>Cd</w:t>
            </w:r>
            <w:r w:rsidR="004454AE" w:rsidRPr="009F57B6">
              <w:t xml:space="preserve"> hazard ratio = 1.000</w:t>
            </w:r>
          </w:p>
        </w:tc>
        <w:tc>
          <w:tcPr>
            <w:tcW w:w="710" w:type="pct"/>
            <w:shd w:val="clear" w:color="auto" w:fill="auto"/>
          </w:tcPr>
          <w:p w14:paraId="13360EE5" w14:textId="5C386090" w:rsidR="004454AE" w:rsidRPr="009F57B6" w:rsidRDefault="004454AE" w:rsidP="002A3BF4">
            <w:pPr>
              <w:pStyle w:val="COMTabletext"/>
              <w:keepNext w:val="0"/>
              <w:jc w:val="center"/>
            </w:pPr>
            <w:r w:rsidRPr="009F57B6">
              <w:t>$</w:t>
            </w:r>
            <w:r w:rsidR="003F51AF" w:rsidRPr="003F51AF">
              <w:rPr>
                <w:color w:val="000000"/>
                <w:shd w:val="solid" w:color="000000" w:fill="000000"/>
                <w14:textFill>
                  <w14:solidFill>
                    <w14:srgbClr w14:val="000000">
                      <w14:alpha w14:val="100000"/>
                    </w14:srgbClr>
                  </w14:solidFill>
                </w14:textFill>
              </w:rPr>
              <w:t>|</w:t>
            </w:r>
          </w:p>
        </w:tc>
        <w:tc>
          <w:tcPr>
            <w:tcW w:w="711" w:type="pct"/>
            <w:shd w:val="clear" w:color="auto" w:fill="auto"/>
          </w:tcPr>
          <w:p w14:paraId="1BE617D3" w14:textId="77777777" w:rsidR="004454AE" w:rsidRPr="009F57B6" w:rsidRDefault="004454AE" w:rsidP="002A3BF4">
            <w:pPr>
              <w:pStyle w:val="COMTabletext"/>
              <w:keepNext w:val="0"/>
              <w:jc w:val="center"/>
            </w:pPr>
            <w:r w:rsidRPr="009F57B6">
              <w:t>0.645</w:t>
            </w:r>
          </w:p>
        </w:tc>
        <w:tc>
          <w:tcPr>
            <w:tcW w:w="764" w:type="pct"/>
            <w:shd w:val="clear" w:color="auto" w:fill="auto"/>
          </w:tcPr>
          <w:p w14:paraId="652CA8B5" w14:textId="1B78F882" w:rsidR="004454AE" w:rsidRPr="009F57B6" w:rsidRDefault="004454AE" w:rsidP="002A3BF4">
            <w:pPr>
              <w:pStyle w:val="COMTabletext"/>
              <w:keepNext w:val="0"/>
              <w:jc w:val="center"/>
              <w:rPr>
                <w:vertAlign w:val="superscript"/>
              </w:rPr>
            </w:pPr>
            <w:r w:rsidRPr="009F57B6">
              <w:t>$</w:t>
            </w:r>
            <w:r w:rsidR="003F51AF" w:rsidRPr="003F51AF">
              <w:rPr>
                <w:rFonts w:hint="eastAsia"/>
                <w:color w:val="000000"/>
                <w:w w:val="15"/>
                <w:shd w:val="solid" w:color="000000" w:fill="000000"/>
                <w:fitText w:val="40" w:id="-694959859"/>
                <w14:textFill>
                  <w14:solidFill>
                    <w14:srgbClr w14:val="000000">
                      <w14:alpha w14:val="100000"/>
                    </w14:srgbClr>
                  </w14:solidFill>
                </w14:textFill>
              </w:rPr>
              <w:t xml:space="preserve">　</w:t>
            </w:r>
            <w:proofErr w:type="gramStart"/>
            <w:r w:rsidR="003F51AF" w:rsidRPr="003F51AF">
              <w:rPr>
                <w:color w:val="000000"/>
                <w:w w:val="15"/>
                <w:shd w:val="solid" w:color="000000" w:fill="000000"/>
                <w:fitText w:val="40" w:id="-694959859"/>
                <w14:textFill>
                  <w14:solidFill>
                    <w14:srgbClr w14:val="000000">
                      <w14:alpha w14:val="100000"/>
                    </w14:srgbClr>
                  </w14:solidFill>
                </w14:textFill>
              </w:rPr>
              <w:t>|</w:t>
            </w:r>
            <w:r w:rsidR="003F51AF" w:rsidRPr="003F51AF">
              <w:rPr>
                <w:rFonts w:hint="eastAsia"/>
                <w:color w:val="000000"/>
                <w:spacing w:val="-25"/>
                <w:w w:val="15"/>
                <w:shd w:val="solid" w:color="000000" w:fill="000000"/>
                <w:fitText w:val="40" w:id="-694959859"/>
                <w14:textFill>
                  <w14:solidFill>
                    <w14:srgbClr w14:val="000000">
                      <w14:alpha w14:val="100000"/>
                    </w14:srgbClr>
                  </w14:solidFill>
                </w14:textFill>
              </w:rPr>
              <w:t xml:space="preserve">　</w:t>
            </w:r>
            <w:r w:rsidR="00105014" w:rsidRPr="009F57B6">
              <w:t xml:space="preserve"> </w:t>
            </w:r>
            <w:r w:rsidR="00105014" w:rsidRPr="009F57B6">
              <w:rPr>
                <w:vertAlign w:val="superscript"/>
              </w:rPr>
              <w:t>a</w:t>
            </w:r>
            <w:proofErr w:type="gramEnd"/>
            <w:r w:rsidR="00DE229C">
              <w:rPr>
                <w:b/>
                <w:bCs w:val="0"/>
              </w:rPr>
              <w:t xml:space="preserve"> </w:t>
            </w:r>
            <w:r w:rsidR="00DE229C">
              <w:rPr>
                <w:b/>
                <w:bCs w:val="0"/>
                <w:vertAlign w:val="superscript"/>
              </w:rPr>
              <w:t>1</w:t>
            </w:r>
          </w:p>
        </w:tc>
        <w:tc>
          <w:tcPr>
            <w:tcW w:w="667" w:type="pct"/>
            <w:shd w:val="clear" w:color="auto" w:fill="auto"/>
          </w:tcPr>
          <w:p w14:paraId="7D510449" w14:textId="294270A4" w:rsidR="004454AE" w:rsidRPr="009F57B6" w:rsidRDefault="004454AE" w:rsidP="002A3BF4">
            <w:pPr>
              <w:pStyle w:val="COMTabletext"/>
              <w:keepNext w:val="0"/>
              <w:jc w:val="center"/>
            </w:pPr>
            <w:r w:rsidRPr="009F57B6">
              <w:t>-</w:t>
            </w:r>
            <w:r w:rsidR="003F51AF" w:rsidRPr="003F51AF">
              <w:rPr>
                <w:rFonts w:hint="eastAsia"/>
                <w:color w:val="000000"/>
                <w:w w:val="18"/>
                <w:shd w:val="solid" w:color="000000" w:fill="000000"/>
                <w:fitText w:val="80" w:id="-694959858"/>
                <w14:textFill>
                  <w14:solidFill>
                    <w14:srgbClr w14:val="000000">
                      <w14:alpha w14:val="100000"/>
                    </w14:srgbClr>
                  </w14:solidFill>
                </w14:textFill>
              </w:rPr>
              <w:t xml:space="preserve">　</w:t>
            </w:r>
            <w:r w:rsidR="003F51AF" w:rsidRPr="003F51AF">
              <w:rPr>
                <w:color w:val="000000"/>
                <w:w w:val="18"/>
                <w:shd w:val="solid" w:color="000000" w:fill="000000"/>
                <w:fitText w:val="80" w:id="-694959858"/>
                <w14:textFill>
                  <w14:solidFill>
                    <w14:srgbClr w14:val="000000">
                      <w14:alpha w14:val="100000"/>
                    </w14:srgbClr>
                  </w14:solidFill>
                </w14:textFill>
              </w:rPr>
              <w:t>|</w:t>
            </w:r>
            <w:r w:rsidR="003F51AF" w:rsidRPr="003F51AF">
              <w:rPr>
                <w:rFonts w:hint="eastAsia"/>
                <w:color w:val="000000"/>
                <w:w w:val="18"/>
                <w:shd w:val="solid" w:color="000000" w:fill="000000"/>
                <w:fitText w:val="80" w:id="-694959858"/>
                <w14:textFill>
                  <w14:solidFill>
                    <w14:srgbClr w14:val="000000">
                      <w14:alpha w14:val="100000"/>
                    </w14:srgbClr>
                  </w14:solidFill>
                </w14:textFill>
              </w:rPr>
              <w:t xml:space="preserve">　</w:t>
            </w:r>
            <w:r w:rsidRPr="005316F6">
              <w:t>%</w:t>
            </w:r>
          </w:p>
        </w:tc>
      </w:tr>
      <w:tr w:rsidR="004454AE" w:rsidRPr="009F57B6" w14:paraId="525A77CF" w14:textId="77777777" w:rsidTr="009F57B6">
        <w:tc>
          <w:tcPr>
            <w:tcW w:w="2148" w:type="pct"/>
            <w:shd w:val="clear" w:color="auto" w:fill="auto"/>
          </w:tcPr>
          <w:p w14:paraId="32EAE96F" w14:textId="606AACC9" w:rsidR="004454AE" w:rsidRPr="009F57B6" w:rsidRDefault="00DA30D1" w:rsidP="002A3BF4">
            <w:pPr>
              <w:pStyle w:val="COMTabletext"/>
              <w:keepNext w:val="0"/>
            </w:pPr>
            <w:r w:rsidRPr="009F57B6">
              <w:t>Cd</w:t>
            </w:r>
            <w:r w:rsidR="004454AE" w:rsidRPr="009F57B6">
              <w:t xml:space="preserve"> hazard ratio = 1.420</w:t>
            </w:r>
          </w:p>
        </w:tc>
        <w:tc>
          <w:tcPr>
            <w:tcW w:w="710" w:type="pct"/>
            <w:shd w:val="clear" w:color="auto" w:fill="auto"/>
          </w:tcPr>
          <w:p w14:paraId="790A0A9B" w14:textId="68117B0C" w:rsidR="004454AE" w:rsidRPr="009F57B6" w:rsidRDefault="004454AE" w:rsidP="002A3BF4">
            <w:pPr>
              <w:pStyle w:val="COMTabletext"/>
              <w:keepNext w:val="0"/>
              <w:jc w:val="center"/>
            </w:pPr>
            <w:r w:rsidRPr="009F57B6">
              <w:t>$</w:t>
            </w:r>
            <w:r w:rsidR="003F51AF" w:rsidRPr="003F51AF">
              <w:rPr>
                <w:color w:val="000000"/>
                <w:shd w:val="solid" w:color="000000" w:fill="000000"/>
                <w14:textFill>
                  <w14:solidFill>
                    <w14:srgbClr w14:val="000000">
                      <w14:alpha w14:val="100000"/>
                    </w14:srgbClr>
                  </w14:solidFill>
                </w14:textFill>
              </w:rPr>
              <w:t>|</w:t>
            </w:r>
          </w:p>
        </w:tc>
        <w:tc>
          <w:tcPr>
            <w:tcW w:w="711" w:type="pct"/>
            <w:shd w:val="clear" w:color="auto" w:fill="auto"/>
          </w:tcPr>
          <w:p w14:paraId="1145E0DC" w14:textId="77777777" w:rsidR="004454AE" w:rsidRPr="009F57B6" w:rsidRDefault="004454AE" w:rsidP="002A3BF4">
            <w:pPr>
              <w:pStyle w:val="COMTabletext"/>
              <w:keepNext w:val="0"/>
              <w:jc w:val="center"/>
            </w:pPr>
            <w:r w:rsidRPr="009F57B6">
              <w:t>0.645</w:t>
            </w:r>
          </w:p>
        </w:tc>
        <w:tc>
          <w:tcPr>
            <w:tcW w:w="764" w:type="pct"/>
            <w:shd w:val="clear" w:color="auto" w:fill="auto"/>
          </w:tcPr>
          <w:p w14:paraId="40D017D6" w14:textId="6E5518C4" w:rsidR="004454AE" w:rsidRPr="009F57B6" w:rsidRDefault="004454AE" w:rsidP="002A3BF4">
            <w:pPr>
              <w:pStyle w:val="COMTabletext"/>
              <w:keepNext w:val="0"/>
              <w:jc w:val="center"/>
              <w:rPr>
                <w:vertAlign w:val="superscript"/>
              </w:rPr>
            </w:pPr>
            <w:r w:rsidRPr="009F57B6">
              <w:t>$</w:t>
            </w:r>
            <w:r w:rsidR="003F51AF" w:rsidRPr="003F51AF">
              <w:rPr>
                <w:rFonts w:hint="eastAsia"/>
                <w:color w:val="000000"/>
                <w:w w:val="15"/>
                <w:shd w:val="solid" w:color="000000" w:fill="000000"/>
                <w:fitText w:val="40" w:id="-694959857"/>
                <w14:textFill>
                  <w14:solidFill>
                    <w14:srgbClr w14:val="000000">
                      <w14:alpha w14:val="100000"/>
                    </w14:srgbClr>
                  </w14:solidFill>
                </w14:textFill>
              </w:rPr>
              <w:t xml:space="preserve">　</w:t>
            </w:r>
            <w:proofErr w:type="gramStart"/>
            <w:r w:rsidR="003F51AF" w:rsidRPr="003F51AF">
              <w:rPr>
                <w:color w:val="000000"/>
                <w:w w:val="15"/>
                <w:shd w:val="solid" w:color="000000" w:fill="000000"/>
                <w:fitText w:val="40" w:id="-694959857"/>
                <w14:textFill>
                  <w14:solidFill>
                    <w14:srgbClr w14:val="000000">
                      <w14:alpha w14:val="100000"/>
                    </w14:srgbClr>
                  </w14:solidFill>
                </w14:textFill>
              </w:rPr>
              <w:t>|</w:t>
            </w:r>
            <w:r w:rsidR="003F51AF" w:rsidRPr="003F51AF">
              <w:rPr>
                <w:rFonts w:hint="eastAsia"/>
                <w:color w:val="000000"/>
                <w:spacing w:val="-25"/>
                <w:w w:val="15"/>
                <w:shd w:val="solid" w:color="000000" w:fill="000000"/>
                <w:fitText w:val="40" w:id="-694959857"/>
                <w14:textFill>
                  <w14:solidFill>
                    <w14:srgbClr w14:val="000000">
                      <w14:alpha w14:val="100000"/>
                    </w14:srgbClr>
                  </w14:solidFill>
                </w14:textFill>
              </w:rPr>
              <w:t xml:space="preserve">　</w:t>
            </w:r>
            <w:r w:rsidR="00105014" w:rsidRPr="009F57B6">
              <w:t xml:space="preserve"> </w:t>
            </w:r>
            <w:r w:rsidR="00105014" w:rsidRPr="009F57B6">
              <w:rPr>
                <w:vertAlign w:val="superscript"/>
              </w:rPr>
              <w:t>a</w:t>
            </w:r>
            <w:proofErr w:type="gramEnd"/>
            <w:r w:rsidR="00DE229C">
              <w:rPr>
                <w:b/>
                <w:bCs w:val="0"/>
              </w:rPr>
              <w:t xml:space="preserve"> </w:t>
            </w:r>
            <w:r w:rsidR="00DE229C">
              <w:rPr>
                <w:b/>
                <w:bCs w:val="0"/>
                <w:vertAlign w:val="superscript"/>
              </w:rPr>
              <w:t>1</w:t>
            </w:r>
          </w:p>
        </w:tc>
        <w:tc>
          <w:tcPr>
            <w:tcW w:w="667" w:type="pct"/>
            <w:shd w:val="clear" w:color="auto" w:fill="auto"/>
          </w:tcPr>
          <w:p w14:paraId="0A2F4443" w14:textId="6F53B106" w:rsidR="004454AE" w:rsidRPr="009F57B6" w:rsidRDefault="004454AE" w:rsidP="002A3BF4">
            <w:pPr>
              <w:pStyle w:val="COMTabletext"/>
              <w:keepNext w:val="0"/>
              <w:jc w:val="center"/>
            </w:pPr>
            <w:r w:rsidRPr="009F57B6">
              <w:t>-</w:t>
            </w:r>
            <w:r w:rsidR="003F51AF" w:rsidRPr="003F51AF">
              <w:rPr>
                <w:rFonts w:hint="eastAsia"/>
                <w:color w:val="000000"/>
                <w:w w:val="18"/>
                <w:shd w:val="solid" w:color="000000" w:fill="000000"/>
                <w:fitText w:val="80" w:id="-694959856"/>
                <w14:textFill>
                  <w14:solidFill>
                    <w14:srgbClr w14:val="000000">
                      <w14:alpha w14:val="100000"/>
                    </w14:srgbClr>
                  </w14:solidFill>
                </w14:textFill>
              </w:rPr>
              <w:t xml:space="preserve">　</w:t>
            </w:r>
            <w:r w:rsidR="003F51AF" w:rsidRPr="003F51AF">
              <w:rPr>
                <w:color w:val="000000"/>
                <w:w w:val="18"/>
                <w:shd w:val="solid" w:color="000000" w:fill="000000"/>
                <w:fitText w:val="80" w:id="-694959856"/>
                <w14:textFill>
                  <w14:solidFill>
                    <w14:srgbClr w14:val="000000">
                      <w14:alpha w14:val="100000"/>
                    </w14:srgbClr>
                  </w14:solidFill>
                </w14:textFill>
              </w:rPr>
              <w:t>|</w:t>
            </w:r>
            <w:r w:rsidR="003F51AF" w:rsidRPr="003F51AF">
              <w:rPr>
                <w:rFonts w:hint="eastAsia"/>
                <w:color w:val="000000"/>
                <w:w w:val="18"/>
                <w:shd w:val="solid" w:color="000000" w:fill="000000"/>
                <w:fitText w:val="80" w:id="-694959856"/>
                <w14:textFill>
                  <w14:solidFill>
                    <w14:srgbClr w14:val="000000">
                      <w14:alpha w14:val="100000"/>
                    </w14:srgbClr>
                  </w14:solidFill>
                </w14:textFill>
              </w:rPr>
              <w:t xml:space="preserve">　</w:t>
            </w:r>
            <w:r w:rsidRPr="005316F6">
              <w:t>%</w:t>
            </w:r>
          </w:p>
        </w:tc>
      </w:tr>
      <w:tr w:rsidR="004454AE" w:rsidRPr="009F57B6" w14:paraId="103EB6D9" w14:textId="77777777" w:rsidTr="009F57B6">
        <w:tc>
          <w:tcPr>
            <w:tcW w:w="5000" w:type="pct"/>
            <w:gridSpan w:val="5"/>
            <w:shd w:val="clear" w:color="auto" w:fill="auto"/>
          </w:tcPr>
          <w:p w14:paraId="3B2B894A" w14:textId="160704FB" w:rsidR="004454AE" w:rsidRPr="009F57B6" w:rsidRDefault="004454AE" w:rsidP="002A3BF4">
            <w:pPr>
              <w:pStyle w:val="COMTabletext"/>
              <w:rPr>
                <w:b/>
                <w:bCs w:val="0"/>
              </w:rPr>
            </w:pPr>
            <w:r w:rsidRPr="009F57B6">
              <w:rPr>
                <w:b/>
                <w:bCs w:val="0"/>
              </w:rPr>
              <w:t xml:space="preserve">Overall survival hazard ratio (base case: </w:t>
            </w:r>
            <w:r w:rsidR="00DA30D1" w:rsidRPr="009F57B6">
              <w:rPr>
                <w:b/>
                <w:bCs w:val="0"/>
              </w:rPr>
              <w:t>Cd</w:t>
            </w:r>
            <w:r w:rsidRPr="009F57B6">
              <w:rPr>
                <w:b/>
                <w:bCs w:val="0"/>
              </w:rPr>
              <w:t xml:space="preserve">: 0.673 (95% CI: 0.305, 1.484); </w:t>
            </w:r>
            <w:r w:rsidR="00DA30D1" w:rsidRPr="009F57B6">
              <w:rPr>
                <w:b/>
                <w:bCs w:val="0"/>
              </w:rPr>
              <w:t>Pd</w:t>
            </w:r>
            <w:r w:rsidRPr="009F57B6">
              <w:rPr>
                <w:b/>
                <w:bCs w:val="0"/>
              </w:rPr>
              <w:t xml:space="preserve">: 0.658 (95% CI: 0.456, 0.949); </w:t>
            </w:r>
            <w:r w:rsidR="00DA30D1" w:rsidRPr="009F57B6">
              <w:rPr>
                <w:b/>
                <w:bCs w:val="0"/>
              </w:rPr>
              <w:t>Sd</w:t>
            </w:r>
            <w:r w:rsidRPr="009F57B6">
              <w:rPr>
                <w:b/>
                <w:bCs w:val="0"/>
              </w:rPr>
              <w:t>: 0.563 (95% CI 0.348, 0.912))</w:t>
            </w:r>
          </w:p>
        </w:tc>
      </w:tr>
      <w:tr w:rsidR="004454AE" w:rsidRPr="009F57B6" w14:paraId="40ED59B4" w14:textId="77777777" w:rsidTr="009F57B6">
        <w:tc>
          <w:tcPr>
            <w:tcW w:w="2148" w:type="pct"/>
            <w:shd w:val="clear" w:color="auto" w:fill="auto"/>
          </w:tcPr>
          <w:p w14:paraId="50F969F0" w14:textId="1094FADA" w:rsidR="004454AE" w:rsidRPr="009F57B6" w:rsidRDefault="00DA30D1" w:rsidP="002A3BF4">
            <w:pPr>
              <w:pStyle w:val="COMTabletext"/>
              <w:keepNext w:val="0"/>
            </w:pPr>
            <w:r w:rsidRPr="009F57B6">
              <w:t>Cd</w:t>
            </w:r>
            <w:r w:rsidR="004454AE" w:rsidRPr="009F57B6">
              <w:t xml:space="preserve"> hazard ratio = 0.305</w:t>
            </w:r>
          </w:p>
        </w:tc>
        <w:tc>
          <w:tcPr>
            <w:tcW w:w="710" w:type="pct"/>
            <w:shd w:val="clear" w:color="auto" w:fill="auto"/>
          </w:tcPr>
          <w:p w14:paraId="0B62047E" w14:textId="442E37FA" w:rsidR="004454AE" w:rsidRPr="009F57B6" w:rsidRDefault="004454AE" w:rsidP="002A3BF4">
            <w:pPr>
              <w:pStyle w:val="COMTabletext"/>
              <w:keepNext w:val="0"/>
              <w:jc w:val="center"/>
            </w:pPr>
            <w:r w:rsidRPr="009F57B6">
              <w:t>$</w:t>
            </w:r>
            <w:r w:rsidR="003F51AF" w:rsidRPr="003F51AF">
              <w:rPr>
                <w:color w:val="000000"/>
                <w:shd w:val="solid" w:color="000000" w:fill="000000"/>
                <w14:textFill>
                  <w14:solidFill>
                    <w14:srgbClr w14:val="000000">
                      <w14:alpha w14:val="100000"/>
                    </w14:srgbClr>
                  </w14:solidFill>
                </w14:textFill>
              </w:rPr>
              <w:t>|</w:t>
            </w:r>
          </w:p>
        </w:tc>
        <w:tc>
          <w:tcPr>
            <w:tcW w:w="711" w:type="pct"/>
            <w:shd w:val="clear" w:color="auto" w:fill="auto"/>
          </w:tcPr>
          <w:p w14:paraId="4A530341" w14:textId="77777777" w:rsidR="004454AE" w:rsidRPr="009F57B6" w:rsidRDefault="004454AE" w:rsidP="002A3BF4">
            <w:pPr>
              <w:pStyle w:val="COMTabletext"/>
              <w:keepNext w:val="0"/>
              <w:jc w:val="center"/>
            </w:pPr>
            <w:r w:rsidRPr="009F57B6">
              <w:t>1.105</w:t>
            </w:r>
          </w:p>
        </w:tc>
        <w:tc>
          <w:tcPr>
            <w:tcW w:w="764" w:type="pct"/>
            <w:shd w:val="clear" w:color="auto" w:fill="auto"/>
          </w:tcPr>
          <w:p w14:paraId="6DB0B844" w14:textId="765E16FB" w:rsidR="004454AE" w:rsidRPr="009F57B6" w:rsidRDefault="004454AE" w:rsidP="002A3BF4">
            <w:pPr>
              <w:pStyle w:val="COMTabletext"/>
              <w:keepNext w:val="0"/>
              <w:jc w:val="center"/>
            </w:pPr>
            <w:r w:rsidRPr="009F57B6">
              <w:t>$</w:t>
            </w:r>
            <w:r w:rsidR="003F51AF" w:rsidRPr="003F51AF">
              <w:rPr>
                <w:color w:val="000000"/>
                <w:shd w:val="solid" w:color="000000" w:fill="000000"/>
                <w14:textFill>
                  <w14:solidFill>
                    <w14:srgbClr w14:val="000000">
                      <w14:alpha w14:val="100000"/>
                    </w14:srgbClr>
                  </w14:solidFill>
                </w14:textFill>
              </w:rPr>
              <w:t>|</w:t>
            </w:r>
            <w:r w:rsidR="00DE229C">
              <w:rPr>
                <w:b/>
                <w:bCs w:val="0"/>
              </w:rPr>
              <w:t xml:space="preserve"> </w:t>
            </w:r>
            <w:r w:rsidR="00DE229C">
              <w:rPr>
                <w:b/>
                <w:bCs w:val="0"/>
                <w:vertAlign w:val="superscript"/>
              </w:rPr>
              <w:t>1</w:t>
            </w:r>
          </w:p>
        </w:tc>
        <w:tc>
          <w:tcPr>
            <w:tcW w:w="667" w:type="pct"/>
            <w:shd w:val="clear" w:color="auto" w:fill="auto"/>
          </w:tcPr>
          <w:p w14:paraId="2F99F8DF" w14:textId="2F9F8049" w:rsidR="004454AE" w:rsidRPr="009F57B6" w:rsidRDefault="004454AE" w:rsidP="002A3BF4">
            <w:pPr>
              <w:pStyle w:val="COMTabletext"/>
              <w:keepNext w:val="0"/>
              <w:jc w:val="center"/>
            </w:pPr>
            <w:r w:rsidRPr="009F57B6">
              <w:t>-</w:t>
            </w:r>
            <w:r w:rsidR="003F51AF" w:rsidRPr="003F51AF">
              <w:rPr>
                <w:rFonts w:hint="eastAsia"/>
                <w:color w:val="000000"/>
                <w:w w:val="18"/>
                <w:shd w:val="solid" w:color="000000" w:fill="000000"/>
                <w:fitText w:val="80" w:id="-694959872"/>
                <w14:textFill>
                  <w14:solidFill>
                    <w14:srgbClr w14:val="000000">
                      <w14:alpha w14:val="100000"/>
                    </w14:srgbClr>
                  </w14:solidFill>
                </w14:textFill>
              </w:rPr>
              <w:t xml:space="preserve">　</w:t>
            </w:r>
            <w:r w:rsidR="003F51AF" w:rsidRPr="003F51AF">
              <w:rPr>
                <w:color w:val="000000"/>
                <w:w w:val="18"/>
                <w:shd w:val="solid" w:color="000000" w:fill="000000"/>
                <w:fitText w:val="80" w:id="-694959872"/>
                <w14:textFill>
                  <w14:solidFill>
                    <w14:srgbClr w14:val="000000">
                      <w14:alpha w14:val="100000"/>
                    </w14:srgbClr>
                  </w14:solidFill>
                </w14:textFill>
              </w:rPr>
              <w:t>|</w:t>
            </w:r>
            <w:r w:rsidR="003F51AF" w:rsidRPr="003F51AF">
              <w:rPr>
                <w:rFonts w:hint="eastAsia"/>
                <w:color w:val="000000"/>
                <w:w w:val="18"/>
                <w:shd w:val="solid" w:color="000000" w:fill="000000"/>
                <w:fitText w:val="80" w:id="-694959872"/>
                <w14:textFill>
                  <w14:solidFill>
                    <w14:srgbClr w14:val="000000">
                      <w14:alpha w14:val="100000"/>
                    </w14:srgbClr>
                  </w14:solidFill>
                </w14:textFill>
              </w:rPr>
              <w:t xml:space="preserve">　</w:t>
            </w:r>
            <w:r w:rsidRPr="009F57B6">
              <w:t>%</w:t>
            </w:r>
          </w:p>
        </w:tc>
      </w:tr>
      <w:tr w:rsidR="004454AE" w:rsidRPr="009F57B6" w14:paraId="13DF6D25" w14:textId="77777777" w:rsidTr="009F57B6">
        <w:tc>
          <w:tcPr>
            <w:tcW w:w="2148" w:type="pct"/>
            <w:shd w:val="clear" w:color="auto" w:fill="auto"/>
          </w:tcPr>
          <w:p w14:paraId="6C972E4C" w14:textId="78854090" w:rsidR="004454AE" w:rsidRPr="009F57B6" w:rsidRDefault="00DA30D1" w:rsidP="002A3BF4">
            <w:pPr>
              <w:pStyle w:val="COMTabletext"/>
              <w:keepNext w:val="0"/>
            </w:pPr>
            <w:r w:rsidRPr="009F57B6">
              <w:t>Cd</w:t>
            </w:r>
            <w:r w:rsidR="004454AE" w:rsidRPr="009F57B6">
              <w:t xml:space="preserve"> hazard ratio = 1.000</w:t>
            </w:r>
          </w:p>
        </w:tc>
        <w:tc>
          <w:tcPr>
            <w:tcW w:w="710" w:type="pct"/>
            <w:shd w:val="clear" w:color="auto" w:fill="auto"/>
          </w:tcPr>
          <w:p w14:paraId="7ED806A0" w14:textId="7510DCFD" w:rsidR="004454AE" w:rsidRPr="009F57B6" w:rsidRDefault="004454AE" w:rsidP="002A3BF4">
            <w:pPr>
              <w:pStyle w:val="COMTabletext"/>
              <w:keepNext w:val="0"/>
              <w:jc w:val="center"/>
            </w:pPr>
            <w:r w:rsidRPr="009F57B6">
              <w:t>$</w:t>
            </w:r>
            <w:r w:rsidR="003F51AF" w:rsidRPr="003F51AF">
              <w:rPr>
                <w:color w:val="000000"/>
                <w:shd w:val="solid" w:color="000000" w:fill="000000"/>
                <w14:textFill>
                  <w14:solidFill>
                    <w14:srgbClr w14:val="000000">
                      <w14:alpha w14:val="100000"/>
                    </w14:srgbClr>
                  </w14:solidFill>
                </w14:textFill>
              </w:rPr>
              <w:t>|</w:t>
            </w:r>
          </w:p>
        </w:tc>
        <w:tc>
          <w:tcPr>
            <w:tcW w:w="711" w:type="pct"/>
            <w:shd w:val="clear" w:color="auto" w:fill="auto"/>
          </w:tcPr>
          <w:p w14:paraId="4083336B" w14:textId="77777777" w:rsidR="004454AE" w:rsidRPr="009F57B6" w:rsidRDefault="004454AE" w:rsidP="002A3BF4">
            <w:pPr>
              <w:pStyle w:val="COMTabletext"/>
              <w:keepNext w:val="0"/>
              <w:jc w:val="center"/>
            </w:pPr>
            <w:r w:rsidRPr="009F57B6">
              <w:t>0.362</w:t>
            </w:r>
          </w:p>
        </w:tc>
        <w:tc>
          <w:tcPr>
            <w:tcW w:w="764" w:type="pct"/>
            <w:shd w:val="clear" w:color="auto" w:fill="auto"/>
          </w:tcPr>
          <w:p w14:paraId="04585D20" w14:textId="4DB7A84C" w:rsidR="004454AE" w:rsidRPr="009F57B6" w:rsidRDefault="004454AE" w:rsidP="002A3BF4">
            <w:pPr>
              <w:pStyle w:val="COMTabletext"/>
              <w:keepNext w:val="0"/>
              <w:jc w:val="center"/>
            </w:pPr>
            <w:r w:rsidRPr="009F57B6">
              <w:t>$</w:t>
            </w:r>
            <w:r w:rsidR="003F51AF" w:rsidRPr="003F51AF">
              <w:rPr>
                <w:color w:val="000000"/>
                <w:shd w:val="solid" w:color="000000" w:fill="000000"/>
                <w14:textFill>
                  <w14:solidFill>
                    <w14:srgbClr w14:val="000000">
                      <w14:alpha w14:val="100000"/>
                    </w14:srgbClr>
                  </w14:solidFill>
                </w14:textFill>
              </w:rPr>
              <w:t>|</w:t>
            </w:r>
            <w:r w:rsidR="00DE229C">
              <w:rPr>
                <w:b/>
                <w:bCs w:val="0"/>
              </w:rPr>
              <w:t xml:space="preserve"> </w:t>
            </w:r>
            <w:r w:rsidR="00DE229C">
              <w:rPr>
                <w:b/>
                <w:bCs w:val="0"/>
                <w:vertAlign w:val="superscript"/>
              </w:rPr>
              <w:t>5</w:t>
            </w:r>
          </w:p>
        </w:tc>
        <w:tc>
          <w:tcPr>
            <w:tcW w:w="667" w:type="pct"/>
            <w:shd w:val="clear" w:color="auto" w:fill="auto"/>
          </w:tcPr>
          <w:p w14:paraId="4CF95284" w14:textId="644D61EF" w:rsidR="004454AE" w:rsidRPr="009F57B6" w:rsidRDefault="003F51AF" w:rsidP="002A3BF4">
            <w:pPr>
              <w:pStyle w:val="COMTabletext"/>
              <w:keepNext w:val="0"/>
              <w:jc w:val="center"/>
            </w:pPr>
            <w:r w:rsidRPr="003F51AF">
              <w:rPr>
                <w:rFonts w:hint="eastAsia"/>
                <w:color w:val="000000"/>
                <w:w w:val="15"/>
                <w:shd w:val="solid" w:color="000000" w:fill="000000"/>
                <w:fitText w:val="50" w:id="-694959871"/>
                <w14:textFill>
                  <w14:solidFill>
                    <w14:srgbClr w14:val="000000">
                      <w14:alpha w14:val="100000"/>
                    </w14:srgbClr>
                  </w14:solidFill>
                </w14:textFill>
              </w:rPr>
              <w:t xml:space="preserve">　</w:t>
            </w:r>
            <w:r w:rsidRPr="003F51AF">
              <w:rPr>
                <w:color w:val="000000"/>
                <w:w w:val="15"/>
                <w:shd w:val="solid" w:color="000000" w:fill="000000"/>
                <w:fitText w:val="50" w:id="-694959871"/>
                <w14:textFill>
                  <w14:solidFill>
                    <w14:srgbClr w14:val="000000">
                      <w14:alpha w14:val="100000"/>
                    </w14:srgbClr>
                  </w14:solidFill>
                </w14:textFill>
              </w:rPr>
              <w:t>|</w:t>
            </w:r>
            <w:r w:rsidRPr="003F51AF">
              <w:rPr>
                <w:rFonts w:hint="eastAsia"/>
                <w:color w:val="000000"/>
                <w:spacing w:val="-15"/>
                <w:w w:val="15"/>
                <w:shd w:val="solid" w:color="000000" w:fill="000000"/>
                <w:fitText w:val="50" w:id="-694959871"/>
                <w14:textFill>
                  <w14:solidFill>
                    <w14:srgbClr w14:val="000000">
                      <w14:alpha w14:val="100000"/>
                    </w14:srgbClr>
                  </w14:solidFill>
                </w14:textFill>
              </w:rPr>
              <w:t xml:space="preserve">　</w:t>
            </w:r>
            <w:r w:rsidR="004454AE" w:rsidRPr="009F57B6">
              <w:t>%</w:t>
            </w:r>
          </w:p>
        </w:tc>
      </w:tr>
      <w:tr w:rsidR="004454AE" w:rsidRPr="009F57B6" w14:paraId="1372520E" w14:textId="77777777" w:rsidTr="009F57B6">
        <w:tc>
          <w:tcPr>
            <w:tcW w:w="2148" w:type="pct"/>
            <w:shd w:val="clear" w:color="auto" w:fill="auto"/>
          </w:tcPr>
          <w:p w14:paraId="7D6ADA16" w14:textId="66E5B617" w:rsidR="004454AE" w:rsidRPr="009F57B6" w:rsidRDefault="00DA30D1" w:rsidP="002A3BF4">
            <w:pPr>
              <w:pStyle w:val="COMTabletext"/>
              <w:keepNext w:val="0"/>
            </w:pPr>
            <w:r w:rsidRPr="009F57B6">
              <w:t>Cd</w:t>
            </w:r>
            <w:r w:rsidR="004454AE" w:rsidRPr="009F57B6">
              <w:t xml:space="preserve"> hazard ratio = 1.484</w:t>
            </w:r>
          </w:p>
        </w:tc>
        <w:tc>
          <w:tcPr>
            <w:tcW w:w="710" w:type="pct"/>
            <w:shd w:val="clear" w:color="auto" w:fill="auto"/>
          </w:tcPr>
          <w:p w14:paraId="073D804C" w14:textId="16037E06" w:rsidR="004454AE" w:rsidRPr="009F57B6" w:rsidRDefault="004454AE" w:rsidP="002A3BF4">
            <w:pPr>
              <w:pStyle w:val="COMTabletext"/>
              <w:keepNext w:val="0"/>
              <w:jc w:val="center"/>
            </w:pPr>
            <w:r w:rsidRPr="009F57B6">
              <w:t>$</w:t>
            </w:r>
            <w:r w:rsidR="003F51AF" w:rsidRPr="003F51AF">
              <w:rPr>
                <w:color w:val="000000"/>
                <w:shd w:val="solid" w:color="000000" w:fill="000000"/>
                <w14:textFill>
                  <w14:solidFill>
                    <w14:srgbClr w14:val="000000">
                      <w14:alpha w14:val="100000"/>
                    </w14:srgbClr>
                  </w14:solidFill>
                </w14:textFill>
              </w:rPr>
              <w:t>|</w:t>
            </w:r>
          </w:p>
        </w:tc>
        <w:tc>
          <w:tcPr>
            <w:tcW w:w="711" w:type="pct"/>
            <w:shd w:val="clear" w:color="auto" w:fill="auto"/>
          </w:tcPr>
          <w:p w14:paraId="5D6F924A" w14:textId="77777777" w:rsidR="004454AE" w:rsidRPr="009F57B6" w:rsidRDefault="004454AE" w:rsidP="002A3BF4">
            <w:pPr>
              <w:pStyle w:val="COMTabletext"/>
              <w:keepNext w:val="0"/>
              <w:jc w:val="center"/>
            </w:pPr>
            <w:r w:rsidRPr="009F57B6">
              <w:t>0.074</w:t>
            </w:r>
          </w:p>
        </w:tc>
        <w:tc>
          <w:tcPr>
            <w:tcW w:w="764" w:type="pct"/>
            <w:shd w:val="clear" w:color="auto" w:fill="auto"/>
          </w:tcPr>
          <w:p w14:paraId="1C4C00F2" w14:textId="1DE34952" w:rsidR="004454AE" w:rsidRPr="009F57B6" w:rsidRDefault="004454AE" w:rsidP="002A3BF4">
            <w:pPr>
              <w:pStyle w:val="COMTabletext"/>
              <w:keepNext w:val="0"/>
              <w:jc w:val="center"/>
            </w:pPr>
            <w:r w:rsidRPr="009F57B6">
              <w:t>$</w:t>
            </w:r>
            <w:r w:rsidR="003F51AF" w:rsidRPr="003F51AF">
              <w:rPr>
                <w:color w:val="000000"/>
                <w:shd w:val="solid" w:color="000000" w:fill="000000"/>
                <w14:textFill>
                  <w14:solidFill>
                    <w14:srgbClr w14:val="000000">
                      <w14:alpha w14:val="100000"/>
                    </w14:srgbClr>
                  </w14:solidFill>
                </w14:textFill>
              </w:rPr>
              <w:t>|</w:t>
            </w:r>
            <w:r w:rsidR="00DE229C">
              <w:rPr>
                <w:b/>
                <w:bCs w:val="0"/>
              </w:rPr>
              <w:t xml:space="preserve"> </w:t>
            </w:r>
            <w:r w:rsidR="00DE229C">
              <w:rPr>
                <w:b/>
                <w:bCs w:val="0"/>
                <w:vertAlign w:val="superscript"/>
              </w:rPr>
              <w:t>6</w:t>
            </w:r>
          </w:p>
        </w:tc>
        <w:tc>
          <w:tcPr>
            <w:tcW w:w="667" w:type="pct"/>
            <w:shd w:val="clear" w:color="auto" w:fill="auto"/>
          </w:tcPr>
          <w:p w14:paraId="2ACCF225" w14:textId="1C55DFC4" w:rsidR="004454AE" w:rsidRPr="009F57B6" w:rsidRDefault="003F51AF" w:rsidP="002A3BF4">
            <w:pPr>
              <w:pStyle w:val="COMTabletext"/>
              <w:keepNext w:val="0"/>
              <w:jc w:val="center"/>
            </w:pPr>
            <w:r w:rsidRPr="003F51AF">
              <w:rPr>
                <w:rFonts w:hint="eastAsia"/>
                <w:color w:val="000000"/>
                <w:w w:val="15"/>
                <w:shd w:val="solid" w:color="000000" w:fill="000000"/>
                <w:fitText w:val="50" w:id="-694959870"/>
                <w14:textFill>
                  <w14:solidFill>
                    <w14:srgbClr w14:val="000000">
                      <w14:alpha w14:val="100000"/>
                    </w14:srgbClr>
                  </w14:solidFill>
                </w14:textFill>
              </w:rPr>
              <w:t xml:space="preserve">　</w:t>
            </w:r>
            <w:r w:rsidRPr="003F51AF">
              <w:rPr>
                <w:color w:val="000000"/>
                <w:w w:val="15"/>
                <w:shd w:val="solid" w:color="000000" w:fill="000000"/>
                <w:fitText w:val="50" w:id="-694959870"/>
                <w14:textFill>
                  <w14:solidFill>
                    <w14:srgbClr w14:val="000000">
                      <w14:alpha w14:val="100000"/>
                    </w14:srgbClr>
                  </w14:solidFill>
                </w14:textFill>
              </w:rPr>
              <w:t>|</w:t>
            </w:r>
            <w:r w:rsidRPr="003F51AF">
              <w:rPr>
                <w:rFonts w:hint="eastAsia"/>
                <w:color w:val="000000"/>
                <w:spacing w:val="-15"/>
                <w:w w:val="15"/>
                <w:shd w:val="solid" w:color="000000" w:fill="000000"/>
                <w:fitText w:val="50" w:id="-694959870"/>
                <w14:textFill>
                  <w14:solidFill>
                    <w14:srgbClr w14:val="000000">
                      <w14:alpha w14:val="100000"/>
                    </w14:srgbClr>
                  </w14:solidFill>
                </w14:textFill>
              </w:rPr>
              <w:t xml:space="preserve">　</w:t>
            </w:r>
            <w:r w:rsidR="004454AE" w:rsidRPr="009F57B6">
              <w:t>%</w:t>
            </w:r>
          </w:p>
        </w:tc>
      </w:tr>
      <w:tr w:rsidR="004454AE" w:rsidRPr="006E0FA2" w14:paraId="297B4E35" w14:textId="77777777" w:rsidTr="002A3BF4">
        <w:tc>
          <w:tcPr>
            <w:tcW w:w="5000" w:type="pct"/>
            <w:gridSpan w:val="5"/>
          </w:tcPr>
          <w:p w14:paraId="001E67A8" w14:textId="77777777" w:rsidR="004454AE" w:rsidRPr="0035502F" w:rsidRDefault="004454AE" w:rsidP="002A3BF4">
            <w:pPr>
              <w:pStyle w:val="COMTabletext"/>
              <w:keepNext w:val="0"/>
              <w:rPr>
                <w:b/>
                <w:bCs w:val="0"/>
              </w:rPr>
            </w:pPr>
            <w:r w:rsidRPr="009F57B6">
              <w:rPr>
                <w:b/>
                <w:bCs w:val="0"/>
              </w:rPr>
              <w:t>Treatment adherence – elranatamab (base case: 79%)</w:t>
            </w:r>
          </w:p>
        </w:tc>
      </w:tr>
      <w:tr w:rsidR="004454AE" w:rsidRPr="006E0FA2" w14:paraId="0399E48E" w14:textId="77777777" w:rsidTr="00A37B65">
        <w:tc>
          <w:tcPr>
            <w:tcW w:w="2148" w:type="pct"/>
          </w:tcPr>
          <w:p w14:paraId="7A74073E" w14:textId="77777777" w:rsidR="004454AE" w:rsidRPr="0035502F" w:rsidRDefault="004454AE" w:rsidP="002A3BF4">
            <w:pPr>
              <w:pStyle w:val="COMTabletext"/>
              <w:keepNext w:val="0"/>
            </w:pPr>
            <w:r w:rsidRPr="0035502F">
              <w:t>Decrease by 5% (74%)</w:t>
            </w:r>
          </w:p>
        </w:tc>
        <w:tc>
          <w:tcPr>
            <w:tcW w:w="710" w:type="pct"/>
          </w:tcPr>
          <w:p w14:paraId="5046C265" w14:textId="127C9408" w:rsidR="004454AE" w:rsidRPr="0035502F" w:rsidRDefault="004454AE" w:rsidP="002A3BF4">
            <w:pPr>
              <w:pStyle w:val="COMTabletext"/>
              <w:keepNext w:val="0"/>
              <w:jc w:val="center"/>
            </w:pPr>
            <w:r w:rsidRPr="0035502F">
              <w:t>$</w:t>
            </w:r>
            <w:r w:rsidR="003F51AF" w:rsidRPr="003F51AF">
              <w:rPr>
                <w:color w:val="000000"/>
                <w:shd w:val="solid" w:color="000000" w:fill="000000"/>
                <w14:textFill>
                  <w14:solidFill>
                    <w14:srgbClr w14:val="000000">
                      <w14:alpha w14:val="100000"/>
                    </w14:srgbClr>
                  </w14:solidFill>
                </w14:textFill>
              </w:rPr>
              <w:t>|</w:t>
            </w:r>
          </w:p>
        </w:tc>
        <w:tc>
          <w:tcPr>
            <w:tcW w:w="711" w:type="pct"/>
          </w:tcPr>
          <w:p w14:paraId="459C73AF" w14:textId="77777777" w:rsidR="004454AE" w:rsidRPr="0035502F" w:rsidRDefault="004454AE" w:rsidP="002A3BF4">
            <w:pPr>
              <w:pStyle w:val="COMTabletext"/>
              <w:keepNext w:val="0"/>
              <w:jc w:val="center"/>
            </w:pPr>
            <w:r w:rsidRPr="0035502F">
              <w:t>0.651</w:t>
            </w:r>
          </w:p>
        </w:tc>
        <w:tc>
          <w:tcPr>
            <w:tcW w:w="764" w:type="pct"/>
          </w:tcPr>
          <w:p w14:paraId="1E0ED5FF" w14:textId="222174D6" w:rsidR="004454AE" w:rsidRPr="0035502F" w:rsidRDefault="004454AE" w:rsidP="002A3BF4">
            <w:pPr>
              <w:pStyle w:val="COMTabletext"/>
              <w:keepNext w:val="0"/>
              <w:jc w:val="center"/>
            </w:pPr>
            <w:r w:rsidRPr="0035502F">
              <w:t>$</w:t>
            </w:r>
            <w:r w:rsidR="003F51AF" w:rsidRPr="003F51AF">
              <w:rPr>
                <w:color w:val="000000"/>
                <w:shd w:val="solid" w:color="000000" w:fill="000000"/>
                <w14:textFill>
                  <w14:solidFill>
                    <w14:srgbClr w14:val="000000">
                      <w14:alpha w14:val="100000"/>
                    </w14:srgbClr>
                  </w14:solidFill>
                </w14:textFill>
              </w:rPr>
              <w:t>|</w:t>
            </w:r>
            <w:r w:rsidR="00DE229C">
              <w:rPr>
                <w:b/>
                <w:bCs w:val="0"/>
              </w:rPr>
              <w:t xml:space="preserve"> </w:t>
            </w:r>
            <w:r w:rsidR="00DE229C">
              <w:rPr>
                <w:b/>
                <w:bCs w:val="0"/>
                <w:vertAlign w:val="superscript"/>
              </w:rPr>
              <w:t>1</w:t>
            </w:r>
          </w:p>
        </w:tc>
        <w:tc>
          <w:tcPr>
            <w:tcW w:w="667" w:type="pct"/>
          </w:tcPr>
          <w:p w14:paraId="3A344DD0" w14:textId="18A752F8" w:rsidR="004454AE" w:rsidRPr="0035502F" w:rsidRDefault="004454AE" w:rsidP="002A3BF4">
            <w:pPr>
              <w:pStyle w:val="COMTabletext"/>
              <w:keepNext w:val="0"/>
              <w:jc w:val="center"/>
            </w:pPr>
            <w:r w:rsidRPr="0035502F">
              <w:t>-</w:t>
            </w:r>
            <w:r w:rsidR="003F51AF" w:rsidRPr="003F51AF">
              <w:rPr>
                <w:rFonts w:hint="eastAsia"/>
                <w:color w:val="000000"/>
                <w:w w:val="18"/>
                <w:shd w:val="solid" w:color="000000" w:fill="000000"/>
                <w:fitText w:val="80" w:id="-694959869"/>
                <w14:textFill>
                  <w14:solidFill>
                    <w14:srgbClr w14:val="000000">
                      <w14:alpha w14:val="100000"/>
                    </w14:srgbClr>
                  </w14:solidFill>
                </w14:textFill>
              </w:rPr>
              <w:t xml:space="preserve">　</w:t>
            </w:r>
            <w:r w:rsidR="003F51AF" w:rsidRPr="003F51AF">
              <w:rPr>
                <w:color w:val="000000"/>
                <w:w w:val="18"/>
                <w:shd w:val="solid" w:color="000000" w:fill="000000"/>
                <w:fitText w:val="80" w:id="-694959869"/>
                <w14:textFill>
                  <w14:solidFill>
                    <w14:srgbClr w14:val="000000">
                      <w14:alpha w14:val="100000"/>
                    </w14:srgbClr>
                  </w14:solidFill>
                </w14:textFill>
              </w:rPr>
              <w:t>|</w:t>
            </w:r>
            <w:r w:rsidR="003F51AF" w:rsidRPr="003F51AF">
              <w:rPr>
                <w:rFonts w:hint="eastAsia"/>
                <w:color w:val="000000"/>
                <w:w w:val="18"/>
                <w:shd w:val="solid" w:color="000000" w:fill="000000"/>
                <w:fitText w:val="80" w:id="-694959869"/>
                <w14:textFill>
                  <w14:solidFill>
                    <w14:srgbClr w14:val="000000">
                      <w14:alpha w14:val="100000"/>
                    </w14:srgbClr>
                  </w14:solidFill>
                </w14:textFill>
              </w:rPr>
              <w:t xml:space="preserve">　</w:t>
            </w:r>
            <w:r w:rsidRPr="0035502F">
              <w:t>%</w:t>
            </w:r>
          </w:p>
        </w:tc>
      </w:tr>
      <w:tr w:rsidR="004454AE" w:rsidRPr="006E0FA2" w14:paraId="051C9B05" w14:textId="77777777" w:rsidTr="00A37B65">
        <w:tc>
          <w:tcPr>
            <w:tcW w:w="2148" w:type="pct"/>
          </w:tcPr>
          <w:p w14:paraId="41E1D3B5" w14:textId="77777777" w:rsidR="004454AE" w:rsidRPr="0035502F" w:rsidRDefault="004454AE" w:rsidP="002A3BF4">
            <w:pPr>
              <w:pStyle w:val="COMTabletext"/>
              <w:keepNext w:val="0"/>
            </w:pPr>
            <w:r w:rsidRPr="0035502F">
              <w:t>Increase by 5% (84%)</w:t>
            </w:r>
          </w:p>
        </w:tc>
        <w:tc>
          <w:tcPr>
            <w:tcW w:w="710" w:type="pct"/>
          </w:tcPr>
          <w:p w14:paraId="0F83A278" w14:textId="1EB33076" w:rsidR="004454AE" w:rsidRPr="0035502F" w:rsidRDefault="004454AE" w:rsidP="002A3BF4">
            <w:pPr>
              <w:pStyle w:val="COMTabletext"/>
              <w:keepNext w:val="0"/>
              <w:jc w:val="center"/>
            </w:pPr>
            <w:r w:rsidRPr="0035502F">
              <w:t>$</w:t>
            </w:r>
            <w:r w:rsidR="003F51AF" w:rsidRPr="003F51AF">
              <w:rPr>
                <w:color w:val="000000"/>
                <w:shd w:val="solid" w:color="000000" w:fill="000000"/>
                <w14:textFill>
                  <w14:solidFill>
                    <w14:srgbClr w14:val="000000">
                      <w14:alpha w14:val="100000"/>
                    </w14:srgbClr>
                  </w14:solidFill>
                </w14:textFill>
              </w:rPr>
              <w:t>|</w:t>
            </w:r>
          </w:p>
        </w:tc>
        <w:tc>
          <w:tcPr>
            <w:tcW w:w="711" w:type="pct"/>
          </w:tcPr>
          <w:p w14:paraId="47FC95A8" w14:textId="77777777" w:rsidR="004454AE" w:rsidRPr="0035502F" w:rsidRDefault="004454AE" w:rsidP="002A3BF4">
            <w:pPr>
              <w:pStyle w:val="COMTabletext"/>
              <w:keepNext w:val="0"/>
              <w:jc w:val="center"/>
            </w:pPr>
            <w:r w:rsidRPr="0035502F">
              <w:t>0.651</w:t>
            </w:r>
          </w:p>
        </w:tc>
        <w:tc>
          <w:tcPr>
            <w:tcW w:w="764" w:type="pct"/>
          </w:tcPr>
          <w:p w14:paraId="4006337C" w14:textId="1C6DD55B" w:rsidR="004454AE" w:rsidRPr="0035502F" w:rsidRDefault="004454AE" w:rsidP="002A3BF4">
            <w:pPr>
              <w:pStyle w:val="COMTabletext"/>
              <w:keepNext w:val="0"/>
              <w:jc w:val="center"/>
            </w:pPr>
            <w:r w:rsidRPr="0035502F">
              <w:t>$</w:t>
            </w:r>
            <w:r w:rsidR="003F51AF" w:rsidRPr="003F51AF">
              <w:rPr>
                <w:color w:val="000000"/>
                <w:shd w:val="solid" w:color="000000" w:fill="000000"/>
                <w14:textFill>
                  <w14:solidFill>
                    <w14:srgbClr w14:val="000000">
                      <w14:alpha w14:val="100000"/>
                    </w14:srgbClr>
                  </w14:solidFill>
                </w14:textFill>
              </w:rPr>
              <w:t>|</w:t>
            </w:r>
            <w:r w:rsidR="00DE229C">
              <w:rPr>
                <w:b/>
                <w:bCs w:val="0"/>
              </w:rPr>
              <w:t xml:space="preserve"> </w:t>
            </w:r>
            <w:r w:rsidR="00DE229C">
              <w:rPr>
                <w:b/>
                <w:bCs w:val="0"/>
                <w:vertAlign w:val="superscript"/>
              </w:rPr>
              <w:t>2</w:t>
            </w:r>
          </w:p>
        </w:tc>
        <w:tc>
          <w:tcPr>
            <w:tcW w:w="667" w:type="pct"/>
          </w:tcPr>
          <w:p w14:paraId="48F1F3A3" w14:textId="2E0461CB" w:rsidR="004454AE" w:rsidRPr="0035502F" w:rsidRDefault="003F51AF" w:rsidP="002A3BF4">
            <w:pPr>
              <w:pStyle w:val="COMTabletext"/>
              <w:keepNext w:val="0"/>
              <w:jc w:val="center"/>
            </w:pPr>
            <w:r w:rsidRPr="003F51AF">
              <w:rPr>
                <w:rFonts w:hint="eastAsia"/>
                <w:color w:val="000000"/>
                <w:w w:val="15"/>
                <w:shd w:val="solid" w:color="000000" w:fill="000000"/>
                <w:fitText w:val="50" w:id="-694959868"/>
                <w14:textFill>
                  <w14:solidFill>
                    <w14:srgbClr w14:val="000000">
                      <w14:alpha w14:val="100000"/>
                    </w14:srgbClr>
                  </w14:solidFill>
                </w14:textFill>
              </w:rPr>
              <w:t xml:space="preserve">　</w:t>
            </w:r>
            <w:r w:rsidRPr="003F51AF">
              <w:rPr>
                <w:color w:val="000000"/>
                <w:w w:val="15"/>
                <w:shd w:val="solid" w:color="000000" w:fill="000000"/>
                <w:fitText w:val="50" w:id="-694959868"/>
                <w14:textFill>
                  <w14:solidFill>
                    <w14:srgbClr w14:val="000000">
                      <w14:alpha w14:val="100000"/>
                    </w14:srgbClr>
                  </w14:solidFill>
                </w14:textFill>
              </w:rPr>
              <w:t>|</w:t>
            </w:r>
            <w:r w:rsidRPr="003F51AF">
              <w:rPr>
                <w:rFonts w:hint="eastAsia"/>
                <w:color w:val="000000"/>
                <w:spacing w:val="-15"/>
                <w:w w:val="15"/>
                <w:shd w:val="solid" w:color="000000" w:fill="000000"/>
                <w:fitText w:val="50" w:id="-694959868"/>
                <w14:textFill>
                  <w14:solidFill>
                    <w14:srgbClr w14:val="000000">
                      <w14:alpha w14:val="100000"/>
                    </w14:srgbClr>
                  </w14:solidFill>
                </w14:textFill>
              </w:rPr>
              <w:t xml:space="preserve">　</w:t>
            </w:r>
            <w:r w:rsidR="004454AE" w:rsidRPr="0035502F">
              <w:t>%</w:t>
            </w:r>
          </w:p>
        </w:tc>
      </w:tr>
      <w:tr w:rsidR="004454AE" w:rsidRPr="006E0FA2" w14:paraId="3627FAF4" w14:textId="77777777" w:rsidTr="002A3BF4">
        <w:tc>
          <w:tcPr>
            <w:tcW w:w="5000" w:type="pct"/>
            <w:gridSpan w:val="5"/>
          </w:tcPr>
          <w:p w14:paraId="3573CA63" w14:textId="77777777" w:rsidR="004454AE" w:rsidRPr="0035502F" w:rsidRDefault="004454AE" w:rsidP="002A3BF4">
            <w:pPr>
              <w:pStyle w:val="COMTabletext"/>
              <w:keepNext w:val="0"/>
              <w:rPr>
                <w:b/>
                <w:bCs w:val="0"/>
              </w:rPr>
            </w:pPr>
            <w:r w:rsidRPr="0035502F">
              <w:rPr>
                <w:b/>
                <w:bCs w:val="0"/>
              </w:rPr>
              <w:t>Treatment adherence – standard of care (base case: carfilzomib weekly 87%, twice weekly 93%; pomalidomide 90%; selinexor 72%)</w:t>
            </w:r>
          </w:p>
        </w:tc>
      </w:tr>
      <w:tr w:rsidR="004454AE" w:rsidRPr="006E0FA2" w14:paraId="48813641" w14:textId="77777777" w:rsidTr="00A37B65">
        <w:tc>
          <w:tcPr>
            <w:tcW w:w="2148" w:type="pct"/>
          </w:tcPr>
          <w:p w14:paraId="36D324F4" w14:textId="77777777" w:rsidR="004454AE" w:rsidRPr="0035502F" w:rsidRDefault="004454AE" w:rsidP="002A3BF4">
            <w:pPr>
              <w:pStyle w:val="COMTabletext"/>
              <w:keepNext w:val="0"/>
            </w:pPr>
            <w:r w:rsidRPr="0035502F">
              <w:t>79% for all standard of care (same as elranatamab)</w:t>
            </w:r>
          </w:p>
        </w:tc>
        <w:tc>
          <w:tcPr>
            <w:tcW w:w="710" w:type="pct"/>
          </w:tcPr>
          <w:p w14:paraId="5D3D74F6" w14:textId="76767479" w:rsidR="004454AE" w:rsidRPr="0035502F" w:rsidRDefault="004454AE" w:rsidP="002A3BF4">
            <w:pPr>
              <w:pStyle w:val="COMTabletext"/>
              <w:keepNext w:val="0"/>
              <w:jc w:val="center"/>
            </w:pPr>
            <w:r w:rsidRPr="0035502F">
              <w:t>$</w:t>
            </w:r>
            <w:r w:rsidR="003F51AF" w:rsidRPr="003F51AF">
              <w:rPr>
                <w:color w:val="000000"/>
                <w:shd w:val="solid" w:color="000000" w:fill="000000"/>
                <w14:textFill>
                  <w14:solidFill>
                    <w14:srgbClr w14:val="000000">
                      <w14:alpha w14:val="100000"/>
                    </w14:srgbClr>
                  </w14:solidFill>
                </w14:textFill>
              </w:rPr>
              <w:t>|</w:t>
            </w:r>
          </w:p>
        </w:tc>
        <w:tc>
          <w:tcPr>
            <w:tcW w:w="711" w:type="pct"/>
          </w:tcPr>
          <w:p w14:paraId="19BCF6C8" w14:textId="77777777" w:rsidR="004454AE" w:rsidRPr="0035502F" w:rsidRDefault="004454AE" w:rsidP="002A3BF4">
            <w:pPr>
              <w:pStyle w:val="COMTabletext"/>
              <w:keepNext w:val="0"/>
              <w:jc w:val="center"/>
            </w:pPr>
            <w:r w:rsidRPr="0035502F">
              <w:t>0.651</w:t>
            </w:r>
          </w:p>
        </w:tc>
        <w:tc>
          <w:tcPr>
            <w:tcW w:w="764" w:type="pct"/>
          </w:tcPr>
          <w:p w14:paraId="01542257" w14:textId="482AF484" w:rsidR="004454AE" w:rsidRPr="0035502F" w:rsidRDefault="004454AE" w:rsidP="002A3BF4">
            <w:pPr>
              <w:pStyle w:val="COMTabletext"/>
              <w:keepNext w:val="0"/>
              <w:jc w:val="center"/>
            </w:pPr>
            <w:r w:rsidRPr="0035502F">
              <w:t>$</w:t>
            </w:r>
            <w:r w:rsidR="003F51AF" w:rsidRPr="003F51AF">
              <w:rPr>
                <w:color w:val="000000"/>
                <w:shd w:val="solid" w:color="000000" w:fill="000000"/>
                <w14:textFill>
                  <w14:solidFill>
                    <w14:srgbClr w14:val="000000">
                      <w14:alpha w14:val="100000"/>
                    </w14:srgbClr>
                  </w14:solidFill>
                </w14:textFill>
              </w:rPr>
              <w:t>|</w:t>
            </w:r>
            <w:r w:rsidR="00DE229C">
              <w:rPr>
                <w:b/>
                <w:bCs w:val="0"/>
              </w:rPr>
              <w:t xml:space="preserve"> </w:t>
            </w:r>
            <w:r w:rsidR="00DE229C">
              <w:rPr>
                <w:b/>
                <w:bCs w:val="0"/>
                <w:vertAlign w:val="superscript"/>
              </w:rPr>
              <w:t>2</w:t>
            </w:r>
          </w:p>
        </w:tc>
        <w:tc>
          <w:tcPr>
            <w:tcW w:w="667" w:type="pct"/>
          </w:tcPr>
          <w:p w14:paraId="13B60241" w14:textId="4BC45CC3" w:rsidR="004454AE" w:rsidRPr="0035502F" w:rsidRDefault="003F51AF" w:rsidP="002A3BF4">
            <w:pPr>
              <w:pStyle w:val="COMTabletext"/>
              <w:keepNext w:val="0"/>
              <w:jc w:val="center"/>
            </w:pPr>
            <w:r w:rsidRPr="003F51AF">
              <w:rPr>
                <w:rFonts w:hint="eastAsia"/>
                <w:color w:val="000000"/>
                <w:w w:val="15"/>
                <w:shd w:val="solid" w:color="000000" w:fill="000000"/>
                <w:fitText w:val="50" w:id="-694959867"/>
                <w14:textFill>
                  <w14:solidFill>
                    <w14:srgbClr w14:val="000000">
                      <w14:alpha w14:val="100000"/>
                    </w14:srgbClr>
                  </w14:solidFill>
                </w14:textFill>
              </w:rPr>
              <w:t xml:space="preserve">　</w:t>
            </w:r>
            <w:r w:rsidRPr="003F51AF">
              <w:rPr>
                <w:color w:val="000000"/>
                <w:w w:val="15"/>
                <w:shd w:val="solid" w:color="000000" w:fill="000000"/>
                <w:fitText w:val="50" w:id="-694959867"/>
                <w14:textFill>
                  <w14:solidFill>
                    <w14:srgbClr w14:val="000000">
                      <w14:alpha w14:val="100000"/>
                    </w14:srgbClr>
                  </w14:solidFill>
                </w14:textFill>
              </w:rPr>
              <w:t>|</w:t>
            </w:r>
            <w:r w:rsidRPr="003F51AF">
              <w:rPr>
                <w:rFonts w:hint="eastAsia"/>
                <w:color w:val="000000"/>
                <w:spacing w:val="-15"/>
                <w:w w:val="15"/>
                <w:shd w:val="solid" w:color="000000" w:fill="000000"/>
                <w:fitText w:val="50" w:id="-694959867"/>
                <w14:textFill>
                  <w14:solidFill>
                    <w14:srgbClr w14:val="000000">
                      <w14:alpha w14:val="100000"/>
                    </w14:srgbClr>
                  </w14:solidFill>
                </w14:textFill>
              </w:rPr>
              <w:t xml:space="preserve">　</w:t>
            </w:r>
            <w:r w:rsidR="004454AE" w:rsidRPr="0035502F">
              <w:t>%</w:t>
            </w:r>
          </w:p>
        </w:tc>
      </w:tr>
      <w:tr w:rsidR="00FE4DB3" w:rsidRPr="006E0FA2" w14:paraId="5B541CED" w14:textId="77777777" w:rsidTr="00FE4DB3">
        <w:tc>
          <w:tcPr>
            <w:tcW w:w="5000" w:type="pct"/>
            <w:gridSpan w:val="5"/>
          </w:tcPr>
          <w:p w14:paraId="40461302" w14:textId="3D791BB0" w:rsidR="00FE4DB3" w:rsidRPr="0035502F" w:rsidRDefault="00FE4DB3" w:rsidP="00FE4DB3">
            <w:pPr>
              <w:pStyle w:val="COMTabletext"/>
              <w:keepNext w:val="0"/>
            </w:pPr>
            <w:r w:rsidRPr="0035502F">
              <w:rPr>
                <w:b/>
                <w:bCs w:val="0"/>
              </w:rPr>
              <w:lastRenderedPageBreak/>
              <w:t>Elranatamab treatment regimen (base case: every 2 weeks from Week 25 to 48; every 4 weeks from Week 49)</w:t>
            </w:r>
          </w:p>
        </w:tc>
      </w:tr>
      <w:tr w:rsidR="00E1485C" w:rsidRPr="006E0FA2" w14:paraId="18547897" w14:textId="77777777" w:rsidTr="00A37B65">
        <w:tc>
          <w:tcPr>
            <w:tcW w:w="2148" w:type="pct"/>
          </w:tcPr>
          <w:p w14:paraId="1A13DFC7" w14:textId="1A615F41" w:rsidR="00E1485C" w:rsidRPr="0035502F" w:rsidRDefault="00E1485C" w:rsidP="00E1485C">
            <w:pPr>
              <w:pStyle w:val="COMTabletext"/>
              <w:keepNext w:val="0"/>
            </w:pPr>
            <w:r w:rsidRPr="0035502F">
              <w:t>All patients remain on every 2 weeks dosing from Week 25</w:t>
            </w:r>
          </w:p>
        </w:tc>
        <w:tc>
          <w:tcPr>
            <w:tcW w:w="710" w:type="pct"/>
            <w:vAlign w:val="center"/>
          </w:tcPr>
          <w:p w14:paraId="077C9DE7" w14:textId="304D8D18" w:rsidR="00E1485C" w:rsidRPr="0035502F" w:rsidRDefault="00E1485C" w:rsidP="00E1485C">
            <w:pPr>
              <w:pStyle w:val="COMTabletext"/>
              <w:keepNext w:val="0"/>
              <w:jc w:val="center"/>
            </w:pPr>
            <w:r w:rsidRPr="0035502F">
              <w:t>$</w:t>
            </w:r>
            <w:r w:rsidR="003F51AF" w:rsidRPr="003F51AF">
              <w:rPr>
                <w:color w:val="000000"/>
                <w:shd w:val="solid" w:color="000000" w:fill="000000"/>
                <w14:textFill>
                  <w14:solidFill>
                    <w14:srgbClr w14:val="000000">
                      <w14:alpha w14:val="100000"/>
                    </w14:srgbClr>
                  </w14:solidFill>
                </w14:textFill>
              </w:rPr>
              <w:t>|</w:t>
            </w:r>
          </w:p>
        </w:tc>
        <w:tc>
          <w:tcPr>
            <w:tcW w:w="711" w:type="pct"/>
            <w:vAlign w:val="center"/>
          </w:tcPr>
          <w:p w14:paraId="52C25AC4" w14:textId="48D26334" w:rsidR="00E1485C" w:rsidRPr="0035502F" w:rsidRDefault="00E1485C" w:rsidP="00E1485C">
            <w:pPr>
              <w:pStyle w:val="COMTabletext"/>
              <w:keepNext w:val="0"/>
              <w:jc w:val="center"/>
            </w:pPr>
            <w:r w:rsidRPr="0035502F">
              <w:t>0.651</w:t>
            </w:r>
          </w:p>
        </w:tc>
        <w:tc>
          <w:tcPr>
            <w:tcW w:w="764" w:type="pct"/>
            <w:vAlign w:val="center"/>
          </w:tcPr>
          <w:p w14:paraId="052105B8" w14:textId="034F3317" w:rsidR="00E1485C" w:rsidRPr="0035502F" w:rsidRDefault="00E1485C" w:rsidP="00E1485C">
            <w:pPr>
              <w:pStyle w:val="COMTabletext"/>
              <w:keepNext w:val="0"/>
              <w:jc w:val="center"/>
            </w:pPr>
            <w:r w:rsidRPr="0035502F">
              <w:t>$</w:t>
            </w:r>
            <w:r w:rsidR="003F51AF" w:rsidRPr="003F51AF">
              <w:rPr>
                <w:color w:val="000000"/>
                <w:shd w:val="solid" w:color="000000" w:fill="000000"/>
                <w14:textFill>
                  <w14:solidFill>
                    <w14:srgbClr w14:val="000000">
                      <w14:alpha w14:val="100000"/>
                    </w14:srgbClr>
                  </w14:solidFill>
                </w14:textFill>
              </w:rPr>
              <w:t>|</w:t>
            </w:r>
            <w:r w:rsidR="00BE1CD9">
              <w:rPr>
                <w:b/>
                <w:bCs w:val="0"/>
              </w:rPr>
              <w:t xml:space="preserve"> </w:t>
            </w:r>
            <w:r w:rsidR="00BE1CD9">
              <w:rPr>
                <w:b/>
                <w:bCs w:val="0"/>
                <w:vertAlign w:val="superscript"/>
              </w:rPr>
              <w:t>4</w:t>
            </w:r>
          </w:p>
        </w:tc>
        <w:tc>
          <w:tcPr>
            <w:tcW w:w="667" w:type="pct"/>
            <w:vAlign w:val="center"/>
          </w:tcPr>
          <w:p w14:paraId="5EE528A0" w14:textId="6D797ABD" w:rsidR="00E1485C" w:rsidRPr="0035502F" w:rsidRDefault="003F51AF" w:rsidP="00E1485C">
            <w:pPr>
              <w:pStyle w:val="COMTabletext"/>
              <w:keepNext w:val="0"/>
              <w:jc w:val="center"/>
            </w:pPr>
            <w:r w:rsidRPr="003F51AF">
              <w:rPr>
                <w:rFonts w:hint="eastAsia"/>
                <w:color w:val="000000"/>
                <w:w w:val="15"/>
                <w:shd w:val="solid" w:color="000000" w:fill="000000"/>
                <w:fitText w:val="50" w:id="-694959866"/>
                <w14:textFill>
                  <w14:solidFill>
                    <w14:srgbClr w14:val="000000">
                      <w14:alpha w14:val="100000"/>
                    </w14:srgbClr>
                  </w14:solidFill>
                </w14:textFill>
              </w:rPr>
              <w:t xml:space="preserve">　</w:t>
            </w:r>
            <w:r w:rsidRPr="003F51AF">
              <w:rPr>
                <w:color w:val="000000"/>
                <w:w w:val="15"/>
                <w:shd w:val="solid" w:color="000000" w:fill="000000"/>
                <w:fitText w:val="50" w:id="-694959866"/>
                <w14:textFill>
                  <w14:solidFill>
                    <w14:srgbClr w14:val="000000">
                      <w14:alpha w14:val="100000"/>
                    </w14:srgbClr>
                  </w14:solidFill>
                </w14:textFill>
              </w:rPr>
              <w:t>|</w:t>
            </w:r>
            <w:r w:rsidRPr="003F51AF">
              <w:rPr>
                <w:rFonts w:hint="eastAsia"/>
                <w:color w:val="000000"/>
                <w:spacing w:val="-15"/>
                <w:w w:val="15"/>
                <w:shd w:val="solid" w:color="000000" w:fill="000000"/>
                <w:fitText w:val="50" w:id="-694959866"/>
                <w14:textFill>
                  <w14:solidFill>
                    <w14:srgbClr w14:val="000000">
                      <w14:alpha w14:val="100000"/>
                    </w14:srgbClr>
                  </w14:solidFill>
                </w14:textFill>
              </w:rPr>
              <w:t xml:space="preserve">　</w:t>
            </w:r>
            <w:r w:rsidR="00E1485C" w:rsidRPr="0035502F">
              <w:t>%</w:t>
            </w:r>
          </w:p>
        </w:tc>
      </w:tr>
      <w:tr w:rsidR="00E1485C" w:rsidRPr="006E0FA2" w14:paraId="516789B6" w14:textId="77777777" w:rsidTr="002A3BF4">
        <w:tc>
          <w:tcPr>
            <w:tcW w:w="5000" w:type="pct"/>
            <w:gridSpan w:val="5"/>
          </w:tcPr>
          <w:p w14:paraId="288D57A1" w14:textId="46051C94" w:rsidR="00E1485C" w:rsidRPr="0035502F" w:rsidRDefault="00E1485C" w:rsidP="00E1485C">
            <w:pPr>
              <w:pStyle w:val="COMTabletext"/>
              <w:keepNext w:val="0"/>
              <w:rPr>
                <w:b/>
                <w:bCs w:val="0"/>
              </w:rPr>
            </w:pPr>
            <w:r w:rsidRPr="0035502F">
              <w:rPr>
                <w:b/>
                <w:bCs w:val="0"/>
              </w:rPr>
              <w:t>Subsequent treatment costs (base case: applied to 40.8%; cost based on duration of post-progression survival)</w:t>
            </w:r>
          </w:p>
        </w:tc>
      </w:tr>
      <w:tr w:rsidR="00E1485C" w:rsidRPr="006E0FA2" w14:paraId="4ACAFDF4" w14:textId="77777777" w:rsidTr="00A37B65">
        <w:tc>
          <w:tcPr>
            <w:tcW w:w="2148" w:type="pct"/>
          </w:tcPr>
          <w:p w14:paraId="0C1AFD3D" w14:textId="77777777" w:rsidR="00E1485C" w:rsidRPr="0035502F" w:rsidRDefault="00E1485C" w:rsidP="00E1485C">
            <w:pPr>
              <w:pStyle w:val="COMTabletext"/>
              <w:keepNext w:val="0"/>
            </w:pPr>
            <w:r w:rsidRPr="0035502F">
              <w:t>Applied to 0%</w:t>
            </w:r>
          </w:p>
        </w:tc>
        <w:tc>
          <w:tcPr>
            <w:tcW w:w="710" w:type="pct"/>
          </w:tcPr>
          <w:p w14:paraId="0271B2C7" w14:textId="0C277F14" w:rsidR="00E1485C" w:rsidRPr="0035502F" w:rsidRDefault="00E1485C" w:rsidP="00E1485C">
            <w:pPr>
              <w:pStyle w:val="COMTabletext"/>
              <w:keepNext w:val="0"/>
              <w:jc w:val="center"/>
            </w:pPr>
            <w:r w:rsidRPr="0035502F">
              <w:t>$</w:t>
            </w:r>
            <w:r w:rsidR="003F51AF" w:rsidRPr="003F51AF">
              <w:rPr>
                <w:color w:val="000000"/>
                <w:shd w:val="solid" w:color="000000" w:fill="000000"/>
                <w14:textFill>
                  <w14:solidFill>
                    <w14:srgbClr w14:val="000000">
                      <w14:alpha w14:val="100000"/>
                    </w14:srgbClr>
                  </w14:solidFill>
                </w14:textFill>
              </w:rPr>
              <w:t>|</w:t>
            </w:r>
          </w:p>
        </w:tc>
        <w:tc>
          <w:tcPr>
            <w:tcW w:w="711" w:type="pct"/>
          </w:tcPr>
          <w:p w14:paraId="5EE436CF" w14:textId="77777777" w:rsidR="00E1485C" w:rsidRPr="0035502F" w:rsidRDefault="00E1485C" w:rsidP="00E1485C">
            <w:pPr>
              <w:pStyle w:val="COMTabletext"/>
              <w:keepNext w:val="0"/>
              <w:jc w:val="center"/>
            </w:pPr>
            <w:r w:rsidRPr="0035502F">
              <w:t>0.651</w:t>
            </w:r>
          </w:p>
        </w:tc>
        <w:tc>
          <w:tcPr>
            <w:tcW w:w="764" w:type="pct"/>
          </w:tcPr>
          <w:p w14:paraId="74179E15" w14:textId="73A34908" w:rsidR="00E1485C" w:rsidRPr="0035502F" w:rsidRDefault="00E1485C" w:rsidP="00E1485C">
            <w:pPr>
              <w:pStyle w:val="COMTabletext"/>
              <w:keepNext w:val="0"/>
              <w:jc w:val="center"/>
            </w:pPr>
            <w:r w:rsidRPr="0035502F">
              <w:t>$</w:t>
            </w:r>
            <w:r w:rsidR="003F51AF" w:rsidRPr="003F51AF">
              <w:rPr>
                <w:color w:val="000000"/>
                <w:shd w:val="solid" w:color="000000" w:fill="000000"/>
                <w14:textFill>
                  <w14:solidFill>
                    <w14:srgbClr w14:val="000000">
                      <w14:alpha w14:val="100000"/>
                    </w14:srgbClr>
                  </w14:solidFill>
                </w14:textFill>
              </w:rPr>
              <w:t>|</w:t>
            </w:r>
            <w:r w:rsidR="00DE229C">
              <w:rPr>
                <w:b/>
                <w:bCs w:val="0"/>
              </w:rPr>
              <w:t xml:space="preserve"> </w:t>
            </w:r>
            <w:r w:rsidR="00DE229C">
              <w:rPr>
                <w:b/>
                <w:bCs w:val="0"/>
                <w:vertAlign w:val="superscript"/>
              </w:rPr>
              <w:t>2</w:t>
            </w:r>
          </w:p>
        </w:tc>
        <w:tc>
          <w:tcPr>
            <w:tcW w:w="667" w:type="pct"/>
          </w:tcPr>
          <w:p w14:paraId="49187846" w14:textId="44AB7FB3" w:rsidR="00E1485C" w:rsidRPr="0035502F" w:rsidRDefault="003F51AF" w:rsidP="00E1485C">
            <w:pPr>
              <w:pStyle w:val="COMTabletext"/>
              <w:keepNext w:val="0"/>
              <w:jc w:val="center"/>
            </w:pPr>
            <w:r w:rsidRPr="003F51AF">
              <w:rPr>
                <w:rFonts w:hint="eastAsia"/>
                <w:color w:val="000000"/>
                <w:w w:val="15"/>
                <w:shd w:val="solid" w:color="000000" w:fill="000000"/>
                <w:fitText w:val="50" w:id="-694959865"/>
                <w14:textFill>
                  <w14:solidFill>
                    <w14:srgbClr w14:val="000000">
                      <w14:alpha w14:val="100000"/>
                    </w14:srgbClr>
                  </w14:solidFill>
                </w14:textFill>
              </w:rPr>
              <w:t xml:space="preserve">　</w:t>
            </w:r>
            <w:r w:rsidRPr="003F51AF">
              <w:rPr>
                <w:color w:val="000000"/>
                <w:w w:val="15"/>
                <w:shd w:val="solid" w:color="000000" w:fill="000000"/>
                <w:fitText w:val="50" w:id="-694959865"/>
                <w14:textFill>
                  <w14:solidFill>
                    <w14:srgbClr w14:val="000000">
                      <w14:alpha w14:val="100000"/>
                    </w14:srgbClr>
                  </w14:solidFill>
                </w14:textFill>
              </w:rPr>
              <w:t>|</w:t>
            </w:r>
            <w:r w:rsidRPr="003F51AF">
              <w:rPr>
                <w:rFonts w:hint="eastAsia"/>
                <w:color w:val="000000"/>
                <w:spacing w:val="-15"/>
                <w:w w:val="15"/>
                <w:shd w:val="solid" w:color="000000" w:fill="000000"/>
                <w:fitText w:val="50" w:id="-694959865"/>
                <w14:textFill>
                  <w14:solidFill>
                    <w14:srgbClr w14:val="000000">
                      <w14:alpha w14:val="100000"/>
                    </w14:srgbClr>
                  </w14:solidFill>
                </w14:textFill>
              </w:rPr>
              <w:t xml:space="preserve">　</w:t>
            </w:r>
            <w:r w:rsidR="00E1485C" w:rsidRPr="0035502F">
              <w:t>%</w:t>
            </w:r>
          </w:p>
        </w:tc>
      </w:tr>
      <w:tr w:rsidR="00E1485C" w:rsidRPr="006E0FA2" w14:paraId="62C89468" w14:textId="77777777" w:rsidTr="00A37B65">
        <w:tc>
          <w:tcPr>
            <w:tcW w:w="2148" w:type="pct"/>
          </w:tcPr>
          <w:p w14:paraId="687D6263" w14:textId="77777777" w:rsidR="00E1485C" w:rsidRPr="0035502F" w:rsidRDefault="00E1485C" w:rsidP="00E1485C">
            <w:pPr>
              <w:pStyle w:val="COMTabletext"/>
              <w:keepNext w:val="0"/>
            </w:pPr>
            <w:r w:rsidRPr="0035502F">
              <w:t>Applied to 20.4%</w:t>
            </w:r>
          </w:p>
        </w:tc>
        <w:tc>
          <w:tcPr>
            <w:tcW w:w="710" w:type="pct"/>
          </w:tcPr>
          <w:p w14:paraId="2D346D9F" w14:textId="51044356" w:rsidR="00E1485C" w:rsidRPr="0035502F" w:rsidRDefault="00E1485C" w:rsidP="00E1485C">
            <w:pPr>
              <w:pStyle w:val="COMTabletext"/>
              <w:keepNext w:val="0"/>
              <w:jc w:val="center"/>
            </w:pPr>
            <w:r w:rsidRPr="0035502F">
              <w:t>$</w:t>
            </w:r>
            <w:r w:rsidR="003F51AF" w:rsidRPr="003F51AF">
              <w:rPr>
                <w:color w:val="000000"/>
                <w:shd w:val="solid" w:color="000000" w:fill="000000"/>
                <w14:textFill>
                  <w14:solidFill>
                    <w14:srgbClr w14:val="000000">
                      <w14:alpha w14:val="100000"/>
                    </w14:srgbClr>
                  </w14:solidFill>
                </w14:textFill>
              </w:rPr>
              <w:t>|</w:t>
            </w:r>
          </w:p>
        </w:tc>
        <w:tc>
          <w:tcPr>
            <w:tcW w:w="711" w:type="pct"/>
          </w:tcPr>
          <w:p w14:paraId="4F5E37B0" w14:textId="77777777" w:rsidR="00E1485C" w:rsidRPr="0035502F" w:rsidRDefault="00E1485C" w:rsidP="00E1485C">
            <w:pPr>
              <w:pStyle w:val="COMTabletext"/>
              <w:keepNext w:val="0"/>
              <w:jc w:val="center"/>
            </w:pPr>
            <w:r w:rsidRPr="0035502F">
              <w:t>0.651</w:t>
            </w:r>
          </w:p>
        </w:tc>
        <w:tc>
          <w:tcPr>
            <w:tcW w:w="764" w:type="pct"/>
          </w:tcPr>
          <w:p w14:paraId="6C8B4D5A" w14:textId="2259E6E5" w:rsidR="00E1485C" w:rsidRPr="0035502F" w:rsidRDefault="00E1485C" w:rsidP="00E1485C">
            <w:pPr>
              <w:pStyle w:val="COMTabletext"/>
              <w:keepNext w:val="0"/>
              <w:jc w:val="center"/>
            </w:pPr>
            <w:r w:rsidRPr="0035502F">
              <w:t>$</w:t>
            </w:r>
            <w:r w:rsidR="003F51AF" w:rsidRPr="003F51AF">
              <w:rPr>
                <w:color w:val="000000"/>
                <w:shd w:val="solid" w:color="000000" w:fill="000000"/>
                <w14:textFill>
                  <w14:solidFill>
                    <w14:srgbClr w14:val="000000">
                      <w14:alpha w14:val="100000"/>
                    </w14:srgbClr>
                  </w14:solidFill>
                </w14:textFill>
              </w:rPr>
              <w:t>|</w:t>
            </w:r>
            <w:r w:rsidR="00DE229C">
              <w:rPr>
                <w:b/>
                <w:bCs w:val="0"/>
              </w:rPr>
              <w:t xml:space="preserve"> </w:t>
            </w:r>
            <w:r w:rsidR="00DE229C">
              <w:rPr>
                <w:b/>
                <w:bCs w:val="0"/>
                <w:vertAlign w:val="superscript"/>
              </w:rPr>
              <w:t>1</w:t>
            </w:r>
          </w:p>
        </w:tc>
        <w:tc>
          <w:tcPr>
            <w:tcW w:w="667" w:type="pct"/>
          </w:tcPr>
          <w:p w14:paraId="37235D8C" w14:textId="285C02B6" w:rsidR="00E1485C" w:rsidRPr="0035502F" w:rsidRDefault="003F51AF" w:rsidP="00E1485C">
            <w:pPr>
              <w:pStyle w:val="COMTabletext"/>
              <w:keepNext w:val="0"/>
              <w:jc w:val="center"/>
            </w:pPr>
            <w:r w:rsidRPr="003F51AF">
              <w:rPr>
                <w:rFonts w:hint="eastAsia"/>
                <w:color w:val="000000"/>
                <w:w w:val="15"/>
                <w:shd w:val="solid" w:color="000000" w:fill="000000"/>
                <w:fitText w:val="50" w:id="-694959864"/>
                <w14:textFill>
                  <w14:solidFill>
                    <w14:srgbClr w14:val="000000">
                      <w14:alpha w14:val="100000"/>
                    </w14:srgbClr>
                  </w14:solidFill>
                </w14:textFill>
              </w:rPr>
              <w:t xml:space="preserve">　</w:t>
            </w:r>
            <w:r w:rsidRPr="003F51AF">
              <w:rPr>
                <w:color w:val="000000"/>
                <w:w w:val="15"/>
                <w:shd w:val="solid" w:color="000000" w:fill="000000"/>
                <w:fitText w:val="50" w:id="-694959864"/>
                <w14:textFill>
                  <w14:solidFill>
                    <w14:srgbClr w14:val="000000">
                      <w14:alpha w14:val="100000"/>
                    </w14:srgbClr>
                  </w14:solidFill>
                </w14:textFill>
              </w:rPr>
              <w:t>|</w:t>
            </w:r>
            <w:r w:rsidRPr="003F51AF">
              <w:rPr>
                <w:rFonts w:hint="eastAsia"/>
                <w:color w:val="000000"/>
                <w:spacing w:val="-15"/>
                <w:w w:val="15"/>
                <w:shd w:val="solid" w:color="000000" w:fill="000000"/>
                <w:fitText w:val="50" w:id="-694959864"/>
                <w14:textFill>
                  <w14:solidFill>
                    <w14:srgbClr w14:val="000000">
                      <w14:alpha w14:val="100000"/>
                    </w14:srgbClr>
                  </w14:solidFill>
                </w14:textFill>
              </w:rPr>
              <w:t xml:space="preserve">　</w:t>
            </w:r>
            <w:r w:rsidR="00E1485C" w:rsidRPr="0035502F">
              <w:t>%</w:t>
            </w:r>
          </w:p>
        </w:tc>
      </w:tr>
    </w:tbl>
    <w:p w14:paraId="5117BC89" w14:textId="77777777" w:rsidR="004454AE" w:rsidRDefault="004454AE" w:rsidP="004454AE">
      <w:pPr>
        <w:pStyle w:val="COMTablefooter"/>
      </w:pPr>
      <w:r w:rsidRPr="006E0FA2">
        <w:t xml:space="preserve">Source: </w:t>
      </w:r>
      <w:r>
        <w:t>Table 3.34, p276 of the resubmission; additional sensitivity analyses conducted during the evaluation using the Section 3 economic model Excel workbook.</w:t>
      </w:r>
    </w:p>
    <w:p w14:paraId="16A8C656" w14:textId="7BEAD344" w:rsidR="004454AE" w:rsidRDefault="004454AE" w:rsidP="004454AE">
      <w:pPr>
        <w:pStyle w:val="COMTablefooter"/>
      </w:pPr>
      <w:r>
        <w:t xml:space="preserve">Abbreviations: AR-DRG, Australian Refined Diagnosis-Related Group; </w:t>
      </w:r>
      <w:r w:rsidR="004D2D76">
        <w:t xml:space="preserve">Cd, carfilzomib + dexamethasone; </w:t>
      </w:r>
      <w:r>
        <w:t xml:space="preserve">CI, confidence interval; ICER, incremental cost-effectiveness ratio; </w:t>
      </w:r>
      <w:r w:rsidR="004D2D76">
        <w:t xml:space="preserve">Pd, pomalidomide + dexamethasone; </w:t>
      </w:r>
      <w:r>
        <w:t>QALY, quality-adjusted life year</w:t>
      </w:r>
      <w:r w:rsidR="004D2D76">
        <w:t>; Sd, selinexor + dexamethasone.</w:t>
      </w:r>
    </w:p>
    <w:p w14:paraId="46CFD591" w14:textId="3B9556CC" w:rsidR="00105014" w:rsidRDefault="00105014" w:rsidP="003E69F0">
      <w:pPr>
        <w:pStyle w:val="COMTablefooter"/>
        <w:spacing w:after="0"/>
      </w:pPr>
      <w:proofErr w:type="spellStart"/>
      <w:r>
        <w:rPr>
          <w:vertAlign w:val="superscript"/>
        </w:rPr>
        <w:t>a</w:t>
      </w:r>
      <w:proofErr w:type="spellEnd"/>
      <w:r>
        <w:t xml:space="preserve"> </w:t>
      </w:r>
      <w:proofErr w:type="gramStart"/>
      <w:r>
        <w:t>The</w:t>
      </w:r>
      <w:proofErr w:type="gramEnd"/>
      <w:r>
        <w:t xml:space="preserve"> results were impacted by capping of the modelled time to treatment discontinuation curve for carfilzomib + dexamethasone by the modelled progression-free survival.</w:t>
      </w:r>
    </w:p>
    <w:p w14:paraId="100593C2" w14:textId="77777777" w:rsidR="003E69F0" w:rsidRPr="009A6D58" w:rsidRDefault="003E69F0" w:rsidP="003E69F0">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41022F5A" w14:textId="1A950C07" w:rsidR="003E69F0" w:rsidRPr="00E7494F" w:rsidRDefault="003E69F0" w:rsidP="003E69F0">
      <w:pPr>
        <w:rPr>
          <w:rFonts w:ascii="Arial Narrow" w:hAnsi="Arial Narrow"/>
          <w:iCs/>
          <w:sz w:val="18"/>
          <w:szCs w:val="18"/>
        </w:rPr>
      </w:pPr>
      <w:r w:rsidRPr="00E7494F">
        <w:rPr>
          <w:rFonts w:ascii="Arial Narrow" w:hAnsi="Arial Narrow"/>
          <w:iCs/>
          <w:sz w:val="18"/>
          <w:szCs w:val="18"/>
          <w:vertAlign w:val="superscript"/>
        </w:rPr>
        <w:t>1</w:t>
      </w:r>
      <w:r w:rsidRPr="00E7494F">
        <w:rPr>
          <w:rFonts w:ascii="Arial Narrow" w:hAnsi="Arial Narrow"/>
          <w:iCs/>
          <w:sz w:val="18"/>
          <w:szCs w:val="18"/>
        </w:rPr>
        <w:t xml:space="preserve"> </w:t>
      </w:r>
      <w:r w:rsidR="008A3234" w:rsidRPr="00E7494F">
        <w:rPr>
          <w:rFonts w:ascii="Arial Narrow" w:hAnsi="Arial Narrow"/>
          <w:iCs/>
          <w:sz w:val="18"/>
          <w:szCs w:val="18"/>
        </w:rPr>
        <w:t>$55,000 to &lt; $75,000</w:t>
      </w:r>
    </w:p>
    <w:p w14:paraId="0BDF5A2D" w14:textId="12F12C0D" w:rsidR="003E69F0" w:rsidRPr="00E7494F" w:rsidRDefault="003E69F0" w:rsidP="003E69F0">
      <w:pPr>
        <w:rPr>
          <w:rFonts w:ascii="Arial Narrow" w:hAnsi="Arial Narrow"/>
          <w:iCs/>
          <w:sz w:val="18"/>
          <w:szCs w:val="18"/>
        </w:rPr>
      </w:pPr>
      <w:r w:rsidRPr="00E7494F">
        <w:rPr>
          <w:rFonts w:ascii="Arial Narrow" w:hAnsi="Arial Narrow"/>
          <w:iCs/>
          <w:sz w:val="18"/>
          <w:szCs w:val="18"/>
          <w:vertAlign w:val="superscript"/>
        </w:rPr>
        <w:t>2</w:t>
      </w:r>
      <w:r w:rsidRPr="00E7494F">
        <w:rPr>
          <w:rFonts w:ascii="Arial Narrow" w:hAnsi="Arial Narrow"/>
          <w:iCs/>
          <w:sz w:val="18"/>
          <w:szCs w:val="18"/>
        </w:rPr>
        <w:t xml:space="preserve"> </w:t>
      </w:r>
      <w:r w:rsidR="00A36332" w:rsidRPr="00E7494F">
        <w:rPr>
          <w:rFonts w:ascii="Arial Narrow" w:hAnsi="Arial Narrow"/>
          <w:iCs/>
          <w:sz w:val="18"/>
          <w:szCs w:val="18"/>
        </w:rPr>
        <w:t>$75,000 to &lt; $95,000</w:t>
      </w:r>
    </w:p>
    <w:p w14:paraId="129338F5" w14:textId="253D7264" w:rsidR="003E69F0" w:rsidRPr="00E7494F" w:rsidRDefault="003E69F0" w:rsidP="003E69F0">
      <w:pPr>
        <w:rPr>
          <w:rFonts w:ascii="Arial Narrow" w:hAnsi="Arial Narrow"/>
          <w:iCs/>
          <w:sz w:val="18"/>
          <w:szCs w:val="18"/>
        </w:rPr>
      </w:pPr>
      <w:r w:rsidRPr="00E7494F">
        <w:rPr>
          <w:rFonts w:ascii="Arial Narrow" w:hAnsi="Arial Narrow"/>
          <w:iCs/>
          <w:sz w:val="18"/>
          <w:szCs w:val="18"/>
          <w:vertAlign w:val="superscript"/>
        </w:rPr>
        <w:t>3</w:t>
      </w:r>
      <w:r w:rsidRPr="00E7494F">
        <w:rPr>
          <w:rFonts w:ascii="Arial Narrow" w:hAnsi="Arial Narrow"/>
          <w:iCs/>
          <w:sz w:val="18"/>
          <w:szCs w:val="18"/>
        </w:rPr>
        <w:t xml:space="preserve"> </w:t>
      </w:r>
      <w:r w:rsidR="00697AD4" w:rsidRPr="00E7494F">
        <w:rPr>
          <w:rFonts w:ascii="Arial Narrow" w:hAnsi="Arial Narrow"/>
          <w:iCs/>
          <w:sz w:val="18"/>
          <w:szCs w:val="18"/>
        </w:rPr>
        <w:t>$5,000 to &lt; $15,000</w:t>
      </w:r>
    </w:p>
    <w:p w14:paraId="34FCC2DB" w14:textId="6EBFC76B" w:rsidR="003E69F0" w:rsidRPr="00E7494F" w:rsidRDefault="003E69F0" w:rsidP="003E69F0">
      <w:pPr>
        <w:rPr>
          <w:rFonts w:ascii="Arial Narrow" w:hAnsi="Arial Narrow"/>
          <w:iCs/>
          <w:sz w:val="18"/>
          <w:szCs w:val="18"/>
        </w:rPr>
      </w:pPr>
      <w:r w:rsidRPr="00E7494F">
        <w:rPr>
          <w:rFonts w:ascii="Arial Narrow" w:hAnsi="Arial Narrow"/>
          <w:iCs/>
          <w:sz w:val="18"/>
          <w:szCs w:val="18"/>
          <w:vertAlign w:val="superscript"/>
        </w:rPr>
        <w:t>4</w:t>
      </w:r>
      <w:r w:rsidRPr="00E7494F">
        <w:rPr>
          <w:rFonts w:ascii="Arial Narrow" w:hAnsi="Arial Narrow"/>
          <w:iCs/>
          <w:sz w:val="18"/>
          <w:szCs w:val="18"/>
        </w:rPr>
        <w:t xml:space="preserve"> </w:t>
      </w:r>
      <w:r w:rsidR="005C00E2" w:rsidRPr="00E7494F">
        <w:rPr>
          <w:rFonts w:ascii="Arial Narrow" w:hAnsi="Arial Narrow"/>
          <w:iCs/>
          <w:sz w:val="18"/>
          <w:szCs w:val="18"/>
        </w:rPr>
        <w:t>$115,000 to &lt; $135,000</w:t>
      </w:r>
    </w:p>
    <w:p w14:paraId="35800B27" w14:textId="625FC901" w:rsidR="003E69F0" w:rsidRPr="00E7494F" w:rsidRDefault="003E69F0" w:rsidP="00421A54">
      <w:pPr>
        <w:rPr>
          <w:rFonts w:ascii="Arial Narrow" w:hAnsi="Arial Narrow"/>
          <w:iCs/>
          <w:sz w:val="18"/>
          <w:szCs w:val="18"/>
        </w:rPr>
      </w:pPr>
      <w:r w:rsidRPr="00E7494F">
        <w:rPr>
          <w:rFonts w:ascii="Arial Narrow" w:hAnsi="Arial Narrow"/>
          <w:iCs/>
          <w:sz w:val="18"/>
          <w:szCs w:val="18"/>
          <w:vertAlign w:val="superscript"/>
        </w:rPr>
        <w:t>5</w:t>
      </w:r>
      <w:r w:rsidRPr="00E7494F">
        <w:rPr>
          <w:rFonts w:ascii="Arial Narrow" w:hAnsi="Arial Narrow"/>
          <w:iCs/>
          <w:sz w:val="18"/>
          <w:szCs w:val="18"/>
        </w:rPr>
        <w:t xml:space="preserve"> </w:t>
      </w:r>
      <w:r w:rsidR="0088366B" w:rsidRPr="00E7494F">
        <w:rPr>
          <w:rFonts w:ascii="Arial Narrow" w:hAnsi="Arial Narrow"/>
          <w:iCs/>
          <w:sz w:val="18"/>
          <w:szCs w:val="18"/>
        </w:rPr>
        <w:t>$95,000 to &lt; $115,000</w:t>
      </w:r>
    </w:p>
    <w:p w14:paraId="3F0DFD01" w14:textId="12D8D725" w:rsidR="00421A54" w:rsidRPr="00E7494F" w:rsidRDefault="00421A54" w:rsidP="00421A54">
      <w:pPr>
        <w:spacing w:after="120"/>
        <w:rPr>
          <w:rFonts w:ascii="Arial Narrow" w:hAnsi="Arial Narrow"/>
          <w:iCs/>
          <w:sz w:val="18"/>
          <w:szCs w:val="18"/>
        </w:rPr>
      </w:pPr>
      <w:r w:rsidRPr="00E7494F">
        <w:rPr>
          <w:rFonts w:ascii="Arial Narrow" w:hAnsi="Arial Narrow"/>
          <w:iCs/>
          <w:sz w:val="18"/>
          <w:szCs w:val="18"/>
          <w:vertAlign w:val="superscript"/>
        </w:rPr>
        <w:t>6</w:t>
      </w:r>
      <w:r w:rsidRPr="00E7494F">
        <w:rPr>
          <w:rFonts w:ascii="Arial Narrow" w:hAnsi="Arial Narrow"/>
          <w:iCs/>
          <w:sz w:val="18"/>
          <w:szCs w:val="18"/>
        </w:rPr>
        <w:t xml:space="preserve"> </w:t>
      </w:r>
      <w:r w:rsidR="005316F6" w:rsidRPr="00E7494F">
        <w:rPr>
          <w:rFonts w:ascii="Arial Narrow" w:hAnsi="Arial Narrow"/>
          <w:iCs/>
          <w:sz w:val="18"/>
          <w:szCs w:val="18"/>
        </w:rPr>
        <w:t>$455,000 to &lt; $555,000</w:t>
      </w:r>
    </w:p>
    <w:p w14:paraId="3865886B" w14:textId="45CFCD58" w:rsidR="00A002CB" w:rsidRPr="00B83066" w:rsidRDefault="006D53F9" w:rsidP="00A002CB">
      <w:pPr>
        <w:pStyle w:val="COMexecsummnumbered"/>
      </w:pPr>
      <w:r w:rsidRPr="00B83066">
        <w:t xml:space="preserve">The </w:t>
      </w:r>
      <w:r w:rsidR="008B7BE0" w:rsidRPr="00B83066">
        <w:t xml:space="preserve">ESC noted that the </w:t>
      </w:r>
      <w:r w:rsidRPr="00B83066">
        <w:t xml:space="preserve">model was most sensitive to the time horizon, the assumed progression-free survival extrapolation, the relative distribution of standard of care therapies, the treatment effect of elranatamab versus comparators on overall survival, elranatamab treatment adherence, </w:t>
      </w:r>
      <w:r w:rsidR="0076154D" w:rsidRPr="00B83066">
        <w:t xml:space="preserve">elranatamab dosing frequency, </w:t>
      </w:r>
      <w:r w:rsidRPr="00B83066">
        <w:t xml:space="preserve">and the costs associated with subsequent treatment. </w:t>
      </w:r>
      <w:r w:rsidR="00A002CB" w:rsidRPr="00B83066">
        <w:t xml:space="preserve">Due to the structure of the model, testing of alternative progression-free survival, overall survival and time to treatment discontinuation </w:t>
      </w:r>
      <w:r w:rsidR="001E24EA" w:rsidRPr="00B83066">
        <w:t>assumptions</w:t>
      </w:r>
      <w:r w:rsidR="00A002CB" w:rsidRPr="00B83066">
        <w:t xml:space="preserve"> for elranatamab resulted in capping effects </w:t>
      </w:r>
      <w:r w:rsidR="001E24EA" w:rsidRPr="00B83066">
        <w:t>on progression-free survival and the time to treatment discontinuation curves in the elranatamab and standard of care arms.</w:t>
      </w:r>
    </w:p>
    <w:p w14:paraId="472842D7" w14:textId="3B65B47E" w:rsidR="00C25D9C" w:rsidRPr="006E0FA2" w:rsidRDefault="00C25D9C" w:rsidP="003D5DE7">
      <w:pPr>
        <w:pStyle w:val="COMH2-non-numbered"/>
      </w:pPr>
      <w:bookmarkStart w:id="55" w:name="_Toc22897646"/>
      <w:bookmarkStart w:id="56" w:name="_Toc188287181"/>
      <w:r w:rsidRPr="006E0FA2">
        <w:t>Drug</w:t>
      </w:r>
      <w:r w:rsidR="006D53F9">
        <w:t xml:space="preserve"> </w:t>
      </w:r>
      <w:r w:rsidRPr="006E0FA2">
        <w:t>cost/patient</w:t>
      </w:r>
      <w:bookmarkEnd w:id="55"/>
      <w:r w:rsidR="00DF4A05">
        <w:t>/course</w:t>
      </w:r>
      <w:bookmarkEnd w:id="56"/>
    </w:p>
    <w:bookmarkStart w:id="57" w:name="_Ref104805102"/>
    <w:p w14:paraId="165F5665" w14:textId="3B278582" w:rsidR="006A43D9" w:rsidRPr="00DF4A05" w:rsidRDefault="00AB618C" w:rsidP="00DF4A05">
      <w:pPr>
        <w:pStyle w:val="COMexecsummnumbered"/>
      </w:pPr>
      <w:r w:rsidRPr="00DF4A05">
        <w:fldChar w:fldCharType="begin" w:fldLock="1"/>
      </w:r>
      <w:r w:rsidRPr="00DF4A05">
        <w:instrText xml:space="preserve"> REF _Ref187747152 \h </w:instrText>
      </w:r>
      <w:r w:rsidR="00DF4A05">
        <w:instrText xml:space="preserve"> \* MERGEFORMAT </w:instrText>
      </w:r>
      <w:r w:rsidRPr="00DF4A05">
        <w:fldChar w:fldCharType="separate"/>
      </w:r>
      <w:r w:rsidR="00347D89" w:rsidRPr="006E0FA2">
        <w:t xml:space="preserve">Table </w:t>
      </w:r>
      <w:r w:rsidR="00347D89">
        <w:t>17</w:t>
      </w:r>
      <w:r w:rsidRPr="00DF4A05">
        <w:fldChar w:fldCharType="end"/>
      </w:r>
      <w:r w:rsidR="006D53F9" w:rsidRPr="00DF4A05">
        <w:t xml:space="preserve"> presents a comparison of drug costs for elranatamab and standard </w:t>
      </w:r>
      <w:r w:rsidR="009040A5">
        <w:t xml:space="preserve">of </w:t>
      </w:r>
      <w:r w:rsidR="006D53F9" w:rsidRPr="00DF4A05">
        <w:t>care therapies included in the economic model and financial estimates</w:t>
      </w:r>
      <w:r w:rsidR="000120AC">
        <w:t xml:space="preserve">, </w:t>
      </w:r>
      <w:r w:rsidR="00742829">
        <w:t>assuming</w:t>
      </w:r>
      <w:r w:rsidR="000120AC">
        <w:t xml:space="preserve"> 4-weekly dosing of elranatamab from Week 49</w:t>
      </w:r>
      <w:r w:rsidR="006D53F9" w:rsidRPr="00DF4A05">
        <w:t>.</w:t>
      </w:r>
    </w:p>
    <w:p w14:paraId="7DF40D55" w14:textId="437B20CF" w:rsidR="001C374B" w:rsidRDefault="00E16AD8" w:rsidP="001C374B">
      <w:pPr>
        <w:pStyle w:val="COMtablefigcaption"/>
      </w:pPr>
      <w:bookmarkStart w:id="58" w:name="_Ref187747152"/>
      <w:r w:rsidRPr="006E0FA2">
        <w:t xml:space="preserve">Table </w:t>
      </w:r>
      <w:r w:rsidR="006B329A">
        <w:fldChar w:fldCharType="begin" w:fldLock="1"/>
      </w:r>
      <w:r w:rsidR="006B329A">
        <w:instrText xml:space="preserve"> SEQ Table \* ARABIC </w:instrText>
      </w:r>
      <w:r w:rsidR="006B329A">
        <w:fldChar w:fldCharType="separate"/>
      </w:r>
      <w:r w:rsidR="00347D89">
        <w:rPr>
          <w:noProof/>
        </w:rPr>
        <w:t>17</w:t>
      </w:r>
      <w:r w:rsidR="006B329A">
        <w:rPr>
          <w:noProof/>
        </w:rPr>
        <w:fldChar w:fldCharType="end"/>
      </w:r>
      <w:bookmarkEnd w:id="57"/>
      <w:bookmarkEnd w:id="58"/>
      <w:r w:rsidRPr="006E0FA2">
        <w:t>:</w:t>
      </w:r>
      <w:r w:rsidR="00494207" w:rsidRPr="006E0FA2">
        <w:t xml:space="preserve"> </w:t>
      </w:r>
      <w:r w:rsidR="001C374B" w:rsidRPr="006E0FA2">
        <w:t xml:space="preserve">Drug cost per patient </w:t>
      </w:r>
      <w:r w:rsidR="001C374B">
        <w:t xml:space="preserve">per course </w:t>
      </w:r>
      <w:r w:rsidR="001C374B" w:rsidRPr="006E0FA2">
        <w:t xml:space="preserve">for </w:t>
      </w:r>
      <w:r w:rsidR="001C374B">
        <w:t>elranatamab</w:t>
      </w:r>
      <w:r w:rsidR="001C374B" w:rsidRPr="006E0FA2">
        <w:t xml:space="preserve"> and </w:t>
      </w:r>
      <w:r w:rsidR="001C374B">
        <w:t>standard of care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4A0" w:firstRow="1" w:lastRow="0" w:firstColumn="1" w:lastColumn="0" w:noHBand="0" w:noVBand="1"/>
      </w:tblPr>
      <w:tblGrid>
        <w:gridCol w:w="1469"/>
        <w:gridCol w:w="1257"/>
        <w:gridCol w:w="1259"/>
        <w:gridCol w:w="1259"/>
        <w:gridCol w:w="1257"/>
        <w:gridCol w:w="1259"/>
        <w:gridCol w:w="1257"/>
      </w:tblGrid>
      <w:tr w:rsidR="009040A5" w:rsidRPr="006E0FA2" w14:paraId="66A75BCA" w14:textId="77777777">
        <w:trPr>
          <w:cantSplit/>
          <w:tblHeader/>
          <w:jc w:val="center"/>
        </w:trPr>
        <w:tc>
          <w:tcPr>
            <w:tcW w:w="815" w:type="pct"/>
            <w:vMerge w:val="restart"/>
            <w:shd w:val="clear" w:color="auto" w:fill="auto"/>
            <w:vAlign w:val="center"/>
          </w:tcPr>
          <w:p w14:paraId="6F1F22E1" w14:textId="77777777" w:rsidR="009040A5" w:rsidRPr="006E0FA2" w:rsidRDefault="009040A5" w:rsidP="00A31FF3">
            <w:pPr>
              <w:pStyle w:val="In-tableHeading"/>
            </w:pPr>
          </w:p>
        </w:tc>
        <w:tc>
          <w:tcPr>
            <w:tcW w:w="2092" w:type="pct"/>
            <w:gridSpan w:val="3"/>
            <w:shd w:val="clear" w:color="auto" w:fill="auto"/>
            <w:vAlign w:val="center"/>
          </w:tcPr>
          <w:p w14:paraId="188A0056" w14:textId="77777777" w:rsidR="009040A5" w:rsidRDefault="009040A5">
            <w:pPr>
              <w:pStyle w:val="COMTableheadingrow"/>
              <w:jc w:val="center"/>
            </w:pPr>
            <w:r>
              <w:t>Elranatamab</w:t>
            </w:r>
          </w:p>
        </w:tc>
        <w:tc>
          <w:tcPr>
            <w:tcW w:w="2092" w:type="pct"/>
            <w:gridSpan w:val="3"/>
            <w:shd w:val="clear" w:color="auto" w:fill="auto"/>
            <w:vAlign w:val="center"/>
          </w:tcPr>
          <w:p w14:paraId="013B9A9E" w14:textId="77777777" w:rsidR="009040A5" w:rsidRDefault="009040A5">
            <w:pPr>
              <w:pStyle w:val="COMTableheadingrow"/>
              <w:jc w:val="center"/>
            </w:pPr>
            <w:r>
              <w:t>Standard of care</w:t>
            </w:r>
          </w:p>
        </w:tc>
      </w:tr>
      <w:tr w:rsidR="009040A5" w:rsidRPr="006E0FA2" w14:paraId="7DA88CDF" w14:textId="77777777" w:rsidTr="7CD342EE">
        <w:trPr>
          <w:cantSplit/>
          <w:tblHeader/>
          <w:jc w:val="center"/>
        </w:trPr>
        <w:tc>
          <w:tcPr>
            <w:tcW w:w="815" w:type="pct"/>
            <w:vMerge/>
            <w:vAlign w:val="center"/>
          </w:tcPr>
          <w:p w14:paraId="3D793DA9" w14:textId="77777777" w:rsidR="009040A5" w:rsidRPr="006E0FA2" w:rsidRDefault="009040A5" w:rsidP="00A31FF3">
            <w:pPr>
              <w:pStyle w:val="In-tableHeading"/>
            </w:pPr>
          </w:p>
        </w:tc>
        <w:tc>
          <w:tcPr>
            <w:tcW w:w="697" w:type="pct"/>
            <w:shd w:val="clear" w:color="auto" w:fill="auto"/>
            <w:vAlign w:val="center"/>
          </w:tcPr>
          <w:p w14:paraId="6F3F4333" w14:textId="77777777" w:rsidR="009040A5" w:rsidRPr="006E0FA2" w:rsidRDefault="009040A5">
            <w:pPr>
              <w:pStyle w:val="COMTableheadingrow"/>
              <w:jc w:val="center"/>
            </w:pPr>
            <w:r>
              <w:t>Clinical evidence</w:t>
            </w:r>
          </w:p>
        </w:tc>
        <w:tc>
          <w:tcPr>
            <w:tcW w:w="698" w:type="pct"/>
            <w:shd w:val="clear" w:color="auto" w:fill="auto"/>
            <w:vAlign w:val="center"/>
          </w:tcPr>
          <w:p w14:paraId="6901EE51" w14:textId="77777777" w:rsidR="009040A5" w:rsidRPr="006E0FA2" w:rsidRDefault="009040A5">
            <w:pPr>
              <w:pStyle w:val="COMTableheadingrow"/>
              <w:jc w:val="center"/>
            </w:pPr>
            <w:r>
              <w:t>Economic model</w:t>
            </w:r>
          </w:p>
        </w:tc>
        <w:tc>
          <w:tcPr>
            <w:tcW w:w="698" w:type="pct"/>
            <w:shd w:val="clear" w:color="auto" w:fill="auto"/>
            <w:vAlign w:val="center"/>
          </w:tcPr>
          <w:p w14:paraId="0A207DC2" w14:textId="77777777" w:rsidR="009040A5" w:rsidRPr="006E0FA2" w:rsidRDefault="009040A5">
            <w:pPr>
              <w:pStyle w:val="COMTableheadingrow"/>
              <w:jc w:val="center"/>
            </w:pPr>
            <w:r>
              <w:t>Financial estimates</w:t>
            </w:r>
          </w:p>
        </w:tc>
        <w:tc>
          <w:tcPr>
            <w:tcW w:w="697" w:type="pct"/>
            <w:shd w:val="clear" w:color="auto" w:fill="auto"/>
            <w:vAlign w:val="center"/>
          </w:tcPr>
          <w:p w14:paraId="1B853746" w14:textId="77777777" w:rsidR="009040A5" w:rsidRPr="006E0FA2" w:rsidRDefault="009040A5">
            <w:pPr>
              <w:pStyle w:val="COMTableheadingrow"/>
              <w:jc w:val="center"/>
            </w:pPr>
            <w:r>
              <w:t>Clinical evidence</w:t>
            </w:r>
          </w:p>
        </w:tc>
        <w:tc>
          <w:tcPr>
            <w:tcW w:w="698" w:type="pct"/>
            <w:shd w:val="clear" w:color="auto" w:fill="auto"/>
            <w:vAlign w:val="center"/>
          </w:tcPr>
          <w:p w14:paraId="60A629F5" w14:textId="77777777" w:rsidR="009040A5" w:rsidRPr="006E0FA2" w:rsidRDefault="009040A5">
            <w:pPr>
              <w:pStyle w:val="COMTableheadingrow"/>
              <w:jc w:val="center"/>
            </w:pPr>
            <w:r>
              <w:t>Economic model</w:t>
            </w:r>
          </w:p>
        </w:tc>
        <w:tc>
          <w:tcPr>
            <w:tcW w:w="698" w:type="pct"/>
            <w:vAlign w:val="center"/>
          </w:tcPr>
          <w:p w14:paraId="61A47850" w14:textId="77777777" w:rsidR="009040A5" w:rsidRPr="006E0FA2" w:rsidRDefault="009040A5">
            <w:pPr>
              <w:pStyle w:val="COMTableheadingrow"/>
              <w:jc w:val="center"/>
            </w:pPr>
            <w:r>
              <w:t>Financial estimates</w:t>
            </w:r>
          </w:p>
        </w:tc>
      </w:tr>
      <w:tr w:rsidR="009040A5" w:rsidRPr="006E0FA2" w14:paraId="08F17B8F" w14:textId="77777777">
        <w:trPr>
          <w:cantSplit/>
          <w:jc w:val="center"/>
        </w:trPr>
        <w:tc>
          <w:tcPr>
            <w:tcW w:w="815" w:type="pct"/>
            <w:shd w:val="clear" w:color="auto" w:fill="auto"/>
            <w:vAlign w:val="center"/>
          </w:tcPr>
          <w:p w14:paraId="463131DC" w14:textId="77777777" w:rsidR="009040A5" w:rsidRPr="006E0FA2" w:rsidRDefault="009040A5">
            <w:pPr>
              <w:pStyle w:val="COMTabletext"/>
            </w:pPr>
            <w:r w:rsidRPr="006E0FA2">
              <w:t xml:space="preserve">Mean </w:t>
            </w:r>
            <w:r>
              <w:t>duration</w:t>
            </w:r>
          </w:p>
        </w:tc>
        <w:tc>
          <w:tcPr>
            <w:tcW w:w="697" w:type="pct"/>
            <w:shd w:val="clear" w:color="auto" w:fill="auto"/>
            <w:vAlign w:val="center"/>
          </w:tcPr>
          <w:p w14:paraId="68529FA8" w14:textId="77777777" w:rsidR="009040A5" w:rsidRPr="006E0FA2" w:rsidRDefault="009040A5">
            <w:pPr>
              <w:pStyle w:val="COMTabletext"/>
              <w:jc w:val="center"/>
            </w:pPr>
            <w:r>
              <w:t>10.7 months (46.7 weeks)</w:t>
            </w:r>
          </w:p>
        </w:tc>
        <w:tc>
          <w:tcPr>
            <w:tcW w:w="698" w:type="pct"/>
            <w:shd w:val="clear" w:color="auto" w:fill="auto"/>
            <w:vAlign w:val="center"/>
          </w:tcPr>
          <w:p w14:paraId="44C3EEF6" w14:textId="77777777" w:rsidR="009040A5" w:rsidRPr="00A50019" w:rsidRDefault="009040A5">
            <w:pPr>
              <w:pStyle w:val="COMTabletext"/>
              <w:jc w:val="center"/>
              <w:rPr>
                <w:vertAlign w:val="superscript"/>
              </w:rPr>
            </w:pPr>
            <w:r>
              <w:t xml:space="preserve">71.7 weeks </w:t>
            </w:r>
            <w:r>
              <w:rPr>
                <w:vertAlign w:val="superscript"/>
              </w:rPr>
              <w:t>a</w:t>
            </w:r>
          </w:p>
        </w:tc>
        <w:tc>
          <w:tcPr>
            <w:tcW w:w="698" w:type="pct"/>
            <w:shd w:val="clear" w:color="auto" w:fill="auto"/>
            <w:vAlign w:val="center"/>
          </w:tcPr>
          <w:p w14:paraId="2BB321AB" w14:textId="77777777" w:rsidR="009040A5" w:rsidRPr="00455DB8" w:rsidRDefault="009040A5">
            <w:pPr>
              <w:pStyle w:val="COMTabletext"/>
              <w:jc w:val="center"/>
              <w:rPr>
                <w:vertAlign w:val="superscript"/>
              </w:rPr>
            </w:pPr>
            <w:r>
              <w:t xml:space="preserve">71.0 weeks </w:t>
            </w:r>
            <w:r>
              <w:rPr>
                <w:vertAlign w:val="superscript"/>
              </w:rPr>
              <w:t>b</w:t>
            </w:r>
          </w:p>
        </w:tc>
        <w:tc>
          <w:tcPr>
            <w:tcW w:w="697" w:type="pct"/>
            <w:shd w:val="clear" w:color="auto" w:fill="auto"/>
            <w:vAlign w:val="center"/>
          </w:tcPr>
          <w:p w14:paraId="121F6FD8" w14:textId="77777777" w:rsidR="009040A5" w:rsidRPr="000A1336" w:rsidRDefault="009040A5">
            <w:pPr>
              <w:pStyle w:val="COMTabletext"/>
              <w:jc w:val="center"/>
              <w:rPr>
                <w:vertAlign w:val="superscript"/>
              </w:rPr>
            </w:pPr>
            <w:r>
              <w:t>Not reported</w:t>
            </w:r>
          </w:p>
        </w:tc>
        <w:tc>
          <w:tcPr>
            <w:tcW w:w="698" w:type="pct"/>
            <w:shd w:val="clear" w:color="auto" w:fill="auto"/>
            <w:vAlign w:val="center"/>
          </w:tcPr>
          <w:p w14:paraId="5B127953" w14:textId="0C1B2FA2" w:rsidR="009040A5" w:rsidRDefault="009040A5">
            <w:pPr>
              <w:pStyle w:val="COMTabletext"/>
              <w:jc w:val="center"/>
            </w:pPr>
            <w:bookmarkStart w:id="59" w:name="_Hlk187770309"/>
            <w:r>
              <w:t>Cd: 52.5 weeks Pd: 24.8 weeks</w:t>
            </w:r>
          </w:p>
          <w:p w14:paraId="6EC54668" w14:textId="682AD0B4" w:rsidR="009040A5" w:rsidRPr="006E0FA2" w:rsidRDefault="009040A5">
            <w:pPr>
              <w:pStyle w:val="COMTabletext"/>
              <w:jc w:val="center"/>
            </w:pPr>
            <w:r>
              <w:t>Sd:12.9 weeks</w:t>
            </w:r>
            <w:bookmarkEnd w:id="59"/>
          </w:p>
        </w:tc>
        <w:tc>
          <w:tcPr>
            <w:tcW w:w="698" w:type="pct"/>
            <w:vAlign w:val="center"/>
          </w:tcPr>
          <w:p w14:paraId="212AFB25" w14:textId="575F73DD" w:rsidR="009040A5" w:rsidRPr="00392A76" w:rsidRDefault="009040A5">
            <w:pPr>
              <w:pStyle w:val="COMTabletext"/>
              <w:jc w:val="center"/>
              <w:rPr>
                <w:vertAlign w:val="superscript"/>
              </w:rPr>
            </w:pPr>
            <w:r>
              <w:t xml:space="preserve">Cd: 39.9 weeks </w:t>
            </w:r>
            <w:r>
              <w:rPr>
                <w:vertAlign w:val="superscript"/>
              </w:rPr>
              <w:t>c</w:t>
            </w:r>
          </w:p>
        </w:tc>
      </w:tr>
      <w:tr w:rsidR="009040A5" w:rsidRPr="006E0FA2" w14:paraId="089F13D7" w14:textId="77777777">
        <w:trPr>
          <w:cantSplit/>
          <w:jc w:val="center"/>
        </w:trPr>
        <w:tc>
          <w:tcPr>
            <w:tcW w:w="815" w:type="pct"/>
            <w:shd w:val="clear" w:color="auto" w:fill="auto"/>
            <w:vAlign w:val="center"/>
          </w:tcPr>
          <w:p w14:paraId="331DCA82" w14:textId="77777777" w:rsidR="009040A5" w:rsidRPr="0034765D" w:rsidRDefault="009040A5">
            <w:pPr>
              <w:pStyle w:val="COMTabletext"/>
              <w:rPr>
                <w:vertAlign w:val="superscript"/>
              </w:rPr>
            </w:pPr>
            <w:r>
              <w:t xml:space="preserve">Cost/patient/week </w:t>
            </w:r>
            <w:r>
              <w:rPr>
                <w:vertAlign w:val="superscript"/>
              </w:rPr>
              <w:t>d</w:t>
            </w:r>
          </w:p>
        </w:tc>
        <w:tc>
          <w:tcPr>
            <w:tcW w:w="697" w:type="pct"/>
            <w:shd w:val="clear" w:color="auto" w:fill="auto"/>
            <w:vAlign w:val="center"/>
          </w:tcPr>
          <w:p w14:paraId="18EEA17D" w14:textId="77777777" w:rsidR="009040A5" w:rsidRPr="006E0FA2" w:rsidRDefault="009040A5">
            <w:pPr>
              <w:pStyle w:val="COMTabletext"/>
              <w:jc w:val="center"/>
            </w:pPr>
            <w:r>
              <w:t>-</w:t>
            </w:r>
          </w:p>
        </w:tc>
        <w:tc>
          <w:tcPr>
            <w:tcW w:w="698" w:type="pct"/>
            <w:shd w:val="clear" w:color="auto" w:fill="auto"/>
            <w:vAlign w:val="center"/>
          </w:tcPr>
          <w:p w14:paraId="15B5FE19" w14:textId="16B41BA9" w:rsidR="009040A5" w:rsidRDefault="009040A5">
            <w:pPr>
              <w:pStyle w:val="COMTabletext"/>
              <w:jc w:val="center"/>
            </w:pPr>
            <w:r>
              <w:t>Week 1: $</w:t>
            </w:r>
            <w:r w:rsidR="003F51AF" w:rsidRPr="003F51AF">
              <w:rPr>
                <w:color w:val="000000"/>
                <w:spacing w:val="46"/>
                <w:shd w:val="solid" w:color="000000" w:fill="000000"/>
                <w:fitText w:val="310" w:id="-694959863"/>
                <w14:textFill>
                  <w14:solidFill>
                    <w14:srgbClr w14:val="000000">
                      <w14:alpha w14:val="100000"/>
                    </w14:srgbClr>
                  </w14:solidFill>
                </w14:textFill>
              </w:rPr>
              <w:t>|||</w:t>
            </w:r>
            <w:r w:rsidR="003F51AF" w:rsidRPr="003F51AF">
              <w:rPr>
                <w:color w:val="000000"/>
                <w:spacing w:val="2"/>
                <w:shd w:val="solid" w:color="000000" w:fill="000000"/>
                <w:fitText w:val="310" w:id="-694959863"/>
                <w14:textFill>
                  <w14:solidFill>
                    <w14:srgbClr w14:val="000000">
                      <w14:alpha w14:val="100000"/>
                    </w14:srgbClr>
                  </w14:solidFill>
                </w14:textFill>
              </w:rPr>
              <w:t>|</w:t>
            </w:r>
          </w:p>
          <w:p w14:paraId="01E1B5B7" w14:textId="795231DF" w:rsidR="009040A5" w:rsidRDefault="009040A5">
            <w:pPr>
              <w:pStyle w:val="COMTabletext"/>
              <w:jc w:val="center"/>
            </w:pPr>
            <w:r>
              <w:t>Weeks 2-24: $</w:t>
            </w:r>
            <w:r w:rsidR="003F51AF" w:rsidRPr="003F51AF">
              <w:rPr>
                <w:color w:val="000000"/>
                <w:spacing w:val="164"/>
                <w:shd w:val="solid" w:color="000000" w:fill="000000"/>
                <w:fitText w:val="250" w:id="-694959862"/>
                <w14:textFill>
                  <w14:solidFill>
                    <w14:srgbClr w14:val="000000">
                      <w14:alpha w14:val="100000"/>
                    </w14:srgbClr>
                  </w14:solidFill>
                </w14:textFill>
              </w:rPr>
              <w:t>|</w:t>
            </w:r>
            <w:r w:rsidR="003F51AF" w:rsidRPr="003F51AF">
              <w:rPr>
                <w:color w:val="000000"/>
                <w:spacing w:val="1"/>
                <w:shd w:val="solid" w:color="000000" w:fill="000000"/>
                <w:fitText w:val="250" w:id="-694959862"/>
                <w14:textFill>
                  <w14:solidFill>
                    <w14:srgbClr w14:val="000000">
                      <w14:alpha w14:val="100000"/>
                    </w14:srgbClr>
                  </w14:solidFill>
                </w14:textFill>
              </w:rPr>
              <w:t>|</w:t>
            </w:r>
            <w:r>
              <w:t xml:space="preserve"> Weeks 25-48: $</w:t>
            </w:r>
            <w:r w:rsidR="003F51AF" w:rsidRPr="003F51AF">
              <w:rPr>
                <w:rFonts w:hint="eastAsia"/>
                <w:color w:val="000000"/>
                <w:w w:val="24"/>
                <w:shd w:val="solid" w:color="000000" w:fill="000000"/>
                <w:fitText w:val="110" w:id="-694959861"/>
                <w14:textFill>
                  <w14:solidFill>
                    <w14:srgbClr w14:val="000000">
                      <w14:alpha w14:val="100000"/>
                    </w14:srgbClr>
                  </w14:solidFill>
                </w14:textFill>
              </w:rPr>
              <w:t xml:space="preserve">　</w:t>
            </w:r>
            <w:r w:rsidR="003F51AF" w:rsidRPr="003F51AF">
              <w:rPr>
                <w:color w:val="000000"/>
                <w:w w:val="24"/>
                <w:shd w:val="solid" w:color="000000" w:fill="000000"/>
                <w:fitText w:val="110" w:id="-694959861"/>
                <w14:textFill>
                  <w14:solidFill>
                    <w14:srgbClr w14:val="000000">
                      <w14:alpha w14:val="100000"/>
                    </w14:srgbClr>
                  </w14:solidFill>
                </w14:textFill>
              </w:rPr>
              <w:t>|</w:t>
            </w:r>
            <w:r w:rsidR="003F51AF" w:rsidRPr="003F51AF">
              <w:rPr>
                <w:rFonts w:hint="eastAsia"/>
                <w:color w:val="000000"/>
                <w:spacing w:val="6"/>
                <w:w w:val="24"/>
                <w:shd w:val="solid" w:color="000000" w:fill="000000"/>
                <w:fitText w:val="110" w:id="-694959861"/>
                <w14:textFill>
                  <w14:solidFill>
                    <w14:srgbClr w14:val="000000">
                      <w14:alpha w14:val="100000"/>
                    </w14:srgbClr>
                  </w14:solidFill>
                </w14:textFill>
              </w:rPr>
              <w:t xml:space="preserve">　</w:t>
            </w:r>
          </w:p>
          <w:p w14:paraId="4B04DC89" w14:textId="5449B07B" w:rsidR="009040A5" w:rsidRDefault="009040A5">
            <w:pPr>
              <w:pStyle w:val="COMTabletext"/>
              <w:jc w:val="center"/>
            </w:pPr>
            <w:r>
              <w:t>Weeks 49+: $</w:t>
            </w:r>
            <w:r w:rsidR="003F51AF" w:rsidRPr="003F51AF">
              <w:rPr>
                <w:color w:val="000000"/>
                <w:shd w:val="solid" w:color="000000" w:fill="000000"/>
                <w14:textFill>
                  <w14:solidFill>
                    <w14:srgbClr w14:val="000000">
                      <w14:alpha w14:val="100000"/>
                    </w14:srgbClr>
                  </w14:solidFill>
                </w14:textFill>
              </w:rPr>
              <w:t>|</w:t>
            </w:r>
          </w:p>
        </w:tc>
        <w:tc>
          <w:tcPr>
            <w:tcW w:w="698" w:type="pct"/>
            <w:shd w:val="clear" w:color="auto" w:fill="auto"/>
          </w:tcPr>
          <w:p w14:paraId="148D5050" w14:textId="77777777" w:rsidR="009040A5" w:rsidRDefault="009040A5">
            <w:pPr>
              <w:pStyle w:val="COMTabletext"/>
              <w:jc w:val="center"/>
            </w:pPr>
            <w:r>
              <w:t>Week 1:</w:t>
            </w:r>
          </w:p>
          <w:p w14:paraId="0C4EBDB2" w14:textId="6AEC182D" w:rsidR="009040A5" w:rsidRPr="009D16B2" w:rsidRDefault="009040A5">
            <w:pPr>
              <w:pStyle w:val="COMTabletext"/>
              <w:jc w:val="center"/>
              <w:rPr>
                <w:vertAlign w:val="superscript"/>
              </w:rPr>
            </w:pPr>
            <w:r w:rsidRPr="009D16B2">
              <w:t>$</w:t>
            </w:r>
            <w:r w:rsidR="003F51AF" w:rsidRPr="00347D89">
              <w:rPr>
                <w:rFonts w:hint="eastAsia"/>
                <w:color w:val="000000"/>
                <w:w w:val="15"/>
                <w:shd w:val="solid" w:color="000000" w:fill="000000"/>
                <w:fitText w:val="20" w:id="-694959860"/>
                <w14:textFill>
                  <w14:solidFill>
                    <w14:srgbClr w14:val="000000">
                      <w14:alpha w14:val="100000"/>
                    </w14:srgbClr>
                  </w14:solidFill>
                </w14:textFill>
              </w:rPr>
              <w:t xml:space="preserve">　</w:t>
            </w:r>
            <w:proofErr w:type="gramStart"/>
            <w:r w:rsidR="003F51AF" w:rsidRPr="00347D89">
              <w:rPr>
                <w:color w:val="000000"/>
                <w:w w:val="15"/>
                <w:shd w:val="solid" w:color="000000" w:fill="000000"/>
                <w:fitText w:val="20" w:id="-694959860"/>
                <w14:textFill>
                  <w14:solidFill>
                    <w14:srgbClr w14:val="000000">
                      <w14:alpha w14:val="100000"/>
                    </w14:srgbClr>
                  </w14:solidFill>
                </w14:textFill>
              </w:rPr>
              <w:t>|</w:t>
            </w:r>
            <w:r w:rsidR="003F51AF" w:rsidRPr="00347D89">
              <w:rPr>
                <w:rFonts w:hint="eastAsia"/>
                <w:color w:val="000000"/>
                <w:spacing w:val="-45"/>
                <w:w w:val="15"/>
                <w:shd w:val="solid" w:color="000000" w:fill="000000"/>
                <w:fitText w:val="20" w:id="-694959860"/>
                <w14:textFill>
                  <w14:solidFill>
                    <w14:srgbClr w14:val="000000">
                      <w14:alpha w14:val="100000"/>
                    </w14:srgbClr>
                  </w14:solidFill>
                </w14:textFill>
              </w:rPr>
              <w:t xml:space="preserve">　</w:t>
            </w:r>
            <w:r>
              <w:t xml:space="preserve"> </w:t>
            </w:r>
            <w:r>
              <w:rPr>
                <w:vertAlign w:val="superscript"/>
              </w:rPr>
              <w:t>e</w:t>
            </w:r>
            <w:proofErr w:type="gramEnd"/>
          </w:p>
          <w:p w14:paraId="43D004B8" w14:textId="77777777" w:rsidR="009040A5" w:rsidRDefault="009040A5">
            <w:pPr>
              <w:pStyle w:val="COMTabletext"/>
              <w:jc w:val="center"/>
            </w:pPr>
            <w:r>
              <w:t>Weeks 2-24:</w:t>
            </w:r>
          </w:p>
          <w:p w14:paraId="1E51E362" w14:textId="02C880D6" w:rsidR="009040A5" w:rsidRDefault="009040A5">
            <w:pPr>
              <w:pStyle w:val="COMTabletext"/>
              <w:jc w:val="center"/>
            </w:pPr>
            <w:r w:rsidRPr="00053566">
              <w:t>$</w:t>
            </w:r>
            <w:r w:rsidR="003F51AF" w:rsidRPr="003F51AF">
              <w:rPr>
                <w:color w:val="000000"/>
                <w:shd w:val="solid" w:color="000000" w:fill="000000"/>
                <w14:textFill>
                  <w14:solidFill>
                    <w14:srgbClr w14:val="000000">
                      <w14:alpha w14:val="100000"/>
                    </w14:srgbClr>
                  </w14:solidFill>
                </w14:textFill>
              </w:rPr>
              <w:t>|</w:t>
            </w:r>
          </w:p>
          <w:p w14:paraId="468CE697" w14:textId="77777777" w:rsidR="009040A5" w:rsidRDefault="009040A5">
            <w:pPr>
              <w:pStyle w:val="COMTabletext"/>
              <w:jc w:val="center"/>
            </w:pPr>
            <w:r>
              <w:t>Weeks 25-48:</w:t>
            </w:r>
          </w:p>
          <w:p w14:paraId="26770D58" w14:textId="2D4B8FD9" w:rsidR="009040A5" w:rsidRDefault="009040A5">
            <w:pPr>
              <w:pStyle w:val="COMTabletext"/>
              <w:jc w:val="center"/>
            </w:pPr>
            <w:r w:rsidRPr="00053566">
              <w:t>$</w:t>
            </w:r>
            <w:r w:rsidR="003F51AF" w:rsidRPr="003F51AF">
              <w:rPr>
                <w:color w:val="000000"/>
                <w:shd w:val="solid" w:color="000000" w:fill="000000"/>
                <w14:textFill>
                  <w14:solidFill>
                    <w14:srgbClr w14:val="000000">
                      <w14:alpha w14:val="100000"/>
                    </w14:srgbClr>
                  </w14:solidFill>
                </w14:textFill>
              </w:rPr>
              <w:t>|</w:t>
            </w:r>
          </w:p>
          <w:p w14:paraId="40479E51" w14:textId="77777777" w:rsidR="009040A5" w:rsidRDefault="009040A5">
            <w:pPr>
              <w:pStyle w:val="COMTabletext"/>
              <w:jc w:val="center"/>
            </w:pPr>
            <w:r>
              <w:t>Weeks 49+:</w:t>
            </w:r>
          </w:p>
          <w:p w14:paraId="16916FDB" w14:textId="115D169C" w:rsidR="009040A5" w:rsidRPr="006E0FA2" w:rsidRDefault="009040A5">
            <w:pPr>
              <w:pStyle w:val="COMTabletext"/>
              <w:jc w:val="center"/>
            </w:pPr>
            <w:r w:rsidRPr="00053566">
              <w:t>$</w:t>
            </w:r>
            <w:r w:rsidR="003F51AF" w:rsidRPr="003F51AF">
              <w:rPr>
                <w:color w:val="000000"/>
                <w:shd w:val="solid" w:color="000000" w:fill="000000"/>
                <w14:textFill>
                  <w14:solidFill>
                    <w14:srgbClr w14:val="000000">
                      <w14:alpha w14:val="100000"/>
                    </w14:srgbClr>
                  </w14:solidFill>
                </w14:textFill>
              </w:rPr>
              <w:t>|</w:t>
            </w:r>
          </w:p>
        </w:tc>
        <w:tc>
          <w:tcPr>
            <w:tcW w:w="697" w:type="pct"/>
            <w:shd w:val="clear" w:color="auto" w:fill="auto"/>
            <w:vAlign w:val="center"/>
          </w:tcPr>
          <w:p w14:paraId="647CE3A5" w14:textId="77777777" w:rsidR="009040A5" w:rsidRPr="006E0FA2" w:rsidRDefault="009040A5">
            <w:pPr>
              <w:pStyle w:val="COMTabletext"/>
              <w:jc w:val="center"/>
            </w:pPr>
            <w:r>
              <w:t>-</w:t>
            </w:r>
          </w:p>
        </w:tc>
        <w:tc>
          <w:tcPr>
            <w:tcW w:w="698" w:type="pct"/>
            <w:shd w:val="clear" w:color="auto" w:fill="auto"/>
            <w:vAlign w:val="center"/>
          </w:tcPr>
          <w:p w14:paraId="26362EE6" w14:textId="77777777" w:rsidR="009040A5" w:rsidRPr="009232EB" w:rsidRDefault="009040A5">
            <w:pPr>
              <w:pStyle w:val="COMTabletext"/>
              <w:jc w:val="center"/>
              <w:rPr>
                <w:vertAlign w:val="superscript"/>
              </w:rPr>
            </w:pPr>
            <w:r>
              <w:t>Week 1: $</w:t>
            </w:r>
            <w:r w:rsidRPr="00B77732">
              <w:t>1,016.48</w:t>
            </w:r>
            <w:r>
              <w:t xml:space="preserve"> </w:t>
            </w:r>
            <w:r>
              <w:rPr>
                <w:vertAlign w:val="superscript"/>
              </w:rPr>
              <w:t>f</w:t>
            </w:r>
          </w:p>
          <w:p w14:paraId="07B1EDFF" w14:textId="77777777" w:rsidR="009040A5" w:rsidRPr="009232EB" w:rsidRDefault="009040A5">
            <w:pPr>
              <w:pStyle w:val="COMTabletext"/>
              <w:jc w:val="center"/>
              <w:rPr>
                <w:vertAlign w:val="superscript"/>
              </w:rPr>
            </w:pPr>
            <w:r>
              <w:t>Weeks 2-4: $</w:t>
            </w:r>
            <w:r w:rsidRPr="00B77732">
              <w:t>1,494.85</w:t>
            </w:r>
            <w:r>
              <w:t xml:space="preserve"> </w:t>
            </w:r>
            <w:r>
              <w:rPr>
                <w:vertAlign w:val="superscript"/>
              </w:rPr>
              <w:t>f</w:t>
            </w:r>
          </w:p>
          <w:p w14:paraId="50040B34" w14:textId="77777777" w:rsidR="009040A5" w:rsidRPr="009232EB" w:rsidRDefault="009040A5">
            <w:pPr>
              <w:pStyle w:val="COMTabletext"/>
              <w:jc w:val="center"/>
              <w:rPr>
                <w:vertAlign w:val="superscript"/>
              </w:rPr>
            </w:pPr>
            <w:r>
              <w:t>Weeks 5+: $</w:t>
            </w:r>
            <w:r w:rsidRPr="00B77732">
              <w:t>1,627.04</w:t>
            </w:r>
            <w:r>
              <w:t xml:space="preserve"> </w:t>
            </w:r>
            <w:r>
              <w:rPr>
                <w:vertAlign w:val="superscript"/>
              </w:rPr>
              <w:t>f</w:t>
            </w:r>
          </w:p>
        </w:tc>
        <w:tc>
          <w:tcPr>
            <w:tcW w:w="698" w:type="pct"/>
            <w:vAlign w:val="center"/>
          </w:tcPr>
          <w:p w14:paraId="462EB33D" w14:textId="407FC5A4" w:rsidR="009040A5" w:rsidRPr="00592FA5" w:rsidRDefault="009040A5">
            <w:pPr>
              <w:pStyle w:val="COMTabletext"/>
              <w:jc w:val="center"/>
              <w:rPr>
                <w:vertAlign w:val="superscript"/>
              </w:rPr>
            </w:pPr>
            <w:r w:rsidRPr="00592FA5">
              <w:t>$1,275.57</w:t>
            </w:r>
            <w:r>
              <w:t xml:space="preserve"> </w:t>
            </w:r>
            <w:r>
              <w:rPr>
                <w:vertAlign w:val="superscript"/>
              </w:rPr>
              <w:t>g</w:t>
            </w:r>
            <w:r w:rsidR="00101D61">
              <w:rPr>
                <w:vertAlign w:val="superscript"/>
              </w:rPr>
              <w:t xml:space="preserve"> </w:t>
            </w:r>
            <w:r>
              <w:rPr>
                <w:vertAlign w:val="superscript"/>
              </w:rPr>
              <w:t>h</w:t>
            </w:r>
          </w:p>
        </w:tc>
      </w:tr>
      <w:tr w:rsidR="009040A5" w:rsidRPr="006E0FA2" w14:paraId="1B1EA566" w14:textId="77777777">
        <w:trPr>
          <w:cantSplit/>
          <w:jc w:val="center"/>
        </w:trPr>
        <w:tc>
          <w:tcPr>
            <w:tcW w:w="815" w:type="pct"/>
            <w:shd w:val="clear" w:color="auto" w:fill="auto"/>
            <w:vAlign w:val="center"/>
          </w:tcPr>
          <w:p w14:paraId="59C8C910" w14:textId="77777777" w:rsidR="009040A5" w:rsidRPr="006E0FA2" w:rsidRDefault="009040A5">
            <w:pPr>
              <w:pStyle w:val="COMTabletext"/>
            </w:pPr>
            <w:r>
              <w:t>Cost/patient/course</w:t>
            </w:r>
          </w:p>
        </w:tc>
        <w:tc>
          <w:tcPr>
            <w:tcW w:w="697" w:type="pct"/>
            <w:shd w:val="clear" w:color="auto" w:fill="auto"/>
            <w:vAlign w:val="center"/>
          </w:tcPr>
          <w:p w14:paraId="06D6603B" w14:textId="77777777" w:rsidR="009040A5" w:rsidRPr="006E0FA2" w:rsidRDefault="009040A5">
            <w:pPr>
              <w:pStyle w:val="COMTabletext"/>
              <w:jc w:val="center"/>
            </w:pPr>
            <w:r>
              <w:t>-</w:t>
            </w:r>
          </w:p>
        </w:tc>
        <w:tc>
          <w:tcPr>
            <w:tcW w:w="698" w:type="pct"/>
            <w:shd w:val="clear" w:color="auto" w:fill="auto"/>
            <w:vAlign w:val="center"/>
          </w:tcPr>
          <w:p w14:paraId="69365CBF" w14:textId="7E6D1347" w:rsidR="009040A5" w:rsidRPr="007D384A" w:rsidRDefault="009040A5">
            <w:pPr>
              <w:pStyle w:val="COMTabletext"/>
              <w:jc w:val="center"/>
              <w:rPr>
                <w:vertAlign w:val="superscript"/>
              </w:rPr>
            </w:pPr>
            <w:r w:rsidRPr="00A40357">
              <w:t>$</w:t>
            </w:r>
            <w:r w:rsidR="003F51AF" w:rsidRPr="003F51AF">
              <w:rPr>
                <w:color w:val="000000"/>
                <w:shd w:val="solid" w:color="000000" w:fill="000000"/>
                <w14:textFill>
                  <w14:solidFill>
                    <w14:srgbClr w14:val="000000">
                      <w14:alpha w14:val="100000"/>
                    </w14:srgbClr>
                  </w14:solidFill>
                </w14:textFill>
              </w:rPr>
              <w:t>|</w:t>
            </w:r>
          </w:p>
        </w:tc>
        <w:tc>
          <w:tcPr>
            <w:tcW w:w="698" w:type="pct"/>
            <w:shd w:val="clear" w:color="auto" w:fill="auto"/>
            <w:vAlign w:val="center"/>
          </w:tcPr>
          <w:p w14:paraId="6590F6C2" w14:textId="39D243CC" w:rsidR="009040A5" w:rsidRPr="00791960" w:rsidRDefault="009040A5">
            <w:pPr>
              <w:pStyle w:val="COMTabletext"/>
              <w:jc w:val="center"/>
              <w:rPr>
                <w:vertAlign w:val="superscript"/>
              </w:rPr>
            </w:pPr>
            <w:r w:rsidRPr="007849EB">
              <w:t>$</w:t>
            </w:r>
            <w:r w:rsidR="003F51AF" w:rsidRPr="003F51AF">
              <w:rPr>
                <w:color w:val="000000"/>
                <w:shd w:val="solid" w:color="000000" w:fill="000000"/>
                <w14:textFill>
                  <w14:solidFill>
                    <w14:srgbClr w14:val="000000">
                      <w14:alpha w14:val="100000"/>
                    </w14:srgbClr>
                  </w14:solidFill>
                </w14:textFill>
              </w:rPr>
              <w:t>|</w:t>
            </w:r>
          </w:p>
        </w:tc>
        <w:tc>
          <w:tcPr>
            <w:tcW w:w="697" w:type="pct"/>
            <w:shd w:val="clear" w:color="auto" w:fill="auto"/>
            <w:vAlign w:val="center"/>
          </w:tcPr>
          <w:p w14:paraId="0557557C" w14:textId="77777777" w:rsidR="009040A5" w:rsidRPr="006E0FA2" w:rsidRDefault="009040A5">
            <w:pPr>
              <w:pStyle w:val="COMTabletext"/>
              <w:jc w:val="center"/>
            </w:pPr>
            <w:r>
              <w:t>-</w:t>
            </w:r>
          </w:p>
        </w:tc>
        <w:tc>
          <w:tcPr>
            <w:tcW w:w="698" w:type="pct"/>
            <w:shd w:val="clear" w:color="auto" w:fill="auto"/>
            <w:vAlign w:val="center"/>
          </w:tcPr>
          <w:p w14:paraId="027723D5" w14:textId="0FDE0946" w:rsidR="009040A5" w:rsidRPr="009232EB" w:rsidRDefault="003B5B8A">
            <w:pPr>
              <w:pStyle w:val="COMTabletext"/>
              <w:jc w:val="center"/>
              <w:rPr>
                <w:vertAlign w:val="superscript"/>
              </w:rPr>
            </w:pPr>
            <w:r w:rsidRPr="003B5B8A">
              <w:t>$72,0</w:t>
            </w:r>
            <w:r w:rsidR="003E2ABF">
              <w:t>40</w:t>
            </w:r>
            <w:r>
              <w:t xml:space="preserve"> </w:t>
            </w:r>
            <w:r w:rsidR="009040A5">
              <w:rPr>
                <w:vertAlign w:val="superscript"/>
              </w:rPr>
              <w:t>f</w:t>
            </w:r>
          </w:p>
        </w:tc>
        <w:tc>
          <w:tcPr>
            <w:tcW w:w="698" w:type="pct"/>
          </w:tcPr>
          <w:p w14:paraId="2FA6552E" w14:textId="5416772E" w:rsidR="009040A5" w:rsidRPr="00A82398" w:rsidRDefault="009040A5">
            <w:pPr>
              <w:pStyle w:val="COMTabletext"/>
              <w:jc w:val="center"/>
              <w:rPr>
                <w:vertAlign w:val="superscript"/>
              </w:rPr>
            </w:pPr>
            <w:r w:rsidRPr="007D384A">
              <w:t>$50,895</w:t>
            </w:r>
            <w:r>
              <w:t xml:space="preserve"> </w:t>
            </w:r>
            <w:r>
              <w:rPr>
                <w:vertAlign w:val="superscript"/>
              </w:rPr>
              <w:t>h</w:t>
            </w:r>
          </w:p>
        </w:tc>
      </w:tr>
    </w:tbl>
    <w:p w14:paraId="01BC02D0" w14:textId="77777777" w:rsidR="009040A5" w:rsidRDefault="009040A5" w:rsidP="009040A5">
      <w:pPr>
        <w:pStyle w:val="COMTablefooter"/>
      </w:pPr>
      <w:r w:rsidRPr="006E0FA2">
        <w:t xml:space="preserve">Source: </w:t>
      </w:r>
      <w:r>
        <w:t>Constructed during the evaluation using the Section 3 economic model and Section 4 financial implications Excel workbooks.</w:t>
      </w:r>
    </w:p>
    <w:p w14:paraId="24C4A75A" w14:textId="77777777" w:rsidR="009040A5" w:rsidRDefault="009040A5" w:rsidP="009040A5">
      <w:pPr>
        <w:pStyle w:val="COMTablefooter"/>
      </w:pPr>
      <w:r>
        <w:t>Abbreviations: Cd, carfilzomib + dexamethasone; NE, not estimable; Pd, pomalidomide + dexamethasone; Sd, selinexor + dexamethasone.</w:t>
      </w:r>
    </w:p>
    <w:p w14:paraId="2754ED9C" w14:textId="77777777" w:rsidR="009040A5" w:rsidRPr="00A50019" w:rsidRDefault="009040A5" w:rsidP="009040A5">
      <w:pPr>
        <w:pStyle w:val="COMTablefooter"/>
      </w:pPr>
      <w:r>
        <w:rPr>
          <w:vertAlign w:val="superscript"/>
        </w:rPr>
        <w:lastRenderedPageBreak/>
        <w:t>a</w:t>
      </w:r>
      <w:r>
        <w:t xml:space="preserve"> Mean treatment duration estimated from the proportion of patients on primary treatment over time in the economic model.</w:t>
      </w:r>
    </w:p>
    <w:p w14:paraId="002C2FD9" w14:textId="77777777" w:rsidR="009040A5" w:rsidRPr="00455DB8" w:rsidRDefault="009040A5" w:rsidP="009040A5">
      <w:pPr>
        <w:pStyle w:val="COMTablefooter"/>
      </w:pPr>
      <w:r>
        <w:rPr>
          <w:vertAlign w:val="superscript"/>
        </w:rPr>
        <w:t>b</w:t>
      </w:r>
      <w:r>
        <w:t xml:space="preserve"> Treatment duration based on the modelled duration of treatment in the economic model.</w:t>
      </w:r>
    </w:p>
    <w:p w14:paraId="3A3457D2" w14:textId="23884A6B" w:rsidR="009040A5" w:rsidRPr="00392A76" w:rsidRDefault="009040A5" w:rsidP="009040A5">
      <w:pPr>
        <w:pStyle w:val="COMTablefooter"/>
      </w:pPr>
      <w:r>
        <w:rPr>
          <w:vertAlign w:val="superscript"/>
        </w:rPr>
        <w:t xml:space="preserve">c </w:t>
      </w:r>
      <w:r>
        <w:t>Based on the treatment duration for Cd reported in the ENDEAVOR trial (Dimopoulos et al., 2016).</w:t>
      </w:r>
    </w:p>
    <w:p w14:paraId="0519F1C7" w14:textId="66B3AC65" w:rsidR="009040A5" w:rsidRDefault="009040A5" w:rsidP="009040A5">
      <w:pPr>
        <w:pStyle w:val="COMTablefooter"/>
      </w:pPr>
      <w:r>
        <w:rPr>
          <w:vertAlign w:val="superscript"/>
        </w:rPr>
        <w:t>d</w:t>
      </w:r>
      <w:r>
        <w:t xml:space="preserve"> Inclusive of treatment adherence of 79% for elranatamab (79.12% in the financial estimates), 93% for Cd once weekly regimen, 97% for Cd twice weekly regimen, 90% for Pd, and 72%/78% for selinexor/dexamethasone for Sd.</w:t>
      </w:r>
    </w:p>
    <w:p w14:paraId="4F5D2307" w14:textId="1A6DE7D1" w:rsidR="009040A5" w:rsidRPr="009D16B2" w:rsidRDefault="009040A5" w:rsidP="009040A5">
      <w:pPr>
        <w:pStyle w:val="COMTablefooter"/>
      </w:pPr>
      <w:r>
        <w:rPr>
          <w:vertAlign w:val="superscript"/>
        </w:rPr>
        <w:t>e</w:t>
      </w:r>
      <w:r>
        <w:t xml:space="preserve"> Based on the average cost of 2 x 44 mg scripts, assuming a</w:t>
      </w:r>
      <w:r w:rsidRPr="009D16B2">
        <w:t xml:space="preserve"> 40.1%</w:t>
      </w:r>
      <w:r>
        <w:t>/</w:t>
      </w:r>
      <w:r w:rsidRPr="009D16B2">
        <w:t>59.9%</w:t>
      </w:r>
      <w:r>
        <w:t xml:space="preserve"> public/private hospital split, with costs included for </w:t>
      </w:r>
      <w:r w:rsidR="00F243ED">
        <w:t xml:space="preserve">all </w:t>
      </w:r>
      <w:r>
        <w:t xml:space="preserve">private hospital patients and 10% of public hospital patients </w:t>
      </w:r>
      <w:r w:rsidR="00F243ED">
        <w:t xml:space="preserve">(10% of public hospital patients </w:t>
      </w:r>
      <w:r>
        <w:t>assumed to receive treatment as outpatients</w:t>
      </w:r>
      <w:r w:rsidR="00F243ED">
        <w:t>)</w:t>
      </w:r>
      <w:r>
        <w:t xml:space="preserve">. </w:t>
      </w:r>
    </w:p>
    <w:p w14:paraId="4315A52D" w14:textId="16712E89" w:rsidR="009040A5" w:rsidRDefault="009040A5" w:rsidP="009040A5">
      <w:pPr>
        <w:pStyle w:val="COMTablefooter"/>
      </w:pPr>
      <w:r>
        <w:rPr>
          <w:vertAlign w:val="superscript"/>
        </w:rPr>
        <w:t>f</w:t>
      </w:r>
      <w:r>
        <w:t xml:space="preserve"> Based on published prices, with a weighted average weekly cost (Cd 51.0%, Pd 46.5% and Sd 2.5%).</w:t>
      </w:r>
    </w:p>
    <w:p w14:paraId="306E7CD3" w14:textId="77777777" w:rsidR="009040A5" w:rsidRPr="00592FA5" w:rsidRDefault="009040A5" w:rsidP="009040A5">
      <w:pPr>
        <w:pStyle w:val="COMTablefooter"/>
      </w:pPr>
      <w:r>
        <w:rPr>
          <w:vertAlign w:val="superscript"/>
        </w:rPr>
        <w:t>g</w:t>
      </w:r>
      <w:r>
        <w:t xml:space="preserve"> Average weekly cost over the assumed 39.9 weeks of treatment, based on a 63%/37% split between Cd weekly and twice weekly treatment regimens, and a </w:t>
      </w:r>
      <w:r w:rsidRPr="00887C68">
        <w:t>40.1%/59.9% public/private hospital split</w:t>
      </w:r>
      <w:r>
        <w:t>.</w:t>
      </w:r>
    </w:p>
    <w:p w14:paraId="19B77D73" w14:textId="77777777" w:rsidR="009040A5" w:rsidRPr="006E0FA2" w:rsidRDefault="009040A5" w:rsidP="009040A5">
      <w:pPr>
        <w:pStyle w:val="COMTablefooter"/>
      </w:pPr>
      <w:r>
        <w:rPr>
          <w:vertAlign w:val="superscript"/>
        </w:rPr>
        <w:t>h</w:t>
      </w:r>
      <w:r>
        <w:t xml:space="preserve"> Based on the estimated effective price of carfilzomib, assumed to be 50% of the published AEMP.</w:t>
      </w:r>
      <w:bookmarkStart w:id="60" w:name="_Hlk107307804"/>
      <w:r w:rsidRPr="006E0FA2">
        <w:t xml:space="preserve"> </w:t>
      </w:r>
    </w:p>
    <w:bookmarkEnd w:id="60"/>
    <w:p w14:paraId="0420B3EF" w14:textId="77777777" w:rsidR="00592AE3" w:rsidRPr="006E0FA2" w:rsidRDefault="00592AE3" w:rsidP="00592AE3">
      <w:pPr>
        <w:pStyle w:val="COMH2-non-numbered"/>
      </w:pPr>
      <w:r w:rsidRPr="006E0FA2">
        <w:t>Estimated PBS usage &amp; financial implications</w:t>
      </w:r>
    </w:p>
    <w:p w14:paraId="45DB03D0" w14:textId="59A07BFC" w:rsidR="00245156" w:rsidRDefault="00C25D9C" w:rsidP="002B05A1">
      <w:pPr>
        <w:pStyle w:val="COMexecsummnumbered"/>
      </w:pPr>
      <w:r w:rsidRPr="006E0FA2">
        <w:t xml:space="preserve">This </w:t>
      </w:r>
      <w:r w:rsidR="004833A6">
        <w:t>re</w:t>
      </w:r>
      <w:r w:rsidRPr="006E0FA2">
        <w:t xml:space="preserve">submission </w:t>
      </w:r>
      <w:r w:rsidR="000B44AF">
        <w:t>was not</w:t>
      </w:r>
      <w:r w:rsidR="00D23D11" w:rsidRPr="006E0FA2">
        <w:t xml:space="preserve"> </w:t>
      </w:r>
      <w:r w:rsidRPr="006E0FA2">
        <w:t>considered by DUSC.</w:t>
      </w:r>
    </w:p>
    <w:p w14:paraId="16EF4367" w14:textId="45773B93" w:rsidR="002B05A1" w:rsidRDefault="00245156" w:rsidP="002B05A1">
      <w:pPr>
        <w:pStyle w:val="COMexecsummnumbered"/>
      </w:pPr>
      <w:r>
        <w:t xml:space="preserve">The resubmission used an epidemiological approach to estimate the utilisation and financial implications of listing elranatamab for the treatment </w:t>
      </w:r>
      <w:r w:rsidRPr="00981DB6">
        <w:t xml:space="preserve">of patients with </w:t>
      </w:r>
      <w:r w:rsidR="006C74D6">
        <w:t>RRMM</w:t>
      </w:r>
      <w:r w:rsidRPr="00981DB6">
        <w:t xml:space="preserve"> who have received at least three prior</w:t>
      </w:r>
      <w:r>
        <w:t xml:space="preserve"> lines of therapy that include a proteasome inhibitor, immunomodulatory drug, and an anti-CD38 antibody.</w:t>
      </w:r>
      <w:r w:rsidR="007F1EEA">
        <w:t xml:space="preserve"> The resubmission assumed a 50% rebate on the published price for carfilzomib. </w:t>
      </w:r>
    </w:p>
    <w:p w14:paraId="1C69053E" w14:textId="6042C48B" w:rsidR="006B329A" w:rsidRPr="00CB378F" w:rsidRDefault="00AB618C" w:rsidP="00CB378F">
      <w:pPr>
        <w:pStyle w:val="COMexecsummnumbered"/>
      </w:pPr>
      <w:r>
        <w:fldChar w:fldCharType="begin" w:fldLock="1"/>
      </w:r>
      <w:r>
        <w:instrText xml:space="preserve"> REF _Ref187747170 \h </w:instrText>
      </w:r>
      <w:r>
        <w:fldChar w:fldCharType="separate"/>
      </w:r>
      <w:r w:rsidR="00347D89" w:rsidRPr="006E0FA2">
        <w:t xml:space="preserve">Table </w:t>
      </w:r>
      <w:r w:rsidR="00347D89">
        <w:rPr>
          <w:noProof/>
        </w:rPr>
        <w:t>18</w:t>
      </w:r>
      <w:r>
        <w:fldChar w:fldCharType="end"/>
      </w:r>
      <w:r w:rsidR="00E16AD8" w:rsidRPr="006E0FA2">
        <w:t xml:space="preserve"> </w:t>
      </w:r>
      <w:r w:rsidR="000333EE">
        <w:t>presents the key inputs relied on in the financial estimates.</w:t>
      </w:r>
    </w:p>
    <w:p w14:paraId="380D5E8E" w14:textId="75E7C135" w:rsidR="000333EE" w:rsidRPr="006E0FA2" w:rsidRDefault="00A0323C" w:rsidP="00365828">
      <w:pPr>
        <w:pStyle w:val="COMtablefigcaption"/>
        <w:keepLines/>
      </w:pPr>
      <w:bookmarkStart w:id="61" w:name="_Ref187747170"/>
      <w:r w:rsidRPr="006E0FA2">
        <w:t xml:space="preserve">Table </w:t>
      </w:r>
      <w:r w:rsidR="006B329A">
        <w:fldChar w:fldCharType="begin" w:fldLock="1"/>
      </w:r>
      <w:r w:rsidR="006B329A">
        <w:instrText xml:space="preserve"> SEQ Table \* ARABIC </w:instrText>
      </w:r>
      <w:r w:rsidR="006B329A">
        <w:fldChar w:fldCharType="separate"/>
      </w:r>
      <w:r w:rsidR="00347D89">
        <w:rPr>
          <w:noProof/>
        </w:rPr>
        <w:t>18</w:t>
      </w:r>
      <w:r w:rsidR="006B329A">
        <w:rPr>
          <w:noProof/>
        </w:rPr>
        <w:fldChar w:fldCharType="end"/>
      </w:r>
      <w:bookmarkEnd w:id="61"/>
      <w:r w:rsidR="000333EE" w:rsidRPr="006E0FA2">
        <w:t>: Data sources and parameter values applied in the utilisation and financial estimates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26"/>
        <w:gridCol w:w="3998"/>
        <w:gridCol w:w="3656"/>
      </w:tblGrid>
      <w:tr w:rsidR="000D4890" w:rsidRPr="00B83066" w14:paraId="22000D82" w14:textId="77777777" w:rsidTr="00B27163">
        <w:trPr>
          <w:tblHeader/>
        </w:trPr>
        <w:tc>
          <w:tcPr>
            <w:tcW w:w="1526" w:type="dxa"/>
            <w:vAlign w:val="center"/>
          </w:tcPr>
          <w:p w14:paraId="212C8648" w14:textId="77777777" w:rsidR="000D4890" w:rsidRPr="00B83066" w:rsidRDefault="000D4890" w:rsidP="00365828">
            <w:pPr>
              <w:pStyle w:val="COMTableheadingrow"/>
              <w:keepLines/>
            </w:pPr>
            <w:r w:rsidRPr="00B83066">
              <w:t>Data</w:t>
            </w:r>
          </w:p>
        </w:tc>
        <w:tc>
          <w:tcPr>
            <w:tcW w:w="3998" w:type="dxa"/>
            <w:vAlign w:val="center"/>
          </w:tcPr>
          <w:p w14:paraId="56521E2D" w14:textId="48AD385A" w:rsidR="000D4890" w:rsidRPr="00B83066" w:rsidRDefault="000D4890" w:rsidP="00365828">
            <w:pPr>
              <w:pStyle w:val="COMTableheadingrow"/>
              <w:keepLines/>
              <w:jc w:val="center"/>
            </w:pPr>
            <w:r w:rsidRPr="00B83066">
              <w:t>Value applied and source</w:t>
            </w:r>
          </w:p>
        </w:tc>
        <w:tc>
          <w:tcPr>
            <w:tcW w:w="3656" w:type="dxa"/>
            <w:vAlign w:val="center"/>
          </w:tcPr>
          <w:p w14:paraId="275C7BA4" w14:textId="77777777" w:rsidR="000D4890" w:rsidRPr="00B83066" w:rsidRDefault="000D4890" w:rsidP="00365828">
            <w:pPr>
              <w:pStyle w:val="COMTableheadingrow"/>
              <w:keepLines/>
              <w:jc w:val="center"/>
            </w:pPr>
            <w:r w:rsidRPr="00B83066">
              <w:t>Comment</w:t>
            </w:r>
          </w:p>
        </w:tc>
      </w:tr>
      <w:tr w:rsidR="000333EE" w:rsidRPr="00B83066" w14:paraId="2EFE8BA5" w14:textId="77777777" w:rsidTr="002A3BF4">
        <w:tc>
          <w:tcPr>
            <w:tcW w:w="9180" w:type="dxa"/>
            <w:gridSpan w:val="3"/>
            <w:vAlign w:val="center"/>
          </w:tcPr>
          <w:p w14:paraId="77130047" w14:textId="77777777" w:rsidR="000333EE" w:rsidRPr="00B83066" w:rsidRDefault="000333EE" w:rsidP="00365828">
            <w:pPr>
              <w:pStyle w:val="COMTableheadingrow"/>
              <w:keepLines/>
            </w:pPr>
            <w:r w:rsidRPr="00B83066">
              <w:t>Eligible population</w:t>
            </w:r>
          </w:p>
        </w:tc>
      </w:tr>
      <w:tr w:rsidR="000D4890" w:rsidRPr="00B83066" w14:paraId="17A9575A" w14:textId="77777777" w:rsidTr="00B27163">
        <w:tc>
          <w:tcPr>
            <w:tcW w:w="1526" w:type="dxa"/>
            <w:vAlign w:val="center"/>
          </w:tcPr>
          <w:p w14:paraId="3FE948EB" w14:textId="77777777" w:rsidR="000D4890" w:rsidRPr="00B83066" w:rsidRDefault="000D4890" w:rsidP="00365828">
            <w:pPr>
              <w:pStyle w:val="COMTabletext"/>
              <w:keepLines/>
            </w:pPr>
            <w:r w:rsidRPr="00B83066">
              <w:t>Prevalent multiple myeloma patients</w:t>
            </w:r>
          </w:p>
        </w:tc>
        <w:tc>
          <w:tcPr>
            <w:tcW w:w="3998" w:type="dxa"/>
            <w:vAlign w:val="center"/>
          </w:tcPr>
          <w:p w14:paraId="77F7EF61" w14:textId="169E95D8" w:rsidR="000D4890" w:rsidRPr="00B83066" w:rsidRDefault="000D4890" w:rsidP="00365828">
            <w:pPr>
              <w:pStyle w:val="COMTabletext"/>
              <w:keepLines/>
            </w:pPr>
            <w:r w:rsidRPr="00B83066">
              <w:t>5-year prevalence rate of 0.0276% reported by the AIHW (5-year period ending December 2018) to the forecast ABS population.</w:t>
            </w:r>
          </w:p>
        </w:tc>
        <w:tc>
          <w:tcPr>
            <w:tcW w:w="3656" w:type="dxa"/>
            <w:vAlign w:val="center"/>
          </w:tcPr>
          <w:p w14:paraId="7DA7565E" w14:textId="7EF7A2B4" w:rsidR="000D4890" w:rsidRPr="00B83066" w:rsidRDefault="000D4890" w:rsidP="00365828">
            <w:pPr>
              <w:pStyle w:val="TableText"/>
              <w:widowControl/>
              <w:numPr>
                <w:ilvl w:val="0"/>
                <w:numId w:val="0"/>
              </w:numPr>
            </w:pPr>
            <w:r w:rsidRPr="00B83066">
              <w:t xml:space="preserve">Unchanged from the July 2024 submission. </w:t>
            </w:r>
          </w:p>
        </w:tc>
      </w:tr>
      <w:tr w:rsidR="000D4890" w:rsidRPr="00B83066" w14:paraId="24D86FF4" w14:textId="77777777" w:rsidTr="00B27163">
        <w:tc>
          <w:tcPr>
            <w:tcW w:w="1526" w:type="dxa"/>
            <w:vAlign w:val="center"/>
          </w:tcPr>
          <w:p w14:paraId="5688CD45" w14:textId="77777777" w:rsidR="000D4890" w:rsidRPr="00B83066" w:rsidRDefault="000D4890" w:rsidP="002A3BF4">
            <w:pPr>
              <w:pStyle w:val="COMTabletext"/>
              <w:keepNext w:val="0"/>
            </w:pPr>
            <w:r w:rsidRPr="00B83066">
              <w:t>Proportion with triple class exposed disease</w:t>
            </w:r>
          </w:p>
        </w:tc>
        <w:tc>
          <w:tcPr>
            <w:tcW w:w="3998" w:type="dxa"/>
            <w:vAlign w:val="center"/>
          </w:tcPr>
          <w:p w14:paraId="46C3235C" w14:textId="24A1F4C3" w:rsidR="000D4890" w:rsidRPr="00B83066" w:rsidRDefault="000D4890" w:rsidP="000D4890">
            <w:pPr>
              <w:pStyle w:val="COMTabletext"/>
              <w:keepNext w:val="0"/>
            </w:pPr>
            <w:r w:rsidRPr="00B83066">
              <w:t xml:space="preserve">13.8%; </w:t>
            </w:r>
            <w:r w:rsidR="001E508D" w:rsidRPr="00B83066">
              <w:t xml:space="preserve">based </w:t>
            </w:r>
            <w:r w:rsidRPr="00B83066">
              <w:t xml:space="preserve">on an analysis of PBS dispensing data provided by the DUSC Secretariat (100% sample), which estimated that </w:t>
            </w:r>
            <w:r w:rsidR="003F51AF" w:rsidRPr="003F51AF">
              <w:rPr>
                <w:color w:val="000000"/>
                <w:spacing w:val="53"/>
                <w:shd w:val="solid" w:color="000000" w:fill="000000"/>
                <w:fitText w:val="330" w:id="-694959859"/>
                <w14:textFill>
                  <w14:solidFill>
                    <w14:srgbClr w14:val="000000">
                      <w14:alpha w14:val="100000"/>
                    </w14:srgbClr>
                  </w14:solidFill>
                </w14:textFill>
              </w:rPr>
              <w:t>|||</w:t>
            </w:r>
            <w:r w:rsidR="003F51AF" w:rsidRPr="003F51AF">
              <w:rPr>
                <w:color w:val="000000"/>
                <w:spacing w:val="1"/>
                <w:shd w:val="solid" w:color="000000" w:fill="000000"/>
                <w:fitText w:val="330" w:id="-694959859"/>
                <w14:textFill>
                  <w14:solidFill>
                    <w14:srgbClr w14:val="000000">
                      <w14:alpha w14:val="100000"/>
                    </w14:srgbClr>
                  </w14:solidFill>
                </w14:textFill>
              </w:rPr>
              <w:t>|</w:t>
            </w:r>
            <w:r w:rsidR="00320293">
              <w:t xml:space="preserve"> </w:t>
            </w:r>
            <w:r w:rsidR="00320293">
              <w:rPr>
                <w:vertAlign w:val="superscript"/>
              </w:rPr>
              <w:t>1</w:t>
            </w:r>
            <w:r w:rsidRPr="00B83066">
              <w:t xml:space="preserve"> patients became triple class exposed (i.e., had a proteasome inhibitor, immunomodulatory drug and a CD38 antibody dispensed) in 2021/22, </w:t>
            </w:r>
            <w:r w:rsidR="003F51AF" w:rsidRPr="003F51AF">
              <w:rPr>
                <w:color w:val="000000"/>
                <w:spacing w:val="53"/>
                <w:shd w:val="solid" w:color="000000" w:fill="000000"/>
                <w:fitText w:val="330" w:id="-694959858"/>
                <w14:textFill>
                  <w14:solidFill>
                    <w14:srgbClr w14:val="000000">
                      <w14:alpha w14:val="100000"/>
                    </w14:srgbClr>
                  </w14:solidFill>
                </w14:textFill>
              </w:rPr>
              <w:t>|||</w:t>
            </w:r>
            <w:r w:rsidR="003F51AF" w:rsidRPr="003F51AF">
              <w:rPr>
                <w:color w:val="000000"/>
                <w:spacing w:val="1"/>
                <w:shd w:val="solid" w:color="000000" w:fill="000000"/>
                <w:fitText w:val="330" w:id="-694959858"/>
                <w14:textFill>
                  <w14:solidFill>
                    <w14:srgbClr w14:val="000000">
                      <w14:alpha w14:val="100000"/>
                    </w14:srgbClr>
                  </w14:solidFill>
                </w14:textFill>
              </w:rPr>
              <w:t>|</w:t>
            </w:r>
            <w:r w:rsidR="00320293">
              <w:t xml:space="preserve"> </w:t>
            </w:r>
            <w:r w:rsidR="00320293">
              <w:rPr>
                <w:vertAlign w:val="superscript"/>
              </w:rPr>
              <w:t>1</w:t>
            </w:r>
            <w:r w:rsidR="00320293" w:rsidRPr="00B83066">
              <w:t xml:space="preserve"> </w:t>
            </w:r>
            <w:r w:rsidRPr="00B83066">
              <w:t xml:space="preserve">in 2022/23 (an increase of 17%) and </w:t>
            </w:r>
            <w:r w:rsidR="003F51AF" w:rsidRPr="003F51AF">
              <w:rPr>
                <w:color w:val="000000"/>
                <w:spacing w:val="53"/>
                <w:shd w:val="solid" w:color="000000" w:fill="000000"/>
                <w:fitText w:val="330" w:id="-694959857"/>
                <w14:textFill>
                  <w14:solidFill>
                    <w14:srgbClr w14:val="000000">
                      <w14:alpha w14:val="100000"/>
                    </w14:srgbClr>
                  </w14:solidFill>
                </w14:textFill>
              </w:rPr>
              <w:t>|||</w:t>
            </w:r>
            <w:r w:rsidR="003F51AF" w:rsidRPr="003F51AF">
              <w:rPr>
                <w:color w:val="000000"/>
                <w:spacing w:val="1"/>
                <w:shd w:val="solid" w:color="000000" w:fill="000000"/>
                <w:fitText w:val="330" w:id="-694959857"/>
                <w14:textFill>
                  <w14:solidFill>
                    <w14:srgbClr w14:val="000000">
                      <w14:alpha w14:val="100000"/>
                    </w14:srgbClr>
                  </w14:solidFill>
                </w14:textFill>
              </w:rPr>
              <w:t>|</w:t>
            </w:r>
            <w:r w:rsidR="00320293">
              <w:t xml:space="preserve"> </w:t>
            </w:r>
            <w:r w:rsidR="00320293">
              <w:rPr>
                <w:vertAlign w:val="superscript"/>
              </w:rPr>
              <w:t>1</w:t>
            </w:r>
            <w:r w:rsidR="00320293" w:rsidRPr="00B83066">
              <w:t xml:space="preserve"> </w:t>
            </w:r>
            <w:r w:rsidRPr="00B83066">
              <w:t>in 2023/24 (an increase of 18%). The number of eligible patients in 2024/25 was assumed to increase by 19% from 2023/34, representing 13.8% of the prevalent population (</w:t>
            </w:r>
            <w:r w:rsidR="003F51AF" w:rsidRPr="003F51AF">
              <w:rPr>
                <w:color w:val="000000"/>
                <w:spacing w:val="53"/>
                <w:shd w:val="solid" w:color="000000" w:fill="000000"/>
                <w:fitText w:val="330" w:id="-694959856"/>
                <w14:textFill>
                  <w14:solidFill>
                    <w14:srgbClr w14:val="000000">
                      <w14:alpha w14:val="100000"/>
                    </w14:srgbClr>
                  </w14:solidFill>
                </w14:textFill>
              </w:rPr>
              <w:t>|||</w:t>
            </w:r>
            <w:r w:rsidR="003F51AF" w:rsidRPr="003F51AF">
              <w:rPr>
                <w:color w:val="000000"/>
                <w:spacing w:val="1"/>
                <w:shd w:val="solid" w:color="000000" w:fill="000000"/>
                <w:fitText w:val="330" w:id="-694959856"/>
                <w14:textFill>
                  <w14:solidFill>
                    <w14:srgbClr w14:val="000000">
                      <w14:alpha w14:val="100000"/>
                    </w14:srgbClr>
                  </w14:solidFill>
                </w14:textFill>
              </w:rPr>
              <w:t>|</w:t>
            </w:r>
            <w:r w:rsidR="00320293">
              <w:t xml:space="preserve"> </w:t>
            </w:r>
            <w:r w:rsidR="00320293">
              <w:rPr>
                <w:vertAlign w:val="superscript"/>
              </w:rPr>
              <w:t>1</w:t>
            </w:r>
            <w:r w:rsidR="00320293" w:rsidRPr="00B83066">
              <w:t xml:space="preserve"> </w:t>
            </w:r>
            <w:r w:rsidRPr="00B83066">
              <w:t xml:space="preserve">÷ </w:t>
            </w:r>
            <w:r w:rsidR="003F51AF" w:rsidRPr="003F51AF">
              <w:rPr>
                <w:color w:val="000000"/>
                <w:spacing w:val="53"/>
                <w:shd w:val="solid" w:color="000000" w:fill="000000"/>
                <w:fitText w:val="330" w:id="-694959872"/>
                <w14:textFill>
                  <w14:solidFill>
                    <w14:srgbClr w14:val="000000">
                      <w14:alpha w14:val="100000"/>
                    </w14:srgbClr>
                  </w14:solidFill>
                </w14:textFill>
              </w:rPr>
              <w:t>|||</w:t>
            </w:r>
            <w:r w:rsidR="003F51AF" w:rsidRPr="003F51AF">
              <w:rPr>
                <w:color w:val="000000"/>
                <w:spacing w:val="1"/>
                <w:shd w:val="solid" w:color="000000" w:fill="000000"/>
                <w:fitText w:val="330" w:id="-694959872"/>
                <w14:textFill>
                  <w14:solidFill>
                    <w14:srgbClr w14:val="000000">
                      <w14:alpha w14:val="100000"/>
                    </w14:srgbClr>
                  </w14:solidFill>
                </w14:textFill>
              </w:rPr>
              <w:t>|</w:t>
            </w:r>
            <w:r w:rsidR="00320293">
              <w:t xml:space="preserve"> </w:t>
            </w:r>
            <w:r w:rsidR="00320293">
              <w:rPr>
                <w:vertAlign w:val="superscript"/>
              </w:rPr>
              <w:t>2</w:t>
            </w:r>
            <w:r w:rsidR="00320293" w:rsidRPr="00B83066">
              <w:t xml:space="preserve"> </w:t>
            </w:r>
            <w:r w:rsidRPr="00B83066">
              <w:t>= 13.8%)</w:t>
            </w:r>
            <w:r w:rsidR="001E508D" w:rsidRPr="00B83066">
              <w:t>.</w:t>
            </w:r>
          </w:p>
        </w:tc>
        <w:tc>
          <w:tcPr>
            <w:tcW w:w="3656" w:type="dxa"/>
            <w:vAlign w:val="center"/>
          </w:tcPr>
          <w:p w14:paraId="47305923" w14:textId="6A588137" w:rsidR="000D4890" w:rsidRPr="00B83066" w:rsidRDefault="000D4890" w:rsidP="002A3BF4">
            <w:pPr>
              <w:pStyle w:val="TableText"/>
              <w:keepNext w:val="0"/>
              <w:numPr>
                <w:ilvl w:val="0"/>
                <w:numId w:val="0"/>
              </w:numPr>
            </w:pPr>
            <w:r w:rsidRPr="00B83066">
              <w:t xml:space="preserve">Increased from 2.9% in the July 2024 submission. </w:t>
            </w:r>
            <w:r w:rsidR="00DE3AEF" w:rsidRPr="00B83066">
              <w:t>Although DUSC considered that 2.9% was markedly underestimated, t</w:t>
            </w:r>
            <w:r w:rsidRPr="00B83066">
              <w:t>he PBS dispensing data analysis did not determine if medicines were used in combination, and therefore some patients may not have received three prior lines of therapy. Other factors, such as the timing of availability of PBS treatments may have impacted the proportion with triple class exposed patients identified in the analysis. There may be additional patients that are not captured in the PBS dataset, such as patients who have previously received components of the 3 required therapies (a proteasome inhibitor, immunomodulatory drug and an anti-CD38 antibody) through an alternative source (e.g., privately funded or through a public hospital).</w:t>
            </w:r>
          </w:p>
        </w:tc>
      </w:tr>
      <w:tr w:rsidR="000D4890" w:rsidRPr="00B83066" w14:paraId="7B7A0678" w14:textId="77777777" w:rsidTr="00B27163">
        <w:tc>
          <w:tcPr>
            <w:tcW w:w="1526" w:type="dxa"/>
            <w:vAlign w:val="center"/>
          </w:tcPr>
          <w:p w14:paraId="1E4BAE1F" w14:textId="12C8BE2B" w:rsidR="000D4890" w:rsidRPr="00B83066" w:rsidRDefault="000D4890" w:rsidP="002A3BF4">
            <w:pPr>
              <w:pStyle w:val="COMTabletext"/>
              <w:keepNext w:val="0"/>
            </w:pPr>
            <w:r w:rsidRPr="00B83066">
              <w:t>Proportion with triple class exposed disease initiating subsequent treatment</w:t>
            </w:r>
          </w:p>
        </w:tc>
        <w:tc>
          <w:tcPr>
            <w:tcW w:w="3998" w:type="dxa"/>
            <w:vAlign w:val="center"/>
          </w:tcPr>
          <w:p w14:paraId="7E1564AB" w14:textId="15C3E916" w:rsidR="00B27163" w:rsidRPr="00B83066" w:rsidRDefault="00B27163" w:rsidP="00B27163">
            <w:pPr>
              <w:pStyle w:val="COMTabletext"/>
              <w:keepNext w:val="0"/>
            </w:pPr>
            <w:r w:rsidRPr="00B83066">
              <w:t xml:space="preserve">Yr 1: </w:t>
            </w:r>
            <w:r w:rsidR="000D4890" w:rsidRPr="00B83066">
              <w:t>40.8%; Based on an analysis of PBS dispensing data provided by the DUSC Secretariat (100% sample)</w:t>
            </w:r>
            <w:r w:rsidRPr="00B83066">
              <w:t>.</w:t>
            </w:r>
          </w:p>
          <w:p w14:paraId="5DB59291" w14:textId="63BE7D50" w:rsidR="000D4890" w:rsidRPr="00B83066" w:rsidRDefault="000D4890" w:rsidP="00B27163">
            <w:pPr>
              <w:pStyle w:val="COMTabletext"/>
              <w:keepNext w:val="0"/>
            </w:pPr>
          </w:p>
          <w:p w14:paraId="019255DE" w14:textId="2ACAEFA4" w:rsidR="00B27163" w:rsidRPr="00B83066" w:rsidRDefault="00B27163" w:rsidP="00B27163">
            <w:pPr>
              <w:pStyle w:val="COMTabletext"/>
              <w:keepNext w:val="0"/>
            </w:pPr>
            <w:r w:rsidRPr="00B83066">
              <w:t xml:space="preserve">Yr 2: </w:t>
            </w:r>
            <w:r w:rsidR="003F51AF" w:rsidRPr="003F51AF">
              <w:rPr>
                <w:color w:val="000000"/>
                <w:spacing w:val="53"/>
                <w:shd w:val="solid" w:color="000000" w:fill="000000"/>
                <w:fitText w:val="330" w:id="-694959871"/>
                <w14:textFill>
                  <w14:solidFill>
                    <w14:srgbClr w14:val="000000">
                      <w14:alpha w14:val="100000"/>
                    </w14:srgbClr>
                  </w14:solidFill>
                </w14:textFill>
              </w:rPr>
              <w:t>|||</w:t>
            </w:r>
            <w:r w:rsidR="003F51AF" w:rsidRPr="003F51AF">
              <w:rPr>
                <w:color w:val="000000"/>
                <w:spacing w:val="1"/>
                <w:shd w:val="solid" w:color="000000" w:fill="000000"/>
                <w:fitText w:val="330" w:id="-694959871"/>
                <w14:textFill>
                  <w14:solidFill>
                    <w14:srgbClr w14:val="000000">
                      <w14:alpha w14:val="100000"/>
                    </w14:srgbClr>
                  </w14:solidFill>
                </w14:textFill>
              </w:rPr>
              <w:t>|</w:t>
            </w:r>
            <w:r w:rsidRPr="00B83066">
              <w:t xml:space="preserve">%; Yr 3: </w:t>
            </w:r>
            <w:r w:rsidR="003F51AF" w:rsidRPr="003F51AF">
              <w:rPr>
                <w:color w:val="000000"/>
                <w:spacing w:val="53"/>
                <w:shd w:val="solid" w:color="000000" w:fill="000000"/>
                <w:fitText w:val="330" w:id="-694959870"/>
                <w14:textFill>
                  <w14:solidFill>
                    <w14:srgbClr w14:val="000000">
                      <w14:alpha w14:val="100000"/>
                    </w14:srgbClr>
                  </w14:solidFill>
                </w14:textFill>
              </w:rPr>
              <w:t>|||</w:t>
            </w:r>
            <w:r w:rsidR="003F51AF" w:rsidRPr="003F51AF">
              <w:rPr>
                <w:color w:val="000000"/>
                <w:spacing w:val="1"/>
                <w:shd w:val="solid" w:color="000000" w:fill="000000"/>
                <w:fitText w:val="330" w:id="-694959870"/>
                <w14:textFill>
                  <w14:solidFill>
                    <w14:srgbClr w14:val="000000">
                      <w14:alpha w14:val="100000"/>
                    </w14:srgbClr>
                  </w14:solidFill>
                </w14:textFill>
              </w:rPr>
              <w:t>|</w:t>
            </w:r>
            <w:r w:rsidRPr="00B83066">
              <w:t xml:space="preserve">%; Yr 4: </w:t>
            </w:r>
            <w:r w:rsidR="003F51AF" w:rsidRPr="003F51AF">
              <w:rPr>
                <w:color w:val="000000"/>
                <w:spacing w:val="53"/>
                <w:shd w:val="solid" w:color="000000" w:fill="000000"/>
                <w:fitText w:val="330" w:id="-694959869"/>
                <w14:textFill>
                  <w14:solidFill>
                    <w14:srgbClr w14:val="000000">
                      <w14:alpha w14:val="100000"/>
                    </w14:srgbClr>
                  </w14:solidFill>
                </w14:textFill>
              </w:rPr>
              <w:t>|||</w:t>
            </w:r>
            <w:r w:rsidR="003F51AF" w:rsidRPr="003F51AF">
              <w:rPr>
                <w:color w:val="000000"/>
                <w:spacing w:val="1"/>
                <w:shd w:val="solid" w:color="000000" w:fill="000000"/>
                <w:fitText w:val="330" w:id="-694959869"/>
                <w14:textFill>
                  <w14:solidFill>
                    <w14:srgbClr w14:val="000000">
                      <w14:alpha w14:val="100000"/>
                    </w14:srgbClr>
                  </w14:solidFill>
                </w14:textFill>
              </w:rPr>
              <w:t>|</w:t>
            </w:r>
            <w:r w:rsidRPr="00B83066">
              <w:t>%; Yr 5</w:t>
            </w:r>
            <w:r w:rsidR="003F51AF" w:rsidRPr="003F51AF">
              <w:rPr>
                <w:color w:val="000000"/>
                <w:spacing w:val="53"/>
                <w:shd w:val="solid" w:color="000000" w:fill="000000"/>
                <w:fitText w:val="330" w:id="-694959868"/>
                <w14:textFill>
                  <w14:solidFill>
                    <w14:srgbClr w14:val="000000">
                      <w14:alpha w14:val="100000"/>
                    </w14:srgbClr>
                  </w14:solidFill>
                </w14:textFill>
              </w:rPr>
              <w:t>|||</w:t>
            </w:r>
            <w:r w:rsidR="003F51AF" w:rsidRPr="003F51AF">
              <w:rPr>
                <w:color w:val="000000"/>
                <w:spacing w:val="1"/>
                <w:shd w:val="solid" w:color="000000" w:fill="000000"/>
                <w:fitText w:val="330" w:id="-694959868"/>
                <w14:textFill>
                  <w14:solidFill>
                    <w14:srgbClr w14:val="000000">
                      <w14:alpha w14:val="100000"/>
                    </w14:srgbClr>
                  </w14:solidFill>
                </w14:textFill>
              </w:rPr>
              <w:t>|</w:t>
            </w:r>
            <w:r w:rsidRPr="00B83066">
              <w:t xml:space="preserve">%; Yr 6: </w:t>
            </w:r>
            <w:r w:rsidR="003F51AF" w:rsidRPr="003F51AF">
              <w:rPr>
                <w:color w:val="000000"/>
                <w:spacing w:val="53"/>
                <w:shd w:val="solid" w:color="000000" w:fill="000000"/>
                <w:fitText w:val="330" w:id="-694959867"/>
                <w14:textFill>
                  <w14:solidFill>
                    <w14:srgbClr w14:val="000000">
                      <w14:alpha w14:val="100000"/>
                    </w14:srgbClr>
                  </w14:solidFill>
                </w14:textFill>
              </w:rPr>
              <w:t>|||</w:t>
            </w:r>
            <w:r w:rsidR="003F51AF" w:rsidRPr="003F51AF">
              <w:rPr>
                <w:color w:val="000000"/>
                <w:spacing w:val="1"/>
                <w:shd w:val="solid" w:color="000000" w:fill="000000"/>
                <w:fitText w:val="330" w:id="-694959867"/>
                <w14:textFill>
                  <w14:solidFill>
                    <w14:srgbClr w14:val="000000">
                      <w14:alpha w14:val="100000"/>
                    </w14:srgbClr>
                  </w14:solidFill>
                </w14:textFill>
              </w:rPr>
              <w:t>|</w:t>
            </w:r>
            <w:r w:rsidRPr="00B83066">
              <w:t>%; Assumption.</w:t>
            </w:r>
          </w:p>
        </w:tc>
        <w:tc>
          <w:tcPr>
            <w:tcW w:w="3656" w:type="dxa"/>
            <w:vAlign w:val="center"/>
          </w:tcPr>
          <w:p w14:paraId="0E71A688" w14:textId="387CD2C4" w:rsidR="000722D4" w:rsidRPr="00B83066" w:rsidRDefault="000D4890" w:rsidP="002A3BF4">
            <w:pPr>
              <w:pStyle w:val="TableText"/>
              <w:keepNext w:val="0"/>
              <w:numPr>
                <w:ilvl w:val="0"/>
                <w:numId w:val="0"/>
              </w:numPr>
            </w:pPr>
            <w:r w:rsidRPr="00B83066">
              <w:t xml:space="preserve">Reduced from 66.7% </w:t>
            </w:r>
            <w:r w:rsidR="00B27163" w:rsidRPr="00B83066">
              <w:t xml:space="preserve">(all years) in </w:t>
            </w:r>
            <w:r w:rsidRPr="00B83066">
              <w:t xml:space="preserve">the July 2024 submission. The PBS dispensing data analysis did not determine if medicines were used in combination. Some of the </w:t>
            </w:r>
          </w:p>
          <w:p w14:paraId="65F4CD6F" w14:textId="3F932842" w:rsidR="000D4890" w:rsidRPr="00B83066" w:rsidRDefault="000D4890" w:rsidP="002A3BF4">
            <w:pPr>
              <w:pStyle w:val="TableText"/>
              <w:keepNext w:val="0"/>
              <w:numPr>
                <w:ilvl w:val="0"/>
                <w:numId w:val="0"/>
              </w:numPr>
            </w:pPr>
            <w:r w:rsidRPr="00B83066">
              <w:t>patients assumed to be initiating a subsequent treatment may have been receiving third line combination therapy.</w:t>
            </w:r>
            <w:r w:rsidR="00B27163" w:rsidRPr="00B83066">
              <w:t xml:space="preserve"> The assumption of a higher proportion of patients receiving fourth or later line therapy in Years 2 to 6 compared to Year 1 was not adequately justified.</w:t>
            </w:r>
          </w:p>
        </w:tc>
      </w:tr>
      <w:tr w:rsidR="000333EE" w:rsidRPr="00B83066" w14:paraId="3DFFAEA9" w14:textId="77777777" w:rsidTr="002A3BF4">
        <w:tc>
          <w:tcPr>
            <w:tcW w:w="9180" w:type="dxa"/>
            <w:gridSpan w:val="3"/>
            <w:vAlign w:val="center"/>
          </w:tcPr>
          <w:p w14:paraId="29C32218" w14:textId="77777777" w:rsidR="000333EE" w:rsidRPr="00B83066" w:rsidRDefault="000333EE" w:rsidP="002A3BF4">
            <w:pPr>
              <w:pStyle w:val="COMTabletext"/>
              <w:keepNext w:val="0"/>
              <w:rPr>
                <w:b/>
                <w:bCs w:val="0"/>
              </w:rPr>
            </w:pPr>
            <w:r w:rsidRPr="00B83066">
              <w:rPr>
                <w:b/>
                <w:bCs w:val="0"/>
              </w:rPr>
              <w:lastRenderedPageBreak/>
              <w:t>Treatment utilisation</w:t>
            </w:r>
          </w:p>
        </w:tc>
      </w:tr>
      <w:tr w:rsidR="00B27163" w:rsidRPr="00B83066" w14:paraId="1CE09EEE" w14:textId="77777777" w:rsidTr="002A3BF4">
        <w:tc>
          <w:tcPr>
            <w:tcW w:w="1526" w:type="dxa"/>
            <w:vAlign w:val="center"/>
          </w:tcPr>
          <w:p w14:paraId="14DC6F3A" w14:textId="77777777" w:rsidR="00B27163" w:rsidRPr="00B83066" w:rsidRDefault="00B27163" w:rsidP="002A3BF4">
            <w:pPr>
              <w:pStyle w:val="COMTabletext"/>
              <w:keepNext w:val="0"/>
            </w:pPr>
            <w:r w:rsidRPr="00B83066">
              <w:t>Elranatamab uptake rate</w:t>
            </w:r>
          </w:p>
        </w:tc>
        <w:tc>
          <w:tcPr>
            <w:tcW w:w="3998" w:type="dxa"/>
            <w:vAlign w:val="center"/>
          </w:tcPr>
          <w:p w14:paraId="366FE91A" w14:textId="5DFA87D7" w:rsidR="00B27163" w:rsidRPr="00B83066" w:rsidRDefault="00B27163" w:rsidP="00B27163">
            <w:pPr>
              <w:pStyle w:val="COMTabletext"/>
              <w:keepNext w:val="0"/>
            </w:pPr>
            <w:r w:rsidRPr="00B83066">
              <w:t xml:space="preserve">Yr 1: </w:t>
            </w:r>
            <w:r w:rsidR="003F51AF" w:rsidRPr="003F51AF">
              <w:rPr>
                <w:color w:val="000000"/>
                <w:spacing w:val="53"/>
                <w:shd w:val="solid" w:color="000000" w:fill="000000"/>
                <w:fitText w:val="330" w:id="-694959866"/>
                <w14:textFill>
                  <w14:solidFill>
                    <w14:srgbClr w14:val="000000">
                      <w14:alpha w14:val="100000"/>
                    </w14:srgbClr>
                  </w14:solidFill>
                </w14:textFill>
              </w:rPr>
              <w:t>|||</w:t>
            </w:r>
            <w:r w:rsidR="003F51AF" w:rsidRPr="003F51AF">
              <w:rPr>
                <w:color w:val="000000"/>
                <w:spacing w:val="1"/>
                <w:shd w:val="solid" w:color="000000" w:fill="000000"/>
                <w:fitText w:val="330" w:id="-694959866"/>
                <w14:textFill>
                  <w14:solidFill>
                    <w14:srgbClr w14:val="000000">
                      <w14:alpha w14:val="100000"/>
                    </w14:srgbClr>
                  </w14:solidFill>
                </w14:textFill>
              </w:rPr>
              <w:t>|</w:t>
            </w:r>
            <w:r w:rsidRPr="00B83066">
              <w:t xml:space="preserve">%; Yr 2: </w:t>
            </w:r>
            <w:r w:rsidR="003F51AF" w:rsidRPr="003F51AF">
              <w:rPr>
                <w:color w:val="000000"/>
                <w:spacing w:val="53"/>
                <w:shd w:val="solid" w:color="000000" w:fill="000000"/>
                <w:fitText w:val="330" w:id="-694959865"/>
                <w14:textFill>
                  <w14:solidFill>
                    <w14:srgbClr w14:val="000000">
                      <w14:alpha w14:val="100000"/>
                    </w14:srgbClr>
                  </w14:solidFill>
                </w14:textFill>
              </w:rPr>
              <w:t>|||</w:t>
            </w:r>
            <w:r w:rsidR="003F51AF" w:rsidRPr="003F51AF">
              <w:rPr>
                <w:color w:val="000000"/>
                <w:spacing w:val="1"/>
                <w:shd w:val="solid" w:color="000000" w:fill="000000"/>
                <w:fitText w:val="330" w:id="-694959865"/>
                <w14:textFill>
                  <w14:solidFill>
                    <w14:srgbClr w14:val="000000">
                      <w14:alpha w14:val="100000"/>
                    </w14:srgbClr>
                  </w14:solidFill>
                </w14:textFill>
              </w:rPr>
              <w:t>|</w:t>
            </w:r>
            <w:r w:rsidRPr="00B83066">
              <w:t xml:space="preserve">%; Yr 3: </w:t>
            </w:r>
            <w:r w:rsidR="003F51AF" w:rsidRPr="003F51AF">
              <w:rPr>
                <w:color w:val="000000"/>
                <w:spacing w:val="53"/>
                <w:shd w:val="solid" w:color="000000" w:fill="000000"/>
                <w:fitText w:val="330" w:id="-694959864"/>
                <w14:textFill>
                  <w14:solidFill>
                    <w14:srgbClr w14:val="000000">
                      <w14:alpha w14:val="100000"/>
                    </w14:srgbClr>
                  </w14:solidFill>
                </w14:textFill>
              </w:rPr>
              <w:t>|||</w:t>
            </w:r>
            <w:r w:rsidR="003F51AF" w:rsidRPr="003F51AF">
              <w:rPr>
                <w:color w:val="000000"/>
                <w:spacing w:val="1"/>
                <w:shd w:val="solid" w:color="000000" w:fill="000000"/>
                <w:fitText w:val="330" w:id="-694959864"/>
                <w14:textFill>
                  <w14:solidFill>
                    <w14:srgbClr w14:val="000000">
                      <w14:alpha w14:val="100000"/>
                    </w14:srgbClr>
                  </w14:solidFill>
                </w14:textFill>
              </w:rPr>
              <w:t>|</w:t>
            </w:r>
            <w:r w:rsidRPr="00B83066">
              <w:t xml:space="preserve">%; Yr 4: </w:t>
            </w:r>
            <w:r w:rsidR="003F51AF" w:rsidRPr="003F51AF">
              <w:rPr>
                <w:color w:val="000000"/>
                <w:spacing w:val="53"/>
                <w:shd w:val="solid" w:color="000000" w:fill="000000"/>
                <w:fitText w:val="330" w:id="-694959863"/>
                <w14:textFill>
                  <w14:solidFill>
                    <w14:srgbClr w14:val="000000">
                      <w14:alpha w14:val="100000"/>
                    </w14:srgbClr>
                  </w14:solidFill>
                </w14:textFill>
              </w:rPr>
              <w:t>|||</w:t>
            </w:r>
            <w:r w:rsidR="003F51AF" w:rsidRPr="003F51AF">
              <w:rPr>
                <w:color w:val="000000"/>
                <w:spacing w:val="1"/>
                <w:shd w:val="solid" w:color="000000" w:fill="000000"/>
                <w:fitText w:val="330" w:id="-694959863"/>
                <w14:textFill>
                  <w14:solidFill>
                    <w14:srgbClr w14:val="000000">
                      <w14:alpha w14:val="100000"/>
                    </w14:srgbClr>
                  </w14:solidFill>
                </w14:textFill>
              </w:rPr>
              <w:t>|</w:t>
            </w:r>
            <w:r w:rsidRPr="00B83066">
              <w:t xml:space="preserve">%; Yr 5: </w:t>
            </w:r>
            <w:r w:rsidR="003F51AF" w:rsidRPr="003F51AF">
              <w:rPr>
                <w:color w:val="000000"/>
                <w:spacing w:val="53"/>
                <w:shd w:val="solid" w:color="000000" w:fill="000000"/>
                <w:fitText w:val="330" w:id="-694959862"/>
                <w14:textFill>
                  <w14:solidFill>
                    <w14:srgbClr w14:val="000000">
                      <w14:alpha w14:val="100000"/>
                    </w14:srgbClr>
                  </w14:solidFill>
                </w14:textFill>
              </w:rPr>
              <w:t>|||</w:t>
            </w:r>
            <w:r w:rsidR="003F51AF" w:rsidRPr="003F51AF">
              <w:rPr>
                <w:color w:val="000000"/>
                <w:spacing w:val="1"/>
                <w:shd w:val="solid" w:color="000000" w:fill="000000"/>
                <w:fitText w:val="330" w:id="-694959862"/>
                <w14:textFill>
                  <w14:solidFill>
                    <w14:srgbClr w14:val="000000">
                      <w14:alpha w14:val="100000"/>
                    </w14:srgbClr>
                  </w14:solidFill>
                </w14:textFill>
              </w:rPr>
              <w:t>|</w:t>
            </w:r>
            <w:r w:rsidRPr="00B83066">
              <w:t xml:space="preserve">%; Yr 6: </w:t>
            </w:r>
            <w:r w:rsidR="003F51AF" w:rsidRPr="003F51AF">
              <w:rPr>
                <w:color w:val="000000"/>
                <w:spacing w:val="53"/>
                <w:shd w:val="solid" w:color="000000" w:fill="000000"/>
                <w:fitText w:val="330" w:id="-694959861"/>
                <w14:textFill>
                  <w14:solidFill>
                    <w14:srgbClr w14:val="000000">
                      <w14:alpha w14:val="100000"/>
                    </w14:srgbClr>
                  </w14:solidFill>
                </w14:textFill>
              </w:rPr>
              <w:t>|||</w:t>
            </w:r>
            <w:r w:rsidR="003F51AF" w:rsidRPr="003F51AF">
              <w:rPr>
                <w:color w:val="000000"/>
                <w:spacing w:val="1"/>
                <w:shd w:val="solid" w:color="000000" w:fill="000000"/>
                <w:fitText w:val="330" w:id="-694959861"/>
                <w14:textFill>
                  <w14:solidFill>
                    <w14:srgbClr w14:val="000000">
                      <w14:alpha w14:val="100000"/>
                    </w14:srgbClr>
                  </w14:solidFill>
                </w14:textFill>
              </w:rPr>
              <w:t>|</w:t>
            </w:r>
            <w:r w:rsidRPr="00B83066">
              <w:t>%; Assumption.</w:t>
            </w:r>
          </w:p>
        </w:tc>
        <w:tc>
          <w:tcPr>
            <w:tcW w:w="3656" w:type="dxa"/>
            <w:vAlign w:val="center"/>
          </w:tcPr>
          <w:p w14:paraId="7E4E4CAE" w14:textId="0EB0AC34" w:rsidR="00B27163" w:rsidRPr="00B83066" w:rsidRDefault="00B27163" w:rsidP="002A3BF4">
            <w:pPr>
              <w:pStyle w:val="TableText"/>
              <w:keepNext w:val="0"/>
              <w:numPr>
                <w:ilvl w:val="0"/>
                <w:numId w:val="0"/>
              </w:numPr>
            </w:pPr>
            <w:r w:rsidRPr="00B83066">
              <w:t xml:space="preserve">Unchanged from the July 2024 submission. DUSC previously considered that the estimates were an underestimate (para 6.65, elranatamab, </w:t>
            </w:r>
            <w:r w:rsidR="00396C34" w:rsidRPr="00B83066">
              <w:t>PSD</w:t>
            </w:r>
            <w:r w:rsidRPr="00B83066">
              <w:t xml:space="preserve">, July 2024 PBAC meeting). The PBAC previously considered that the potential introduction of CAR T cell therapies may alter the uptake of elranatamab (para 7.17, elranatamab, </w:t>
            </w:r>
            <w:r w:rsidR="00396C34" w:rsidRPr="00B83066">
              <w:t>PSD</w:t>
            </w:r>
            <w:r w:rsidRPr="00B83066">
              <w:t>, July 2024 PBAC meeting).</w:t>
            </w:r>
          </w:p>
        </w:tc>
      </w:tr>
      <w:tr w:rsidR="00B27163" w:rsidRPr="00B83066" w14:paraId="69885DDE" w14:textId="77777777" w:rsidTr="002A3BF4">
        <w:tc>
          <w:tcPr>
            <w:tcW w:w="1526" w:type="dxa"/>
            <w:vAlign w:val="center"/>
          </w:tcPr>
          <w:p w14:paraId="703DE3B4" w14:textId="77777777" w:rsidR="00B27163" w:rsidRPr="00B83066" w:rsidRDefault="00B27163" w:rsidP="002A3BF4">
            <w:pPr>
              <w:pStyle w:val="COMTabletext"/>
              <w:keepNext w:val="0"/>
            </w:pPr>
            <w:r w:rsidRPr="00B83066">
              <w:t>Grandfathered patients</w:t>
            </w:r>
          </w:p>
        </w:tc>
        <w:tc>
          <w:tcPr>
            <w:tcW w:w="3998" w:type="dxa"/>
            <w:vAlign w:val="center"/>
          </w:tcPr>
          <w:p w14:paraId="14AAF61B" w14:textId="16CA531D" w:rsidR="00B27163" w:rsidRPr="00B83066" w:rsidRDefault="003F51AF" w:rsidP="002A3BF4">
            <w:pPr>
              <w:pStyle w:val="COMTabletext"/>
              <w:keepNext w:val="0"/>
            </w:pPr>
            <w:r w:rsidRPr="003F51AF">
              <w:rPr>
                <w:color w:val="000000"/>
                <w:spacing w:val="53"/>
                <w:shd w:val="solid" w:color="000000" w:fill="000000"/>
                <w:fitText w:val="330" w:id="-694959860"/>
                <w14:textFill>
                  <w14:solidFill>
                    <w14:srgbClr w14:val="000000">
                      <w14:alpha w14:val="100000"/>
                    </w14:srgbClr>
                  </w14:solidFill>
                </w14:textFill>
              </w:rPr>
              <w:t>|||</w:t>
            </w:r>
            <w:r w:rsidRPr="003F51AF">
              <w:rPr>
                <w:color w:val="000000"/>
                <w:spacing w:val="1"/>
                <w:shd w:val="solid" w:color="000000" w:fill="000000"/>
                <w:fitText w:val="330" w:id="-694959860"/>
                <w14:textFill>
                  <w14:solidFill>
                    <w14:srgbClr w14:val="000000">
                      <w14:alpha w14:val="100000"/>
                    </w14:srgbClr>
                  </w14:solidFill>
                </w14:textFill>
              </w:rPr>
              <w:t>|</w:t>
            </w:r>
            <w:r w:rsidR="00320293">
              <w:t xml:space="preserve"> </w:t>
            </w:r>
            <w:r w:rsidR="00320293">
              <w:rPr>
                <w:vertAlign w:val="superscript"/>
              </w:rPr>
              <w:t>3</w:t>
            </w:r>
            <w:r w:rsidR="00B27163" w:rsidRPr="00B83066">
              <w:t xml:space="preserve">; </w:t>
            </w:r>
            <w:r w:rsidR="007624CD" w:rsidRPr="00B83066">
              <w:t xml:space="preserve">included </w:t>
            </w:r>
            <w:r w:rsidR="00B27163" w:rsidRPr="00B83066">
              <w:t>in Year 1 of the financial estimates.</w:t>
            </w:r>
          </w:p>
        </w:tc>
        <w:tc>
          <w:tcPr>
            <w:tcW w:w="3656" w:type="dxa"/>
            <w:vAlign w:val="center"/>
          </w:tcPr>
          <w:p w14:paraId="7DB02500" w14:textId="356F53DF" w:rsidR="00B27163" w:rsidRPr="00B83066" w:rsidRDefault="00B27163" w:rsidP="002A3BF4">
            <w:pPr>
              <w:pStyle w:val="TableText"/>
              <w:keepNext w:val="0"/>
              <w:numPr>
                <w:ilvl w:val="0"/>
                <w:numId w:val="0"/>
              </w:numPr>
            </w:pPr>
            <w:r w:rsidRPr="00B83066">
              <w:t xml:space="preserve">Increased from </w:t>
            </w:r>
            <w:r w:rsidR="003F51AF" w:rsidRPr="003F51AF">
              <w:rPr>
                <w:color w:val="000000"/>
                <w:spacing w:val="53"/>
                <w:shd w:val="solid" w:color="000000" w:fill="000000"/>
                <w:fitText w:val="330" w:id="-694959859"/>
                <w14:textFill>
                  <w14:solidFill>
                    <w14:srgbClr w14:val="000000">
                      <w14:alpha w14:val="100000"/>
                    </w14:srgbClr>
                  </w14:solidFill>
                </w14:textFill>
              </w:rPr>
              <w:t>|||</w:t>
            </w:r>
            <w:r w:rsidR="003F51AF" w:rsidRPr="003F51AF">
              <w:rPr>
                <w:color w:val="000000"/>
                <w:spacing w:val="1"/>
                <w:shd w:val="solid" w:color="000000" w:fill="000000"/>
                <w:fitText w:val="330" w:id="-694959859"/>
                <w14:textFill>
                  <w14:solidFill>
                    <w14:srgbClr w14:val="000000">
                      <w14:alpha w14:val="100000"/>
                    </w14:srgbClr>
                  </w14:solidFill>
                </w14:textFill>
              </w:rPr>
              <w:t>|</w:t>
            </w:r>
            <w:r w:rsidR="00320293">
              <w:t xml:space="preserve"> </w:t>
            </w:r>
            <w:r w:rsidR="00320293">
              <w:rPr>
                <w:vertAlign w:val="superscript"/>
              </w:rPr>
              <w:t>3</w:t>
            </w:r>
            <w:r w:rsidR="00320293">
              <w:t xml:space="preserve"> </w:t>
            </w:r>
            <w:r w:rsidRPr="00B83066">
              <w:t xml:space="preserve">patients in the July 2024 submission. </w:t>
            </w:r>
            <w:bookmarkStart w:id="62" w:name="_Hlk187748966"/>
            <w:r w:rsidRPr="00B83066">
              <w:t xml:space="preserve">DUSC previously considered that the grandfathered patients were not relevant due to the prevalence-based approach adopted in the July 2024 submission (para 6.65, elranatamab, </w:t>
            </w:r>
            <w:r w:rsidR="00396C34" w:rsidRPr="00B83066">
              <w:t>PSD</w:t>
            </w:r>
            <w:r w:rsidRPr="00B83066">
              <w:t>, July 2024 PBAC meeting).</w:t>
            </w:r>
            <w:bookmarkEnd w:id="62"/>
          </w:p>
        </w:tc>
      </w:tr>
      <w:tr w:rsidR="00BD207F" w:rsidRPr="00B83066" w14:paraId="5E932838" w14:textId="77777777" w:rsidTr="002A3BF4">
        <w:tc>
          <w:tcPr>
            <w:tcW w:w="1526" w:type="dxa"/>
            <w:vAlign w:val="center"/>
          </w:tcPr>
          <w:p w14:paraId="24B4CFCE" w14:textId="0EFEACA5" w:rsidR="00BD207F" w:rsidRPr="00B83066" w:rsidRDefault="00BD207F" w:rsidP="002A3BF4">
            <w:pPr>
              <w:pStyle w:val="COMTabletext"/>
              <w:keepNext w:val="0"/>
            </w:pPr>
            <w:r w:rsidRPr="00B83066">
              <w:t>Proportion with substituted versus displaced standard of care (</w:t>
            </w:r>
            <w:r w:rsidR="000E31F3" w:rsidRPr="00B83066">
              <w:t>Cd</w:t>
            </w:r>
            <w:r w:rsidRPr="00B83066">
              <w:t>)</w:t>
            </w:r>
          </w:p>
        </w:tc>
        <w:tc>
          <w:tcPr>
            <w:tcW w:w="3998" w:type="dxa"/>
            <w:vAlign w:val="center"/>
          </w:tcPr>
          <w:p w14:paraId="70756F09" w14:textId="4571C76D" w:rsidR="00BD207F" w:rsidRPr="00B83066" w:rsidRDefault="00BD207F" w:rsidP="00BD207F">
            <w:pPr>
              <w:pStyle w:val="COMTabletext"/>
              <w:keepNext w:val="0"/>
            </w:pPr>
            <w:r w:rsidRPr="00B83066">
              <w:t>Substituted: 56.9%; displaced: 43.1%; Derived based on an analysis of data reported by Fonseca et al. 2020, assuming 60% of elranatamab use as a fourth line treatment and 40% as a fifth line treatment.</w:t>
            </w:r>
          </w:p>
        </w:tc>
        <w:tc>
          <w:tcPr>
            <w:tcW w:w="3656" w:type="dxa"/>
            <w:vAlign w:val="center"/>
          </w:tcPr>
          <w:p w14:paraId="64319E4F" w14:textId="17C36F6B" w:rsidR="00BD207F" w:rsidRPr="00B83066" w:rsidRDefault="00BD207F" w:rsidP="002A3BF4">
            <w:pPr>
              <w:pStyle w:val="TableText"/>
              <w:keepNext w:val="0"/>
              <w:numPr>
                <w:ilvl w:val="0"/>
                <w:numId w:val="0"/>
              </w:numPr>
            </w:pPr>
            <w:r w:rsidRPr="00B83066">
              <w:t xml:space="preserve">It is unclear whether the derived proportions based on the Fonseca et al. data will accurately predict the relative impact of substitution versus displacement of </w:t>
            </w:r>
            <w:r w:rsidR="000E31F3" w:rsidRPr="00B83066">
              <w:t>Cd</w:t>
            </w:r>
            <w:r w:rsidRPr="00B83066">
              <w:t>.</w:t>
            </w:r>
          </w:p>
        </w:tc>
      </w:tr>
      <w:tr w:rsidR="000333EE" w:rsidRPr="00B83066" w14:paraId="5AD4BF6C" w14:textId="77777777" w:rsidTr="002A3BF4">
        <w:tc>
          <w:tcPr>
            <w:tcW w:w="9180" w:type="dxa"/>
            <w:gridSpan w:val="3"/>
            <w:vAlign w:val="center"/>
          </w:tcPr>
          <w:p w14:paraId="4E7ADF48" w14:textId="77777777" w:rsidR="000333EE" w:rsidRPr="00B83066" w:rsidRDefault="000333EE" w:rsidP="00365828">
            <w:pPr>
              <w:pStyle w:val="COMTabletext"/>
              <w:rPr>
                <w:b/>
                <w:bCs w:val="0"/>
              </w:rPr>
            </w:pPr>
            <w:r w:rsidRPr="00B83066">
              <w:rPr>
                <w:b/>
                <w:bCs w:val="0"/>
              </w:rPr>
              <w:t>Initial treatment costs</w:t>
            </w:r>
          </w:p>
        </w:tc>
      </w:tr>
      <w:tr w:rsidR="00BD207F" w:rsidRPr="00B83066" w14:paraId="17A100A3" w14:textId="77777777" w:rsidTr="002A3BF4">
        <w:tc>
          <w:tcPr>
            <w:tcW w:w="1526" w:type="dxa"/>
            <w:vAlign w:val="center"/>
          </w:tcPr>
          <w:p w14:paraId="5960C641" w14:textId="77777777" w:rsidR="00BD207F" w:rsidRPr="00B83066" w:rsidRDefault="00BD207F" w:rsidP="002A3BF4">
            <w:pPr>
              <w:pStyle w:val="COMTabletext"/>
              <w:keepNext w:val="0"/>
            </w:pPr>
            <w:r w:rsidRPr="00B83066">
              <w:t>Elranatamab treatment adherence</w:t>
            </w:r>
          </w:p>
        </w:tc>
        <w:tc>
          <w:tcPr>
            <w:tcW w:w="3998" w:type="dxa"/>
            <w:vAlign w:val="center"/>
          </w:tcPr>
          <w:p w14:paraId="2836AA2C" w14:textId="48EC3B29" w:rsidR="00BD207F" w:rsidRPr="00B83066" w:rsidRDefault="00BD207F" w:rsidP="00BD207F">
            <w:pPr>
              <w:pStyle w:val="COMTabletext"/>
              <w:keepNext w:val="0"/>
            </w:pPr>
            <w:r w:rsidRPr="00B83066">
              <w:t xml:space="preserve">79.12%; </w:t>
            </w:r>
            <w:r w:rsidR="007624CD" w:rsidRPr="00B83066">
              <w:t xml:space="preserve">based </w:t>
            </w:r>
            <w:r w:rsidRPr="00B83066">
              <w:t>on the median relative dose intensity reported for elranatamab in Cohort A of the MagnetisMM-3 study.</w:t>
            </w:r>
          </w:p>
        </w:tc>
        <w:tc>
          <w:tcPr>
            <w:tcW w:w="3656" w:type="dxa"/>
            <w:vAlign w:val="center"/>
          </w:tcPr>
          <w:p w14:paraId="542B2E6D" w14:textId="487F8327" w:rsidR="00BD207F" w:rsidRPr="00B83066" w:rsidRDefault="00BD207F" w:rsidP="002A3BF4">
            <w:pPr>
              <w:pStyle w:val="TableText"/>
              <w:keepNext w:val="0"/>
              <w:numPr>
                <w:ilvl w:val="0"/>
                <w:numId w:val="0"/>
              </w:numPr>
            </w:pPr>
            <w:r w:rsidRPr="00B83066">
              <w:t xml:space="preserve">The assumed treatment adherence for elranatamab was lower than the treatment adherence assumed for </w:t>
            </w:r>
            <w:r w:rsidR="000E31F3" w:rsidRPr="00B83066">
              <w:t>Cd</w:t>
            </w:r>
            <w:r w:rsidRPr="00B83066">
              <w:t>. Differences in treatment adherence between clinical studies may be due to other factors (e.g., differences in patient populations).</w:t>
            </w:r>
          </w:p>
        </w:tc>
      </w:tr>
      <w:tr w:rsidR="00C62FCA" w:rsidRPr="00B83066" w14:paraId="149D08B7" w14:textId="77777777" w:rsidTr="002A3BF4">
        <w:tc>
          <w:tcPr>
            <w:tcW w:w="1526" w:type="dxa"/>
            <w:vAlign w:val="center"/>
          </w:tcPr>
          <w:p w14:paraId="7FE4AEA0" w14:textId="70D447A7" w:rsidR="00C62FCA" w:rsidRPr="00B83066" w:rsidRDefault="000E31F3" w:rsidP="002A3BF4">
            <w:pPr>
              <w:pStyle w:val="COMTabletext"/>
              <w:keepNext w:val="0"/>
            </w:pPr>
            <w:r w:rsidRPr="00B83066">
              <w:t>Cd</w:t>
            </w:r>
            <w:r w:rsidR="00C62FCA" w:rsidRPr="00B83066">
              <w:t xml:space="preserve"> treatment adherence</w:t>
            </w:r>
          </w:p>
        </w:tc>
        <w:tc>
          <w:tcPr>
            <w:tcW w:w="3998" w:type="dxa"/>
            <w:vAlign w:val="center"/>
          </w:tcPr>
          <w:p w14:paraId="030C1D3A" w14:textId="31863041" w:rsidR="00C62FCA" w:rsidRPr="00B83066" w:rsidRDefault="00C62FCA" w:rsidP="00C62FCA">
            <w:pPr>
              <w:pStyle w:val="COMTabletext"/>
            </w:pPr>
            <w:r w:rsidRPr="00B83066">
              <w:t xml:space="preserve">Weekly regimen: 92.7%; twice weekly regimen: 87.0%; Based on the average of the reported </w:t>
            </w:r>
            <w:r w:rsidR="000E31F3" w:rsidRPr="00B83066">
              <w:t>Cd</w:t>
            </w:r>
            <w:r w:rsidRPr="00B83066">
              <w:t xml:space="preserve"> mean relative dose intensities for the ARROW, CHAMPION-1 and ENDEAVOR trials (Moreau et al., 2020).</w:t>
            </w:r>
          </w:p>
        </w:tc>
        <w:tc>
          <w:tcPr>
            <w:tcW w:w="3656" w:type="dxa"/>
            <w:vAlign w:val="center"/>
          </w:tcPr>
          <w:p w14:paraId="02C9D92B" w14:textId="4D4067F8" w:rsidR="00C62FCA" w:rsidRPr="00B83066" w:rsidRDefault="00C62FCA" w:rsidP="002A3BF4">
            <w:pPr>
              <w:pStyle w:val="TableText"/>
              <w:keepNext w:val="0"/>
              <w:numPr>
                <w:ilvl w:val="0"/>
                <w:numId w:val="0"/>
              </w:numPr>
            </w:pPr>
            <w:r w:rsidRPr="00B83066">
              <w:t>Differences in treatment adherence between clinical studies may reflect factors other than the underlying treatment (e.g., differences in patient populations).</w:t>
            </w:r>
          </w:p>
        </w:tc>
      </w:tr>
      <w:tr w:rsidR="00114192" w:rsidRPr="00B83066" w14:paraId="70EF7CBA" w14:textId="77777777" w:rsidTr="002A3BF4">
        <w:tc>
          <w:tcPr>
            <w:tcW w:w="1526" w:type="dxa"/>
            <w:vAlign w:val="center"/>
          </w:tcPr>
          <w:p w14:paraId="16A23C6B" w14:textId="77777777" w:rsidR="00114192" w:rsidRPr="00B83066" w:rsidRDefault="00114192" w:rsidP="002A3BF4">
            <w:pPr>
              <w:pStyle w:val="COMTabletext"/>
              <w:keepNext w:val="0"/>
            </w:pPr>
            <w:r w:rsidRPr="00B83066">
              <w:t>Elranatamab treatment duration</w:t>
            </w:r>
          </w:p>
        </w:tc>
        <w:tc>
          <w:tcPr>
            <w:tcW w:w="3998" w:type="dxa"/>
            <w:vAlign w:val="center"/>
          </w:tcPr>
          <w:p w14:paraId="0816F065" w14:textId="72704416" w:rsidR="00114192" w:rsidRPr="00B83066" w:rsidRDefault="00114192" w:rsidP="00114192">
            <w:pPr>
              <w:pStyle w:val="COMTabletext"/>
              <w:keepNext w:val="0"/>
            </w:pPr>
            <w:r w:rsidRPr="00B83066">
              <w:t xml:space="preserve">71 weeks; </w:t>
            </w:r>
            <w:r w:rsidR="004C2216" w:rsidRPr="00B83066">
              <w:t xml:space="preserve">based </w:t>
            </w:r>
            <w:r w:rsidRPr="00B83066">
              <w:t>on the mean treatment duration for elranatamab in the economic model, which was estimated using parametric extrapolation of time to treatment discontinuation data for patients in Cohort A of the MagnetisMM-3 study.</w:t>
            </w:r>
          </w:p>
        </w:tc>
        <w:tc>
          <w:tcPr>
            <w:tcW w:w="3656" w:type="dxa"/>
            <w:vAlign w:val="center"/>
          </w:tcPr>
          <w:p w14:paraId="73111214" w14:textId="3E33D31C" w:rsidR="00114192" w:rsidRPr="00B83066" w:rsidRDefault="00114192" w:rsidP="002A3BF4">
            <w:pPr>
              <w:pStyle w:val="TableText"/>
              <w:keepNext w:val="0"/>
              <w:numPr>
                <w:ilvl w:val="0"/>
                <w:numId w:val="0"/>
              </w:numPr>
            </w:pPr>
            <w:r w:rsidRPr="00B83066">
              <w:t>In the financial model it was assumed that all patients receive elranatamab weekly (i.e., the more costly dose regimen) in the first 24 weeks, every 2 weeks from Week 25 to Week 48, and every 4 weeks from Week 49 onwards. The cost of elranatamab is likely to be overestimated, as a proportion of patients will discontinue treatment during the earlier, more frequent administration phases.</w:t>
            </w:r>
          </w:p>
        </w:tc>
      </w:tr>
      <w:tr w:rsidR="00114192" w:rsidRPr="00B83066" w14:paraId="1BFF1E3B" w14:textId="77777777" w:rsidTr="002A3BF4">
        <w:tc>
          <w:tcPr>
            <w:tcW w:w="1526" w:type="dxa"/>
            <w:vAlign w:val="center"/>
          </w:tcPr>
          <w:p w14:paraId="307A5698" w14:textId="0D13DCD8" w:rsidR="00114192" w:rsidRPr="00B83066" w:rsidRDefault="000E31F3" w:rsidP="002A3BF4">
            <w:pPr>
              <w:pStyle w:val="COMTabletext"/>
              <w:keepNext w:val="0"/>
            </w:pPr>
            <w:r w:rsidRPr="00B83066">
              <w:t>Cd</w:t>
            </w:r>
            <w:r w:rsidR="00114192" w:rsidRPr="00B83066">
              <w:t xml:space="preserve"> treatment duration</w:t>
            </w:r>
          </w:p>
        </w:tc>
        <w:tc>
          <w:tcPr>
            <w:tcW w:w="3998" w:type="dxa"/>
            <w:vAlign w:val="center"/>
          </w:tcPr>
          <w:p w14:paraId="49C03329" w14:textId="4FA1FDF3" w:rsidR="00114192" w:rsidRPr="00B83066" w:rsidRDefault="00114192" w:rsidP="00114192">
            <w:pPr>
              <w:pStyle w:val="COMTabletext"/>
              <w:keepNext w:val="0"/>
            </w:pPr>
            <w:r w:rsidRPr="00B83066">
              <w:t xml:space="preserve">39.9 weeks; </w:t>
            </w:r>
            <w:r w:rsidR="004C2216" w:rsidRPr="00B83066">
              <w:t xml:space="preserve">median </w:t>
            </w:r>
            <w:r w:rsidRPr="00B83066">
              <w:t>duration of carfilzomib treatment reported in the ENDEAVOR trial (Dimopoulos et al., 2016).</w:t>
            </w:r>
          </w:p>
        </w:tc>
        <w:tc>
          <w:tcPr>
            <w:tcW w:w="3656" w:type="dxa"/>
            <w:vAlign w:val="center"/>
          </w:tcPr>
          <w:p w14:paraId="6D777CE4" w14:textId="14983CEE" w:rsidR="00114192" w:rsidRPr="00B83066" w:rsidRDefault="00114192" w:rsidP="002A3BF4">
            <w:pPr>
              <w:pStyle w:val="TableText"/>
              <w:keepNext w:val="0"/>
              <w:numPr>
                <w:ilvl w:val="0"/>
                <w:numId w:val="0"/>
              </w:numPr>
            </w:pPr>
            <w:r w:rsidRPr="00B83066">
              <w:t>The use of the median treatment duration for carfilzomib was inconsistent with the treatment duration measure used for elranatamab (mean treatment duration).</w:t>
            </w:r>
          </w:p>
        </w:tc>
      </w:tr>
    </w:tbl>
    <w:p w14:paraId="5C93DD3C" w14:textId="315DDA60" w:rsidR="000333EE" w:rsidRDefault="000333EE" w:rsidP="000333EE">
      <w:pPr>
        <w:pStyle w:val="COMTablefooter"/>
      </w:pPr>
      <w:r w:rsidRPr="006E0FA2">
        <w:t xml:space="preserve">Source: </w:t>
      </w:r>
      <w:r>
        <w:t>Section 4, pp281-305 of the resubmission; Section 4 financial implications Excel workbook.</w:t>
      </w:r>
      <w:r w:rsidR="009604DF">
        <w:t xml:space="preserve"> </w:t>
      </w:r>
    </w:p>
    <w:p w14:paraId="2F9B34B8" w14:textId="034D802C" w:rsidR="000333EE" w:rsidRDefault="000333EE" w:rsidP="00694E81">
      <w:pPr>
        <w:pStyle w:val="COMTablefooter"/>
        <w:spacing w:after="0"/>
      </w:pPr>
      <w:r>
        <w:t xml:space="preserve">Abbreviations: ABS, Australian Bureau of Statistics; AEMP, approved ex-manufacturer price; AIHW, Australian Institute of Health and Welfare; </w:t>
      </w:r>
      <w:r w:rsidR="000E31F3">
        <w:t xml:space="preserve">Cd, carfilzomib + dexamethasone; </w:t>
      </w:r>
      <w:r>
        <w:t>CD, cluster of differentiation; DUSC, Drug Utilisation Sub-Committee; MBS, Medicare Benefits Schedule; Yr</w:t>
      </w:r>
      <w:r w:rsidRPr="0035502F">
        <w:t>, Year.</w:t>
      </w:r>
    </w:p>
    <w:p w14:paraId="119C87F0" w14:textId="77777777" w:rsidR="00694E81" w:rsidRPr="00E7494F" w:rsidRDefault="00694E81" w:rsidP="00694E81">
      <w:pPr>
        <w:rPr>
          <w:rFonts w:ascii="Arial Narrow" w:hAnsi="Arial Narrow"/>
          <w:iCs/>
          <w:sz w:val="18"/>
          <w:szCs w:val="18"/>
        </w:rPr>
      </w:pPr>
      <w:r w:rsidRPr="00E7494F">
        <w:rPr>
          <w:rFonts w:ascii="Arial Narrow" w:hAnsi="Arial Narrow"/>
          <w:iCs/>
          <w:sz w:val="18"/>
          <w:szCs w:val="18"/>
        </w:rPr>
        <w:t xml:space="preserve">The redacted values correspond to the following ranges: </w:t>
      </w:r>
    </w:p>
    <w:p w14:paraId="3D17BDC2" w14:textId="6C813600" w:rsidR="00694E81" w:rsidRPr="00E7494F" w:rsidRDefault="00694E81" w:rsidP="00694E81">
      <w:pPr>
        <w:rPr>
          <w:rFonts w:ascii="Arial Narrow" w:hAnsi="Arial Narrow"/>
          <w:iCs/>
          <w:sz w:val="18"/>
          <w:szCs w:val="18"/>
        </w:rPr>
      </w:pPr>
      <w:r w:rsidRPr="00E7494F">
        <w:rPr>
          <w:rFonts w:ascii="Arial Narrow" w:hAnsi="Arial Narrow"/>
          <w:iCs/>
          <w:sz w:val="18"/>
          <w:szCs w:val="18"/>
          <w:vertAlign w:val="superscript"/>
        </w:rPr>
        <w:t>1</w:t>
      </w:r>
      <w:r w:rsidRPr="00E7494F">
        <w:rPr>
          <w:rFonts w:ascii="Arial Narrow" w:hAnsi="Arial Narrow"/>
          <w:iCs/>
          <w:sz w:val="18"/>
          <w:szCs w:val="18"/>
        </w:rPr>
        <w:t xml:space="preserve"> </w:t>
      </w:r>
      <w:r w:rsidR="00056BE8" w:rsidRPr="00E7494F">
        <w:rPr>
          <w:rFonts w:ascii="Arial Narrow" w:hAnsi="Arial Narrow"/>
          <w:iCs/>
          <w:sz w:val="18"/>
          <w:szCs w:val="18"/>
        </w:rPr>
        <w:t>500 to &lt; 5,000</w:t>
      </w:r>
    </w:p>
    <w:p w14:paraId="52D77E76" w14:textId="35BD95A1" w:rsidR="00694E81" w:rsidRPr="00E7494F" w:rsidRDefault="00694E81" w:rsidP="00694E81">
      <w:pPr>
        <w:rPr>
          <w:rFonts w:ascii="Arial Narrow" w:hAnsi="Arial Narrow"/>
          <w:iCs/>
          <w:sz w:val="18"/>
          <w:szCs w:val="18"/>
        </w:rPr>
      </w:pPr>
      <w:r w:rsidRPr="00E7494F">
        <w:rPr>
          <w:rFonts w:ascii="Arial Narrow" w:hAnsi="Arial Narrow"/>
          <w:iCs/>
          <w:sz w:val="18"/>
          <w:szCs w:val="18"/>
          <w:vertAlign w:val="superscript"/>
        </w:rPr>
        <w:t>2</w:t>
      </w:r>
      <w:r w:rsidRPr="00E7494F">
        <w:rPr>
          <w:rFonts w:ascii="Arial Narrow" w:hAnsi="Arial Narrow"/>
          <w:iCs/>
          <w:sz w:val="18"/>
          <w:szCs w:val="18"/>
        </w:rPr>
        <w:t xml:space="preserve"> </w:t>
      </w:r>
      <w:r w:rsidR="009F338F" w:rsidRPr="00E7494F">
        <w:rPr>
          <w:rFonts w:ascii="Arial Narrow" w:hAnsi="Arial Narrow"/>
          <w:iCs/>
          <w:sz w:val="18"/>
          <w:szCs w:val="18"/>
        </w:rPr>
        <w:t>5,000 to &lt; 10,000</w:t>
      </w:r>
    </w:p>
    <w:p w14:paraId="5FA21A2C" w14:textId="59B9A48A" w:rsidR="00694E81" w:rsidRPr="00E7494F" w:rsidRDefault="00694E81" w:rsidP="00694E81">
      <w:pPr>
        <w:spacing w:after="120"/>
        <w:rPr>
          <w:rFonts w:ascii="Arial Narrow" w:hAnsi="Arial Narrow"/>
          <w:iCs/>
          <w:sz w:val="18"/>
          <w:szCs w:val="18"/>
        </w:rPr>
      </w:pPr>
      <w:r w:rsidRPr="00E7494F">
        <w:rPr>
          <w:rFonts w:ascii="Arial Narrow" w:hAnsi="Arial Narrow"/>
          <w:iCs/>
          <w:sz w:val="18"/>
          <w:szCs w:val="18"/>
          <w:vertAlign w:val="superscript"/>
        </w:rPr>
        <w:t>3</w:t>
      </w:r>
      <w:r w:rsidRPr="00E7494F">
        <w:rPr>
          <w:rFonts w:ascii="Arial Narrow" w:hAnsi="Arial Narrow"/>
          <w:iCs/>
          <w:sz w:val="18"/>
          <w:szCs w:val="18"/>
        </w:rPr>
        <w:t xml:space="preserve"> </w:t>
      </w:r>
      <w:r w:rsidR="00E93737" w:rsidRPr="00E7494F">
        <w:rPr>
          <w:rFonts w:ascii="Arial Narrow" w:hAnsi="Arial Narrow"/>
          <w:iCs/>
          <w:sz w:val="18"/>
          <w:szCs w:val="18"/>
        </w:rPr>
        <w:t>&lt; 500</w:t>
      </w:r>
    </w:p>
    <w:p w14:paraId="26FB6670" w14:textId="00A794EC" w:rsidR="00B505C8" w:rsidRPr="006E0FA2" w:rsidRDefault="00E16AD8" w:rsidP="00B505C8">
      <w:pPr>
        <w:pStyle w:val="COMexecsummnumbered"/>
      </w:pPr>
      <w:r w:rsidRPr="006E0FA2">
        <w:fldChar w:fldCharType="begin" w:fldLock="1"/>
      </w:r>
      <w:r w:rsidRPr="006E0FA2">
        <w:instrText xml:space="preserve"> REF _Ref104805295 \h  \* MERGEFORMAT </w:instrText>
      </w:r>
      <w:r w:rsidRPr="006E0FA2">
        <w:fldChar w:fldCharType="separate"/>
      </w:r>
      <w:r w:rsidR="00347D89" w:rsidRPr="006E0FA2">
        <w:t xml:space="preserve">Table </w:t>
      </w:r>
      <w:r w:rsidR="00347D89">
        <w:t>19</w:t>
      </w:r>
      <w:r w:rsidRPr="006E0FA2">
        <w:fldChar w:fldCharType="end"/>
      </w:r>
      <w:r w:rsidR="00AB618C">
        <w:t xml:space="preserve"> presents the estimated use and financial implications of listing elranatamab on the PBS</w:t>
      </w:r>
      <w:r w:rsidR="003F370B">
        <w:t>, assuming 4-weekly dosing from Week 49</w:t>
      </w:r>
      <w:r w:rsidR="00AB618C">
        <w:t>.</w:t>
      </w:r>
      <w:r w:rsidR="00B201A4" w:rsidRPr="006E0FA2">
        <w:t xml:space="preserve"> </w:t>
      </w:r>
    </w:p>
    <w:p w14:paraId="38EC053C" w14:textId="261B1AE4" w:rsidR="00C25D9C" w:rsidRPr="006E0FA2" w:rsidRDefault="00E16AD8" w:rsidP="00FF3ECD">
      <w:pPr>
        <w:pStyle w:val="COMtablefigcaption"/>
      </w:pPr>
      <w:bookmarkStart w:id="63" w:name="_Ref104805295"/>
      <w:r w:rsidRPr="006E0FA2">
        <w:lastRenderedPageBreak/>
        <w:t xml:space="preserve">Table </w:t>
      </w:r>
      <w:r w:rsidR="006B329A">
        <w:fldChar w:fldCharType="begin" w:fldLock="1"/>
      </w:r>
      <w:r w:rsidR="006B329A">
        <w:instrText xml:space="preserve"> SEQ Table \* ARABIC </w:instrText>
      </w:r>
      <w:r w:rsidR="006B329A">
        <w:fldChar w:fldCharType="separate"/>
      </w:r>
      <w:r w:rsidR="00347D89">
        <w:rPr>
          <w:noProof/>
        </w:rPr>
        <w:t>19</w:t>
      </w:r>
      <w:r w:rsidR="006B329A">
        <w:rPr>
          <w:noProof/>
        </w:rPr>
        <w:fldChar w:fldCharType="end"/>
      </w:r>
      <w:bookmarkEnd w:id="63"/>
      <w:r w:rsidRPr="006E0FA2">
        <w:t>:</w:t>
      </w:r>
      <w:r w:rsidR="002A2F50" w:rsidRPr="006E0FA2">
        <w:t xml:space="preserve">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5"/>
        <w:gridCol w:w="1102"/>
        <w:gridCol w:w="1102"/>
        <w:gridCol w:w="1102"/>
        <w:gridCol w:w="1102"/>
        <w:gridCol w:w="1102"/>
        <w:gridCol w:w="1102"/>
      </w:tblGrid>
      <w:tr w:rsidR="00114FA7" w:rsidRPr="0035502F" w14:paraId="43A2A3A1" w14:textId="77777777" w:rsidTr="008A3158">
        <w:trPr>
          <w:tblHeader/>
        </w:trPr>
        <w:tc>
          <w:tcPr>
            <w:tcW w:w="1334" w:type="pct"/>
            <w:shd w:val="clear" w:color="auto" w:fill="auto"/>
            <w:vAlign w:val="center"/>
          </w:tcPr>
          <w:p w14:paraId="0A4E41E1" w14:textId="77777777" w:rsidR="00385A9D" w:rsidRPr="0035502F" w:rsidRDefault="00385A9D" w:rsidP="00A31FF3">
            <w:pPr>
              <w:pStyle w:val="In-tableHeading"/>
            </w:pPr>
          </w:p>
        </w:tc>
        <w:tc>
          <w:tcPr>
            <w:tcW w:w="611" w:type="pct"/>
            <w:shd w:val="clear" w:color="auto" w:fill="auto"/>
            <w:vAlign w:val="center"/>
          </w:tcPr>
          <w:p w14:paraId="77420B6F" w14:textId="77777777" w:rsidR="00385A9D" w:rsidRPr="0035502F" w:rsidRDefault="00385A9D" w:rsidP="004043AE">
            <w:pPr>
              <w:pStyle w:val="COMTableheadingrow"/>
              <w:jc w:val="center"/>
            </w:pPr>
            <w:r w:rsidRPr="0035502F">
              <w:t>Year 1</w:t>
            </w:r>
          </w:p>
        </w:tc>
        <w:tc>
          <w:tcPr>
            <w:tcW w:w="611" w:type="pct"/>
            <w:shd w:val="clear" w:color="auto" w:fill="auto"/>
            <w:vAlign w:val="center"/>
          </w:tcPr>
          <w:p w14:paraId="3BBD9218" w14:textId="77777777" w:rsidR="00385A9D" w:rsidRPr="0035502F" w:rsidRDefault="00385A9D" w:rsidP="004043AE">
            <w:pPr>
              <w:pStyle w:val="COMTableheadingrow"/>
              <w:jc w:val="center"/>
            </w:pPr>
            <w:r w:rsidRPr="0035502F">
              <w:t>Year 2</w:t>
            </w:r>
          </w:p>
        </w:tc>
        <w:tc>
          <w:tcPr>
            <w:tcW w:w="611" w:type="pct"/>
            <w:shd w:val="clear" w:color="auto" w:fill="auto"/>
            <w:vAlign w:val="center"/>
          </w:tcPr>
          <w:p w14:paraId="729A646E" w14:textId="77777777" w:rsidR="00385A9D" w:rsidRPr="0035502F" w:rsidRDefault="00385A9D" w:rsidP="004043AE">
            <w:pPr>
              <w:pStyle w:val="COMTableheadingrow"/>
              <w:jc w:val="center"/>
            </w:pPr>
            <w:r w:rsidRPr="0035502F">
              <w:t>Year 3</w:t>
            </w:r>
          </w:p>
        </w:tc>
        <w:tc>
          <w:tcPr>
            <w:tcW w:w="611" w:type="pct"/>
            <w:shd w:val="clear" w:color="auto" w:fill="auto"/>
            <w:vAlign w:val="center"/>
          </w:tcPr>
          <w:p w14:paraId="280BB544" w14:textId="77777777" w:rsidR="00385A9D" w:rsidRPr="0035502F" w:rsidRDefault="00385A9D" w:rsidP="004043AE">
            <w:pPr>
              <w:pStyle w:val="COMTableheadingrow"/>
              <w:jc w:val="center"/>
            </w:pPr>
            <w:r w:rsidRPr="0035502F">
              <w:t>Year 4</w:t>
            </w:r>
          </w:p>
        </w:tc>
        <w:tc>
          <w:tcPr>
            <w:tcW w:w="611" w:type="pct"/>
            <w:shd w:val="clear" w:color="auto" w:fill="auto"/>
            <w:vAlign w:val="center"/>
          </w:tcPr>
          <w:p w14:paraId="6435BB5B" w14:textId="77777777" w:rsidR="00385A9D" w:rsidRPr="0035502F" w:rsidRDefault="00385A9D" w:rsidP="004043AE">
            <w:pPr>
              <w:pStyle w:val="COMTableheadingrow"/>
              <w:jc w:val="center"/>
            </w:pPr>
            <w:r w:rsidRPr="0035502F">
              <w:t>Year 5</w:t>
            </w:r>
          </w:p>
        </w:tc>
        <w:tc>
          <w:tcPr>
            <w:tcW w:w="611" w:type="pct"/>
          </w:tcPr>
          <w:p w14:paraId="7C618119" w14:textId="77777777" w:rsidR="00385A9D" w:rsidRPr="0035502F" w:rsidRDefault="00385A9D" w:rsidP="004043AE">
            <w:pPr>
              <w:pStyle w:val="COMTableheadingrow"/>
              <w:jc w:val="center"/>
            </w:pPr>
            <w:r w:rsidRPr="0035502F">
              <w:t>Year 6</w:t>
            </w:r>
          </w:p>
        </w:tc>
      </w:tr>
      <w:tr w:rsidR="007C324F" w:rsidRPr="0035502F" w14:paraId="3C519059" w14:textId="77777777" w:rsidTr="009C3A3A">
        <w:tc>
          <w:tcPr>
            <w:tcW w:w="5000" w:type="pct"/>
            <w:gridSpan w:val="7"/>
            <w:shd w:val="clear" w:color="auto" w:fill="auto"/>
            <w:vAlign w:val="center"/>
          </w:tcPr>
          <w:p w14:paraId="516C2197" w14:textId="77777777" w:rsidR="007C324F" w:rsidRPr="0035502F" w:rsidRDefault="007C324F" w:rsidP="007C324F">
            <w:pPr>
              <w:pStyle w:val="COMTableheadingrow"/>
            </w:pPr>
            <w:r w:rsidRPr="0035502F">
              <w:t>Estimated extent of use</w:t>
            </w:r>
          </w:p>
        </w:tc>
      </w:tr>
      <w:tr w:rsidR="00E91717" w:rsidRPr="0035502F" w14:paraId="148A8EEF" w14:textId="77777777" w:rsidTr="002A3BF4">
        <w:tc>
          <w:tcPr>
            <w:tcW w:w="1334" w:type="pct"/>
            <w:shd w:val="clear" w:color="auto" w:fill="auto"/>
            <w:vAlign w:val="center"/>
          </w:tcPr>
          <w:p w14:paraId="201B6ECA" w14:textId="77777777" w:rsidR="00E91717" w:rsidRPr="0035502F" w:rsidRDefault="00E91717" w:rsidP="00E91717">
            <w:pPr>
              <w:pStyle w:val="COMTabletext"/>
              <w:rPr>
                <w:rFonts w:ascii="Times" w:hAnsi="Times"/>
              </w:rPr>
            </w:pPr>
            <w:r w:rsidRPr="0035502F">
              <w:t>Number of patients treated</w:t>
            </w:r>
          </w:p>
        </w:tc>
        <w:tc>
          <w:tcPr>
            <w:tcW w:w="611" w:type="pct"/>
            <w:shd w:val="clear" w:color="auto" w:fill="auto"/>
          </w:tcPr>
          <w:p w14:paraId="577607A9" w14:textId="2BC19D96" w:rsidR="00E91717" w:rsidRPr="0035502F" w:rsidRDefault="003F51AF" w:rsidP="00E91717">
            <w:pPr>
              <w:pStyle w:val="COMTabletext"/>
              <w:jc w:val="center"/>
              <w:rPr>
                <w:vertAlign w:val="superscript"/>
              </w:rPr>
            </w:pPr>
            <w:r w:rsidRPr="003F51AF">
              <w:rPr>
                <w:rFonts w:hint="eastAsia"/>
                <w:color w:val="000000"/>
                <w:w w:val="24"/>
                <w:shd w:val="solid" w:color="000000" w:fill="000000"/>
                <w:fitText w:val="110" w:id="-694959858"/>
                <w14:textFill>
                  <w14:solidFill>
                    <w14:srgbClr w14:val="000000">
                      <w14:alpha w14:val="100000"/>
                    </w14:srgbClr>
                  </w14:solidFill>
                </w14:textFill>
              </w:rPr>
              <w:t xml:space="preserve">　</w:t>
            </w:r>
            <w:proofErr w:type="gramStart"/>
            <w:r w:rsidRPr="003F51AF">
              <w:rPr>
                <w:color w:val="000000"/>
                <w:w w:val="24"/>
                <w:shd w:val="solid" w:color="000000" w:fill="000000"/>
                <w:fitText w:val="110" w:id="-694959858"/>
                <w14:textFill>
                  <w14:solidFill>
                    <w14:srgbClr w14:val="000000">
                      <w14:alpha w14:val="100000"/>
                    </w14:srgbClr>
                  </w14:solidFill>
                </w14:textFill>
              </w:rPr>
              <w:t>|</w:t>
            </w:r>
            <w:r w:rsidRPr="003F51AF">
              <w:rPr>
                <w:rFonts w:hint="eastAsia"/>
                <w:color w:val="000000"/>
                <w:spacing w:val="6"/>
                <w:w w:val="24"/>
                <w:shd w:val="solid" w:color="000000" w:fill="000000"/>
                <w:fitText w:val="110" w:id="-694959858"/>
                <w14:textFill>
                  <w14:solidFill>
                    <w14:srgbClr w14:val="000000">
                      <w14:alpha w14:val="100000"/>
                    </w14:srgbClr>
                  </w14:solidFill>
                </w14:textFill>
              </w:rPr>
              <w:t xml:space="preserve">　</w:t>
            </w:r>
            <w:r w:rsidR="00E91717" w:rsidRPr="0035502F">
              <w:t xml:space="preserve"> </w:t>
            </w:r>
            <w:r w:rsidR="00E91717" w:rsidRPr="0035502F">
              <w:rPr>
                <w:vertAlign w:val="superscript"/>
              </w:rPr>
              <w:t>a</w:t>
            </w:r>
            <w:proofErr w:type="gramEnd"/>
            <w:r w:rsidR="006E251A">
              <w:rPr>
                <w:vertAlign w:val="superscript"/>
              </w:rPr>
              <w:t xml:space="preserve"> 1</w:t>
            </w:r>
          </w:p>
        </w:tc>
        <w:tc>
          <w:tcPr>
            <w:tcW w:w="611" w:type="pct"/>
            <w:shd w:val="clear" w:color="auto" w:fill="auto"/>
          </w:tcPr>
          <w:p w14:paraId="6610B4C9" w14:textId="67C3ECB9" w:rsidR="00E91717" w:rsidRPr="0035502F" w:rsidRDefault="003F51AF" w:rsidP="00E91717">
            <w:pPr>
              <w:pStyle w:val="COMTabletext"/>
              <w:jc w:val="center"/>
            </w:pPr>
            <w:r w:rsidRPr="003F51AF">
              <w:rPr>
                <w:rFonts w:hint="eastAsia"/>
                <w:color w:val="000000"/>
                <w:w w:val="15"/>
                <w:shd w:val="solid" w:color="000000" w:fill="000000"/>
                <w:fitText w:val="70" w:id="-694959857"/>
                <w14:textFill>
                  <w14:solidFill>
                    <w14:srgbClr w14:val="000000">
                      <w14:alpha w14:val="100000"/>
                    </w14:srgbClr>
                  </w14:solidFill>
                </w14:textFill>
              </w:rPr>
              <w:t xml:space="preserve">　</w:t>
            </w:r>
            <w:proofErr w:type="gramStart"/>
            <w:r w:rsidRPr="003F51AF">
              <w:rPr>
                <w:color w:val="000000"/>
                <w:w w:val="15"/>
                <w:shd w:val="solid" w:color="000000" w:fill="000000"/>
                <w:fitText w:val="70" w:id="-694959857"/>
                <w14:textFill>
                  <w14:solidFill>
                    <w14:srgbClr w14:val="000000">
                      <w14:alpha w14:val="100000"/>
                    </w14:srgbClr>
                  </w14:solidFill>
                </w14:textFill>
              </w:rPr>
              <w:t>|</w:t>
            </w:r>
            <w:r w:rsidRPr="003F51AF">
              <w:rPr>
                <w:rFonts w:hint="eastAsia"/>
                <w:color w:val="000000"/>
                <w:spacing w:val="4"/>
                <w:w w:val="15"/>
                <w:shd w:val="solid" w:color="000000" w:fill="000000"/>
                <w:fitText w:val="70" w:id="-694959857"/>
                <w14:textFill>
                  <w14:solidFill>
                    <w14:srgbClr w14:val="000000">
                      <w14:alpha w14:val="100000"/>
                    </w14:srgbClr>
                  </w14:solidFill>
                </w14:textFill>
              </w:rPr>
              <w:t xml:space="preserve">　</w:t>
            </w:r>
            <w:r w:rsidR="006E251A">
              <w:rPr>
                <w:vertAlign w:val="superscript"/>
              </w:rPr>
              <w:t xml:space="preserve"> 1</w:t>
            </w:r>
            <w:proofErr w:type="gramEnd"/>
          </w:p>
        </w:tc>
        <w:tc>
          <w:tcPr>
            <w:tcW w:w="611" w:type="pct"/>
            <w:shd w:val="clear" w:color="auto" w:fill="auto"/>
          </w:tcPr>
          <w:p w14:paraId="29F46D6B" w14:textId="59077079" w:rsidR="00E91717" w:rsidRPr="0035502F" w:rsidRDefault="003F51AF" w:rsidP="00E91717">
            <w:pPr>
              <w:pStyle w:val="COMTabletext"/>
              <w:jc w:val="center"/>
            </w:pPr>
            <w:r w:rsidRPr="003F51AF">
              <w:rPr>
                <w:rFonts w:hint="eastAsia"/>
                <w:color w:val="000000"/>
                <w:w w:val="15"/>
                <w:shd w:val="solid" w:color="000000" w:fill="000000"/>
                <w:fitText w:val="70" w:id="-694959856"/>
                <w14:textFill>
                  <w14:solidFill>
                    <w14:srgbClr w14:val="000000">
                      <w14:alpha w14:val="100000"/>
                    </w14:srgbClr>
                  </w14:solidFill>
                </w14:textFill>
              </w:rPr>
              <w:t xml:space="preserve">　</w:t>
            </w:r>
            <w:proofErr w:type="gramStart"/>
            <w:r w:rsidRPr="003F51AF">
              <w:rPr>
                <w:color w:val="000000"/>
                <w:w w:val="15"/>
                <w:shd w:val="solid" w:color="000000" w:fill="000000"/>
                <w:fitText w:val="70" w:id="-694959856"/>
                <w14:textFill>
                  <w14:solidFill>
                    <w14:srgbClr w14:val="000000">
                      <w14:alpha w14:val="100000"/>
                    </w14:srgbClr>
                  </w14:solidFill>
                </w14:textFill>
              </w:rPr>
              <w:t>|</w:t>
            </w:r>
            <w:r w:rsidRPr="003F51AF">
              <w:rPr>
                <w:rFonts w:hint="eastAsia"/>
                <w:color w:val="000000"/>
                <w:spacing w:val="4"/>
                <w:w w:val="15"/>
                <w:shd w:val="solid" w:color="000000" w:fill="000000"/>
                <w:fitText w:val="70" w:id="-694959856"/>
                <w14:textFill>
                  <w14:solidFill>
                    <w14:srgbClr w14:val="000000">
                      <w14:alpha w14:val="100000"/>
                    </w14:srgbClr>
                  </w14:solidFill>
                </w14:textFill>
              </w:rPr>
              <w:t xml:space="preserve">　</w:t>
            </w:r>
            <w:r w:rsidR="00E93737">
              <w:rPr>
                <w:vertAlign w:val="superscript"/>
              </w:rPr>
              <w:t xml:space="preserve"> 1</w:t>
            </w:r>
            <w:proofErr w:type="gramEnd"/>
          </w:p>
        </w:tc>
        <w:tc>
          <w:tcPr>
            <w:tcW w:w="611" w:type="pct"/>
            <w:shd w:val="clear" w:color="auto" w:fill="auto"/>
          </w:tcPr>
          <w:p w14:paraId="21167904" w14:textId="53DA5126" w:rsidR="00E91717" w:rsidRPr="0035502F" w:rsidRDefault="003F51AF" w:rsidP="00E91717">
            <w:pPr>
              <w:pStyle w:val="COMTabletext"/>
              <w:jc w:val="center"/>
            </w:pPr>
            <w:r w:rsidRPr="003F51AF">
              <w:rPr>
                <w:rFonts w:hint="eastAsia"/>
                <w:color w:val="000000"/>
                <w:w w:val="15"/>
                <w:shd w:val="solid" w:color="000000" w:fill="000000"/>
                <w:fitText w:val="70" w:id="-694959872"/>
                <w14:textFill>
                  <w14:solidFill>
                    <w14:srgbClr w14:val="000000">
                      <w14:alpha w14:val="100000"/>
                    </w14:srgbClr>
                  </w14:solidFill>
                </w14:textFill>
              </w:rPr>
              <w:t xml:space="preserve">　</w:t>
            </w:r>
            <w:proofErr w:type="gramStart"/>
            <w:r w:rsidRPr="003F51AF">
              <w:rPr>
                <w:color w:val="000000"/>
                <w:w w:val="15"/>
                <w:shd w:val="solid" w:color="000000" w:fill="000000"/>
                <w:fitText w:val="70" w:id="-694959872"/>
                <w14:textFill>
                  <w14:solidFill>
                    <w14:srgbClr w14:val="000000">
                      <w14:alpha w14:val="100000"/>
                    </w14:srgbClr>
                  </w14:solidFill>
                </w14:textFill>
              </w:rPr>
              <w:t>|</w:t>
            </w:r>
            <w:r w:rsidRPr="003F51AF">
              <w:rPr>
                <w:rFonts w:hint="eastAsia"/>
                <w:color w:val="000000"/>
                <w:spacing w:val="4"/>
                <w:w w:val="15"/>
                <w:shd w:val="solid" w:color="000000" w:fill="000000"/>
                <w:fitText w:val="70" w:id="-694959872"/>
                <w14:textFill>
                  <w14:solidFill>
                    <w14:srgbClr w14:val="000000">
                      <w14:alpha w14:val="100000"/>
                    </w14:srgbClr>
                  </w14:solidFill>
                </w14:textFill>
              </w:rPr>
              <w:t xml:space="preserve">　</w:t>
            </w:r>
            <w:r w:rsidR="00E93737">
              <w:rPr>
                <w:vertAlign w:val="superscript"/>
              </w:rPr>
              <w:t xml:space="preserve"> 1</w:t>
            </w:r>
            <w:proofErr w:type="gramEnd"/>
          </w:p>
        </w:tc>
        <w:tc>
          <w:tcPr>
            <w:tcW w:w="611" w:type="pct"/>
            <w:shd w:val="clear" w:color="auto" w:fill="auto"/>
          </w:tcPr>
          <w:p w14:paraId="762D4B71" w14:textId="025CF178" w:rsidR="00E91717" w:rsidRPr="0035502F" w:rsidRDefault="003F51AF" w:rsidP="00E91717">
            <w:pPr>
              <w:pStyle w:val="COMTabletext"/>
              <w:jc w:val="center"/>
            </w:pPr>
            <w:r w:rsidRPr="003F51AF">
              <w:rPr>
                <w:rFonts w:hint="eastAsia"/>
                <w:color w:val="000000"/>
                <w:w w:val="15"/>
                <w:shd w:val="solid" w:color="000000" w:fill="000000"/>
                <w:fitText w:val="70" w:id="-694959871"/>
                <w14:textFill>
                  <w14:solidFill>
                    <w14:srgbClr w14:val="000000">
                      <w14:alpha w14:val="100000"/>
                    </w14:srgbClr>
                  </w14:solidFill>
                </w14:textFill>
              </w:rPr>
              <w:t xml:space="preserve">　</w:t>
            </w:r>
            <w:proofErr w:type="gramStart"/>
            <w:r w:rsidRPr="003F51AF">
              <w:rPr>
                <w:color w:val="000000"/>
                <w:w w:val="15"/>
                <w:shd w:val="solid" w:color="000000" w:fill="000000"/>
                <w:fitText w:val="70" w:id="-694959871"/>
                <w14:textFill>
                  <w14:solidFill>
                    <w14:srgbClr w14:val="000000">
                      <w14:alpha w14:val="100000"/>
                    </w14:srgbClr>
                  </w14:solidFill>
                </w14:textFill>
              </w:rPr>
              <w:t>|</w:t>
            </w:r>
            <w:r w:rsidRPr="003F51AF">
              <w:rPr>
                <w:rFonts w:hint="eastAsia"/>
                <w:color w:val="000000"/>
                <w:spacing w:val="4"/>
                <w:w w:val="15"/>
                <w:shd w:val="solid" w:color="000000" w:fill="000000"/>
                <w:fitText w:val="70" w:id="-694959871"/>
                <w14:textFill>
                  <w14:solidFill>
                    <w14:srgbClr w14:val="000000">
                      <w14:alpha w14:val="100000"/>
                    </w14:srgbClr>
                  </w14:solidFill>
                </w14:textFill>
              </w:rPr>
              <w:t xml:space="preserve">　</w:t>
            </w:r>
            <w:r w:rsidR="00E93737">
              <w:rPr>
                <w:vertAlign w:val="superscript"/>
              </w:rPr>
              <w:t xml:space="preserve"> 1</w:t>
            </w:r>
            <w:proofErr w:type="gramEnd"/>
          </w:p>
        </w:tc>
        <w:tc>
          <w:tcPr>
            <w:tcW w:w="611" w:type="pct"/>
          </w:tcPr>
          <w:p w14:paraId="42B428B5" w14:textId="1E27FDC8" w:rsidR="00E91717" w:rsidRPr="0035502F" w:rsidRDefault="003F51AF" w:rsidP="00E91717">
            <w:pPr>
              <w:pStyle w:val="COMTabletext"/>
              <w:jc w:val="center"/>
            </w:pPr>
            <w:r w:rsidRPr="003F51AF">
              <w:rPr>
                <w:rFonts w:hint="eastAsia"/>
                <w:color w:val="000000"/>
                <w:w w:val="15"/>
                <w:shd w:val="solid" w:color="000000" w:fill="000000"/>
                <w:fitText w:val="70" w:id="-694959870"/>
                <w14:textFill>
                  <w14:solidFill>
                    <w14:srgbClr w14:val="000000">
                      <w14:alpha w14:val="100000"/>
                    </w14:srgbClr>
                  </w14:solidFill>
                </w14:textFill>
              </w:rPr>
              <w:t xml:space="preserve">　</w:t>
            </w:r>
            <w:proofErr w:type="gramStart"/>
            <w:r w:rsidRPr="003F51AF">
              <w:rPr>
                <w:color w:val="000000"/>
                <w:w w:val="15"/>
                <w:shd w:val="solid" w:color="000000" w:fill="000000"/>
                <w:fitText w:val="70" w:id="-694959870"/>
                <w14:textFill>
                  <w14:solidFill>
                    <w14:srgbClr w14:val="000000">
                      <w14:alpha w14:val="100000"/>
                    </w14:srgbClr>
                  </w14:solidFill>
                </w14:textFill>
              </w:rPr>
              <w:t>|</w:t>
            </w:r>
            <w:r w:rsidRPr="003F51AF">
              <w:rPr>
                <w:rFonts w:hint="eastAsia"/>
                <w:color w:val="000000"/>
                <w:spacing w:val="4"/>
                <w:w w:val="15"/>
                <w:shd w:val="solid" w:color="000000" w:fill="000000"/>
                <w:fitText w:val="70" w:id="-694959870"/>
                <w14:textFill>
                  <w14:solidFill>
                    <w14:srgbClr w14:val="000000">
                      <w14:alpha w14:val="100000"/>
                    </w14:srgbClr>
                  </w14:solidFill>
                </w14:textFill>
              </w:rPr>
              <w:t xml:space="preserve">　</w:t>
            </w:r>
            <w:r w:rsidR="00E93737">
              <w:rPr>
                <w:vertAlign w:val="superscript"/>
              </w:rPr>
              <w:t xml:space="preserve"> 1</w:t>
            </w:r>
            <w:proofErr w:type="gramEnd"/>
          </w:p>
        </w:tc>
      </w:tr>
      <w:tr w:rsidR="00E91717" w:rsidRPr="0035502F" w14:paraId="106BE5F1" w14:textId="77777777" w:rsidTr="002A3BF4">
        <w:tc>
          <w:tcPr>
            <w:tcW w:w="1334" w:type="pct"/>
            <w:shd w:val="clear" w:color="auto" w:fill="auto"/>
          </w:tcPr>
          <w:p w14:paraId="007A02BE" w14:textId="4D7756BF" w:rsidR="00E91717" w:rsidRPr="0035502F" w:rsidRDefault="00E91717" w:rsidP="00E91717">
            <w:pPr>
              <w:pStyle w:val="COMTabletext"/>
            </w:pPr>
            <w:r w:rsidRPr="0035502F">
              <w:t>Elranatamab 44 mg scripts</w:t>
            </w:r>
          </w:p>
        </w:tc>
        <w:tc>
          <w:tcPr>
            <w:tcW w:w="611" w:type="pct"/>
            <w:shd w:val="clear" w:color="auto" w:fill="auto"/>
          </w:tcPr>
          <w:p w14:paraId="63C7D8C9" w14:textId="05C2FABB" w:rsidR="00E91717" w:rsidRPr="0035502F" w:rsidRDefault="003F51AF" w:rsidP="00E91717">
            <w:pPr>
              <w:pStyle w:val="COMTabletext"/>
              <w:jc w:val="center"/>
            </w:pPr>
            <w:r w:rsidRPr="003F51AF">
              <w:rPr>
                <w:rFonts w:hint="eastAsia"/>
                <w:color w:val="000000"/>
                <w:w w:val="15"/>
                <w:shd w:val="solid" w:color="000000" w:fill="000000"/>
                <w:fitText w:val="70" w:id="-694959869"/>
                <w14:textFill>
                  <w14:solidFill>
                    <w14:srgbClr w14:val="000000">
                      <w14:alpha w14:val="100000"/>
                    </w14:srgbClr>
                  </w14:solidFill>
                </w14:textFill>
              </w:rPr>
              <w:t xml:space="preserve">　</w:t>
            </w:r>
            <w:proofErr w:type="gramStart"/>
            <w:r w:rsidRPr="003F51AF">
              <w:rPr>
                <w:color w:val="000000"/>
                <w:w w:val="15"/>
                <w:shd w:val="solid" w:color="000000" w:fill="000000"/>
                <w:fitText w:val="70" w:id="-694959869"/>
                <w14:textFill>
                  <w14:solidFill>
                    <w14:srgbClr w14:val="000000">
                      <w14:alpha w14:val="100000"/>
                    </w14:srgbClr>
                  </w14:solidFill>
                </w14:textFill>
              </w:rPr>
              <w:t>|</w:t>
            </w:r>
            <w:r w:rsidRPr="003F51AF">
              <w:rPr>
                <w:rFonts w:hint="eastAsia"/>
                <w:color w:val="000000"/>
                <w:spacing w:val="4"/>
                <w:w w:val="15"/>
                <w:shd w:val="solid" w:color="000000" w:fill="000000"/>
                <w:fitText w:val="70" w:id="-694959869"/>
                <w14:textFill>
                  <w14:solidFill>
                    <w14:srgbClr w14:val="000000">
                      <w14:alpha w14:val="100000"/>
                    </w14:srgbClr>
                  </w14:solidFill>
                </w14:textFill>
              </w:rPr>
              <w:t xml:space="preserve">　</w:t>
            </w:r>
            <w:r w:rsidR="00E93737">
              <w:rPr>
                <w:vertAlign w:val="superscript"/>
              </w:rPr>
              <w:t xml:space="preserve"> 1</w:t>
            </w:r>
            <w:proofErr w:type="gramEnd"/>
          </w:p>
        </w:tc>
        <w:tc>
          <w:tcPr>
            <w:tcW w:w="611" w:type="pct"/>
            <w:shd w:val="clear" w:color="auto" w:fill="auto"/>
          </w:tcPr>
          <w:p w14:paraId="04D485D8" w14:textId="00355A41" w:rsidR="00E91717" w:rsidRPr="0035502F" w:rsidRDefault="003F51AF" w:rsidP="00E91717">
            <w:pPr>
              <w:pStyle w:val="COMTabletext"/>
              <w:jc w:val="center"/>
            </w:pPr>
            <w:r w:rsidRPr="003F51AF">
              <w:rPr>
                <w:rFonts w:hint="eastAsia"/>
                <w:color w:val="000000"/>
                <w:w w:val="15"/>
                <w:shd w:val="solid" w:color="000000" w:fill="000000"/>
                <w:fitText w:val="70" w:id="-694959868"/>
                <w14:textFill>
                  <w14:solidFill>
                    <w14:srgbClr w14:val="000000">
                      <w14:alpha w14:val="100000"/>
                    </w14:srgbClr>
                  </w14:solidFill>
                </w14:textFill>
              </w:rPr>
              <w:t xml:space="preserve">　</w:t>
            </w:r>
            <w:proofErr w:type="gramStart"/>
            <w:r w:rsidRPr="003F51AF">
              <w:rPr>
                <w:color w:val="000000"/>
                <w:w w:val="15"/>
                <w:shd w:val="solid" w:color="000000" w:fill="000000"/>
                <w:fitText w:val="70" w:id="-694959868"/>
                <w14:textFill>
                  <w14:solidFill>
                    <w14:srgbClr w14:val="000000">
                      <w14:alpha w14:val="100000"/>
                    </w14:srgbClr>
                  </w14:solidFill>
                </w14:textFill>
              </w:rPr>
              <w:t>|</w:t>
            </w:r>
            <w:r w:rsidRPr="003F51AF">
              <w:rPr>
                <w:rFonts w:hint="eastAsia"/>
                <w:color w:val="000000"/>
                <w:spacing w:val="4"/>
                <w:w w:val="15"/>
                <w:shd w:val="solid" w:color="000000" w:fill="000000"/>
                <w:fitText w:val="70" w:id="-694959868"/>
                <w14:textFill>
                  <w14:solidFill>
                    <w14:srgbClr w14:val="000000">
                      <w14:alpha w14:val="100000"/>
                    </w14:srgbClr>
                  </w14:solidFill>
                </w14:textFill>
              </w:rPr>
              <w:t xml:space="preserve">　</w:t>
            </w:r>
            <w:r w:rsidR="00E93737">
              <w:rPr>
                <w:vertAlign w:val="superscript"/>
              </w:rPr>
              <w:t xml:space="preserve"> 1</w:t>
            </w:r>
            <w:proofErr w:type="gramEnd"/>
          </w:p>
        </w:tc>
        <w:tc>
          <w:tcPr>
            <w:tcW w:w="611" w:type="pct"/>
            <w:shd w:val="clear" w:color="auto" w:fill="auto"/>
          </w:tcPr>
          <w:p w14:paraId="681F60D8" w14:textId="06A1AFF9" w:rsidR="00E91717" w:rsidRPr="0035502F" w:rsidRDefault="003F51AF" w:rsidP="00E91717">
            <w:pPr>
              <w:pStyle w:val="COMTabletext"/>
              <w:jc w:val="center"/>
            </w:pPr>
            <w:r w:rsidRPr="003F51AF">
              <w:rPr>
                <w:rFonts w:hint="eastAsia"/>
                <w:color w:val="000000"/>
                <w:w w:val="15"/>
                <w:shd w:val="solid" w:color="000000" w:fill="000000"/>
                <w:fitText w:val="70" w:id="-694959867"/>
                <w14:textFill>
                  <w14:solidFill>
                    <w14:srgbClr w14:val="000000">
                      <w14:alpha w14:val="100000"/>
                    </w14:srgbClr>
                  </w14:solidFill>
                </w14:textFill>
              </w:rPr>
              <w:t xml:space="preserve">　</w:t>
            </w:r>
            <w:proofErr w:type="gramStart"/>
            <w:r w:rsidRPr="003F51AF">
              <w:rPr>
                <w:color w:val="000000"/>
                <w:w w:val="15"/>
                <w:shd w:val="solid" w:color="000000" w:fill="000000"/>
                <w:fitText w:val="70" w:id="-694959867"/>
                <w14:textFill>
                  <w14:solidFill>
                    <w14:srgbClr w14:val="000000">
                      <w14:alpha w14:val="100000"/>
                    </w14:srgbClr>
                  </w14:solidFill>
                </w14:textFill>
              </w:rPr>
              <w:t>|</w:t>
            </w:r>
            <w:r w:rsidRPr="003F51AF">
              <w:rPr>
                <w:rFonts w:hint="eastAsia"/>
                <w:color w:val="000000"/>
                <w:spacing w:val="4"/>
                <w:w w:val="15"/>
                <w:shd w:val="solid" w:color="000000" w:fill="000000"/>
                <w:fitText w:val="70" w:id="-694959867"/>
                <w14:textFill>
                  <w14:solidFill>
                    <w14:srgbClr w14:val="000000">
                      <w14:alpha w14:val="100000"/>
                    </w14:srgbClr>
                  </w14:solidFill>
                </w14:textFill>
              </w:rPr>
              <w:t xml:space="preserve">　</w:t>
            </w:r>
            <w:r w:rsidR="00E93737">
              <w:rPr>
                <w:vertAlign w:val="superscript"/>
              </w:rPr>
              <w:t xml:space="preserve"> 1</w:t>
            </w:r>
            <w:proofErr w:type="gramEnd"/>
          </w:p>
        </w:tc>
        <w:tc>
          <w:tcPr>
            <w:tcW w:w="611" w:type="pct"/>
            <w:shd w:val="clear" w:color="auto" w:fill="auto"/>
          </w:tcPr>
          <w:p w14:paraId="16D33336" w14:textId="6E083E28" w:rsidR="00E91717" w:rsidRPr="0035502F" w:rsidRDefault="003F51AF" w:rsidP="00E91717">
            <w:pPr>
              <w:pStyle w:val="COMTabletext"/>
              <w:jc w:val="center"/>
            </w:pPr>
            <w:r w:rsidRPr="003F51AF">
              <w:rPr>
                <w:rFonts w:hint="eastAsia"/>
                <w:color w:val="000000"/>
                <w:w w:val="15"/>
                <w:shd w:val="solid" w:color="000000" w:fill="000000"/>
                <w:fitText w:val="70" w:id="-694959866"/>
                <w14:textFill>
                  <w14:solidFill>
                    <w14:srgbClr w14:val="000000">
                      <w14:alpha w14:val="100000"/>
                    </w14:srgbClr>
                  </w14:solidFill>
                </w14:textFill>
              </w:rPr>
              <w:t xml:space="preserve">　</w:t>
            </w:r>
            <w:proofErr w:type="gramStart"/>
            <w:r w:rsidRPr="003F51AF">
              <w:rPr>
                <w:color w:val="000000"/>
                <w:w w:val="15"/>
                <w:shd w:val="solid" w:color="000000" w:fill="000000"/>
                <w:fitText w:val="70" w:id="-694959866"/>
                <w14:textFill>
                  <w14:solidFill>
                    <w14:srgbClr w14:val="000000">
                      <w14:alpha w14:val="100000"/>
                    </w14:srgbClr>
                  </w14:solidFill>
                </w14:textFill>
              </w:rPr>
              <w:t>|</w:t>
            </w:r>
            <w:r w:rsidRPr="003F51AF">
              <w:rPr>
                <w:rFonts w:hint="eastAsia"/>
                <w:color w:val="000000"/>
                <w:spacing w:val="4"/>
                <w:w w:val="15"/>
                <w:shd w:val="solid" w:color="000000" w:fill="000000"/>
                <w:fitText w:val="70" w:id="-694959866"/>
                <w14:textFill>
                  <w14:solidFill>
                    <w14:srgbClr w14:val="000000">
                      <w14:alpha w14:val="100000"/>
                    </w14:srgbClr>
                  </w14:solidFill>
                </w14:textFill>
              </w:rPr>
              <w:t xml:space="preserve">　</w:t>
            </w:r>
            <w:r w:rsidR="00E93737">
              <w:rPr>
                <w:vertAlign w:val="superscript"/>
              </w:rPr>
              <w:t xml:space="preserve"> 1</w:t>
            </w:r>
            <w:proofErr w:type="gramEnd"/>
          </w:p>
        </w:tc>
        <w:tc>
          <w:tcPr>
            <w:tcW w:w="611" w:type="pct"/>
            <w:shd w:val="clear" w:color="auto" w:fill="auto"/>
          </w:tcPr>
          <w:p w14:paraId="3F6051F2" w14:textId="213EAD1B" w:rsidR="00E91717" w:rsidRPr="0035502F" w:rsidRDefault="003F51AF" w:rsidP="00E91717">
            <w:pPr>
              <w:pStyle w:val="COMTabletext"/>
              <w:jc w:val="center"/>
            </w:pPr>
            <w:r w:rsidRPr="003F51AF">
              <w:rPr>
                <w:rFonts w:hint="eastAsia"/>
                <w:color w:val="000000"/>
                <w:w w:val="15"/>
                <w:shd w:val="solid" w:color="000000" w:fill="000000"/>
                <w:fitText w:val="70" w:id="-694959865"/>
                <w14:textFill>
                  <w14:solidFill>
                    <w14:srgbClr w14:val="000000">
                      <w14:alpha w14:val="100000"/>
                    </w14:srgbClr>
                  </w14:solidFill>
                </w14:textFill>
              </w:rPr>
              <w:t xml:space="preserve">　</w:t>
            </w:r>
            <w:proofErr w:type="gramStart"/>
            <w:r w:rsidRPr="003F51AF">
              <w:rPr>
                <w:color w:val="000000"/>
                <w:w w:val="15"/>
                <w:shd w:val="solid" w:color="000000" w:fill="000000"/>
                <w:fitText w:val="70" w:id="-694959865"/>
                <w14:textFill>
                  <w14:solidFill>
                    <w14:srgbClr w14:val="000000">
                      <w14:alpha w14:val="100000"/>
                    </w14:srgbClr>
                  </w14:solidFill>
                </w14:textFill>
              </w:rPr>
              <w:t>|</w:t>
            </w:r>
            <w:r w:rsidRPr="003F51AF">
              <w:rPr>
                <w:rFonts w:hint="eastAsia"/>
                <w:color w:val="000000"/>
                <w:spacing w:val="4"/>
                <w:w w:val="15"/>
                <w:shd w:val="solid" w:color="000000" w:fill="000000"/>
                <w:fitText w:val="70" w:id="-694959865"/>
                <w14:textFill>
                  <w14:solidFill>
                    <w14:srgbClr w14:val="000000">
                      <w14:alpha w14:val="100000"/>
                    </w14:srgbClr>
                  </w14:solidFill>
                </w14:textFill>
              </w:rPr>
              <w:t xml:space="preserve">　</w:t>
            </w:r>
            <w:r w:rsidR="00E93737">
              <w:rPr>
                <w:vertAlign w:val="superscript"/>
              </w:rPr>
              <w:t xml:space="preserve"> 1</w:t>
            </w:r>
            <w:proofErr w:type="gramEnd"/>
          </w:p>
        </w:tc>
        <w:tc>
          <w:tcPr>
            <w:tcW w:w="611" w:type="pct"/>
          </w:tcPr>
          <w:p w14:paraId="6D3474A6" w14:textId="480F109F" w:rsidR="00E91717" w:rsidRPr="0035502F" w:rsidRDefault="003F51AF" w:rsidP="00E91717">
            <w:pPr>
              <w:pStyle w:val="COMTabletext"/>
              <w:jc w:val="center"/>
            </w:pPr>
            <w:r w:rsidRPr="003F51AF">
              <w:rPr>
                <w:rFonts w:hint="eastAsia"/>
                <w:color w:val="000000"/>
                <w:w w:val="15"/>
                <w:shd w:val="solid" w:color="000000" w:fill="000000"/>
                <w:fitText w:val="70" w:id="-694959864"/>
                <w14:textFill>
                  <w14:solidFill>
                    <w14:srgbClr w14:val="000000">
                      <w14:alpha w14:val="100000"/>
                    </w14:srgbClr>
                  </w14:solidFill>
                </w14:textFill>
              </w:rPr>
              <w:t xml:space="preserve">　</w:t>
            </w:r>
            <w:proofErr w:type="gramStart"/>
            <w:r w:rsidRPr="003F51AF">
              <w:rPr>
                <w:color w:val="000000"/>
                <w:w w:val="15"/>
                <w:shd w:val="solid" w:color="000000" w:fill="000000"/>
                <w:fitText w:val="70" w:id="-694959864"/>
                <w14:textFill>
                  <w14:solidFill>
                    <w14:srgbClr w14:val="000000">
                      <w14:alpha w14:val="100000"/>
                    </w14:srgbClr>
                  </w14:solidFill>
                </w14:textFill>
              </w:rPr>
              <w:t>|</w:t>
            </w:r>
            <w:r w:rsidRPr="003F51AF">
              <w:rPr>
                <w:rFonts w:hint="eastAsia"/>
                <w:color w:val="000000"/>
                <w:spacing w:val="4"/>
                <w:w w:val="15"/>
                <w:shd w:val="solid" w:color="000000" w:fill="000000"/>
                <w:fitText w:val="70" w:id="-694959864"/>
                <w14:textFill>
                  <w14:solidFill>
                    <w14:srgbClr w14:val="000000">
                      <w14:alpha w14:val="100000"/>
                    </w14:srgbClr>
                  </w14:solidFill>
                </w14:textFill>
              </w:rPr>
              <w:t xml:space="preserve">　</w:t>
            </w:r>
            <w:r w:rsidR="00E93737">
              <w:rPr>
                <w:vertAlign w:val="superscript"/>
              </w:rPr>
              <w:t xml:space="preserve"> 1</w:t>
            </w:r>
            <w:proofErr w:type="gramEnd"/>
          </w:p>
        </w:tc>
      </w:tr>
      <w:tr w:rsidR="00E91717" w:rsidRPr="0035502F" w14:paraId="20EB30AF" w14:textId="77777777" w:rsidTr="002A3BF4">
        <w:tc>
          <w:tcPr>
            <w:tcW w:w="1334" w:type="pct"/>
            <w:shd w:val="clear" w:color="auto" w:fill="auto"/>
          </w:tcPr>
          <w:p w14:paraId="1A41237C" w14:textId="3FC25272" w:rsidR="00E91717" w:rsidRPr="0035502F" w:rsidRDefault="00E91717" w:rsidP="00E91717">
            <w:pPr>
              <w:pStyle w:val="COMTabletext"/>
            </w:pPr>
            <w:r w:rsidRPr="0035502F">
              <w:t>Elranatamab 76 mg scripts</w:t>
            </w:r>
          </w:p>
        </w:tc>
        <w:tc>
          <w:tcPr>
            <w:tcW w:w="611" w:type="pct"/>
            <w:shd w:val="clear" w:color="auto" w:fill="auto"/>
          </w:tcPr>
          <w:p w14:paraId="4FFB0C43" w14:textId="75D1C558" w:rsidR="00E91717" w:rsidRPr="0035502F" w:rsidRDefault="003F51AF" w:rsidP="00E91717">
            <w:pPr>
              <w:pStyle w:val="COMTabletext"/>
              <w:jc w:val="center"/>
            </w:pPr>
            <w:r w:rsidRPr="003F51AF">
              <w:rPr>
                <w:rFonts w:hint="eastAsia"/>
                <w:color w:val="000000"/>
                <w:w w:val="18"/>
                <w:shd w:val="solid" w:color="000000" w:fill="000000"/>
                <w:fitText w:val="80" w:id="-694959863"/>
                <w14:textFill>
                  <w14:solidFill>
                    <w14:srgbClr w14:val="000000">
                      <w14:alpha w14:val="100000"/>
                    </w14:srgbClr>
                  </w14:solidFill>
                </w14:textFill>
              </w:rPr>
              <w:t xml:space="preserve">　</w:t>
            </w:r>
            <w:proofErr w:type="gramStart"/>
            <w:r w:rsidRPr="003F51AF">
              <w:rPr>
                <w:color w:val="000000"/>
                <w:w w:val="18"/>
                <w:shd w:val="solid" w:color="000000" w:fill="000000"/>
                <w:fitText w:val="80" w:id="-694959863"/>
                <w14:textFill>
                  <w14:solidFill>
                    <w14:srgbClr w14:val="000000">
                      <w14:alpha w14:val="100000"/>
                    </w14:srgbClr>
                  </w14:solidFill>
                </w14:textFill>
              </w:rPr>
              <w:t>|</w:t>
            </w:r>
            <w:r w:rsidRPr="003F51AF">
              <w:rPr>
                <w:rFonts w:hint="eastAsia"/>
                <w:color w:val="000000"/>
                <w:w w:val="18"/>
                <w:shd w:val="solid" w:color="000000" w:fill="000000"/>
                <w:fitText w:val="80" w:id="-694959863"/>
                <w14:textFill>
                  <w14:solidFill>
                    <w14:srgbClr w14:val="000000">
                      <w14:alpha w14:val="100000"/>
                    </w14:srgbClr>
                  </w14:solidFill>
                </w14:textFill>
              </w:rPr>
              <w:t xml:space="preserve">　</w:t>
            </w:r>
            <w:r w:rsidR="00E91717" w:rsidRPr="0035502F">
              <w:t xml:space="preserve"> </w:t>
            </w:r>
            <w:r w:rsidR="00E93737">
              <w:rPr>
                <w:vertAlign w:val="superscript"/>
              </w:rPr>
              <w:t>2</w:t>
            </w:r>
            <w:proofErr w:type="gramEnd"/>
          </w:p>
        </w:tc>
        <w:tc>
          <w:tcPr>
            <w:tcW w:w="611" w:type="pct"/>
            <w:shd w:val="clear" w:color="auto" w:fill="auto"/>
          </w:tcPr>
          <w:p w14:paraId="6D12335D" w14:textId="64502087" w:rsidR="00E91717" w:rsidRPr="0035502F" w:rsidRDefault="003F51AF" w:rsidP="00E91717">
            <w:pPr>
              <w:pStyle w:val="COMTabletext"/>
              <w:jc w:val="center"/>
            </w:pPr>
            <w:r w:rsidRPr="003F51AF">
              <w:rPr>
                <w:rFonts w:hint="eastAsia"/>
                <w:color w:val="000000"/>
                <w:w w:val="18"/>
                <w:shd w:val="solid" w:color="000000" w:fill="000000"/>
                <w:fitText w:val="80" w:id="-694959862"/>
                <w14:textFill>
                  <w14:solidFill>
                    <w14:srgbClr w14:val="000000">
                      <w14:alpha w14:val="100000"/>
                    </w14:srgbClr>
                  </w14:solidFill>
                </w14:textFill>
              </w:rPr>
              <w:t xml:space="preserve">　</w:t>
            </w:r>
            <w:proofErr w:type="gramStart"/>
            <w:r w:rsidRPr="003F51AF">
              <w:rPr>
                <w:color w:val="000000"/>
                <w:w w:val="18"/>
                <w:shd w:val="solid" w:color="000000" w:fill="000000"/>
                <w:fitText w:val="80" w:id="-694959862"/>
                <w14:textFill>
                  <w14:solidFill>
                    <w14:srgbClr w14:val="000000">
                      <w14:alpha w14:val="100000"/>
                    </w14:srgbClr>
                  </w14:solidFill>
                </w14:textFill>
              </w:rPr>
              <w:t>|</w:t>
            </w:r>
            <w:r w:rsidRPr="003F51AF">
              <w:rPr>
                <w:rFonts w:hint="eastAsia"/>
                <w:color w:val="000000"/>
                <w:w w:val="18"/>
                <w:shd w:val="solid" w:color="000000" w:fill="000000"/>
                <w:fitText w:val="80" w:id="-694959862"/>
                <w14:textFill>
                  <w14:solidFill>
                    <w14:srgbClr w14:val="000000">
                      <w14:alpha w14:val="100000"/>
                    </w14:srgbClr>
                  </w14:solidFill>
                </w14:textFill>
              </w:rPr>
              <w:t xml:space="preserve">　</w:t>
            </w:r>
            <w:r w:rsidR="00E91717" w:rsidRPr="0035502F">
              <w:t xml:space="preserve"> </w:t>
            </w:r>
            <w:r w:rsidR="00E93737">
              <w:rPr>
                <w:vertAlign w:val="superscript"/>
              </w:rPr>
              <w:t>2</w:t>
            </w:r>
            <w:proofErr w:type="gramEnd"/>
          </w:p>
        </w:tc>
        <w:tc>
          <w:tcPr>
            <w:tcW w:w="611" w:type="pct"/>
            <w:shd w:val="clear" w:color="auto" w:fill="auto"/>
          </w:tcPr>
          <w:p w14:paraId="6E496C7F" w14:textId="49FAC0B9" w:rsidR="00E91717" w:rsidRPr="0035502F" w:rsidRDefault="003F51AF" w:rsidP="00E91717">
            <w:pPr>
              <w:pStyle w:val="COMTabletext"/>
              <w:jc w:val="center"/>
            </w:pPr>
            <w:r w:rsidRPr="003F51AF">
              <w:rPr>
                <w:rFonts w:hint="eastAsia"/>
                <w:color w:val="000000"/>
                <w:w w:val="18"/>
                <w:shd w:val="solid" w:color="000000" w:fill="000000"/>
                <w:fitText w:val="80" w:id="-694959861"/>
                <w14:textFill>
                  <w14:solidFill>
                    <w14:srgbClr w14:val="000000">
                      <w14:alpha w14:val="100000"/>
                    </w14:srgbClr>
                  </w14:solidFill>
                </w14:textFill>
              </w:rPr>
              <w:t xml:space="preserve">　</w:t>
            </w:r>
            <w:proofErr w:type="gramStart"/>
            <w:r w:rsidRPr="003F51AF">
              <w:rPr>
                <w:color w:val="000000"/>
                <w:w w:val="18"/>
                <w:shd w:val="solid" w:color="000000" w:fill="000000"/>
                <w:fitText w:val="80" w:id="-694959861"/>
                <w14:textFill>
                  <w14:solidFill>
                    <w14:srgbClr w14:val="000000">
                      <w14:alpha w14:val="100000"/>
                    </w14:srgbClr>
                  </w14:solidFill>
                </w14:textFill>
              </w:rPr>
              <w:t>|</w:t>
            </w:r>
            <w:r w:rsidRPr="003F51AF">
              <w:rPr>
                <w:rFonts w:hint="eastAsia"/>
                <w:color w:val="000000"/>
                <w:w w:val="18"/>
                <w:shd w:val="solid" w:color="000000" w:fill="000000"/>
                <w:fitText w:val="80" w:id="-694959861"/>
                <w14:textFill>
                  <w14:solidFill>
                    <w14:srgbClr w14:val="000000">
                      <w14:alpha w14:val="100000"/>
                    </w14:srgbClr>
                  </w14:solidFill>
                </w14:textFill>
              </w:rPr>
              <w:t xml:space="preserve">　</w:t>
            </w:r>
            <w:r w:rsidR="00E91717" w:rsidRPr="0035502F">
              <w:t xml:space="preserve"> </w:t>
            </w:r>
            <w:r w:rsidR="00E93737">
              <w:rPr>
                <w:vertAlign w:val="superscript"/>
              </w:rPr>
              <w:t>2</w:t>
            </w:r>
            <w:proofErr w:type="gramEnd"/>
          </w:p>
        </w:tc>
        <w:tc>
          <w:tcPr>
            <w:tcW w:w="611" w:type="pct"/>
            <w:shd w:val="clear" w:color="auto" w:fill="auto"/>
          </w:tcPr>
          <w:p w14:paraId="11D42BC4" w14:textId="38708C74" w:rsidR="00E91717" w:rsidRPr="0035502F" w:rsidRDefault="003F51AF" w:rsidP="00E91717">
            <w:pPr>
              <w:pStyle w:val="COMTabletext"/>
              <w:jc w:val="center"/>
            </w:pPr>
            <w:r w:rsidRPr="003F51AF">
              <w:rPr>
                <w:rFonts w:hint="eastAsia"/>
                <w:color w:val="000000"/>
                <w:w w:val="18"/>
                <w:shd w:val="solid" w:color="000000" w:fill="000000"/>
                <w:fitText w:val="80" w:id="-694959860"/>
                <w14:textFill>
                  <w14:solidFill>
                    <w14:srgbClr w14:val="000000">
                      <w14:alpha w14:val="100000"/>
                    </w14:srgbClr>
                  </w14:solidFill>
                </w14:textFill>
              </w:rPr>
              <w:t xml:space="preserve">　</w:t>
            </w:r>
            <w:proofErr w:type="gramStart"/>
            <w:r w:rsidRPr="003F51AF">
              <w:rPr>
                <w:color w:val="000000"/>
                <w:w w:val="18"/>
                <w:shd w:val="solid" w:color="000000" w:fill="000000"/>
                <w:fitText w:val="80" w:id="-694959860"/>
                <w14:textFill>
                  <w14:solidFill>
                    <w14:srgbClr w14:val="000000">
                      <w14:alpha w14:val="100000"/>
                    </w14:srgbClr>
                  </w14:solidFill>
                </w14:textFill>
              </w:rPr>
              <w:t>|</w:t>
            </w:r>
            <w:r w:rsidRPr="003F51AF">
              <w:rPr>
                <w:rFonts w:hint="eastAsia"/>
                <w:color w:val="000000"/>
                <w:w w:val="18"/>
                <w:shd w:val="solid" w:color="000000" w:fill="000000"/>
                <w:fitText w:val="80" w:id="-694959860"/>
                <w14:textFill>
                  <w14:solidFill>
                    <w14:srgbClr w14:val="000000">
                      <w14:alpha w14:val="100000"/>
                    </w14:srgbClr>
                  </w14:solidFill>
                </w14:textFill>
              </w:rPr>
              <w:t xml:space="preserve">　</w:t>
            </w:r>
            <w:r w:rsidR="00E91717" w:rsidRPr="0035502F">
              <w:t xml:space="preserve"> </w:t>
            </w:r>
            <w:r w:rsidR="00E93737">
              <w:rPr>
                <w:vertAlign w:val="superscript"/>
              </w:rPr>
              <w:t>2</w:t>
            </w:r>
            <w:proofErr w:type="gramEnd"/>
          </w:p>
        </w:tc>
        <w:tc>
          <w:tcPr>
            <w:tcW w:w="611" w:type="pct"/>
            <w:shd w:val="clear" w:color="auto" w:fill="auto"/>
          </w:tcPr>
          <w:p w14:paraId="139FB9C6" w14:textId="27B09658" w:rsidR="00E91717" w:rsidRPr="0035502F" w:rsidRDefault="003F51AF" w:rsidP="00E91717">
            <w:pPr>
              <w:pStyle w:val="COMTabletext"/>
              <w:jc w:val="center"/>
            </w:pPr>
            <w:r w:rsidRPr="003F51AF">
              <w:rPr>
                <w:rFonts w:hint="eastAsia"/>
                <w:color w:val="000000"/>
                <w:w w:val="18"/>
                <w:shd w:val="solid" w:color="000000" w:fill="000000"/>
                <w:fitText w:val="80" w:id="-694959859"/>
                <w14:textFill>
                  <w14:solidFill>
                    <w14:srgbClr w14:val="000000">
                      <w14:alpha w14:val="100000"/>
                    </w14:srgbClr>
                  </w14:solidFill>
                </w14:textFill>
              </w:rPr>
              <w:t xml:space="preserve">　</w:t>
            </w:r>
            <w:proofErr w:type="gramStart"/>
            <w:r w:rsidRPr="003F51AF">
              <w:rPr>
                <w:color w:val="000000"/>
                <w:w w:val="18"/>
                <w:shd w:val="solid" w:color="000000" w:fill="000000"/>
                <w:fitText w:val="80" w:id="-694959859"/>
                <w14:textFill>
                  <w14:solidFill>
                    <w14:srgbClr w14:val="000000">
                      <w14:alpha w14:val="100000"/>
                    </w14:srgbClr>
                  </w14:solidFill>
                </w14:textFill>
              </w:rPr>
              <w:t>|</w:t>
            </w:r>
            <w:r w:rsidRPr="003F51AF">
              <w:rPr>
                <w:rFonts w:hint="eastAsia"/>
                <w:color w:val="000000"/>
                <w:w w:val="18"/>
                <w:shd w:val="solid" w:color="000000" w:fill="000000"/>
                <w:fitText w:val="80" w:id="-694959859"/>
                <w14:textFill>
                  <w14:solidFill>
                    <w14:srgbClr w14:val="000000">
                      <w14:alpha w14:val="100000"/>
                    </w14:srgbClr>
                  </w14:solidFill>
                </w14:textFill>
              </w:rPr>
              <w:t xml:space="preserve">　</w:t>
            </w:r>
            <w:r w:rsidR="00E91717" w:rsidRPr="0035502F">
              <w:t xml:space="preserve"> </w:t>
            </w:r>
            <w:r w:rsidR="00E93737">
              <w:rPr>
                <w:vertAlign w:val="superscript"/>
              </w:rPr>
              <w:t>2</w:t>
            </w:r>
            <w:proofErr w:type="gramEnd"/>
          </w:p>
        </w:tc>
        <w:tc>
          <w:tcPr>
            <w:tcW w:w="611" w:type="pct"/>
          </w:tcPr>
          <w:p w14:paraId="71A6A3EA" w14:textId="797BD6C7" w:rsidR="00E91717" w:rsidRPr="0035502F" w:rsidRDefault="003F51AF" w:rsidP="00E91717">
            <w:pPr>
              <w:pStyle w:val="COMTabletext"/>
              <w:jc w:val="center"/>
            </w:pPr>
            <w:r w:rsidRPr="003F51AF">
              <w:rPr>
                <w:rFonts w:hint="eastAsia"/>
                <w:color w:val="000000"/>
                <w:w w:val="18"/>
                <w:shd w:val="solid" w:color="000000" w:fill="000000"/>
                <w:fitText w:val="80" w:id="-694959858"/>
                <w14:textFill>
                  <w14:solidFill>
                    <w14:srgbClr w14:val="000000">
                      <w14:alpha w14:val="100000"/>
                    </w14:srgbClr>
                  </w14:solidFill>
                </w14:textFill>
              </w:rPr>
              <w:t xml:space="preserve">　</w:t>
            </w:r>
            <w:proofErr w:type="gramStart"/>
            <w:r w:rsidRPr="003F51AF">
              <w:rPr>
                <w:color w:val="000000"/>
                <w:w w:val="18"/>
                <w:shd w:val="solid" w:color="000000" w:fill="000000"/>
                <w:fitText w:val="80" w:id="-694959858"/>
                <w14:textFill>
                  <w14:solidFill>
                    <w14:srgbClr w14:val="000000">
                      <w14:alpha w14:val="100000"/>
                    </w14:srgbClr>
                  </w14:solidFill>
                </w14:textFill>
              </w:rPr>
              <w:t>|</w:t>
            </w:r>
            <w:r w:rsidRPr="003F51AF">
              <w:rPr>
                <w:rFonts w:hint="eastAsia"/>
                <w:color w:val="000000"/>
                <w:w w:val="18"/>
                <w:shd w:val="solid" w:color="000000" w:fill="000000"/>
                <w:fitText w:val="80" w:id="-694959858"/>
                <w14:textFill>
                  <w14:solidFill>
                    <w14:srgbClr w14:val="000000">
                      <w14:alpha w14:val="100000"/>
                    </w14:srgbClr>
                  </w14:solidFill>
                </w14:textFill>
              </w:rPr>
              <w:t xml:space="preserve">　</w:t>
            </w:r>
            <w:r w:rsidR="00E91717" w:rsidRPr="0035502F">
              <w:t xml:space="preserve"> </w:t>
            </w:r>
            <w:r w:rsidR="00201662">
              <w:rPr>
                <w:vertAlign w:val="superscript"/>
              </w:rPr>
              <w:t>3</w:t>
            </w:r>
            <w:proofErr w:type="gramEnd"/>
          </w:p>
        </w:tc>
      </w:tr>
      <w:tr w:rsidR="00E91717" w:rsidRPr="0035502F" w14:paraId="16427D1A" w14:textId="77777777" w:rsidTr="002A3BF4">
        <w:tc>
          <w:tcPr>
            <w:tcW w:w="1334" w:type="pct"/>
            <w:shd w:val="clear" w:color="auto" w:fill="auto"/>
          </w:tcPr>
          <w:p w14:paraId="5DA87512" w14:textId="52E32DA8" w:rsidR="00E91717" w:rsidRPr="0035502F" w:rsidRDefault="00E91717" w:rsidP="00E91717">
            <w:pPr>
              <w:pStyle w:val="COMTabletext"/>
            </w:pPr>
            <w:r w:rsidRPr="0035502F">
              <w:t>Dexamethasone 4 mg scripts</w:t>
            </w:r>
          </w:p>
        </w:tc>
        <w:tc>
          <w:tcPr>
            <w:tcW w:w="611" w:type="pct"/>
            <w:shd w:val="clear" w:color="auto" w:fill="auto"/>
          </w:tcPr>
          <w:p w14:paraId="22A01061" w14:textId="374395F4" w:rsidR="00E91717" w:rsidRPr="0035502F" w:rsidRDefault="003F51AF" w:rsidP="00E91717">
            <w:pPr>
              <w:pStyle w:val="COMTabletext"/>
              <w:jc w:val="center"/>
            </w:pPr>
            <w:r w:rsidRPr="003F51AF">
              <w:rPr>
                <w:rFonts w:hint="eastAsia"/>
                <w:color w:val="000000"/>
                <w:w w:val="15"/>
                <w:shd w:val="solid" w:color="000000" w:fill="000000"/>
                <w:fitText w:val="70" w:id="-694959857"/>
                <w14:textFill>
                  <w14:solidFill>
                    <w14:srgbClr w14:val="000000">
                      <w14:alpha w14:val="100000"/>
                    </w14:srgbClr>
                  </w14:solidFill>
                </w14:textFill>
              </w:rPr>
              <w:t xml:space="preserve">　</w:t>
            </w:r>
            <w:proofErr w:type="gramStart"/>
            <w:r w:rsidRPr="003F51AF">
              <w:rPr>
                <w:color w:val="000000"/>
                <w:w w:val="15"/>
                <w:shd w:val="solid" w:color="000000" w:fill="000000"/>
                <w:fitText w:val="70" w:id="-694959857"/>
                <w14:textFill>
                  <w14:solidFill>
                    <w14:srgbClr w14:val="000000">
                      <w14:alpha w14:val="100000"/>
                    </w14:srgbClr>
                  </w14:solidFill>
                </w14:textFill>
              </w:rPr>
              <w:t>|</w:t>
            </w:r>
            <w:r w:rsidRPr="003F51AF">
              <w:rPr>
                <w:rFonts w:hint="eastAsia"/>
                <w:color w:val="000000"/>
                <w:spacing w:val="4"/>
                <w:w w:val="15"/>
                <w:shd w:val="solid" w:color="000000" w:fill="000000"/>
                <w:fitText w:val="70" w:id="-694959857"/>
                <w14:textFill>
                  <w14:solidFill>
                    <w14:srgbClr w14:val="000000">
                      <w14:alpha w14:val="100000"/>
                    </w14:srgbClr>
                  </w14:solidFill>
                </w14:textFill>
              </w:rPr>
              <w:t xml:space="preserve">　</w:t>
            </w:r>
            <w:r w:rsidR="00E93737">
              <w:rPr>
                <w:vertAlign w:val="superscript"/>
              </w:rPr>
              <w:t xml:space="preserve"> 1</w:t>
            </w:r>
            <w:proofErr w:type="gramEnd"/>
          </w:p>
        </w:tc>
        <w:tc>
          <w:tcPr>
            <w:tcW w:w="611" w:type="pct"/>
            <w:shd w:val="clear" w:color="auto" w:fill="auto"/>
          </w:tcPr>
          <w:p w14:paraId="71A10EBC" w14:textId="10D6AAF6" w:rsidR="00E91717" w:rsidRPr="0035502F" w:rsidRDefault="003F51AF" w:rsidP="00E91717">
            <w:pPr>
              <w:pStyle w:val="COMTabletext"/>
              <w:jc w:val="center"/>
            </w:pPr>
            <w:r w:rsidRPr="003F51AF">
              <w:rPr>
                <w:rFonts w:hint="eastAsia"/>
                <w:color w:val="000000"/>
                <w:w w:val="15"/>
                <w:shd w:val="solid" w:color="000000" w:fill="000000"/>
                <w:fitText w:val="70" w:id="-694959856"/>
                <w14:textFill>
                  <w14:solidFill>
                    <w14:srgbClr w14:val="000000">
                      <w14:alpha w14:val="100000"/>
                    </w14:srgbClr>
                  </w14:solidFill>
                </w14:textFill>
              </w:rPr>
              <w:t xml:space="preserve">　</w:t>
            </w:r>
            <w:proofErr w:type="gramStart"/>
            <w:r w:rsidRPr="003F51AF">
              <w:rPr>
                <w:color w:val="000000"/>
                <w:w w:val="15"/>
                <w:shd w:val="solid" w:color="000000" w:fill="000000"/>
                <w:fitText w:val="70" w:id="-694959856"/>
                <w14:textFill>
                  <w14:solidFill>
                    <w14:srgbClr w14:val="000000">
                      <w14:alpha w14:val="100000"/>
                    </w14:srgbClr>
                  </w14:solidFill>
                </w14:textFill>
              </w:rPr>
              <w:t>|</w:t>
            </w:r>
            <w:r w:rsidRPr="003F51AF">
              <w:rPr>
                <w:rFonts w:hint="eastAsia"/>
                <w:color w:val="000000"/>
                <w:spacing w:val="4"/>
                <w:w w:val="15"/>
                <w:shd w:val="solid" w:color="000000" w:fill="000000"/>
                <w:fitText w:val="70" w:id="-694959856"/>
                <w14:textFill>
                  <w14:solidFill>
                    <w14:srgbClr w14:val="000000">
                      <w14:alpha w14:val="100000"/>
                    </w14:srgbClr>
                  </w14:solidFill>
                </w14:textFill>
              </w:rPr>
              <w:t xml:space="preserve">　</w:t>
            </w:r>
            <w:r w:rsidR="00E93737">
              <w:rPr>
                <w:vertAlign w:val="superscript"/>
              </w:rPr>
              <w:t xml:space="preserve"> 1</w:t>
            </w:r>
            <w:proofErr w:type="gramEnd"/>
          </w:p>
        </w:tc>
        <w:tc>
          <w:tcPr>
            <w:tcW w:w="611" w:type="pct"/>
            <w:shd w:val="clear" w:color="auto" w:fill="auto"/>
          </w:tcPr>
          <w:p w14:paraId="4ABF36A9" w14:textId="01C17B98" w:rsidR="00E91717" w:rsidRPr="0035502F" w:rsidRDefault="003F51AF" w:rsidP="00E91717">
            <w:pPr>
              <w:pStyle w:val="COMTabletext"/>
              <w:jc w:val="center"/>
            </w:pPr>
            <w:r w:rsidRPr="003F51AF">
              <w:rPr>
                <w:rFonts w:hint="eastAsia"/>
                <w:color w:val="000000"/>
                <w:w w:val="15"/>
                <w:shd w:val="solid" w:color="000000" w:fill="000000"/>
                <w:fitText w:val="70" w:id="-694959872"/>
                <w14:textFill>
                  <w14:solidFill>
                    <w14:srgbClr w14:val="000000">
                      <w14:alpha w14:val="100000"/>
                    </w14:srgbClr>
                  </w14:solidFill>
                </w14:textFill>
              </w:rPr>
              <w:t xml:space="preserve">　</w:t>
            </w:r>
            <w:proofErr w:type="gramStart"/>
            <w:r w:rsidRPr="003F51AF">
              <w:rPr>
                <w:color w:val="000000"/>
                <w:w w:val="15"/>
                <w:shd w:val="solid" w:color="000000" w:fill="000000"/>
                <w:fitText w:val="70" w:id="-694959872"/>
                <w14:textFill>
                  <w14:solidFill>
                    <w14:srgbClr w14:val="000000">
                      <w14:alpha w14:val="100000"/>
                    </w14:srgbClr>
                  </w14:solidFill>
                </w14:textFill>
              </w:rPr>
              <w:t>|</w:t>
            </w:r>
            <w:r w:rsidRPr="003F51AF">
              <w:rPr>
                <w:rFonts w:hint="eastAsia"/>
                <w:color w:val="000000"/>
                <w:spacing w:val="4"/>
                <w:w w:val="15"/>
                <w:shd w:val="solid" w:color="000000" w:fill="000000"/>
                <w:fitText w:val="70" w:id="-694959872"/>
                <w14:textFill>
                  <w14:solidFill>
                    <w14:srgbClr w14:val="000000">
                      <w14:alpha w14:val="100000"/>
                    </w14:srgbClr>
                  </w14:solidFill>
                </w14:textFill>
              </w:rPr>
              <w:t xml:space="preserve">　</w:t>
            </w:r>
            <w:r w:rsidR="00E93737">
              <w:rPr>
                <w:vertAlign w:val="superscript"/>
              </w:rPr>
              <w:t xml:space="preserve"> 1</w:t>
            </w:r>
            <w:proofErr w:type="gramEnd"/>
          </w:p>
        </w:tc>
        <w:tc>
          <w:tcPr>
            <w:tcW w:w="611" w:type="pct"/>
            <w:shd w:val="clear" w:color="auto" w:fill="auto"/>
          </w:tcPr>
          <w:p w14:paraId="24A0CEAF" w14:textId="54D13007" w:rsidR="00E91717" w:rsidRPr="0035502F" w:rsidRDefault="003F51AF" w:rsidP="00E91717">
            <w:pPr>
              <w:pStyle w:val="COMTabletext"/>
              <w:jc w:val="center"/>
            </w:pPr>
            <w:r w:rsidRPr="003F51AF">
              <w:rPr>
                <w:rFonts w:hint="eastAsia"/>
                <w:color w:val="000000"/>
                <w:w w:val="15"/>
                <w:shd w:val="solid" w:color="000000" w:fill="000000"/>
                <w:fitText w:val="70" w:id="-694959871"/>
                <w14:textFill>
                  <w14:solidFill>
                    <w14:srgbClr w14:val="000000">
                      <w14:alpha w14:val="100000"/>
                    </w14:srgbClr>
                  </w14:solidFill>
                </w14:textFill>
              </w:rPr>
              <w:t xml:space="preserve">　</w:t>
            </w:r>
            <w:proofErr w:type="gramStart"/>
            <w:r w:rsidRPr="003F51AF">
              <w:rPr>
                <w:color w:val="000000"/>
                <w:w w:val="15"/>
                <w:shd w:val="solid" w:color="000000" w:fill="000000"/>
                <w:fitText w:val="70" w:id="-694959871"/>
                <w14:textFill>
                  <w14:solidFill>
                    <w14:srgbClr w14:val="000000">
                      <w14:alpha w14:val="100000"/>
                    </w14:srgbClr>
                  </w14:solidFill>
                </w14:textFill>
              </w:rPr>
              <w:t>|</w:t>
            </w:r>
            <w:r w:rsidRPr="003F51AF">
              <w:rPr>
                <w:rFonts w:hint="eastAsia"/>
                <w:color w:val="000000"/>
                <w:spacing w:val="4"/>
                <w:w w:val="15"/>
                <w:shd w:val="solid" w:color="000000" w:fill="000000"/>
                <w:fitText w:val="70" w:id="-694959871"/>
                <w14:textFill>
                  <w14:solidFill>
                    <w14:srgbClr w14:val="000000">
                      <w14:alpha w14:val="100000"/>
                    </w14:srgbClr>
                  </w14:solidFill>
                </w14:textFill>
              </w:rPr>
              <w:t xml:space="preserve">　</w:t>
            </w:r>
            <w:r w:rsidR="00E93737">
              <w:rPr>
                <w:vertAlign w:val="superscript"/>
              </w:rPr>
              <w:t xml:space="preserve"> 1</w:t>
            </w:r>
            <w:proofErr w:type="gramEnd"/>
          </w:p>
        </w:tc>
        <w:tc>
          <w:tcPr>
            <w:tcW w:w="611" w:type="pct"/>
            <w:shd w:val="clear" w:color="auto" w:fill="auto"/>
          </w:tcPr>
          <w:p w14:paraId="4825C885" w14:textId="2BA02EA7" w:rsidR="00E91717" w:rsidRPr="0035502F" w:rsidRDefault="003F51AF" w:rsidP="00E91717">
            <w:pPr>
              <w:pStyle w:val="COMTabletext"/>
              <w:jc w:val="center"/>
            </w:pPr>
            <w:r w:rsidRPr="003F51AF">
              <w:rPr>
                <w:rFonts w:hint="eastAsia"/>
                <w:color w:val="000000"/>
                <w:w w:val="15"/>
                <w:shd w:val="solid" w:color="000000" w:fill="000000"/>
                <w:fitText w:val="70" w:id="-694959870"/>
                <w14:textFill>
                  <w14:solidFill>
                    <w14:srgbClr w14:val="000000">
                      <w14:alpha w14:val="100000"/>
                    </w14:srgbClr>
                  </w14:solidFill>
                </w14:textFill>
              </w:rPr>
              <w:t xml:space="preserve">　</w:t>
            </w:r>
            <w:proofErr w:type="gramStart"/>
            <w:r w:rsidRPr="003F51AF">
              <w:rPr>
                <w:color w:val="000000"/>
                <w:w w:val="15"/>
                <w:shd w:val="solid" w:color="000000" w:fill="000000"/>
                <w:fitText w:val="70" w:id="-694959870"/>
                <w14:textFill>
                  <w14:solidFill>
                    <w14:srgbClr w14:val="000000">
                      <w14:alpha w14:val="100000"/>
                    </w14:srgbClr>
                  </w14:solidFill>
                </w14:textFill>
              </w:rPr>
              <w:t>|</w:t>
            </w:r>
            <w:r w:rsidRPr="003F51AF">
              <w:rPr>
                <w:rFonts w:hint="eastAsia"/>
                <w:color w:val="000000"/>
                <w:spacing w:val="4"/>
                <w:w w:val="15"/>
                <w:shd w:val="solid" w:color="000000" w:fill="000000"/>
                <w:fitText w:val="70" w:id="-694959870"/>
                <w14:textFill>
                  <w14:solidFill>
                    <w14:srgbClr w14:val="000000">
                      <w14:alpha w14:val="100000"/>
                    </w14:srgbClr>
                  </w14:solidFill>
                </w14:textFill>
              </w:rPr>
              <w:t xml:space="preserve">　</w:t>
            </w:r>
            <w:r w:rsidR="00E93737">
              <w:rPr>
                <w:vertAlign w:val="superscript"/>
              </w:rPr>
              <w:t xml:space="preserve"> 1</w:t>
            </w:r>
            <w:proofErr w:type="gramEnd"/>
          </w:p>
        </w:tc>
        <w:tc>
          <w:tcPr>
            <w:tcW w:w="611" w:type="pct"/>
          </w:tcPr>
          <w:p w14:paraId="6C8A71F4" w14:textId="5DC0E54B" w:rsidR="00E91717" w:rsidRPr="0035502F" w:rsidRDefault="003F51AF" w:rsidP="00E91717">
            <w:pPr>
              <w:pStyle w:val="COMTabletext"/>
              <w:jc w:val="center"/>
            </w:pPr>
            <w:r w:rsidRPr="003F51AF">
              <w:rPr>
                <w:rFonts w:hint="eastAsia"/>
                <w:color w:val="000000"/>
                <w:w w:val="15"/>
                <w:shd w:val="solid" w:color="000000" w:fill="000000"/>
                <w:fitText w:val="70" w:id="-694959869"/>
                <w14:textFill>
                  <w14:solidFill>
                    <w14:srgbClr w14:val="000000">
                      <w14:alpha w14:val="100000"/>
                    </w14:srgbClr>
                  </w14:solidFill>
                </w14:textFill>
              </w:rPr>
              <w:t xml:space="preserve">　</w:t>
            </w:r>
            <w:proofErr w:type="gramStart"/>
            <w:r w:rsidRPr="003F51AF">
              <w:rPr>
                <w:color w:val="000000"/>
                <w:w w:val="15"/>
                <w:shd w:val="solid" w:color="000000" w:fill="000000"/>
                <w:fitText w:val="70" w:id="-694959869"/>
                <w14:textFill>
                  <w14:solidFill>
                    <w14:srgbClr w14:val="000000">
                      <w14:alpha w14:val="100000"/>
                    </w14:srgbClr>
                  </w14:solidFill>
                </w14:textFill>
              </w:rPr>
              <w:t>|</w:t>
            </w:r>
            <w:r w:rsidRPr="003F51AF">
              <w:rPr>
                <w:rFonts w:hint="eastAsia"/>
                <w:color w:val="000000"/>
                <w:spacing w:val="4"/>
                <w:w w:val="15"/>
                <w:shd w:val="solid" w:color="000000" w:fill="000000"/>
                <w:fitText w:val="70" w:id="-694959869"/>
                <w14:textFill>
                  <w14:solidFill>
                    <w14:srgbClr w14:val="000000">
                      <w14:alpha w14:val="100000"/>
                    </w14:srgbClr>
                  </w14:solidFill>
                </w14:textFill>
              </w:rPr>
              <w:t xml:space="preserve">　</w:t>
            </w:r>
            <w:r w:rsidR="00E93737">
              <w:rPr>
                <w:vertAlign w:val="superscript"/>
              </w:rPr>
              <w:t xml:space="preserve"> 1</w:t>
            </w:r>
            <w:proofErr w:type="gramEnd"/>
          </w:p>
        </w:tc>
      </w:tr>
      <w:tr w:rsidR="00E91717" w:rsidRPr="0035502F" w14:paraId="1E699D47" w14:textId="77777777" w:rsidTr="009C3A3A">
        <w:tc>
          <w:tcPr>
            <w:tcW w:w="5000" w:type="pct"/>
            <w:gridSpan w:val="7"/>
            <w:shd w:val="clear" w:color="auto" w:fill="auto"/>
            <w:vAlign w:val="center"/>
          </w:tcPr>
          <w:p w14:paraId="7D0E0884" w14:textId="0CAF4276" w:rsidR="00E91717" w:rsidRPr="0035502F" w:rsidRDefault="00E91717" w:rsidP="00E91717">
            <w:pPr>
              <w:pStyle w:val="COMTableheadingrow"/>
            </w:pPr>
            <w:r w:rsidRPr="0035502F">
              <w:t>Estimated financial implications of elranatamab</w:t>
            </w:r>
          </w:p>
        </w:tc>
      </w:tr>
      <w:tr w:rsidR="00E91717" w:rsidRPr="0035502F" w14:paraId="4B4ACF1A" w14:textId="77777777" w:rsidTr="00C60346">
        <w:tc>
          <w:tcPr>
            <w:tcW w:w="1334" w:type="pct"/>
            <w:shd w:val="clear" w:color="auto" w:fill="auto"/>
            <w:vAlign w:val="center"/>
          </w:tcPr>
          <w:p w14:paraId="467993BD" w14:textId="618A57F1" w:rsidR="00E91717" w:rsidRPr="0035502F" w:rsidRDefault="00E91717" w:rsidP="00E91717">
            <w:pPr>
              <w:pStyle w:val="COMTabletext"/>
            </w:pPr>
            <w:r w:rsidRPr="0035502F">
              <w:t>Cost to PBS/RPBS less copayments</w:t>
            </w:r>
          </w:p>
        </w:tc>
        <w:tc>
          <w:tcPr>
            <w:tcW w:w="611" w:type="pct"/>
            <w:shd w:val="clear" w:color="auto" w:fill="auto"/>
            <w:vAlign w:val="center"/>
          </w:tcPr>
          <w:p w14:paraId="4125A2B6" w14:textId="51496273" w:rsidR="00E91717" w:rsidRPr="0035502F" w:rsidRDefault="00E91717" w:rsidP="00E91717">
            <w:pPr>
              <w:pStyle w:val="COMTabletext"/>
              <w:jc w:val="center"/>
            </w:pPr>
            <w:r w:rsidRPr="0035502F">
              <w:t>$</w:t>
            </w:r>
            <w:r w:rsidR="003F51AF" w:rsidRPr="003F51AF">
              <w:rPr>
                <w:rFonts w:hint="eastAsia"/>
                <w:color w:val="000000"/>
                <w:w w:val="24"/>
                <w:shd w:val="solid" w:color="000000" w:fill="000000"/>
                <w:fitText w:val="110" w:id="-694959868"/>
                <w14:textFill>
                  <w14:solidFill>
                    <w14:srgbClr w14:val="000000">
                      <w14:alpha w14:val="100000"/>
                    </w14:srgbClr>
                  </w14:solidFill>
                </w14:textFill>
              </w:rPr>
              <w:t xml:space="preserve">　</w:t>
            </w:r>
            <w:proofErr w:type="gramStart"/>
            <w:r w:rsidR="003F51AF" w:rsidRPr="003F51AF">
              <w:rPr>
                <w:color w:val="000000"/>
                <w:w w:val="24"/>
                <w:shd w:val="solid" w:color="000000" w:fill="000000"/>
                <w:fitText w:val="110" w:id="-694959868"/>
                <w14:textFill>
                  <w14:solidFill>
                    <w14:srgbClr w14:val="000000">
                      <w14:alpha w14:val="100000"/>
                    </w14:srgbClr>
                  </w14:solidFill>
                </w14:textFill>
              </w:rPr>
              <w:t>|</w:t>
            </w:r>
            <w:r w:rsidR="003F51AF" w:rsidRPr="003F51AF">
              <w:rPr>
                <w:rFonts w:hint="eastAsia"/>
                <w:color w:val="000000"/>
                <w:spacing w:val="6"/>
                <w:w w:val="24"/>
                <w:shd w:val="solid" w:color="000000" w:fill="000000"/>
                <w:fitText w:val="110" w:id="-694959868"/>
                <w14:textFill>
                  <w14:solidFill>
                    <w14:srgbClr w14:val="000000">
                      <w14:alpha w14:val="100000"/>
                    </w14:srgbClr>
                  </w14:solidFill>
                </w14:textFill>
              </w:rPr>
              <w:t xml:space="preserve">　</w:t>
            </w:r>
            <w:r w:rsidR="00EF1741" w:rsidRPr="0035502F">
              <w:t xml:space="preserve"> </w:t>
            </w:r>
            <w:r w:rsidR="00EF1741">
              <w:rPr>
                <w:vertAlign w:val="superscript"/>
              </w:rPr>
              <w:t>4</w:t>
            </w:r>
            <w:proofErr w:type="gramEnd"/>
          </w:p>
        </w:tc>
        <w:tc>
          <w:tcPr>
            <w:tcW w:w="611" w:type="pct"/>
            <w:shd w:val="clear" w:color="auto" w:fill="auto"/>
            <w:vAlign w:val="center"/>
          </w:tcPr>
          <w:p w14:paraId="5BDFECEB" w14:textId="5D91AD85" w:rsidR="00E91717" w:rsidRPr="0035502F" w:rsidRDefault="00E91717" w:rsidP="00E91717">
            <w:pPr>
              <w:pStyle w:val="COMTabletext"/>
              <w:jc w:val="center"/>
            </w:pPr>
            <w:r w:rsidRPr="0035502F">
              <w:t>$</w:t>
            </w:r>
            <w:r w:rsidR="003F51AF" w:rsidRPr="003F51AF">
              <w:rPr>
                <w:rFonts w:hint="eastAsia"/>
                <w:color w:val="000000"/>
                <w:w w:val="24"/>
                <w:shd w:val="solid" w:color="000000" w:fill="000000"/>
                <w:fitText w:val="110" w:id="-694959867"/>
                <w14:textFill>
                  <w14:solidFill>
                    <w14:srgbClr w14:val="000000">
                      <w14:alpha w14:val="100000"/>
                    </w14:srgbClr>
                  </w14:solidFill>
                </w14:textFill>
              </w:rPr>
              <w:t xml:space="preserve">　</w:t>
            </w:r>
            <w:proofErr w:type="gramStart"/>
            <w:r w:rsidR="003F51AF" w:rsidRPr="003F51AF">
              <w:rPr>
                <w:color w:val="000000"/>
                <w:w w:val="24"/>
                <w:shd w:val="solid" w:color="000000" w:fill="000000"/>
                <w:fitText w:val="110" w:id="-694959867"/>
                <w14:textFill>
                  <w14:solidFill>
                    <w14:srgbClr w14:val="000000">
                      <w14:alpha w14:val="100000"/>
                    </w14:srgbClr>
                  </w14:solidFill>
                </w14:textFill>
              </w:rPr>
              <w:t>|</w:t>
            </w:r>
            <w:r w:rsidR="003F51AF" w:rsidRPr="003F51AF">
              <w:rPr>
                <w:rFonts w:hint="eastAsia"/>
                <w:color w:val="000000"/>
                <w:spacing w:val="6"/>
                <w:w w:val="24"/>
                <w:shd w:val="solid" w:color="000000" w:fill="000000"/>
                <w:fitText w:val="110" w:id="-694959867"/>
                <w14:textFill>
                  <w14:solidFill>
                    <w14:srgbClr w14:val="000000">
                      <w14:alpha w14:val="100000"/>
                    </w14:srgbClr>
                  </w14:solidFill>
                </w14:textFill>
              </w:rPr>
              <w:t xml:space="preserve">　</w:t>
            </w:r>
            <w:r w:rsidR="00EF1741" w:rsidRPr="0035502F">
              <w:t xml:space="preserve"> </w:t>
            </w:r>
            <w:r w:rsidR="00EF1741">
              <w:rPr>
                <w:vertAlign w:val="superscript"/>
              </w:rPr>
              <w:t>5</w:t>
            </w:r>
            <w:proofErr w:type="gramEnd"/>
          </w:p>
        </w:tc>
        <w:tc>
          <w:tcPr>
            <w:tcW w:w="611" w:type="pct"/>
            <w:shd w:val="clear" w:color="auto" w:fill="auto"/>
            <w:vAlign w:val="center"/>
          </w:tcPr>
          <w:p w14:paraId="3890D42E" w14:textId="105B59DD" w:rsidR="00E91717" w:rsidRPr="0035502F" w:rsidRDefault="00E91717" w:rsidP="00E91717">
            <w:pPr>
              <w:pStyle w:val="COMTabletext"/>
              <w:jc w:val="center"/>
            </w:pPr>
            <w:r w:rsidRPr="0035502F">
              <w:t>$</w:t>
            </w:r>
            <w:r w:rsidR="003F51AF" w:rsidRPr="003F51AF">
              <w:rPr>
                <w:rFonts w:hint="eastAsia"/>
                <w:color w:val="000000"/>
                <w:w w:val="24"/>
                <w:shd w:val="solid" w:color="000000" w:fill="000000"/>
                <w:fitText w:val="110" w:id="-694959866"/>
                <w14:textFill>
                  <w14:solidFill>
                    <w14:srgbClr w14:val="000000">
                      <w14:alpha w14:val="100000"/>
                    </w14:srgbClr>
                  </w14:solidFill>
                </w14:textFill>
              </w:rPr>
              <w:t xml:space="preserve">　</w:t>
            </w:r>
            <w:proofErr w:type="gramStart"/>
            <w:r w:rsidR="003F51AF" w:rsidRPr="003F51AF">
              <w:rPr>
                <w:color w:val="000000"/>
                <w:w w:val="24"/>
                <w:shd w:val="solid" w:color="000000" w:fill="000000"/>
                <w:fitText w:val="110" w:id="-694959866"/>
                <w14:textFill>
                  <w14:solidFill>
                    <w14:srgbClr w14:val="000000">
                      <w14:alpha w14:val="100000"/>
                    </w14:srgbClr>
                  </w14:solidFill>
                </w14:textFill>
              </w:rPr>
              <w:t>|</w:t>
            </w:r>
            <w:r w:rsidR="003F51AF" w:rsidRPr="003F51AF">
              <w:rPr>
                <w:rFonts w:hint="eastAsia"/>
                <w:color w:val="000000"/>
                <w:spacing w:val="6"/>
                <w:w w:val="24"/>
                <w:shd w:val="solid" w:color="000000" w:fill="000000"/>
                <w:fitText w:val="110" w:id="-694959866"/>
                <w14:textFill>
                  <w14:solidFill>
                    <w14:srgbClr w14:val="000000">
                      <w14:alpha w14:val="100000"/>
                    </w14:srgbClr>
                  </w14:solidFill>
                </w14:textFill>
              </w:rPr>
              <w:t xml:space="preserve">　</w:t>
            </w:r>
            <w:r w:rsidR="00EF1741" w:rsidRPr="0035502F">
              <w:t xml:space="preserve"> </w:t>
            </w:r>
            <w:r w:rsidR="00EF1741">
              <w:rPr>
                <w:vertAlign w:val="superscript"/>
              </w:rPr>
              <w:t>4</w:t>
            </w:r>
            <w:proofErr w:type="gramEnd"/>
          </w:p>
        </w:tc>
        <w:tc>
          <w:tcPr>
            <w:tcW w:w="611" w:type="pct"/>
            <w:shd w:val="clear" w:color="auto" w:fill="auto"/>
            <w:vAlign w:val="center"/>
          </w:tcPr>
          <w:p w14:paraId="2728B643" w14:textId="7809FE8A" w:rsidR="00E91717" w:rsidRPr="0035502F" w:rsidRDefault="00E91717" w:rsidP="00E91717">
            <w:pPr>
              <w:pStyle w:val="COMTabletext"/>
              <w:jc w:val="center"/>
            </w:pPr>
            <w:r w:rsidRPr="0035502F">
              <w:t>$</w:t>
            </w:r>
            <w:r w:rsidR="003F51AF" w:rsidRPr="003F51AF">
              <w:rPr>
                <w:rFonts w:hint="eastAsia"/>
                <w:color w:val="000000"/>
                <w:w w:val="24"/>
                <w:shd w:val="solid" w:color="000000" w:fill="000000"/>
                <w:fitText w:val="110" w:id="-694959865"/>
                <w14:textFill>
                  <w14:solidFill>
                    <w14:srgbClr w14:val="000000">
                      <w14:alpha w14:val="100000"/>
                    </w14:srgbClr>
                  </w14:solidFill>
                </w14:textFill>
              </w:rPr>
              <w:t xml:space="preserve">　</w:t>
            </w:r>
            <w:proofErr w:type="gramStart"/>
            <w:r w:rsidR="003F51AF" w:rsidRPr="003F51AF">
              <w:rPr>
                <w:color w:val="000000"/>
                <w:w w:val="24"/>
                <w:shd w:val="solid" w:color="000000" w:fill="000000"/>
                <w:fitText w:val="110" w:id="-694959865"/>
                <w14:textFill>
                  <w14:solidFill>
                    <w14:srgbClr w14:val="000000">
                      <w14:alpha w14:val="100000"/>
                    </w14:srgbClr>
                  </w14:solidFill>
                </w14:textFill>
              </w:rPr>
              <w:t>|</w:t>
            </w:r>
            <w:r w:rsidR="003F51AF" w:rsidRPr="003F51AF">
              <w:rPr>
                <w:rFonts w:hint="eastAsia"/>
                <w:color w:val="000000"/>
                <w:spacing w:val="6"/>
                <w:w w:val="24"/>
                <w:shd w:val="solid" w:color="000000" w:fill="000000"/>
                <w:fitText w:val="110" w:id="-694959865"/>
                <w14:textFill>
                  <w14:solidFill>
                    <w14:srgbClr w14:val="000000">
                      <w14:alpha w14:val="100000"/>
                    </w14:srgbClr>
                  </w14:solidFill>
                </w14:textFill>
              </w:rPr>
              <w:t xml:space="preserve">　</w:t>
            </w:r>
            <w:r w:rsidR="00EF1741" w:rsidRPr="0035502F">
              <w:t xml:space="preserve"> </w:t>
            </w:r>
            <w:r w:rsidR="00EF1741">
              <w:rPr>
                <w:vertAlign w:val="superscript"/>
              </w:rPr>
              <w:t>4</w:t>
            </w:r>
            <w:proofErr w:type="gramEnd"/>
          </w:p>
        </w:tc>
        <w:tc>
          <w:tcPr>
            <w:tcW w:w="611" w:type="pct"/>
            <w:shd w:val="clear" w:color="auto" w:fill="auto"/>
            <w:vAlign w:val="center"/>
          </w:tcPr>
          <w:p w14:paraId="5FE5021A" w14:textId="2F895343" w:rsidR="00E91717" w:rsidRPr="0035502F" w:rsidRDefault="00E91717" w:rsidP="00E91717">
            <w:pPr>
              <w:pStyle w:val="COMTabletext"/>
              <w:jc w:val="center"/>
            </w:pPr>
            <w:r w:rsidRPr="0035502F">
              <w:t>$</w:t>
            </w:r>
            <w:r w:rsidR="003F51AF" w:rsidRPr="003F51AF">
              <w:rPr>
                <w:rFonts w:hint="eastAsia"/>
                <w:color w:val="000000"/>
                <w:w w:val="24"/>
                <w:shd w:val="solid" w:color="000000" w:fill="000000"/>
                <w:fitText w:val="110" w:id="-694959864"/>
                <w14:textFill>
                  <w14:solidFill>
                    <w14:srgbClr w14:val="000000">
                      <w14:alpha w14:val="100000"/>
                    </w14:srgbClr>
                  </w14:solidFill>
                </w14:textFill>
              </w:rPr>
              <w:t xml:space="preserve">　</w:t>
            </w:r>
            <w:proofErr w:type="gramStart"/>
            <w:r w:rsidR="003F51AF" w:rsidRPr="003F51AF">
              <w:rPr>
                <w:color w:val="000000"/>
                <w:w w:val="24"/>
                <w:shd w:val="solid" w:color="000000" w:fill="000000"/>
                <w:fitText w:val="110" w:id="-694959864"/>
                <w14:textFill>
                  <w14:solidFill>
                    <w14:srgbClr w14:val="000000">
                      <w14:alpha w14:val="100000"/>
                    </w14:srgbClr>
                  </w14:solidFill>
                </w14:textFill>
              </w:rPr>
              <w:t>|</w:t>
            </w:r>
            <w:r w:rsidR="003F51AF" w:rsidRPr="003F51AF">
              <w:rPr>
                <w:rFonts w:hint="eastAsia"/>
                <w:color w:val="000000"/>
                <w:spacing w:val="6"/>
                <w:w w:val="24"/>
                <w:shd w:val="solid" w:color="000000" w:fill="000000"/>
                <w:fitText w:val="110" w:id="-694959864"/>
                <w14:textFill>
                  <w14:solidFill>
                    <w14:srgbClr w14:val="000000">
                      <w14:alpha w14:val="100000"/>
                    </w14:srgbClr>
                  </w14:solidFill>
                </w14:textFill>
              </w:rPr>
              <w:t xml:space="preserve">　</w:t>
            </w:r>
            <w:r w:rsidR="00EF1741" w:rsidRPr="0035502F">
              <w:t xml:space="preserve"> </w:t>
            </w:r>
            <w:r w:rsidR="00EF1741">
              <w:rPr>
                <w:vertAlign w:val="superscript"/>
              </w:rPr>
              <w:t>6</w:t>
            </w:r>
            <w:proofErr w:type="gramEnd"/>
          </w:p>
        </w:tc>
        <w:tc>
          <w:tcPr>
            <w:tcW w:w="611" w:type="pct"/>
            <w:vAlign w:val="center"/>
          </w:tcPr>
          <w:p w14:paraId="6F8E9082" w14:textId="05E7FFBD" w:rsidR="00E91717" w:rsidRPr="0035502F" w:rsidRDefault="00E91717" w:rsidP="00E91717">
            <w:pPr>
              <w:pStyle w:val="COMTabletext"/>
              <w:jc w:val="center"/>
            </w:pPr>
            <w:r w:rsidRPr="0035502F">
              <w:t>$</w:t>
            </w:r>
            <w:r w:rsidR="003F51AF" w:rsidRPr="003F51AF">
              <w:rPr>
                <w:rFonts w:hint="eastAsia"/>
                <w:color w:val="000000"/>
                <w:w w:val="24"/>
                <w:shd w:val="solid" w:color="000000" w:fill="000000"/>
                <w:fitText w:val="110" w:id="-694959863"/>
                <w14:textFill>
                  <w14:solidFill>
                    <w14:srgbClr w14:val="000000">
                      <w14:alpha w14:val="100000"/>
                    </w14:srgbClr>
                  </w14:solidFill>
                </w14:textFill>
              </w:rPr>
              <w:t xml:space="preserve">　</w:t>
            </w:r>
            <w:proofErr w:type="gramStart"/>
            <w:r w:rsidR="003F51AF" w:rsidRPr="003F51AF">
              <w:rPr>
                <w:color w:val="000000"/>
                <w:w w:val="24"/>
                <w:shd w:val="solid" w:color="000000" w:fill="000000"/>
                <w:fitText w:val="110" w:id="-694959863"/>
                <w14:textFill>
                  <w14:solidFill>
                    <w14:srgbClr w14:val="000000">
                      <w14:alpha w14:val="100000"/>
                    </w14:srgbClr>
                  </w14:solidFill>
                </w14:textFill>
              </w:rPr>
              <w:t>|</w:t>
            </w:r>
            <w:r w:rsidR="003F51AF" w:rsidRPr="003F51AF">
              <w:rPr>
                <w:rFonts w:hint="eastAsia"/>
                <w:color w:val="000000"/>
                <w:w w:val="24"/>
                <w:shd w:val="solid" w:color="000000" w:fill="000000"/>
                <w:fitText w:val="110" w:id="-694959863"/>
                <w14:textFill>
                  <w14:solidFill>
                    <w14:srgbClr w14:val="000000">
                      <w14:alpha w14:val="100000"/>
                    </w14:srgbClr>
                  </w14:solidFill>
                </w14:textFill>
              </w:rPr>
              <w:t xml:space="preserve">　</w:t>
            </w:r>
            <w:r w:rsidR="00EF1741" w:rsidRPr="0035502F">
              <w:t xml:space="preserve"> </w:t>
            </w:r>
            <w:r w:rsidR="00EF1741">
              <w:rPr>
                <w:vertAlign w:val="superscript"/>
              </w:rPr>
              <w:t>6</w:t>
            </w:r>
            <w:proofErr w:type="gramEnd"/>
          </w:p>
        </w:tc>
      </w:tr>
      <w:tr w:rsidR="00E91717" w:rsidRPr="0035502F" w14:paraId="344AC0E2" w14:textId="77777777" w:rsidTr="009C3A3A">
        <w:tc>
          <w:tcPr>
            <w:tcW w:w="5000" w:type="pct"/>
            <w:gridSpan w:val="7"/>
            <w:shd w:val="clear" w:color="auto" w:fill="auto"/>
            <w:vAlign w:val="center"/>
          </w:tcPr>
          <w:p w14:paraId="0FF7E64D" w14:textId="42256079" w:rsidR="00E91717" w:rsidRPr="0035502F" w:rsidRDefault="00E91717" w:rsidP="00E91717">
            <w:pPr>
              <w:pStyle w:val="COMTabletext"/>
              <w:rPr>
                <w:b/>
                <w:bCs w:val="0"/>
              </w:rPr>
            </w:pPr>
            <w:r w:rsidRPr="0035502F">
              <w:rPr>
                <w:b/>
                <w:bCs w:val="0"/>
              </w:rPr>
              <w:t>Estimated financial implications for Cd</w:t>
            </w:r>
          </w:p>
        </w:tc>
      </w:tr>
      <w:tr w:rsidR="00E91717" w:rsidRPr="0035502F" w14:paraId="0CE077D9" w14:textId="77777777" w:rsidTr="00AD57F7">
        <w:tc>
          <w:tcPr>
            <w:tcW w:w="1334" w:type="pct"/>
            <w:shd w:val="clear" w:color="auto" w:fill="auto"/>
            <w:vAlign w:val="center"/>
          </w:tcPr>
          <w:p w14:paraId="40F6A2C5" w14:textId="0E9EA9A6" w:rsidR="00E91717" w:rsidRPr="0035502F" w:rsidRDefault="00E91717" w:rsidP="00E91717">
            <w:pPr>
              <w:pStyle w:val="COMTabletext"/>
            </w:pPr>
            <w:r w:rsidRPr="0035502F">
              <w:t>Cost offset to PBS/RPBS less copayments</w:t>
            </w:r>
          </w:p>
        </w:tc>
        <w:tc>
          <w:tcPr>
            <w:tcW w:w="611" w:type="pct"/>
            <w:shd w:val="clear" w:color="auto" w:fill="auto"/>
            <w:vAlign w:val="center"/>
          </w:tcPr>
          <w:p w14:paraId="50CF2446" w14:textId="5C24E695" w:rsidR="00E91717" w:rsidRPr="0035502F" w:rsidRDefault="00E91717" w:rsidP="00E91717">
            <w:pPr>
              <w:pStyle w:val="COMTabletext"/>
              <w:jc w:val="center"/>
            </w:pPr>
            <w:r w:rsidRPr="0035502F">
              <w:t>-$</w:t>
            </w:r>
            <w:r w:rsidR="003F51AF" w:rsidRPr="003F51AF">
              <w:rPr>
                <w:rFonts w:hint="eastAsia"/>
                <w:color w:val="000000"/>
                <w:w w:val="33"/>
                <w:shd w:val="solid" w:color="000000" w:fill="000000"/>
                <w:fitText w:val="150" w:id="-694959862"/>
                <w14:textFill>
                  <w14:solidFill>
                    <w14:srgbClr w14:val="000000">
                      <w14:alpha w14:val="100000"/>
                    </w14:srgbClr>
                  </w14:solidFill>
                </w14:textFill>
              </w:rPr>
              <w:t xml:space="preserve">　</w:t>
            </w:r>
            <w:proofErr w:type="gramStart"/>
            <w:r w:rsidR="003F51AF" w:rsidRPr="003F51AF">
              <w:rPr>
                <w:color w:val="000000"/>
                <w:w w:val="33"/>
                <w:shd w:val="solid" w:color="000000" w:fill="000000"/>
                <w:fitText w:val="150" w:id="-694959862"/>
                <w14:textFill>
                  <w14:solidFill>
                    <w14:srgbClr w14:val="000000">
                      <w14:alpha w14:val="100000"/>
                    </w14:srgbClr>
                  </w14:solidFill>
                </w14:textFill>
              </w:rPr>
              <w:t>|</w:t>
            </w:r>
            <w:r w:rsidR="003F51AF" w:rsidRPr="003F51AF">
              <w:rPr>
                <w:rFonts w:hint="eastAsia"/>
                <w:color w:val="000000"/>
                <w:spacing w:val="4"/>
                <w:w w:val="33"/>
                <w:shd w:val="solid" w:color="000000" w:fill="000000"/>
                <w:fitText w:val="150" w:id="-694959862"/>
                <w14:textFill>
                  <w14:solidFill>
                    <w14:srgbClr w14:val="000000">
                      <w14:alpha w14:val="100000"/>
                    </w14:srgbClr>
                  </w14:solidFill>
                </w14:textFill>
              </w:rPr>
              <w:t xml:space="preserve">　</w:t>
            </w:r>
            <w:r w:rsidR="00EF1741" w:rsidRPr="0035502F">
              <w:t xml:space="preserve"> </w:t>
            </w:r>
            <w:r w:rsidR="00EF1741">
              <w:rPr>
                <w:vertAlign w:val="superscript"/>
              </w:rPr>
              <w:t>7</w:t>
            </w:r>
            <w:proofErr w:type="gramEnd"/>
          </w:p>
        </w:tc>
        <w:tc>
          <w:tcPr>
            <w:tcW w:w="611" w:type="pct"/>
            <w:shd w:val="clear" w:color="auto" w:fill="auto"/>
            <w:vAlign w:val="center"/>
          </w:tcPr>
          <w:p w14:paraId="35AF80ED" w14:textId="2012CF85" w:rsidR="00E91717" w:rsidRPr="0035502F" w:rsidRDefault="00E91717" w:rsidP="00E91717">
            <w:pPr>
              <w:pStyle w:val="COMTabletext"/>
              <w:jc w:val="center"/>
            </w:pPr>
            <w:r w:rsidRPr="0035502F">
              <w:t>-$</w:t>
            </w:r>
            <w:r w:rsidR="003F51AF" w:rsidRPr="003F51AF">
              <w:rPr>
                <w:rFonts w:hint="eastAsia"/>
                <w:color w:val="000000"/>
                <w:w w:val="33"/>
                <w:shd w:val="solid" w:color="000000" w:fill="000000"/>
                <w:fitText w:val="150" w:id="-694959861"/>
                <w14:textFill>
                  <w14:solidFill>
                    <w14:srgbClr w14:val="000000">
                      <w14:alpha w14:val="100000"/>
                    </w14:srgbClr>
                  </w14:solidFill>
                </w14:textFill>
              </w:rPr>
              <w:t xml:space="preserve">　</w:t>
            </w:r>
            <w:proofErr w:type="gramStart"/>
            <w:r w:rsidR="003F51AF" w:rsidRPr="003F51AF">
              <w:rPr>
                <w:color w:val="000000"/>
                <w:w w:val="33"/>
                <w:shd w:val="solid" w:color="000000" w:fill="000000"/>
                <w:fitText w:val="150" w:id="-694959861"/>
                <w14:textFill>
                  <w14:solidFill>
                    <w14:srgbClr w14:val="000000">
                      <w14:alpha w14:val="100000"/>
                    </w14:srgbClr>
                  </w14:solidFill>
                </w14:textFill>
              </w:rPr>
              <w:t>|</w:t>
            </w:r>
            <w:r w:rsidR="003F51AF" w:rsidRPr="003F51AF">
              <w:rPr>
                <w:rFonts w:hint="eastAsia"/>
                <w:color w:val="000000"/>
                <w:spacing w:val="4"/>
                <w:w w:val="33"/>
                <w:shd w:val="solid" w:color="000000" w:fill="000000"/>
                <w:fitText w:val="150" w:id="-694959861"/>
                <w14:textFill>
                  <w14:solidFill>
                    <w14:srgbClr w14:val="000000">
                      <w14:alpha w14:val="100000"/>
                    </w14:srgbClr>
                  </w14:solidFill>
                </w14:textFill>
              </w:rPr>
              <w:t xml:space="preserve">　</w:t>
            </w:r>
            <w:r w:rsidR="00EF1741" w:rsidRPr="0035502F">
              <w:t xml:space="preserve"> </w:t>
            </w:r>
            <w:r w:rsidR="00EF1741">
              <w:rPr>
                <w:vertAlign w:val="superscript"/>
              </w:rPr>
              <w:t>7</w:t>
            </w:r>
            <w:proofErr w:type="gramEnd"/>
          </w:p>
        </w:tc>
        <w:tc>
          <w:tcPr>
            <w:tcW w:w="611" w:type="pct"/>
            <w:shd w:val="clear" w:color="auto" w:fill="auto"/>
            <w:vAlign w:val="center"/>
          </w:tcPr>
          <w:p w14:paraId="28F1C25D" w14:textId="2D6884AE" w:rsidR="00E91717" w:rsidRPr="0035502F" w:rsidRDefault="00E91717" w:rsidP="00E91717">
            <w:pPr>
              <w:pStyle w:val="COMTabletext"/>
              <w:jc w:val="center"/>
            </w:pPr>
            <w:r w:rsidRPr="0035502F">
              <w:t>-$</w:t>
            </w:r>
            <w:r w:rsidR="003F51AF" w:rsidRPr="003F51AF">
              <w:rPr>
                <w:rFonts w:hint="eastAsia"/>
                <w:color w:val="000000"/>
                <w:w w:val="33"/>
                <w:shd w:val="solid" w:color="000000" w:fill="000000"/>
                <w:fitText w:val="150" w:id="-694959860"/>
                <w14:textFill>
                  <w14:solidFill>
                    <w14:srgbClr w14:val="000000">
                      <w14:alpha w14:val="100000"/>
                    </w14:srgbClr>
                  </w14:solidFill>
                </w14:textFill>
              </w:rPr>
              <w:t xml:space="preserve">　</w:t>
            </w:r>
            <w:proofErr w:type="gramStart"/>
            <w:r w:rsidR="003F51AF" w:rsidRPr="003F51AF">
              <w:rPr>
                <w:color w:val="000000"/>
                <w:w w:val="33"/>
                <w:shd w:val="solid" w:color="000000" w:fill="000000"/>
                <w:fitText w:val="150" w:id="-694959860"/>
                <w14:textFill>
                  <w14:solidFill>
                    <w14:srgbClr w14:val="000000">
                      <w14:alpha w14:val="100000"/>
                    </w14:srgbClr>
                  </w14:solidFill>
                </w14:textFill>
              </w:rPr>
              <w:t>|</w:t>
            </w:r>
            <w:r w:rsidR="003F51AF" w:rsidRPr="003F51AF">
              <w:rPr>
                <w:rFonts w:hint="eastAsia"/>
                <w:color w:val="000000"/>
                <w:spacing w:val="4"/>
                <w:w w:val="33"/>
                <w:shd w:val="solid" w:color="000000" w:fill="000000"/>
                <w:fitText w:val="150" w:id="-694959860"/>
                <w14:textFill>
                  <w14:solidFill>
                    <w14:srgbClr w14:val="000000">
                      <w14:alpha w14:val="100000"/>
                    </w14:srgbClr>
                  </w14:solidFill>
                </w14:textFill>
              </w:rPr>
              <w:t xml:space="preserve">　</w:t>
            </w:r>
            <w:r w:rsidR="00EF1741" w:rsidRPr="0035502F">
              <w:t xml:space="preserve"> </w:t>
            </w:r>
            <w:r w:rsidR="00EF1741">
              <w:rPr>
                <w:vertAlign w:val="superscript"/>
              </w:rPr>
              <w:t>7</w:t>
            </w:r>
            <w:proofErr w:type="gramEnd"/>
          </w:p>
        </w:tc>
        <w:tc>
          <w:tcPr>
            <w:tcW w:w="611" w:type="pct"/>
            <w:shd w:val="clear" w:color="auto" w:fill="auto"/>
            <w:vAlign w:val="center"/>
          </w:tcPr>
          <w:p w14:paraId="5DBA4173" w14:textId="7F952C9F" w:rsidR="00E91717" w:rsidRPr="0035502F" w:rsidRDefault="00E91717" w:rsidP="00E91717">
            <w:pPr>
              <w:pStyle w:val="COMTabletext"/>
              <w:jc w:val="center"/>
            </w:pPr>
            <w:r w:rsidRPr="0035502F">
              <w:t>-$</w:t>
            </w:r>
            <w:r w:rsidR="003F51AF" w:rsidRPr="003F51AF">
              <w:rPr>
                <w:rFonts w:hint="eastAsia"/>
                <w:color w:val="000000"/>
                <w:w w:val="33"/>
                <w:shd w:val="solid" w:color="000000" w:fill="000000"/>
                <w:fitText w:val="150" w:id="-694959859"/>
                <w14:textFill>
                  <w14:solidFill>
                    <w14:srgbClr w14:val="000000">
                      <w14:alpha w14:val="100000"/>
                    </w14:srgbClr>
                  </w14:solidFill>
                </w14:textFill>
              </w:rPr>
              <w:t xml:space="preserve">　</w:t>
            </w:r>
            <w:proofErr w:type="gramStart"/>
            <w:r w:rsidR="003F51AF" w:rsidRPr="003F51AF">
              <w:rPr>
                <w:color w:val="000000"/>
                <w:w w:val="33"/>
                <w:shd w:val="solid" w:color="000000" w:fill="000000"/>
                <w:fitText w:val="150" w:id="-694959859"/>
                <w14:textFill>
                  <w14:solidFill>
                    <w14:srgbClr w14:val="000000">
                      <w14:alpha w14:val="100000"/>
                    </w14:srgbClr>
                  </w14:solidFill>
                </w14:textFill>
              </w:rPr>
              <w:t>|</w:t>
            </w:r>
            <w:r w:rsidR="003F51AF" w:rsidRPr="003F51AF">
              <w:rPr>
                <w:rFonts w:hint="eastAsia"/>
                <w:color w:val="000000"/>
                <w:spacing w:val="4"/>
                <w:w w:val="33"/>
                <w:shd w:val="solid" w:color="000000" w:fill="000000"/>
                <w:fitText w:val="150" w:id="-694959859"/>
                <w14:textFill>
                  <w14:solidFill>
                    <w14:srgbClr w14:val="000000">
                      <w14:alpha w14:val="100000"/>
                    </w14:srgbClr>
                  </w14:solidFill>
                </w14:textFill>
              </w:rPr>
              <w:t xml:space="preserve">　</w:t>
            </w:r>
            <w:r w:rsidR="00EF1741" w:rsidRPr="0035502F">
              <w:t xml:space="preserve"> </w:t>
            </w:r>
            <w:r w:rsidR="00EF1741">
              <w:rPr>
                <w:vertAlign w:val="superscript"/>
              </w:rPr>
              <w:t>7</w:t>
            </w:r>
            <w:proofErr w:type="gramEnd"/>
          </w:p>
        </w:tc>
        <w:tc>
          <w:tcPr>
            <w:tcW w:w="611" w:type="pct"/>
            <w:shd w:val="clear" w:color="auto" w:fill="auto"/>
            <w:vAlign w:val="center"/>
          </w:tcPr>
          <w:p w14:paraId="4D6DC68C" w14:textId="76327D5A" w:rsidR="00E91717" w:rsidRPr="0035502F" w:rsidRDefault="00E91717" w:rsidP="00E91717">
            <w:pPr>
              <w:pStyle w:val="COMTabletext"/>
              <w:jc w:val="center"/>
            </w:pPr>
            <w:r w:rsidRPr="0035502F">
              <w:t>-$</w:t>
            </w:r>
            <w:r w:rsidR="003F51AF" w:rsidRPr="003F51AF">
              <w:rPr>
                <w:rFonts w:hint="eastAsia"/>
                <w:color w:val="000000"/>
                <w:w w:val="33"/>
                <w:shd w:val="solid" w:color="000000" w:fill="000000"/>
                <w:fitText w:val="150" w:id="-694959858"/>
                <w14:textFill>
                  <w14:solidFill>
                    <w14:srgbClr w14:val="000000">
                      <w14:alpha w14:val="100000"/>
                    </w14:srgbClr>
                  </w14:solidFill>
                </w14:textFill>
              </w:rPr>
              <w:t xml:space="preserve">　</w:t>
            </w:r>
            <w:proofErr w:type="gramStart"/>
            <w:r w:rsidR="003F51AF" w:rsidRPr="003F51AF">
              <w:rPr>
                <w:color w:val="000000"/>
                <w:w w:val="33"/>
                <w:shd w:val="solid" w:color="000000" w:fill="000000"/>
                <w:fitText w:val="150" w:id="-694959858"/>
                <w14:textFill>
                  <w14:solidFill>
                    <w14:srgbClr w14:val="000000">
                      <w14:alpha w14:val="100000"/>
                    </w14:srgbClr>
                  </w14:solidFill>
                </w14:textFill>
              </w:rPr>
              <w:t>|</w:t>
            </w:r>
            <w:r w:rsidR="003F51AF" w:rsidRPr="003F51AF">
              <w:rPr>
                <w:rFonts w:hint="eastAsia"/>
                <w:color w:val="000000"/>
                <w:spacing w:val="4"/>
                <w:w w:val="33"/>
                <w:shd w:val="solid" w:color="000000" w:fill="000000"/>
                <w:fitText w:val="150" w:id="-694959858"/>
                <w14:textFill>
                  <w14:solidFill>
                    <w14:srgbClr w14:val="000000">
                      <w14:alpha w14:val="100000"/>
                    </w14:srgbClr>
                  </w14:solidFill>
                </w14:textFill>
              </w:rPr>
              <w:t xml:space="preserve">　</w:t>
            </w:r>
            <w:r w:rsidR="00EF1741" w:rsidRPr="0035502F">
              <w:t xml:space="preserve"> </w:t>
            </w:r>
            <w:r w:rsidR="00EF1741">
              <w:rPr>
                <w:vertAlign w:val="superscript"/>
              </w:rPr>
              <w:t>7</w:t>
            </w:r>
            <w:proofErr w:type="gramEnd"/>
          </w:p>
        </w:tc>
        <w:tc>
          <w:tcPr>
            <w:tcW w:w="611" w:type="pct"/>
            <w:vAlign w:val="center"/>
          </w:tcPr>
          <w:p w14:paraId="0766C6AC" w14:textId="3AC33411" w:rsidR="00E91717" w:rsidRPr="0035502F" w:rsidRDefault="00E91717" w:rsidP="00E91717">
            <w:pPr>
              <w:pStyle w:val="COMTabletext"/>
              <w:jc w:val="center"/>
            </w:pPr>
            <w:r w:rsidRPr="0035502F">
              <w:t>-$</w:t>
            </w:r>
            <w:r w:rsidR="003F51AF" w:rsidRPr="003F51AF">
              <w:rPr>
                <w:rFonts w:hint="eastAsia"/>
                <w:color w:val="000000"/>
                <w:w w:val="33"/>
                <w:shd w:val="solid" w:color="000000" w:fill="000000"/>
                <w:fitText w:val="150" w:id="-694959857"/>
                <w14:textFill>
                  <w14:solidFill>
                    <w14:srgbClr w14:val="000000">
                      <w14:alpha w14:val="100000"/>
                    </w14:srgbClr>
                  </w14:solidFill>
                </w14:textFill>
              </w:rPr>
              <w:t xml:space="preserve">　</w:t>
            </w:r>
            <w:proofErr w:type="gramStart"/>
            <w:r w:rsidR="003F51AF" w:rsidRPr="003F51AF">
              <w:rPr>
                <w:color w:val="000000"/>
                <w:w w:val="33"/>
                <w:shd w:val="solid" w:color="000000" w:fill="000000"/>
                <w:fitText w:val="150" w:id="-694959857"/>
                <w14:textFill>
                  <w14:solidFill>
                    <w14:srgbClr w14:val="000000">
                      <w14:alpha w14:val="100000"/>
                    </w14:srgbClr>
                  </w14:solidFill>
                </w14:textFill>
              </w:rPr>
              <w:t>|</w:t>
            </w:r>
            <w:r w:rsidR="003F51AF" w:rsidRPr="003F51AF">
              <w:rPr>
                <w:rFonts w:hint="eastAsia"/>
                <w:color w:val="000000"/>
                <w:w w:val="33"/>
                <w:shd w:val="solid" w:color="000000" w:fill="000000"/>
                <w:fitText w:val="150" w:id="-694959857"/>
                <w14:textFill>
                  <w14:solidFill>
                    <w14:srgbClr w14:val="000000">
                      <w14:alpha w14:val="100000"/>
                    </w14:srgbClr>
                  </w14:solidFill>
                </w14:textFill>
              </w:rPr>
              <w:t xml:space="preserve">　</w:t>
            </w:r>
            <w:r w:rsidR="00EF1741" w:rsidRPr="0035502F">
              <w:t xml:space="preserve"> </w:t>
            </w:r>
            <w:r w:rsidR="00EF1741">
              <w:rPr>
                <w:vertAlign w:val="superscript"/>
              </w:rPr>
              <w:t>7</w:t>
            </w:r>
            <w:proofErr w:type="gramEnd"/>
          </w:p>
        </w:tc>
      </w:tr>
      <w:tr w:rsidR="00E91717" w:rsidRPr="0035502F" w14:paraId="4FA07BD8" w14:textId="77777777" w:rsidTr="009C3A3A">
        <w:tc>
          <w:tcPr>
            <w:tcW w:w="5000" w:type="pct"/>
            <w:gridSpan w:val="7"/>
            <w:shd w:val="clear" w:color="auto" w:fill="auto"/>
            <w:vAlign w:val="center"/>
          </w:tcPr>
          <w:p w14:paraId="1A627EA0" w14:textId="663B2D7A" w:rsidR="00E91717" w:rsidRPr="0035502F" w:rsidRDefault="00E91717" w:rsidP="00E91717">
            <w:pPr>
              <w:pStyle w:val="COMTableheadingrow"/>
            </w:pPr>
            <w:r w:rsidRPr="0035502F">
              <w:t xml:space="preserve">Net financial implications </w:t>
            </w:r>
          </w:p>
        </w:tc>
      </w:tr>
      <w:tr w:rsidR="00E91717" w:rsidRPr="0035502F" w14:paraId="3F33D4C6" w14:textId="77777777" w:rsidTr="002A3BF4">
        <w:tc>
          <w:tcPr>
            <w:tcW w:w="1334" w:type="pct"/>
            <w:shd w:val="clear" w:color="auto" w:fill="auto"/>
            <w:vAlign w:val="center"/>
          </w:tcPr>
          <w:p w14:paraId="5ABBDE64" w14:textId="219B6681" w:rsidR="00E91717" w:rsidRPr="0035502F" w:rsidRDefault="00E91717" w:rsidP="00E91717">
            <w:pPr>
              <w:pStyle w:val="COMTabletext"/>
            </w:pPr>
            <w:r w:rsidRPr="0035502F">
              <w:t>Net cost to PBS/RPBS</w:t>
            </w:r>
            <w:r w:rsidR="00EA6B23">
              <w:t xml:space="preserve"> </w:t>
            </w:r>
          </w:p>
        </w:tc>
        <w:tc>
          <w:tcPr>
            <w:tcW w:w="611" w:type="pct"/>
            <w:shd w:val="clear" w:color="auto" w:fill="auto"/>
          </w:tcPr>
          <w:p w14:paraId="744F82C2" w14:textId="7F86FF6D" w:rsidR="00E91717" w:rsidRPr="0035502F" w:rsidRDefault="00E91717" w:rsidP="00E91717">
            <w:pPr>
              <w:pStyle w:val="COMTabletext"/>
              <w:jc w:val="center"/>
            </w:pPr>
            <w:r w:rsidRPr="0035502F">
              <w:t>$</w:t>
            </w:r>
            <w:r w:rsidR="003F51AF" w:rsidRPr="003F51AF">
              <w:rPr>
                <w:rFonts w:hint="eastAsia"/>
                <w:color w:val="000000"/>
                <w:w w:val="24"/>
                <w:shd w:val="solid" w:color="000000" w:fill="000000"/>
                <w:fitText w:val="110" w:id="-694959856"/>
                <w14:textFill>
                  <w14:solidFill>
                    <w14:srgbClr w14:val="000000">
                      <w14:alpha w14:val="100000"/>
                    </w14:srgbClr>
                  </w14:solidFill>
                </w14:textFill>
              </w:rPr>
              <w:t xml:space="preserve">　</w:t>
            </w:r>
            <w:proofErr w:type="gramStart"/>
            <w:r w:rsidR="003F51AF" w:rsidRPr="003F51AF">
              <w:rPr>
                <w:color w:val="000000"/>
                <w:w w:val="24"/>
                <w:shd w:val="solid" w:color="000000" w:fill="000000"/>
                <w:fitText w:val="110" w:id="-694959856"/>
                <w14:textFill>
                  <w14:solidFill>
                    <w14:srgbClr w14:val="000000">
                      <w14:alpha w14:val="100000"/>
                    </w14:srgbClr>
                  </w14:solidFill>
                </w14:textFill>
              </w:rPr>
              <w:t>|</w:t>
            </w:r>
            <w:r w:rsidR="003F51AF" w:rsidRPr="003F51AF">
              <w:rPr>
                <w:rFonts w:hint="eastAsia"/>
                <w:color w:val="000000"/>
                <w:spacing w:val="6"/>
                <w:w w:val="24"/>
                <w:shd w:val="solid" w:color="000000" w:fill="000000"/>
                <w:fitText w:val="110" w:id="-694959856"/>
                <w14:textFill>
                  <w14:solidFill>
                    <w14:srgbClr w14:val="000000">
                      <w14:alpha w14:val="100000"/>
                    </w14:srgbClr>
                  </w14:solidFill>
                </w14:textFill>
              </w:rPr>
              <w:t xml:space="preserve">　</w:t>
            </w:r>
            <w:r w:rsidR="00EF1741" w:rsidRPr="0035502F">
              <w:t xml:space="preserve"> </w:t>
            </w:r>
            <w:r w:rsidR="00EF1741">
              <w:rPr>
                <w:vertAlign w:val="superscript"/>
              </w:rPr>
              <w:t>4</w:t>
            </w:r>
            <w:proofErr w:type="gramEnd"/>
          </w:p>
        </w:tc>
        <w:tc>
          <w:tcPr>
            <w:tcW w:w="611" w:type="pct"/>
            <w:shd w:val="clear" w:color="auto" w:fill="auto"/>
          </w:tcPr>
          <w:p w14:paraId="295843EA" w14:textId="12D6AB0E" w:rsidR="00E91717" w:rsidRPr="0035502F" w:rsidRDefault="00E91717" w:rsidP="00E91717">
            <w:pPr>
              <w:pStyle w:val="COMTabletext"/>
              <w:jc w:val="center"/>
            </w:pPr>
            <w:r w:rsidRPr="0035502F">
              <w:t>$</w:t>
            </w:r>
            <w:r w:rsidR="003F51AF" w:rsidRPr="003F51AF">
              <w:rPr>
                <w:rFonts w:hint="eastAsia"/>
                <w:color w:val="000000"/>
                <w:w w:val="24"/>
                <w:shd w:val="solid" w:color="000000" w:fill="000000"/>
                <w:fitText w:val="110" w:id="-694959872"/>
                <w14:textFill>
                  <w14:solidFill>
                    <w14:srgbClr w14:val="000000">
                      <w14:alpha w14:val="100000"/>
                    </w14:srgbClr>
                  </w14:solidFill>
                </w14:textFill>
              </w:rPr>
              <w:t xml:space="preserve">　</w:t>
            </w:r>
            <w:proofErr w:type="gramStart"/>
            <w:r w:rsidR="003F51AF" w:rsidRPr="003F51AF">
              <w:rPr>
                <w:color w:val="000000"/>
                <w:w w:val="24"/>
                <w:shd w:val="solid" w:color="000000" w:fill="000000"/>
                <w:fitText w:val="110" w:id="-694959872"/>
                <w14:textFill>
                  <w14:solidFill>
                    <w14:srgbClr w14:val="000000">
                      <w14:alpha w14:val="100000"/>
                    </w14:srgbClr>
                  </w14:solidFill>
                </w14:textFill>
              </w:rPr>
              <w:t>|</w:t>
            </w:r>
            <w:r w:rsidR="003F51AF" w:rsidRPr="003F51AF">
              <w:rPr>
                <w:rFonts w:hint="eastAsia"/>
                <w:color w:val="000000"/>
                <w:spacing w:val="6"/>
                <w:w w:val="24"/>
                <w:shd w:val="solid" w:color="000000" w:fill="000000"/>
                <w:fitText w:val="110" w:id="-694959872"/>
                <w14:textFill>
                  <w14:solidFill>
                    <w14:srgbClr w14:val="000000">
                      <w14:alpha w14:val="100000"/>
                    </w14:srgbClr>
                  </w14:solidFill>
                </w14:textFill>
              </w:rPr>
              <w:t xml:space="preserve">　</w:t>
            </w:r>
            <w:r w:rsidR="00EF1741" w:rsidRPr="0035502F">
              <w:t xml:space="preserve"> </w:t>
            </w:r>
            <w:r w:rsidR="00EF1741">
              <w:rPr>
                <w:vertAlign w:val="superscript"/>
              </w:rPr>
              <w:t>5</w:t>
            </w:r>
            <w:proofErr w:type="gramEnd"/>
          </w:p>
        </w:tc>
        <w:tc>
          <w:tcPr>
            <w:tcW w:w="611" w:type="pct"/>
            <w:shd w:val="clear" w:color="auto" w:fill="auto"/>
          </w:tcPr>
          <w:p w14:paraId="3A32302A" w14:textId="3237D919" w:rsidR="00E91717" w:rsidRPr="0035502F" w:rsidRDefault="00E91717" w:rsidP="00E91717">
            <w:pPr>
              <w:pStyle w:val="COMTabletext"/>
              <w:jc w:val="center"/>
            </w:pPr>
            <w:r w:rsidRPr="0035502F">
              <w:t>$</w:t>
            </w:r>
            <w:r w:rsidR="003F51AF" w:rsidRPr="003F51AF">
              <w:rPr>
                <w:rFonts w:hint="eastAsia"/>
                <w:color w:val="000000"/>
                <w:w w:val="24"/>
                <w:shd w:val="solid" w:color="000000" w:fill="000000"/>
                <w:fitText w:val="110" w:id="-694959871"/>
                <w14:textFill>
                  <w14:solidFill>
                    <w14:srgbClr w14:val="000000">
                      <w14:alpha w14:val="100000"/>
                    </w14:srgbClr>
                  </w14:solidFill>
                </w14:textFill>
              </w:rPr>
              <w:t xml:space="preserve">　</w:t>
            </w:r>
            <w:proofErr w:type="gramStart"/>
            <w:r w:rsidR="003F51AF" w:rsidRPr="003F51AF">
              <w:rPr>
                <w:color w:val="000000"/>
                <w:w w:val="24"/>
                <w:shd w:val="solid" w:color="000000" w:fill="000000"/>
                <w:fitText w:val="110" w:id="-694959871"/>
                <w14:textFill>
                  <w14:solidFill>
                    <w14:srgbClr w14:val="000000">
                      <w14:alpha w14:val="100000"/>
                    </w14:srgbClr>
                  </w14:solidFill>
                </w14:textFill>
              </w:rPr>
              <w:t>|</w:t>
            </w:r>
            <w:r w:rsidR="003F51AF" w:rsidRPr="003F51AF">
              <w:rPr>
                <w:rFonts w:hint="eastAsia"/>
                <w:color w:val="000000"/>
                <w:spacing w:val="6"/>
                <w:w w:val="24"/>
                <w:shd w:val="solid" w:color="000000" w:fill="000000"/>
                <w:fitText w:val="110" w:id="-694959871"/>
                <w14:textFill>
                  <w14:solidFill>
                    <w14:srgbClr w14:val="000000">
                      <w14:alpha w14:val="100000"/>
                    </w14:srgbClr>
                  </w14:solidFill>
                </w14:textFill>
              </w:rPr>
              <w:t xml:space="preserve">　</w:t>
            </w:r>
            <w:r w:rsidR="00EF1741" w:rsidRPr="0035502F">
              <w:t xml:space="preserve"> </w:t>
            </w:r>
            <w:r w:rsidR="00EF1741">
              <w:rPr>
                <w:vertAlign w:val="superscript"/>
              </w:rPr>
              <w:t>5</w:t>
            </w:r>
            <w:proofErr w:type="gramEnd"/>
          </w:p>
        </w:tc>
        <w:tc>
          <w:tcPr>
            <w:tcW w:w="611" w:type="pct"/>
            <w:shd w:val="clear" w:color="auto" w:fill="auto"/>
          </w:tcPr>
          <w:p w14:paraId="326E9207" w14:textId="3A3442A3" w:rsidR="00E91717" w:rsidRPr="0035502F" w:rsidRDefault="00E91717" w:rsidP="00E91717">
            <w:pPr>
              <w:pStyle w:val="COMTabletext"/>
              <w:jc w:val="center"/>
            </w:pPr>
            <w:r w:rsidRPr="0035502F">
              <w:t>$</w:t>
            </w:r>
            <w:r w:rsidR="003F51AF" w:rsidRPr="003F51AF">
              <w:rPr>
                <w:rFonts w:hint="eastAsia"/>
                <w:color w:val="000000"/>
                <w:w w:val="24"/>
                <w:shd w:val="solid" w:color="000000" w:fill="000000"/>
                <w:fitText w:val="110" w:id="-694959870"/>
                <w14:textFill>
                  <w14:solidFill>
                    <w14:srgbClr w14:val="000000">
                      <w14:alpha w14:val="100000"/>
                    </w14:srgbClr>
                  </w14:solidFill>
                </w14:textFill>
              </w:rPr>
              <w:t xml:space="preserve">　</w:t>
            </w:r>
            <w:proofErr w:type="gramStart"/>
            <w:r w:rsidR="003F51AF" w:rsidRPr="003F51AF">
              <w:rPr>
                <w:color w:val="000000"/>
                <w:w w:val="24"/>
                <w:shd w:val="solid" w:color="000000" w:fill="000000"/>
                <w:fitText w:val="110" w:id="-694959870"/>
                <w14:textFill>
                  <w14:solidFill>
                    <w14:srgbClr w14:val="000000">
                      <w14:alpha w14:val="100000"/>
                    </w14:srgbClr>
                  </w14:solidFill>
                </w14:textFill>
              </w:rPr>
              <w:t>|</w:t>
            </w:r>
            <w:r w:rsidR="003F51AF" w:rsidRPr="003F51AF">
              <w:rPr>
                <w:rFonts w:hint="eastAsia"/>
                <w:color w:val="000000"/>
                <w:spacing w:val="6"/>
                <w:w w:val="24"/>
                <w:shd w:val="solid" w:color="000000" w:fill="000000"/>
                <w:fitText w:val="110" w:id="-694959870"/>
                <w14:textFill>
                  <w14:solidFill>
                    <w14:srgbClr w14:val="000000">
                      <w14:alpha w14:val="100000"/>
                    </w14:srgbClr>
                  </w14:solidFill>
                </w14:textFill>
              </w:rPr>
              <w:t xml:space="preserve">　</w:t>
            </w:r>
            <w:r w:rsidR="00EF1741" w:rsidRPr="0035502F">
              <w:t xml:space="preserve"> </w:t>
            </w:r>
            <w:r w:rsidR="00EF1741">
              <w:rPr>
                <w:vertAlign w:val="superscript"/>
              </w:rPr>
              <w:t>4</w:t>
            </w:r>
            <w:proofErr w:type="gramEnd"/>
          </w:p>
        </w:tc>
        <w:tc>
          <w:tcPr>
            <w:tcW w:w="611" w:type="pct"/>
            <w:shd w:val="clear" w:color="auto" w:fill="auto"/>
          </w:tcPr>
          <w:p w14:paraId="56E4D70E" w14:textId="7DD91E2A" w:rsidR="00E91717" w:rsidRPr="0035502F" w:rsidRDefault="00E91717" w:rsidP="00E91717">
            <w:pPr>
              <w:pStyle w:val="COMTabletext"/>
              <w:jc w:val="center"/>
            </w:pPr>
            <w:r w:rsidRPr="0035502F">
              <w:t>$</w:t>
            </w:r>
            <w:r w:rsidR="003F51AF" w:rsidRPr="003F51AF">
              <w:rPr>
                <w:rFonts w:hint="eastAsia"/>
                <w:color w:val="000000"/>
                <w:w w:val="24"/>
                <w:shd w:val="solid" w:color="000000" w:fill="000000"/>
                <w:fitText w:val="110" w:id="-694959869"/>
                <w14:textFill>
                  <w14:solidFill>
                    <w14:srgbClr w14:val="000000">
                      <w14:alpha w14:val="100000"/>
                    </w14:srgbClr>
                  </w14:solidFill>
                </w14:textFill>
              </w:rPr>
              <w:t xml:space="preserve">　</w:t>
            </w:r>
            <w:proofErr w:type="gramStart"/>
            <w:r w:rsidR="003F51AF" w:rsidRPr="003F51AF">
              <w:rPr>
                <w:color w:val="000000"/>
                <w:w w:val="24"/>
                <w:shd w:val="solid" w:color="000000" w:fill="000000"/>
                <w:fitText w:val="110" w:id="-694959869"/>
                <w14:textFill>
                  <w14:solidFill>
                    <w14:srgbClr w14:val="000000">
                      <w14:alpha w14:val="100000"/>
                    </w14:srgbClr>
                  </w14:solidFill>
                </w14:textFill>
              </w:rPr>
              <w:t>|</w:t>
            </w:r>
            <w:r w:rsidR="003F51AF" w:rsidRPr="003F51AF">
              <w:rPr>
                <w:rFonts w:hint="eastAsia"/>
                <w:color w:val="000000"/>
                <w:spacing w:val="6"/>
                <w:w w:val="24"/>
                <w:shd w:val="solid" w:color="000000" w:fill="000000"/>
                <w:fitText w:val="110" w:id="-694959869"/>
                <w14:textFill>
                  <w14:solidFill>
                    <w14:srgbClr w14:val="000000">
                      <w14:alpha w14:val="100000"/>
                    </w14:srgbClr>
                  </w14:solidFill>
                </w14:textFill>
              </w:rPr>
              <w:t xml:space="preserve">　</w:t>
            </w:r>
            <w:r w:rsidR="00EF1741" w:rsidRPr="0035502F">
              <w:t xml:space="preserve"> </w:t>
            </w:r>
            <w:r w:rsidR="00EF1741">
              <w:rPr>
                <w:vertAlign w:val="superscript"/>
              </w:rPr>
              <w:t>4</w:t>
            </w:r>
            <w:proofErr w:type="gramEnd"/>
          </w:p>
        </w:tc>
        <w:tc>
          <w:tcPr>
            <w:tcW w:w="611" w:type="pct"/>
          </w:tcPr>
          <w:p w14:paraId="241B1CFD" w14:textId="5BD8D977" w:rsidR="00E91717" w:rsidRPr="0035502F" w:rsidRDefault="00E91717" w:rsidP="00E91717">
            <w:pPr>
              <w:pStyle w:val="COMTabletext"/>
              <w:jc w:val="center"/>
            </w:pPr>
            <w:r w:rsidRPr="0035502F">
              <w:t>$</w:t>
            </w:r>
            <w:r w:rsidR="003F51AF" w:rsidRPr="003F51AF">
              <w:rPr>
                <w:rFonts w:hint="eastAsia"/>
                <w:color w:val="000000"/>
                <w:w w:val="24"/>
                <w:shd w:val="solid" w:color="000000" w:fill="000000"/>
                <w:fitText w:val="110" w:id="-694959868"/>
                <w14:textFill>
                  <w14:solidFill>
                    <w14:srgbClr w14:val="000000">
                      <w14:alpha w14:val="100000"/>
                    </w14:srgbClr>
                  </w14:solidFill>
                </w14:textFill>
              </w:rPr>
              <w:t xml:space="preserve">　</w:t>
            </w:r>
            <w:proofErr w:type="gramStart"/>
            <w:r w:rsidR="003F51AF" w:rsidRPr="003F51AF">
              <w:rPr>
                <w:color w:val="000000"/>
                <w:w w:val="24"/>
                <w:shd w:val="solid" w:color="000000" w:fill="000000"/>
                <w:fitText w:val="110" w:id="-694959868"/>
                <w14:textFill>
                  <w14:solidFill>
                    <w14:srgbClr w14:val="000000">
                      <w14:alpha w14:val="100000"/>
                    </w14:srgbClr>
                  </w14:solidFill>
                </w14:textFill>
              </w:rPr>
              <w:t>|</w:t>
            </w:r>
            <w:r w:rsidR="003F51AF" w:rsidRPr="003F51AF">
              <w:rPr>
                <w:rFonts w:hint="eastAsia"/>
                <w:color w:val="000000"/>
                <w:w w:val="24"/>
                <w:shd w:val="solid" w:color="000000" w:fill="000000"/>
                <w:fitText w:val="110" w:id="-694959868"/>
                <w14:textFill>
                  <w14:solidFill>
                    <w14:srgbClr w14:val="000000">
                      <w14:alpha w14:val="100000"/>
                    </w14:srgbClr>
                  </w14:solidFill>
                </w14:textFill>
              </w:rPr>
              <w:t xml:space="preserve">　</w:t>
            </w:r>
            <w:r w:rsidR="00EF1741" w:rsidRPr="0035502F">
              <w:t xml:space="preserve"> </w:t>
            </w:r>
            <w:r w:rsidR="00EF1741">
              <w:rPr>
                <w:vertAlign w:val="superscript"/>
              </w:rPr>
              <w:t>4</w:t>
            </w:r>
            <w:proofErr w:type="gramEnd"/>
          </w:p>
        </w:tc>
      </w:tr>
      <w:tr w:rsidR="00E91717" w:rsidRPr="0035502F" w14:paraId="571B64F4" w14:textId="77777777" w:rsidTr="002A3BF4">
        <w:tc>
          <w:tcPr>
            <w:tcW w:w="1334" w:type="pct"/>
            <w:shd w:val="clear" w:color="auto" w:fill="auto"/>
            <w:vAlign w:val="center"/>
          </w:tcPr>
          <w:p w14:paraId="427698FB" w14:textId="06725842" w:rsidR="00E91717" w:rsidRPr="0035502F" w:rsidRDefault="00E91717" w:rsidP="00E91717">
            <w:pPr>
              <w:pStyle w:val="COMTabletext"/>
              <w:rPr>
                <w:rFonts w:ascii="Times" w:hAnsi="Times"/>
              </w:rPr>
            </w:pPr>
            <w:r w:rsidRPr="0035502F">
              <w:t>Net cost to MBS</w:t>
            </w:r>
          </w:p>
        </w:tc>
        <w:tc>
          <w:tcPr>
            <w:tcW w:w="611" w:type="pct"/>
            <w:shd w:val="clear" w:color="auto" w:fill="auto"/>
          </w:tcPr>
          <w:p w14:paraId="5AD7A1FC" w14:textId="2DD41DCE" w:rsidR="00E91717" w:rsidRPr="0035502F" w:rsidRDefault="00E91717" w:rsidP="00E91717">
            <w:pPr>
              <w:pStyle w:val="COMTabletext"/>
              <w:jc w:val="center"/>
            </w:pPr>
            <w:r w:rsidRPr="0035502F">
              <w:t>$</w:t>
            </w:r>
            <w:r w:rsidR="003F51AF" w:rsidRPr="003F51AF">
              <w:rPr>
                <w:rFonts w:hint="eastAsia"/>
                <w:color w:val="000000"/>
                <w:w w:val="24"/>
                <w:shd w:val="solid" w:color="000000" w:fill="000000"/>
                <w:fitText w:val="110" w:id="-694959867"/>
                <w14:textFill>
                  <w14:solidFill>
                    <w14:srgbClr w14:val="000000">
                      <w14:alpha w14:val="100000"/>
                    </w14:srgbClr>
                  </w14:solidFill>
                </w14:textFill>
              </w:rPr>
              <w:t xml:space="preserve">　</w:t>
            </w:r>
            <w:proofErr w:type="gramStart"/>
            <w:r w:rsidR="003F51AF" w:rsidRPr="003F51AF">
              <w:rPr>
                <w:color w:val="000000"/>
                <w:w w:val="24"/>
                <w:shd w:val="solid" w:color="000000" w:fill="000000"/>
                <w:fitText w:val="110" w:id="-694959867"/>
                <w14:textFill>
                  <w14:solidFill>
                    <w14:srgbClr w14:val="000000">
                      <w14:alpha w14:val="100000"/>
                    </w14:srgbClr>
                  </w14:solidFill>
                </w14:textFill>
              </w:rPr>
              <w:t>|</w:t>
            </w:r>
            <w:r w:rsidR="003F51AF" w:rsidRPr="003F51AF">
              <w:rPr>
                <w:rFonts w:hint="eastAsia"/>
                <w:color w:val="000000"/>
                <w:spacing w:val="6"/>
                <w:w w:val="24"/>
                <w:shd w:val="solid" w:color="000000" w:fill="000000"/>
                <w:fitText w:val="110" w:id="-694959867"/>
                <w14:textFill>
                  <w14:solidFill>
                    <w14:srgbClr w14:val="000000">
                      <w14:alpha w14:val="100000"/>
                    </w14:srgbClr>
                  </w14:solidFill>
                </w14:textFill>
              </w:rPr>
              <w:t xml:space="preserve">　</w:t>
            </w:r>
            <w:r w:rsidR="00EF1741" w:rsidRPr="0035502F">
              <w:t xml:space="preserve"> </w:t>
            </w:r>
            <w:r w:rsidR="00EF1741">
              <w:rPr>
                <w:vertAlign w:val="superscript"/>
              </w:rPr>
              <w:t>8</w:t>
            </w:r>
            <w:proofErr w:type="gramEnd"/>
          </w:p>
        </w:tc>
        <w:tc>
          <w:tcPr>
            <w:tcW w:w="611" w:type="pct"/>
            <w:shd w:val="clear" w:color="auto" w:fill="auto"/>
          </w:tcPr>
          <w:p w14:paraId="1D6E215B" w14:textId="4B59F74A" w:rsidR="00E91717" w:rsidRPr="0035502F" w:rsidRDefault="00E91717" w:rsidP="00E91717">
            <w:pPr>
              <w:pStyle w:val="COMTabletext"/>
              <w:jc w:val="center"/>
            </w:pPr>
            <w:r w:rsidRPr="0035502F">
              <w:t>$</w:t>
            </w:r>
            <w:r w:rsidR="003F51AF" w:rsidRPr="003F51AF">
              <w:rPr>
                <w:rFonts w:hint="eastAsia"/>
                <w:color w:val="000000"/>
                <w:w w:val="24"/>
                <w:shd w:val="solid" w:color="000000" w:fill="000000"/>
                <w:fitText w:val="110" w:id="-694959866"/>
                <w14:textFill>
                  <w14:solidFill>
                    <w14:srgbClr w14:val="000000">
                      <w14:alpha w14:val="100000"/>
                    </w14:srgbClr>
                  </w14:solidFill>
                </w14:textFill>
              </w:rPr>
              <w:t xml:space="preserve">　</w:t>
            </w:r>
            <w:proofErr w:type="gramStart"/>
            <w:r w:rsidR="003F51AF" w:rsidRPr="003F51AF">
              <w:rPr>
                <w:color w:val="000000"/>
                <w:w w:val="24"/>
                <w:shd w:val="solid" w:color="000000" w:fill="000000"/>
                <w:fitText w:val="110" w:id="-694959866"/>
                <w14:textFill>
                  <w14:solidFill>
                    <w14:srgbClr w14:val="000000">
                      <w14:alpha w14:val="100000"/>
                    </w14:srgbClr>
                  </w14:solidFill>
                </w14:textFill>
              </w:rPr>
              <w:t>|</w:t>
            </w:r>
            <w:r w:rsidR="003F51AF" w:rsidRPr="003F51AF">
              <w:rPr>
                <w:rFonts w:hint="eastAsia"/>
                <w:color w:val="000000"/>
                <w:spacing w:val="6"/>
                <w:w w:val="24"/>
                <w:shd w:val="solid" w:color="000000" w:fill="000000"/>
                <w:fitText w:val="110" w:id="-694959866"/>
                <w14:textFill>
                  <w14:solidFill>
                    <w14:srgbClr w14:val="000000">
                      <w14:alpha w14:val="100000"/>
                    </w14:srgbClr>
                  </w14:solidFill>
                </w14:textFill>
              </w:rPr>
              <w:t xml:space="preserve">　</w:t>
            </w:r>
            <w:r w:rsidR="00EF1741" w:rsidRPr="0035502F">
              <w:t xml:space="preserve"> </w:t>
            </w:r>
            <w:r w:rsidR="00EF1741">
              <w:rPr>
                <w:vertAlign w:val="superscript"/>
              </w:rPr>
              <w:t>8</w:t>
            </w:r>
            <w:proofErr w:type="gramEnd"/>
          </w:p>
        </w:tc>
        <w:tc>
          <w:tcPr>
            <w:tcW w:w="611" w:type="pct"/>
            <w:shd w:val="clear" w:color="auto" w:fill="auto"/>
          </w:tcPr>
          <w:p w14:paraId="25026D9D" w14:textId="3CCB4F80" w:rsidR="00E91717" w:rsidRPr="0035502F" w:rsidRDefault="00E91717" w:rsidP="00E91717">
            <w:pPr>
              <w:pStyle w:val="COMTabletext"/>
              <w:jc w:val="center"/>
            </w:pPr>
            <w:r w:rsidRPr="0035502F">
              <w:t>$</w:t>
            </w:r>
            <w:r w:rsidR="003F51AF" w:rsidRPr="003F51AF">
              <w:rPr>
                <w:rFonts w:hint="eastAsia"/>
                <w:color w:val="000000"/>
                <w:w w:val="24"/>
                <w:shd w:val="solid" w:color="000000" w:fill="000000"/>
                <w:fitText w:val="110" w:id="-694959865"/>
                <w14:textFill>
                  <w14:solidFill>
                    <w14:srgbClr w14:val="000000">
                      <w14:alpha w14:val="100000"/>
                    </w14:srgbClr>
                  </w14:solidFill>
                </w14:textFill>
              </w:rPr>
              <w:t xml:space="preserve">　</w:t>
            </w:r>
            <w:proofErr w:type="gramStart"/>
            <w:r w:rsidR="003F51AF" w:rsidRPr="003F51AF">
              <w:rPr>
                <w:color w:val="000000"/>
                <w:w w:val="24"/>
                <w:shd w:val="solid" w:color="000000" w:fill="000000"/>
                <w:fitText w:val="110" w:id="-694959865"/>
                <w14:textFill>
                  <w14:solidFill>
                    <w14:srgbClr w14:val="000000">
                      <w14:alpha w14:val="100000"/>
                    </w14:srgbClr>
                  </w14:solidFill>
                </w14:textFill>
              </w:rPr>
              <w:t>|</w:t>
            </w:r>
            <w:r w:rsidR="003F51AF" w:rsidRPr="003F51AF">
              <w:rPr>
                <w:rFonts w:hint="eastAsia"/>
                <w:color w:val="000000"/>
                <w:spacing w:val="6"/>
                <w:w w:val="24"/>
                <w:shd w:val="solid" w:color="000000" w:fill="000000"/>
                <w:fitText w:val="110" w:id="-694959865"/>
                <w14:textFill>
                  <w14:solidFill>
                    <w14:srgbClr w14:val="000000">
                      <w14:alpha w14:val="100000"/>
                    </w14:srgbClr>
                  </w14:solidFill>
                </w14:textFill>
              </w:rPr>
              <w:t xml:space="preserve">　</w:t>
            </w:r>
            <w:r w:rsidR="00EF1741" w:rsidRPr="0035502F">
              <w:t xml:space="preserve"> </w:t>
            </w:r>
            <w:r w:rsidR="00EF1741">
              <w:rPr>
                <w:vertAlign w:val="superscript"/>
              </w:rPr>
              <w:t>8</w:t>
            </w:r>
            <w:proofErr w:type="gramEnd"/>
          </w:p>
        </w:tc>
        <w:tc>
          <w:tcPr>
            <w:tcW w:w="611" w:type="pct"/>
            <w:shd w:val="clear" w:color="auto" w:fill="auto"/>
          </w:tcPr>
          <w:p w14:paraId="6933D36F" w14:textId="695B6837" w:rsidR="00E91717" w:rsidRPr="0035502F" w:rsidRDefault="00E91717" w:rsidP="00E91717">
            <w:pPr>
              <w:pStyle w:val="COMTabletext"/>
              <w:jc w:val="center"/>
            </w:pPr>
            <w:r w:rsidRPr="0035502F">
              <w:t>$</w:t>
            </w:r>
            <w:r w:rsidR="003F51AF" w:rsidRPr="003F51AF">
              <w:rPr>
                <w:rFonts w:hint="eastAsia"/>
                <w:color w:val="000000"/>
                <w:w w:val="24"/>
                <w:shd w:val="solid" w:color="000000" w:fill="000000"/>
                <w:fitText w:val="110" w:id="-694959864"/>
                <w14:textFill>
                  <w14:solidFill>
                    <w14:srgbClr w14:val="000000">
                      <w14:alpha w14:val="100000"/>
                    </w14:srgbClr>
                  </w14:solidFill>
                </w14:textFill>
              </w:rPr>
              <w:t xml:space="preserve">　</w:t>
            </w:r>
            <w:proofErr w:type="gramStart"/>
            <w:r w:rsidR="003F51AF" w:rsidRPr="003F51AF">
              <w:rPr>
                <w:color w:val="000000"/>
                <w:w w:val="24"/>
                <w:shd w:val="solid" w:color="000000" w:fill="000000"/>
                <w:fitText w:val="110" w:id="-694959864"/>
                <w14:textFill>
                  <w14:solidFill>
                    <w14:srgbClr w14:val="000000">
                      <w14:alpha w14:val="100000"/>
                    </w14:srgbClr>
                  </w14:solidFill>
                </w14:textFill>
              </w:rPr>
              <w:t>|</w:t>
            </w:r>
            <w:r w:rsidR="003F51AF" w:rsidRPr="003F51AF">
              <w:rPr>
                <w:rFonts w:hint="eastAsia"/>
                <w:color w:val="000000"/>
                <w:spacing w:val="6"/>
                <w:w w:val="24"/>
                <w:shd w:val="solid" w:color="000000" w:fill="000000"/>
                <w:fitText w:val="110" w:id="-694959864"/>
                <w14:textFill>
                  <w14:solidFill>
                    <w14:srgbClr w14:val="000000">
                      <w14:alpha w14:val="100000"/>
                    </w14:srgbClr>
                  </w14:solidFill>
                </w14:textFill>
              </w:rPr>
              <w:t xml:space="preserve">　</w:t>
            </w:r>
            <w:r w:rsidR="00EF1741" w:rsidRPr="0035502F">
              <w:t xml:space="preserve"> </w:t>
            </w:r>
            <w:r w:rsidR="00EF1741">
              <w:rPr>
                <w:vertAlign w:val="superscript"/>
              </w:rPr>
              <w:t>8</w:t>
            </w:r>
            <w:proofErr w:type="gramEnd"/>
          </w:p>
        </w:tc>
        <w:tc>
          <w:tcPr>
            <w:tcW w:w="611" w:type="pct"/>
            <w:shd w:val="clear" w:color="auto" w:fill="auto"/>
          </w:tcPr>
          <w:p w14:paraId="04433A65" w14:textId="28FBF63E" w:rsidR="00E91717" w:rsidRPr="0035502F" w:rsidRDefault="00E91717" w:rsidP="00E91717">
            <w:pPr>
              <w:pStyle w:val="COMTabletext"/>
              <w:jc w:val="center"/>
            </w:pPr>
            <w:r w:rsidRPr="0035502F">
              <w:t>$</w:t>
            </w:r>
            <w:r w:rsidR="003F51AF" w:rsidRPr="003F51AF">
              <w:rPr>
                <w:rFonts w:hint="eastAsia"/>
                <w:color w:val="000000"/>
                <w:w w:val="24"/>
                <w:shd w:val="solid" w:color="000000" w:fill="000000"/>
                <w:fitText w:val="110" w:id="-694959863"/>
                <w14:textFill>
                  <w14:solidFill>
                    <w14:srgbClr w14:val="000000">
                      <w14:alpha w14:val="100000"/>
                    </w14:srgbClr>
                  </w14:solidFill>
                </w14:textFill>
              </w:rPr>
              <w:t xml:space="preserve">　</w:t>
            </w:r>
            <w:proofErr w:type="gramStart"/>
            <w:r w:rsidR="003F51AF" w:rsidRPr="003F51AF">
              <w:rPr>
                <w:color w:val="000000"/>
                <w:w w:val="24"/>
                <w:shd w:val="solid" w:color="000000" w:fill="000000"/>
                <w:fitText w:val="110" w:id="-694959863"/>
                <w14:textFill>
                  <w14:solidFill>
                    <w14:srgbClr w14:val="000000">
                      <w14:alpha w14:val="100000"/>
                    </w14:srgbClr>
                  </w14:solidFill>
                </w14:textFill>
              </w:rPr>
              <w:t>|</w:t>
            </w:r>
            <w:r w:rsidR="003F51AF" w:rsidRPr="003F51AF">
              <w:rPr>
                <w:rFonts w:hint="eastAsia"/>
                <w:color w:val="000000"/>
                <w:spacing w:val="6"/>
                <w:w w:val="24"/>
                <w:shd w:val="solid" w:color="000000" w:fill="000000"/>
                <w:fitText w:val="110" w:id="-694959863"/>
                <w14:textFill>
                  <w14:solidFill>
                    <w14:srgbClr w14:val="000000">
                      <w14:alpha w14:val="100000"/>
                    </w14:srgbClr>
                  </w14:solidFill>
                </w14:textFill>
              </w:rPr>
              <w:t xml:space="preserve">　</w:t>
            </w:r>
            <w:r w:rsidR="00EF1741" w:rsidRPr="0035502F">
              <w:t xml:space="preserve"> </w:t>
            </w:r>
            <w:r w:rsidR="00EF1741">
              <w:rPr>
                <w:vertAlign w:val="superscript"/>
              </w:rPr>
              <w:t>8</w:t>
            </w:r>
            <w:proofErr w:type="gramEnd"/>
          </w:p>
        </w:tc>
        <w:tc>
          <w:tcPr>
            <w:tcW w:w="611" w:type="pct"/>
          </w:tcPr>
          <w:p w14:paraId="2223EBD7" w14:textId="482A9966" w:rsidR="00E91717" w:rsidRPr="0035502F" w:rsidRDefault="00E91717" w:rsidP="00E91717">
            <w:pPr>
              <w:pStyle w:val="COMTabletext"/>
              <w:jc w:val="center"/>
            </w:pPr>
            <w:r w:rsidRPr="0035502F">
              <w:t>$</w:t>
            </w:r>
            <w:r w:rsidR="003F51AF" w:rsidRPr="003F51AF">
              <w:rPr>
                <w:rFonts w:hint="eastAsia"/>
                <w:color w:val="000000"/>
                <w:w w:val="24"/>
                <w:shd w:val="solid" w:color="000000" w:fill="000000"/>
                <w:fitText w:val="110" w:id="-694959862"/>
                <w14:textFill>
                  <w14:solidFill>
                    <w14:srgbClr w14:val="000000">
                      <w14:alpha w14:val="100000"/>
                    </w14:srgbClr>
                  </w14:solidFill>
                </w14:textFill>
              </w:rPr>
              <w:t xml:space="preserve">　</w:t>
            </w:r>
            <w:proofErr w:type="gramStart"/>
            <w:r w:rsidR="003F51AF" w:rsidRPr="003F51AF">
              <w:rPr>
                <w:color w:val="000000"/>
                <w:w w:val="24"/>
                <w:shd w:val="solid" w:color="000000" w:fill="000000"/>
                <w:fitText w:val="110" w:id="-694959862"/>
                <w14:textFill>
                  <w14:solidFill>
                    <w14:srgbClr w14:val="000000">
                      <w14:alpha w14:val="100000"/>
                    </w14:srgbClr>
                  </w14:solidFill>
                </w14:textFill>
              </w:rPr>
              <w:t>|</w:t>
            </w:r>
            <w:r w:rsidR="003F51AF" w:rsidRPr="003F51AF">
              <w:rPr>
                <w:rFonts w:hint="eastAsia"/>
                <w:color w:val="000000"/>
                <w:w w:val="24"/>
                <w:shd w:val="solid" w:color="000000" w:fill="000000"/>
                <w:fitText w:val="110" w:id="-694959862"/>
                <w14:textFill>
                  <w14:solidFill>
                    <w14:srgbClr w14:val="000000">
                      <w14:alpha w14:val="100000"/>
                    </w14:srgbClr>
                  </w14:solidFill>
                </w14:textFill>
              </w:rPr>
              <w:t xml:space="preserve">　</w:t>
            </w:r>
            <w:r w:rsidR="00EF1741" w:rsidRPr="0035502F">
              <w:t xml:space="preserve"> </w:t>
            </w:r>
            <w:r w:rsidR="00EF1741">
              <w:rPr>
                <w:vertAlign w:val="superscript"/>
              </w:rPr>
              <w:t>8</w:t>
            </w:r>
            <w:proofErr w:type="gramEnd"/>
          </w:p>
        </w:tc>
      </w:tr>
      <w:tr w:rsidR="00E91717" w:rsidRPr="0035502F" w14:paraId="123830C0" w14:textId="77777777" w:rsidTr="002A3BF4">
        <w:tc>
          <w:tcPr>
            <w:tcW w:w="1334" w:type="pct"/>
            <w:shd w:val="clear" w:color="auto" w:fill="auto"/>
            <w:vAlign w:val="center"/>
          </w:tcPr>
          <w:p w14:paraId="50FCDA47" w14:textId="3693CD26" w:rsidR="00E91717" w:rsidRPr="0035502F" w:rsidRDefault="00E91717" w:rsidP="00E91717">
            <w:pPr>
              <w:pStyle w:val="COMTabletext"/>
            </w:pPr>
            <w:r w:rsidRPr="0035502F">
              <w:t>Net cost to the PBS/RPBS/MBS</w:t>
            </w:r>
          </w:p>
        </w:tc>
        <w:tc>
          <w:tcPr>
            <w:tcW w:w="611" w:type="pct"/>
            <w:shd w:val="clear" w:color="auto" w:fill="auto"/>
          </w:tcPr>
          <w:p w14:paraId="0F4EB661" w14:textId="7156BF6D" w:rsidR="00E91717" w:rsidRPr="0035502F" w:rsidRDefault="00E91717" w:rsidP="00E91717">
            <w:pPr>
              <w:pStyle w:val="COMTabletext"/>
              <w:jc w:val="center"/>
            </w:pPr>
            <w:r w:rsidRPr="0035502F">
              <w:t>$</w:t>
            </w:r>
            <w:r w:rsidR="003F51AF" w:rsidRPr="003F51AF">
              <w:rPr>
                <w:rFonts w:hint="eastAsia"/>
                <w:color w:val="000000"/>
                <w:w w:val="24"/>
                <w:shd w:val="solid" w:color="000000" w:fill="000000"/>
                <w:fitText w:val="110" w:id="-694959861"/>
                <w14:textFill>
                  <w14:solidFill>
                    <w14:srgbClr w14:val="000000">
                      <w14:alpha w14:val="100000"/>
                    </w14:srgbClr>
                  </w14:solidFill>
                </w14:textFill>
              </w:rPr>
              <w:t xml:space="preserve">　</w:t>
            </w:r>
            <w:proofErr w:type="gramStart"/>
            <w:r w:rsidR="003F51AF" w:rsidRPr="003F51AF">
              <w:rPr>
                <w:color w:val="000000"/>
                <w:w w:val="24"/>
                <w:shd w:val="solid" w:color="000000" w:fill="000000"/>
                <w:fitText w:val="110" w:id="-694959861"/>
                <w14:textFill>
                  <w14:solidFill>
                    <w14:srgbClr w14:val="000000">
                      <w14:alpha w14:val="100000"/>
                    </w14:srgbClr>
                  </w14:solidFill>
                </w14:textFill>
              </w:rPr>
              <w:t>|</w:t>
            </w:r>
            <w:r w:rsidR="003F51AF" w:rsidRPr="003F51AF">
              <w:rPr>
                <w:rFonts w:hint="eastAsia"/>
                <w:color w:val="000000"/>
                <w:spacing w:val="6"/>
                <w:w w:val="24"/>
                <w:shd w:val="solid" w:color="000000" w:fill="000000"/>
                <w:fitText w:val="110" w:id="-694959861"/>
                <w14:textFill>
                  <w14:solidFill>
                    <w14:srgbClr w14:val="000000">
                      <w14:alpha w14:val="100000"/>
                    </w14:srgbClr>
                  </w14:solidFill>
                </w14:textFill>
              </w:rPr>
              <w:t xml:space="preserve">　</w:t>
            </w:r>
            <w:r w:rsidR="00EF1741" w:rsidRPr="0035502F">
              <w:t xml:space="preserve"> </w:t>
            </w:r>
            <w:r w:rsidR="00EF1741">
              <w:rPr>
                <w:vertAlign w:val="superscript"/>
              </w:rPr>
              <w:t>4</w:t>
            </w:r>
            <w:proofErr w:type="gramEnd"/>
          </w:p>
        </w:tc>
        <w:tc>
          <w:tcPr>
            <w:tcW w:w="611" w:type="pct"/>
            <w:shd w:val="clear" w:color="auto" w:fill="auto"/>
          </w:tcPr>
          <w:p w14:paraId="59B75FE2" w14:textId="3F1CF473" w:rsidR="00E91717" w:rsidRPr="0035502F" w:rsidRDefault="00E91717" w:rsidP="00E91717">
            <w:pPr>
              <w:pStyle w:val="COMTabletext"/>
              <w:jc w:val="center"/>
            </w:pPr>
            <w:r w:rsidRPr="0035502F">
              <w:t>$</w:t>
            </w:r>
            <w:r w:rsidR="003F51AF" w:rsidRPr="003F51AF">
              <w:rPr>
                <w:rFonts w:hint="eastAsia"/>
                <w:color w:val="000000"/>
                <w:w w:val="24"/>
                <w:shd w:val="solid" w:color="000000" w:fill="000000"/>
                <w:fitText w:val="110" w:id="-694959860"/>
                <w14:textFill>
                  <w14:solidFill>
                    <w14:srgbClr w14:val="000000">
                      <w14:alpha w14:val="100000"/>
                    </w14:srgbClr>
                  </w14:solidFill>
                </w14:textFill>
              </w:rPr>
              <w:t xml:space="preserve">　</w:t>
            </w:r>
            <w:proofErr w:type="gramStart"/>
            <w:r w:rsidR="003F51AF" w:rsidRPr="003F51AF">
              <w:rPr>
                <w:color w:val="000000"/>
                <w:w w:val="24"/>
                <w:shd w:val="solid" w:color="000000" w:fill="000000"/>
                <w:fitText w:val="110" w:id="-694959860"/>
                <w14:textFill>
                  <w14:solidFill>
                    <w14:srgbClr w14:val="000000">
                      <w14:alpha w14:val="100000"/>
                    </w14:srgbClr>
                  </w14:solidFill>
                </w14:textFill>
              </w:rPr>
              <w:t>|</w:t>
            </w:r>
            <w:r w:rsidR="003F51AF" w:rsidRPr="003F51AF">
              <w:rPr>
                <w:rFonts w:hint="eastAsia"/>
                <w:color w:val="000000"/>
                <w:spacing w:val="6"/>
                <w:w w:val="24"/>
                <w:shd w:val="solid" w:color="000000" w:fill="000000"/>
                <w:fitText w:val="110" w:id="-694959860"/>
                <w14:textFill>
                  <w14:solidFill>
                    <w14:srgbClr w14:val="000000">
                      <w14:alpha w14:val="100000"/>
                    </w14:srgbClr>
                  </w14:solidFill>
                </w14:textFill>
              </w:rPr>
              <w:t xml:space="preserve">　</w:t>
            </w:r>
            <w:r w:rsidR="00EF1741" w:rsidRPr="0035502F">
              <w:t xml:space="preserve"> </w:t>
            </w:r>
            <w:r w:rsidR="00EF1741">
              <w:rPr>
                <w:vertAlign w:val="superscript"/>
              </w:rPr>
              <w:t>5</w:t>
            </w:r>
            <w:proofErr w:type="gramEnd"/>
          </w:p>
        </w:tc>
        <w:tc>
          <w:tcPr>
            <w:tcW w:w="611" w:type="pct"/>
            <w:shd w:val="clear" w:color="auto" w:fill="auto"/>
          </w:tcPr>
          <w:p w14:paraId="6AE6473A" w14:textId="38DA964A" w:rsidR="00E91717" w:rsidRPr="0035502F" w:rsidRDefault="00E91717" w:rsidP="00E91717">
            <w:pPr>
              <w:pStyle w:val="COMTabletext"/>
              <w:jc w:val="center"/>
            </w:pPr>
            <w:r w:rsidRPr="0035502F">
              <w:t>$</w:t>
            </w:r>
            <w:r w:rsidR="003F51AF" w:rsidRPr="003F51AF">
              <w:rPr>
                <w:rFonts w:hint="eastAsia"/>
                <w:color w:val="000000"/>
                <w:w w:val="24"/>
                <w:shd w:val="solid" w:color="000000" w:fill="000000"/>
                <w:fitText w:val="110" w:id="-694959859"/>
                <w14:textFill>
                  <w14:solidFill>
                    <w14:srgbClr w14:val="000000">
                      <w14:alpha w14:val="100000"/>
                    </w14:srgbClr>
                  </w14:solidFill>
                </w14:textFill>
              </w:rPr>
              <w:t xml:space="preserve">　</w:t>
            </w:r>
            <w:proofErr w:type="gramStart"/>
            <w:r w:rsidR="003F51AF" w:rsidRPr="003F51AF">
              <w:rPr>
                <w:color w:val="000000"/>
                <w:w w:val="24"/>
                <w:shd w:val="solid" w:color="000000" w:fill="000000"/>
                <w:fitText w:val="110" w:id="-694959859"/>
                <w14:textFill>
                  <w14:solidFill>
                    <w14:srgbClr w14:val="000000">
                      <w14:alpha w14:val="100000"/>
                    </w14:srgbClr>
                  </w14:solidFill>
                </w14:textFill>
              </w:rPr>
              <w:t>|</w:t>
            </w:r>
            <w:r w:rsidR="003F51AF" w:rsidRPr="003F51AF">
              <w:rPr>
                <w:rFonts w:hint="eastAsia"/>
                <w:color w:val="000000"/>
                <w:spacing w:val="6"/>
                <w:w w:val="24"/>
                <w:shd w:val="solid" w:color="000000" w:fill="000000"/>
                <w:fitText w:val="110" w:id="-694959859"/>
                <w14:textFill>
                  <w14:solidFill>
                    <w14:srgbClr w14:val="000000">
                      <w14:alpha w14:val="100000"/>
                    </w14:srgbClr>
                  </w14:solidFill>
                </w14:textFill>
              </w:rPr>
              <w:t xml:space="preserve">　</w:t>
            </w:r>
            <w:r w:rsidR="00EF1741" w:rsidRPr="0035502F">
              <w:t xml:space="preserve"> </w:t>
            </w:r>
            <w:r w:rsidR="00EF1741">
              <w:rPr>
                <w:vertAlign w:val="superscript"/>
              </w:rPr>
              <w:t>5</w:t>
            </w:r>
            <w:proofErr w:type="gramEnd"/>
          </w:p>
        </w:tc>
        <w:tc>
          <w:tcPr>
            <w:tcW w:w="611" w:type="pct"/>
            <w:shd w:val="clear" w:color="auto" w:fill="auto"/>
          </w:tcPr>
          <w:p w14:paraId="1F476C04" w14:textId="33587244" w:rsidR="00E91717" w:rsidRPr="0035502F" w:rsidRDefault="00E91717" w:rsidP="00E91717">
            <w:pPr>
              <w:pStyle w:val="COMTabletext"/>
              <w:jc w:val="center"/>
            </w:pPr>
            <w:r w:rsidRPr="0035502F">
              <w:t>$</w:t>
            </w:r>
            <w:r w:rsidR="003F51AF" w:rsidRPr="003F51AF">
              <w:rPr>
                <w:rFonts w:hint="eastAsia"/>
                <w:color w:val="000000"/>
                <w:w w:val="24"/>
                <w:shd w:val="solid" w:color="000000" w:fill="000000"/>
                <w:fitText w:val="110" w:id="-694959858"/>
                <w14:textFill>
                  <w14:solidFill>
                    <w14:srgbClr w14:val="000000">
                      <w14:alpha w14:val="100000"/>
                    </w14:srgbClr>
                  </w14:solidFill>
                </w14:textFill>
              </w:rPr>
              <w:t xml:space="preserve">　</w:t>
            </w:r>
            <w:proofErr w:type="gramStart"/>
            <w:r w:rsidR="003F51AF" w:rsidRPr="003F51AF">
              <w:rPr>
                <w:color w:val="000000"/>
                <w:w w:val="24"/>
                <w:shd w:val="solid" w:color="000000" w:fill="000000"/>
                <w:fitText w:val="110" w:id="-694959858"/>
                <w14:textFill>
                  <w14:solidFill>
                    <w14:srgbClr w14:val="000000">
                      <w14:alpha w14:val="100000"/>
                    </w14:srgbClr>
                  </w14:solidFill>
                </w14:textFill>
              </w:rPr>
              <w:t>|</w:t>
            </w:r>
            <w:r w:rsidR="003F51AF" w:rsidRPr="003F51AF">
              <w:rPr>
                <w:rFonts w:hint="eastAsia"/>
                <w:color w:val="000000"/>
                <w:spacing w:val="6"/>
                <w:w w:val="24"/>
                <w:shd w:val="solid" w:color="000000" w:fill="000000"/>
                <w:fitText w:val="110" w:id="-694959858"/>
                <w14:textFill>
                  <w14:solidFill>
                    <w14:srgbClr w14:val="000000">
                      <w14:alpha w14:val="100000"/>
                    </w14:srgbClr>
                  </w14:solidFill>
                </w14:textFill>
              </w:rPr>
              <w:t xml:space="preserve">　</w:t>
            </w:r>
            <w:r w:rsidR="00EF1741" w:rsidRPr="0035502F">
              <w:t xml:space="preserve"> </w:t>
            </w:r>
            <w:r w:rsidR="00EF1741">
              <w:rPr>
                <w:vertAlign w:val="superscript"/>
              </w:rPr>
              <w:t>4</w:t>
            </w:r>
            <w:proofErr w:type="gramEnd"/>
          </w:p>
        </w:tc>
        <w:tc>
          <w:tcPr>
            <w:tcW w:w="611" w:type="pct"/>
            <w:shd w:val="clear" w:color="auto" w:fill="auto"/>
          </w:tcPr>
          <w:p w14:paraId="12079751" w14:textId="7FC76DE1" w:rsidR="00E91717" w:rsidRPr="0035502F" w:rsidRDefault="00E91717" w:rsidP="00E91717">
            <w:pPr>
              <w:pStyle w:val="COMTabletext"/>
              <w:jc w:val="center"/>
            </w:pPr>
            <w:r w:rsidRPr="0035502F">
              <w:t>$</w:t>
            </w:r>
            <w:r w:rsidR="003F51AF" w:rsidRPr="003F51AF">
              <w:rPr>
                <w:rFonts w:hint="eastAsia"/>
                <w:color w:val="000000"/>
                <w:w w:val="24"/>
                <w:shd w:val="solid" w:color="000000" w:fill="000000"/>
                <w:fitText w:val="110" w:id="-694959857"/>
                <w14:textFill>
                  <w14:solidFill>
                    <w14:srgbClr w14:val="000000">
                      <w14:alpha w14:val="100000"/>
                    </w14:srgbClr>
                  </w14:solidFill>
                </w14:textFill>
              </w:rPr>
              <w:t xml:space="preserve">　</w:t>
            </w:r>
            <w:proofErr w:type="gramStart"/>
            <w:r w:rsidR="003F51AF" w:rsidRPr="003F51AF">
              <w:rPr>
                <w:color w:val="000000"/>
                <w:w w:val="24"/>
                <w:shd w:val="solid" w:color="000000" w:fill="000000"/>
                <w:fitText w:val="110" w:id="-694959857"/>
                <w14:textFill>
                  <w14:solidFill>
                    <w14:srgbClr w14:val="000000">
                      <w14:alpha w14:val="100000"/>
                    </w14:srgbClr>
                  </w14:solidFill>
                </w14:textFill>
              </w:rPr>
              <w:t>|</w:t>
            </w:r>
            <w:r w:rsidR="003F51AF" w:rsidRPr="003F51AF">
              <w:rPr>
                <w:rFonts w:hint="eastAsia"/>
                <w:color w:val="000000"/>
                <w:spacing w:val="6"/>
                <w:w w:val="24"/>
                <w:shd w:val="solid" w:color="000000" w:fill="000000"/>
                <w:fitText w:val="110" w:id="-694959857"/>
                <w14:textFill>
                  <w14:solidFill>
                    <w14:srgbClr w14:val="000000">
                      <w14:alpha w14:val="100000"/>
                    </w14:srgbClr>
                  </w14:solidFill>
                </w14:textFill>
              </w:rPr>
              <w:t xml:space="preserve">　</w:t>
            </w:r>
            <w:r w:rsidR="00EF1741" w:rsidRPr="0035502F">
              <w:t xml:space="preserve"> </w:t>
            </w:r>
            <w:r w:rsidR="00EF1741">
              <w:rPr>
                <w:vertAlign w:val="superscript"/>
              </w:rPr>
              <w:t>4</w:t>
            </w:r>
            <w:proofErr w:type="gramEnd"/>
          </w:p>
        </w:tc>
        <w:tc>
          <w:tcPr>
            <w:tcW w:w="611" w:type="pct"/>
          </w:tcPr>
          <w:p w14:paraId="4844CB4D" w14:textId="6BB4AA2B" w:rsidR="00E91717" w:rsidRPr="0035502F" w:rsidRDefault="00E91717" w:rsidP="00E91717">
            <w:pPr>
              <w:pStyle w:val="COMTabletext"/>
              <w:jc w:val="center"/>
            </w:pPr>
            <w:r w:rsidRPr="0035502F">
              <w:t>$</w:t>
            </w:r>
            <w:r w:rsidR="003F51AF" w:rsidRPr="003F51AF">
              <w:rPr>
                <w:rFonts w:hint="eastAsia"/>
                <w:color w:val="000000"/>
                <w:w w:val="24"/>
                <w:shd w:val="solid" w:color="000000" w:fill="000000"/>
                <w:fitText w:val="110" w:id="-694959856"/>
                <w14:textFill>
                  <w14:solidFill>
                    <w14:srgbClr w14:val="000000">
                      <w14:alpha w14:val="100000"/>
                    </w14:srgbClr>
                  </w14:solidFill>
                </w14:textFill>
              </w:rPr>
              <w:t xml:space="preserve">　</w:t>
            </w:r>
            <w:proofErr w:type="gramStart"/>
            <w:r w:rsidR="003F51AF" w:rsidRPr="003F51AF">
              <w:rPr>
                <w:color w:val="000000"/>
                <w:w w:val="24"/>
                <w:shd w:val="solid" w:color="000000" w:fill="000000"/>
                <w:fitText w:val="110" w:id="-694959856"/>
                <w14:textFill>
                  <w14:solidFill>
                    <w14:srgbClr w14:val="000000">
                      <w14:alpha w14:val="100000"/>
                    </w14:srgbClr>
                  </w14:solidFill>
                </w14:textFill>
              </w:rPr>
              <w:t>|</w:t>
            </w:r>
            <w:r w:rsidR="003F51AF" w:rsidRPr="003F51AF">
              <w:rPr>
                <w:rFonts w:hint="eastAsia"/>
                <w:color w:val="000000"/>
                <w:w w:val="24"/>
                <w:shd w:val="solid" w:color="000000" w:fill="000000"/>
                <w:fitText w:val="110" w:id="-694959856"/>
                <w14:textFill>
                  <w14:solidFill>
                    <w14:srgbClr w14:val="000000">
                      <w14:alpha w14:val="100000"/>
                    </w14:srgbClr>
                  </w14:solidFill>
                </w14:textFill>
              </w:rPr>
              <w:t xml:space="preserve">　</w:t>
            </w:r>
            <w:r w:rsidR="00EF1741" w:rsidRPr="0035502F">
              <w:t xml:space="preserve"> </w:t>
            </w:r>
            <w:r w:rsidR="00EF1741">
              <w:rPr>
                <w:vertAlign w:val="superscript"/>
              </w:rPr>
              <w:t>4</w:t>
            </w:r>
            <w:proofErr w:type="gramEnd"/>
          </w:p>
        </w:tc>
      </w:tr>
      <w:tr w:rsidR="00E91717" w:rsidRPr="0035502F" w14:paraId="6A99A43D" w14:textId="77777777" w:rsidTr="007925DF">
        <w:tc>
          <w:tcPr>
            <w:tcW w:w="5000" w:type="pct"/>
            <w:gridSpan w:val="7"/>
            <w:shd w:val="clear" w:color="auto" w:fill="B8CCE4" w:themeFill="accent1" w:themeFillTint="66"/>
            <w:vAlign w:val="center"/>
          </w:tcPr>
          <w:p w14:paraId="3DC5DC1A" w14:textId="24AC8F23" w:rsidR="00E91717" w:rsidRPr="0035502F" w:rsidRDefault="00E91717" w:rsidP="00E91717">
            <w:pPr>
              <w:pStyle w:val="COMTableheadingrow"/>
            </w:pPr>
            <w:r w:rsidRPr="0035502F">
              <w:t>July 2024 submission</w:t>
            </w:r>
          </w:p>
        </w:tc>
      </w:tr>
      <w:tr w:rsidR="008C0A35" w:rsidRPr="0035502F" w14:paraId="722E1503" w14:textId="77777777" w:rsidTr="002A3BF4">
        <w:tc>
          <w:tcPr>
            <w:tcW w:w="1334" w:type="pct"/>
            <w:shd w:val="clear" w:color="auto" w:fill="B8CCE4" w:themeFill="accent1" w:themeFillTint="66"/>
            <w:vAlign w:val="center"/>
          </w:tcPr>
          <w:p w14:paraId="4F3C99CE" w14:textId="5560A678" w:rsidR="008C0A35" w:rsidRPr="0035502F" w:rsidRDefault="008C0A35" w:rsidP="00E91717">
            <w:pPr>
              <w:pStyle w:val="COMTabletext"/>
            </w:pPr>
            <w:r>
              <w:t>Number of patients treated</w:t>
            </w:r>
          </w:p>
        </w:tc>
        <w:tc>
          <w:tcPr>
            <w:tcW w:w="611" w:type="pct"/>
            <w:shd w:val="clear" w:color="auto" w:fill="B8CCE4" w:themeFill="accent1" w:themeFillTint="66"/>
          </w:tcPr>
          <w:p w14:paraId="62E5419C" w14:textId="5684E579" w:rsidR="008C0A35" w:rsidRPr="0035502F" w:rsidRDefault="003F51AF" w:rsidP="00E91717">
            <w:pPr>
              <w:pStyle w:val="COMTabletext"/>
              <w:jc w:val="center"/>
            </w:pPr>
            <w:r w:rsidRPr="003F51AF">
              <w:rPr>
                <w:rFonts w:hint="eastAsia"/>
                <w:color w:val="000000"/>
                <w:w w:val="24"/>
                <w:shd w:val="solid" w:color="000000" w:fill="000000"/>
                <w:fitText w:val="110" w:id="-694959872"/>
                <w14:textFill>
                  <w14:solidFill>
                    <w14:srgbClr w14:val="000000">
                      <w14:alpha w14:val="100000"/>
                    </w14:srgbClr>
                  </w14:solidFill>
                </w14:textFill>
              </w:rPr>
              <w:t xml:space="preserve">　</w:t>
            </w:r>
            <w:proofErr w:type="gramStart"/>
            <w:r w:rsidRPr="003F51AF">
              <w:rPr>
                <w:color w:val="000000"/>
                <w:w w:val="24"/>
                <w:shd w:val="solid" w:color="000000" w:fill="000000"/>
                <w:fitText w:val="110" w:id="-694959872"/>
                <w14:textFill>
                  <w14:solidFill>
                    <w14:srgbClr w14:val="000000">
                      <w14:alpha w14:val="100000"/>
                    </w14:srgbClr>
                  </w14:solidFill>
                </w14:textFill>
              </w:rPr>
              <w:t>|</w:t>
            </w:r>
            <w:r w:rsidRPr="003F51AF">
              <w:rPr>
                <w:rFonts w:hint="eastAsia"/>
                <w:color w:val="000000"/>
                <w:spacing w:val="6"/>
                <w:w w:val="24"/>
                <w:shd w:val="solid" w:color="000000" w:fill="000000"/>
                <w:fitText w:val="110" w:id="-694959872"/>
                <w14:textFill>
                  <w14:solidFill>
                    <w14:srgbClr w14:val="000000">
                      <w14:alpha w14:val="100000"/>
                    </w14:srgbClr>
                  </w14:solidFill>
                </w14:textFill>
              </w:rPr>
              <w:t xml:space="preserve">　</w:t>
            </w:r>
            <w:r w:rsidR="008B3D9B">
              <w:t xml:space="preserve"> </w:t>
            </w:r>
            <w:r w:rsidR="008B3D9B" w:rsidRPr="008B3D9B">
              <w:rPr>
                <w:vertAlign w:val="superscript"/>
              </w:rPr>
              <w:t>b</w:t>
            </w:r>
            <w:proofErr w:type="gramEnd"/>
            <w:r w:rsidR="00E93737">
              <w:rPr>
                <w:vertAlign w:val="superscript"/>
              </w:rPr>
              <w:t xml:space="preserve"> 1</w:t>
            </w:r>
          </w:p>
        </w:tc>
        <w:tc>
          <w:tcPr>
            <w:tcW w:w="611" w:type="pct"/>
            <w:shd w:val="clear" w:color="auto" w:fill="B8CCE4" w:themeFill="accent1" w:themeFillTint="66"/>
          </w:tcPr>
          <w:p w14:paraId="1012EC58" w14:textId="6F9609CF" w:rsidR="008C0A35" w:rsidRPr="0035502F" w:rsidRDefault="003F51AF" w:rsidP="00E91717">
            <w:pPr>
              <w:pStyle w:val="COMTabletext"/>
              <w:jc w:val="center"/>
            </w:pPr>
            <w:r w:rsidRPr="003F51AF">
              <w:rPr>
                <w:rFonts w:hint="eastAsia"/>
                <w:color w:val="000000"/>
                <w:w w:val="15"/>
                <w:shd w:val="solid" w:color="000000" w:fill="000000"/>
                <w:fitText w:val="70" w:id="-694959871"/>
                <w14:textFill>
                  <w14:solidFill>
                    <w14:srgbClr w14:val="000000">
                      <w14:alpha w14:val="100000"/>
                    </w14:srgbClr>
                  </w14:solidFill>
                </w14:textFill>
              </w:rPr>
              <w:t xml:space="preserve">　</w:t>
            </w:r>
            <w:proofErr w:type="gramStart"/>
            <w:r w:rsidRPr="003F51AF">
              <w:rPr>
                <w:color w:val="000000"/>
                <w:w w:val="15"/>
                <w:shd w:val="solid" w:color="000000" w:fill="000000"/>
                <w:fitText w:val="70" w:id="-694959871"/>
                <w14:textFill>
                  <w14:solidFill>
                    <w14:srgbClr w14:val="000000">
                      <w14:alpha w14:val="100000"/>
                    </w14:srgbClr>
                  </w14:solidFill>
                </w14:textFill>
              </w:rPr>
              <w:t>|</w:t>
            </w:r>
            <w:r w:rsidRPr="003F51AF">
              <w:rPr>
                <w:rFonts w:hint="eastAsia"/>
                <w:color w:val="000000"/>
                <w:spacing w:val="4"/>
                <w:w w:val="15"/>
                <w:shd w:val="solid" w:color="000000" w:fill="000000"/>
                <w:fitText w:val="70" w:id="-694959871"/>
                <w14:textFill>
                  <w14:solidFill>
                    <w14:srgbClr w14:val="000000">
                      <w14:alpha w14:val="100000"/>
                    </w14:srgbClr>
                  </w14:solidFill>
                </w14:textFill>
              </w:rPr>
              <w:t xml:space="preserve">　</w:t>
            </w:r>
            <w:r w:rsidR="00E93737">
              <w:rPr>
                <w:vertAlign w:val="superscript"/>
              </w:rPr>
              <w:t xml:space="preserve"> 1</w:t>
            </w:r>
            <w:proofErr w:type="gramEnd"/>
          </w:p>
        </w:tc>
        <w:tc>
          <w:tcPr>
            <w:tcW w:w="611" w:type="pct"/>
            <w:shd w:val="clear" w:color="auto" w:fill="B8CCE4" w:themeFill="accent1" w:themeFillTint="66"/>
          </w:tcPr>
          <w:p w14:paraId="4101AA4F" w14:textId="444FA135" w:rsidR="008C0A35" w:rsidRPr="0035502F" w:rsidRDefault="003F51AF" w:rsidP="00E91717">
            <w:pPr>
              <w:pStyle w:val="COMTabletext"/>
              <w:jc w:val="center"/>
            </w:pPr>
            <w:r w:rsidRPr="003F51AF">
              <w:rPr>
                <w:rFonts w:hint="eastAsia"/>
                <w:color w:val="000000"/>
                <w:w w:val="15"/>
                <w:shd w:val="solid" w:color="000000" w:fill="000000"/>
                <w:fitText w:val="70" w:id="-694959870"/>
                <w14:textFill>
                  <w14:solidFill>
                    <w14:srgbClr w14:val="000000">
                      <w14:alpha w14:val="100000"/>
                    </w14:srgbClr>
                  </w14:solidFill>
                </w14:textFill>
              </w:rPr>
              <w:t xml:space="preserve">　</w:t>
            </w:r>
            <w:proofErr w:type="gramStart"/>
            <w:r w:rsidRPr="003F51AF">
              <w:rPr>
                <w:color w:val="000000"/>
                <w:w w:val="15"/>
                <w:shd w:val="solid" w:color="000000" w:fill="000000"/>
                <w:fitText w:val="70" w:id="-694959870"/>
                <w14:textFill>
                  <w14:solidFill>
                    <w14:srgbClr w14:val="000000">
                      <w14:alpha w14:val="100000"/>
                    </w14:srgbClr>
                  </w14:solidFill>
                </w14:textFill>
              </w:rPr>
              <w:t>|</w:t>
            </w:r>
            <w:r w:rsidRPr="003F51AF">
              <w:rPr>
                <w:rFonts w:hint="eastAsia"/>
                <w:color w:val="000000"/>
                <w:spacing w:val="4"/>
                <w:w w:val="15"/>
                <w:shd w:val="solid" w:color="000000" w:fill="000000"/>
                <w:fitText w:val="70" w:id="-694959870"/>
                <w14:textFill>
                  <w14:solidFill>
                    <w14:srgbClr w14:val="000000">
                      <w14:alpha w14:val="100000"/>
                    </w14:srgbClr>
                  </w14:solidFill>
                </w14:textFill>
              </w:rPr>
              <w:t xml:space="preserve">　</w:t>
            </w:r>
            <w:r w:rsidR="00E93737">
              <w:rPr>
                <w:vertAlign w:val="superscript"/>
              </w:rPr>
              <w:t xml:space="preserve"> 1</w:t>
            </w:r>
            <w:proofErr w:type="gramEnd"/>
          </w:p>
        </w:tc>
        <w:tc>
          <w:tcPr>
            <w:tcW w:w="611" w:type="pct"/>
            <w:shd w:val="clear" w:color="auto" w:fill="B8CCE4" w:themeFill="accent1" w:themeFillTint="66"/>
          </w:tcPr>
          <w:p w14:paraId="77EF7755" w14:textId="082887FE" w:rsidR="008C0A35" w:rsidRPr="0035502F" w:rsidRDefault="003F51AF" w:rsidP="00E91717">
            <w:pPr>
              <w:pStyle w:val="COMTabletext"/>
              <w:jc w:val="center"/>
            </w:pPr>
            <w:r w:rsidRPr="003F51AF">
              <w:rPr>
                <w:rFonts w:hint="eastAsia"/>
                <w:color w:val="000000"/>
                <w:w w:val="15"/>
                <w:shd w:val="solid" w:color="000000" w:fill="000000"/>
                <w:fitText w:val="70" w:id="-694959869"/>
                <w14:textFill>
                  <w14:solidFill>
                    <w14:srgbClr w14:val="000000">
                      <w14:alpha w14:val="100000"/>
                    </w14:srgbClr>
                  </w14:solidFill>
                </w14:textFill>
              </w:rPr>
              <w:t xml:space="preserve">　</w:t>
            </w:r>
            <w:proofErr w:type="gramStart"/>
            <w:r w:rsidRPr="003F51AF">
              <w:rPr>
                <w:color w:val="000000"/>
                <w:w w:val="15"/>
                <w:shd w:val="solid" w:color="000000" w:fill="000000"/>
                <w:fitText w:val="70" w:id="-694959869"/>
                <w14:textFill>
                  <w14:solidFill>
                    <w14:srgbClr w14:val="000000">
                      <w14:alpha w14:val="100000"/>
                    </w14:srgbClr>
                  </w14:solidFill>
                </w14:textFill>
              </w:rPr>
              <w:t>|</w:t>
            </w:r>
            <w:r w:rsidRPr="003F51AF">
              <w:rPr>
                <w:rFonts w:hint="eastAsia"/>
                <w:color w:val="000000"/>
                <w:spacing w:val="4"/>
                <w:w w:val="15"/>
                <w:shd w:val="solid" w:color="000000" w:fill="000000"/>
                <w:fitText w:val="70" w:id="-694959869"/>
                <w14:textFill>
                  <w14:solidFill>
                    <w14:srgbClr w14:val="000000">
                      <w14:alpha w14:val="100000"/>
                    </w14:srgbClr>
                  </w14:solidFill>
                </w14:textFill>
              </w:rPr>
              <w:t xml:space="preserve">　</w:t>
            </w:r>
            <w:r w:rsidR="00E93737">
              <w:rPr>
                <w:vertAlign w:val="superscript"/>
              </w:rPr>
              <w:t xml:space="preserve"> 1</w:t>
            </w:r>
            <w:proofErr w:type="gramEnd"/>
          </w:p>
        </w:tc>
        <w:tc>
          <w:tcPr>
            <w:tcW w:w="611" w:type="pct"/>
            <w:shd w:val="clear" w:color="auto" w:fill="B8CCE4" w:themeFill="accent1" w:themeFillTint="66"/>
          </w:tcPr>
          <w:p w14:paraId="38C1E187" w14:textId="10BEE9B9" w:rsidR="008C0A35" w:rsidRPr="0035502F" w:rsidRDefault="003F51AF" w:rsidP="00E91717">
            <w:pPr>
              <w:pStyle w:val="COMTabletext"/>
              <w:jc w:val="center"/>
            </w:pPr>
            <w:r w:rsidRPr="003F51AF">
              <w:rPr>
                <w:rFonts w:hint="eastAsia"/>
                <w:color w:val="000000"/>
                <w:w w:val="15"/>
                <w:shd w:val="solid" w:color="000000" w:fill="000000"/>
                <w:fitText w:val="70" w:id="-694959868"/>
                <w14:textFill>
                  <w14:solidFill>
                    <w14:srgbClr w14:val="000000">
                      <w14:alpha w14:val="100000"/>
                    </w14:srgbClr>
                  </w14:solidFill>
                </w14:textFill>
              </w:rPr>
              <w:t xml:space="preserve">　</w:t>
            </w:r>
            <w:proofErr w:type="gramStart"/>
            <w:r w:rsidRPr="003F51AF">
              <w:rPr>
                <w:color w:val="000000"/>
                <w:w w:val="15"/>
                <w:shd w:val="solid" w:color="000000" w:fill="000000"/>
                <w:fitText w:val="70" w:id="-694959868"/>
                <w14:textFill>
                  <w14:solidFill>
                    <w14:srgbClr w14:val="000000">
                      <w14:alpha w14:val="100000"/>
                    </w14:srgbClr>
                  </w14:solidFill>
                </w14:textFill>
              </w:rPr>
              <w:t>|</w:t>
            </w:r>
            <w:r w:rsidRPr="003F51AF">
              <w:rPr>
                <w:rFonts w:hint="eastAsia"/>
                <w:color w:val="000000"/>
                <w:spacing w:val="4"/>
                <w:w w:val="15"/>
                <w:shd w:val="solid" w:color="000000" w:fill="000000"/>
                <w:fitText w:val="70" w:id="-694959868"/>
                <w14:textFill>
                  <w14:solidFill>
                    <w14:srgbClr w14:val="000000">
                      <w14:alpha w14:val="100000"/>
                    </w14:srgbClr>
                  </w14:solidFill>
                </w14:textFill>
              </w:rPr>
              <w:t xml:space="preserve">　</w:t>
            </w:r>
            <w:r w:rsidR="00E93737">
              <w:rPr>
                <w:vertAlign w:val="superscript"/>
              </w:rPr>
              <w:t xml:space="preserve"> 1</w:t>
            </w:r>
            <w:proofErr w:type="gramEnd"/>
          </w:p>
        </w:tc>
        <w:tc>
          <w:tcPr>
            <w:tcW w:w="611" w:type="pct"/>
            <w:shd w:val="clear" w:color="auto" w:fill="B8CCE4" w:themeFill="accent1" w:themeFillTint="66"/>
          </w:tcPr>
          <w:p w14:paraId="00F5D662" w14:textId="3317FA60" w:rsidR="008C0A35" w:rsidRPr="0035502F" w:rsidRDefault="003F51AF" w:rsidP="00E91717">
            <w:pPr>
              <w:pStyle w:val="COMTabletext"/>
              <w:jc w:val="center"/>
            </w:pPr>
            <w:r w:rsidRPr="003F51AF">
              <w:rPr>
                <w:rFonts w:hint="eastAsia"/>
                <w:color w:val="000000"/>
                <w:w w:val="15"/>
                <w:shd w:val="solid" w:color="000000" w:fill="000000"/>
                <w:fitText w:val="70" w:id="-694959867"/>
                <w14:textFill>
                  <w14:solidFill>
                    <w14:srgbClr w14:val="000000">
                      <w14:alpha w14:val="100000"/>
                    </w14:srgbClr>
                  </w14:solidFill>
                </w14:textFill>
              </w:rPr>
              <w:t xml:space="preserve">　</w:t>
            </w:r>
            <w:proofErr w:type="gramStart"/>
            <w:r w:rsidRPr="003F51AF">
              <w:rPr>
                <w:color w:val="000000"/>
                <w:w w:val="15"/>
                <w:shd w:val="solid" w:color="000000" w:fill="000000"/>
                <w:fitText w:val="70" w:id="-694959867"/>
                <w14:textFill>
                  <w14:solidFill>
                    <w14:srgbClr w14:val="000000">
                      <w14:alpha w14:val="100000"/>
                    </w14:srgbClr>
                  </w14:solidFill>
                </w14:textFill>
              </w:rPr>
              <w:t>|</w:t>
            </w:r>
            <w:r w:rsidRPr="003F51AF">
              <w:rPr>
                <w:rFonts w:hint="eastAsia"/>
                <w:color w:val="000000"/>
                <w:spacing w:val="4"/>
                <w:w w:val="15"/>
                <w:shd w:val="solid" w:color="000000" w:fill="000000"/>
                <w:fitText w:val="70" w:id="-694959867"/>
                <w14:textFill>
                  <w14:solidFill>
                    <w14:srgbClr w14:val="000000">
                      <w14:alpha w14:val="100000"/>
                    </w14:srgbClr>
                  </w14:solidFill>
                </w14:textFill>
              </w:rPr>
              <w:t xml:space="preserve">　</w:t>
            </w:r>
            <w:r w:rsidR="00E93737">
              <w:rPr>
                <w:vertAlign w:val="superscript"/>
              </w:rPr>
              <w:t xml:space="preserve"> 1</w:t>
            </w:r>
            <w:proofErr w:type="gramEnd"/>
          </w:p>
        </w:tc>
      </w:tr>
      <w:tr w:rsidR="00E91717" w:rsidRPr="0035502F" w14:paraId="746CCDBE" w14:textId="77777777" w:rsidTr="002A3BF4">
        <w:tc>
          <w:tcPr>
            <w:tcW w:w="1334" w:type="pct"/>
            <w:shd w:val="clear" w:color="auto" w:fill="B8CCE4" w:themeFill="accent1" w:themeFillTint="66"/>
            <w:vAlign w:val="center"/>
          </w:tcPr>
          <w:p w14:paraId="03B4C2BB" w14:textId="15BEDC5C" w:rsidR="00E91717" w:rsidRPr="0035502F" w:rsidRDefault="00E91717" w:rsidP="00E91717">
            <w:pPr>
              <w:pStyle w:val="COMTabletext"/>
            </w:pPr>
            <w:r w:rsidRPr="0035502F">
              <w:t>Net cost to PBS/RPBS</w:t>
            </w:r>
          </w:p>
        </w:tc>
        <w:tc>
          <w:tcPr>
            <w:tcW w:w="611" w:type="pct"/>
            <w:shd w:val="clear" w:color="auto" w:fill="B8CCE4" w:themeFill="accent1" w:themeFillTint="66"/>
          </w:tcPr>
          <w:p w14:paraId="489F2BC4" w14:textId="2A236056" w:rsidR="00E91717" w:rsidRPr="0035502F" w:rsidRDefault="00E91717" w:rsidP="00E91717">
            <w:pPr>
              <w:pStyle w:val="COMTabletext"/>
              <w:jc w:val="center"/>
            </w:pPr>
            <w:r w:rsidRPr="0035502F">
              <w:t>$</w:t>
            </w:r>
            <w:r w:rsidR="003F51AF" w:rsidRPr="003F51AF">
              <w:rPr>
                <w:rFonts w:hint="eastAsia"/>
                <w:color w:val="000000"/>
                <w:w w:val="24"/>
                <w:shd w:val="solid" w:color="000000" w:fill="000000"/>
                <w:fitText w:val="110" w:id="-694959866"/>
                <w14:textFill>
                  <w14:solidFill>
                    <w14:srgbClr w14:val="000000">
                      <w14:alpha w14:val="100000"/>
                    </w14:srgbClr>
                  </w14:solidFill>
                </w14:textFill>
              </w:rPr>
              <w:t xml:space="preserve">　</w:t>
            </w:r>
            <w:proofErr w:type="gramStart"/>
            <w:r w:rsidR="003F51AF" w:rsidRPr="003F51AF">
              <w:rPr>
                <w:color w:val="000000"/>
                <w:w w:val="24"/>
                <w:shd w:val="solid" w:color="000000" w:fill="000000"/>
                <w:fitText w:val="110" w:id="-694959866"/>
                <w14:textFill>
                  <w14:solidFill>
                    <w14:srgbClr w14:val="000000">
                      <w14:alpha w14:val="100000"/>
                    </w14:srgbClr>
                  </w14:solidFill>
                </w14:textFill>
              </w:rPr>
              <w:t>|</w:t>
            </w:r>
            <w:r w:rsidR="003F51AF" w:rsidRPr="003F51AF">
              <w:rPr>
                <w:rFonts w:hint="eastAsia"/>
                <w:color w:val="000000"/>
                <w:spacing w:val="6"/>
                <w:w w:val="24"/>
                <w:shd w:val="solid" w:color="000000" w:fill="000000"/>
                <w:fitText w:val="110" w:id="-694959866"/>
                <w14:textFill>
                  <w14:solidFill>
                    <w14:srgbClr w14:val="000000">
                      <w14:alpha w14:val="100000"/>
                    </w14:srgbClr>
                  </w14:solidFill>
                </w14:textFill>
              </w:rPr>
              <w:t xml:space="preserve">　</w:t>
            </w:r>
            <w:r w:rsidR="00EF1741" w:rsidRPr="0035502F">
              <w:t xml:space="preserve"> </w:t>
            </w:r>
            <w:r w:rsidR="00EF1741">
              <w:rPr>
                <w:vertAlign w:val="superscript"/>
              </w:rPr>
              <w:t>8</w:t>
            </w:r>
            <w:proofErr w:type="gramEnd"/>
          </w:p>
        </w:tc>
        <w:tc>
          <w:tcPr>
            <w:tcW w:w="611" w:type="pct"/>
            <w:shd w:val="clear" w:color="auto" w:fill="B8CCE4" w:themeFill="accent1" w:themeFillTint="66"/>
          </w:tcPr>
          <w:p w14:paraId="1D5EE203" w14:textId="071B28BF" w:rsidR="00E91717" w:rsidRPr="0035502F" w:rsidRDefault="00E91717" w:rsidP="00E91717">
            <w:pPr>
              <w:pStyle w:val="COMTabletext"/>
              <w:jc w:val="center"/>
            </w:pPr>
            <w:r w:rsidRPr="0035502F">
              <w:t>$</w:t>
            </w:r>
            <w:r w:rsidR="003F51AF" w:rsidRPr="003F51AF">
              <w:rPr>
                <w:rFonts w:hint="eastAsia"/>
                <w:color w:val="000000"/>
                <w:w w:val="24"/>
                <w:shd w:val="solid" w:color="000000" w:fill="000000"/>
                <w:fitText w:val="110" w:id="-694959865"/>
                <w14:textFill>
                  <w14:solidFill>
                    <w14:srgbClr w14:val="000000">
                      <w14:alpha w14:val="100000"/>
                    </w14:srgbClr>
                  </w14:solidFill>
                </w14:textFill>
              </w:rPr>
              <w:t xml:space="preserve">　</w:t>
            </w:r>
            <w:proofErr w:type="gramStart"/>
            <w:r w:rsidR="003F51AF" w:rsidRPr="003F51AF">
              <w:rPr>
                <w:color w:val="000000"/>
                <w:w w:val="24"/>
                <w:shd w:val="solid" w:color="000000" w:fill="000000"/>
                <w:fitText w:val="110" w:id="-694959865"/>
                <w14:textFill>
                  <w14:solidFill>
                    <w14:srgbClr w14:val="000000">
                      <w14:alpha w14:val="100000"/>
                    </w14:srgbClr>
                  </w14:solidFill>
                </w14:textFill>
              </w:rPr>
              <w:t>|</w:t>
            </w:r>
            <w:r w:rsidR="003F51AF" w:rsidRPr="003F51AF">
              <w:rPr>
                <w:rFonts w:hint="eastAsia"/>
                <w:color w:val="000000"/>
                <w:spacing w:val="6"/>
                <w:w w:val="24"/>
                <w:shd w:val="solid" w:color="000000" w:fill="000000"/>
                <w:fitText w:val="110" w:id="-694959865"/>
                <w14:textFill>
                  <w14:solidFill>
                    <w14:srgbClr w14:val="000000">
                      <w14:alpha w14:val="100000"/>
                    </w14:srgbClr>
                  </w14:solidFill>
                </w14:textFill>
              </w:rPr>
              <w:t xml:space="preserve">　</w:t>
            </w:r>
            <w:r w:rsidR="00EF1741" w:rsidRPr="0035502F">
              <w:t xml:space="preserve"> </w:t>
            </w:r>
            <w:r w:rsidR="00EF1741">
              <w:rPr>
                <w:vertAlign w:val="superscript"/>
              </w:rPr>
              <w:t>8</w:t>
            </w:r>
            <w:proofErr w:type="gramEnd"/>
          </w:p>
        </w:tc>
        <w:tc>
          <w:tcPr>
            <w:tcW w:w="611" w:type="pct"/>
            <w:shd w:val="clear" w:color="auto" w:fill="B8CCE4" w:themeFill="accent1" w:themeFillTint="66"/>
          </w:tcPr>
          <w:p w14:paraId="5C113E77" w14:textId="66CCE6E9" w:rsidR="00E91717" w:rsidRPr="0035502F" w:rsidRDefault="00E91717" w:rsidP="00E91717">
            <w:pPr>
              <w:pStyle w:val="COMTabletext"/>
              <w:jc w:val="center"/>
            </w:pPr>
            <w:r w:rsidRPr="0035502F">
              <w:t>$</w:t>
            </w:r>
            <w:r w:rsidR="003F51AF" w:rsidRPr="003F51AF">
              <w:rPr>
                <w:rFonts w:hint="eastAsia"/>
                <w:color w:val="000000"/>
                <w:w w:val="24"/>
                <w:shd w:val="solid" w:color="000000" w:fill="000000"/>
                <w:fitText w:val="110" w:id="-694959864"/>
                <w14:textFill>
                  <w14:solidFill>
                    <w14:srgbClr w14:val="000000">
                      <w14:alpha w14:val="100000"/>
                    </w14:srgbClr>
                  </w14:solidFill>
                </w14:textFill>
              </w:rPr>
              <w:t xml:space="preserve">　</w:t>
            </w:r>
            <w:proofErr w:type="gramStart"/>
            <w:r w:rsidR="003F51AF" w:rsidRPr="003F51AF">
              <w:rPr>
                <w:color w:val="000000"/>
                <w:w w:val="24"/>
                <w:shd w:val="solid" w:color="000000" w:fill="000000"/>
                <w:fitText w:val="110" w:id="-694959864"/>
                <w14:textFill>
                  <w14:solidFill>
                    <w14:srgbClr w14:val="000000">
                      <w14:alpha w14:val="100000"/>
                    </w14:srgbClr>
                  </w14:solidFill>
                </w14:textFill>
              </w:rPr>
              <w:t>|</w:t>
            </w:r>
            <w:r w:rsidR="003F51AF" w:rsidRPr="003F51AF">
              <w:rPr>
                <w:rFonts w:hint="eastAsia"/>
                <w:color w:val="000000"/>
                <w:spacing w:val="6"/>
                <w:w w:val="24"/>
                <w:shd w:val="solid" w:color="000000" w:fill="000000"/>
                <w:fitText w:val="110" w:id="-694959864"/>
                <w14:textFill>
                  <w14:solidFill>
                    <w14:srgbClr w14:val="000000">
                      <w14:alpha w14:val="100000"/>
                    </w14:srgbClr>
                  </w14:solidFill>
                </w14:textFill>
              </w:rPr>
              <w:t xml:space="preserve">　</w:t>
            </w:r>
            <w:r w:rsidR="00EF1741" w:rsidRPr="0035502F">
              <w:t xml:space="preserve"> </w:t>
            </w:r>
            <w:r w:rsidR="00EF1741">
              <w:rPr>
                <w:vertAlign w:val="superscript"/>
              </w:rPr>
              <w:t>8</w:t>
            </w:r>
            <w:proofErr w:type="gramEnd"/>
          </w:p>
        </w:tc>
        <w:tc>
          <w:tcPr>
            <w:tcW w:w="611" w:type="pct"/>
            <w:shd w:val="clear" w:color="auto" w:fill="B8CCE4" w:themeFill="accent1" w:themeFillTint="66"/>
          </w:tcPr>
          <w:p w14:paraId="1C964FF9" w14:textId="38A481E6" w:rsidR="00E91717" w:rsidRPr="0035502F" w:rsidRDefault="00E91717" w:rsidP="00E91717">
            <w:pPr>
              <w:pStyle w:val="COMTabletext"/>
              <w:jc w:val="center"/>
            </w:pPr>
            <w:r w:rsidRPr="0035502F">
              <w:t>$</w:t>
            </w:r>
            <w:r w:rsidR="003F51AF" w:rsidRPr="003F51AF">
              <w:rPr>
                <w:rFonts w:hint="eastAsia"/>
                <w:color w:val="000000"/>
                <w:w w:val="24"/>
                <w:shd w:val="solid" w:color="000000" w:fill="000000"/>
                <w:fitText w:val="110" w:id="-694959863"/>
                <w14:textFill>
                  <w14:solidFill>
                    <w14:srgbClr w14:val="000000">
                      <w14:alpha w14:val="100000"/>
                    </w14:srgbClr>
                  </w14:solidFill>
                </w14:textFill>
              </w:rPr>
              <w:t xml:space="preserve">　</w:t>
            </w:r>
            <w:proofErr w:type="gramStart"/>
            <w:r w:rsidR="003F51AF" w:rsidRPr="003F51AF">
              <w:rPr>
                <w:color w:val="000000"/>
                <w:w w:val="24"/>
                <w:shd w:val="solid" w:color="000000" w:fill="000000"/>
                <w:fitText w:val="110" w:id="-694959863"/>
                <w14:textFill>
                  <w14:solidFill>
                    <w14:srgbClr w14:val="000000">
                      <w14:alpha w14:val="100000"/>
                    </w14:srgbClr>
                  </w14:solidFill>
                </w14:textFill>
              </w:rPr>
              <w:t>|</w:t>
            </w:r>
            <w:r w:rsidR="003F51AF" w:rsidRPr="003F51AF">
              <w:rPr>
                <w:rFonts w:hint="eastAsia"/>
                <w:color w:val="000000"/>
                <w:spacing w:val="6"/>
                <w:w w:val="24"/>
                <w:shd w:val="solid" w:color="000000" w:fill="000000"/>
                <w:fitText w:val="110" w:id="-694959863"/>
                <w14:textFill>
                  <w14:solidFill>
                    <w14:srgbClr w14:val="000000">
                      <w14:alpha w14:val="100000"/>
                    </w14:srgbClr>
                  </w14:solidFill>
                </w14:textFill>
              </w:rPr>
              <w:t xml:space="preserve">　</w:t>
            </w:r>
            <w:r w:rsidR="00EF1741" w:rsidRPr="0035502F">
              <w:t xml:space="preserve"> </w:t>
            </w:r>
            <w:r w:rsidR="00EF1741">
              <w:rPr>
                <w:vertAlign w:val="superscript"/>
              </w:rPr>
              <w:t>8</w:t>
            </w:r>
            <w:proofErr w:type="gramEnd"/>
          </w:p>
        </w:tc>
        <w:tc>
          <w:tcPr>
            <w:tcW w:w="611" w:type="pct"/>
            <w:shd w:val="clear" w:color="auto" w:fill="B8CCE4" w:themeFill="accent1" w:themeFillTint="66"/>
          </w:tcPr>
          <w:p w14:paraId="4D86B6C8" w14:textId="0E595088" w:rsidR="00E91717" w:rsidRPr="0035502F" w:rsidRDefault="00E91717" w:rsidP="00E91717">
            <w:pPr>
              <w:pStyle w:val="COMTabletext"/>
              <w:jc w:val="center"/>
            </w:pPr>
            <w:r w:rsidRPr="0035502F">
              <w:t>$</w:t>
            </w:r>
            <w:r w:rsidR="003F51AF" w:rsidRPr="003F51AF">
              <w:rPr>
                <w:rFonts w:hint="eastAsia"/>
                <w:color w:val="000000"/>
                <w:w w:val="24"/>
                <w:shd w:val="solid" w:color="000000" w:fill="000000"/>
                <w:fitText w:val="110" w:id="-694959862"/>
                <w14:textFill>
                  <w14:solidFill>
                    <w14:srgbClr w14:val="000000">
                      <w14:alpha w14:val="100000"/>
                    </w14:srgbClr>
                  </w14:solidFill>
                </w14:textFill>
              </w:rPr>
              <w:t xml:space="preserve">　</w:t>
            </w:r>
            <w:proofErr w:type="gramStart"/>
            <w:r w:rsidR="003F51AF" w:rsidRPr="003F51AF">
              <w:rPr>
                <w:color w:val="000000"/>
                <w:w w:val="24"/>
                <w:shd w:val="solid" w:color="000000" w:fill="000000"/>
                <w:fitText w:val="110" w:id="-694959862"/>
                <w14:textFill>
                  <w14:solidFill>
                    <w14:srgbClr w14:val="000000">
                      <w14:alpha w14:val="100000"/>
                    </w14:srgbClr>
                  </w14:solidFill>
                </w14:textFill>
              </w:rPr>
              <w:t>|</w:t>
            </w:r>
            <w:r w:rsidR="003F51AF" w:rsidRPr="003F51AF">
              <w:rPr>
                <w:rFonts w:hint="eastAsia"/>
                <w:color w:val="000000"/>
                <w:spacing w:val="6"/>
                <w:w w:val="24"/>
                <w:shd w:val="solid" w:color="000000" w:fill="000000"/>
                <w:fitText w:val="110" w:id="-694959862"/>
                <w14:textFill>
                  <w14:solidFill>
                    <w14:srgbClr w14:val="000000">
                      <w14:alpha w14:val="100000"/>
                    </w14:srgbClr>
                  </w14:solidFill>
                </w14:textFill>
              </w:rPr>
              <w:t xml:space="preserve">　</w:t>
            </w:r>
            <w:r w:rsidR="00EF1741" w:rsidRPr="0035502F">
              <w:t xml:space="preserve"> </w:t>
            </w:r>
            <w:r w:rsidR="00EF1741">
              <w:rPr>
                <w:vertAlign w:val="superscript"/>
              </w:rPr>
              <w:t>8</w:t>
            </w:r>
            <w:proofErr w:type="gramEnd"/>
          </w:p>
        </w:tc>
        <w:tc>
          <w:tcPr>
            <w:tcW w:w="611" w:type="pct"/>
            <w:shd w:val="clear" w:color="auto" w:fill="B8CCE4" w:themeFill="accent1" w:themeFillTint="66"/>
          </w:tcPr>
          <w:p w14:paraId="441F00C1" w14:textId="142296E1" w:rsidR="00E91717" w:rsidRPr="0035502F" w:rsidRDefault="00E91717" w:rsidP="00E91717">
            <w:pPr>
              <w:pStyle w:val="COMTabletext"/>
              <w:jc w:val="center"/>
            </w:pPr>
            <w:r w:rsidRPr="0035502F">
              <w:t>$</w:t>
            </w:r>
            <w:r w:rsidR="003F51AF" w:rsidRPr="003F51AF">
              <w:rPr>
                <w:rFonts w:hint="eastAsia"/>
                <w:color w:val="000000"/>
                <w:w w:val="24"/>
                <w:shd w:val="solid" w:color="000000" w:fill="000000"/>
                <w:fitText w:val="110" w:id="-694959861"/>
                <w14:textFill>
                  <w14:solidFill>
                    <w14:srgbClr w14:val="000000">
                      <w14:alpha w14:val="100000"/>
                    </w14:srgbClr>
                  </w14:solidFill>
                </w14:textFill>
              </w:rPr>
              <w:t xml:space="preserve">　</w:t>
            </w:r>
            <w:proofErr w:type="gramStart"/>
            <w:r w:rsidR="003F51AF" w:rsidRPr="003F51AF">
              <w:rPr>
                <w:color w:val="000000"/>
                <w:w w:val="24"/>
                <w:shd w:val="solid" w:color="000000" w:fill="000000"/>
                <w:fitText w:val="110" w:id="-694959861"/>
                <w14:textFill>
                  <w14:solidFill>
                    <w14:srgbClr w14:val="000000">
                      <w14:alpha w14:val="100000"/>
                    </w14:srgbClr>
                  </w14:solidFill>
                </w14:textFill>
              </w:rPr>
              <w:t>|</w:t>
            </w:r>
            <w:r w:rsidR="003F51AF" w:rsidRPr="003F51AF">
              <w:rPr>
                <w:rFonts w:hint="eastAsia"/>
                <w:color w:val="000000"/>
                <w:spacing w:val="6"/>
                <w:w w:val="24"/>
                <w:shd w:val="solid" w:color="000000" w:fill="000000"/>
                <w:fitText w:val="110" w:id="-694959861"/>
                <w14:textFill>
                  <w14:solidFill>
                    <w14:srgbClr w14:val="000000">
                      <w14:alpha w14:val="100000"/>
                    </w14:srgbClr>
                  </w14:solidFill>
                </w14:textFill>
              </w:rPr>
              <w:t xml:space="preserve">　</w:t>
            </w:r>
            <w:r w:rsidR="00EF1741" w:rsidRPr="0035502F">
              <w:t xml:space="preserve"> </w:t>
            </w:r>
            <w:r w:rsidR="00EF1741">
              <w:rPr>
                <w:vertAlign w:val="superscript"/>
              </w:rPr>
              <w:t>9</w:t>
            </w:r>
            <w:proofErr w:type="gramEnd"/>
          </w:p>
        </w:tc>
      </w:tr>
    </w:tbl>
    <w:p w14:paraId="2A8F33A4" w14:textId="5E3EF1C1" w:rsidR="000E31F3" w:rsidRDefault="00620C25" w:rsidP="007E51D5">
      <w:pPr>
        <w:pStyle w:val="COMTablefooter"/>
      </w:pPr>
      <w:r w:rsidRPr="006E0FA2">
        <w:t xml:space="preserve">Source: </w:t>
      </w:r>
      <w:r w:rsidR="006104B2">
        <w:t>Section 4 financial implications Excel workbook; Table 4.4.1, p150 of the July 2024 elranatamab commentary.</w:t>
      </w:r>
      <w:r w:rsidR="00361283">
        <w:t xml:space="preserve"> Includes correction of error in the number of elranatamab scripts.</w:t>
      </w:r>
    </w:p>
    <w:p w14:paraId="7473AEDC" w14:textId="6B1C8A84" w:rsidR="006C7767" w:rsidRDefault="000E31F3" w:rsidP="007E51D5">
      <w:pPr>
        <w:pStyle w:val="COMTablefooter"/>
      </w:pPr>
      <w:r>
        <w:t>Abbreviations: Cd, carfilzomib + dexamethasone.</w:t>
      </w:r>
    </w:p>
    <w:p w14:paraId="65E99FBE" w14:textId="03F5EA16" w:rsidR="00E466F3" w:rsidRDefault="006C7767" w:rsidP="00EA6B23">
      <w:pPr>
        <w:pStyle w:val="COMTablefooter"/>
        <w:spacing w:after="0"/>
        <w:contextualSpacing w:val="0"/>
      </w:pPr>
      <w:r>
        <w:rPr>
          <w:vertAlign w:val="superscript"/>
        </w:rPr>
        <w:t>a</w:t>
      </w:r>
      <w:r>
        <w:t xml:space="preserve"> Includes </w:t>
      </w:r>
      <w:r w:rsidR="002B3B10">
        <w:t xml:space="preserve">&lt; 500 </w:t>
      </w:r>
      <w:r>
        <w:t>grandfathered patients in Year 1.</w:t>
      </w:r>
    </w:p>
    <w:p w14:paraId="5F2BB157" w14:textId="0C21F183" w:rsidR="008B3D9B" w:rsidRDefault="00A82AE4" w:rsidP="002B3B10">
      <w:pPr>
        <w:pStyle w:val="COMTablefooter"/>
        <w:spacing w:after="0"/>
      </w:pPr>
      <w:r>
        <w:rPr>
          <w:vertAlign w:val="superscript"/>
        </w:rPr>
        <w:t>b</w:t>
      </w:r>
      <w:r w:rsidR="008B3D9B" w:rsidRPr="008B3D9B">
        <w:t xml:space="preserve"> </w:t>
      </w:r>
      <w:r w:rsidR="008B3D9B">
        <w:t>I</w:t>
      </w:r>
      <w:r w:rsidR="008B3D9B" w:rsidRPr="008B3D9B">
        <w:t xml:space="preserve">ncludes </w:t>
      </w:r>
      <w:r w:rsidR="002B3B10">
        <w:t xml:space="preserve">&lt; 500 </w:t>
      </w:r>
      <w:r w:rsidR="00A16F4C">
        <w:t>grandfathered patients in Year 1</w:t>
      </w:r>
    </w:p>
    <w:p w14:paraId="473F216B" w14:textId="77777777" w:rsidR="002B3B10" w:rsidRPr="009A6D58" w:rsidRDefault="002B3B10" w:rsidP="002B3B10">
      <w:pPr>
        <w:rPr>
          <w:rFonts w:ascii="Arial Narrow" w:hAnsi="Arial Narrow"/>
          <w:i/>
          <w:sz w:val="18"/>
          <w:szCs w:val="18"/>
        </w:rPr>
      </w:pPr>
      <w:r w:rsidRPr="00012555">
        <w:rPr>
          <w:rFonts w:ascii="Arial Narrow" w:hAnsi="Arial Narrow"/>
          <w:iCs/>
          <w:sz w:val="18"/>
          <w:szCs w:val="18"/>
        </w:rPr>
        <w:t>The redacted values correspond to the following ranges</w:t>
      </w:r>
      <w:r w:rsidRPr="009A6D58">
        <w:rPr>
          <w:rFonts w:ascii="Arial Narrow" w:hAnsi="Arial Narrow"/>
          <w:i/>
          <w:sz w:val="18"/>
          <w:szCs w:val="18"/>
        </w:rPr>
        <w:t xml:space="preserve">: </w:t>
      </w:r>
    </w:p>
    <w:p w14:paraId="5BF1D392" w14:textId="3179B889" w:rsidR="002B3B10" w:rsidRPr="00E7494F" w:rsidRDefault="002B3B10" w:rsidP="002B3B10">
      <w:pPr>
        <w:rPr>
          <w:rFonts w:ascii="Arial Narrow" w:hAnsi="Arial Narrow"/>
          <w:iCs/>
          <w:sz w:val="18"/>
          <w:szCs w:val="18"/>
        </w:rPr>
      </w:pPr>
      <w:r w:rsidRPr="00E7494F">
        <w:rPr>
          <w:rFonts w:ascii="Arial Narrow" w:hAnsi="Arial Narrow"/>
          <w:iCs/>
          <w:sz w:val="18"/>
          <w:szCs w:val="18"/>
          <w:vertAlign w:val="superscript"/>
        </w:rPr>
        <w:t>1</w:t>
      </w:r>
      <w:r w:rsidRPr="00E7494F">
        <w:rPr>
          <w:rFonts w:ascii="Arial Narrow" w:hAnsi="Arial Narrow"/>
          <w:iCs/>
          <w:sz w:val="18"/>
          <w:szCs w:val="18"/>
        </w:rPr>
        <w:t xml:space="preserve"> </w:t>
      </w:r>
      <w:r w:rsidR="00A813A1" w:rsidRPr="00E7494F">
        <w:rPr>
          <w:rFonts w:ascii="Arial Narrow" w:hAnsi="Arial Narrow"/>
          <w:iCs/>
          <w:sz w:val="18"/>
          <w:szCs w:val="18"/>
        </w:rPr>
        <w:t>&lt; 500</w:t>
      </w:r>
    </w:p>
    <w:p w14:paraId="674E6FBD" w14:textId="6A5B79D5" w:rsidR="002B3B10" w:rsidRPr="00E7494F" w:rsidRDefault="002B3B10" w:rsidP="002B3B10">
      <w:pPr>
        <w:rPr>
          <w:rFonts w:ascii="Arial Narrow" w:hAnsi="Arial Narrow"/>
          <w:iCs/>
          <w:sz w:val="18"/>
          <w:szCs w:val="18"/>
        </w:rPr>
      </w:pPr>
      <w:r w:rsidRPr="00E7494F">
        <w:rPr>
          <w:rFonts w:ascii="Arial Narrow" w:hAnsi="Arial Narrow"/>
          <w:iCs/>
          <w:sz w:val="18"/>
          <w:szCs w:val="18"/>
          <w:vertAlign w:val="superscript"/>
        </w:rPr>
        <w:t>2</w:t>
      </w:r>
      <w:r w:rsidRPr="00E7494F">
        <w:rPr>
          <w:rFonts w:ascii="Arial Narrow" w:hAnsi="Arial Narrow"/>
          <w:iCs/>
          <w:sz w:val="18"/>
          <w:szCs w:val="18"/>
        </w:rPr>
        <w:t xml:space="preserve"> </w:t>
      </w:r>
      <w:r w:rsidR="006C1E5D" w:rsidRPr="00E7494F">
        <w:rPr>
          <w:rFonts w:ascii="Arial Narrow" w:hAnsi="Arial Narrow"/>
          <w:iCs/>
          <w:sz w:val="18"/>
          <w:szCs w:val="18"/>
        </w:rPr>
        <w:t>5,000 to &lt; 10,000</w:t>
      </w:r>
    </w:p>
    <w:p w14:paraId="47218E7C" w14:textId="3B9B4A8D" w:rsidR="002B3B10" w:rsidRPr="00E7494F" w:rsidRDefault="002B3B10" w:rsidP="002B3B10">
      <w:pPr>
        <w:rPr>
          <w:rFonts w:ascii="Arial Narrow" w:hAnsi="Arial Narrow"/>
          <w:iCs/>
          <w:sz w:val="18"/>
          <w:szCs w:val="18"/>
        </w:rPr>
      </w:pPr>
      <w:r w:rsidRPr="00E7494F">
        <w:rPr>
          <w:rFonts w:ascii="Arial Narrow" w:hAnsi="Arial Narrow"/>
          <w:iCs/>
          <w:sz w:val="18"/>
          <w:szCs w:val="18"/>
          <w:vertAlign w:val="superscript"/>
        </w:rPr>
        <w:t>3</w:t>
      </w:r>
      <w:r w:rsidRPr="00E7494F">
        <w:rPr>
          <w:rFonts w:ascii="Arial Narrow" w:hAnsi="Arial Narrow"/>
          <w:iCs/>
          <w:sz w:val="18"/>
          <w:szCs w:val="18"/>
        </w:rPr>
        <w:t xml:space="preserve"> </w:t>
      </w:r>
      <w:r w:rsidR="00084BA6" w:rsidRPr="00E7494F">
        <w:rPr>
          <w:rFonts w:ascii="Arial Narrow" w:hAnsi="Arial Narrow"/>
          <w:iCs/>
          <w:sz w:val="18"/>
          <w:szCs w:val="18"/>
        </w:rPr>
        <w:t>10,000 to &lt; 20,000</w:t>
      </w:r>
    </w:p>
    <w:p w14:paraId="6D64094E" w14:textId="540BDAF5" w:rsidR="002B3B10" w:rsidRPr="00E7494F" w:rsidRDefault="002B3B10" w:rsidP="002B3B10">
      <w:pPr>
        <w:rPr>
          <w:rFonts w:ascii="Arial Narrow" w:hAnsi="Arial Narrow"/>
          <w:iCs/>
          <w:sz w:val="18"/>
          <w:szCs w:val="18"/>
        </w:rPr>
      </w:pPr>
      <w:r w:rsidRPr="00E7494F">
        <w:rPr>
          <w:rFonts w:ascii="Arial Narrow" w:hAnsi="Arial Narrow"/>
          <w:iCs/>
          <w:sz w:val="18"/>
          <w:szCs w:val="18"/>
          <w:vertAlign w:val="superscript"/>
        </w:rPr>
        <w:t>4</w:t>
      </w:r>
      <w:r w:rsidRPr="00E7494F">
        <w:rPr>
          <w:rFonts w:ascii="Arial Narrow" w:hAnsi="Arial Narrow"/>
          <w:iCs/>
          <w:sz w:val="18"/>
          <w:szCs w:val="18"/>
        </w:rPr>
        <w:t xml:space="preserve"> </w:t>
      </w:r>
      <w:r w:rsidR="009F4B14" w:rsidRPr="00E7494F">
        <w:rPr>
          <w:rFonts w:ascii="Arial Narrow" w:hAnsi="Arial Narrow"/>
          <w:iCs/>
          <w:sz w:val="18"/>
          <w:szCs w:val="18"/>
        </w:rPr>
        <w:t>$30 million to &lt; $40 million</w:t>
      </w:r>
    </w:p>
    <w:p w14:paraId="31C5E282" w14:textId="193C144A" w:rsidR="002B3B10" w:rsidRPr="00E7494F" w:rsidRDefault="002B3B10" w:rsidP="002B3B10">
      <w:pPr>
        <w:rPr>
          <w:rFonts w:ascii="Arial Narrow" w:hAnsi="Arial Narrow"/>
          <w:iCs/>
          <w:sz w:val="18"/>
          <w:szCs w:val="18"/>
        </w:rPr>
      </w:pPr>
      <w:r w:rsidRPr="00E7494F">
        <w:rPr>
          <w:rFonts w:ascii="Arial Narrow" w:hAnsi="Arial Narrow"/>
          <w:iCs/>
          <w:sz w:val="18"/>
          <w:szCs w:val="18"/>
          <w:vertAlign w:val="superscript"/>
        </w:rPr>
        <w:t>5</w:t>
      </w:r>
      <w:r w:rsidRPr="00E7494F">
        <w:rPr>
          <w:rFonts w:ascii="Arial Narrow" w:hAnsi="Arial Narrow"/>
          <w:iCs/>
          <w:sz w:val="18"/>
          <w:szCs w:val="18"/>
        </w:rPr>
        <w:t xml:space="preserve"> </w:t>
      </w:r>
      <w:r w:rsidR="0001612A" w:rsidRPr="00E7494F">
        <w:rPr>
          <w:rFonts w:ascii="Arial Narrow" w:hAnsi="Arial Narrow"/>
          <w:iCs/>
          <w:sz w:val="18"/>
          <w:szCs w:val="18"/>
        </w:rPr>
        <w:t>$20 million to &lt; $30 million</w:t>
      </w:r>
    </w:p>
    <w:p w14:paraId="0F8F61BB" w14:textId="74B038D9" w:rsidR="002B3B10" w:rsidRPr="00E7494F" w:rsidRDefault="002B3B10" w:rsidP="002B3B10">
      <w:pPr>
        <w:rPr>
          <w:rFonts w:ascii="Arial Narrow" w:hAnsi="Arial Narrow"/>
          <w:iCs/>
          <w:sz w:val="18"/>
          <w:szCs w:val="18"/>
        </w:rPr>
      </w:pPr>
      <w:r w:rsidRPr="00E7494F">
        <w:rPr>
          <w:rFonts w:ascii="Arial Narrow" w:hAnsi="Arial Narrow"/>
          <w:iCs/>
          <w:sz w:val="18"/>
          <w:szCs w:val="18"/>
          <w:vertAlign w:val="superscript"/>
        </w:rPr>
        <w:t>6</w:t>
      </w:r>
      <w:r w:rsidRPr="00E7494F">
        <w:rPr>
          <w:rFonts w:ascii="Arial Narrow" w:hAnsi="Arial Narrow"/>
          <w:iCs/>
          <w:sz w:val="18"/>
          <w:szCs w:val="18"/>
        </w:rPr>
        <w:t xml:space="preserve"> </w:t>
      </w:r>
      <w:r w:rsidR="000E7028" w:rsidRPr="00E7494F">
        <w:rPr>
          <w:rFonts w:ascii="Arial Narrow" w:hAnsi="Arial Narrow"/>
          <w:iCs/>
          <w:sz w:val="18"/>
          <w:szCs w:val="18"/>
        </w:rPr>
        <w:t>$40 million to &lt; $50 million</w:t>
      </w:r>
    </w:p>
    <w:p w14:paraId="0AA507DF" w14:textId="222F3F22" w:rsidR="002B3B10" w:rsidRPr="00E7494F" w:rsidRDefault="002B3B10" w:rsidP="002B3B10">
      <w:pPr>
        <w:rPr>
          <w:rFonts w:ascii="Arial Narrow" w:hAnsi="Arial Narrow"/>
          <w:iCs/>
          <w:sz w:val="18"/>
          <w:szCs w:val="18"/>
        </w:rPr>
      </w:pPr>
      <w:r w:rsidRPr="00E7494F">
        <w:rPr>
          <w:rFonts w:ascii="Arial Narrow" w:hAnsi="Arial Narrow"/>
          <w:iCs/>
          <w:sz w:val="18"/>
          <w:szCs w:val="18"/>
          <w:vertAlign w:val="superscript"/>
        </w:rPr>
        <w:t>7</w:t>
      </w:r>
      <w:r w:rsidRPr="00E7494F">
        <w:rPr>
          <w:rFonts w:ascii="Arial Narrow" w:hAnsi="Arial Narrow"/>
          <w:iCs/>
          <w:sz w:val="18"/>
          <w:szCs w:val="18"/>
        </w:rPr>
        <w:t xml:space="preserve"> </w:t>
      </w:r>
      <w:r w:rsidR="00F15874" w:rsidRPr="00E7494F">
        <w:rPr>
          <w:rFonts w:ascii="Arial Narrow" w:hAnsi="Arial Narrow"/>
          <w:iCs/>
          <w:sz w:val="18"/>
          <w:szCs w:val="18"/>
        </w:rPr>
        <w:t>net cost saving</w:t>
      </w:r>
    </w:p>
    <w:p w14:paraId="09EBA193" w14:textId="0EEE09D5" w:rsidR="002B3B10" w:rsidRPr="00E7494F" w:rsidRDefault="002B3B10" w:rsidP="00A111AB">
      <w:pPr>
        <w:rPr>
          <w:rFonts w:ascii="Arial Narrow" w:hAnsi="Arial Narrow"/>
          <w:iCs/>
          <w:sz w:val="18"/>
          <w:szCs w:val="18"/>
        </w:rPr>
      </w:pPr>
      <w:r w:rsidRPr="00E7494F">
        <w:rPr>
          <w:rFonts w:ascii="Arial Narrow" w:hAnsi="Arial Narrow"/>
          <w:iCs/>
          <w:sz w:val="18"/>
          <w:szCs w:val="18"/>
          <w:vertAlign w:val="superscript"/>
        </w:rPr>
        <w:t>8</w:t>
      </w:r>
      <w:r w:rsidRPr="00E7494F">
        <w:rPr>
          <w:rFonts w:ascii="Arial Narrow" w:hAnsi="Arial Narrow"/>
          <w:iCs/>
          <w:sz w:val="18"/>
          <w:szCs w:val="18"/>
        </w:rPr>
        <w:t xml:space="preserve"> </w:t>
      </w:r>
      <w:r w:rsidR="00D50371" w:rsidRPr="00E7494F">
        <w:rPr>
          <w:rFonts w:ascii="Arial Narrow" w:hAnsi="Arial Narrow"/>
          <w:iCs/>
          <w:sz w:val="18"/>
          <w:szCs w:val="18"/>
        </w:rPr>
        <w:t>$0 to &lt; $10 million</w:t>
      </w:r>
    </w:p>
    <w:p w14:paraId="1CFC659D" w14:textId="3F4D93E5" w:rsidR="00A111AB" w:rsidRPr="00E7494F" w:rsidRDefault="00A111AB" w:rsidP="00A111AB">
      <w:pPr>
        <w:spacing w:after="120"/>
        <w:rPr>
          <w:rFonts w:ascii="Arial Narrow" w:hAnsi="Arial Narrow"/>
          <w:iCs/>
          <w:sz w:val="18"/>
          <w:szCs w:val="18"/>
        </w:rPr>
      </w:pPr>
      <w:r w:rsidRPr="00E7494F">
        <w:rPr>
          <w:rFonts w:ascii="Arial Narrow" w:hAnsi="Arial Narrow"/>
          <w:iCs/>
          <w:sz w:val="18"/>
          <w:szCs w:val="18"/>
          <w:vertAlign w:val="superscript"/>
        </w:rPr>
        <w:t>9</w:t>
      </w:r>
      <w:r w:rsidRPr="00E7494F">
        <w:rPr>
          <w:rFonts w:ascii="Arial Narrow" w:hAnsi="Arial Narrow"/>
          <w:iCs/>
          <w:sz w:val="18"/>
          <w:szCs w:val="18"/>
        </w:rPr>
        <w:t xml:space="preserve"> </w:t>
      </w:r>
      <w:r w:rsidR="00406FAF" w:rsidRPr="00E7494F">
        <w:rPr>
          <w:rFonts w:ascii="Arial Narrow" w:hAnsi="Arial Narrow"/>
          <w:iCs/>
          <w:sz w:val="18"/>
          <w:szCs w:val="18"/>
        </w:rPr>
        <w:t>$10 million to &lt; $20 million</w:t>
      </w:r>
    </w:p>
    <w:p w14:paraId="360D4025" w14:textId="15C828A4" w:rsidR="00FA3790" w:rsidRDefault="00361283" w:rsidP="00D244B6">
      <w:pPr>
        <w:pStyle w:val="COMexecsummnumbered"/>
      </w:pPr>
      <w:r w:rsidRPr="00B83066">
        <w:t xml:space="preserve">The estimated net cost to the PBS/RPBS/MBS (after correction of errors) was </w:t>
      </w:r>
      <w:r w:rsidR="001A0005" w:rsidRPr="001A0005">
        <w:t>$30 million to &lt; $40 million</w:t>
      </w:r>
      <w:r w:rsidR="001A0005" w:rsidRPr="001A0005" w:rsidDel="001A0005">
        <w:t xml:space="preserve"> </w:t>
      </w:r>
      <w:r w:rsidRPr="00B83066">
        <w:t xml:space="preserve">in Year 1, increasing to </w:t>
      </w:r>
      <w:r w:rsidR="001A0005" w:rsidRPr="001A0005">
        <w:t>$30 million to &lt; $40 million</w:t>
      </w:r>
      <w:r w:rsidR="001A0005" w:rsidRPr="001A0005" w:rsidDel="001A0005">
        <w:t xml:space="preserve"> </w:t>
      </w:r>
      <w:r w:rsidRPr="00B83066">
        <w:t>in Year</w:t>
      </w:r>
      <w:r w:rsidR="001A0005">
        <w:t> </w:t>
      </w:r>
      <w:r w:rsidRPr="00B83066">
        <w:t xml:space="preserve">6, a total cost of </w:t>
      </w:r>
      <w:r w:rsidR="007A7CE6" w:rsidRPr="007A7CE6">
        <w:t>$100 million to &lt; $200 million</w:t>
      </w:r>
      <w:r w:rsidR="007A7CE6" w:rsidRPr="007A7CE6" w:rsidDel="007A7CE6">
        <w:t xml:space="preserve"> </w:t>
      </w:r>
      <w:r w:rsidRPr="00B83066">
        <w:t xml:space="preserve">over the first 6 years of listing. </w:t>
      </w:r>
      <w:r w:rsidR="003F370B">
        <w:t>The PBAC noted that if 2-weekly dosing from Week 24</w:t>
      </w:r>
      <w:r w:rsidR="002D1A95">
        <w:t xml:space="preserve"> was applied</w:t>
      </w:r>
      <w:r w:rsidR="003F370B">
        <w:t>, with no change to 4</w:t>
      </w:r>
      <w:r w:rsidR="007A7CE6">
        <w:noBreakHyphen/>
      </w:r>
      <w:r w:rsidR="003F370B">
        <w:t xml:space="preserve">weekly dosing at Week 49, the </w:t>
      </w:r>
      <w:r w:rsidR="006D61F8">
        <w:t xml:space="preserve">net cost to the PBS/RPBS/MBS </w:t>
      </w:r>
      <w:r w:rsidR="00E63327">
        <w:t xml:space="preserve">was </w:t>
      </w:r>
      <w:r w:rsidR="001A0005" w:rsidRPr="001A0005">
        <w:t>$30 million to &lt; $40 million</w:t>
      </w:r>
      <w:r w:rsidR="001A0005" w:rsidRPr="001A0005" w:rsidDel="001A0005">
        <w:t xml:space="preserve"> </w:t>
      </w:r>
      <w:r w:rsidR="00E63327">
        <w:t xml:space="preserve">in Year 1, increasing to </w:t>
      </w:r>
      <w:r w:rsidR="006C7109" w:rsidRPr="006C7109">
        <w:t>$40 million to &lt; $50 million</w:t>
      </w:r>
      <w:r w:rsidR="006C7109" w:rsidRPr="006C7109" w:rsidDel="006C7109">
        <w:t xml:space="preserve"> </w:t>
      </w:r>
      <w:r w:rsidR="00C701F7">
        <w:t>in Year</w:t>
      </w:r>
      <w:r w:rsidR="006C7109">
        <w:t> </w:t>
      </w:r>
      <w:r w:rsidR="00C701F7">
        <w:t xml:space="preserve">6, and totalling </w:t>
      </w:r>
      <w:r w:rsidR="00600F98" w:rsidRPr="00600F98">
        <w:t>$200 million to &lt; $300 million</w:t>
      </w:r>
      <w:r w:rsidR="00600F98" w:rsidRPr="00600F98" w:rsidDel="00600F98">
        <w:t xml:space="preserve"> </w:t>
      </w:r>
      <w:r w:rsidR="00C701F7">
        <w:t>over the first 6 years.</w:t>
      </w:r>
    </w:p>
    <w:p w14:paraId="39F10246" w14:textId="5D1288F7" w:rsidR="004A6C8F" w:rsidRPr="00B83066" w:rsidRDefault="004A6C8F" w:rsidP="004A6C8F">
      <w:pPr>
        <w:pStyle w:val="COMexecsummnumbered"/>
      </w:pPr>
      <w:bookmarkStart w:id="64" w:name="_Ref193732844"/>
      <w:r w:rsidRPr="00B83066">
        <w:t xml:space="preserve">The </w:t>
      </w:r>
      <w:r w:rsidR="003A35D5" w:rsidRPr="00B83066">
        <w:t xml:space="preserve">ESC noted that the </w:t>
      </w:r>
      <w:r w:rsidRPr="00B83066">
        <w:t>estimated financial implications associated with listing elranatamab on the PBS were considered uncertain due to the following reasons:</w:t>
      </w:r>
      <w:bookmarkEnd w:id="64"/>
    </w:p>
    <w:p w14:paraId="4393A742" w14:textId="6DDC31CC" w:rsidR="002C514C" w:rsidRPr="00B83066" w:rsidRDefault="004A6C8F" w:rsidP="003820F2">
      <w:pPr>
        <w:pStyle w:val="COMexecsummbulletlist"/>
        <w:spacing w:before="120"/>
        <w:ind w:hanging="357"/>
      </w:pPr>
      <w:r w:rsidRPr="00B83066">
        <w:t>The assumed prevalence of multiple myeloma (0.0276%</w:t>
      </w:r>
      <w:r w:rsidR="000769C0" w:rsidRPr="00B83066">
        <w:t>; based on the period ending December 2018</w:t>
      </w:r>
      <w:r w:rsidRPr="00B83066">
        <w:t>) was unchanged from the 2024 submission. However, updated AIHW data suggest a higher 5-year prevalence of 0.0299% for the period ending December 2020.</w:t>
      </w:r>
    </w:p>
    <w:p w14:paraId="05A72E57" w14:textId="461FFEC4" w:rsidR="002D5E35" w:rsidRPr="00B83066" w:rsidRDefault="002D5E35" w:rsidP="003820F2">
      <w:pPr>
        <w:pStyle w:val="COMexecsummbulletlist"/>
        <w:spacing w:before="120"/>
        <w:ind w:hanging="357"/>
      </w:pPr>
      <w:r w:rsidRPr="00B83066">
        <w:t>Although the t</w:t>
      </w:r>
      <w:r w:rsidR="00B03F3D" w:rsidRPr="00B83066">
        <w:t>r</w:t>
      </w:r>
      <w:r w:rsidRPr="00B83066">
        <w:t>iple class exposed population was increased from 2.9% to 13.8%, the population might still be underestimated.</w:t>
      </w:r>
    </w:p>
    <w:p w14:paraId="39F1C325" w14:textId="043A92B4" w:rsidR="00E02685" w:rsidRPr="00B83066" w:rsidRDefault="00E02685" w:rsidP="003820F2">
      <w:pPr>
        <w:pStyle w:val="COMexecsummbulletlist"/>
        <w:spacing w:before="120"/>
        <w:ind w:hanging="357"/>
      </w:pPr>
      <w:r w:rsidRPr="00B83066">
        <w:lastRenderedPageBreak/>
        <w:t xml:space="preserve">A higher proportion of patients were assumed to initiate subsequent treatment in Years 2 to 6 (ranging from </w:t>
      </w:r>
      <w:r w:rsidR="003F51AF" w:rsidRPr="00347D89">
        <w:rPr>
          <w:color w:val="000000"/>
          <w:w w:val="15"/>
          <w:shd w:val="solid" w:color="000000" w:fill="000000"/>
          <w:fitText w:val="-20" w:id="-694959860"/>
          <w14:textFill>
            <w14:solidFill>
              <w14:srgbClr w14:val="000000">
                <w14:alpha w14:val="100000"/>
              </w14:srgbClr>
            </w14:solidFill>
          </w14:textFill>
        </w:rPr>
        <w:t>|</w:t>
      </w:r>
      <w:r w:rsidR="00BC142B" w:rsidRPr="00347D89">
        <w:rPr>
          <w:color w:val="000000"/>
          <w:w w:val="15"/>
          <w:shd w:val="solid" w:color="000000" w:fill="000000"/>
          <w:fitText w:val="-20" w:id="-694959860"/>
          <w14:textFill>
            <w14:solidFill>
              <w14:srgbClr w14:val="000000">
                <w14:alpha w14:val="100000"/>
              </w14:srgbClr>
            </w14:solidFill>
          </w14:textFill>
        </w:rPr>
        <w:t xml:space="preserve"> </w:t>
      </w:r>
      <w:r w:rsidR="003F51AF" w:rsidRPr="00347D89">
        <w:rPr>
          <w:color w:val="000000"/>
          <w:spacing w:val="-61"/>
          <w:w w:val="15"/>
          <w:shd w:val="solid" w:color="000000" w:fill="000000"/>
          <w:fitText w:val="-20" w:id="-694959860"/>
          <w14:textFill>
            <w14:solidFill>
              <w14:srgbClr w14:val="000000">
                <w14:alpha w14:val="100000"/>
              </w14:srgbClr>
            </w14:solidFill>
          </w14:textFill>
        </w:rPr>
        <w:t>|</w:t>
      </w:r>
      <w:r w:rsidRPr="00B83066">
        <w:t xml:space="preserve">% in Year 2 to </w:t>
      </w:r>
      <w:r w:rsidR="003F51AF" w:rsidRPr="00347D89">
        <w:rPr>
          <w:color w:val="000000"/>
          <w:w w:val="15"/>
          <w:shd w:val="solid" w:color="000000" w:fill="000000"/>
          <w:fitText w:val="-20" w:id="-694959859"/>
          <w14:textFill>
            <w14:solidFill>
              <w14:srgbClr w14:val="000000">
                <w14:alpha w14:val="100000"/>
              </w14:srgbClr>
            </w14:solidFill>
          </w14:textFill>
        </w:rPr>
        <w:t>|</w:t>
      </w:r>
      <w:r w:rsidR="00BC142B" w:rsidRPr="00347D89">
        <w:rPr>
          <w:color w:val="000000"/>
          <w:w w:val="15"/>
          <w:shd w:val="solid" w:color="000000" w:fill="000000"/>
          <w:fitText w:val="-20" w:id="-694959859"/>
          <w14:textFill>
            <w14:solidFill>
              <w14:srgbClr w14:val="000000">
                <w14:alpha w14:val="100000"/>
              </w14:srgbClr>
            </w14:solidFill>
          </w14:textFill>
        </w:rPr>
        <w:t xml:space="preserve"> </w:t>
      </w:r>
      <w:r w:rsidR="003F51AF" w:rsidRPr="00347D89">
        <w:rPr>
          <w:color w:val="000000"/>
          <w:spacing w:val="-61"/>
          <w:w w:val="15"/>
          <w:shd w:val="solid" w:color="000000" w:fill="000000"/>
          <w:fitText w:val="-20" w:id="-694959859"/>
          <w14:textFill>
            <w14:solidFill>
              <w14:srgbClr w14:val="000000">
                <w14:alpha w14:val="100000"/>
              </w14:srgbClr>
            </w14:solidFill>
          </w14:textFill>
        </w:rPr>
        <w:t>|</w:t>
      </w:r>
      <w:r w:rsidRPr="00B83066">
        <w:t>% in Year 6)</w:t>
      </w:r>
      <w:r w:rsidR="00AB1A2C" w:rsidRPr="00B83066">
        <w:t>, based on the assumption that a greater</w:t>
      </w:r>
      <w:r w:rsidRPr="00B83066">
        <w:t xml:space="preserve"> </w:t>
      </w:r>
      <w:r w:rsidR="00AB1A2C" w:rsidRPr="00B83066">
        <w:t>number of patients will</w:t>
      </w:r>
      <w:r w:rsidRPr="00B83066">
        <w:t xml:space="preserve"> proceed to active treatment over time as newer/more effective treatments become available. However, this claim may not be reasonable.</w:t>
      </w:r>
    </w:p>
    <w:p w14:paraId="3E1996AE" w14:textId="6F4C63D9" w:rsidR="00114192" w:rsidRPr="00B83066" w:rsidRDefault="00114192" w:rsidP="003820F2">
      <w:pPr>
        <w:pStyle w:val="COMexecsummbulletlist"/>
        <w:spacing w:before="120"/>
        <w:ind w:hanging="357"/>
      </w:pPr>
      <w:r w:rsidRPr="00B83066">
        <w:t xml:space="preserve">Uptake rates associated with elranatamab were considered uncertain and may be underestimated in the context of </w:t>
      </w:r>
      <w:r w:rsidR="00E60CD7" w:rsidRPr="00B83066">
        <w:t xml:space="preserve">fourth or later </w:t>
      </w:r>
      <w:r w:rsidR="006C74D6" w:rsidRPr="00B83066">
        <w:t>RRMM</w:t>
      </w:r>
      <w:r w:rsidRPr="00B83066">
        <w:t xml:space="preserve"> </w:t>
      </w:r>
      <w:r w:rsidR="00E60CD7" w:rsidRPr="00B83066">
        <w:t>treatment.</w:t>
      </w:r>
      <w:r w:rsidRPr="00B83066">
        <w:t xml:space="preserve"> The PBAC previously considered that the potential introduction of CAR</w:t>
      </w:r>
      <w:r w:rsidR="00C60346" w:rsidRPr="00B83066">
        <w:t xml:space="preserve"> </w:t>
      </w:r>
      <w:r w:rsidRPr="00B83066">
        <w:t>T</w:t>
      </w:r>
      <w:r w:rsidR="00C60346" w:rsidRPr="00B83066">
        <w:t>-</w:t>
      </w:r>
      <w:r w:rsidRPr="00B83066">
        <w:t xml:space="preserve">cell therapies may alter the uptake of elranatamab (paragraph 7.17, elranatamab, </w:t>
      </w:r>
      <w:r w:rsidR="009F46B1" w:rsidRPr="00B83066">
        <w:t>PSD</w:t>
      </w:r>
      <w:r w:rsidRPr="00B83066">
        <w:t>, July 2024 PBAC meeting).</w:t>
      </w:r>
      <w:r w:rsidR="00FC64B4" w:rsidRPr="00B83066">
        <w:t xml:space="preserve"> The PSCR stated that the uptake rate in Year 1 was derived from the PBS 100% sample, in which 40.8% of patients with </w:t>
      </w:r>
      <w:r w:rsidR="007C151B" w:rsidRPr="00B83066">
        <w:t>triple class refractory multiple myeloma became eligible for fourth-line treatment</w:t>
      </w:r>
      <w:r w:rsidR="00B97F6A" w:rsidRPr="00B83066">
        <w:t xml:space="preserve">, after which uptake was assumed to increase gradually as patients and clinicians </w:t>
      </w:r>
      <w:r w:rsidR="002438BE" w:rsidRPr="00B83066">
        <w:t>become more familiar with elranatamab.</w:t>
      </w:r>
    </w:p>
    <w:p w14:paraId="43522BB6" w14:textId="2CAB5515" w:rsidR="0003073F" w:rsidRPr="00B83066" w:rsidRDefault="0003073F" w:rsidP="003820F2">
      <w:pPr>
        <w:pStyle w:val="COMexecsummbulletlist"/>
        <w:spacing w:before="120"/>
        <w:ind w:hanging="357"/>
      </w:pPr>
      <w:r w:rsidRPr="00B83066">
        <w:t xml:space="preserve">The assumed treatment adherence for elranatamab </w:t>
      </w:r>
      <w:r w:rsidR="00277C85" w:rsidRPr="00B83066">
        <w:t xml:space="preserve">(79%) </w:t>
      </w:r>
      <w:r w:rsidRPr="00B83066">
        <w:t xml:space="preserve">was lower than the treatment adherence assumed for </w:t>
      </w:r>
      <w:r w:rsidR="000E31F3" w:rsidRPr="00B83066">
        <w:t>Cd</w:t>
      </w:r>
      <w:r w:rsidR="00277C85" w:rsidRPr="00B83066">
        <w:t xml:space="preserve"> (weekly regimen: 92.7%; twice weekly regimen: 87.0%)</w:t>
      </w:r>
      <w:r w:rsidRPr="00B83066">
        <w:t>. Differences in treatment adherence between clinical studies may be due to other factors (e.g., differences in patient populations)</w:t>
      </w:r>
      <w:r w:rsidR="00114192" w:rsidRPr="00B83066">
        <w:t xml:space="preserve">, and </w:t>
      </w:r>
      <w:r w:rsidR="007E06A7" w:rsidRPr="00B83066">
        <w:t xml:space="preserve">the assumed treatment adherence </w:t>
      </w:r>
      <w:r w:rsidR="00114192" w:rsidRPr="00B83066">
        <w:t>may not reflect the treatment adherence</w:t>
      </w:r>
      <w:r w:rsidR="007E06A7" w:rsidRPr="00B83066">
        <w:t xml:space="preserve"> for elranatamab and </w:t>
      </w:r>
      <w:r w:rsidR="000E31F3" w:rsidRPr="00B83066">
        <w:t>Cd</w:t>
      </w:r>
      <w:r w:rsidR="00114192" w:rsidRPr="00B83066">
        <w:t xml:space="preserve"> in Australian clinical practice.</w:t>
      </w:r>
      <w:r w:rsidR="003874DD" w:rsidRPr="00B83066">
        <w:t xml:space="preserve"> However, the ESC noted these assumptions were consistent with the economic model. </w:t>
      </w:r>
    </w:p>
    <w:p w14:paraId="2A329C2A" w14:textId="4F4ECED0" w:rsidR="00C62FCA" w:rsidRPr="00B83066" w:rsidRDefault="00C62FCA" w:rsidP="003820F2">
      <w:pPr>
        <w:pStyle w:val="COMexecsummbulletlist"/>
        <w:spacing w:before="120"/>
        <w:ind w:hanging="357"/>
      </w:pPr>
      <w:r w:rsidRPr="00B83066">
        <w:t xml:space="preserve">It is unclear whether the derived proportions </w:t>
      </w:r>
      <w:r w:rsidR="00544238" w:rsidRPr="00B83066">
        <w:t>of substituted versus displaced standard of care</w:t>
      </w:r>
      <w:r w:rsidR="00F02994" w:rsidRPr="00B83066">
        <w:t xml:space="preserve"> (</w:t>
      </w:r>
      <w:r w:rsidRPr="00B83066">
        <w:t>based on the Fonseca et al. data</w:t>
      </w:r>
      <w:r w:rsidR="00F02994" w:rsidRPr="00B83066">
        <w:t>)</w:t>
      </w:r>
      <w:r w:rsidRPr="00B83066">
        <w:t xml:space="preserve"> will accurately predict the relative impact of substitution versus displacement of </w:t>
      </w:r>
      <w:r w:rsidR="000E31F3" w:rsidRPr="00B83066">
        <w:t>Cd</w:t>
      </w:r>
      <w:r w:rsidRPr="00B83066">
        <w:t>.</w:t>
      </w:r>
    </w:p>
    <w:p w14:paraId="0DDE3A89" w14:textId="395CEC0A" w:rsidR="002C514C" w:rsidRPr="00B83066" w:rsidRDefault="002C514C" w:rsidP="001671A0">
      <w:pPr>
        <w:pStyle w:val="COMexecsummnumbered"/>
      </w:pPr>
      <w:bookmarkStart w:id="65" w:name="_Ref193275852"/>
      <w:r w:rsidRPr="00B83066">
        <w:t xml:space="preserve">The resubmission included costs associated with continuing treatment of </w:t>
      </w:r>
      <w:r w:rsidR="005D3F59">
        <w:t xml:space="preserve">&lt; 500 </w:t>
      </w:r>
      <w:r w:rsidRPr="00B83066">
        <w:t xml:space="preserve">grandfathered patients in Year 1 of the financial estimates (increased from </w:t>
      </w:r>
      <w:r w:rsidR="005D3F59">
        <w:t xml:space="preserve">&lt; 500 </w:t>
      </w:r>
      <w:r w:rsidRPr="00B83066">
        <w:t xml:space="preserve">in </w:t>
      </w:r>
      <w:r w:rsidR="004A6C8F" w:rsidRPr="00B83066">
        <w:t>the July</w:t>
      </w:r>
      <w:r w:rsidRPr="00B83066">
        <w:t xml:space="preserve"> 2024 submission). </w:t>
      </w:r>
      <w:bookmarkEnd w:id="65"/>
    </w:p>
    <w:p w14:paraId="577AB2EB" w14:textId="52F86198" w:rsidR="004A6C8F" w:rsidRPr="00B83066" w:rsidRDefault="004A6C8F" w:rsidP="001671A0">
      <w:pPr>
        <w:pStyle w:val="COMexecsummnumbered"/>
      </w:pPr>
      <w:r w:rsidRPr="00B83066">
        <w:t>The resubmission assumed that all patients treated in the private hospital setting, and 90% of patients treated in the public hospital setting would receive the initial 2 step-up doses of elranatamab as inpatients. Drug costs and hospitalisation costs were not included in the financial estimates but would represent an additional cost to state</w:t>
      </w:r>
      <w:r w:rsidR="00F02994" w:rsidRPr="00B83066">
        <w:t>/territory</w:t>
      </w:r>
      <w:r w:rsidRPr="00B83066">
        <w:t xml:space="preserve"> government health budgets.</w:t>
      </w:r>
    </w:p>
    <w:p w14:paraId="2238DEE9" w14:textId="3E6A228B" w:rsidR="00576972" w:rsidRPr="006E0FA2" w:rsidRDefault="00576972" w:rsidP="003D5DE7">
      <w:pPr>
        <w:pStyle w:val="COMH2-non-numbered"/>
      </w:pPr>
      <w:bookmarkStart w:id="66" w:name="_Toc22897648"/>
      <w:bookmarkStart w:id="67" w:name="_Toc188287183"/>
      <w:r w:rsidRPr="006E0FA2">
        <w:t>Quality Use of Medicines</w:t>
      </w:r>
      <w:bookmarkEnd w:id="66"/>
      <w:bookmarkEnd w:id="67"/>
    </w:p>
    <w:p w14:paraId="5E97B764" w14:textId="7EAD546F" w:rsidR="003169B2" w:rsidRPr="00447404" w:rsidRDefault="003169B2" w:rsidP="003169B2">
      <w:pPr>
        <w:pStyle w:val="COMexecsummnumbered"/>
      </w:pPr>
      <w:r w:rsidRPr="00447404">
        <w:t>The proposed activities to support the quality use of medicines were unchanged from the July 2024 submission:</w:t>
      </w:r>
    </w:p>
    <w:p w14:paraId="7D635177" w14:textId="6776BD69" w:rsidR="003169B2" w:rsidRDefault="003169B2" w:rsidP="005D3F59">
      <w:pPr>
        <w:pStyle w:val="COMexecsummbulletlist"/>
        <w:ind w:hanging="357"/>
      </w:pPr>
      <w:r>
        <w:t xml:space="preserve">Holding an elranatamab training certification course for clinicians and haematologists </w:t>
      </w:r>
      <w:proofErr w:type="gramStart"/>
      <w:r>
        <w:t>in the area of</w:t>
      </w:r>
      <w:proofErr w:type="gramEnd"/>
      <w:r>
        <w:t xml:space="preserve"> </w:t>
      </w:r>
      <w:r w:rsidR="006C74D6">
        <w:t>RRMM</w:t>
      </w:r>
      <w:r>
        <w:t xml:space="preserve"> and associated adverse events.</w:t>
      </w:r>
    </w:p>
    <w:p w14:paraId="66392FC6" w14:textId="77777777" w:rsidR="003169B2" w:rsidRDefault="003169B2" w:rsidP="005D3F59">
      <w:pPr>
        <w:pStyle w:val="COMexecsummbulletlist"/>
        <w:ind w:hanging="357"/>
      </w:pPr>
      <w:r>
        <w:t>Working with Myeloma Australia to identify outreach gaps and deliver training throughout Australia in regional centres to reach haematology nurses and other health care professionals.</w:t>
      </w:r>
    </w:p>
    <w:p w14:paraId="3AEAAE59" w14:textId="77777777" w:rsidR="003169B2" w:rsidRDefault="003169B2" w:rsidP="005D3F59">
      <w:pPr>
        <w:pStyle w:val="COMexecsummbulletlist"/>
        <w:ind w:hanging="357"/>
      </w:pPr>
      <w:r>
        <w:lastRenderedPageBreak/>
        <w:t>Development of elranatamab patient wallet cards to ensure the appropriate management of potential side effects and risks associated with elranatamab step-up dosing.</w:t>
      </w:r>
    </w:p>
    <w:p w14:paraId="582F69FE" w14:textId="77777777" w:rsidR="003169B2" w:rsidRDefault="003169B2" w:rsidP="005D3F59">
      <w:pPr>
        <w:pStyle w:val="COMexecsummbulletlist"/>
        <w:ind w:hanging="357"/>
      </w:pPr>
      <w:r>
        <w:t>Development of training videos for health care professionals on how to administer elranatamab.</w:t>
      </w:r>
    </w:p>
    <w:p w14:paraId="2E021110" w14:textId="77777777" w:rsidR="003169B2" w:rsidRDefault="003169B2" w:rsidP="005D3F59">
      <w:pPr>
        <w:pStyle w:val="COMexecsummbulletlist"/>
      </w:pPr>
      <w:r>
        <w:t>Development of an elranatamab website for health care professionals that includes patient materials on demand.</w:t>
      </w:r>
    </w:p>
    <w:p w14:paraId="38BD0AEF" w14:textId="57237D89" w:rsidR="00576972" w:rsidRDefault="003169B2" w:rsidP="00AA763F">
      <w:pPr>
        <w:pStyle w:val="COMexecsummnumbered"/>
      </w:pPr>
      <w:r w:rsidRPr="0035502F">
        <w:t xml:space="preserve">DUSC previously considered that cytokine release syndrome and ICANS are novel complications that are not well understood outside specialist centres, and that education of both patients and health care practitioners would be needed (paragraph 6.73, elranatamab, </w:t>
      </w:r>
      <w:r w:rsidR="003C73D7" w:rsidRPr="0035502F">
        <w:t>PSD</w:t>
      </w:r>
      <w:r w:rsidRPr="0035502F">
        <w:t>, July 2024 PBAC meeting).</w:t>
      </w:r>
    </w:p>
    <w:p w14:paraId="6B340B74" w14:textId="6AD0A226" w:rsidR="00AA763F" w:rsidRDefault="00AA763F" w:rsidP="00AA763F">
      <w:pPr>
        <w:pStyle w:val="COMexecsummnumbered"/>
        <w:numPr>
          <w:ilvl w:val="0"/>
          <w:numId w:val="0"/>
        </w:numPr>
        <w:ind w:left="720"/>
        <w:rPr>
          <w:i/>
          <w:iCs/>
        </w:rPr>
      </w:pPr>
      <w:r w:rsidRPr="00AA763F">
        <w:rPr>
          <w:i/>
          <w:iCs/>
        </w:rPr>
        <w:t>For more detail on PBAC’s view, see section 7 PBAC outcome.</w:t>
      </w:r>
    </w:p>
    <w:p w14:paraId="3BCB7999" w14:textId="77777777" w:rsidR="00F102F0" w:rsidRPr="0090150D" w:rsidRDefault="00F102F0" w:rsidP="00F102F0">
      <w:pPr>
        <w:pStyle w:val="2-SectionHeading"/>
        <w:numPr>
          <w:ilvl w:val="0"/>
          <w:numId w:val="1"/>
        </w:numPr>
        <w:outlineLvl w:val="0"/>
      </w:pPr>
      <w:bookmarkStart w:id="68" w:name="_Hlk76381249"/>
      <w:bookmarkStart w:id="69" w:name="_Hlk76377955"/>
      <w:r w:rsidRPr="0090150D">
        <w:t>PBAC Outcome</w:t>
      </w:r>
    </w:p>
    <w:p w14:paraId="3B08CFFA" w14:textId="3B72A6EC" w:rsidR="005B487A" w:rsidRPr="00EA39AB" w:rsidRDefault="005B487A" w:rsidP="005B487A">
      <w:pPr>
        <w:widowControl w:val="0"/>
        <w:numPr>
          <w:ilvl w:val="1"/>
          <w:numId w:val="1"/>
        </w:numPr>
        <w:spacing w:after="120"/>
        <w:rPr>
          <w:rFonts w:asciiTheme="minorHAnsi" w:hAnsiTheme="minorHAnsi"/>
          <w:i/>
          <w:iCs/>
          <w:snapToGrid w:val="0"/>
        </w:rPr>
      </w:pPr>
      <w:bookmarkStart w:id="70" w:name="_Hlk111543188"/>
      <w:r w:rsidRPr="005B487A">
        <w:rPr>
          <w:rFonts w:asciiTheme="minorHAnsi" w:hAnsiTheme="minorHAnsi"/>
          <w:snapToGrid w:val="0"/>
        </w:rPr>
        <w:t>The PBAC</w:t>
      </w:r>
      <w:r w:rsidRPr="005B487A">
        <w:rPr>
          <w:rFonts w:asciiTheme="minorHAnsi" w:hAnsiTheme="minorHAnsi"/>
          <w:b/>
          <w:bCs/>
          <w:snapToGrid w:val="0"/>
        </w:rPr>
        <w:t xml:space="preserve"> </w:t>
      </w:r>
      <w:r w:rsidRPr="005B487A">
        <w:rPr>
          <w:rFonts w:asciiTheme="minorHAnsi" w:hAnsiTheme="minorHAnsi"/>
          <w:snapToGrid w:val="0"/>
        </w:rPr>
        <w:t xml:space="preserve">recommended elranatamab for the treatment of patients with relapsed or refractory multiple myeloma </w:t>
      </w:r>
      <w:r w:rsidR="00EA39AB">
        <w:rPr>
          <w:rFonts w:asciiTheme="minorHAnsi" w:hAnsiTheme="minorHAnsi"/>
          <w:snapToGrid w:val="0"/>
        </w:rPr>
        <w:t xml:space="preserve">(RRMM) </w:t>
      </w:r>
      <w:r w:rsidRPr="005B487A">
        <w:rPr>
          <w:rFonts w:asciiTheme="minorHAnsi" w:hAnsiTheme="minorHAnsi"/>
          <w:snapToGrid w:val="0"/>
        </w:rPr>
        <w:t>who have received at least three prior lines of therapy</w:t>
      </w:r>
      <w:r w:rsidR="00505E2C">
        <w:rPr>
          <w:rFonts w:asciiTheme="minorHAnsi" w:hAnsiTheme="minorHAnsi"/>
          <w:snapToGrid w:val="0"/>
        </w:rPr>
        <w:t xml:space="preserve">, on the basis that it should be available only under special arrangements under </w:t>
      </w:r>
      <w:r w:rsidR="00A8649D">
        <w:rPr>
          <w:rFonts w:asciiTheme="minorHAnsi" w:hAnsiTheme="minorHAnsi"/>
          <w:snapToGrid w:val="0"/>
        </w:rPr>
        <w:t xml:space="preserve">the </w:t>
      </w:r>
      <w:r w:rsidR="00505E2C">
        <w:rPr>
          <w:rFonts w:asciiTheme="minorHAnsi" w:hAnsiTheme="minorHAnsi"/>
          <w:snapToGrid w:val="0"/>
        </w:rPr>
        <w:t xml:space="preserve">Section </w:t>
      </w:r>
      <w:r w:rsidR="008F4EFB">
        <w:rPr>
          <w:rFonts w:asciiTheme="minorHAnsi" w:hAnsiTheme="minorHAnsi"/>
          <w:snapToGrid w:val="0"/>
        </w:rPr>
        <w:t xml:space="preserve">100 </w:t>
      </w:r>
      <w:r w:rsidR="00A8649D">
        <w:rPr>
          <w:rFonts w:asciiTheme="minorHAnsi" w:hAnsiTheme="minorHAnsi"/>
          <w:snapToGrid w:val="0"/>
        </w:rPr>
        <w:t>Program</w:t>
      </w:r>
      <w:r w:rsidR="00665BFB">
        <w:rPr>
          <w:rFonts w:asciiTheme="minorHAnsi" w:hAnsiTheme="minorHAnsi"/>
          <w:snapToGrid w:val="0"/>
        </w:rPr>
        <w:t xml:space="preserve"> </w:t>
      </w:r>
      <w:r w:rsidR="00A8649D">
        <w:rPr>
          <w:rFonts w:asciiTheme="minorHAnsi" w:hAnsiTheme="minorHAnsi"/>
          <w:snapToGrid w:val="0"/>
        </w:rPr>
        <w:t>(Efficient Funding of Chemotherapy</w:t>
      </w:r>
      <w:r w:rsidR="00130D7E">
        <w:rPr>
          <w:rFonts w:asciiTheme="minorHAnsi" w:hAnsiTheme="minorHAnsi"/>
          <w:snapToGrid w:val="0"/>
        </w:rPr>
        <w:t xml:space="preserve"> – Related Benefits</w:t>
      </w:r>
      <w:r w:rsidR="00A8649D">
        <w:rPr>
          <w:rFonts w:asciiTheme="minorHAnsi" w:hAnsiTheme="minorHAnsi"/>
          <w:snapToGrid w:val="0"/>
        </w:rPr>
        <w:t xml:space="preserve">) </w:t>
      </w:r>
      <w:r w:rsidR="0097655F">
        <w:rPr>
          <w:rFonts w:asciiTheme="minorHAnsi" w:hAnsiTheme="minorHAnsi"/>
          <w:snapToGrid w:val="0"/>
        </w:rPr>
        <w:t xml:space="preserve">and </w:t>
      </w:r>
      <w:r w:rsidR="004B24E6">
        <w:rPr>
          <w:rFonts w:asciiTheme="minorHAnsi" w:hAnsiTheme="minorHAnsi"/>
          <w:snapToGrid w:val="0"/>
        </w:rPr>
        <w:t>as a General Schedule listing</w:t>
      </w:r>
      <w:r w:rsidRPr="005B487A">
        <w:rPr>
          <w:rFonts w:asciiTheme="minorHAnsi" w:hAnsiTheme="minorHAnsi"/>
          <w:snapToGrid w:val="0"/>
        </w:rPr>
        <w:t xml:space="preserve">. </w:t>
      </w:r>
      <w:r w:rsidR="00B97E10">
        <w:rPr>
          <w:rFonts w:asciiTheme="minorHAnsi" w:hAnsiTheme="minorHAnsi"/>
          <w:snapToGrid w:val="0"/>
        </w:rPr>
        <w:t xml:space="preserve">The PBAC considered that </w:t>
      </w:r>
      <w:r w:rsidRPr="005B487A">
        <w:rPr>
          <w:rFonts w:asciiTheme="minorHAnsi" w:hAnsiTheme="minorHAnsi"/>
          <w:snapToGrid w:val="0"/>
        </w:rPr>
        <w:t xml:space="preserve">elranatamab was superior in terms of efficacy compared to </w:t>
      </w:r>
      <w:r w:rsidR="00637915">
        <w:rPr>
          <w:rFonts w:asciiTheme="minorHAnsi" w:hAnsiTheme="minorHAnsi"/>
          <w:snapToGrid w:val="0"/>
        </w:rPr>
        <w:t>standard of care, represented by carfilzomib plus dexamethasone (Cd), pomalidomide plus dexamethasone (</w:t>
      </w:r>
      <w:r w:rsidR="00B97E10">
        <w:rPr>
          <w:rFonts w:asciiTheme="minorHAnsi" w:hAnsiTheme="minorHAnsi"/>
          <w:snapToGrid w:val="0"/>
        </w:rPr>
        <w:t>Pd) and selinexor plus dexamethasone (Sd)</w:t>
      </w:r>
      <w:r w:rsidRPr="005B487A">
        <w:rPr>
          <w:rFonts w:asciiTheme="minorHAnsi" w:hAnsiTheme="minorHAnsi"/>
          <w:snapToGrid w:val="0"/>
        </w:rPr>
        <w:t xml:space="preserve">, but inferior in terms of safety. The PBAC considered that the revised economic model was reliable for decision making and noted that elranatamab would be cost effective with a price reduction. The PBAC considered that the estimated utilisation of elranatamab was </w:t>
      </w:r>
      <w:r w:rsidR="00EE4CF1">
        <w:rPr>
          <w:rFonts w:asciiTheme="minorHAnsi" w:hAnsiTheme="minorHAnsi"/>
          <w:snapToGrid w:val="0"/>
        </w:rPr>
        <w:t>uncertain and considered that a risk-sharing arrangement (RSA) would be required</w:t>
      </w:r>
      <w:r w:rsidRPr="005B487A">
        <w:rPr>
          <w:rFonts w:asciiTheme="minorHAnsi" w:hAnsiTheme="minorHAnsi"/>
          <w:snapToGrid w:val="0"/>
        </w:rPr>
        <w:t xml:space="preserve">. </w:t>
      </w:r>
    </w:p>
    <w:p w14:paraId="546B0A03" w14:textId="03A8D2AC" w:rsidR="00BE16B3" w:rsidRPr="00EA39AB" w:rsidRDefault="00BE16B3" w:rsidP="005B487A">
      <w:pPr>
        <w:widowControl w:val="0"/>
        <w:numPr>
          <w:ilvl w:val="1"/>
          <w:numId w:val="1"/>
        </w:numPr>
        <w:spacing w:after="120"/>
        <w:rPr>
          <w:rFonts w:asciiTheme="minorHAnsi" w:hAnsiTheme="minorHAnsi"/>
          <w:i/>
          <w:iCs/>
          <w:snapToGrid w:val="0"/>
        </w:rPr>
      </w:pPr>
      <w:r>
        <w:rPr>
          <w:rFonts w:asciiTheme="minorHAnsi" w:hAnsiTheme="minorHAnsi"/>
          <w:snapToGrid w:val="0"/>
        </w:rPr>
        <w:t xml:space="preserve">The PBAC was satisfied that elranatamab provides, for some patients, a significant improvement in efficacy over </w:t>
      </w:r>
      <w:r w:rsidR="002474A7">
        <w:rPr>
          <w:rFonts w:asciiTheme="minorHAnsi" w:hAnsiTheme="minorHAnsi"/>
          <w:snapToGrid w:val="0"/>
          <w:lang w:val="en-GB"/>
        </w:rPr>
        <w:t>standard of care, represented by Cd, Pd and Sd.</w:t>
      </w:r>
    </w:p>
    <w:p w14:paraId="20BFEB75" w14:textId="2C6F73F0" w:rsidR="00016C22" w:rsidRPr="00AB2A68" w:rsidRDefault="00016C22" w:rsidP="00016C22">
      <w:pPr>
        <w:widowControl w:val="0"/>
        <w:numPr>
          <w:ilvl w:val="1"/>
          <w:numId w:val="1"/>
        </w:numPr>
        <w:spacing w:after="120"/>
        <w:rPr>
          <w:rFonts w:asciiTheme="minorHAnsi" w:hAnsiTheme="minorHAnsi"/>
          <w:snapToGrid w:val="0"/>
          <w:lang w:val="en-GB"/>
        </w:rPr>
      </w:pPr>
      <w:r w:rsidRPr="00AB2A68">
        <w:rPr>
          <w:rFonts w:asciiTheme="minorHAnsi" w:hAnsiTheme="minorHAnsi"/>
          <w:snapToGrid w:val="0"/>
          <w:lang w:val="en-GB"/>
        </w:rPr>
        <w:t xml:space="preserve">The PBAC acknowledged the input received from individuals, health care professionals and organisations </w:t>
      </w:r>
      <w:r>
        <w:rPr>
          <w:rFonts w:asciiTheme="minorHAnsi" w:hAnsiTheme="minorHAnsi"/>
          <w:snapToGrid w:val="0"/>
          <w:lang w:val="en-GB"/>
        </w:rPr>
        <w:t>for both this resubmission and the July 2024 submission</w:t>
      </w:r>
      <w:r w:rsidR="00E33893">
        <w:rPr>
          <w:rFonts w:asciiTheme="minorHAnsi" w:hAnsiTheme="minorHAnsi"/>
          <w:snapToGrid w:val="0"/>
          <w:lang w:val="en-GB"/>
        </w:rPr>
        <w:t xml:space="preserve">. The PBAC noted that this input </w:t>
      </w:r>
      <w:r w:rsidRPr="00AB2A68">
        <w:rPr>
          <w:rFonts w:asciiTheme="minorHAnsi" w:hAnsiTheme="minorHAnsi"/>
          <w:snapToGrid w:val="0"/>
          <w:lang w:val="en-GB"/>
        </w:rPr>
        <w:t>highlighted the need for new, effective</w:t>
      </w:r>
      <w:r>
        <w:rPr>
          <w:rFonts w:asciiTheme="minorHAnsi" w:hAnsiTheme="minorHAnsi"/>
          <w:snapToGrid w:val="0"/>
          <w:lang w:val="en-GB"/>
        </w:rPr>
        <w:t>,</w:t>
      </w:r>
      <w:r w:rsidRPr="00AB2A68">
        <w:rPr>
          <w:rFonts w:asciiTheme="minorHAnsi" w:hAnsiTheme="minorHAnsi"/>
          <w:snapToGrid w:val="0"/>
          <w:lang w:val="en-GB"/>
        </w:rPr>
        <w:t xml:space="preserve"> and well tolerated therapies for patients with RRMM. The PBAC also noted the input from Myeloma Australia’s Medical and Scientific Advisory Group which supported use of elranatamab in the fourth line of therapy</w:t>
      </w:r>
      <w:r w:rsidR="00957764">
        <w:rPr>
          <w:rFonts w:asciiTheme="minorHAnsi" w:hAnsiTheme="minorHAnsi"/>
          <w:snapToGrid w:val="0"/>
          <w:lang w:val="en-GB"/>
        </w:rPr>
        <w:t xml:space="preserve"> and </w:t>
      </w:r>
      <w:r w:rsidR="00926EE3">
        <w:rPr>
          <w:rFonts w:asciiTheme="minorHAnsi" w:hAnsiTheme="minorHAnsi"/>
          <w:snapToGrid w:val="0"/>
          <w:lang w:val="en-GB"/>
        </w:rPr>
        <w:t>advised</w:t>
      </w:r>
      <w:r w:rsidR="00957764">
        <w:rPr>
          <w:rFonts w:asciiTheme="minorHAnsi" w:hAnsiTheme="minorHAnsi"/>
          <w:snapToGrid w:val="0"/>
          <w:lang w:val="en-GB"/>
        </w:rPr>
        <w:t xml:space="preserve"> that elranatamab </w:t>
      </w:r>
      <w:r w:rsidR="00926EE3">
        <w:rPr>
          <w:rFonts w:asciiTheme="minorHAnsi" w:hAnsiTheme="minorHAnsi"/>
          <w:snapToGrid w:val="0"/>
          <w:lang w:val="en-GB"/>
        </w:rPr>
        <w:t>c</w:t>
      </w:r>
      <w:r w:rsidR="00957764">
        <w:rPr>
          <w:rFonts w:asciiTheme="minorHAnsi" w:hAnsiTheme="minorHAnsi"/>
          <w:snapToGrid w:val="0"/>
          <w:lang w:val="en-GB"/>
        </w:rPr>
        <w:t xml:space="preserve">ould provide an alternative to </w:t>
      </w:r>
      <w:r w:rsidR="00A422AD">
        <w:rPr>
          <w:rFonts w:asciiTheme="minorHAnsi" w:hAnsiTheme="minorHAnsi"/>
          <w:snapToGrid w:val="0"/>
          <w:lang w:val="en-GB"/>
        </w:rPr>
        <w:t>CAR-T therapies</w:t>
      </w:r>
      <w:r w:rsidRPr="00AB2A68">
        <w:rPr>
          <w:rFonts w:asciiTheme="minorHAnsi" w:hAnsiTheme="minorHAnsi"/>
          <w:snapToGrid w:val="0"/>
          <w:lang w:val="en-GB"/>
        </w:rPr>
        <w:t>.</w:t>
      </w:r>
    </w:p>
    <w:p w14:paraId="17D9BA34" w14:textId="30384877" w:rsidR="00EA39AB" w:rsidRPr="004744F0" w:rsidRDefault="000F243A" w:rsidP="005B487A">
      <w:pPr>
        <w:widowControl w:val="0"/>
        <w:numPr>
          <w:ilvl w:val="1"/>
          <w:numId w:val="1"/>
        </w:numPr>
        <w:spacing w:after="120"/>
        <w:rPr>
          <w:rFonts w:asciiTheme="minorHAnsi" w:hAnsiTheme="minorHAnsi"/>
          <w:i/>
          <w:iCs/>
          <w:snapToGrid w:val="0"/>
        </w:rPr>
      </w:pPr>
      <w:r>
        <w:rPr>
          <w:rFonts w:asciiTheme="minorHAnsi" w:hAnsiTheme="minorHAnsi"/>
          <w:snapToGrid w:val="0"/>
        </w:rPr>
        <w:t>The PBAC noted that the resubmission p</w:t>
      </w:r>
      <w:r w:rsidR="005F54B3">
        <w:rPr>
          <w:rFonts w:asciiTheme="minorHAnsi" w:hAnsiTheme="minorHAnsi"/>
          <w:snapToGrid w:val="0"/>
        </w:rPr>
        <w:t xml:space="preserve">ositioned elranatamab as a fourth-line therapy for use in patients </w:t>
      </w:r>
      <w:r w:rsidR="008D356F">
        <w:rPr>
          <w:rFonts w:asciiTheme="minorHAnsi" w:hAnsiTheme="minorHAnsi"/>
          <w:snapToGrid w:val="0"/>
        </w:rPr>
        <w:t xml:space="preserve">who have progressed on at least 3 prior </w:t>
      </w:r>
      <w:r w:rsidR="00FD079E">
        <w:rPr>
          <w:rFonts w:asciiTheme="minorHAnsi" w:hAnsiTheme="minorHAnsi"/>
          <w:snapToGrid w:val="0"/>
        </w:rPr>
        <w:t>line</w:t>
      </w:r>
      <w:r w:rsidR="002D3393">
        <w:rPr>
          <w:rFonts w:asciiTheme="minorHAnsi" w:hAnsiTheme="minorHAnsi"/>
          <w:snapToGrid w:val="0"/>
        </w:rPr>
        <w:t>s</w:t>
      </w:r>
      <w:r w:rsidR="00FD079E">
        <w:rPr>
          <w:rFonts w:asciiTheme="minorHAnsi" w:hAnsiTheme="minorHAnsi"/>
          <w:snapToGrid w:val="0"/>
        </w:rPr>
        <w:t xml:space="preserve"> of therapy </w:t>
      </w:r>
      <w:r w:rsidR="00812517">
        <w:rPr>
          <w:rFonts w:asciiTheme="minorHAnsi" w:hAnsiTheme="minorHAnsi"/>
          <w:snapToGrid w:val="0"/>
        </w:rPr>
        <w:t xml:space="preserve">including </w:t>
      </w:r>
      <w:r w:rsidR="008D081C">
        <w:rPr>
          <w:rFonts w:asciiTheme="minorHAnsi" w:hAnsiTheme="minorHAnsi"/>
          <w:snapToGrid w:val="0"/>
        </w:rPr>
        <w:t>a proteasome inhibitor, an immunomodulatory agent and an anti-CD38 monoclonal antibody</w:t>
      </w:r>
      <w:r w:rsidR="001B63A3">
        <w:rPr>
          <w:rFonts w:asciiTheme="minorHAnsi" w:hAnsiTheme="minorHAnsi"/>
          <w:snapToGrid w:val="0"/>
        </w:rPr>
        <w:t>. The PBAC considered that this was appropriate and better aligned with the clinical evidence</w:t>
      </w:r>
      <w:r w:rsidR="00825CBB">
        <w:rPr>
          <w:rFonts w:asciiTheme="minorHAnsi" w:hAnsiTheme="minorHAnsi"/>
          <w:snapToGrid w:val="0"/>
        </w:rPr>
        <w:t xml:space="preserve"> (compared to the July 2024 submission which positioned elranatamab </w:t>
      </w:r>
      <w:r w:rsidR="000F0B57">
        <w:rPr>
          <w:rFonts w:asciiTheme="minorHAnsi" w:hAnsiTheme="minorHAnsi"/>
          <w:snapToGrid w:val="0"/>
        </w:rPr>
        <w:t>as a third-line therapy</w:t>
      </w:r>
      <w:r w:rsidR="00825CBB">
        <w:rPr>
          <w:rFonts w:asciiTheme="minorHAnsi" w:hAnsiTheme="minorHAnsi"/>
          <w:snapToGrid w:val="0"/>
        </w:rPr>
        <w:t>).</w:t>
      </w:r>
      <w:r w:rsidR="0096665C">
        <w:rPr>
          <w:rFonts w:asciiTheme="minorHAnsi" w:hAnsiTheme="minorHAnsi"/>
          <w:snapToGrid w:val="0"/>
        </w:rPr>
        <w:t xml:space="preserve"> </w:t>
      </w:r>
    </w:p>
    <w:p w14:paraId="57F283F8" w14:textId="3DC22E90" w:rsidR="004744F0" w:rsidRPr="005B487A" w:rsidRDefault="004744F0" w:rsidP="005B487A">
      <w:pPr>
        <w:widowControl w:val="0"/>
        <w:numPr>
          <w:ilvl w:val="1"/>
          <w:numId w:val="1"/>
        </w:numPr>
        <w:spacing w:after="120"/>
        <w:rPr>
          <w:rFonts w:asciiTheme="minorHAnsi" w:hAnsiTheme="minorHAnsi"/>
          <w:i/>
          <w:iCs/>
          <w:snapToGrid w:val="0"/>
        </w:rPr>
      </w:pPr>
      <w:r>
        <w:rPr>
          <w:rFonts w:asciiTheme="minorHAnsi" w:hAnsiTheme="minorHAnsi"/>
          <w:snapToGrid w:val="0"/>
        </w:rPr>
        <w:lastRenderedPageBreak/>
        <w:t>The PBAC noted that although the resubmission was based on patients receiving 76</w:t>
      </w:r>
      <w:r w:rsidR="00AD4BBD">
        <w:rPr>
          <w:rFonts w:asciiTheme="minorHAnsi" w:hAnsiTheme="minorHAnsi"/>
          <w:snapToGrid w:val="0"/>
        </w:rPr>
        <w:t> </w:t>
      </w:r>
      <w:r>
        <w:rPr>
          <w:rFonts w:asciiTheme="minorHAnsi" w:hAnsiTheme="minorHAnsi"/>
          <w:snapToGrid w:val="0"/>
        </w:rPr>
        <w:t xml:space="preserve">mg of </w:t>
      </w:r>
      <w:r w:rsidR="00F15F73">
        <w:rPr>
          <w:rFonts w:asciiTheme="minorHAnsi" w:hAnsiTheme="minorHAnsi"/>
          <w:snapToGrid w:val="0"/>
        </w:rPr>
        <w:t xml:space="preserve">elranatamab subcutaneously every 4 weeks from Week 49, this dosing regimen was not </w:t>
      </w:r>
      <w:r w:rsidR="007D0648">
        <w:rPr>
          <w:rFonts w:asciiTheme="minorHAnsi" w:hAnsiTheme="minorHAnsi"/>
          <w:snapToGrid w:val="0"/>
        </w:rPr>
        <w:t>y</w:t>
      </w:r>
      <w:r w:rsidR="00F15F73">
        <w:rPr>
          <w:rFonts w:asciiTheme="minorHAnsi" w:hAnsiTheme="minorHAnsi"/>
          <w:snapToGrid w:val="0"/>
        </w:rPr>
        <w:t xml:space="preserve">et approved by the TGA (see paragraph </w:t>
      </w:r>
      <w:r w:rsidR="00F15F73">
        <w:rPr>
          <w:rFonts w:asciiTheme="minorHAnsi" w:hAnsiTheme="minorHAnsi"/>
          <w:snapToGrid w:val="0"/>
        </w:rPr>
        <w:fldChar w:fldCharType="begin" w:fldLock="1"/>
      </w:r>
      <w:r w:rsidR="00F15F73">
        <w:rPr>
          <w:rFonts w:asciiTheme="minorHAnsi" w:hAnsiTheme="minorHAnsi"/>
          <w:snapToGrid w:val="0"/>
        </w:rPr>
        <w:instrText xml:space="preserve"> REF _Ref193112783 \r \h </w:instrText>
      </w:r>
      <w:r w:rsidR="00F15F73">
        <w:rPr>
          <w:rFonts w:asciiTheme="minorHAnsi" w:hAnsiTheme="minorHAnsi"/>
          <w:snapToGrid w:val="0"/>
        </w:rPr>
      </w:r>
      <w:r w:rsidR="00F15F73">
        <w:rPr>
          <w:rFonts w:asciiTheme="minorHAnsi" w:hAnsiTheme="minorHAnsi"/>
          <w:snapToGrid w:val="0"/>
        </w:rPr>
        <w:fldChar w:fldCharType="separate"/>
      </w:r>
      <w:r w:rsidR="00347D89">
        <w:rPr>
          <w:rFonts w:asciiTheme="minorHAnsi" w:hAnsiTheme="minorHAnsi"/>
          <w:snapToGrid w:val="0"/>
        </w:rPr>
        <w:t>2.2</w:t>
      </w:r>
      <w:r w:rsidR="00F15F73">
        <w:rPr>
          <w:rFonts w:asciiTheme="minorHAnsi" w:hAnsiTheme="minorHAnsi"/>
          <w:snapToGrid w:val="0"/>
        </w:rPr>
        <w:fldChar w:fldCharType="end"/>
      </w:r>
      <w:r w:rsidR="00F15F73">
        <w:rPr>
          <w:rFonts w:asciiTheme="minorHAnsi" w:hAnsiTheme="minorHAnsi"/>
          <w:snapToGrid w:val="0"/>
        </w:rPr>
        <w:t>)</w:t>
      </w:r>
      <w:r w:rsidR="007D0648">
        <w:rPr>
          <w:rFonts w:asciiTheme="minorHAnsi" w:hAnsiTheme="minorHAnsi"/>
          <w:snapToGrid w:val="0"/>
        </w:rPr>
        <w:t>. T</w:t>
      </w:r>
      <w:r w:rsidR="001C6ED9">
        <w:rPr>
          <w:rFonts w:asciiTheme="minorHAnsi" w:hAnsiTheme="minorHAnsi"/>
          <w:snapToGrid w:val="0"/>
        </w:rPr>
        <w:t xml:space="preserve">hus, the PBAC </w:t>
      </w:r>
      <w:r w:rsidR="00023AC3">
        <w:rPr>
          <w:rFonts w:asciiTheme="minorHAnsi" w:hAnsiTheme="minorHAnsi"/>
          <w:snapToGrid w:val="0"/>
        </w:rPr>
        <w:t xml:space="preserve">based its </w:t>
      </w:r>
      <w:r w:rsidR="001C6ED9">
        <w:rPr>
          <w:rFonts w:asciiTheme="minorHAnsi" w:hAnsiTheme="minorHAnsi"/>
          <w:snapToGrid w:val="0"/>
        </w:rPr>
        <w:t>consider</w:t>
      </w:r>
      <w:r w:rsidR="00023AC3">
        <w:rPr>
          <w:rFonts w:asciiTheme="minorHAnsi" w:hAnsiTheme="minorHAnsi"/>
          <w:snapToGrid w:val="0"/>
        </w:rPr>
        <w:t xml:space="preserve">ation of elranatamab on the currently TGA approved dosing regimen, </w:t>
      </w:r>
      <w:r w:rsidR="00EB4A93">
        <w:rPr>
          <w:rFonts w:asciiTheme="minorHAnsi" w:hAnsiTheme="minorHAnsi"/>
          <w:snapToGrid w:val="0"/>
        </w:rPr>
        <w:t xml:space="preserve">in which patients received 2-weekly dosing from </w:t>
      </w:r>
      <w:r w:rsidR="00C74D5B">
        <w:rPr>
          <w:rFonts w:asciiTheme="minorHAnsi" w:hAnsiTheme="minorHAnsi"/>
          <w:snapToGrid w:val="0"/>
        </w:rPr>
        <w:t>Week 24, with no change to the dosing schedule at Week 49.</w:t>
      </w:r>
      <w:r w:rsidR="001C6ED9">
        <w:rPr>
          <w:rFonts w:asciiTheme="minorHAnsi" w:hAnsiTheme="minorHAnsi"/>
          <w:snapToGrid w:val="0"/>
        </w:rPr>
        <w:t xml:space="preserve"> </w:t>
      </w:r>
    </w:p>
    <w:p w14:paraId="0804C27E" w14:textId="56B5E907" w:rsidR="00F102F0" w:rsidRDefault="00816DA5" w:rsidP="00F102F0">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considered that </w:t>
      </w:r>
      <w:r w:rsidR="00470579">
        <w:rPr>
          <w:rFonts w:asciiTheme="minorHAnsi" w:hAnsiTheme="minorHAnsi"/>
          <w:snapToGrid w:val="0"/>
          <w:lang w:val="en-GB"/>
        </w:rPr>
        <w:t xml:space="preserve">as </w:t>
      </w:r>
      <w:r>
        <w:rPr>
          <w:rFonts w:asciiTheme="minorHAnsi" w:hAnsiTheme="minorHAnsi"/>
          <w:snapToGrid w:val="0"/>
          <w:lang w:val="en-GB"/>
        </w:rPr>
        <w:t xml:space="preserve">elranatamab </w:t>
      </w:r>
      <w:r w:rsidR="00470579">
        <w:rPr>
          <w:rFonts w:asciiTheme="minorHAnsi" w:hAnsiTheme="minorHAnsi"/>
          <w:snapToGrid w:val="0"/>
          <w:lang w:val="en-GB"/>
        </w:rPr>
        <w:t xml:space="preserve">is a subcutaneous injection, it </w:t>
      </w:r>
      <w:r>
        <w:rPr>
          <w:rFonts w:asciiTheme="minorHAnsi" w:hAnsiTheme="minorHAnsi"/>
          <w:snapToGrid w:val="0"/>
          <w:lang w:val="en-GB"/>
        </w:rPr>
        <w:t>should</w:t>
      </w:r>
      <w:r w:rsidR="00F93E5B">
        <w:rPr>
          <w:rFonts w:asciiTheme="minorHAnsi" w:hAnsiTheme="minorHAnsi"/>
          <w:snapToGrid w:val="0"/>
          <w:lang w:val="en-GB"/>
        </w:rPr>
        <w:t xml:space="preserve"> </w:t>
      </w:r>
      <w:r w:rsidR="002D55D4">
        <w:rPr>
          <w:rFonts w:asciiTheme="minorHAnsi" w:hAnsiTheme="minorHAnsi"/>
          <w:snapToGrid w:val="0"/>
          <w:lang w:val="en-GB"/>
        </w:rPr>
        <w:t xml:space="preserve">have a dual listing on both </w:t>
      </w:r>
      <w:r w:rsidR="00F93E5B">
        <w:rPr>
          <w:rFonts w:asciiTheme="minorHAnsi" w:hAnsiTheme="minorHAnsi"/>
          <w:snapToGrid w:val="0"/>
          <w:lang w:val="en-GB"/>
        </w:rPr>
        <w:t xml:space="preserve">the General Schedule and the Section 100 </w:t>
      </w:r>
      <w:r w:rsidR="002D55D4">
        <w:rPr>
          <w:rFonts w:asciiTheme="minorHAnsi" w:hAnsiTheme="minorHAnsi"/>
          <w:snapToGrid w:val="0"/>
          <w:lang w:val="en-GB"/>
        </w:rPr>
        <w:t xml:space="preserve">Program </w:t>
      </w:r>
      <w:r w:rsidR="00F93E5B">
        <w:rPr>
          <w:rFonts w:asciiTheme="minorHAnsi" w:hAnsiTheme="minorHAnsi"/>
          <w:snapToGrid w:val="0"/>
          <w:lang w:val="en-GB"/>
        </w:rPr>
        <w:t>(</w:t>
      </w:r>
      <w:r w:rsidR="009E4511">
        <w:rPr>
          <w:rFonts w:asciiTheme="minorHAnsi" w:hAnsiTheme="minorHAnsi"/>
          <w:snapToGrid w:val="0"/>
          <w:lang w:val="en-GB"/>
        </w:rPr>
        <w:t>Efficient Funding of Chemotherapy)</w:t>
      </w:r>
      <w:r w:rsidR="009D4868">
        <w:rPr>
          <w:rFonts w:asciiTheme="minorHAnsi" w:hAnsiTheme="minorHAnsi"/>
          <w:snapToGrid w:val="0"/>
          <w:lang w:val="en-GB"/>
        </w:rPr>
        <w:t xml:space="preserve"> – Related Benefits</w:t>
      </w:r>
      <w:r w:rsidR="00470579">
        <w:rPr>
          <w:rFonts w:asciiTheme="minorHAnsi" w:hAnsiTheme="minorHAnsi"/>
          <w:snapToGrid w:val="0"/>
          <w:lang w:val="en-GB"/>
        </w:rPr>
        <w:t>. In addition, the PBAC advised that the restrictions should</w:t>
      </w:r>
      <w:r w:rsidR="00395215">
        <w:rPr>
          <w:rFonts w:asciiTheme="minorHAnsi" w:hAnsiTheme="minorHAnsi"/>
          <w:snapToGrid w:val="0"/>
          <w:lang w:val="en-GB"/>
        </w:rPr>
        <w:t>:</w:t>
      </w:r>
    </w:p>
    <w:p w14:paraId="3B181279" w14:textId="607F4A3B" w:rsidR="006024FF" w:rsidRDefault="006024FF" w:rsidP="00271678">
      <w:pPr>
        <w:widowControl w:val="0"/>
        <w:numPr>
          <w:ilvl w:val="1"/>
          <w:numId w:val="32"/>
        </w:numPr>
        <w:spacing w:after="120"/>
        <w:ind w:left="1080"/>
        <w:rPr>
          <w:rFonts w:asciiTheme="minorHAnsi" w:hAnsiTheme="minorHAnsi"/>
          <w:snapToGrid w:val="0"/>
          <w:lang w:val="en-GB"/>
        </w:rPr>
      </w:pPr>
      <w:r>
        <w:rPr>
          <w:rFonts w:asciiTheme="minorHAnsi" w:hAnsiTheme="minorHAnsi"/>
          <w:snapToGrid w:val="0"/>
          <w:lang w:val="en-GB"/>
        </w:rPr>
        <w:t>stipulate that treatment with elranatamab should be as monotherapy</w:t>
      </w:r>
      <w:r w:rsidR="003D0F6F">
        <w:rPr>
          <w:rFonts w:asciiTheme="minorHAnsi" w:hAnsiTheme="minorHAnsi"/>
          <w:snapToGrid w:val="0"/>
          <w:lang w:val="en-GB"/>
        </w:rPr>
        <w:t xml:space="preserve"> to align with the clinical evidence </w:t>
      </w:r>
      <w:proofErr w:type="gramStart"/>
      <w:r w:rsidR="003D0F6F">
        <w:rPr>
          <w:rFonts w:asciiTheme="minorHAnsi" w:hAnsiTheme="minorHAnsi"/>
          <w:snapToGrid w:val="0"/>
          <w:lang w:val="en-GB"/>
        </w:rPr>
        <w:t>presented</w:t>
      </w:r>
      <w:r>
        <w:rPr>
          <w:rFonts w:asciiTheme="minorHAnsi" w:hAnsiTheme="minorHAnsi"/>
          <w:snapToGrid w:val="0"/>
          <w:lang w:val="en-GB"/>
        </w:rPr>
        <w:t>;</w:t>
      </w:r>
      <w:proofErr w:type="gramEnd"/>
    </w:p>
    <w:p w14:paraId="19C2D56C" w14:textId="44B28FAA" w:rsidR="001F237F" w:rsidRDefault="00DD41AB" w:rsidP="00271678">
      <w:pPr>
        <w:widowControl w:val="0"/>
        <w:numPr>
          <w:ilvl w:val="1"/>
          <w:numId w:val="32"/>
        </w:numPr>
        <w:spacing w:after="120"/>
        <w:ind w:left="1080"/>
        <w:rPr>
          <w:rFonts w:asciiTheme="minorHAnsi" w:hAnsiTheme="minorHAnsi"/>
          <w:snapToGrid w:val="0"/>
          <w:lang w:val="en-GB"/>
        </w:rPr>
      </w:pPr>
      <w:r>
        <w:rPr>
          <w:rFonts w:asciiTheme="minorHAnsi" w:hAnsiTheme="minorHAnsi"/>
          <w:snapToGrid w:val="0"/>
          <w:lang w:val="en-GB"/>
        </w:rPr>
        <w:t>include a criterion stating the patients must have a WHO performance status of 2 or less</w:t>
      </w:r>
      <w:r w:rsidR="00F35927">
        <w:rPr>
          <w:rFonts w:asciiTheme="minorHAnsi" w:hAnsiTheme="minorHAnsi"/>
          <w:snapToGrid w:val="0"/>
          <w:lang w:val="en-GB"/>
        </w:rPr>
        <w:t xml:space="preserve"> </w:t>
      </w:r>
      <w:r w:rsidR="00BD0F44">
        <w:rPr>
          <w:rFonts w:asciiTheme="minorHAnsi" w:hAnsiTheme="minorHAnsi"/>
          <w:snapToGrid w:val="0"/>
          <w:lang w:val="en-GB"/>
        </w:rPr>
        <w:t xml:space="preserve">to align with the </w:t>
      </w:r>
      <w:r w:rsidR="008A11D2">
        <w:rPr>
          <w:rFonts w:asciiTheme="minorHAnsi" w:hAnsiTheme="minorHAnsi"/>
          <w:snapToGrid w:val="0"/>
          <w:lang w:val="en-GB"/>
        </w:rPr>
        <w:t xml:space="preserve">clinical </w:t>
      </w:r>
      <w:proofErr w:type="gramStart"/>
      <w:r w:rsidR="008A11D2">
        <w:rPr>
          <w:rFonts w:asciiTheme="minorHAnsi" w:hAnsiTheme="minorHAnsi"/>
          <w:snapToGrid w:val="0"/>
          <w:lang w:val="en-GB"/>
        </w:rPr>
        <w:t>trial;</w:t>
      </w:r>
      <w:proofErr w:type="gramEnd"/>
    </w:p>
    <w:p w14:paraId="4966BF0B" w14:textId="2955A3CF" w:rsidR="00177BFD" w:rsidRDefault="00177BFD" w:rsidP="00271678">
      <w:pPr>
        <w:widowControl w:val="0"/>
        <w:numPr>
          <w:ilvl w:val="1"/>
          <w:numId w:val="32"/>
        </w:numPr>
        <w:spacing w:after="120"/>
        <w:ind w:left="1080"/>
        <w:rPr>
          <w:rFonts w:asciiTheme="minorHAnsi" w:hAnsiTheme="minorHAnsi"/>
          <w:snapToGrid w:val="0"/>
          <w:lang w:val="en-GB"/>
        </w:rPr>
      </w:pPr>
      <w:r>
        <w:rPr>
          <w:rFonts w:asciiTheme="minorHAnsi" w:hAnsiTheme="minorHAnsi"/>
          <w:snapToGrid w:val="0"/>
          <w:lang w:val="en-GB"/>
        </w:rPr>
        <w:t xml:space="preserve">state that </w:t>
      </w:r>
      <w:r w:rsidR="008B06EE">
        <w:rPr>
          <w:rFonts w:asciiTheme="minorHAnsi" w:hAnsiTheme="minorHAnsi"/>
          <w:snapToGrid w:val="0"/>
          <w:lang w:val="en-GB"/>
        </w:rPr>
        <w:t xml:space="preserve">the patient must </w:t>
      </w:r>
      <w:r w:rsidR="00675689">
        <w:rPr>
          <w:rFonts w:asciiTheme="minorHAnsi" w:hAnsiTheme="minorHAnsi"/>
          <w:snapToGrid w:val="0"/>
          <w:lang w:val="en-GB"/>
        </w:rPr>
        <w:t xml:space="preserve">have </w:t>
      </w:r>
      <w:r w:rsidR="003405FC">
        <w:rPr>
          <w:rFonts w:asciiTheme="minorHAnsi" w:hAnsiTheme="minorHAnsi"/>
          <w:snapToGrid w:val="0"/>
          <w:lang w:val="en-GB"/>
        </w:rPr>
        <w:t xml:space="preserve">relapsed </w:t>
      </w:r>
      <w:r w:rsidR="00675689">
        <w:rPr>
          <w:rFonts w:asciiTheme="minorHAnsi" w:hAnsiTheme="minorHAnsi"/>
          <w:snapToGrid w:val="0"/>
          <w:lang w:val="en-GB"/>
        </w:rPr>
        <w:t xml:space="preserve">after, </w:t>
      </w:r>
      <w:r w:rsidR="003405FC">
        <w:rPr>
          <w:rFonts w:asciiTheme="minorHAnsi" w:hAnsiTheme="minorHAnsi"/>
          <w:snapToGrid w:val="0"/>
          <w:lang w:val="en-GB"/>
        </w:rPr>
        <w:t>or be refractory to</w:t>
      </w:r>
      <w:r w:rsidR="00675689">
        <w:rPr>
          <w:rFonts w:asciiTheme="minorHAnsi" w:hAnsiTheme="minorHAnsi"/>
          <w:snapToGrid w:val="0"/>
          <w:lang w:val="en-GB"/>
        </w:rPr>
        <w:t>,</w:t>
      </w:r>
      <w:r w:rsidR="003405FC">
        <w:rPr>
          <w:rFonts w:asciiTheme="minorHAnsi" w:hAnsiTheme="minorHAnsi"/>
          <w:snapToGrid w:val="0"/>
          <w:lang w:val="en-GB"/>
        </w:rPr>
        <w:t xml:space="preserve"> </w:t>
      </w:r>
      <w:r w:rsidR="008B06EE">
        <w:rPr>
          <w:rFonts w:asciiTheme="minorHAnsi" w:hAnsiTheme="minorHAnsi"/>
          <w:snapToGrid w:val="0"/>
          <w:lang w:val="en-GB"/>
        </w:rPr>
        <w:t>at least 3 prior lines of therapy</w:t>
      </w:r>
      <w:r w:rsidR="003405FC">
        <w:rPr>
          <w:rFonts w:asciiTheme="minorHAnsi" w:hAnsiTheme="minorHAnsi"/>
          <w:snapToGrid w:val="0"/>
          <w:lang w:val="en-GB"/>
        </w:rPr>
        <w:t xml:space="preserve"> including </w:t>
      </w:r>
      <w:r w:rsidR="005F4B5B">
        <w:rPr>
          <w:rFonts w:asciiTheme="minorHAnsi" w:hAnsiTheme="minorHAnsi"/>
          <w:snapToGrid w:val="0"/>
          <w:lang w:val="en-GB"/>
        </w:rPr>
        <w:t xml:space="preserve">a proteasome inhibitor, an immunomodulatory agent and an anti-CD38 monoclonal </w:t>
      </w:r>
      <w:proofErr w:type="gramStart"/>
      <w:r w:rsidR="005F4B5B">
        <w:rPr>
          <w:rFonts w:asciiTheme="minorHAnsi" w:hAnsiTheme="minorHAnsi"/>
          <w:snapToGrid w:val="0"/>
          <w:lang w:val="en-GB"/>
        </w:rPr>
        <w:t>antibody;</w:t>
      </w:r>
      <w:proofErr w:type="gramEnd"/>
    </w:p>
    <w:p w14:paraId="37ACBD35" w14:textId="169BB572" w:rsidR="006024FF" w:rsidRDefault="0027723D" w:rsidP="00271678">
      <w:pPr>
        <w:widowControl w:val="0"/>
        <w:numPr>
          <w:ilvl w:val="1"/>
          <w:numId w:val="32"/>
        </w:numPr>
        <w:spacing w:after="120"/>
        <w:ind w:left="1080"/>
        <w:rPr>
          <w:rFonts w:asciiTheme="minorHAnsi" w:hAnsiTheme="minorHAnsi"/>
          <w:snapToGrid w:val="0"/>
          <w:lang w:val="en-GB"/>
        </w:rPr>
      </w:pPr>
      <w:r>
        <w:rPr>
          <w:rFonts w:asciiTheme="minorHAnsi" w:hAnsiTheme="minorHAnsi"/>
          <w:snapToGrid w:val="0"/>
          <w:lang w:val="en-GB"/>
        </w:rPr>
        <w:t>prevent use in patients who have received a prior BCMA-directed therapy</w:t>
      </w:r>
      <w:r w:rsidR="00A3728C">
        <w:rPr>
          <w:rFonts w:asciiTheme="minorHAnsi" w:hAnsiTheme="minorHAnsi"/>
          <w:snapToGrid w:val="0"/>
          <w:lang w:val="en-GB"/>
        </w:rPr>
        <w:t>;</w:t>
      </w:r>
      <w:r w:rsidR="00271678">
        <w:rPr>
          <w:rFonts w:asciiTheme="minorHAnsi" w:hAnsiTheme="minorHAnsi"/>
          <w:snapToGrid w:val="0"/>
          <w:lang w:val="en-GB"/>
        </w:rPr>
        <w:t xml:space="preserve"> and</w:t>
      </w:r>
    </w:p>
    <w:p w14:paraId="2AE6E713" w14:textId="2FA086A8" w:rsidR="00A3728C" w:rsidRDefault="00A3728C" w:rsidP="00271678">
      <w:pPr>
        <w:widowControl w:val="0"/>
        <w:numPr>
          <w:ilvl w:val="1"/>
          <w:numId w:val="32"/>
        </w:numPr>
        <w:spacing w:after="120"/>
        <w:ind w:left="1080"/>
        <w:rPr>
          <w:rFonts w:asciiTheme="minorHAnsi" w:hAnsiTheme="minorHAnsi"/>
          <w:snapToGrid w:val="0"/>
          <w:lang w:val="en-GB"/>
        </w:rPr>
      </w:pPr>
      <w:r>
        <w:rPr>
          <w:rFonts w:asciiTheme="minorHAnsi" w:hAnsiTheme="minorHAnsi"/>
          <w:snapToGrid w:val="0"/>
          <w:lang w:val="en-GB"/>
        </w:rPr>
        <w:t>state that treatment is not PBS-subsidised if it is administered to an inpatient in a public hospital setting</w:t>
      </w:r>
      <w:r w:rsidR="00271678">
        <w:rPr>
          <w:rFonts w:asciiTheme="minorHAnsi" w:hAnsiTheme="minorHAnsi"/>
          <w:snapToGrid w:val="0"/>
          <w:lang w:val="en-GB"/>
        </w:rPr>
        <w:t>.</w:t>
      </w:r>
    </w:p>
    <w:p w14:paraId="7491ECD7" w14:textId="1462E20C" w:rsidR="006E0807" w:rsidRDefault="006E0807" w:rsidP="00301078">
      <w:pPr>
        <w:widowControl w:val="0"/>
        <w:numPr>
          <w:ilvl w:val="1"/>
          <w:numId w:val="32"/>
        </w:numPr>
        <w:spacing w:after="120"/>
        <w:ind w:left="1080"/>
        <w:rPr>
          <w:rFonts w:asciiTheme="minorHAnsi" w:hAnsiTheme="minorHAnsi"/>
          <w:snapToGrid w:val="0"/>
          <w:lang w:val="en-GB"/>
        </w:rPr>
      </w:pPr>
      <w:r>
        <w:rPr>
          <w:rFonts w:asciiTheme="minorHAnsi" w:hAnsiTheme="minorHAnsi"/>
          <w:snapToGrid w:val="0"/>
          <w:lang w:val="en-GB"/>
        </w:rPr>
        <w:t>for induction (step-up) treatment</w:t>
      </w:r>
      <w:r w:rsidR="00B10652">
        <w:rPr>
          <w:rFonts w:asciiTheme="minorHAnsi" w:hAnsiTheme="minorHAnsi"/>
          <w:snapToGrid w:val="0"/>
          <w:lang w:val="en-GB"/>
        </w:rPr>
        <w:t>,</w:t>
      </w:r>
      <w:r>
        <w:rPr>
          <w:rFonts w:asciiTheme="minorHAnsi" w:hAnsiTheme="minorHAnsi"/>
          <w:snapToGrid w:val="0"/>
          <w:lang w:val="en-GB"/>
        </w:rPr>
        <w:t xml:space="preserve"> </w:t>
      </w:r>
      <w:r w:rsidR="00301078">
        <w:rPr>
          <w:rFonts w:asciiTheme="minorHAnsi" w:hAnsiTheme="minorHAnsi"/>
          <w:snapToGrid w:val="0"/>
          <w:lang w:val="en-GB"/>
        </w:rPr>
        <w:t>be listed as 1 vial with 1 repeat</w:t>
      </w:r>
      <w:r>
        <w:rPr>
          <w:rFonts w:asciiTheme="minorHAnsi" w:hAnsiTheme="minorHAnsi"/>
          <w:snapToGrid w:val="0"/>
          <w:lang w:val="en-GB"/>
        </w:rPr>
        <w:t xml:space="preserve">; and </w:t>
      </w:r>
    </w:p>
    <w:p w14:paraId="6441AE0D" w14:textId="0478018D" w:rsidR="002B6EE2" w:rsidRPr="00301078" w:rsidRDefault="006E0807" w:rsidP="00301078">
      <w:pPr>
        <w:widowControl w:val="0"/>
        <w:numPr>
          <w:ilvl w:val="1"/>
          <w:numId w:val="32"/>
        </w:numPr>
        <w:spacing w:after="120"/>
        <w:ind w:left="1080"/>
        <w:rPr>
          <w:rFonts w:asciiTheme="minorHAnsi" w:hAnsiTheme="minorHAnsi"/>
          <w:snapToGrid w:val="0"/>
          <w:lang w:val="en-GB"/>
        </w:rPr>
      </w:pPr>
      <w:r>
        <w:rPr>
          <w:rFonts w:asciiTheme="minorHAnsi" w:hAnsiTheme="minorHAnsi"/>
          <w:snapToGrid w:val="0"/>
          <w:lang w:val="en-GB"/>
        </w:rPr>
        <w:t>for continuing treatment</w:t>
      </w:r>
      <w:r w:rsidR="00B10652">
        <w:rPr>
          <w:rFonts w:asciiTheme="minorHAnsi" w:hAnsiTheme="minorHAnsi"/>
          <w:snapToGrid w:val="0"/>
          <w:lang w:val="en-GB"/>
        </w:rPr>
        <w:t>,</w:t>
      </w:r>
      <w:r>
        <w:rPr>
          <w:rFonts w:asciiTheme="minorHAnsi" w:hAnsiTheme="minorHAnsi"/>
          <w:snapToGrid w:val="0"/>
          <w:lang w:val="en-GB"/>
        </w:rPr>
        <w:t xml:space="preserve"> </w:t>
      </w:r>
      <w:r w:rsidR="00072014">
        <w:rPr>
          <w:rFonts w:asciiTheme="minorHAnsi" w:hAnsiTheme="minorHAnsi"/>
          <w:snapToGrid w:val="0"/>
          <w:lang w:val="en-GB"/>
        </w:rPr>
        <w:t xml:space="preserve">be listed as </w:t>
      </w:r>
      <w:r w:rsidR="00301078">
        <w:rPr>
          <w:rFonts w:asciiTheme="minorHAnsi" w:hAnsiTheme="minorHAnsi"/>
          <w:snapToGrid w:val="0"/>
          <w:lang w:val="en-GB"/>
        </w:rPr>
        <w:t>1 vial with 5 repeats</w:t>
      </w:r>
      <w:r w:rsidR="00B10652">
        <w:rPr>
          <w:rFonts w:asciiTheme="minorHAnsi" w:hAnsiTheme="minorHAnsi"/>
          <w:snapToGrid w:val="0"/>
          <w:lang w:val="en-GB"/>
        </w:rPr>
        <w:t>. A</w:t>
      </w:r>
      <w:r w:rsidR="004A13DE" w:rsidRPr="00301078">
        <w:rPr>
          <w:rFonts w:asciiTheme="minorHAnsi" w:hAnsiTheme="minorHAnsi"/>
          <w:snapToGrid w:val="0"/>
          <w:lang w:val="en-GB"/>
        </w:rPr>
        <w:t xml:space="preserve"> </w:t>
      </w:r>
      <w:r w:rsidR="00371109" w:rsidRPr="00301078">
        <w:rPr>
          <w:rFonts w:asciiTheme="minorHAnsi" w:hAnsiTheme="minorHAnsi"/>
          <w:snapToGrid w:val="0"/>
          <w:lang w:val="en-GB"/>
        </w:rPr>
        <w:t>P</w:t>
      </w:r>
      <w:r w:rsidR="004A13DE" w:rsidRPr="00301078">
        <w:rPr>
          <w:rFonts w:asciiTheme="minorHAnsi" w:hAnsiTheme="minorHAnsi"/>
          <w:snapToGrid w:val="0"/>
          <w:lang w:val="en-GB"/>
        </w:rPr>
        <w:t xml:space="preserve">rescriber </w:t>
      </w:r>
      <w:r w:rsidR="00371109" w:rsidRPr="00301078">
        <w:rPr>
          <w:rFonts w:asciiTheme="minorHAnsi" w:hAnsiTheme="minorHAnsi"/>
          <w:snapToGrid w:val="0"/>
          <w:lang w:val="en-GB"/>
        </w:rPr>
        <w:t>I</w:t>
      </w:r>
      <w:r w:rsidR="004A13DE" w:rsidRPr="00301078">
        <w:rPr>
          <w:rFonts w:asciiTheme="minorHAnsi" w:hAnsiTheme="minorHAnsi"/>
          <w:snapToGrid w:val="0"/>
          <w:lang w:val="en-GB"/>
        </w:rPr>
        <w:t>nstruction</w:t>
      </w:r>
      <w:r w:rsidR="00A3468E" w:rsidRPr="00301078">
        <w:rPr>
          <w:rFonts w:asciiTheme="minorHAnsi" w:hAnsiTheme="minorHAnsi"/>
          <w:snapToGrid w:val="0"/>
          <w:lang w:val="en-GB"/>
        </w:rPr>
        <w:t xml:space="preserve"> </w:t>
      </w:r>
      <w:r w:rsidR="00B10652">
        <w:rPr>
          <w:rFonts w:asciiTheme="minorHAnsi" w:hAnsiTheme="minorHAnsi"/>
          <w:snapToGrid w:val="0"/>
          <w:lang w:val="en-GB"/>
        </w:rPr>
        <w:t xml:space="preserve">should be included to </w:t>
      </w:r>
      <w:r w:rsidR="00FB0302" w:rsidRPr="00301078">
        <w:rPr>
          <w:rFonts w:asciiTheme="minorHAnsi" w:hAnsiTheme="minorHAnsi"/>
          <w:snapToGrid w:val="0"/>
          <w:lang w:val="en-GB"/>
        </w:rPr>
        <w:t>allow</w:t>
      </w:r>
      <w:r w:rsidR="00993DC8" w:rsidRPr="00301078">
        <w:rPr>
          <w:rFonts w:asciiTheme="minorHAnsi" w:hAnsiTheme="minorHAnsi"/>
          <w:snapToGrid w:val="0"/>
          <w:lang w:val="en-GB"/>
        </w:rPr>
        <w:t xml:space="preserve"> </w:t>
      </w:r>
      <w:r w:rsidR="0011082E" w:rsidRPr="00301078">
        <w:rPr>
          <w:rFonts w:asciiTheme="minorHAnsi" w:hAnsiTheme="minorHAnsi"/>
          <w:snapToGrid w:val="0"/>
          <w:lang w:val="en-GB"/>
        </w:rPr>
        <w:t xml:space="preserve">prescribers </w:t>
      </w:r>
      <w:r w:rsidR="000F1052" w:rsidRPr="00301078">
        <w:rPr>
          <w:rFonts w:asciiTheme="minorHAnsi" w:hAnsiTheme="minorHAnsi"/>
          <w:snapToGrid w:val="0"/>
          <w:lang w:val="en-GB"/>
        </w:rPr>
        <w:t>to</w:t>
      </w:r>
      <w:r w:rsidR="000C448D" w:rsidRPr="00301078">
        <w:rPr>
          <w:rFonts w:asciiTheme="minorHAnsi" w:hAnsiTheme="minorHAnsi"/>
          <w:snapToGrid w:val="0"/>
          <w:lang w:val="en-GB"/>
        </w:rPr>
        <w:t xml:space="preserve"> increase</w:t>
      </w:r>
      <w:r w:rsidR="000F1052" w:rsidRPr="00301078">
        <w:rPr>
          <w:rFonts w:asciiTheme="minorHAnsi" w:hAnsiTheme="minorHAnsi"/>
          <w:snapToGrid w:val="0"/>
          <w:lang w:val="en-GB"/>
        </w:rPr>
        <w:t xml:space="preserve"> the</w:t>
      </w:r>
      <w:r w:rsidR="000C448D" w:rsidRPr="00301078">
        <w:rPr>
          <w:rFonts w:asciiTheme="minorHAnsi" w:hAnsiTheme="minorHAnsi"/>
          <w:snapToGrid w:val="0"/>
          <w:lang w:val="en-GB"/>
        </w:rPr>
        <w:t xml:space="preserve"> quantit</w:t>
      </w:r>
      <w:r w:rsidR="000F1052" w:rsidRPr="00301078">
        <w:rPr>
          <w:rFonts w:asciiTheme="minorHAnsi" w:hAnsiTheme="minorHAnsi"/>
          <w:snapToGrid w:val="0"/>
          <w:lang w:val="en-GB"/>
        </w:rPr>
        <w:t xml:space="preserve">y of vials </w:t>
      </w:r>
      <w:r w:rsidR="00B10652">
        <w:rPr>
          <w:rFonts w:asciiTheme="minorHAnsi" w:hAnsiTheme="minorHAnsi"/>
          <w:snapToGrid w:val="0"/>
          <w:lang w:val="en-GB"/>
        </w:rPr>
        <w:t xml:space="preserve">required to </w:t>
      </w:r>
      <w:r w:rsidR="00B20838" w:rsidRPr="00301078">
        <w:rPr>
          <w:rFonts w:asciiTheme="minorHAnsi" w:hAnsiTheme="minorHAnsi"/>
          <w:snapToGrid w:val="0"/>
          <w:lang w:val="en-GB"/>
        </w:rPr>
        <w:t>provid</w:t>
      </w:r>
      <w:r w:rsidR="00B10652">
        <w:rPr>
          <w:rFonts w:asciiTheme="minorHAnsi" w:hAnsiTheme="minorHAnsi"/>
          <w:snapToGrid w:val="0"/>
          <w:lang w:val="en-GB"/>
        </w:rPr>
        <w:t>e</w:t>
      </w:r>
      <w:r w:rsidR="00B20838" w:rsidRPr="00301078">
        <w:rPr>
          <w:rFonts w:asciiTheme="minorHAnsi" w:hAnsiTheme="minorHAnsi"/>
          <w:snapToGrid w:val="0"/>
          <w:lang w:val="en-GB"/>
        </w:rPr>
        <w:t xml:space="preserve"> for 4</w:t>
      </w:r>
      <w:r w:rsidR="003C7841">
        <w:rPr>
          <w:rFonts w:asciiTheme="minorHAnsi" w:hAnsiTheme="minorHAnsi"/>
          <w:snapToGrid w:val="0"/>
          <w:lang w:val="en-GB"/>
        </w:rPr>
        <w:t>-</w:t>
      </w:r>
      <w:r w:rsidR="00B20838" w:rsidRPr="00301078">
        <w:rPr>
          <w:rFonts w:asciiTheme="minorHAnsi" w:hAnsiTheme="minorHAnsi"/>
          <w:snapToGrid w:val="0"/>
          <w:lang w:val="en-GB"/>
        </w:rPr>
        <w:t xml:space="preserve">weeks of treatment in line with the dosing </w:t>
      </w:r>
      <w:r w:rsidR="00225AC5" w:rsidRPr="00301078">
        <w:rPr>
          <w:rFonts w:asciiTheme="minorHAnsi" w:hAnsiTheme="minorHAnsi"/>
          <w:snapToGrid w:val="0"/>
          <w:lang w:val="en-GB"/>
        </w:rPr>
        <w:t xml:space="preserve">requirements </w:t>
      </w:r>
      <w:r w:rsidR="006C1E10">
        <w:rPr>
          <w:rFonts w:asciiTheme="minorHAnsi" w:hAnsiTheme="minorHAnsi"/>
          <w:snapToGrid w:val="0"/>
          <w:lang w:val="en-GB"/>
        </w:rPr>
        <w:t xml:space="preserve">for each </w:t>
      </w:r>
      <w:r w:rsidR="006F666B">
        <w:rPr>
          <w:rFonts w:asciiTheme="minorHAnsi" w:hAnsiTheme="minorHAnsi"/>
          <w:snapToGrid w:val="0"/>
          <w:lang w:val="en-GB"/>
        </w:rPr>
        <w:t>stage of treatment</w:t>
      </w:r>
      <w:r w:rsidR="00B10652">
        <w:rPr>
          <w:rFonts w:asciiTheme="minorHAnsi" w:hAnsiTheme="minorHAnsi"/>
          <w:snapToGrid w:val="0"/>
          <w:lang w:val="en-GB"/>
        </w:rPr>
        <w:t>,</w:t>
      </w:r>
      <w:r w:rsidR="006F666B">
        <w:rPr>
          <w:rFonts w:asciiTheme="minorHAnsi" w:hAnsiTheme="minorHAnsi"/>
          <w:snapToGrid w:val="0"/>
          <w:lang w:val="en-GB"/>
        </w:rPr>
        <w:t xml:space="preserve"> </w:t>
      </w:r>
      <w:r w:rsidR="0014480A">
        <w:rPr>
          <w:rFonts w:asciiTheme="minorHAnsi" w:hAnsiTheme="minorHAnsi"/>
          <w:snapToGrid w:val="0"/>
          <w:lang w:val="en-GB"/>
        </w:rPr>
        <w:t>as specified</w:t>
      </w:r>
      <w:r w:rsidR="008E6B25">
        <w:rPr>
          <w:rFonts w:asciiTheme="minorHAnsi" w:hAnsiTheme="minorHAnsi"/>
          <w:snapToGrid w:val="0"/>
          <w:lang w:val="en-GB"/>
        </w:rPr>
        <w:t xml:space="preserve"> in</w:t>
      </w:r>
      <w:r w:rsidR="00BA32A5" w:rsidRPr="00301078">
        <w:rPr>
          <w:rFonts w:asciiTheme="minorHAnsi" w:hAnsiTheme="minorHAnsi"/>
          <w:snapToGrid w:val="0"/>
          <w:lang w:val="en-GB"/>
        </w:rPr>
        <w:t xml:space="preserve"> </w:t>
      </w:r>
      <w:r w:rsidR="00211527" w:rsidRPr="00301078">
        <w:rPr>
          <w:rFonts w:asciiTheme="minorHAnsi" w:hAnsiTheme="minorHAnsi"/>
          <w:snapToGrid w:val="0"/>
          <w:lang w:val="en-GB"/>
        </w:rPr>
        <w:t>TGA P</w:t>
      </w:r>
      <w:r w:rsidR="00002A1E" w:rsidRPr="00301078">
        <w:rPr>
          <w:rFonts w:asciiTheme="minorHAnsi" w:hAnsiTheme="minorHAnsi"/>
          <w:snapToGrid w:val="0"/>
          <w:lang w:val="en-GB"/>
        </w:rPr>
        <w:t>roduct Information</w:t>
      </w:r>
      <w:r w:rsidR="00B10652">
        <w:rPr>
          <w:rFonts w:asciiTheme="minorHAnsi" w:hAnsiTheme="minorHAnsi"/>
          <w:snapToGrid w:val="0"/>
          <w:lang w:val="en-GB"/>
        </w:rPr>
        <w:t>. T</w:t>
      </w:r>
      <w:r w:rsidR="00002A1E" w:rsidRPr="00301078">
        <w:rPr>
          <w:rFonts w:asciiTheme="minorHAnsi" w:hAnsiTheme="minorHAnsi"/>
          <w:snapToGrid w:val="0"/>
          <w:lang w:val="en-GB"/>
        </w:rPr>
        <w:t xml:space="preserve">he intention </w:t>
      </w:r>
      <w:r w:rsidR="00B10652">
        <w:rPr>
          <w:rFonts w:asciiTheme="minorHAnsi" w:hAnsiTheme="minorHAnsi"/>
          <w:snapToGrid w:val="0"/>
          <w:lang w:val="en-GB"/>
        </w:rPr>
        <w:t xml:space="preserve">is </w:t>
      </w:r>
      <w:r w:rsidR="00383466">
        <w:rPr>
          <w:rFonts w:asciiTheme="minorHAnsi" w:hAnsiTheme="minorHAnsi"/>
          <w:snapToGrid w:val="0"/>
          <w:lang w:val="en-GB"/>
        </w:rPr>
        <w:t>to</w:t>
      </w:r>
      <w:r w:rsidR="00002A1E" w:rsidRPr="00301078">
        <w:rPr>
          <w:rFonts w:asciiTheme="minorHAnsi" w:hAnsiTheme="minorHAnsi"/>
          <w:snapToGrid w:val="0"/>
          <w:lang w:val="en-GB"/>
        </w:rPr>
        <w:t xml:space="preserve"> </w:t>
      </w:r>
      <w:r w:rsidR="0043589C">
        <w:rPr>
          <w:rFonts w:asciiTheme="minorHAnsi" w:hAnsiTheme="minorHAnsi"/>
          <w:snapToGrid w:val="0"/>
          <w:lang w:val="en-GB"/>
        </w:rPr>
        <w:t>provide 24</w:t>
      </w:r>
      <w:r w:rsidR="00A638CC">
        <w:rPr>
          <w:rFonts w:asciiTheme="minorHAnsi" w:hAnsiTheme="minorHAnsi"/>
          <w:snapToGrid w:val="0"/>
          <w:lang w:val="en-GB"/>
        </w:rPr>
        <w:t>-</w:t>
      </w:r>
      <w:r w:rsidR="0043589C">
        <w:rPr>
          <w:rFonts w:asciiTheme="minorHAnsi" w:hAnsiTheme="minorHAnsi"/>
          <w:snapToGrid w:val="0"/>
          <w:lang w:val="en-GB"/>
        </w:rPr>
        <w:t xml:space="preserve">weeks of treatment (inclusive of repeats) and </w:t>
      </w:r>
      <w:r w:rsidR="00002A1E" w:rsidRPr="00301078">
        <w:rPr>
          <w:rFonts w:asciiTheme="minorHAnsi" w:hAnsiTheme="minorHAnsi"/>
          <w:snapToGrid w:val="0"/>
          <w:lang w:val="en-GB"/>
        </w:rPr>
        <w:t>reduc</w:t>
      </w:r>
      <w:r w:rsidR="00B10652">
        <w:rPr>
          <w:rFonts w:asciiTheme="minorHAnsi" w:hAnsiTheme="minorHAnsi"/>
          <w:snapToGrid w:val="0"/>
          <w:lang w:val="en-GB"/>
        </w:rPr>
        <w:t>e</w:t>
      </w:r>
      <w:r w:rsidR="00002A1E" w:rsidRPr="00301078">
        <w:rPr>
          <w:rFonts w:asciiTheme="minorHAnsi" w:hAnsiTheme="minorHAnsi"/>
          <w:snapToGrid w:val="0"/>
          <w:lang w:val="en-GB"/>
        </w:rPr>
        <w:t xml:space="preserve"> </w:t>
      </w:r>
      <w:r w:rsidR="00CD2F1B">
        <w:rPr>
          <w:rFonts w:asciiTheme="minorHAnsi" w:hAnsiTheme="minorHAnsi"/>
          <w:snapToGrid w:val="0"/>
          <w:lang w:val="en-GB"/>
        </w:rPr>
        <w:t>extra</w:t>
      </w:r>
      <w:r w:rsidR="00A43F46" w:rsidRPr="00301078">
        <w:rPr>
          <w:rFonts w:asciiTheme="minorHAnsi" w:hAnsiTheme="minorHAnsi"/>
          <w:snapToGrid w:val="0"/>
          <w:lang w:val="en-GB"/>
        </w:rPr>
        <w:t xml:space="preserve"> co</w:t>
      </w:r>
      <w:r>
        <w:rPr>
          <w:rFonts w:asciiTheme="minorHAnsi" w:hAnsiTheme="minorHAnsi"/>
          <w:snapToGrid w:val="0"/>
          <w:lang w:val="en-GB"/>
        </w:rPr>
        <w:t>-</w:t>
      </w:r>
      <w:r w:rsidR="00A43F46" w:rsidRPr="00301078">
        <w:rPr>
          <w:rFonts w:asciiTheme="minorHAnsi" w:hAnsiTheme="minorHAnsi"/>
          <w:snapToGrid w:val="0"/>
          <w:lang w:val="en-GB"/>
        </w:rPr>
        <w:t xml:space="preserve">payments </w:t>
      </w:r>
      <w:r w:rsidR="001D0873" w:rsidRPr="00301078">
        <w:rPr>
          <w:rFonts w:asciiTheme="minorHAnsi" w:hAnsiTheme="minorHAnsi"/>
          <w:snapToGrid w:val="0"/>
          <w:lang w:val="en-GB"/>
        </w:rPr>
        <w:t>for</w:t>
      </w:r>
      <w:r w:rsidR="009A4144" w:rsidRPr="00301078">
        <w:rPr>
          <w:rFonts w:asciiTheme="minorHAnsi" w:hAnsiTheme="minorHAnsi"/>
          <w:snapToGrid w:val="0"/>
          <w:lang w:val="en-GB"/>
        </w:rPr>
        <w:t xml:space="preserve"> patients.</w:t>
      </w:r>
    </w:p>
    <w:p w14:paraId="3C954D2B" w14:textId="00618EB8" w:rsidR="00F93E5B" w:rsidRDefault="00C71542" w:rsidP="00F102F0">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considered that the </w:t>
      </w:r>
      <w:r w:rsidR="002D662A">
        <w:rPr>
          <w:rFonts w:asciiTheme="minorHAnsi" w:hAnsiTheme="minorHAnsi"/>
          <w:snapToGrid w:val="0"/>
          <w:lang w:val="en-GB"/>
        </w:rPr>
        <w:t>comparator, standard of care, represented by Cd</w:t>
      </w:r>
      <w:r w:rsidR="001E44E8">
        <w:rPr>
          <w:rFonts w:asciiTheme="minorHAnsi" w:hAnsiTheme="minorHAnsi"/>
          <w:snapToGrid w:val="0"/>
          <w:lang w:val="en-GB"/>
        </w:rPr>
        <w:t xml:space="preserve"> (51%)</w:t>
      </w:r>
      <w:r w:rsidR="002D662A">
        <w:rPr>
          <w:rFonts w:asciiTheme="minorHAnsi" w:hAnsiTheme="minorHAnsi"/>
          <w:snapToGrid w:val="0"/>
          <w:lang w:val="en-GB"/>
        </w:rPr>
        <w:t xml:space="preserve">, Pd </w:t>
      </w:r>
      <w:r w:rsidR="001E44E8">
        <w:rPr>
          <w:rFonts w:asciiTheme="minorHAnsi" w:hAnsiTheme="minorHAnsi"/>
          <w:snapToGrid w:val="0"/>
          <w:lang w:val="en-GB"/>
        </w:rPr>
        <w:t xml:space="preserve">(46.5%) </w:t>
      </w:r>
      <w:r w:rsidR="002D662A">
        <w:rPr>
          <w:rFonts w:asciiTheme="minorHAnsi" w:hAnsiTheme="minorHAnsi"/>
          <w:snapToGrid w:val="0"/>
          <w:lang w:val="en-GB"/>
        </w:rPr>
        <w:t xml:space="preserve">and Sd </w:t>
      </w:r>
      <w:r w:rsidR="001E44E8">
        <w:rPr>
          <w:rFonts w:asciiTheme="minorHAnsi" w:hAnsiTheme="minorHAnsi"/>
          <w:snapToGrid w:val="0"/>
          <w:lang w:val="en-GB"/>
        </w:rPr>
        <w:t xml:space="preserve">(2.5%) </w:t>
      </w:r>
      <w:r w:rsidR="002D662A">
        <w:rPr>
          <w:rFonts w:asciiTheme="minorHAnsi" w:hAnsiTheme="minorHAnsi"/>
          <w:snapToGrid w:val="0"/>
          <w:lang w:val="en-GB"/>
        </w:rPr>
        <w:t>was appropriate</w:t>
      </w:r>
      <w:r w:rsidR="009E0453">
        <w:rPr>
          <w:rFonts w:asciiTheme="minorHAnsi" w:hAnsiTheme="minorHAnsi"/>
          <w:snapToGrid w:val="0"/>
          <w:lang w:val="en-GB"/>
        </w:rPr>
        <w:t xml:space="preserve"> and </w:t>
      </w:r>
      <w:r w:rsidR="00725341">
        <w:rPr>
          <w:rFonts w:asciiTheme="minorHAnsi" w:hAnsiTheme="minorHAnsi"/>
          <w:snapToGrid w:val="0"/>
          <w:lang w:val="en-GB"/>
        </w:rPr>
        <w:t>reflected</w:t>
      </w:r>
      <w:r w:rsidR="00A046EC">
        <w:rPr>
          <w:rFonts w:asciiTheme="minorHAnsi" w:hAnsiTheme="minorHAnsi"/>
          <w:snapToGrid w:val="0"/>
          <w:lang w:val="en-GB"/>
        </w:rPr>
        <w:t xml:space="preserve"> </w:t>
      </w:r>
      <w:r w:rsidR="00615FAF">
        <w:rPr>
          <w:rFonts w:asciiTheme="minorHAnsi" w:hAnsiTheme="minorHAnsi"/>
          <w:snapToGrid w:val="0"/>
          <w:lang w:val="en-GB"/>
        </w:rPr>
        <w:t>clinical practice.</w:t>
      </w:r>
      <w:r w:rsidR="00F037AD">
        <w:rPr>
          <w:rFonts w:asciiTheme="minorHAnsi" w:hAnsiTheme="minorHAnsi"/>
          <w:snapToGrid w:val="0"/>
          <w:lang w:val="en-GB"/>
        </w:rPr>
        <w:t xml:space="preserve"> The PBAC considered that the </w:t>
      </w:r>
      <w:r w:rsidR="00FA353D">
        <w:rPr>
          <w:rFonts w:asciiTheme="minorHAnsi" w:hAnsiTheme="minorHAnsi"/>
          <w:snapToGrid w:val="0"/>
          <w:lang w:val="en-GB"/>
        </w:rPr>
        <w:t>estimated weighting for each therapy was reasonable.</w:t>
      </w:r>
    </w:p>
    <w:p w14:paraId="1629797E" w14:textId="461F5B45" w:rsidR="00957CDF" w:rsidRDefault="00FE16F7" w:rsidP="00F102F0">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that the </w:t>
      </w:r>
      <w:r w:rsidR="0013410E">
        <w:rPr>
          <w:rFonts w:asciiTheme="minorHAnsi" w:hAnsiTheme="minorHAnsi"/>
          <w:snapToGrid w:val="0"/>
          <w:lang w:val="en-GB"/>
        </w:rPr>
        <w:t>resubmission presented updated elranatamab data from Cohort A</w:t>
      </w:r>
      <w:r w:rsidR="009B12F1">
        <w:rPr>
          <w:rFonts w:asciiTheme="minorHAnsi" w:hAnsiTheme="minorHAnsi"/>
          <w:snapToGrid w:val="0"/>
          <w:lang w:val="en-GB"/>
        </w:rPr>
        <w:t xml:space="preserve"> (patients who were naïve to BCMA-directed therapies)</w:t>
      </w:r>
      <w:r w:rsidR="0013410E">
        <w:rPr>
          <w:rFonts w:asciiTheme="minorHAnsi" w:hAnsiTheme="minorHAnsi"/>
          <w:snapToGrid w:val="0"/>
          <w:lang w:val="en-GB"/>
        </w:rPr>
        <w:t xml:space="preserve"> </w:t>
      </w:r>
      <w:r w:rsidR="0079688B">
        <w:rPr>
          <w:rFonts w:asciiTheme="minorHAnsi" w:hAnsiTheme="minorHAnsi"/>
          <w:snapToGrid w:val="0"/>
          <w:lang w:val="en-GB"/>
        </w:rPr>
        <w:t>of</w:t>
      </w:r>
      <w:r w:rsidR="001B30BD">
        <w:rPr>
          <w:rFonts w:asciiTheme="minorHAnsi" w:hAnsiTheme="minorHAnsi"/>
          <w:snapToGrid w:val="0"/>
          <w:lang w:val="en-GB"/>
        </w:rPr>
        <w:t xml:space="preserve"> the </w:t>
      </w:r>
      <w:r w:rsidR="0013410E">
        <w:rPr>
          <w:rFonts w:asciiTheme="minorHAnsi" w:hAnsiTheme="minorHAnsi"/>
          <w:snapToGrid w:val="0"/>
          <w:lang w:val="en-GB"/>
        </w:rPr>
        <w:t xml:space="preserve">single arm study, </w:t>
      </w:r>
      <w:r w:rsidR="001B30BD">
        <w:rPr>
          <w:rFonts w:asciiTheme="minorHAnsi" w:hAnsiTheme="minorHAnsi"/>
          <w:snapToGrid w:val="0"/>
          <w:lang w:val="en-GB"/>
        </w:rPr>
        <w:t>MagnetisMM-3 trial</w:t>
      </w:r>
      <w:r w:rsidR="00E0756E">
        <w:rPr>
          <w:rFonts w:asciiTheme="minorHAnsi" w:hAnsiTheme="minorHAnsi"/>
          <w:snapToGrid w:val="0"/>
          <w:lang w:val="en-GB"/>
        </w:rPr>
        <w:t>,</w:t>
      </w:r>
      <w:r w:rsidR="0079688B">
        <w:rPr>
          <w:rFonts w:asciiTheme="minorHAnsi" w:hAnsiTheme="minorHAnsi"/>
          <w:snapToGrid w:val="0"/>
          <w:lang w:val="en-GB"/>
        </w:rPr>
        <w:t xml:space="preserve"> (N = 123)</w:t>
      </w:r>
      <w:r w:rsidR="00E0756E">
        <w:rPr>
          <w:rFonts w:asciiTheme="minorHAnsi" w:hAnsiTheme="minorHAnsi"/>
          <w:snapToGrid w:val="0"/>
          <w:lang w:val="en-GB"/>
        </w:rPr>
        <w:t xml:space="preserve">. </w:t>
      </w:r>
      <w:r w:rsidR="00523235">
        <w:rPr>
          <w:rFonts w:asciiTheme="minorHAnsi" w:hAnsiTheme="minorHAnsi"/>
          <w:snapToGrid w:val="0"/>
          <w:lang w:val="en-GB"/>
        </w:rPr>
        <w:t xml:space="preserve">Treatment with elranatamab was associated with </w:t>
      </w:r>
      <w:r w:rsidR="0071752F">
        <w:rPr>
          <w:rFonts w:asciiTheme="minorHAnsi" w:hAnsiTheme="minorHAnsi"/>
          <w:snapToGrid w:val="0"/>
          <w:lang w:val="en-GB"/>
        </w:rPr>
        <w:t>an overall response rate of 61.0% and a complete response rate of 37.4%</w:t>
      </w:r>
      <w:r w:rsidR="00EC58A5">
        <w:rPr>
          <w:rFonts w:asciiTheme="minorHAnsi" w:hAnsiTheme="minorHAnsi"/>
          <w:snapToGrid w:val="0"/>
          <w:lang w:val="en-GB"/>
        </w:rPr>
        <w:t xml:space="preserve"> after a median follow-up of 28.4 m</w:t>
      </w:r>
      <w:r w:rsidR="00D3556E">
        <w:rPr>
          <w:rFonts w:asciiTheme="minorHAnsi" w:hAnsiTheme="minorHAnsi"/>
          <w:snapToGrid w:val="0"/>
          <w:lang w:val="en-GB"/>
        </w:rPr>
        <w:t>o</w:t>
      </w:r>
      <w:r w:rsidR="00EC58A5">
        <w:rPr>
          <w:rFonts w:asciiTheme="minorHAnsi" w:hAnsiTheme="minorHAnsi"/>
          <w:snapToGrid w:val="0"/>
          <w:lang w:val="en-GB"/>
        </w:rPr>
        <w:t>nths</w:t>
      </w:r>
      <w:r w:rsidR="00D3556E">
        <w:rPr>
          <w:rFonts w:asciiTheme="minorHAnsi" w:hAnsiTheme="minorHAnsi"/>
          <w:snapToGrid w:val="0"/>
          <w:lang w:val="en-GB"/>
        </w:rPr>
        <w:t xml:space="preserve">. </w:t>
      </w:r>
      <w:r w:rsidR="009B12F1">
        <w:rPr>
          <w:rFonts w:asciiTheme="minorHAnsi" w:hAnsiTheme="minorHAnsi"/>
          <w:snapToGrid w:val="0"/>
          <w:lang w:val="en-GB"/>
        </w:rPr>
        <w:t>The PBAC noted that the resubmission also included evidence from Cohort B</w:t>
      </w:r>
      <w:r w:rsidR="00AE5294">
        <w:rPr>
          <w:rFonts w:asciiTheme="minorHAnsi" w:hAnsiTheme="minorHAnsi"/>
          <w:snapToGrid w:val="0"/>
          <w:lang w:val="en-GB"/>
        </w:rPr>
        <w:t>, which included patients who had received prior BCMA-directed therapies. The PBAC noted that these patients experienced poorer outcomes with elranatamab.</w:t>
      </w:r>
    </w:p>
    <w:p w14:paraId="0410BEEE" w14:textId="5C49CC24" w:rsidR="00FA353D" w:rsidRDefault="00B25B71" w:rsidP="00F102F0">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that the </w:t>
      </w:r>
      <w:r w:rsidR="00013DA9">
        <w:rPr>
          <w:rFonts w:asciiTheme="minorHAnsi" w:hAnsiTheme="minorHAnsi"/>
          <w:snapToGrid w:val="0"/>
          <w:lang w:val="en-GB"/>
        </w:rPr>
        <w:t xml:space="preserve">resubmission presented </w:t>
      </w:r>
      <w:r w:rsidR="00C409B3">
        <w:rPr>
          <w:rFonts w:asciiTheme="minorHAnsi" w:hAnsiTheme="minorHAnsi"/>
          <w:snapToGrid w:val="0"/>
          <w:lang w:val="en-GB"/>
        </w:rPr>
        <w:t xml:space="preserve">a series of indirect comparisons for </w:t>
      </w:r>
      <w:r w:rsidR="00C409B3">
        <w:rPr>
          <w:rFonts w:asciiTheme="minorHAnsi" w:hAnsiTheme="minorHAnsi"/>
          <w:snapToGrid w:val="0"/>
          <w:lang w:val="en-GB"/>
        </w:rPr>
        <w:lastRenderedPageBreak/>
        <w:t xml:space="preserve">each of the </w:t>
      </w:r>
      <w:r>
        <w:rPr>
          <w:rFonts w:asciiTheme="minorHAnsi" w:hAnsiTheme="minorHAnsi"/>
          <w:snapToGrid w:val="0"/>
          <w:lang w:val="en-GB"/>
        </w:rPr>
        <w:t xml:space="preserve">standard of care </w:t>
      </w:r>
      <w:r w:rsidR="00C409B3">
        <w:rPr>
          <w:rFonts w:asciiTheme="minorHAnsi" w:hAnsiTheme="minorHAnsi"/>
          <w:snapToGrid w:val="0"/>
          <w:lang w:val="en-GB"/>
        </w:rPr>
        <w:t xml:space="preserve">components </w:t>
      </w:r>
      <w:r>
        <w:rPr>
          <w:rFonts w:asciiTheme="minorHAnsi" w:hAnsiTheme="minorHAnsi"/>
          <w:snapToGrid w:val="0"/>
          <w:lang w:val="en-GB"/>
        </w:rPr>
        <w:t xml:space="preserve">based on </w:t>
      </w:r>
      <w:r w:rsidR="0060771D">
        <w:rPr>
          <w:rFonts w:asciiTheme="minorHAnsi" w:hAnsiTheme="minorHAnsi"/>
          <w:snapToGrid w:val="0"/>
          <w:lang w:val="en-GB"/>
        </w:rPr>
        <w:t xml:space="preserve">the ENDEAVOR </w:t>
      </w:r>
      <w:r w:rsidR="00A005EC">
        <w:rPr>
          <w:rFonts w:asciiTheme="minorHAnsi" w:hAnsiTheme="minorHAnsi"/>
          <w:snapToGrid w:val="0"/>
          <w:lang w:val="en-GB"/>
        </w:rPr>
        <w:t xml:space="preserve">trial </w:t>
      </w:r>
      <w:r w:rsidR="00C409B3">
        <w:rPr>
          <w:rFonts w:asciiTheme="minorHAnsi" w:hAnsiTheme="minorHAnsi"/>
          <w:snapToGrid w:val="0"/>
          <w:lang w:val="en-GB"/>
        </w:rPr>
        <w:t>(</w:t>
      </w:r>
      <w:r w:rsidR="00A005EC">
        <w:rPr>
          <w:rFonts w:asciiTheme="minorHAnsi" w:hAnsiTheme="minorHAnsi"/>
          <w:snapToGrid w:val="0"/>
          <w:lang w:val="en-GB"/>
        </w:rPr>
        <w:t>Cd</w:t>
      </w:r>
      <w:r w:rsidR="00C409B3">
        <w:rPr>
          <w:rFonts w:asciiTheme="minorHAnsi" w:hAnsiTheme="minorHAnsi"/>
          <w:snapToGrid w:val="0"/>
          <w:lang w:val="en-GB"/>
        </w:rPr>
        <w:t>)</w:t>
      </w:r>
      <w:r w:rsidR="00A005EC">
        <w:rPr>
          <w:rFonts w:asciiTheme="minorHAnsi" w:hAnsiTheme="minorHAnsi"/>
          <w:snapToGrid w:val="0"/>
          <w:lang w:val="en-GB"/>
        </w:rPr>
        <w:t>, the MM</w:t>
      </w:r>
      <w:r w:rsidR="00013DA9">
        <w:rPr>
          <w:rFonts w:asciiTheme="minorHAnsi" w:hAnsiTheme="minorHAnsi"/>
          <w:snapToGrid w:val="0"/>
          <w:lang w:val="en-GB"/>
        </w:rPr>
        <w:t xml:space="preserve">-003 trial </w:t>
      </w:r>
      <w:r w:rsidR="00C409B3">
        <w:rPr>
          <w:rFonts w:asciiTheme="minorHAnsi" w:hAnsiTheme="minorHAnsi"/>
          <w:snapToGrid w:val="0"/>
          <w:lang w:val="en-GB"/>
        </w:rPr>
        <w:t>(</w:t>
      </w:r>
      <w:r w:rsidR="00013DA9">
        <w:rPr>
          <w:rFonts w:asciiTheme="minorHAnsi" w:hAnsiTheme="minorHAnsi"/>
          <w:snapToGrid w:val="0"/>
          <w:lang w:val="en-GB"/>
        </w:rPr>
        <w:t>Pd</w:t>
      </w:r>
      <w:r w:rsidR="00C409B3">
        <w:rPr>
          <w:rFonts w:asciiTheme="minorHAnsi" w:hAnsiTheme="minorHAnsi"/>
          <w:snapToGrid w:val="0"/>
          <w:lang w:val="en-GB"/>
        </w:rPr>
        <w:t>)</w:t>
      </w:r>
      <w:r w:rsidR="00013DA9">
        <w:rPr>
          <w:rFonts w:asciiTheme="minorHAnsi" w:hAnsiTheme="minorHAnsi"/>
          <w:snapToGrid w:val="0"/>
          <w:lang w:val="en-GB"/>
        </w:rPr>
        <w:t xml:space="preserve"> and the STORM trial </w:t>
      </w:r>
      <w:r w:rsidR="00C409B3">
        <w:rPr>
          <w:rFonts w:asciiTheme="minorHAnsi" w:hAnsiTheme="minorHAnsi"/>
          <w:snapToGrid w:val="0"/>
          <w:lang w:val="en-GB"/>
        </w:rPr>
        <w:t>(</w:t>
      </w:r>
      <w:r w:rsidR="00013DA9">
        <w:rPr>
          <w:rFonts w:asciiTheme="minorHAnsi" w:hAnsiTheme="minorHAnsi"/>
          <w:snapToGrid w:val="0"/>
          <w:lang w:val="en-GB"/>
        </w:rPr>
        <w:t>Sd</w:t>
      </w:r>
      <w:r w:rsidR="00C409B3">
        <w:rPr>
          <w:rFonts w:asciiTheme="minorHAnsi" w:hAnsiTheme="minorHAnsi"/>
          <w:snapToGrid w:val="0"/>
          <w:lang w:val="en-GB"/>
        </w:rPr>
        <w:t>)</w:t>
      </w:r>
      <w:r w:rsidR="00013DA9">
        <w:rPr>
          <w:rFonts w:asciiTheme="minorHAnsi" w:hAnsiTheme="minorHAnsi"/>
          <w:snapToGrid w:val="0"/>
          <w:lang w:val="en-GB"/>
        </w:rPr>
        <w:t xml:space="preserve">. </w:t>
      </w:r>
    </w:p>
    <w:p w14:paraId="6E3822BA" w14:textId="3C12F7D6" w:rsidR="00615FAF" w:rsidRDefault="004529F1" w:rsidP="00F102F0">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resubmission presented an unanchored indirect comparison </w:t>
      </w:r>
      <w:r w:rsidR="00BB02AA">
        <w:rPr>
          <w:rFonts w:asciiTheme="minorHAnsi" w:hAnsiTheme="minorHAnsi"/>
          <w:snapToGrid w:val="0"/>
          <w:lang w:val="en-GB"/>
        </w:rPr>
        <w:t xml:space="preserve">of elranatamab versus Cd. The PBAC noted that </w:t>
      </w:r>
      <w:r w:rsidR="002207B4">
        <w:rPr>
          <w:rFonts w:asciiTheme="minorHAnsi" w:hAnsiTheme="minorHAnsi"/>
          <w:snapToGrid w:val="0"/>
          <w:lang w:val="en-GB"/>
        </w:rPr>
        <w:t xml:space="preserve">the </w:t>
      </w:r>
      <w:r w:rsidR="00EB5403">
        <w:rPr>
          <w:rFonts w:asciiTheme="minorHAnsi" w:hAnsiTheme="minorHAnsi"/>
          <w:snapToGrid w:val="0"/>
          <w:lang w:val="en-GB"/>
        </w:rPr>
        <w:t xml:space="preserve">comparison was </w:t>
      </w:r>
      <w:r w:rsidR="009C4012">
        <w:rPr>
          <w:rFonts w:asciiTheme="minorHAnsi" w:hAnsiTheme="minorHAnsi"/>
          <w:snapToGrid w:val="0"/>
          <w:lang w:val="en-GB"/>
        </w:rPr>
        <w:t xml:space="preserve">uncertain due to the small number of </w:t>
      </w:r>
      <w:r w:rsidR="001B725F">
        <w:rPr>
          <w:rFonts w:asciiTheme="minorHAnsi" w:hAnsiTheme="minorHAnsi"/>
          <w:snapToGrid w:val="0"/>
          <w:lang w:val="en-GB"/>
        </w:rPr>
        <w:t xml:space="preserve">patients in the elranatamab subgroup and </w:t>
      </w:r>
      <w:r w:rsidR="00D02C16">
        <w:rPr>
          <w:rFonts w:asciiTheme="minorHAnsi" w:hAnsiTheme="minorHAnsi"/>
          <w:snapToGrid w:val="0"/>
          <w:lang w:val="en-GB"/>
        </w:rPr>
        <w:t>other limitations</w:t>
      </w:r>
      <w:r w:rsidR="009C4012">
        <w:rPr>
          <w:rFonts w:asciiTheme="minorHAnsi" w:hAnsiTheme="minorHAnsi"/>
          <w:snapToGrid w:val="0"/>
          <w:lang w:val="en-GB"/>
        </w:rPr>
        <w:t xml:space="preserve"> outlined in paragraph </w:t>
      </w:r>
      <w:r w:rsidR="009C4012">
        <w:rPr>
          <w:rFonts w:asciiTheme="minorHAnsi" w:hAnsiTheme="minorHAnsi"/>
          <w:snapToGrid w:val="0"/>
          <w:lang w:val="en-GB"/>
        </w:rPr>
        <w:fldChar w:fldCharType="begin" w:fldLock="1"/>
      </w:r>
      <w:r w:rsidR="009C4012">
        <w:rPr>
          <w:rFonts w:asciiTheme="minorHAnsi" w:hAnsiTheme="minorHAnsi"/>
          <w:snapToGrid w:val="0"/>
          <w:lang w:val="en-GB"/>
        </w:rPr>
        <w:instrText xml:space="preserve"> REF _Ref193179506 \r \h </w:instrText>
      </w:r>
      <w:r w:rsidR="009C4012">
        <w:rPr>
          <w:rFonts w:asciiTheme="minorHAnsi" w:hAnsiTheme="minorHAnsi"/>
          <w:snapToGrid w:val="0"/>
          <w:lang w:val="en-GB"/>
        </w:rPr>
      </w:r>
      <w:r w:rsidR="009C4012">
        <w:rPr>
          <w:rFonts w:asciiTheme="minorHAnsi" w:hAnsiTheme="minorHAnsi"/>
          <w:snapToGrid w:val="0"/>
          <w:lang w:val="en-GB"/>
        </w:rPr>
        <w:fldChar w:fldCharType="separate"/>
      </w:r>
      <w:r w:rsidR="00347D89">
        <w:rPr>
          <w:rFonts w:asciiTheme="minorHAnsi" w:hAnsiTheme="minorHAnsi"/>
          <w:snapToGrid w:val="0"/>
          <w:lang w:val="en-GB"/>
        </w:rPr>
        <w:t>6.29</w:t>
      </w:r>
      <w:r w:rsidR="009C4012">
        <w:rPr>
          <w:rFonts w:asciiTheme="minorHAnsi" w:hAnsiTheme="minorHAnsi"/>
          <w:snapToGrid w:val="0"/>
          <w:lang w:val="en-GB"/>
        </w:rPr>
        <w:fldChar w:fldCharType="end"/>
      </w:r>
      <w:r w:rsidR="001B725F">
        <w:rPr>
          <w:rFonts w:asciiTheme="minorHAnsi" w:hAnsiTheme="minorHAnsi"/>
          <w:snapToGrid w:val="0"/>
          <w:lang w:val="en-GB"/>
        </w:rPr>
        <w:t xml:space="preserve">. </w:t>
      </w:r>
      <w:r w:rsidR="00EE168D">
        <w:rPr>
          <w:rFonts w:asciiTheme="minorHAnsi" w:hAnsiTheme="minorHAnsi"/>
          <w:snapToGrid w:val="0"/>
          <w:lang w:val="en-GB"/>
        </w:rPr>
        <w:t xml:space="preserve">The PBAC noted that although not statistically significant, the </w:t>
      </w:r>
      <w:r w:rsidR="009A4DFA">
        <w:rPr>
          <w:rFonts w:asciiTheme="minorHAnsi" w:hAnsiTheme="minorHAnsi"/>
          <w:snapToGrid w:val="0"/>
          <w:lang w:val="en-GB"/>
        </w:rPr>
        <w:t xml:space="preserve">hazard ratios for </w:t>
      </w:r>
      <w:r w:rsidR="005B0C9C">
        <w:rPr>
          <w:rFonts w:asciiTheme="minorHAnsi" w:hAnsiTheme="minorHAnsi"/>
          <w:snapToGrid w:val="0"/>
          <w:lang w:val="en-GB"/>
        </w:rPr>
        <w:t>progression free</w:t>
      </w:r>
      <w:r w:rsidR="009A4DFA">
        <w:rPr>
          <w:rFonts w:asciiTheme="minorHAnsi" w:hAnsiTheme="minorHAnsi"/>
          <w:snapToGrid w:val="0"/>
          <w:lang w:val="en-GB"/>
        </w:rPr>
        <w:t xml:space="preserve"> </w:t>
      </w:r>
      <w:r w:rsidR="005B0C9C">
        <w:rPr>
          <w:rFonts w:asciiTheme="minorHAnsi" w:hAnsiTheme="minorHAnsi"/>
          <w:snapToGrid w:val="0"/>
          <w:lang w:val="en-GB"/>
        </w:rPr>
        <w:t xml:space="preserve">survival </w:t>
      </w:r>
      <w:r w:rsidR="009A4DFA">
        <w:rPr>
          <w:rFonts w:asciiTheme="minorHAnsi" w:hAnsiTheme="minorHAnsi"/>
          <w:snapToGrid w:val="0"/>
          <w:lang w:val="en-GB"/>
        </w:rPr>
        <w:t xml:space="preserve">(HR = 0.66; 95% CI: 0.30, 1.42) and </w:t>
      </w:r>
      <w:r w:rsidR="005B0C9C">
        <w:rPr>
          <w:rFonts w:asciiTheme="minorHAnsi" w:hAnsiTheme="minorHAnsi"/>
          <w:snapToGrid w:val="0"/>
          <w:lang w:val="en-GB"/>
        </w:rPr>
        <w:t>overall</w:t>
      </w:r>
      <w:r w:rsidR="009A4DFA">
        <w:rPr>
          <w:rFonts w:asciiTheme="minorHAnsi" w:hAnsiTheme="minorHAnsi"/>
          <w:snapToGrid w:val="0"/>
          <w:lang w:val="en-GB"/>
        </w:rPr>
        <w:t xml:space="preserve"> </w:t>
      </w:r>
      <w:r w:rsidR="005B0C9C">
        <w:rPr>
          <w:rFonts w:asciiTheme="minorHAnsi" w:hAnsiTheme="minorHAnsi"/>
          <w:snapToGrid w:val="0"/>
          <w:lang w:val="en-GB"/>
        </w:rPr>
        <w:t xml:space="preserve">survival </w:t>
      </w:r>
      <w:r w:rsidR="009A4DFA">
        <w:rPr>
          <w:rFonts w:asciiTheme="minorHAnsi" w:hAnsiTheme="minorHAnsi"/>
          <w:snapToGrid w:val="0"/>
          <w:lang w:val="en-GB"/>
        </w:rPr>
        <w:t>(HR = 0.67; 95% CI: 0.31, 1.48) favoured</w:t>
      </w:r>
      <w:r w:rsidR="00897829">
        <w:rPr>
          <w:rFonts w:asciiTheme="minorHAnsi" w:hAnsiTheme="minorHAnsi"/>
          <w:snapToGrid w:val="0"/>
          <w:lang w:val="en-GB"/>
        </w:rPr>
        <w:t xml:space="preserve"> elranatamab</w:t>
      </w:r>
      <w:r w:rsidR="008D728D">
        <w:rPr>
          <w:rFonts w:asciiTheme="minorHAnsi" w:hAnsiTheme="minorHAnsi"/>
          <w:snapToGrid w:val="0"/>
          <w:lang w:val="en-GB"/>
        </w:rPr>
        <w:t>.</w:t>
      </w:r>
      <w:r w:rsidR="00897829" w:rsidRPr="00897829">
        <w:rPr>
          <w:rFonts w:asciiTheme="minorHAnsi" w:hAnsiTheme="minorHAnsi"/>
          <w:snapToGrid w:val="0"/>
          <w:lang w:val="en-GB"/>
        </w:rPr>
        <w:t xml:space="preserve"> </w:t>
      </w:r>
    </w:p>
    <w:p w14:paraId="7882F20B" w14:textId="018E6194" w:rsidR="008D728D" w:rsidRDefault="00362D4F" w:rsidP="00F102F0">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resubmission presented </w:t>
      </w:r>
      <w:r w:rsidR="00DC61B4">
        <w:rPr>
          <w:rFonts w:asciiTheme="minorHAnsi" w:hAnsiTheme="minorHAnsi"/>
          <w:snapToGrid w:val="0"/>
          <w:lang w:val="en-GB"/>
        </w:rPr>
        <w:t>unanchored indirect comparison</w:t>
      </w:r>
      <w:r w:rsidR="00076F62">
        <w:rPr>
          <w:rFonts w:asciiTheme="minorHAnsi" w:hAnsiTheme="minorHAnsi"/>
          <w:snapToGrid w:val="0"/>
          <w:lang w:val="en-GB"/>
        </w:rPr>
        <w:t>s</w:t>
      </w:r>
      <w:r w:rsidR="00DC61B4">
        <w:rPr>
          <w:rFonts w:asciiTheme="minorHAnsi" w:hAnsiTheme="minorHAnsi"/>
          <w:snapToGrid w:val="0"/>
          <w:lang w:val="en-GB"/>
        </w:rPr>
        <w:t xml:space="preserve"> and </w:t>
      </w:r>
      <w:r w:rsidR="00076F62">
        <w:rPr>
          <w:rFonts w:asciiTheme="minorHAnsi" w:hAnsiTheme="minorHAnsi"/>
          <w:snapToGrid w:val="0"/>
          <w:lang w:val="en-GB"/>
        </w:rPr>
        <w:t>unanchored</w:t>
      </w:r>
      <w:r>
        <w:rPr>
          <w:rFonts w:asciiTheme="minorHAnsi" w:hAnsiTheme="minorHAnsi"/>
          <w:snapToGrid w:val="0"/>
          <w:lang w:val="en-GB"/>
        </w:rPr>
        <w:t xml:space="preserve"> match</w:t>
      </w:r>
      <w:r w:rsidR="00EA197A">
        <w:rPr>
          <w:rFonts w:asciiTheme="minorHAnsi" w:hAnsiTheme="minorHAnsi"/>
          <w:snapToGrid w:val="0"/>
          <w:lang w:val="en-GB"/>
        </w:rPr>
        <w:t>ing adjusted indirect comparison</w:t>
      </w:r>
      <w:r w:rsidR="00076F62">
        <w:rPr>
          <w:rFonts w:asciiTheme="minorHAnsi" w:hAnsiTheme="minorHAnsi"/>
          <w:snapToGrid w:val="0"/>
          <w:lang w:val="en-GB"/>
        </w:rPr>
        <w:t>s</w:t>
      </w:r>
      <w:r w:rsidR="00EA197A">
        <w:rPr>
          <w:rFonts w:asciiTheme="minorHAnsi" w:hAnsiTheme="minorHAnsi"/>
          <w:snapToGrid w:val="0"/>
          <w:lang w:val="en-GB"/>
        </w:rPr>
        <w:t xml:space="preserve"> (MAIC</w:t>
      </w:r>
      <w:r w:rsidR="0085692E">
        <w:rPr>
          <w:rFonts w:asciiTheme="minorHAnsi" w:hAnsiTheme="minorHAnsi"/>
          <w:snapToGrid w:val="0"/>
          <w:lang w:val="en-GB"/>
        </w:rPr>
        <w:t>s</w:t>
      </w:r>
      <w:r w:rsidR="00EA197A">
        <w:rPr>
          <w:rFonts w:asciiTheme="minorHAnsi" w:hAnsiTheme="minorHAnsi"/>
          <w:snapToGrid w:val="0"/>
          <w:lang w:val="en-GB"/>
        </w:rPr>
        <w:t>) between elranatamab and Pd</w:t>
      </w:r>
      <w:r w:rsidR="00066CC6">
        <w:rPr>
          <w:rFonts w:asciiTheme="minorHAnsi" w:hAnsiTheme="minorHAnsi"/>
          <w:snapToGrid w:val="0"/>
          <w:lang w:val="en-GB"/>
        </w:rPr>
        <w:t xml:space="preserve"> and </w:t>
      </w:r>
      <w:r w:rsidR="00BC3EEF">
        <w:rPr>
          <w:rFonts w:asciiTheme="minorHAnsi" w:hAnsiTheme="minorHAnsi"/>
          <w:snapToGrid w:val="0"/>
          <w:lang w:val="en-GB"/>
        </w:rPr>
        <w:t>elranatamab and Sd</w:t>
      </w:r>
      <w:r w:rsidR="005B0C9C">
        <w:rPr>
          <w:rFonts w:asciiTheme="minorHAnsi" w:hAnsiTheme="minorHAnsi"/>
          <w:snapToGrid w:val="0"/>
          <w:lang w:val="en-GB"/>
        </w:rPr>
        <w:t>.</w:t>
      </w:r>
      <w:r w:rsidR="008F1F15">
        <w:rPr>
          <w:rFonts w:asciiTheme="minorHAnsi" w:hAnsiTheme="minorHAnsi"/>
          <w:snapToGrid w:val="0"/>
          <w:lang w:val="en-GB"/>
        </w:rPr>
        <w:t xml:space="preserve"> Results of </w:t>
      </w:r>
      <w:r w:rsidR="00BC3EEF">
        <w:rPr>
          <w:rFonts w:asciiTheme="minorHAnsi" w:hAnsiTheme="minorHAnsi"/>
          <w:snapToGrid w:val="0"/>
          <w:lang w:val="en-GB"/>
        </w:rPr>
        <w:t>all</w:t>
      </w:r>
      <w:r w:rsidR="008F1F15">
        <w:rPr>
          <w:rFonts w:asciiTheme="minorHAnsi" w:hAnsiTheme="minorHAnsi"/>
          <w:snapToGrid w:val="0"/>
          <w:lang w:val="en-GB"/>
        </w:rPr>
        <w:t xml:space="preserve"> comparisons were nominally statistically significant </w:t>
      </w:r>
      <w:r w:rsidR="0057571B">
        <w:rPr>
          <w:rFonts w:asciiTheme="minorHAnsi" w:hAnsiTheme="minorHAnsi"/>
          <w:snapToGrid w:val="0"/>
          <w:lang w:val="en-GB"/>
        </w:rPr>
        <w:t>in favour of elranatamab i</w:t>
      </w:r>
      <w:r w:rsidR="00B73A83">
        <w:rPr>
          <w:rFonts w:asciiTheme="minorHAnsi" w:hAnsiTheme="minorHAnsi"/>
          <w:snapToGrid w:val="0"/>
          <w:lang w:val="en-GB"/>
        </w:rPr>
        <w:t>n terms of progression free and overall survival.</w:t>
      </w:r>
    </w:p>
    <w:p w14:paraId="7850E783" w14:textId="46FA5C89" w:rsidR="00037261" w:rsidRDefault="000C55A8" w:rsidP="00F102F0">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Overall, the PBAC considered that elranatamab was superior in terms of efficacy compared to Pd and Sd, and that elranatamab was likely superior compared to Cd</w:t>
      </w:r>
      <w:r w:rsidR="00A46F91">
        <w:rPr>
          <w:rFonts w:asciiTheme="minorHAnsi" w:hAnsiTheme="minorHAnsi"/>
          <w:snapToGrid w:val="0"/>
          <w:lang w:val="en-GB"/>
        </w:rPr>
        <w:t>.</w:t>
      </w:r>
    </w:p>
    <w:p w14:paraId="4B5A84E2" w14:textId="0A604BEB" w:rsidR="005A322A" w:rsidRDefault="0043519B" w:rsidP="00F102F0">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In terms of safety, the PBAC recalled that it had previously considered that elranatamab was </w:t>
      </w:r>
      <w:r w:rsidR="00E32317">
        <w:rPr>
          <w:rFonts w:asciiTheme="minorHAnsi" w:hAnsiTheme="minorHAnsi"/>
          <w:snapToGrid w:val="0"/>
          <w:lang w:val="en-GB"/>
        </w:rPr>
        <w:t>inferior compared to standard of care due to the high rates of cytokine release syndrome</w:t>
      </w:r>
      <w:r w:rsidR="0061108E">
        <w:rPr>
          <w:rFonts w:asciiTheme="minorHAnsi" w:hAnsiTheme="minorHAnsi"/>
          <w:snapToGrid w:val="0"/>
          <w:lang w:val="en-GB"/>
        </w:rPr>
        <w:t xml:space="preserve"> and </w:t>
      </w:r>
      <w:r w:rsidR="00E32317">
        <w:rPr>
          <w:rFonts w:asciiTheme="minorHAnsi" w:hAnsiTheme="minorHAnsi"/>
          <w:snapToGrid w:val="0"/>
          <w:lang w:val="en-GB"/>
        </w:rPr>
        <w:t xml:space="preserve">immune-effector cell-associated </w:t>
      </w:r>
      <w:r w:rsidR="00012ABA">
        <w:rPr>
          <w:rFonts w:asciiTheme="minorHAnsi" w:hAnsiTheme="minorHAnsi"/>
          <w:snapToGrid w:val="0"/>
          <w:lang w:val="en-GB"/>
        </w:rPr>
        <w:t xml:space="preserve">neurotoxicity syndrome </w:t>
      </w:r>
      <w:r w:rsidR="0061108E">
        <w:rPr>
          <w:rFonts w:asciiTheme="minorHAnsi" w:hAnsiTheme="minorHAnsi"/>
          <w:snapToGrid w:val="0"/>
          <w:lang w:val="en-GB"/>
        </w:rPr>
        <w:t xml:space="preserve">associated with elranatamab. </w:t>
      </w:r>
      <w:r w:rsidR="00217F24">
        <w:rPr>
          <w:rFonts w:asciiTheme="minorHAnsi" w:hAnsiTheme="minorHAnsi"/>
          <w:snapToGrid w:val="0"/>
          <w:lang w:val="en-GB"/>
        </w:rPr>
        <w:t>Although t</w:t>
      </w:r>
      <w:r w:rsidR="0061108E">
        <w:rPr>
          <w:rFonts w:asciiTheme="minorHAnsi" w:hAnsiTheme="minorHAnsi"/>
          <w:snapToGrid w:val="0"/>
          <w:lang w:val="en-GB"/>
        </w:rPr>
        <w:t xml:space="preserve">he PBAC noted that </w:t>
      </w:r>
      <w:proofErr w:type="gramStart"/>
      <w:r w:rsidR="00B96B38">
        <w:rPr>
          <w:rFonts w:asciiTheme="minorHAnsi" w:hAnsiTheme="minorHAnsi"/>
          <w:snapToGrid w:val="0"/>
          <w:lang w:val="en-GB"/>
        </w:rPr>
        <w:t>the majority of</w:t>
      </w:r>
      <w:proofErr w:type="gramEnd"/>
      <w:r w:rsidR="00B96B38">
        <w:rPr>
          <w:rFonts w:asciiTheme="minorHAnsi" w:hAnsiTheme="minorHAnsi"/>
          <w:snapToGrid w:val="0"/>
          <w:lang w:val="en-GB"/>
        </w:rPr>
        <w:t xml:space="preserve"> these events </w:t>
      </w:r>
      <w:r w:rsidR="004B77F3">
        <w:rPr>
          <w:rFonts w:asciiTheme="minorHAnsi" w:hAnsiTheme="minorHAnsi"/>
          <w:snapToGrid w:val="0"/>
          <w:lang w:val="en-GB"/>
        </w:rPr>
        <w:t xml:space="preserve">were low grade and </w:t>
      </w:r>
      <w:r w:rsidR="00B96B38">
        <w:rPr>
          <w:rFonts w:asciiTheme="minorHAnsi" w:hAnsiTheme="minorHAnsi"/>
          <w:snapToGrid w:val="0"/>
          <w:lang w:val="en-GB"/>
        </w:rPr>
        <w:t>occurred with</w:t>
      </w:r>
      <w:r w:rsidR="00855CFE">
        <w:rPr>
          <w:rFonts w:asciiTheme="minorHAnsi" w:hAnsiTheme="minorHAnsi"/>
          <w:snapToGrid w:val="0"/>
          <w:lang w:val="en-GB"/>
        </w:rPr>
        <w:t>in the first week of treatment whilst the patient was in hospital</w:t>
      </w:r>
      <w:r w:rsidR="0085692E">
        <w:rPr>
          <w:rFonts w:asciiTheme="minorHAnsi" w:hAnsiTheme="minorHAnsi"/>
          <w:snapToGrid w:val="0"/>
          <w:lang w:val="en-GB"/>
        </w:rPr>
        <w:t xml:space="preserve"> the PBAC again considered that elranatamab was inferior to standard of care in terms of safety. </w:t>
      </w:r>
      <w:r w:rsidR="00A41FF0">
        <w:rPr>
          <w:rFonts w:asciiTheme="minorHAnsi" w:hAnsiTheme="minorHAnsi"/>
          <w:snapToGrid w:val="0"/>
          <w:lang w:val="en-GB"/>
        </w:rPr>
        <w:t xml:space="preserve">Further, the PBAC noted that </w:t>
      </w:r>
      <w:r w:rsidR="00295B1F">
        <w:rPr>
          <w:rFonts w:asciiTheme="minorHAnsi" w:hAnsiTheme="minorHAnsi"/>
          <w:snapToGrid w:val="0"/>
          <w:lang w:val="en-GB"/>
        </w:rPr>
        <w:t xml:space="preserve">the </w:t>
      </w:r>
      <w:r w:rsidR="005E3C34">
        <w:rPr>
          <w:rFonts w:asciiTheme="minorHAnsi" w:hAnsiTheme="minorHAnsi"/>
          <w:snapToGrid w:val="0"/>
          <w:lang w:val="en-GB"/>
        </w:rPr>
        <w:t xml:space="preserve">comparison of adverse events </w:t>
      </w:r>
      <w:r w:rsidR="00295B1F">
        <w:rPr>
          <w:rFonts w:asciiTheme="minorHAnsi" w:hAnsiTheme="minorHAnsi"/>
          <w:snapToGrid w:val="0"/>
          <w:lang w:val="en-GB"/>
        </w:rPr>
        <w:t xml:space="preserve">between elranatamab and Cd, Pd and Sd was limited by the reporting of events in the comparator studies and differences in the </w:t>
      </w:r>
      <w:r w:rsidR="00E3167E">
        <w:rPr>
          <w:rFonts w:asciiTheme="minorHAnsi" w:hAnsiTheme="minorHAnsi"/>
          <w:snapToGrid w:val="0"/>
          <w:lang w:val="en-GB"/>
        </w:rPr>
        <w:t>patient populations.</w:t>
      </w:r>
    </w:p>
    <w:p w14:paraId="51FF6A1D" w14:textId="49020FF2" w:rsidR="0056430D" w:rsidRDefault="000E1F14" w:rsidP="00F102F0">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noted that the resubmission presented a revised economic analysis versus standard of care</w:t>
      </w:r>
      <w:r w:rsidR="00B841CE">
        <w:rPr>
          <w:rFonts w:asciiTheme="minorHAnsi" w:hAnsiTheme="minorHAnsi"/>
          <w:snapToGrid w:val="0"/>
          <w:lang w:val="en-GB"/>
        </w:rPr>
        <w:t xml:space="preserve"> which addressed </w:t>
      </w:r>
      <w:proofErr w:type="gramStart"/>
      <w:r w:rsidR="00B841CE">
        <w:rPr>
          <w:rFonts w:asciiTheme="minorHAnsi" w:hAnsiTheme="minorHAnsi"/>
          <w:snapToGrid w:val="0"/>
          <w:lang w:val="en-GB"/>
        </w:rPr>
        <w:t>a number of</w:t>
      </w:r>
      <w:proofErr w:type="gramEnd"/>
      <w:r w:rsidR="00B841CE">
        <w:rPr>
          <w:rFonts w:asciiTheme="minorHAnsi" w:hAnsiTheme="minorHAnsi"/>
          <w:snapToGrid w:val="0"/>
          <w:lang w:val="en-GB"/>
        </w:rPr>
        <w:t xml:space="preserve"> the issues raised in the July</w:t>
      </w:r>
      <w:r w:rsidR="00EE6EC4">
        <w:rPr>
          <w:rFonts w:asciiTheme="minorHAnsi" w:hAnsiTheme="minorHAnsi"/>
          <w:snapToGrid w:val="0"/>
          <w:lang w:val="en-GB"/>
        </w:rPr>
        <w:t> </w:t>
      </w:r>
      <w:r w:rsidR="00B841CE">
        <w:rPr>
          <w:rFonts w:asciiTheme="minorHAnsi" w:hAnsiTheme="minorHAnsi"/>
          <w:snapToGrid w:val="0"/>
          <w:lang w:val="en-GB"/>
        </w:rPr>
        <w:t xml:space="preserve">2024 consideration. The PBAC noted that </w:t>
      </w:r>
      <w:r w:rsidR="00A41713">
        <w:rPr>
          <w:rFonts w:asciiTheme="minorHAnsi" w:hAnsiTheme="minorHAnsi"/>
          <w:snapToGrid w:val="0"/>
          <w:lang w:val="en-GB"/>
        </w:rPr>
        <w:t>some issues with the economic model remained, including:</w:t>
      </w:r>
    </w:p>
    <w:p w14:paraId="59F113F5" w14:textId="23436144" w:rsidR="00727F4E" w:rsidRDefault="00A41713" w:rsidP="00BD3536">
      <w:pPr>
        <w:widowControl w:val="0"/>
        <w:numPr>
          <w:ilvl w:val="1"/>
          <w:numId w:val="33"/>
        </w:numPr>
        <w:spacing w:after="120"/>
        <w:ind w:left="1080"/>
        <w:rPr>
          <w:rFonts w:asciiTheme="minorHAnsi" w:hAnsiTheme="minorHAnsi"/>
          <w:snapToGrid w:val="0"/>
          <w:lang w:val="en-GB"/>
        </w:rPr>
      </w:pPr>
      <w:r>
        <w:rPr>
          <w:rFonts w:asciiTheme="minorHAnsi" w:hAnsiTheme="minorHAnsi"/>
          <w:snapToGrid w:val="0"/>
          <w:lang w:val="en-GB"/>
        </w:rPr>
        <w:t>The relative treatment effect</w:t>
      </w:r>
      <w:r w:rsidR="002967CD">
        <w:rPr>
          <w:rFonts w:asciiTheme="minorHAnsi" w:hAnsiTheme="minorHAnsi"/>
          <w:snapToGrid w:val="0"/>
          <w:lang w:val="en-GB"/>
        </w:rPr>
        <w:t>s</w:t>
      </w:r>
      <w:r>
        <w:rPr>
          <w:rFonts w:asciiTheme="minorHAnsi" w:hAnsiTheme="minorHAnsi"/>
          <w:snapToGrid w:val="0"/>
          <w:lang w:val="en-GB"/>
        </w:rPr>
        <w:t xml:space="preserve"> of </w:t>
      </w:r>
      <w:r w:rsidR="00727F4E">
        <w:rPr>
          <w:rFonts w:asciiTheme="minorHAnsi" w:hAnsiTheme="minorHAnsi"/>
          <w:snapToGrid w:val="0"/>
          <w:lang w:val="en-GB"/>
        </w:rPr>
        <w:t>elr</w:t>
      </w:r>
      <w:r w:rsidR="002967CD">
        <w:rPr>
          <w:rFonts w:asciiTheme="minorHAnsi" w:hAnsiTheme="minorHAnsi"/>
          <w:snapToGrid w:val="0"/>
          <w:lang w:val="en-GB"/>
        </w:rPr>
        <w:t>a</w:t>
      </w:r>
      <w:r w:rsidR="00727F4E">
        <w:rPr>
          <w:rFonts w:asciiTheme="minorHAnsi" w:hAnsiTheme="minorHAnsi"/>
          <w:snapToGrid w:val="0"/>
          <w:lang w:val="en-GB"/>
        </w:rPr>
        <w:t xml:space="preserve">natamab versus the standard of care therapies were uncertain as they were based on unanchored </w:t>
      </w:r>
      <w:r w:rsidR="00E124E7">
        <w:rPr>
          <w:rFonts w:asciiTheme="minorHAnsi" w:hAnsiTheme="minorHAnsi"/>
          <w:snapToGrid w:val="0"/>
          <w:lang w:val="en-GB"/>
        </w:rPr>
        <w:t>indirect comparisons</w:t>
      </w:r>
      <w:r w:rsidR="00E17144">
        <w:rPr>
          <w:rFonts w:asciiTheme="minorHAnsi" w:hAnsiTheme="minorHAnsi"/>
          <w:snapToGrid w:val="0"/>
          <w:lang w:val="en-GB"/>
        </w:rPr>
        <w:t>; and</w:t>
      </w:r>
    </w:p>
    <w:p w14:paraId="01921656" w14:textId="6AF727D8" w:rsidR="00E124E7" w:rsidRDefault="00E124E7" w:rsidP="00BD3536">
      <w:pPr>
        <w:widowControl w:val="0"/>
        <w:numPr>
          <w:ilvl w:val="1"/>
          <w:numId w:val="33"/>
        </w:numPr>
        <w:spacing w:after="120"/>
        <w:ind w:left="1080"/>
        <w:rPr>
          <w:rFonts w:asciiTheme="minorHAnsi" w:hAnsiTheme="minorHAnsi"/>
          <w:snapToGrid w:val="0"/>
          <w:lang w:val="en-GB"/>
        </w:rPr>
      </w:pPr>
      <w:r>
        <w:rPr>
          <w:rFonts w:asciiTheme="minorHAnsi" w:hAnsiTheme="minorHAnsi"/>
          <w:snapToGrid w:val="0"/>
          <w:lang w:val="en-GB"/>
        </w:rPr>
        <w:t xml:space="preserve">The progression free survival curves were capped </w:t>
      </w:r>
      <w:r w:rsidR="00F72E17">
        <w:rPr>
          <w:rFonts w:asciiTheme="minorHAnsi" w:hAnsiTheme="minorHAnsi"/>
          <w:snapToGrid w:val="0"/>
          <w:lang w:val="en-GB"/>
        </w:rPr>
        <w:t>to ensure that they did not exceed the overall survival curves</w:t>
      </w:r>
      <w:r w:rsidR="00E17144">
        <w:rPr>
          <w:rFonts w:asciiTheme="minorHAnsi" w:hAnsiTheme="minorHAnsi"/>
          <w:snapToGrid w:val="0"/>
          <w:lang w:val="en-GB"/>
        </w:rPr>
        <w:t xml:space="preserve">. </w:t>
      </w:r>
    </w:p>
    <w:p w14:paraId="73F0EB48" w14:textId="047D0B86" w:rsidR="00E17144" w:rsidRDefault="007D5EE1" w:rsidP="00727F4E">
      <w:pPr>
        <w:widowControl w:val="0"/>
        <w:numPr>
          <w:ilvl w:val="1"/>
          <w:numId w:val="1"/>
        </w:numPr>
        <w:spacing w:after="120"/>
        <w:rPr>
          <w:rFonts w:asciiTheme="minorHAnsi" w:hAnsiTheme="minorHAnsi"/>
          <w:snapToGrid w:val="0"/>
          <w:lang w:val="en-GB"/>
        </w:rPr>
      </w:pPr>
      <w:r>
        <w:t xml:space="preserve">The PBAC noted the base case model included a time horizon of 7 years and that the model potentially </w:t>
      </w:r>
      <w:r w:rsidR="009A0D6D">
        <w:t>overestimated</w:t>
      </w:r>
      <w:r>
        <w:t xml:space="preserve"> the proportion of patients alive and progression free at the end of this period</w:t>
      </w:r>
      <w:r w:rsidR="009A0D6D">
        <w:t>;</w:t>
      </w:r>
      <w:r>
        <w:t xml:space="preserve"> however</w:t>
      </w:r>
      <w:r w:rsidR="009A0D6D">
        <w:t>, the PBAC</w:t>
      </w:r>
      <w:r>
        <w:t xml:space="preserve"> also noted that this </w:t>
      </w:r>
      <w:r w:rsidR="009A0D6D">
        <w:t xml:space="preserve">overestimation </w:t>
      </w:r>
      <w:r>
        <w:t xml:space="preserve">was likely the case for both the elranatamab and standard of care arms. </w:t>
      </w:r>
      <w:r w:rsidR="00853440">
        <w:rPr>
          <w:rFonts w:asciiTheme="minorHAnsi" w:hAnsiTheme="minorHAnsi"/>
          <w:snapToGrid w:val="0"/>
          <w:lang w:val="en-GB"/>
        </w:rPr>
        <w:t xml:space="preserve">The PBAC </w:t>
      </w:r>
      <w:r w:rsidR="007B1D12">
        <w:rPr>
          <w:rFonts w:asciiTheme="minorHAnsi" w:hAnsiTheme="minorHAnsi"/>
          <w:snapToGrid w:val="0"/>
          <w:lang w:val="en-GB"/>
        </w:rPr>
        <w:t xml:space="preserve">noted </w:t>
      </w:r>
      <w:r w:rsidR="00E31FDE">
        <w:rPr>
          <w:rFonts w:asciiTheme="minorHAnsi" w:hAnsiTheme="minorHAnsi"/>
          <w:snapToGrid w:val="0"/>
          <w:lang w:val="en-GB"/>
        </w:rPr>
        <w:t xml:space="preserve">testing alternative </w:t>
      </w:r>
      <w:r w:rsidR="00E1461C">
        <w:rPr>
          <w:rFonts w:asciiTheme="minorHAnsi" w:hAnsiTheme="minorHAnsi"/>
          <w:snapToGrid w:val="0"/>
          <w:lang w:val="en-GB"/>
        </w:rPr>
        <w:t xml:space="preserve">relative treatment effects and </w:t>
      </w:r>
      <w:r w:rsidR="00E31FDE">
        <w:rPr>
          <w:rFonts w:asciiTheme="minorHAnsi" w:hAnsiTheme="minorHAnsi"/>
          <w:snapToGrid w:val="0"/>
          <w:lang w:val="en-GB"/>
        </w:rPr>
        <w:t xml:space="preserve">extrapolation functions was </w:t>
      </w:r>
      <w:r w:rsidR="00315373">
        <w:rPr>
          <w:rFonts w:asciiTheme="minorHAnsi" w:hAnsiTheme="minorHAnsi"/>
          <w:snapToGrid w:val="0"/>
          <w:lang w:val="en-GB"/>
        </w:rPr>
        <w:t xml:space="preserve">constrained by </w:t>
      </w:r>
      <w:r w:rsidR="005A5014">
        <w:rPr>
          <w:rFonts w:asciiTheme="minorHAnsi" w:hAnsiTheme="minorHAnsi"/>
          <w:snapToGrid w:val="0"/>
          <w:lang w:val="en-GB"/>
        </w:rPr>
        <w:t>the model structure</w:t>
      </w:r>
      <w:r w:rsidR="00877477">
        <w:rPr>
          <w:rFonts w:asciiTheme="minorHAnsi" w:hAnsiTheme="minorHAnsi"/>
          <w:snapToGrid w:val="0"/>
          <w:lang w:val="en-GB"/>
        </w:rPr>
        <w:t>.</w:t>
      </w:r>
      <w:r w:rsidR="00315373">
        <w:rPr>
          <w:rFonts w:asciiTheme="minorHAnsi" w:hAnsiTheme="minorHAnsi"/>
          <w:snapToGrid w:val="0"/>
          <w:lang w:val="en-GB"/>
        </w:rPr>
        <w:t xml:space="preserve"> </w:t>
      </w:r>
      <w:r w:rsidR="008A29EA">
        <w:rPr>
          <w:rFonts w:asciiTheme="minorHAnsi" w:hAnsiTheme="minorHAnsi"/>
          <w:snapToGrid w:val="0"/>
          <w:lang w:val="en-GB"/>
        </w:rPr>
        <w:t xml:space="preserve">On balance, the PBAC considered that a time horizon of 7 years was </w:t>
      </w:r>
      <w:r w:rsidR="0059314C">
        <w:rPr>
          <w:rFonts w:asciiTheme="minorHAnsi" w:hAnsiTheme="minorHAnsi"/>
          <w:snapToGrid w:val="0"/>
          <w:lang w:val="en-GB"/>
        </w:rPr>
        <w:t xml:space="preserve">reasonable in the context of </w:t>
      </w:r>
      <w:r w:rsidR="008A29EA">
        <w:rPr>
          <w:rFonts w:asciiTheme="minorHAnsi" w:hAnsiTheme="minorHAnsi"/>
          <w:snapToGrid w:val="0"/>
          <w:lang w:val="en-GB"/>
        </w:rPr>
        <w:t xml:space="preserve">other RRMM considerations. </w:t>
      </w:r>
    </w:p>
    <w:p w14:paraId="2CA78978" w14:textId="7B14F394" w:rsidR="00FC0BAB" w:rsidRDefault="00D02984" w:rsidP="00727F4E">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lastRenderedPageBreak/>
        <w:t xml:space="preserve">The PBAC noted that the economic analysis </w:t>
      </w:r>
      <w:r w:rsidR="00550C03">
        <w:rPr>
          <w:rFonts w:asciiTheme="minorHAnsi" w:hAnsiTheme="minorHAnsi"/>
          <w:snapToGrid w:val="0"/>
          <w:lang w:val="en-GB"/>
        </w:rPr>
        <w:t>was based on 4-weekly dosing of elranatamab after Week 49. The PBAC noted that applying 2-weekly dosing from Week 24, with no change at Week 49</w:t>
      </w:r>
      <w:r w:rsidR="00857931">
        <w:rPr>
          <w:rFonts w:asciiTheme="minorHAnsi" w:hAnsiTheme="minorHAnsi"/>
          <w:snapToGrid w:val="0"/>
          <w:lang w:val="en-GB"/>
        </w:rPr>
        <w:t>,</w:t>
      </w:r>
      <w:r w:rsidR="00550C03">
        <w:rPr>
          <w:rFonts w:asciiTheme="minorHAnsi" w:hAnsiTheme="minorHAnsi"/>
          <w:snapToGrid w:val="0"/>
          <w:lang w:val="en-GB"/>
        </w:rPr>
        <w:t xml:space="preserve"> increased the base case </w:t>
      </w:r>
      <w:r w:rsidR="00AC0A2B">
        <w:rPr>
          <w:rFonts w:asciiTheme="minorHAnsi" w:hAnsiTheme="minorHAnsi"/>
          <w:snapToGrid w:val="0"/>
          <w:lang w:val="en-GB"/>
        </w:rPr>
        <w:t>incremental cost-effectiveness ratio (</w:t>
      </w:r>
      <w:r w:rsidR="00550C03">
        <w:rPr>
          <w:rFonts w:asciiTheme="minorHAnsi" w:hAnsiTheme="minorHAnsi"/>
          <w:snapToGrid w:val="0"/>
          <w:lang w:val="en-GB"/>
        </w:rPr>
        <w:t>ICER</w:t>
      </w:r>
      <w:r w:rsidR="00AC0A2B">
        <w:rPr>
          <w:rFonts w:asciiTheme="minorHAnsi" w:hAnsiTheme="minorHAnsi"/>
          <w:snapToGrid w:val="0"/>
          <w:lang w:val="en-GB"/>
        </w:rPr>
        <w:t>)</w:t>
      </w:r>
      <w:r w:rsidR="00550C03">
        <w:rPr>
          <w:rFonts w:asciiTheme="minorHAnsi" w:hAnsiTheme="minorHAnsi"/>
          <w:snapToGrid w:val="0"/>
          <w:lang w:val="en-GB"/>
        </w:rPr>
        <w:t xml:space="preserve"> </w:t>
      </w:r>
      <w:r w:rsidR="00F22DA7">
        <w:rPr>
          <w:rFonts w:asciiTheme="minorHAnsi" w:hAnsiTheme="minorHAnsi"/>
          <w:snapToGrid w:val="0"/>
          <w:lang w:val="en-GB"/>
        </w:rPr>
        <w:t xml:space="preserve">by </w:t>
      </w:r>
      <w:r w:rsidR="003F51AF" w:rsidRPr="00347D89">
        <w:rPr>
          <w:rFonts w:asciiTheme="minorHAnsi" w:hAnsiTheme="minorHAnsi"/>
          <w:snapToGrid w:val="0"/>
          <w:color w:val="000000"/>
          <w:w w:val="15"/>
          <w:shd w:val="solid" w:color="000000" w:fill="000000"/>
          <w:fitText w:val="-20" w:id="-694959858"/>
          <w:lang w:val="en-GB"/>
          <w14:textFill>
            <w14:solidFill>
              <w14:srgbClr w14:val="000000">
                <w14:alpha w14:val="100000"/>
              </w14:srgbClr>
            </w14:solidFill>
          </w14:textFill>
        </w:rPr>
        <w:t>|</w:t>
      </w:r>
      <w:r w:rsidR="00BC142B" w:rsidRPr="00347D89">
        <w:rPr>
          <w:rFonts w:asciiTheme="minorHAnsi" w:hAnsiTheme="minorHAnsi"/>
          <w:snapToGrid w:val="0"/>
          <w:color w:val="000000"/>
          <w:w w:val="15"/>
          <w:shd w:val="solid" w:color="000000" w:fill="000000"/>
          <w:fitText w:val="-20" w:id="-694959858"/>
          <w:lang w:val="en-GB"/>
          <w14:textFill>
            <w14:solidFill>
              <w14:srgbClr w14:val="000000">
                <w14:alpha w14:val="100000"/>
              </w14:srgbClr>
            </w14:solidFill>
          </w14:textFill>
        </w:rPr>
        <w:t xml:space="preserve"> </w:t>
      </w:r>
      <w:r w:rsidR="003F51AF" w:rsidRPr="00347D89">
        <w:rPr>
          <w:rFonts w:asciiTheme="minorHAnsi" w:hAnsiTheme="minorHAnsi"/>
          <w:snapToGrid w:val="0"/>
          <w:color w:val="000000"/>
          <w:spacing w:val="-61"/>
          <w:w w:val="15"/>
          <w:shd w:val="solid" w:color="000000" w:fill="000000"/>
          <w:fitText w:val="-20" w:id="-694959858"/>
          <w:lang w:val="en-GB"/>
          <w14:textFill>
            <w14:solidFill>
              <w14:srgbClr w14:val="000000">
                <w14:alpha w14:val="100000"/>
              </w14:srgbClr>
            </w14:solidFill>
          </w14:textFill>
        </w:rPr>
        <w:t>|</w:t>
      </w:r>
      <w:r w:rsidR="00F22DA7">
        <w:rPr>
          <w:rFonts w:asciiTheme="minorHAnsi" w:hAnsiTheme="minorHAnsi"/>
          <w:snapToGrid w:val="0"/>
          <w:lang w:val="en-GB"/>
        </w:rPr>
        <w:t>%</w:t>
      </w:r>
      <w:r w:rsidR="00841092">
        <w:rPr>
          <w:rFonts w:asciiTheme="minorHAnsi" w:hAnsiTheme="minorHAnsi"/>
          <w:snapToGrid w:val="0"/>
          <w:lang w:val="en-GB"/>
        </w:rPr>
        <w:t xml:space="preserve"> (using </w:t>
      </w:r>
      <w:r w:rsidR="00E83268">
        <w:rPr>
          <w:rFonts w:asciiTheme="minorHAnsi" w:hAnsiTheme="minorHAnsi"/>
          <w:snapToGrid w:val="0"/>
          <w:lang w:val="en-GB"/>
        </w:rPr>
        <w:t xml:space="preserve">the </w:t>
      </w:r>
      <w:r w:rsidR="00841092">
        <w:rPr>
          <w:rFonts w:asciiTheme="minorHAnsi" w:hAnsiTheme="minorHAnsi"/>
          <w:snapToGrid w:val="0"/>
          <w:lang w:val="en-GB"/>
        </w:rPr>
        <w:t>published price of</w:t>
      </w:r>
      <w:r w:rsidR="00E83268">
        <w:rPr>
          <w:rFonts w:asciiTheme="minorHAnsi" w:hAnsiTheme="minorHAnsi"/>
          <w:snapToGrid w:val="0"/>
          <w:lang w:val="en-GB"/>
        </w:rPr>
        <w:t xml:space="preserve"> comparators)</w:t>
      </w:r>
      <w:r w:rsidR="00F22DA7">
        <w:rPr>
          <w:rFonts w:asciiTheme="minorHAnsi" w:hAnsiTheme="minorHAnsi"/>
          <w:snapToGrid w:val="0"/>
          <w:lang w:val="en-GB"/>
        </w:rPr>
        <w:t>.</w:t>
      </w:r>
    </w:p>
    <w:p w14:paraId="0CA508F0" w14:textId="6F2A988B" w:rsidR="005D6D5F" w:rsidRDefault="00271B57" w:rsidP="00727F4E">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w:t>
      </w:r>
      <w:r w:rsidR="002C72E2">
        <w:rPr>
          <w:rFonts w:asciiTheme="minorHAnsi" w:hAnsiTheme="minorHAnsi"/>
          <w:snapToGrid w:val="0"/>
          <w:lang w:val="en-GB"/>
        </w:rPr>
        <w:t xml:space="preserve"> considered that elranatamab would be cost effective at an ICER of less than </w:t>
      </w:r>
      <w:r w:rsidR="003B34E2" w:rsidRPr="003B34E2">
        <w:rPr>
          <w:rFonts w:asciiTheme="minorHAnsi" w:hAnsiTheme="minorHAnsi"/>
          <w:snapToGrid w:val="0"/>
        </w:rPr>
        <w:t>$75,000 to &lt; $95,000</w:t>
      </w:r>
      <w:r w:rsidR="003B34E2">
        <w:rPr>
          <w:rFonts w:asciiTheme="minorHAnsi" w:hAnsiTheme="minorHAnsi"/>
          <w:snapToGrid w:val="0"/>
        </w:rPr>
        <w:t xml:space="preserve"> </w:t>
      </w:r>
      <w:r w:rsidR="002C72E2">
        <w:rPr>
          <w:rFonts w:asciiTheme="minorHAnsi" w:hAnsiTheme="minorHAnsi"/>
          <w:snapToGrid w:val="0"/>
          <w:lang w:val="en-GB"/>
        </w:rPr>
        <w:t>per quality adjusted life year</w:t>
      </w:r>
      <w:r w:rsidR="007765DC">
        <w:rPr>
          <w:rFonts w:asciiTheme="minorHAnsi" w:hAnsiTheme="minorHAnsi"/>
          <w:snapToGrid w:val="0"/>
          <w:lang w:val="en-GB"/>
        </w:rPr>
        <w:t xml:space="preserve">, </w:t>
      </w:r>
      <w:r w:rsidR="00A9065D">
        <w:rPr>
          <w:rFonts w:asciiTheme="minorHAnsi" w:hAnsiTheme="minorHAnsi"/>
          <w:snapToGrid w:val="0"/>
          <w:lang w:val="en-GB"/>
        </w:rPr>
        <w:t>when applying the effective prices of carfilzomib, pomalidomide and selinexor</w:t>
      </w:r>
      <w:r w:rsidR="00FD03E8">
        <w:rPr>
          <w:rFonts w:asciiTheme="minorHAnsi" w:hAnsiTheme="minorHAnsi"/>
          <w:snapToGrid w:val="0"/>
          <w:lang w:val="en-GB"/>
        </w:rPr>
        <w:t xml:space="preserve">. The PBAC </w:t>
      </w:r>
      <w:r w:rsidR="00B61019">
        <w:rPr>
          <w:rFonts w:asciiTheme="minorHAnsi" w:hAnsiTheme="minorHAnsi"/>
          <w:snapToGrid w:val="0"/>
          <w:lang w:val="en-GB"/>
        </w:rPr>
        <w:t xml:space="preserve">advised that consideration of cost effectiveness should be based </w:t>
      </w:r>
      <w:r w:rsidR="003C0A5C">
        <w:rPr>
          <w:rFonts w:asciiTheme="minorHAnsi" w:hAnsiTheme="minorHAnsi"/>
          <w:snapToGrid w:val="0"/>
          <w:lang w:val="en-GB"/>
        </w:rPr>
        <w:t>on the</w:t>
      </w:r>
      <w:r w:rsidR="00D44435">
        <w:rPr>
          <w:rFonts w:asciiTheme="minorHAnsi" w:hAnsiTheme="minorHAnsi"/>
          <w:snapToGrid w:val="0"/>
          <w:lang w:val="en-GB"/>
        </w:rPr>
        <w:t xml:space="preserve"> current</w:t>
      </w:r>
      <w:r w:rsidR="003C0A5C">
        <w:rPr>
          <w:rFonts w:asciiTheme="minorHAnsi" w:hAnsiTheme="minorHAnsi"/>
          <w:snapToGrid w:val="0"/>
          <w:lang w:val="en-GB"/>
        </w:rPr>
        <w:t xml:space="preserve"> approved TGA Product Information</w:t>
      </w:r>
      <w:r w:rsidR="005E3FF1">
        <w:rPr>
          <w:rFonts w:asciiTheme="minorHAnsi" w:hAnsiTheme="minorHAnsi"/>
          <w:snapToGrid w:val="0"/>
          <w:lang w:val="en-GB"/>
        </w:rPr>
        <w:t>.</w:t>
      </w:r>
      <w:r w:rsidR="00276ECB">
        <w:rPr>
          <w:rFonts w:asciiTheme="minorHAnsi" w:hAnsiTheme="minorHAnsi"/>
          <w:snapToGrid w:val="0"/>
          <w:lang w:val="en-GB"/>
        </w:rPr>
        <w:t xml:space="preserve"> </w:t>
      </w:r>
      <w:r w:rsidR="00BB7880">
        <w:rPr>
          <w:rFonts w:asciiTheme="minorHAnsi" w:hAnsiTheme="minorHAnsi"/>
          <w:snapToGrid w:val="0"/>
          <w:lang w:val="en-GB"/>
        </w:rPr>
        <w:t xml:space="preserve">The </w:t>
      </w:r>
      <w:r w:rsidR="00BB7880" w:rsidRPr="00BB7880">
        <w:rPr>
          <w:rFonts w:asciiTheme="minorHAnsi" w:hAnsiTheme="minorHAnsi"/>
          <w:snapToGrid w:val="0"/>
          <w:lang w:val="en-GB"/>
        </w:rPr>
        <w:t>PBAC noted there is a</w:t>
      </w:r>
      <w:r w:rsidR="00481064">
        <w:rPr>
          <w:rFonts w:asciiTheme="minorHAnsi" w:hAnsiTheme="minorHAnsi"/>
          <w:snapToGrid w:val="0"/>
          <w:lang w:val="en-GB"/>
        </w:rPr>
        <w:t xml:space="preserve">n </w:t>
      </w:r>
      <w:r w:rsidR="00BB7880" w:rsidRPr="00BB7880">
        <w:rPr>
          <w:rFonts w:asciiTheme="minorHAnsi" w:hAnsiTheme="minorHAnsi"/>
          <w:snapToGrid w:val="0"/>
          <w:lang w:val="en-GB"/>
        </w:rPr>
        <w:t>application with</w:t>
      </w:r>
      <w:r w:rsidR="00953B53">
        <w:rPr>
          <w:rFonts w:asciiTheme="minorHAnsi" w:hAnsiTheme="minorHAnsi"/>
          <w:snapToGrid w:val="0"/>
          <w:lang w:val="en-GB"/>
        </w:rPr>
        <w:t xml:space="preserve"> the</w:t>
      </w:r>
      <w:r w:rsidR="00BB7880" w:rsidRPr="00BB7880">
        <w:rPr>
          <w:rFonts w:asciiTheme="minorHAnsi" w:hAnsiTheme="minorHAnsi"/>
          <w:snapToGrid w:val="0"/>
          <w:lang w:val="en-GB"/>
        </w:rPr>
        <w:t xml:space="preserve"> TGA for 4-weekly dosing </w:t>
      </w:r>
      <w:r w:rsidR="00BB7880">
        <w:rPr>
          <w:rFonts w:asciiTheme="minorHAnsi" w:hAnsiTheme="minorHAnsi"/>
          <w:snapToGrid w:val="0"/>
          <w:lang w:val="en-GB"/>
        </w:rPr>
        <w:t xml:space="preserve">and advised </w:t>
      </w:r>
      <w:r w:rsidR="00BB7880" w:rsidRPr="00BB7880">
        <w:rPr>
          <w:rFonts w:asciiTheme="minorHAnsi" w:hAnsiTheme="minorHAnsi"/>
          <w:snapToGrid w:val="0"/>
          <w:lang w:val="en-GB"/>
        </w:rPr>
        <w:t xml:space="preserve">if that dosing regimen is approved, the sponsor can update its </w:t>
      </w:r>
      <w:r w:rsidR="00751335">
        <w:rPr>
          <w:rFonts w:asciiTheme="minorHAnsi" w:hAnsiTheme="minorHAnsi"/>
          <w:snapToGrid w:val="0"/>
          <w:lang w:val="en-GB"/>
        </w:rPr>
        <w:t xml:space="preserve">economic </w:t>
      </w:r>
      <w:r w:rsidR="00BB7880" w:rsidRPr="00BB7880">
        <w:rPr>
          <w:rFonts w:asciiTheme="minorHAnsi" w:hAnsiTheme="minorHAnsi"/>
          <w:snapToGrid w:val="0"/>
          <w:lang w:val="en-GB"/>
        </w:rPr>
        <w:t xml:space="preserve">model on that basis. </w:t>
      </w:r>
    </w:p>
    <w:p w14:paraId="16471E07" w14:textId="172B6F9C" w:rsidR="00F474EB" w:rsidRPr="00205A99" w:rsidRDefault="00583C9F" w:rsidP="00F474EB">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w:t>
      </w:r>
      <w:r w:rsidR="00D2625D">
        <w:rPr>
          <w:rFonts w:asciiTheme="minorHAnsi" w:hAnsiTheme="minorHAnsi"/>
          <w:snapToGrid w:val="0"/>
          <w:lang w:val="en-GB"/>
        </w:rPr>
        <w:t xml:space="preserve">PBAC noted that the </w:t>
      </w:r>
      <w:r w:rsidR="002202D4">
        <w:rPr>
          <w:rFonts w:asciiTheme="minorHAnsi" w:hAnsiTheme="minorHAnsi"/>
          <w:snapToGrid w:val="0"/>
          <w:lang w:val="en-GB"/>
        </w:rPr>
        <w:t>utilisation estimates were based on DUSC Secretariat analyses of the 100% PBS data sample as recommended in July 2024 (paragraph 7.17, elranatamab PSD, July 2024)</w:t>
      </w:r>
      <w:r w:rsidR="00EE5913">
        <w:rPr>
          <w:rFonts w:asciiTheme="minorHAnsi" w:hAnsiTheme="minorHAnsi"/>
          <w:snapToGrid w:val="0"/>
          <w:lang w:val="en-GB"/>
        </w:rPr>
        <w:t xml:space="preserve">. The PBAC </w:t>
      </w:r>
      <w:r w:rsidR="00A06E3F">
        <w:rPr>
          <w:rFonts w:asciiTheme="minorHAnsi" w:hAnsiTheme="minorHAnsi"/>
          <w:snapToGrid w:val="0"/>
          <w:lang w:val="en-GB"/>
        </w:rPr>
        <w:t xml:space="preserve">noted </w:t>
      </w:r>
      <w:r w:rsidR="00B47AC6">
        <w:rPr>
          <w:rFonts w:asciiTheme="minorHAnsi" w:hAnsiTheme="minorHAnsi"/>
          <w:snapToGrid w:val="0"/>
          <w:lang w:val="en-GB"/>
        </w:rPr>
        <w:t xml:space="preserve">some </w:t>
      </w:r>
      <w:r w:rsidR="00A06E3F">
        <w:rPr>
          <w:rFonts w:asciiTheme="minorHAnsi" w:hAnsiTheme="minorHAnsi"/>
          <w:snapToGrid w:val="0"/>
          <w:lang w:val="en-GB"/>
        </w:rPr>
        <w:t xml:space="preserve">uncertainties </w:t>
      </w:r>
      <w:r w:rsidR="00B47AC6">
        <w:rPr>
          <w:rFonts w:asciiTheme="minorHAnsi" w:hAnsiTheme="minorHAnsi"/>
          <w:snapToGrid w:val="0"/>
          <w:lang w:val="en-GB"/>
        </w:rPr>
        <w:t xml:space="preserve">remained </w:t>
      </w:r>
      <w:r w:rsidR="00A06E3F">
        <w:rPr>
          <w:rFonts w:asciiTheme="minorHAnsi" w:hAnsiTheme="minorHAnsi"/>
          <w:snapToGrid w:val="0"/>
          <w:lang w:val="en-GB"/>
        </w:rPr>
        <w:t xml:space="preserve">with the financial estimates (see paragraph </w:t>
      </w:r>
      <w:r w:rsidR="00A06E3F">
        <w:rPr>
          <w:rFonts w:asciiTheme="minorHAnsi" w:hAnsiTheme="minorHAnsi"/>
          <w:snapToGrid w:val="0"/>
          <w:lang w:val="en-GB"/>
        </w:rPr>
        <w:fldChar w:fldCharType="begin" w:fldLock="1"/>
      </w:r>
      <w:r w:rsidR="00A06E3F">
        <w:rPr>
          <w:rFonts w:asciiTheme="minorHAnsi" w:hAnsiTheme="minorHAnsi"/>
          <w:snapToGrid w:val="0"/>
          <w:lang w:val="en-GB"/>
        </w:rPr>
        <w:instrText xml:space="preserve"> REF _Ref193732844 \r \h </w:instrText>
      </w:r>
      <w:r w:rsidR="00A06E3F">
        <w:rPr>
          <w:rFonts w:asciiTheme="minorHAnsi" w:hAnsiTheme="minorHAnsi"/>
          <w:snapToGrid w:val="0"/>
          <w:lang w:val="en-GB"/>
        </w:rPr>
      </w:r>
      <w:r w:rsidR="00A06E3F">
        <w:rPr>
          <w:rFonts w:asciiTheme="minorHAnsi" w:hAnsiTheme="minorHAnsi"/>
          <w:snapToGrid w:val="0"/>
          <w:lang w:val="en-GB"/>
        </w:rPr>
        <w:fldChar w:fldCharType="separate"/>
      </w:r>
      <w:r w:rsidR="00347D89">
        <w:rPr>
          <w:rFonts w:asciiTheme="minorHAnsi" w:hAnsiTheme="minorHAnsi"/>
          <w:snapToGrid w:val="0"/>
          <w:lang w:val="en-GB"/>
        </w:rPr>
        <w:t>6.86</w:t>
      </w:r>
      <w:r w:rsidR="00A06E3F">
        <w:rPr>
          <w:rFonts w:asciiTheme="minorHAnsi" w:hAnsiTheme="minorHAnsi"/>
          <w:snapToGrid w:val="0"/>
          <w:lang w:val="en-GB"/>
        </w:rPr>
        <w:fldChar w:fldCharType="end"/>
      </w:r>
      <w:r w:rsidR="00A06E3F">
        <w:rPr>
          <w:rFonts w:asciiTheme="minorHAnsi" w:hAnsiTheme="minorHAnsi"/>
          <w:snapToGrid w:val="0"/>
          <w:lang w:val="en-GB"/>
        </w:rPr>
        <w:t xml:space="preserve">) </w:t>
      </w:r>
      <w:r w:rsidR="00643F21">
        <w:rPr>
          <w:rFonts w:asciiTheme="minorHAnsi" w:hAnsiTheme="minorHAnsi"/>
          <w:snapToGrid w:val="0"/>
          <w:lang w:val="en-GB"/>
        </w:rPr>
        <w:t xml:space="preserve">and considered </w:t>
      </w:r>
      <w:r w:rsidR="00EE4CF1">
        <w:rPr>
          <w:rFonts w:asciiTheme="minorHAnsi" w:hAnsiTheme="minorHAnsi"/>
          <w:snapToGrid w:val="0"/>
          <w:lang w:val="en-GB"/>
        </w:rPr>
        <w:t xml:space="preserve">that </w:t>
      </w:r>
      <w:proofErr w:type="gramStart"/>
      <w:r w:rsidR="00EE4CF1">
        <w:rPr>
          <w:rFonts w:asciiTheme="minorHAnsi" w:hAnsiTheme="minorHAnsi"/>
          <w:snapToGrid w:val="0"/>
          <w:lang w:val="en-GB"/>
        </w:rPr>
        <w:t>a</w:t>
      </w:r>
      <w:proofErr w:type="gramEnd"/>
      <w:r w:rsidR="00EE4CF1">
        <w:rPr>
          <w:rFonts w:asciiTheme="minorHAnsi" w:hAnsiTheme="minorHAnsi"/>
          <w:snapToGrid w:val="0"/>
          <w:lang w:val="en-GB"/>
        </w:rPr>
        <w:t xml:space="preserve"> </w:t>
      </w:r>
      <w:r w:rsidR="00FE1C6F">
        <w:rPr>
          <w:rFonts w:asciiTheme="minorHAnsi" w:hAnsiTheme="minorHAnsi"/>
          <w:snapToGrid w:val="0"/>
          <w:lang w:val="en-GB"/>
        </w:rPr>
        <w:t xml:space="preserve">RSA, with </w:t>
      </w:r>
      <w:r w:rsidR="00190A31">
        <w:rPr>
          <w:rFonts w:asciiTheme="minorHAnsi" w:hAnsiTheme="minorHAnsi"/>
          <w:snapToGrid w:val="0"/>
          <w:lang w:val="en-GB"/>
        </w:rPr>
        <w:t xml:space="preserve">a </w:t>
      </w:r>
      <w:r w:rsidR="003F51AF" w:rsidRPr="00347D89">
        <w:rPr>
          <w:rFonts w:asciiTheme="minorHAnsi" w:hAnsiTheme="minorHAnsi"/>
          <w:snapToGrid w:val="0"/>
          <w:color w:val="000000"/>
          <w:w w:val="15"/>
          <w:shd w:val="solid" w:color="000000" w:fill="000000"/>
          <w:fitText w:val="-20" w:id="-694959857"/>
          <w:lang w:val="en-GB"/>
          <w14:textFill>
            <w14:solidFill>
              <w14:srgbClr w14:val="000000">
                <w14:alpha w14:val="100000"/>
              </w14:srgbClr>
            </w14:solidFill>
          </w14:textFill>
        </w:rPr>
        <w:t>|</w:t>
      </w:r>
      <w:r w:rsidR="00BC142B" w:rsidRPr="00347D89">
        <w:rPr>
          <w:rFonts w:asciiTheme="minorHAnsi" w:hAnsiTheme="minorHAnsi"/>
          <w:snapToGrid w:val="0"/>
          <w:color w:val="000000"/>
          <w:w w:val="15"/>
          <w:shd w:val="solid" w:color="000000" w:fill="000000"/>
          <w:fitText w:val="-20" w:id="-694959857"/>
          <w:lang w:val="en-GB"/>
          <w14:textFill>
            <w14:solidFill>
              <w14:srgbClr w14:val="000000">
                <w14:alpha w14:val="100000"/>
              </w14:srgbClr>
            </w14:solidFill>
          </w14:textFill>
        </w:rPr>
        <w:t xml:space="preserve"> </w:t>
      </w:r>
      <w:r w:rsidR="003F51AF" w:rsidRPr="00347D89">
        <w:rPr>
          <w:rFonts w:asciiTheme="minorHAnsi" w:hAnsiTheme="minorHAnsi"/>
          <w:snapToGrid w:val="0"/>
          <w:color w:val="000000"/>
          <w:spacing w:val="-61"/>
          <w:w w:val="15"/>
          <w:shd w:val="solid" w:color="000000" w:fill="000000"/>
          <w:fitText w:val="-20" w:id="-694959857"/>
          <w:lang w:val="en-GB"/>
          <w14:textFill>
            <w14:solidFill>
              <w14:srgbClr w14:val="000000">
                <w14:alpha w14:val="100000"/>
              </w14:srgbClr>
            </w14:solidFill>
          </w14:textFill>
        </w:rPr>
        <w:t>|</w:t>
      </w:r>
      <w:r w:rsidR="00190A31">
        <w:rPr>
          <w:rFonts w:asciiTheme="minorHAnsi" w:hAnsiTheme="minorHAnsi"/>
          <w:snapToGrid w:val="0"/>
          <w:lang w:val="en-GB"/>
        </w:rPr>
        <w:t>% rebate over the</w:t>
      </w:r>
      <w:r w:rsidR="00FE1C6F">
        <w:rPr>
          <w:rFonts w:asciiTheme="minorHAnsi" w:hAnsiTheme="minorHAnsi"/>
          <w:snapToGrid w:val="0"/>
          <w:lang w:val="en-GB"/>
        </w:rPr>
        <w:t xml:space="preserve"> expenditure caps, would be required</w:t>
      </w:r>
      <w:r w:rsidR="00590E8C">
        <w:rPr>
          <w:rFonts w:asciiTheme="minorHAnsi" w:hAnsiTheme="minorHAnsi"/>
          <w:snapToGrid w:val="0"/>
          <w:lang w:val="en-GB"/>
        </w:rPr>
        <w:t xml:space="preserve">. </w:t>
      </w:r>
      <w:r w:rsidR="00A06E3F">
        <w:rPr>
          <w:rFonts w:asciiTheme="minorHAnsi" w:hAnsiTheme="minorHAnsi"/>
          <w:snapToGrid w:val="0"/>
          <w:lang w:val="en-GB"/>
        </w:rPr>
        <w:t xml:space="preserve">The PBAC </w:t>
      </w:r>
      <w:r w:rsidR="00FE1C6F">
        <w:rPr>
          <w:rFonts w:asciiTheme="minorHAnsi" w:hAnsiTheme="minorHAnsi"/>
          <w:snapToGrid w:val="0"/>
          <w:lang w:val="en-GB"/>
        </w:rPr>
        <w:t xml:space="preserve">also </w:t>
      </w:r>
      <w:r w:rsidR="00837C50">
        <w:rPr>
          <w:rFonts w:asciiTheme="minorHAnsi" w:hAnsiTheme="minorHAnsi"/>
          <w:snapToGrid w:val="0"/>
          <w:lang w:val="en-GB"/>
        </w:rPr>
        <w:t xml:space="preserve">noted that the </w:t>
      </w:r>
      <w:r w:rsidR="00837C50" w:rsidRPr="00205A99">
        <w:rPr>
          <w:rFonts w:asciiTheme="minorHAnsi" w:hAnsiTheme="minorHAnsi"/>
          <w:snapToGrid w:val="0"/>
          <w:lang w:val="en-GB"/>
        </w:rPr>
        <w:t xml:space="preserve">estimated </w:t>
      </w:r>
      <w:r w:rsidR="00EF033D" w:rsidRPr="00205A99">
        <w:rPr>
          <w:rFonts w:asciiTheme="minorHAnsi" w:hAnsiTheme="minorHAnsi"/>
          <w:snapToGrid w:val="0"/>
          <w:lang w:val="en-GB"/>
        </w:rPr>
        <w:t xml:space="preserve">utilisation would be higher </w:t>
      </w:r>
      <w:r w:rsidR="00AC4EB1" w:rsidRPr="00205A99">
        <w:rPr>
          <w:rFonts w:asciiTheme="minorHAnsi" w:hAnsiTheme="minorHAnsi"/>
          <w:snapToGrid w:val="0"/>
          <w:lang w:val="en-GB"/>
        </w:rPr>
        <w:t xml:space="preserve">when </w:t>
      </w:r>
      <w:r w:rsidR="00716F33" w:rsidRPr="00205A99">
        <w:rPr>
          <w:rFonts w:asciiTheme="minorHAnsi" w:hAnsiTheme="minorHAnsi"/>
          <w:snapToGrid w:val="0"/>
          <w:lang w:val="en-GB"/>
        </w:rPr>
        <w:t xml:space="preserve">based on the current TGA Product </w:t>
      </w:r>
      <w:r w:rsidR="00D703D9" w:rsidRPr="00205A99">
        <w:rPr>
          <w:rFonts w:asciiTheme="minorHAnsi" w:hAnsiTheme="minorHAnsi"/>
          <w:snapToGrid w:val="0"/>
          <w:lang w:val="en-GB"/>
        </w:rPr>
        <w:t>Information</w:t>
      </w:r>
      <w:r w:rsidR="00716F33" w:rsidRPr="00205A99">
        <w:rPr>
          <w:rFonts w:asciiTheme="minorHAnsi" w:hAnsiTheme="minorHAnsi"/>
          <w:snapToGrid w:val="0"/>
          <w:lang w:val="en-GB"/>
        </w:rPr>
        <w:t xml:space="preserve"> i.e., 2-weekly dosing from Week 24 (with no change at Week 49)</w:t>
      </w:r>
      <w:r w:rsidR="00122223" w:rsidRPr="00205A99">
        <w:rPr>
          <w:rFonts w:asciiTheme="minorHAnsi" w:hAnsiTheme="minorHAnsi"/>
          <w:snapToGrid w:val="0"/>
          <w:lang w:val="en-GB"/>
        </w:rPr>
        <w:t xml:space="preserve">. </w:t>
      </w:r>
    </w:p>
    <w:p w14:paraId="3DA209E0" w14:textId="36633F4F" w:rsidR="000112F6" w:rsidRPr="00205A99" w:rsidRDefault="00951447" w:rsidP="00F474EB">
      <w:pPr>
        <w:widowControl w:val="0"/>
        <w:numPr>
          <w:ilvl w:val="1"/>
          <w:numId w:val="1"/>
        </w:numPr>
        <w:spacing w:after="120"/>
        <w:rPr>
          <w:rFonts w:asciiTheme="minorHAnsi" w:hAnsiTheme="minorHAnsi"/>
          <w:snapToGrid w:val="0"/>
          <w:lang w:val="en-GB"/>
        </w:rPr>
      </w:pPr>
      <w:r w:rsidRPr="00205A99">
        <w:rPr>
          <w:rFonts w:asciiTheme="minorHAnsi" w:hAnsiTheme="minorHAnsi"/>
          <w:snapToGrid w:val="0"/>
          <w:lang w:val="en-GB"/>
        </w:rPr>
        <w:t xml:space="preserve">The PBAC noted </w:t>
      </w:r>
      <w:r w:rsidR="002F3D12" w:rsidRPr="00205A99">
        <w:rPr>
          <w:rFonts w:asciiTheme="minorHAnsi" w:hAnsiTheme="minorHAnsi"/>
          <w:snapToGrid w:val="0"/>
          <w:lang w:val="en-GB"/>
        </w:rPr>
        <w:t>the large number of treatments listed on the PBS</w:t>
      </w:r>
      <w:r w:rsidR="00141001" w:rsidRPr="00205A99">
        <w:rPr>
          <w:rFonts w:asciiTheme="minorHAnsi" w:hAnsiTheme="minorHAnsi"/>
          <w:snapToGrid w:val="0"/>
          <w:lang w:val="en-GB"/>
        </w:rPr>
        <w:t xml:space="preserve"> for the treatment of multiple myeloma</w:t>
      </w:r>
      <w:r w:rsidRPr="00205A99">
        <w:rPr>
          <w:rFonts w:asciiTheme="minorHAnsi" w:hAnsiTheme="minorHAnsi"/>
          <w:snapToGrid w:val="0"/>
          <w:lang w:val="en-GB"/>
        </w:rPr>
        <w:t xml:space="preserve">. The </w:t>
      </w:r>
      <w:r w:rsidR="00746B5E" w:rsidRPr="00205A99">
        <w:rPr>
          <w:rFonts w:asciiTheme="minorHAnsi" w:hAnsiTheme="minorHAnsi"/>
          <w:snapToGrid w:val="0"/>
          <w:lang w:val="en-GB"/>
        </w:rPr>
        <w:t>PBAC recommend</w:t>
      </w:r>
      <w:r w:rsidR="005063D9" w:rsidRPr="00205A99">
        <w:rPr>
          <w:rFonts w:asciiTheme="minorHAnsi" w:hAnsiTheme="minorHAnsi"/>
          <w:snapToGrid w:val="0"/>
          <w:lang w:val="en-GB"/>
        </w:rPr>
        <w:t>ed</w:t>
      </w:r>
      <w:r w:rsidR="00746B5E" w:rsidRPr="00205A99">
        <w:rPr>
          <w:rFonts w:asciiTheme="minorHAnsi" w:hAnsiTheme="minorHAnsi"/>
          <w:snapToGrid w:val="0"/>
          <w:lang w:val="en-GB"/>
        </w:rPr>
        <w:t xml:space="preserve"> that </w:t>
      </w:r>
      <w:r w:rsidR="007D060C" w:rsidRPr="00205A99">
        <w:rPr>
          <w:rFonts w:asciiTheme="minorHAnsi" w:hAnsiTheme="minorHAnsi"/>
          <w:snapToGrid w:val="0"/>
          <w:lang w:val="en-GB"/>
        </w:rPr>
        <w:t xml:space="preserve">the Department undertake a </w:t>
      </w:r>
      <w:r w:rsidRPr="00205A99">
        <w:rPr>
          <w:rFonts w:asciiTheme="minorHAnsi" w:hAnsiTheme="minorHAnsi"/>
          <w:snapToGrid w:val="0"/>
          <w:lang w:val="en-GB"/>
        </w:rPr>
        <w:t>utilisation analysis</w:t>
      </w:r>
      <w:r w:rsidR="00170F8A" w:rsidRPr="00205A99">
        <w:rPr>
          <w:rFonts w:asciiTheme="minorHAnsi" w:hAnsiTheme="minorHAnsi"/>
          <w:snapToGrid w:val="0"/>
          <w:lang w:val="en-GB"/>
        </w:rPr>
        <w:t xml:space="preserve"> to understand the treatment pathways and duration of treatment for PBS-listed therapies for multiple myeloma</w:t>
      </w:r>
      <w:r w:rsidR="0060317F" w:rsidRPr="00205A99">
        <w:rPr>
          <w:rFonts w:asciiTheme="minorHAnsi" w:hAnsiTheme="minorHAnsi"/>
          <w:snapToGrid w:val="0"/>
          <w:lang w:val="en-GB"/>
        </w:rPr>
        <w:t>.</w:t>
      </w:r>
      <w:r w:rsidR="009036F3" w:rsidRPr="00205A99">
        <w:rPr>
          <w:rFonts w:asciiTheme="minorHAnsi" w:hAnsiTheme="minorHAnsi"/>
          <w:snapToGrid w:val="0"/>
          <w:lang w:val="en-GB"/>
        </w:rPr>
        <w:t xml:space="preserve"> </w:t>
      </w:r>
    </w:p>
    <w:p w14:paraId="685C3011" w14:textId="1CAE48B1" w:rsidR="00251B72" w:rsidRPr="00205A99" w:rsidRDefault="00251B72" w:rsidP="00251B72">
      <w:pPr>
        <w:pStyle w:val="COMexecsummnumbered"/>
        <w:rPr>
          <w:lang w:val="en-GB"/>
        </w:rPr>
      </w:pPr>
      <w:r w:rsidRPr="00205A99">
        <w:rPr>
          <w:snapToGrid w:val="0"/>
          <w:lang w:val="en-GB"/>
        </w:rPr>
        <w:t>The PBAC recommended that elranatamab should not be treated as interchangeable</w:t>
      </w:r>
      <w:r w:rsidR="00B6059B" w:rsidRPr="00205A99">
        <w:rPr>
          <w:snapToGrid w:val="0"/>
          <w:lang w:val="en-GB"/>
        </w:rPr>
        <w:t xml:space="preserve"> with any other drugs</w:t>
      </w:r>
      <w:r w:rsidRPr="00205A99">
        <w:rPr>
          <w:snapToGrid w:val="0"/>
          <w:lang w:val="en-GB"/>
        </w:rPr>
        <w:t xml:space="preserve">. </w:t>
      </w:r>
    </w:p>
    <w:p w14:paraId="33ACDFE8" w14:textId="5D8F39C3" w:rsidR="00251B72" w:rsidRPr="00F958D1" w:rsidRDefault="00251B72" w:rsidP="00251B72">
      <w:pPr>
        <w:pStyle w:val="COMexecsummnumbered"/>
        <w:rPr>
          <w:snapToGrid w:val="0"/>
          <w:lang w:val="en-GB"/>
        </w:rPr>
      </w:pPr>
      <w:r w:rsidRPr="00205A99">
        <w:rPr>
          <w:snapToGrid w:val="0"/>
          <w:lang w:val="en-GB"/>
        </w:rPr>
        <w:t xml:space="preserve">The PBAC advised that </w:t>
      </w:r>
      <w:r w:rsidR="00B6059B" w:rsidRPr="00205A99">
        <w:rPr>
          <w:snapToGrid w:val="0"/>
          <w:lang w:val="en-GB"/>
        </w:rPr>
        <w:t>elranatamab</w:t>
      </w:r>
      <w:r w:rsidRPr="00F958D1">
        <w:rPr>
          <w:snapToGrid w:val="0"/>
          <w:lang w:val="en-GB"/>
        </w:rPr>
        <w:t xml:space="preserve"> is not suitable for prescribing by nurse practitioners. </w:t>
      </w:r>
    </w:p>
    <w:p w14:paraId="0A16980F" w14:textId="47797004" w:rsidR="00251B72" w:rsidRPr="00F958D1" w:rsidRDefault="00251B72" w:rsidP="00251B72">
      <w:pPr>
        <w:pStyle w:val="COMexecsummnumbered"/>
        <w:rPr>
          <w:snapToGrid w:val="0"/>
          <w:lang w:val="en-GB"/>
        </w:rPr>
      </w:pPr>
      <w:r w:rsidRPr="00F958D1">
        <w:rPr>
          <w:snapToGrid w:val="0"/>
          <w:lang w:val="en-GB"/>
        </w:rPr>
        <w:t xml:space="preserve">The PBAC advised that </w:t>
      </w:r>
      <w:r w:rsidR="00B6059B">
        <w:rPr>
          <w:snapToGrid w:val="0"/>
          <w:lang w:val="en-GB"/>
        </w:rPr>
        <w:t xml:space="preserve">elranatamab </w:t>
      </w:r>
      <w:r w:rsidRPr="00F958D1">
        <w:rPr>
          <w:snapToGrid w:val="0"/>
          <w:lang w:val="en-GB"/>
        </w:rPr>
        <w:t xml:space="preserve">should </w:t>
      </w:r>
      <w:r w:rsidR="00A31182">
        <w:rPr>
          <w:snapToGrid w:val="0"/>
          <w:lang w:val="en-GB"/>
        </w:rPr>
        <w:t xml:space="preserve">not </w:t>
      </w:r>
      <w:r w:rsidRPr="00F958D1">
        <w:rPr>
          <w:snapToGrid w:val="0"/>
          <w:lang w:val="en-GB"/>
        </w:rPr>
        <w:t xml:space="preserve">be exempt from the Early Supply Rule. </w:t>
      </w:r>
    </w:p>
    <w:p w14:paraId="64768448" w14:textId="7552547D" w:rsidR="00F474EB" w:rsidRPr="00F474EB" w:rsidRDefault="00F474EB" w:rsidP="00E57D32">
      <w:pPr>
        <w:widowControl w:val="0"/>
        <w:numPr>
          <w:ilvl w:val="1"/>
          <w:numId w:val="1"/>
        </w:numPr>
        <w:spacing w:before="120" w:after="120"/>
        <w:rPr>
          <w:rFonts w:asciiTheme="minorHAnsi" w:hAnsiTheme="minorHAnsi"/>
          <w:snapToGrid w:val="0"/>
          <w:lang w:val="en-GB"/>
        </w:rPr>
      </w:pPr>
      <w:r w:rsidRPr="00F474EB">
        <w:rPr>
          <w:rFonts w:cstheme="minorHAnsi"/>
          <w:lang w:val="en-GB"/>
        </w:rPr>
        <w:t xml:space="preserve">The PBAC found that the criteria prescribed by the </w:t>
      </w:r>
      <w:r w:rsidRPr="00F474EB">
        <w:rPr>
          <w:rFonts w:cstheme="minorHAnsi"/>
          <w:i/>
          <w:iCs/>
          <w:lang w:val="en-GB"/>
        </w:rPr>
        <w:t>National Health (Pharmaceuticals and Vaccines – Cost Recovery) Regulations 2022</w:t>
      </w:r>
      <w:r w:rsidRPr="00F474EB">
        <w:rPr>
          <w:rFonts w:cstheme="minorHAnsi"/>
          <w:lang w:val="en-GB"/>
        </w:rPr>
        <w:t xml:space="preserve"> for Pricing Pathway A were not met. Specifically, the PBAC found that in the circumstances of its recommendation for </w:t>
      </w:r>
      <w:r>
        <w:rPr>
          <w:rFonts w:cstheme="minorHAnsi"/>
          <w:lang w:val="en-GB"/>
        </w:rPr>
        <w:t>elrana</w:t>
      </w:r>
      <w:r w:rsidR="00B61736">
        <w:rPr>
          <w:rFonts w:cstheme="minorHAnsi"/>
          <w:lang w:val="en-GB"/>
        </w:rPr>
        <w:t>tamab</w:t>
      </w:r>
      <w:r w:rsidRPr="00F474EB">
        <w:rPr>
          <w:rFonts w:cstheme="minorHAnsi"/>
          <w:lang w:val="en-GB"/>
        </w:rPr>
        <w:t>:</w:t>
      </w:r>
    </w:p>
    <w:p w14:paraId="31BD9A8B" w14:textId="38FE285D" w:rsidR="00F474EB" w:rsidRPr="00ED1D70" w:rsidRDefault="00F474EB" w:rsidP="00E57D32">
      <w:pPr>
        <w:widowControl w:val="0"/>
        <w:numPr>
          <w:ilvl w:val="1"/>
          <w:numId w:val="31"/>
        </w:numPr>
        <w:spacing w:before="120" w:after="120"/>
        <w:ind w:left="1080"/>
        <w:rPr>
          <w:rFonts w:asciiTheme="minorHAnsi" w:hAnsiTheme="minorHAnsi" w:cstheme="minorHAnsi"/>
          <w:lang w:val="en-GB"/>
        </w:rPr>
      </w:pPr>
      <w:r w:rsidRPr="00ED1D70">
        <w:rPr>
          <w:rFonts w:asciiTheme="minorHAnsi" w:hAnsiTheme="minorHAnsi" w:cstheme="minorHAnsi"/>
          <w:lang w:val="en-GB"/>
        </w:rPr>
        <w:t>The treatment is expected to provide a clinically relevant improvement in efficacy over standard of care</w:t>
      </w:r>
      <w:r>
        <w:rPr>
          <w:rFonts w:asciiTheme="minorHAnsi" w:hAnsiTheme="minorHAnsi" w:cstheme="minorHAnsi"/>
          <w:lang w:val="en-GB"/>
        </w:rPr>
        <w:t xml:space="preserve">, </w:t>
      </w:r>
      <w:r w:rsidRPr="00DE2779">
        <w:rPr>
          <w:rFonts w:cstheme="minorHAnsi"/>
        </w:rPr>
        <w:t xml:space="preserve">but the magnitude of benefit </w:t>
      </w:r>
      <w:r>
        <w:rPr>
          <w:rFonts w:cstheme="minorHAnsi"/>
        </w:rPr>
        <w:t>is</w:t>
      </w:r>
      <w:r w:rsidRPr="00DE2779">
        <w:rPr>
          <w:rFonts w:cstheme="minorHAnsi"/>
        </w:rPr>
        <w:t xml:space="preserve"> uncertain</w:t>
      </w:r>
      <w:r w:rsidRPr="00ED1D70">
        <w:rPr>
          <w:rFonts w:asciiTheme="minorHAnsi" w:hAnsiTheme="minorHAnsi" w:cstheme="minorHAnsi"/>
          <w:lang w:val="en-GB"/>
        </w:rPr>
        <w:t>.</w:t>
      </w:r>
    </w:p>
    <w:p w14:paraId="51DE9EE9" w14:textId="7E2B9A37" w:rsidR="00F474EB" w:rsidRPr="00ED1D70" w:rsidRDefault="00F474EB" w:rsidP="00E57D32">
      <w:pPr>
        <w:widowControl w:val="0"/>
        <w:numPr>
          <w:ilvl w:val="1"/>
          <w:numId w:val="31"/>
        </w:numPr>
        <w:spacing w:before="120" w:after="120"/>
        <w:ind w:left="1080"/>
        <w:rPr>
          <w:rFonts w:asciiTheme="minorHAnsi" w:hAnsiTheme="minorHAnsi" w:cstheme="minorHAnsi"/>
          <w:lang w:val="en-GB"/>
        </w:rPr>
      </w:pPr>
      <w:r w:rsidRPr="00ED1D70">
        <w:rPr>
          <w:rFonts w:asciiTheme="minorHAnsi" w:hAnsiTheme="minorHAnsi" w:cstheme="minorHAnsi"/>
          <w:lang w:val="en-GB"/>
        </w:rPr>
        <w:t>The treatment is</w:t>
      </w:r>
      <w:r>
        <w:rPr>
          <w:rFonts w:asciiTheme="minorHAnsi" w:hAnsiTheme="minorHAnsi" w:cstheme="minorHAnsi"/>
          <w:lang w:val="en-GB"/>
        </w:rPr>
        <w:t xml:space="preserve"> not</w:t>
      </w:r>
      <w:r w:rsidRPr="00ED1D70">
        <w:rPr>
          <w:rFonts w:asciiTheme="minorHAnsi" w:hAnsiTheme="minorHAnsi" w:cstheme="minorHAnsi"/>
          <w:lang w:val="en-GB"/>
        </w:rPr>
        <w:t xml:space="preserve"> expected to address a high and urgent unmet clinical need</w:t>
      </w:r>
      <w:r>
        <w:rPr>
          <w:rFonts w:asciiTheme="minorHAnsi" w:hAnsiTheme="minorHAnsi" w:cstheme="minorHAnsi"/>
          <w:lang w:val="en-GB"/>
        </w:rPr>
        <w:t xml:space="preserve"> because there are alternative treatment options for </w:t>
      </w:r>
      <w:r w:rsidR="00B61736">
        <w:rPr>
          <w:rFonts w:asciiTheme="minorHAnsi" w:hAnsiTheme="minorHAnsi" w:cstheme="minorHAnsi"/>
          <w:lang w:val="en-GB"/>
        </w:rPr>
        <w:t>patients with RRMM.</w:t>
      </w:r>
    </w:p>
    <w:p w14:paraId="6483375F" w14:textId="77777777" w:rsidR="00F474EB" w:rsidRPr="00DE1CF2" w:rsidRDefault="00F474EB" w:rsidP="00E57D32">
      <w:pPr>
        <w:widowControl w:val="0"/>
        <w:numPr>
          <w:ilvl w:val="1"/>
          <w:numId w:val="31"/>
        </w:numPr>
        <w:spacing w:before="120" w:after="120"/>
        <w:ind w:left="1080"/>
        <w:rPr>
          <w:rFonts w:asciiTheme="minorHAnsi" w:hAnsiTheme="minorHAnsi" w:cstheme="minorHAnsi"/>
          <w:lang w:val="en-GB"/>
        </w:rPr>
      </w:pPr>
      <w:r w:rsidRPr="00DE2779">
        <w:rPr>
          <w:rFonts w:cstheme="minorHAnsi"/>
        </w:rPr>
        <w:t>It was not necessary to make a finding in relation to whether it would be in the public interest for the subsequent pricing application to be progressed under Pricing Pathway A because one or more of the preceding tests had failed.</w:t>
      </w:r>
      <w:r>
        <w:rPr>
          <w:rFonts w:asciiTheme="minorHAnsi" w:hAnsiTheme="minorHAnsi" w:cstheme="minorHAnsi"/>
          <w:lang w:val="en-GB"/>
        </w:rPr>
        <w:t xml:space="preserve"> </w:t>
      </w:r>
    </w:p>
    <w:bookmarkEnd w:id="70"/>
    <w:p w14:paraId="340D008B" w14:textId="77777777" w:rsidR="00B61736" w:rsidRPr="00DE1CF2" w:rsidRDefault="00B61736" w:rsidP="00E57D32">
      <w:pPr>
        <w:pStyle w:val="COMexecsummnumbered"/>
        <w:rPr>
          <w:snapToGrid w:val="0"/>
          <w:u w:val="single"/>
          <w:lang w:val="en-GB"/>
        </w:rPr>
      </w:pPr>
      <w:r w:rsidRPr="00DE1CF2">
        <w:rPr>
          <w:snapToGrid w:val="0"/>
          <w:lang w:val="en-GB"/>
        </w:rPr>
        <w:t xml:space="preserve">The PBAC noted that this submission is not eligible for an Independent Review as it received a positive recommendation. </w:t>
      </w:r>
    </w:p>
    <w:p w14:paraId="417C8658" w14:textId="77777777" w:rsidR="00F102F0" w:rsidRPr="00525B39" w:rsidRDefault="00F102F0" w:rsidP="00F102F0">
      <w:pPr>
        <w:spacing w:before="240"/>
        <w:rPr>
          <w:rFonts w:asciiTheme="minorHAnsi" w:hAnsiTheme="minorHAnsi"/>
          <w:b/>
          <w:bCs/>
          <w:snapToGrid w:val="0"/>
          <w:lang w:val="en-GB"/>
        </w:rPr>
      </w:pPr>
      <w:r w:rsidRPr="00525B39">
        <w:rPr>
          <w:rFonts w:asciiTheme="minorHAnsi" w:hAnsiTheme="minorHAnsi"/>
          <w:b/>
          <w:bCs/>
          <w:snapToGrid w:val="0"/>
          <w:lang w:val="en-GB"/>
        </w:rPr>
        <w:lastRenderedPageBreak/>
        <w:t>Outcome:</w:t>
      </w:r>
    </w:p>
    <w:p w14:paraId="26763D2E" w14:textId="75322C32" w:rsidR="00F102F0" w:rsidRPr="00525B39" w:rsidRDefault="00F102F0" w:rsidP="00E57D32">
      <w:pPr>
        <w:rPr>
          <w:rFonts w:asciiTheme="minorHAnsi" w:hAnsiTheme="minorHAnsi"/>
          <w:b/>
          <w:bCs/>
          <w:snapToGrid w:val="0"/>
        </w:rPr>
      </w:pPr>
      <w:r w:rsidRPr="00525B39">
        <w:rPr>
          <w:rFonts w:asciiTheme="minorHAnsi" w:hAnsiTheme="minorHAnsi"/>
          <w:bCs/>
          <w:snapToGrid w:val="0"/>
          <w:lang w:val="en-GB"/>
        </w:rPr>
        <w:t xml:space="preserve">Recommended </w:t>
      </w:r>
    </w:p>
    <w:bookmarkEnd w:id="68"/>
    <w:p w14:paraId="541CE356" w14:textId="77777777" w:rsidR="00F102F0" w:rsidRPr="00907671" w:rsidRDefault="00F102F0" w:rsidP="00F102F0">
      <w:pPr>
        <w:pStyle w:val="2-SectionHeading"/>
        <w:numPr>
          <w:ilvl w:val="0"/>
          <w:numId w:val="1"/>
        </w:numPr>
        <w:outlineLvl w:val="0"/>
      </w:pPr>
      <w:r w:rsidRPr="00907671">
        <w:t>Recommended listing</w:t>
      </w:r>
    </w:p>
    <w:p w14:paraId="3A12A4FA" w14:textId="2A8F99C4" w:rsidR="008C3EF1" w:rsidRPr="0063448D" w:rsidRDefault="00F102F0" w:rsidP="0063448D">
      <w:pPr>
        <w:widowControl w:val="0"/>
        <w:numPr>
          <w:ilvl w:val="1"/>
          <w:numId w:val="1"/>
        </w:numPr>
        <w:spacing w:after="120"/>
        <w:rPr>
          <w:rFonts w:asciiTheme="minorHAnsi" w:hAnsiTheme="minorHAnsi"/>
          <w:b/>
          <w:i/>
          <w:iCs/>
          <w:snapToGrid w:val="0"/>
          <w:lang w:val="en-GB"/>
        </w:rPr>
      </w:pPr>
      <w:r w:rsidRPr="00A31182">
        <w:rPr>
          <w:rFonts w:asciiTheme="minorHAnsi" w:hAnsiTheme="minorHAnsi"/>
          <w:bCs/>
          <w:snapToGrid w:val="0"/>
        </w:rPr>
        <w:t>Add new item:</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commended listing: add new item"/>
        <w:tblDescription w:val="Treatment phase: induction treatment (step-up dosing)"/>
      </w:tblPr>
      <w:tblGrid>
        <w:gridCol w:w="1269"/>
        <w:gridCol w:w="2417"/>
        <w:gridCol w:w="1066"/>
        <w:gridCol w:w="888"/>
        <w:gridCol w:w="1080"/>
        <w:gridCol w:w="840"/>
        <w:gridCol w:w="1654"/>
      </w:tblGrid>
      <w:tr w:rsidR="008C3EF1" w:rsidRPr="00094B4E" w14:paraId="2DA1B7A9" w14:textId="77777777" w:rsidTr="00FB4E72">
        <w:trPr>
          <w:cantSplit/>
          <w:trHeight w:val="20"/>
        </w:trPr>
        <w:tc>
          <w:tcPr>
            <w:tcW w:w="3686" w:type="dxa"/>
            <w:gridSpan w:val="2"/>
            <w:tcBorders>
              <w:top w:val="single" w:sz="4" w:space="0" w:color="auto"/>
              <w:left w:val="single" w:sz="4" w:space="0" w:color="auto"/>
              <w:bottom w:val="single" w:sz="4" w:space="0" w:color="auto"/>
              <w:right w:val="single" w:sz="4" w:space="0" w:color="auto"/>
            </w:tcBorders>
            <w:vAlign w:val="center"/>
          </w:tcPr>
          <w:p w14:paraId="2E49A1D3" w14:textId="77777777" w:rsidR="008C3EF1" w:rsidRPr="00094B4E" w:rsidRDefault="008C3EF1" w:rsidP="00FB4E72">
            <w:pPr>
              <w:widowControl w:val="0"/>
              <w:rPr>
                <w:rFonts w:ascii="Arial Narrow" w:hAnsi="Arial Narrow"/>
                <w:b/>
                <w:bCs/>
                <w:sz w:val="20"/>
                <w:szCs w:val="20"/>
              </w:rPr>
            </w:pPr>
            <w:r w:rsidRPr="00094B4E">
              <w:rPr>
                <w:rFonts w:ascii="Arial Narrow" w:hAnsi="Arial Narrow"/>
                <w:b/>
                <w:bCs/>
                <w:sz w:val="20"/>
                <w:szCs w:val="20"/>
              </w:rPr>
              <w:t>MEDICINAL PRODUCT</w:t>
            </w:r>
          </w:p>
          <w:p w14:paraId="59D1E8E7" w14:textId="77777777" w:rsidR="008C3EF1" w:rsidRPr="00094B4E" w:rsidRDefault="008C3EF1" w:rsidP="00FB4E72">
            <w:pPr>
              <w:widowControl w:val="0"/>
              <w:rPr>
                <w:rFonts w:ascii="Arial Narrow" w:hAnsi="Arial Narrow"/>
                <w:b/>
                <w:sz w:val="20"/>
                <w:szCs w:val="20"/>
              </w:rPr>
            </w:pPr>
            <w:r w:rsidRPr="00094B4E">
              <w:rPr>
                <w:rFonts w:ascii="Arial Narrow" w:hAnsi="Arial Narrow"/>
                <w:b/>
                <w:bCs/>
                <w:sz w:val="20"/>
                <w:szCs w:val="20"/>
              </w:rPr>
              <w:t>medicinal product pack</w:t>
            </w:r>
          </w:p>
        </w:tc>
        <w:tc>
          <w:tcPr>
            <w:tcW w:w="1066" w:type="dxa"/>
            <w:tcBorders>
              <w:top w:val="single" w:sz="4" w:space="0" w:color="auto"/>
              <w:left w:val="single" w:sz="4" w:space="0" w:color="auto"/>
              <w:bottom w:val="single" w:sz="4" w:space="0" w:color="auto"/>
              <w:right w:val="single" w:sz="4" w:space="0" w:color="auto"/>
            </w:tcBorders>
            <w:vAlign w:val="center"/>
          </w:tcPr>
          <w:p w14:paraId="64E0CA2C" w14:textId="77777777" w:rsidR="008C3EF1" w:rsidRPr="00094B4E" w:rsidRDefault="008C3EF1" w:rsidP="00FB4E72">
            <w:pPr>
              <w:widowControl w:val="0"/>
              <w:jc w:val="center"/>
              <w:rPr>
                <w:rFonts w:ascii="Arial Narrow" w:hAnsi="Arial Narrow"/>
                <w:b/>
                <w:sz w:val="20"/>
                <w:szCs w:val="20"/>
              </w:rPr>
            </w:pPr>
            <w:r w:rsidRPr="00094B4E">
              <w:rPr>
                <w:rFonts w:ascii="Arial Narrow" w:hAnsi="Arial Narrow"/>
                <w:b/>
                <w:sz w:val="20"/>
                <w:szCs w:val="20"/>
              </w:rPr>
              <w:t>PBS item code</w:t>
            </w:r>
          </w:p>
        </w:tc>
        <w:tc>
          <w:tcPr>
            <w:tcW w:w="888" w:type="dxa"/>
            <w:tcBorders>
              <w:top w:val="single" w:sz="4" w:space="0" w:color="auto"/>
              <w:left w:val="single" w:sz="4" w:space="0" w:color="auto"/>
              <w:bottom w:val="single" w:sz="4" w:space="0" w:color="auto"/>
              <w:right w:val="single" w:sz="4" w:space="0" w:color="auto"/>
            </w:tcBorders>
            <w:vAlign w:val="center"/>
          </w:tcPr>
          <w:p w14:paraId="1EB8D52D" w14:textId="77777777" w:rsidR="008C3EF1" w:rsidRPr="00094B4E" w:rsidRDefault="008C3EF1" w:rsidP="00FB4E72">
            <w:pPr>
              <w:widowControl w:val="0"/>
              <w:jc w:val="center"/>
              <w:rPr>
                <w:rFonts w:ascii="Arial Narrow" w:hAnsi="Arial Narrow"/>
                <w:b/>
                <w:sz w:val="20"/>
                <w:szCs w:val="20"/>
              </w:rPr>
            </w:pPr>
            <w:r w:rsidRPr="00094B4E">
              <w:rPr>
                <w:rFonts w:ascii="Arial Narrow" w:hAnsi="Arial Narrow"/>
                <w:b/>
                <w:sz w:val="20"/>
                <w:szCs w:val="20"/>
              </w:rPr>
              <w:t>Max. qty packs</w:t>
            </w:r>
          </w:p>
        </w:tc>
        <w:tc>
          <w:tcPr>
            <w:tcW w:w="1080" w:type="dxa"/>
            <w:tcBorders>
              <w:top w:val="single" w:sz="4" w:space="0" w:color="auto"/>
              <w:left w:val="single" w:sz="4" w:space="0" w:color="auto"/>
              <w:bottom w:val="single" w:sz="4" w:space="0" w:color="auto"/>
              <w:right w:val="single" w:sz="4" w:space="0" w:color="auto"/>
            </w:tcBorders>
            <w:vAlign w:val="center"/>
          </w:tcPr>
          <w:p w14:paraId="33D6D4FF" w14:textId="77777777" w:rsidR="008C3EF1" w:rsidRPr="00094B4E" w:rsidRDefault="008C3EF1" w:rsidP="00FB4E72">
            <w:pPr>
              <w:widowControl w:val="0"/>
              <w:jc w:val="center"/>
              <w:rPr>
                <w:rFonts w:ascii="Arial Narrow" w:hAnsi="Arial Narrow"/>
                <w:b/>
                <w:sz w:val="20"/>
                <w:szCs w:val="20"/>
              </w:rPr>
            </w:pPr>
            <w:r w:rsidRPr="00094B4E">
              <w:rPr>
                <w:rFonts w:ascii="Arial Narrow" w:hAnsi="Arial Narrow"/>
                <w:b/>
                <w:sz w:val="20"/>
                <w:szCs w:val="20"/>
              </w:rPr>
              <w:t>Max. qty units</w:t>
            </w:r>
          </w:p>
        </w:tc>
        <w:tc>
          <w:tcPr>
            <w:tcW w:w="840" w:type="dxa"/>
            <w:tcBorders>
              <w:top w:val="single" w:sz="4" w:space="0" w:color="auto"/>
              <w:left w:val="single" w:sz="4" w:space="0" w:color="auto"/>
              <w:bottom w:val="single" w:sz="4" w:space="0" w:color="auto"/>
              <w:right w:val="single" w:sz="4" w:space="0" w:color="auto"/>
            </w:tcBorders>
            <w:vAlign w:val="center"/>
          </w:tcPr>
          <w:p w14:paraId="53B61693" w14:textId="77777777" w:rsidR="008C3EF1" w:rsidRPr="00094B4E" w:rsidRDefault="008C3EF1" w:rsidP="00FB4E72">
            <w:pPr>
              <w:widowControl w:val="0"/>
              <w:jc w:val="center"/>
              <w:rPr>
                <w:rFonts w:ascii="Arial Narrow" w:hAnsi="Arial Narrow"/>
                <w:b/>
                <w:sz w:val="20"/>
                <w:szCs w:val="20"/>
              </w:rPr>
            </w:pPr>
            <w:proofErr w:type="gramStart"/>
            <w:r w:rsidRPr="00094B4E">
              <w:rPr>
                <w:rFonts w:ascii="Arial Narrow" w:hAnsi="Arial Narrow"/>
                <w:b/>
                <w:sz w:val="20"/>
                <w:szCs w:val="20"/>
              </w:rPr>
              <w:t>№.of</w:t>
            </w:r>
            <w:proofErr w:type="gramEnd"/>
          </w:p>
          <w:p w14:paraId="0B8CDA60" w14:textId="77777777" w:rsidR="008C3EF1" w:rsidRPr="00094B4E" w:rsidRDefault="008C3EF1" w:rsidP="00FB4E72">
            <w:pPr>
              <w:widowControl w:val="0"/>
              <w:jc w:val="center"/>
              <w:rPr>
                <w:rFonts w:ascii="Arial Narrow" w:hAnsi="Arial Narrow"/>
                <w:b/>
                <w:sz w:val="20"/>
                <w:szCs w:val="20"/>
              </w:rPr>
            </w:pPr>
            <w:proofErr w:type="spellStart"/>
            <w:r w:rsidRPr="00094B4E">
              <w:rPr>
                <w:rFonts w:ascii="Arial Narrow" w:hAnsi="Arial Narrow"/>
                <w:b/>
                <w:sz w:val="20"/>
                <w:szCs w:val="20"/>
              </w:rPr>
              <w:t>Rpts</w:t>
            </w:r>
            <w:proofErr w:type="spellEnd"/>
          </w:p>
        </w:tc>
        <w:tc>
          <w:tcPr>
            <w:tcW w:w="1654" w:type="dxa"/>
            <w:tcBorders>
              <w:top w:val="single" w:sz="4" w:space="0" w:color="auto"/>
              <w:left w:val="single" w:sz="4" w:space="0" w:color="auto"/>
              <w:bottom w:val="single" w:sz="4" w:space="0" w:color="auto"/>
              <w:right w:val="single" w:sz="4" w:space="0" w:color="auto"/>
            </w:tcBorders>
            <w:vAlign w:val="center"/>
          </w:tcPr>
          <w:p w14:paraId="35A2479A" w14:textId="77777777" w:rsidR="008C3EF1" w:rsidRPr="00094B4E" w:rsidRDefault="008C3EF1" w:rsidP="00FB4E72">
            <w:pPr>
              <w:widowControl w:val="0"/>
              <w:rPr>
                <w:rFonts w:ascii="Arial Narrow" w:hAnsi="Arial Narrow"/>
                <w:b/>
                <w:sz w:val="20"/>
                <w:szCs w:val="20"/>
                <w:lang w:val="fr-FR"/>
              </w:rPr>
            </w:pPr>
            <w:r w:rsidRPr="00094B4E">
              <w:rPr>
                <w:rFonts w:ascii="Arial Narrow" w:hAnsi="Arial Narrow"/>
                <w:b/>
                <w:sz w:val="20"/>
                <w:szCs w:val="20"/>
              </w:rPr>
              <w:t>Available brands</w:t>
            </w:r>
          </w:p>
        </w:tc>
      </w:tr>
      <w:tr w:rsidR="008C3EF1" w:rsidRPr="00094B4E" w14:paraId="6411D354" w14:textId="77777777" w:rsidTr="00FB4E72">
        <w:trPr>
          <w:cantSplit/>
          <w:trHeight w:val="20"/>
        </w:trPr>
        <w:tc>
          <w:tcPr>
            <w:tcW w:w="9214" w:type="dxa"/>
            <w:gridSpan w:val="7"/>
            <w:tcBorders>
              <w:top w:val="single" w:sz="4" w:space="0" w:color="auto"/>
              <w:left w:val="single" w:sz="4" w:space="0" w:color="auto"/>
              <w:bottom w:val="single" w:sz="4" w:space="0" w:color="auto"/>
              <w:right w:val="single" w:sz="4" w:space="0" w:color="auto"/>
            </w:tcBorders>
            <w:vAlign w:val="center"/>
          </w:tcPr>
          <w:p w14:paraId="300FAAA2" w14:textId="77777777" w:rsidR="008C3EF1" w:rsidRPr="00094B4E" w:rsidRDefault="008C3EF1" w:rsidP="00FB4E72">
            <w:pPr>
              <w:widowControl w:val="0"/>
              <w:rPr>
                <w:rFonts w:ascii="Arial Narrow" w:hAnsi="Arial Narrow"/>
                <w:sz w:val="20"/>
                <w:szCs w:val="20"/>
              </w:rPr>
            </w:pPr>
            <w:r w:rsidRPr="00094B4E">
              <w:rPr>
                <w:rFonts w:ascii="Arial Narrow" w:hAnsi="Arial Narrow"/>
                <w:bCs/>
                <w:sz w:val="20"/>
                <w:szCs w:val="20"/>
              </w:rPr>
              <w:t>ELRANATAMAB</w:t>
            </w:r>
          </w:p>
        </w:tc>
      </w:tr>
      <w:tr w:rsidR="008C3EF1" w:rsidRPr="00094B4E" w14:paraId="2A51CB90" w14:textId="77777777" w:rsidTr="00FB4E72">
        <w:trPr>
          <w:cantSplit/>
          <w:trHeight w:val="20"/>
        </w:trPr>
        <w:tc>
          <w:tcPr>
            <w:tcW w:w="3686" w:type="dxa"/>
            <w:gridSpan w:val="2"/>
            <w:tcBorders>
              <w:top w:val="single" w:sz="4" w:space="0" w:color="auto"/>
              <w:left w:val="single" w:sz="4" w:space="0" w:color="auto"/>
              <w:bottom w:val="single" w:sz="4" w:space="0" w:color="auto"/>
              <w:right w:val="single" w:sz="4" w:space="0" w:color="auto"/>
            </w:tcBorders>
            <w:vAlign w:val="center"/>
          </w:tcPr>
          <w:p w14:paraId="1AE52C7D" w14:textId="77777777" w:rsidR="008C3EF1" w:rsidRPr="00094B4E" w:rsidRDefault="008C3EF1" w:rsidP="00FB4E72">
            <w:pPr>
              <w:widowControl w:val="0"/>
              <w:rPr>
                <w:rFonts w:ascii="Arial Narrow" w:hAnsi="Arial Narrow"/>
                <w:sz w:val="20"/>
                <w:szCs w:val="20"/>
              </w:rPr>
            </w:pPr>
            <w:r w:rsidRPr="00094B4E">
              <w:rPr>
                <w:rFonts w:ascii="Arial Narrow" w:hAnsi="Arial Narrow"/>
                <w:sz w:val="20"/>
                <w:szCs w:val="20"/>
              </w:rPr>
              <w:t>elranatamab 44 mg/1.1 mL injection, 1.1 mL vial</w:t>
            </w:r>
          </w:p>
        </w:tc>
        <w:tc>
          <w:tcPr>
            <w:tcW w:w="1066" w:type="dxa"/>
            <w:tcBorders>
              <w:top w:val="single" w:sz="4" w:space="0" w:color="auto"/>
              <w:left w:val="single" w:sz="4" w:space="0" w:color="auto"/>
              <w:bottom w:val="single" w:sz="4" w:space="0" w:color="auto"/>
              <w:right w:val="single" w:sz="4" w:space="0" w:color="auto"/>
            </w:tcBorders>
            <w:vAlign w:val="center"/>
          </w:tcPr>
          <w:p w14:paraId="64E86B42" w14:textId="77777777" w:rsidR="008C3EF1" w:rsidRPr="00094B4E" w:rsidRDefault="008C3EF1" w:rsidP="00FB4E72">
            <w:pPr>
              <w:widowControl w:val="0"/>
              <w:jc w:val="center"/>
              <w:rPr>
                <w:rFonts w:ascii="Arial Narrow" w:hAnsi="Arial Narrow"/>
                <w:sz w:val="20"/>
                <w:szCs w:val="20"/>
              </w:rPr>
            </w:pPr>
            <w:r w:rsidRPr="00094B4E">
              <w:rPr>
                <w:rFonts w:ascii="Arial Narrow" w:hAnsi="Arial Narrow"/>
                <w:sz w:val="20"/>
                <w:szCs w:val="20"/>
              </w:rPr>
              <w:t>NEW (CT)</w:t>
            </w:r>
          </w:p>
        </w:tc>
        <w:tc>
          <w:tcPr>
            <w:tcW w:w="888" w:type="dxa"/>
            <w:tcBorders>
              <w:top w:val="single" w:sz="4" w:space="0" w:color="auto"/>
              <w:left w:val="single" w:sz="4" w:space="0" w:color="auto"/>
              <w:bottom w:val="single" w:sz="4" w:space="0" w:color="auto"/>
              <w:right w:val="single" w:sz="4" w:space="0" w:color="auto"/>
            </w:tcBorders>
            <w:vAlign w:val="center"/>
          </w:tcPr>
          <w:p w14:paraId="4367B77D" w14:textId="77777777" w:rsidR="008C3EF1" w:rsidRPr="00094B4E" w:rsidRDefault="008C3EF1" w:rsidP="00FB4E72">
            <w:pPr>
              <w:widowControl w:val="0"/>
              <w:jc w:val="center"/>
              <w:rPr>
                <w:rFonts w:ascii="Arial Narrow" w:hAnsi="Arial Narrow"/>
                <w:sz w:val="20"/>
                <w:szCs w:val="20"/>
              </w:rPr>
            </w:pPr>
            <w:r w:rsidRPr="00094B4E">
              <w:rPr>
                <w:rFonts w:ascii="Arial Narrow" w:hAnsi="Arial Narrow"/>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tcPr>
          <w:p w14:paraId="7CF7218E" w14:textId="77777777" w:rsidR="008C3EF1" w:rsidRPr="00094B4E" w:rsidRDefault="008C3EF1" w:rsidP="00FB4E72">
            <w:pPr>
              <w:widowControl w:val="0"/>
              <w:jc w:val="center"/>
              <w:rPr>
                <w:rFonts w:ascii="Arial Narrow" w:hAnsi="Arial Narrow"/>
                <w:sz w:val="20"/>
                <w:szCs w:val="20"/>
              </w:rPr>
            </w:pPr>
            <w:r w:rsidRPr="00094B4E">
              <w:rPr>
                <w:rFonts w:ascii="Arial Narrow" w:hAnsi="Arial Narrow"/>
                <w:sz w:val="20"/>
                <w:szCs w:val="20"/>
              </w:rPr>
              <w:t>1</w:t>
            </w:r>
          </w:p>
        </w:tc>
        <w:tc>
          <w:tcPr>
            <w:tcW w:w="840" w:type="dxa"/>
            <w:tcBorders>
              <w:top w:val="single" w:sz="4" w:space="0" w:color="auto"/>
              <w:left w:val="single" w:sz="4" w:space="0" w:color="auto"/>
              <w:bottom w:val="single" w:sz="4" w:space="0" w:color="auto"/>
              <w:right w:val="single" w:sz="4" w:space="0" w:color="auto"/>
            </w:tcBorders>
            <w:vAlign w:val="center"/>
          </w:tcPr>
          <w:p w14:paraId="2FCF3B0D" w14:textId="77777777" w:rsidR="008C3EF1" w:rsidRPr="00094B4E" w:rsidRDefault="008C3EF1" w:rsidP="00FB4E72">
            <w:pPr>
              <w:widowControl w:val="0"/>
              <w:jc w:val="center"/>
              <w:rPr>
                <w:rFonts w:ascii="Arial Narrow" w:hAnsi="Arial Narrow"/>
                <w:sz w:val="20"/>
                <w:szCs w:val="20"/>
              </w:rPr>
            </w:pPr>
            <w:r w:rsidRPr="00094B4E">
              <w:rPr>
                <w:rFonts w:ascii="Arial Narrow" w:hAnsi="Arial Narrow"/>
                <w:sz w:val="20"/>
                <w:szCs w:val="20"/>
              </w:rPr>
              <w:t>1</w:t>
            </w:r>
          </w:p>
        </w:tc>
        <w:tc>
          <w:tcPr>
            <w:tcW w:w="1654" w:type="dxa"/>
            <w:tcBorders>
              <w:top w:val="single" w:sz="4" w:space="0" w:color="auto"/>
              <w:left w:val="single" w:sz="4" w:space="0" w:color="auto"/>
              <w:bottom w:val="single" w:sz="4" w:space="0" w:color="auto"/>
              <w:right w:val="single" w:sz="4" w:space="0" w:color="auto"/>
            </w:tcBorders>
            <w:vAlign w:val="center"/>
          </w:tcPr>
          <w:p w14:paraId="3C191BF1" w14:textId="77777777" w:rsidR="008C3EF1" w:rsidRPr="00094B4E" w:rsidRDefault="008C3EF1" w:rsidP="00FB4E72">
            <w:pPr>
              <w:widowControl w:val="0"/>
              <w:rPr>
                <w:rFonts w:ascii="Arial Narrow" w:hAnsi="Arial Narrow"/>
                <w:sz w:val="20"/>
                <w:szCs w:val="20"/>
              </w:rPr>
            </w:pPr>
            <w:r w:rsidRPr="00094B4E">
              <w:rPr>
                <w:rFonts w:ascii="Arial Narrow" w:hAnsi="Arial Narrow"/>
                <w:sz w:val="20"/>
                <w:szCs w:val="20"/>
              </w:rPr>
              <w:t>Elrexfio</w:t>
            </w:r>
          </w:p>
        </w:tc>
      </w:tr>
      <w:tr w:rsidR="008C3EF1" w:rsidRPr="00094B4E" w14:paraId="0017EB4F" w14:textId="77777777" w:rsidTr="00FB4E72">
        <w:trPr>
          <w:cantSplit/>
          <w:trHeight w:val="20"/>
        </w:trPr>
        <w:tc>
          <w:tcPr>
            <w:tcW w:w="3686" w:type="dxa"/>
            <w:gridSpan w:val="2"/>
            <w:tcBorders>
              <w:top w:val="single" w:sz="4" w:space="0" w:color="auto"/>
              <w:left w:val="single" w:sz="4" w:space="0" w:color="auto"/>
              <w:bottom w:val="single" w:sz="4" w:space="0" w:color="auto"/>
              <w:right w:val="single" w:sz="4" w:space="0" w:color="auto"/>
            </w:tcBorders>
            <w:vAlign w:val="center"/>
          </w:tcPr>
          <w:p w14:paraId="1EFB1314" w14:textId="77777777" w:rsidR="008C3EF1" w:rsidRPr="00094B4E" w:rsidRDefault="008C3EF1" w:rsidP="00FB4E72">
            <w:pPr>
              <w:widowControl w:val="0"/>
              <w:rPr>
                <w:rFonts w:ascii="Arial Narrow" w:hAnsi="Arial Narrow"/>
                <w:sz w:val="20"/>
                <w:szCs w:val="20"/>
              </w:rPr>
            </w:pPr>
            <w:r w:rsidRPr="00094B4E">
              <w:rPr>
                <w:rFonts w:ascii="Arial Narrow" w:hAnsi="Arial Narrow"/>
                <w:sz w:val="20"/>
                <w:szCs w:val="20"/>
              </w:rPr>
              <w:t>elranatamab 44 mg/1.1 mL injection, 1.1 mL vial</w:t>
            </w:r>
          </w:p>
        </w:tc>
        <w:tc>
          <w:tcPr>
            <w:tcW w:w="1066" w:type="dxa"/>
            <w:tcBorders>
              <w:top w:val="single" w:sz="4" w:space="0" w:color="auto"/>
              <w:left w:val="single" w:sz="4" w:space="0" w:color="auto"/>
              <w:bottom w:val="single" w:sz="4" w:space="0" w:color="auto"/>
              <w:right w:val="single" w:sz="4" w:space="0" w:color="auto"/>
            </w:tcBorders>
            <w:vAlign w:val="center"/>
          </w:tcPr>
          <w:p w14:paraId="2117AFD9" w14:textId="77777777" w:rsidR="008C3EF1" w:rsidRPr="00094B4E" w:rsidRDefault="008C3EF1" w:rsidP="00FB4E72">
            <w:pPr>
              <w:widowControl w:val="0"/>
              <w:jc w:val="center"/>
              <w:rPr>
                <w:rFonts w:ascii="Arial Narrow" w:hAnsi="Arial Narrow"/>
                <w:sz w:val="20"/>
                <w:szCs w:val="20"/>
              </w:rPr>
            </w:pPr>
            <w:r w:rsidRPr="00094B4E">
              <w:rPr>
                <w:rFonts w:ascii="Arial Narrow" w:hAnsi="Arial Narrow"/>
                <w:sz w:val="20"/>
                <w:szCs w:val="20"/>
              </w:rPr>
              <w:t>NEW (GE)</w:t>
            </w:r>
          </w:p>
        </w:tc>
        <w:tc>
          <w:tcPr>
            <w:tcW w:w="888" w:type="dxa"/>
            <w:tcBorders>
              <w:top w:val="single" w:sz="4" w:space="0" w:color="auto"/>
              <w:left w:val="single" w:sz="4" w:space="0" w:color="auto"/>
              <w:bottom w:val="single" w:sz="4" w:space="0" w:color="auto"/>
              <w:right w:val="single" w:sz="4" w:space="0" w:color="auto"/>
            </w:tcBorders>
            <w:vAlign w:val="center"/>
          </w:tcPr>
          <w:p w14:paraId="24C1D98C" w14:textId="77777777" w:rsidR="008C3EF1" w:rsidRPr="00094B4E" w:rsidRDefault="008C3EF1" w:rsidP="00FB4E72">
            <w:pPr>
              <w:widowControl w:val="0"/>
              <w:jc w:val="center"/>
              <w:rPr>
                <w:rFonts w:ascii="Arial Narrow" w:hAnsi="Arial Narrow"/>
                <w:sz w:val="20"/>
                <w:szCs w:val="20"/>
              </w:rPr>
            </w:pPr>
            <w:r w:rsidRPr="00094B4E">
              <w:rPr>
                <w:rFonts w:ascii="Arial Narrow" w:hAnsi="Arial Narrow"/>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tcPr>
          <w:p w14:paraId="3BC38ECD" w14:textId="77777777" w:rsidR="008C3EF1" w:rsidRPr="00094B4E" w:rsidRDefault="008C3EF1" w:rsidP="00FB4E72">
            <w:pPr>
              <w:widowControl w:val="0"/>
              <w:jc w:val="center"/>
              <w:rPr>
                <w:rFonts w:ascii="Arial Narrow" w:hAnsi="Arial Narrow"/>
                <w:sz w:val="20"/>
                <w:szCs w:val="20"/>
              </w:rPr>
            </w:pPr>
            <w:r w:rsidRPr="00094B4E">
              <w:rPr>
                <w:rFonts w:ascii="Arial Narrow" w:hAnsi="Arial Narrow"/>
                <w:sz w:val="20"/>
                <w:szCs w:val="20"/>
              </w:rPr>
              <w:t>1</w:t>
            </w:r>
          </w:p>
        </w:tc>
        <w:tc>
          <w:tcPr>
            <w:tcW w:w="840" w:type="dxa"/>
            <w:tcBorders>
              <w:top w:val="single" w:sz="4" w:space="0" w:color="auto"/>
              <w:left w:val="single" w:sz="4" w:space="0" w:color="auto"/>
              <w:bottom w:val="single" w:sz="4" w:space="0" w:color="auto"/>
              <w:right w:val="single" w:sz="4" w:space="0" w:color="auto"/>
            </w:tcBorders>
            <w:vAlign w:val="center"/>
          </w:tcPr>
          <w:p w14:paraId="584A1820" w14:textId="77777777" w:rsidR="008C3EF1" w:rsidRPr="00094B4E" w:rsidRDefault="008C3EF1" w:rsidP="00FB4E72">
            <w:pPr>
              <w:widowControl w:val="0"/>
              <w:jc w:val="center"/>
              <w:rPr>
                <w:rFonts w:ascii="Arial Narrow" w:hAnsi="Arial Narrow"/>
                <w:sz w:val="20"/>
                <w:szCs w:val="20"/>
              </w:rPr>
            </w:pPr>
            <w:r w:rsidRPr="00094B4E">
              <w:rPr>
                <w:rFonts w:ascii="Arial Narrow" w:hAnsi="Arial Narrow"/>
                <w:sz w:val="20"/>
                <w:szCs w:val="20"/>
              </w:rPr>
              <w:t>1</w:t>
            </w:r>
          </w:p>
        </w:tc>
        <w:tc>
          <w:tcPr>
            <w:tcW w:w="1654" w:type="dxa"/>
            <w:tcBorders>
              <w:top w:val="single" w:sz="4" w:space="0" w:color="auto"/>
              <w:left w:val="single" w:sz="4" w:space="0" w:color="auto"/>
              <w:bottom w:val="single" w:sz="4" w:space="0" w:color="auto"/>
              <w:right w:val="single" w:sz="4" w:space="0" w:color="auto"/>
            </w:tcBorders>
            <w:vAlign w:val="center"/>
          </w:tcPr>
          <w:p w14:paraId="2D8C72AC" w14:textId="77777777" w:rsidR="008C3EF1" w:rsidRPr="00094B4E" w:rsidRDefault="008C3EF1" w:rsidP="00FB4E72">
            <w:pPr>
              <w:widowControl w:val="0"/>
              <w:rPr>
                <w:rFonts w:ascii="Arial Narrow" w:hAnsi="Arial Narrow"/>
                <w:sz w:val="20"/>
                <w:szCs w:val="20"/>
              </w:rPr>
            </w:pPr>
            <w:r w:rsidRPr="00094B4E">
              <w:rPr>
                <w:rFonts w:ascii="Arial Narrow" w:hAnsi="Arial Narrow"/>
                <w:sz w:val="20"/>
                <w:szCs w:val="20"/>
              </w:rPr>
              <w:t>Elrexfio</w:t>
            </w:r>
          </w:p>
        </w:tc>
      </w:tr>
      <w:tr w:rsidR="008C3EF1" w:rsidRPr="00094B4E" w14:paraId="2561B050" w14:textId="77777777" w:rsidTr="00FB4E72">
        <w:tblPrEx>
          <w:tblCellMar>
            <w:top w:w="15" w:type="dxa"/>
            <w:bottom w:w="15" w:type="dxa"/>
          </w:tblCellMar>
          <w:tblLook w:val="04A0" w:firstRow="1" w:lastRow="0" w:firstColumn="1" w:lastColumn="0" w:noHBand="0" w:noVBand="1"/>
        </w:tblPrEx>
        <w:trPr>
          <w:cantSplit/>
          <w:trHeight w:val="20"/>
        </w:trPr>
        <w:tc>
          <w:tcPr>
            <w:tcW w:w="9214" w:type="dxa"/>
            <w:gridSpan w:val="7"/>
            <w:tcBorders>
              <w:top w:val="single" w:sz="4" w:space="0" w:color="auto"/>
              <w:left w:val="single" w:sz="4" w:space="0" w:color="auto"/>
              <w:bottom w:val="single" w:sz="4" w:space="0" w:color="auto"/>
              <w:right w:val="single" w:sz="4" w:space="0" w:color="auto"/>
            </w:tcBorders>
            <w:vAlign w:val="center"/>
          </w:tcPr>
          <w:p w14:paraId="30AAD95E" w14:textId="77777777" w:rsidR="008C3EF1" w:rsidRPr="00094B4E" w:rsidRDefault="008C3EF1" w:rsidP="00FB4E72">
            <w:pPr>
              <w:widowControl w:val="0"/>
              <w:rPr>
                <w:rFonts w:ascii="Arial Narrow" w:hAnsi="Arial Narrow"/>
                <w:bCs/>
                <w:sz w:val="20"/>
                <w:szCs w:val="20"/>
              </w:rPr>
            </w:pPr>
          </w:p>
        </w:tc>
      </w:tr>
      <w:tr w:rsidR="008C3EF1" w:rsidRPr="00094B4E" w14:paraId="0460BF50" w14:textId="77777777" w:rsidTr="00FB4E72">
        <w:tblPrEx>
          <w:tblCellMar>
            <w:top w:w="15" w:type="dxa"/>
            <w:bottom w:w="15" w:type="dxa"/>
          </w:tblCellMar>
          <w:tblLook w:val="04A0" w:firstRow="1" w:lastRow="0" w:firstColumn="1" w:lastColumn="0" w:noHBand="0" w:noVBand="1"/>
        </w:tblPrEx>
        <w:trPr>
          <w:cantSplit/>
          <w:trHeight w:val="20"/>
        </w:trPr>
        <w:tc>
          <w:tcPr>
            <w:tcW w:w="1269" w:type="dxa"/>
            <w:vMerge w:val="restart"/>
            <w:tcBorders>
              <w:top w:val="single" w:sz="4" w:space="0" w:color="auto"/>
              <w:left w:val="single" w:sz="4" w:space="0" w:color="auto"/>
              <w:bottom w:val="single" w:sz="4" w:space="0" w:color="auto"/>
              <w:right w:val="single" w:sz="4" w:space="0" w:color="auto"/>
            </w:tcBorders>
          </w:tcPr>
          <w:p w14:paraId="2FB5A0EA" w14:textId="533ED14A" w:rsidR="008C3EF1" w:rsidRPr="00094B4E" w:rsidRDefault="008C3EF1" w:rsidP="00FB4E72">
            <w:pPr>
              <w:widowControl w:val="0"/>
              <w:jc w:val="center"/>
              <w:rPr>
                <w:rFonts w:ascii="Arial Narrow" w:hAnsi="Arial Narrow"/>
                <w:b/>
                <w:sz w:val="20"/>
                <w:szCs w:val="20"/>
              </w:rPr>
            </w:pPr>
          </w:p>
        </w:tc>
        <w:tc>
          <w:tcPr>
            <w:tcW w:w="7945" w:type="dxa"/>
            <w:gridSpan w:val="6"/>
            <w:tcBorders>
              <w:top w:val="single" w:sz="4" w:space="0" w:color="auto"/>
              <w:left w:val="single" w:sz="4" w:space="0" w:color="auto"/>
              <w:bottom w:val="single" w:sz="4" w:space="0" w:color="auto"/>
              <w:right w:val="single" w:sz="4" w:space="0" w:color="auto"/>
            </w:tcBorders>
            <w:vAlign w:val="center"/>
          </w:tcPr>
          <w:p w14:paraId="65EAFF28" w14:textId="77777777" w:rsidR="008C3EF1" w:rsidRPr="00094B4E" w:rsidRDefault="008C3EF1" w:rsidP="00FB4E72">
            <w:pPr>
              <w:widowControl w:val="0"/>
              <w:jc w:val="left"/>
              <w:rPr>
                <w:rFonts w:ascii="Arial Narrow" w:hAnsi="Arial Narrow"/>
                <w:bCs/>
                <w:sz w:val="20"/>
                <w:szCs w:val="20"/>
              </w:rPr>
            </w:pPr>
            <w:r w:rsidRPr="00094B4E">
              <w:rPr>
                <w:rFonts w:ascii="Arial Narrow" w:hAnsi="Arial Narrow"/>
                <w:bCs/>
                <w:sz w:val="20"/>
                <w:szCs w:val="20"/>
              </w:rPr>
              <w:t xml:space="preserve">Category / Program: </w:t>
            </w:r>
          </w:p>
          <w:p w14:paraId="034B8CAF" w14:textId="77777777" w:rsidR="008C3EF1" w:rsidRPr="00094B4E" w:rsidRDefault="008C3EF1" w:rsidP="00FB4E72">
            <w:pPr>
              <w:widowControl w:val="0"/>
              <w:jc w:val="left"/>
              <w:rPr>
                <w:rFonts w:ascii="Arial Narrow" w:hAnsi="Arial Narrow"/>
                <w:bCs/>
                <w:sz w:val="20"/>
                <w:szCs w:val="20"/>
              </w:rPr>
            </w:pPr>
            <w:r w:rsidRPr="00094B4E">
              <w:rPr>
                <w:rFonts w:ascii="Arial Narrow" w:eastAsia="Calibri" w:hAnsi="Arial Narrow"/>
                <w:bCs/>
                <w:sz w:val="20"/>
                <w:szCs w:val="20"/>
              </w:rPr>
              <w:fldChar w:fldCharType="begin" w:fldLock="1">
                <w:ffData>
                  <w:name w:val="Check1"/>
                  <w:enabled/>
                  <w:calcOnExit w:val="0"/>
                  <w:checkBox>
                    <w:sizeAuto/>
                    <w:default w:val="1"/>
                  </w:checkBox>
                </w:ffData>
              </w:fldChar>
            </w:r>
            <w:r w:rsidRPr="00094B4E">
              <w:rPr>
                <w:rFonts w:ascii="Arial Narrow" w:eastAsia="Calibri" w:hAnsi="Arial Narrow"/>
                <w:bCs/>
                <w:sz w:val="20"/>
                <w:szCs w:val="20"/>
              </w:rPr>
              <w:instrText xml:space="preserve"> FORMCHECKBOX </w:instrText>
            </w:r>
            <w:r w:rsidRPr="00094B4E">
              <w:rPr>
                <w:rFonts w:ascii="Arial Narrow" w:eastAsia="Calibri" w:hAnsi="Arial Narrow"/>
                <w:bCs/>
                <w:sz w:val="20"/>
                <w:szCs w:val="20"/>
              </w:rPr>
            </w:r>
            <w:r w:rsidRPr="00094B4E">
              <w:rPr>
                <w:rFonts w:ascii="Arial Narrow" w:eastAsia="Calibri" w:hAnsi="Arial Narrow"/>
                <w:bCs/>
                <w:sz w:val="20"/>
                <w:szCs w:val="20"/>
              </w:rPr>
              <w:fldChar w:fldCharType="separate"/>
            </w:r>
            <w:r w:rsidRPr="00094B4E">
              <w:rPr>
                <w:rFonts w:ascii="Arial Narrow" w:eastAsia="Calibri" w:hAnsi="Arial Narrow"/>
                <w:bCs/>
                <w:sz w:val="20"/>
                <w:szCs w:val="20"/>
              </w:rPr>
              <w:fldChar w:fldCharType="end"/>
            </w:r>
            <w:r w:rsidRPr="00094B4E">
              <w:rPr>
                <w:rFonts w:ascii="Arial Narrow" w:eastAsia="Calibri" w:hAnsi="Arial Narrow"/>
                <w:bCs/>
                <w:sz w:val="20"/>
                <w:szCs w:val="20"/>
              </w:rPr>
              <w:t xml:space="preserve"> GENERAL - General Schedule (Code GE) </w:t>
            </w:r>
            <w:r w:rsidRPr="00094B4E">
              <w:rPr>
                <w:rFonts w:ascii="Arial Narrow" w:eastAsia="Calibri" w:hAnsi="Arial Narrow"/>
                <w:bCs/>
                <w:sz w:val="20"/>
                <w:szCs w:val="20"/>
              </w:rPr>
              <w:br/>
            </w:r>
            <w:r w:rsidRPr="00094B4E">
              <w:rPr>
                <w:rFonts w:ascii="Arial Narrow" w:eastAsia="Calibri" w:hAnsi="Arial Narrow"/>
                <w:bCs/>
                <w:sz w:val="20"/>
                <w:szCs w:val="20"/>
              </w:rPr>
              <w:fldChar w:fldCharType="begin" w:fldLock="1">
                <w:ffData>
                  <w:name w:val=""/>
                  <w:enabled/>
                  <w:calcOnExit w:val="0"/>
                  <w:checkBox>
                    <w:sizeAuto/>
                    <w:default w:val="1"/>
                  </w:checkBox>
                </w:ffData>
              </w:fldChar>
            </w:r>
            <w:r w:rsidRPr="00094B4E">
              <w:rPr>
                <w:rFonts w:ascii="Arial Narrow" w:eastAsia="Calibri" w:hAnsi="Arial Narrow"/>
                <w:bCs/>
                <w:sz w:val="20"/>
                <w:szCs w:val="20"/>
              </w:rPr>
              <w:instrText xml:space="preserve"> FORMCHECKBOX </w:instrText>
            </w:r>
            <w:r w:rsidRPr="00094B4E">
              <w:rPr>
                <w:rFonts w:ascii="Arial Narrow" w:eastAsia="Calibri" w:hAnsi="Arial Narrow"/>
                <w:bCs/>
                <w:sz w:val="20"/>
                <w:szCs w:val="20"/>
              </w:rPr>
            </w:r>
            <w:r w:rsidRPr="00094B4E">
              <w:rPr>
                <w:rFonts w:ascii="Arial Narrow" w:eastAsia="Calibri" w:hAnsi="Arial Narrow"/>
                <w:bCs/>
                <w:sz w:val="20"/>
                <w:szCs w:val="20"/>
              </w:rPr>
              <w:fldChar w:fldCharType="separate"/>
            </w:r>
            <w:r w:rsidRPr="00094B4E">
              <w:rPr>
                <w:rFonts w:ascii="Arial Narrow" w:eastAsia="Calibri" w:hAnsi="Arial Narrow"/>
                <w:bCs/>
                <w:sz w:val="20"/>
                <w:szCs w:val="20"/>
              </w:rPr>
              <w:fldChar w:fldCharType="end"/>
            </w:r>
            <w:r w:rsidRPr="00094B4E">
              <w:rPr>
                <w:rFonts w:ascii="Arial Narrow" w:eastAsia="Calibri" w:hAnsi="Arial Narrow"/>
                <w:bCs/>
                <w:sz w:val="20"/>
                <w:szCs w:val="20"/>
              </w:rPr>
              <w:t xml:space="preserve"> Section </w:t>
            </w:r>
            <w:r w:rsidRPr="00094B4E">
              <w:rPr>
                <w:rFonts w:ascii="Arial Narrow" w:hAnsi="Arial Narrow"/>
                <w:bCs/>
                <w:sz w:val="20"/>
                <w:szCs w:val="20"/>
              </w:rPr>
              <w:t xml:space="preserve">100 – Efficient Funding of Chemotherapy – Related Benefits (Code CT) </w:t>
            </w:r>
          </w:p>
        </w:tc>
      </w:tr>
      <w:tr w:rsidR="008C3EF1" w:rsidRPr="00094B4E" w14:paraId="318BB2D1" w14:textId="77777777" w:rsidTr="00FB4E72">
        <w:tblPrEx>
          <w:tblCellMar>
            <w:top w:w="15" w:type="dxa"/>
            <w:bottom w:w="15" w:type="dxa"/>
          </w:tblCellMar>
          <w:tblLook w:val="04A0" w:firstRow="1" w:lastRow="0" w:firstColumn="1" w:lastColumn="0" w:noHBand="0" w:noVBand="1"/>
        </w:tblPrEx>
        <w:trPr>
          <w:cantSplit/>
          <w:trHeight w:val="20"/>
        </w:trPr>
        <w:tc>
          <w:tcPr>
            <w:tcW w:w="1269" w:type="dxa"/>
            <w:vMerge/>
          </w:tcPr>
          <w:p w14:paraId="0E981A36" w14:textId="77777777" w:rsidR="008C3EF1" w:rsidRPr="00094B4E" w:rsidRDefault="008C3EF1" w:rsidP="00FB4E72">
            <w:pPr>
              <w:widowControl w:val="0"/>
              <w:rPr>
                <w:rFonts w:ascii="Arial Narrow" w:hAnsi="Arial Narrow"/>
                <w:sz w:val="20"/>
                <w:szCs w:val="20"/>
              </w:rPr>
            </w:pPr>
          </w:p>
        </w:tc>
        <w:tc>
          <w:tcPr>
            <w:tcW w:w="7945" w:type="dxa"/>
            <w:gridSpan w:val="6"/>
            <w:tcBorders>
              <w:top w:val="single" w:sz="4" w:space="0" w:color="auto"/>
              <w:left w:val="single" w:sz="4" w:space="0" w:color="auto"/>
              <w:bottom w:val="single" w:sz="4" w:space="0" w:color="auto"/>
              <w:right w:val="single" w:sz="4" w:space="0" w:color="auto"/>
            </w:tcBorders>
            <w:vAlign w:val="center"/>
          </w:tcPr>
          <w:p w14:paraId="7C325249" w14:textId="77777777" w:rsidR="008C3EF1" w:rsidRPr="00094B4E" w:rsidRDefault="008C3EF1" w:rsidP="00FB4E72">
            <w:pPr>
              <w:widowControl w:val="0"/>
              <w:rPr>
                <w:rFonts w:ascii="Arial Narrow" w:hAnsi="Arial Narrow"/>
                <w:bCs/>
                <w:sz w:val="20"/>
                <w:szCs w:val="20"/>
              </w:rPr>
            </w:pPr>
            <w:r w:rsidRPr="00094B4E">
              <w:rPr>
                <w:rFonts w:ascii="Arial Narrow" w:hAnsi="Arial Narrow"/>
                <w:bCs/>
                <w:sz w:val="20"/>
                <w:szCs w:val="20"/>
              </w:rPr>
              <w:t xml:space="preserve">Prescriber type: </w:t>
            </w:r>
            <w:r w:rsidRPr="00094B4E">
              <w:rPr>
                <w:rFonts w:ascii="Arial Narrow" w:hAnsi="Arial Narrow"/>
                <w:bCs/>
                <w:sz w:val="20"/>
                <w:szCs w:val="20"/>
              </w:rPr>
              <w:fldChar w:fldCharType="begin" w:fldLock="1">
                <w:ffData>
                  <w:name w:val=""/>
                  <w:enabled/>
                  <w:calcOnExit w:val="0"/>
                  <w:checkBox>
                    <w:sizeAuto/>
                    <w:default w:val="1"/>
                  </w:checkBox>
                </w:ffData>
              </w:fldChar>
            </w:r>
            <w:r w:rsidRPr="00094B4E">
              <w:rPr>
                <w:rFonts w:ascii="Arial Narrow" w:hAnsi="Arial Narrow"/>
                <w:bCs/>
                <w:sz w:val="20"/>
                <w:szCs w:val="20"/>
              </w:rPr>
              <w:instrText xml:space="preserve"> FORMCHECKBOX </w:instrText>
            </w:r>
            <w:r w:rsidRPr="00094B4E">
              <w:rPr>
                <w:rFonts w:ascii="Arial Narrow" w:hAnsi="Arial Narrow"/>
                <w:bCs/>
                <w:sz w:val="20"/>
                <w:szCs w:val="20"/>
              </w:rPr>
            </w:r>
            <w:r w:rsidRPr="00094B4E">
              <w:rPr>
                <w:rFonts w:ascii="Arial Narrow" w:hAnsi="Arial Narrow"/>
                <w:bCs/>
                <w:sz w:val="20"/>
                <w:szCs w:val="20"/>
              </w:rPr>
              <w:fldChar w:fldCharType="separate"/>
            </w:r>
            <w:r w:rsidRPr="00094B4E">
              <w:rPr>
                <w:rFonts w:ascii="Arial Narrow" w:hAnsi="Arial Narrow"/>
                <w:bCs/>
                <w:sz w:val="20"/>
                <w:szCs w:val="20"/>
              </w:rPr>
              <w:fldChar w:fldCharType="end"/>
            </w:r>
            <w:r w:rsidRPr="00094B4E">
              <w:rPr>
                <w:rFonts w:ascii="Arial Narrow" w:hAnsi="Arial Narrow"/>
                <w:bCs/>
                <w:sz w:val="20"/>
                <w:szCs w:val="20"/>
              </w:rPr>
              <w:t xml:space="preserve">Medical Practitioners </w:t>
            </w:r>
          </w:p>
        </w:tc>
      </w:tr>
      <w:tr w:rsidR="008C3EF1" w:rsidRPr="00094B4E" w14:paraId="257390C5" w14:textId="77777777" w:rsidTr="00FB4E72">
        <w:tblPrEx>
          <w:tblCellMar>
            <w:top w:w="15" w:type="dxa"/>
            <w:bottom w:w="15" w:type="dxa"/>
          </w:tblCellMar>
          <w:tblLook w:val="04A0" w:firstRow="1" w:lastRow="0" w:firstColumn="1" w:lastColumn="0" w:noHBand="0" w:noVBand="1"/>
        </w:tblPrEx>
        <w:trPr>
          <w:cantSplit/>
          <w:trHeight w:val="20"/>
        </w:trPr>
        <w:tc>
          <w:tcPr>
            <w:tcW w:w="1269" w:type="dxa"/>
            <w:vMerge/>
          </w:tcPr>
          <w:p w14:paraId="5757DA8F" w14:textId="77777777" w:rsidR="008C3EF1" w:rsidRPr="00094B4E" w:rsidRDefault="008C3EF1" w:rsidP="00FB4E72">
            <w:pPr>
              <w:widowControl w:val="0"/>
              <w:rPr>
                <w:rFonts w:ascii="Arial Narrow" w:hAnsi="Arial Narrow"/>
                <w:sz w:val="20"/>
                <w:szCs w:val="20"/>
              </w:rPr>
            </w:pPr>
          </w:p>
        </w:tc>
        <w:tc>
          <w:tcPr>
            <w:tcW w:w="7945" w:type="dxa"/>
            <w:gridSpan w:val="6"/>
            <w:tcBorders>
              <w:top w:val="single" w:sz="4" w:space="0" w:color="auto"/>
              <w:left w:val="single" w:sz="4" w:space="0" w:color="auto"/>
              <w:bottom w:val="single" w:sz="4" w:space="0" w:color="auto"/>
              <w:right w:val="single" w:sz="4" w:space="0" w:color="auto"/>
            </w:tcBorders>
          </w:tcPr>
          <w:p w14:paraId="60688999" w14:textId="77777777" w:rsidR="008C3EF1" w:rsidRPr="00094B4E" w:rsidRDefault="008C3EF1" w:rsidP="00FB4E72">
            <w:pPr>
              <w:widowControl w:val="0"/>
              <w:rPr>
                <w:rFonts w:ascii="Arial Narrow" w:eastAsia="Calibri" w:hAnsi="Arial Narrow"/>
                <w:bCs/>
                <w:sz w:val="20"/>
                <w:szCs w:val="20"/>
              </w:rPr>
            </w:pPr>
            <w:r w:rsidRPr="00094B4E">
              <w:rPr>
                <w:rFonts w:ascii="Arial Narrow" w:hAnsi="Arial Narrow"/>
                <w:bCs/>
                <w:sz w:val="20"/>
                <w:szCs w:val="20"/>
              </w:rPr>
              <w:t xml:space="preserve">Restriction type: </w:t>
            </w:r>
            <w:r w:rsidRPr="00094B4E">
              <w:rPr>
                <w:rFonts w:ascii="Arial Narrow" w:hAnsi="Arial Narrow"/>
                <w:bCs/>
                <w:sz w:val="20"/>
                <w:szCs w:val="20"/>
              </w:rPr>
              <w:fldChar w:fldCharType="begin" w:fldLock="1">
                <w:ffData>
                  <w:name w:val=""/>
                  <w:enabled/>
                  <w:calcOnExit w:val="0"/>
                  <w:checkBox>
                    <w:sizeAuto/>
                    <w:default w:val="1"/>
                  </w:checkBox>
                </w:ffData>
              </w:fldChar>
            </w:r>
            <w:r w:rsidRPr="00094B4E">
              <w:rPr>
                <w:rFonts w:ascii="Arial Narrow" w:hAnsi="Arial Narrow"/>
                <w:bCs/>
                <w:sz w:val="20"/>
                <w:szCs w:val="20"/>
              </w:rPr>
              <w:instrText xml:space="preserve"> FORMCHECKBOX </w:instrText>
            </w:r>
            <w:r w:rsidRPr="00094B4E">
              <w:rPr>
                <w:rFonts w:ascii="Arial Narrow" w:hAnsi="Arial Narrow"/>
                <w:bCs/>
                <w:sz w:val="20"/>
                <w:szCs w:val="20"/>
              </w:rPr>
            </w:r>
            <w:r w:rsidRPr="00094B4E">
              <w:rPr>
                <w:rFonts w:ascii="Arial Narrow" w:hAnsi="Arial Narrow"/>
                <w:bCs/>
                <w:sz w:val="20"/>
                <w:szCs w:val="20"/>
              </w:rPr>
              <w:fldChar w:fldCharType="separate"/>
            </w:r>
            <w:r w:rsidRPr="00094B4E">
              <w:rPr>
                <w:rFonts w:ascii="Arial Narrow" w:hAnsi="Arial Narrow"/>
                <w:bCs/>
                <w:sz w:val="20"/>
                <w:szCs w:val="20"/>
              </w:rPr>
              <w:fldChar w:fldCharType="end"/>
            </w:r>
            <w:r w:rsidRPr="00094B4E">
              <w:rPr>
                <w:rFonts w:ascii="Arial Narrow" w:hAnsi="Arial Narrow"/>
                <w:bCs/>
                <w:sz w:val="20"/>
                <w:szCs w:val="20"/>
              </w:rPr>
              <w:t>Authority Required – Immediate assessment (Telephone/Online)</w:t>
            </w:r>
          </w:p>
        </w:tc>
      </w:tr>
      <w:tr w:rsidR="008C3EF1" w:rsidRPr="00094B4E" w14:paraId="63718578" w14:textId="77777777" w:rsidTr="00FB4E72">
        <w:tblPrEx>
          <w:tblCellMar>
            <w:top w:w="15" w:type="dxa"/>
            <w:bottom w:w="15" w:type="dxa"/>
          </w:tblCellMar>
          <w:tblLook w:val="04A0" w:firstRow="1" w:lastRow="0" w:firstColumn="1" w:lastColumn="0" w:noHBand="0" w:noVBand="1"/>
        </w:tblPrEx>
        <w:trPr>
          <w:cantSplit/>
          <w:trHeight w:val="20"/>
        </w:trPr>
        <w:tc>
          <w:tcPr>
            <w:tcW w:w="1269" w:type="dxa"/>
            <w:vMerge/>
          </w:tcPr>
          <w:p w14:paraId="5D859567" w14:textId="77777777" w:rsidR="008C3EF1" w:rsidRPr="00094B4E" w:rsidRDefault="008C3EF1" w:rsidP="00FB4E72">
            <w:pPr>
              <w:widowControl w:val="0"/>
              <w:rPr>
                <w:rFonts w:ascii="Arial Narrow" w:hAnsi="Arial Narrow"/>
                <w:sz w:val="20"/>
                <w:szCs w:val="20"/>
              </w:rPr>
            </w:pPr>
          </w:p>
        </w:tc>
        <w:tc>
          <w:tcPr>
            <w:tcW w:w="7945" w:type="dxa"/>
            <w:gridSpan w:val="6"/>
            <w:tcBorders>
              <w:top w:val="single" w:sz="4" w:space="0" w:color="auto"/>
              <w:left w:val="single" w:sz="4" w:space="0" w:color="auto"/>
              <w:bottom w:val="single" w:sz="4" w:space="0" w:color="auto"/>
              <w:right w:val="single" w:sz="4" w:space="0" w:color="auto"/>
            </w:tcBorders>
            <w:vAlign w:val="center"/>
          </w:tcPr>
          <w:p w14:paraId="68C18754" w14:textId="77777777" w:rsidR="008C3EF1" w:rsidRPr="00094B4E" w:rsidRDefault="008C3EF1" w:rsidP="00FB4E72">
            <w:pPr>
              <w:widowControl w:val="0"/>
              <w:rPr>
                <w:rFonts w:ascii="Arial Narrow" w:hAnsi="Arial Narrow"/>
                <w:bCs/>
                <w:sz w:val="20"/>
                <w:szCs w:val="20"/>
              </w:rPr>
            </w:pPr>
            <w:r w:rsidRPr="00094B4E">
              <w:rPr>
                <w:rFonts w:ascii="Arial Narrow" w:hAnsi="Arial Narrow"/>
                <w:bCs/>
                <w:sz w:val="20"/>
                <w:szCs w:val="20"/>
              </w:rPr>
              <w:t xml:space="preserve">Authority type: </w:t>
            </w:r>
            <w:r w:rsidRPr="00094B4E">
              <w:rPr>
                <w:rFonts w:ascii="Arial Narrow" w:eastAsia="Calibri" w:hAnsi="Arial Narrow"/>
                <w:bCs/>
                <w:sz w:val="20"/>
                <w:szCs w:val="20"/>
              </w:rPr>
              <w:fldChar w:fldCharType="begin" w:fldLock="1">
                <w:ffData>
                  <w:name w:val=""/>
                  <w:enabled/>
                  <w:calcOnExit w:val="0"/>
                  <w:checkBox>
                    <w:sizeAuto/>
                    <w:default w:val="1"/>
                  </w:checkBox>
                </w:ffData>
              </w:fldChar>
            </w:r>
            <w:r w:rsidRPr="00094B4E">
              <w:rPr>
                <w:rFonts w:ascii="Arial Narrow" w:eastAsia="Calibri" w:hAnsi="Arial Narrow"/>
                <w:bCs/>
                <w:sz w:val="20"/>
                <w:szCs w:val="20"/>
              </w:rPr>
              <w:instrText xml:space="preserve"> FORMCHECKBOX </w:instrText>
            </w:r>
            <w:r w:rsidRPr="00094B4E">
              <w:rPr>
                <w:rFonts w:ascii="Arial Narrow" w:eastAsia="Calibri" w:hAnsi="Arial Narrow"/>
                <w:bCs/>
                <w:sz w:val="20"/>
                <w:szCs w:val="20"/>
              </w:rPr>
            </w:r>
            <w:r w:rsidRPr="00094B4E">
              <w:rPr>
                <w:rFonts w:ascii="Arial Narrow" w:eastAsia="Calibri" w:hAnsi="Arial Narrow"/>
                <w:bCs/>
                <w:sz w:val="20"/>
                <w:szCs w:val="20"/>
              </w:rPr>
              <w:fldChar w:fldCharType="separate"/>
            </w:r>
            <w:r w:rsidRPr="00094B4E">
              <w:rPr>
                <w:rFonts w:ascii="Arial Narrow" w:eastAsia="Calibri" w:hAnsi="Arial Narrow"/>
                <w:bCs/>
                <w:sz w:val="20"/>
                <w:szCs w:val="20"/>
              </w:rPr>
              <w:fldChar w:fldCharType="end"/>
            </w:r>
            <w:r w:rsidRPr="00094B4E">
              <w:rPr>
                <w:rFonts w:ascii="Arial Narrow" w:eastAsia="Calibri" w:hAnsi="Arial Narrow"/>
                <w:bCs/>
                <w:sz w:val="20"/>
                <w:szCs w:val="20"/>
              </w:rPr>
              <w:t xml:space="preserve"> Non-complex Authority Required (non-CAR)</w:t>
            </w:r>
          </w:p>
        </w:tc>
      </w:tr>
      <w:tr w:rsidR="008C3EF1" w:rsidRPr="00094B4E" w14:paraId="29076D90" w14:textId="77777777" w:rsidTr="00FB4E72">
        <w:tblPrEx>
          <w:tblCellMar>
            <w:top w:w="15" w:type="dxa"/>
            <w:bottom w:w="15" w:type="dxa"/>
          </w:tblCellMar>
          <w:tblLook w:val="04A0" w:firstRow="1" w:lastRow="0" w:firstColumn="1" w:lastColumn="0" w:noHBand="0" w:noVBand="1"/>
        </w:tblPrEx>
        <w:trPr>
          <w:cantSplit/>
          <w:trHeight w:val="20"/>
        </w:trPr>
        <w:tc>
          <w:tcPr>
            <w:tcW w:w="9214" w:type="dxa"/>
            <w:gridSpan w:val="7"/>
            <w:tcBorders>
              <w:top w:val="single" w:sz="4" w:space="0" w:color="auto"/>
              <w:left w:val="single" w:sz="4" w:space="0" w:color="auto"/>
              <w:bottom w:val="single" w:sz="4" w:space="0" w:color="auto"/>
              <w:right w:val="single" w:sz="4" w:space="0" w:color="auto"/>
            </w:tcBorders>
            <w:vAlign w:val="center"/>
          </w:tcPr>
          <w:p w14:paraId="151A3246" w14:textId="4D318F89" w:rsidR="008C3EF1" w:rsidRPr="00094B4E" w:rsidRDefault="008C3EF1" w:rsidP="00FB4E72">
            <w:pPr>
              <w:widowControl w:val="0"/>
              <w:rPr>
                <w:rFonts w:ascii="Arial Narrow" w:hAnsi="Arial Narrow"/>
                <w:b/>
                <w:bCs/>
                <w:sz w:val="20"/>
                <w:szCs w:val="20"/>
              </w:rPr>
            </w:pPr>
            <w:r w:rsidRPr="00094B4E">
              <w:rPr>
                <w:rFonts w:ascii="Arial Narrow" w:hAnsi="Arial Narrow"/>
                <w:bCs/>
                <w:sz w:val="20"/>
                <w:szCs w:val="20"/>
              </w:rPr>
              <w:t xml:space="preserve">Restrictions Summary / Treatment of Concept: </w:t>
            </w:r>
          </w:p>
        </w:tc>
      </w:tr>
      <w:tr w:rsidR="008C3EF1" w:rsidRPr="00094B4E" w14:paraId="64C9449E" w14:textId="77777777" w:rsidTr="00FB4E72">
        <w:tblPrEx>
          <w:tblCellMar>
            <w:top w:w="15" w:type="dxa"/>
            <w:bottom w:w="15" w:type="dxa"/>
          </w:tblCellMar>
          <w:tblLook w:val="04A0" w:firstRow="1" w:lastRow="0" w:firstColumn="1" w:lastColumn="0" w:noHBand="0" w:noVBand="1"/>
        </w:tblPrEx>
        <w:trPr>
          <w:cantSplit/>
          <w:trHeight w:val="20"/>
        </w:trPr>
        <w:tc>
          <w:tcPr>
            <w:tcW w:w="1269" w:type="dxa"/>
            <w:vMerge w:val="restart"/>
            <w:tcBorders>
              <w:top w:val="single" w:sz="4" w:space="0" w:color="auto"/>
              <w:left w:val="single" w:sz="4" w:space="0" w:color="auto"/>
              <w:bottom w:val="single" w:sz="4" w:space="0" w:color="auto"/>
              <w:right w:val="single" w:sz="4" w:space="0" w:color="auto"/>
            </w:tcBorders>
            <w:vAlign w:val="center"/>
          </w:tcPr>
          <w:p w14:paraId="1D0307C1" w14:textId="77777777" w:rsidR="008C3EF1" w:rsidRPr="00094B4E" w:rsidRDefault="008C3EF1" w:rsidP="00FB4E72">
            <w:pPr>
              <w:widowControl w:val="0"/>
              <w:jc w:val="center"/>
              <w:rPr>
                <w:rFonts w:ascii="Arial Narrow" w:hAnsi="Arial Narrow"/>
                <w:sz w:val="20"/>
                <w:szCs w:val="20"/>
              </w:rPr>
            </w:pPr>
          </w:p>
        </w:tc>
        <w:tc>
          <w:tcPr>
            <w:tcW w:w="7945" w:type="dxa"/>
            <w:gridSpan w:val="6"/>
            <w:tcBorders>
              <w:top w:val="single" w:sz="4" w:space="0" w:color="auto"/>
              <w:left w:val="single" w:sz="4" w:space="0" w:color="auto"/>
              <w:bottom w:val="single" w:sz="4" w:space="0" w:color="auto"/>
              <w:right w:val="single" w:sz="4" w:space="0" w:color="auto"/>
            </w:tcBorders>
          </w:tcPr>
          <w:p w14:paraId="184D33CF" w14:textId="77777777" w:rsidR="008C3EF1" w:rsidRPr="00094B4E" w:rsidRDefault="008C3EF1" w:rsidP="00FB4E72">
            <w:pPr>
              <w:widowControl w:val="0"/>
              <w:rPr>
                <w:rFonts w:ascii="Arial Narrow" w:hAnsi="Arial Narrow"/>
                <w:bCs/>
                <w:sz w:val="20"/>
                <w:szCs w:val="20"/>
              </w:rPr>
            </w:pPr>
            <w:proofErr w:type="spellStart"/>
            <w:r w:rsidRPr="00094B4E">
              <w:rPr>
                <w:rFonts w:ascii="Arial Narrow" w:hAnsi="Arial Narrow"/>
                <w:b/>
                <w:bCs/>
                <w:sz w:val="20"/>
                <w:szCs w:val="20"/>
              </w:rPr>
              <w:t>Episodicity</w:t>
            </w:r>
            <w:proofErr w:type="spellEnd"/>
            <w:r w:rsidRPr="00094B4E">
              <w:rPr>
                <w:rFonts w:ascii="Arial Narrow" w:hAnsi="Arial Narrow"/>
                <w:b/>
                <w:bCs/>
                <w:sz w:val="20"/>
                <w:szCs w:val="20"/>
              </w:rPr>
              <w:t xml:space="preserve">: </w:t>
            </w:r>
            <w:r w:rsidRPr="00094B4E">
              <w:rPr>
                <w:rFonts w:ascii="Arial Narrow" w:hAnsi="Arial Narrow"/>
                <w:sz w:val="20"/>
                <w:szCs w:val="20"/>
              </w:rPr>
              <w:t>[Blank]</w:t>
            </w:r>
          </w:p>
        </w:tc>
      </w:tr>
      <w:tr w:rsidR="008C3EF1" w:rsidRPr="00094B4E" w14:paraId="791E4F5C" w14:textId="77777777" w:rsidTr="00FB4E72">
        <w:tblPrEx>
          <w:tblCellMar>
            <w:top w:w="15" w:type="dxa"/>
            <w:bottom w:w="15" w:type="dxa"/>
          </w:tblCellMar>
          <w:tblLook w:val="04A0" w:firstRow="1" w:lastRow="0" w:firstColumn="1" w:lastColumn="0" w:noHBand="0" w:noVBand="1"/>
        </w:tblPrEx>
        <w:trPr>
          <w:cantSplit/>
          <w:trHeight w:val="20"/>
        </w:trPr>
        <w:tc>
          <w:tcPr>
            <w:tcW w:w="1269" w:type="dxa"/>
            <w:vMerge/>
            <w:vAlign w:val="center"/>
          </w:tcPr>
          <w:p w14:paraId="185A58FD" w14:textId="77777777" w:rsidR="008C3EF1" w:rsidRPr="00094B4E" w:rsidRDefault="008C3EF1" w:rsidP="00FB4E72">
            <w:pPr>
              <w:widowControl w:val="0"/>
              <w:jc w:val="center"/>
              <w:rPr>
                <w:rFonts w:ascii="Arial Narrow" w:hAnsi="Arial Narrow"/>
                <w:sz w:val="20"/>
                <w:szCs w:val="20"/>
              </w:rPr>
            </w:pPr>
          </w:p>
        </w:tc>
        <w:tc>
          <w:tcPr>
            <w:tcW w:w="7945" w:type="dxa"/>
            <w:gridSpan w:val="6"/>
            <w:tcBorders>
              <w:top w:val="single" w:sz="4" w:space="0" w:color="auto"/>
              <w:left w:val="single" w:sz="4" w:space="0" w:color="auto"/>
              <w:bottom w:val="single" w:sz="4" w:space="0" w:color="auto"/>
              <w:right w:val="single" w:sz="4" w:space="0" w:color="auto"/>
            </w:tcBorders>
          </w:tcPr>
          <w:p w14:paraId="5D14917D" w14:textId="77777777" w:rsidR="008C3EF1" w:rsidRPr="00094B4E" w:rsidRDefault="008C3EF1" w:rsidP="00FB4E72">
            <w:pPr>
              <w:widowControl w:val="0"/>
              <w:rPr>
                <w:rFonts w:ascii="Arial Narrow" w:hAnsi="Arial Narrow"/>
                <w:b/>
                <w:bCs/>
                <w:sz w:val="20"/>
                <w:szCs w:val="20"/>
              </w:rPr>
            </w:pPr>
            <w:r w:rsidRPr="00094B4E">
              <w:rPr>
                <w:rFonts w:ascii="Arial Narrow" w:hAnsi="Arial Narrow"/>
                <w:b/>
                <w:sz w:val="20"/>
                <w:szCs w:val="20"/>
              </w:rPr>
              <w:t>Severity:</w:t>
            </w:r>
            <w:r w:rsidRPr="00094B4E">
              <w:rPr>
                <w:rFonts w:ascii="Arial Narrow" w:hAnsi="Arial Narrow"/>
                <w:sz w:val="20"/>
                <w:szCs w:val="20"/>
              </w:rPr>
              <w:t xml:space="preserve"> Relapsed or refractory</w:t>
            </w:r>
          </w:p>
        </w:tc>
      </w:tr>
      <w:tr w:rsidR="008C3EF1" w:rsidRPr="00094B4E" w14:paraId="33743A35" w14:textId="77777777" w:rsidTr="00FB4E72">
        <w:tblPrEx>
          <w:tblCellMar>
            <w:top w:w="15" w:type="dxa"/>
            <w:bottom w:w="15" w:type="dxa"/>
          </w:tblCellMar>
          <w:tblLook w:val="04A0" w:firstRow="1" w:lastRow="0" w:firstColumn="1" w:lastColumn="0" w:noHBand="0" w:noVBand="1"/>
        </w:tblPrEx>
        <w:trPr>
          <w:cantSplit/>
          <w:trHeight w:val="20"/>
        </w:trPr>
        <w:tc>
          <w:tcPr>
            <w:tcW w:w="1269" w:type="dxa"/>
            <w:vMerge/>
            <w:vAlign w:val="center"/>
          </w:tcPr>
          <w:p w14:paraId="1AD76C4B" w14:textId="77777777" w:rsidR="008C3EF1" w:rsidRPr="00094B4E" w:rsidRDefault="008C3EF1" w:rsidP="00FB4E72">
            <w:pPr>
              <w:widowControl w:val="0"/>
              <w:jc w:val="center"/>
              <w:rPr>
                <w:rFonts w:ascii="Arial Narrow" w:hAnsi="Arial Narrow"/>
                <w:sz w:val="20"/>
                <w:szCs w:val="20"/>
              </w:rPr>
            </w:pPr>
          </w:p>
        </w:tc>
        <w:tc>
          <w:tcPr>
            <w:tcW w:w="7945" w:type="dxa"/>
            <w:gridSpan w:val="6"/>
            <w:tcBorders>
              <w:top w:val="single" w:sz="4" w:space="0" w:color="auto"/>
              <w:left w:val="single" w:sz="4" w:space="0" w:color="auto"/>
              <w:bottom w:val="single" w:sz="4" w:space="0" w:color="auto"/>
              <w:right w:val="single" w:sz="4" w:space="0" w:color="auto"/>
            </w:tcBorders>
          </w:tcPr>
          <w:p w14:paraId="55623410" w14:textId="77777777" w:rsidR="008C3EF1" w:rsidRPr="00094B4E" w:rsidRDefault="008C3EF1" w:rsidP="00FB4E72">
            <w:pPr>
              <w:widowControl w:val="0"/>
              <w:rPr>
                <w:rFonts w:ascii="Arial Narrow" w:hAnsi="Arial Narrow"/>
                <w:b/>
                <w:bCs/>
                <w:sz w:val="20"/>
                <w:szCs w:val="20"/>
              </w:rPr>
            </w:pPr>
            <w:r w:rsidRPr="00094B4E">
              <w:rPr>
                <w:rFonts w:ascii="Arial Narrow" w:hAnsi="Arial Narrow"/>
                <w:b/>
                <w:sz w:val="20"/>
                <w:szCs w:val="20"/>
              </w:rPr>
              <w:t>Condition:</w:t>
            </w:r>
            <w:r w:rsidRPr="00094B4E">
              <w:rPr>
                <w:rFonts w:ascii="Arial Narrow" w:hAnsi="Arial Narrow"/>
                <w:sz w:val="20"/>
                <w:szCs w:val="20"/>
              </w:rPr>
              <w:t xml:space="preserve"> Multiple myeloma</w:t>
            </w:r>
          </w:p>
        </w:tc>
      </w:tr>
      <w:tr w:rsidR="008C3EF1" w:rsidRPr="00094B4E" w14:paraId="2AABB2E5" w14:textId="77777777" w:rsidTr="00FB4E72">
        <w:tblPrEx>
          <w:tblCellMar>
            <w:top w:w="15" w:type="dxa"/>
            <w:bottom w:w="15" w:type="dxa"/>
          </w:tblCellMar>
          <w:tblLook w:val="04A0" w:firstRow="1" w:lastRow="0" w:firstColumn="1" w:lastColumn="0" w:noHBand="0" w:noVBand="1"/>
        </w:tblPrEx>
        <w:trPr>
          <w:cantSplit/>
          <w:trHeight w:val="20"/>
        </w:trPr>
        <w:tc>
          <w:tcPr>
            <w:tcW w:w="1269" w:type="dxa"/>
            <w:tcBorders>
              <w:top w:val="single" w:sz="4" w:space="0" w:color="auto"/>
              <w:left w:val="single" w:sz="4" w:space="0" w:color="auto"/>
              <w:bottom w:val="single" w:sz="4" w:space="0" w:color="auto"/>
              <w:right w:val="single" w:sz="4" w:space="0" w:color="auto"/>
            </w:tcBorders>
            <w:vAlign w:val="center"/>
            <w:hideMark/>
          </w:tcPr>
          <w:p w14:paraId="0CE9C86B" w14:textId="77777777" w:rsidR="008C3EF1" w:rsidRPr="00094B4E" w:rsidRDefault="008C3EF1" w:rsidP="00FB4E72">
            <w:pPr>
              <w:widowControl w:val="0"/>
              <w:jc w:val="center"/>
              <w:rPr>
                <w:rFonts w:ascii="Arial Narrow" w:hAnsi="Arial Narrow"/>
                <w:sz w:val="20"/>
                <w:szCs w:val="20"/>
              </w:rPr>
            </w:pPr>
          </w:p>
        </w:tc>
        <w:tc>
          <w:tcPr>
            <w:tcW w:w="7945" w:type="dxa"/>
            <w:gridSpan w:val="6"/>
            <w:tcBorders>
              <w:top w:val="single" w:sz="4" w:space="0" w:color="auto"/>
              <w:left w:val="single" w:sz="4" w:space="0" w:color="auto"/>
              <w:bottom w:val="single" w:sz="4" w:space="0" w:color="auto"/>
              <w:right w:val="single" w:sz="4" w:space="0" w:color="auto"/>
            </w:tcBorders>
            <w:hideMark/>
          </w:tcPr>
          <w:p w14:paraId="7FBA5715" w14:textId="77777777" w:rsidR="008C3EF1" w:rsidRPr="00094B4E" w:rsidRDefault="008C3EF1" w:rsidP="00FB4E72">
            <w:pPr>
              <w:widowControl w:val="0"/>
              <w:rPr>
                <w:rFonts w:ascii="Arial Narrow" w:hAnsi="Arial Narrow"/>
                <w:sz w:val="20"/>
                <w:szCs w:val="20"/>
              </w:rPr>
            </w:pPr>
            <w:r w:rsidRPr="00094B4E">
              <w:rPr>
                <w:rFonts w:ascii="Arial Narrow" w:hAnsi="Arial Narrow"/>
                <w:b/>
                <w:sz w:val="20"/>
                <w:szCs w:val="20"/>
              </w:rPr>
              <w:t>Indication:</w:t>
            </w:r>
            <w:r w:rsidRPr="00094B4E">
              <w:rPr>
                <w:rFonts w:ascii="Arial Narrow" w:hAnsi="Arial Narrow"/>
                <w:sz w:val="20"/>
                <w:szCs w:val="20"/>
              </w:rPr>
              <w:t xml:space="preserve"> Relapsed or refractory multiple myeloma</w:t>
            </w:r>
          </w:p>
        </w:tc>
      </w:tr>
      <w:tr w:rsidR="008C3EF1" w:rsidRPr="00094B4E" w14:paraId="4E918BF0" w14:textId="77777777" w:rsidTr="00FB4E72">
        <w:tblPrEx>
          <w:tblCellMar>
            <w:top w:w="15" w:type="dxa"/>
            <w:bottom w:w="15" w:type="dxa"/>
          </w:tblCellMar>
          <w:tblLook w:val="04A0" w:firstRow="1" w:lastRow="0" w:firstColumn="1" w:lastColumn="0" w:noHBand="0" w:noVBand="1"/>
        </w:tblPrEx>
        <w:trPr>
          <w:cantSplit/>
          <w:trHeight w:val="20"/>
        </w:trPr>
        <w:tc>
          <w:tcPr>
            <w:tcW w:w="1269" w:type="dxa"/>
            <w:tcBorders>
              <w:top w:val="single" w:sz="4" w:space="0" w:color="auto"/>
              <w:left w:val="single" w:sz="4" w:space="0" w:color="auto"/>
              <w:bottom w:val="single" w:sz="4" w:space="0" w:color="auto"/>
              <w:right w:val="single" w:sz="4" w:space="0" w:color="auto"/>
            </w:tcBorders>
            <w:vAlign w:val="center"/>
          </w:tcPr>
          <w:p w14:paraId="17FAD52F" w14:textId="77777777" w:rsidR="008C3EF1" w:rsidRPr="00094B4E" w:rsidRDefault="008C3EF1" w:rsidP="00FB4E72">
            <w:pPr>
              <w:widowControl w:val="0"/>
              <w:jc w:val="center"/>
              <w:rPr>
                <w:rFonts w:ascii="Arial Narrow" w:hAnsi="Arial Narrow"/>
                <w:sz w:val="20"/>
                <w:szCs w:val="20"/>
              </w:rPr>
            </w:pPr>
          </w:p>
        </w:tc>
        <w:tc>
          <w:tcPr>
            <w:tcW w:w="7945" w:type="dxa"/>
            <w:gridSpan w:val="6"/>
            <w:tcBorders>
              <w:top w:val="single" w:sz="4" w:space="0" w:color="auto"/>
              <w:left w:val="single" w:sz="4" w:space="0" w:color="auto"/>
              <w:bottom w:val="single" w:sz="4" w:space="0" w:color="auto"/>
              <w:right w:val="single" w:sz="4" w:space="0" w:color="auto"/>
            </w:tcBorders>
          </w:tcPr>
          <w:p w14:paraId="0CD12553" w14:textId="1BDD9D5F" w:rsidR="008C3EF1" w:rsidRPr="00094B4E" w:rsidRDefault="008C3EF1" w:rsidP="00FB4E72">
            <w:pPr>
              <w:widowControl w:val="0"/>
              <w:rPr>
                <w:rFonts w:ascii="Arial Narrow" w:hAnsi="Arial Narrow"/>
                <w:b/>
                <w:sz w:val="20"/>
                <w:szCs w:val="20"/>
              </w:rPr>
            </w:pPr>
            <w:r w:rsidRPr="00094B4E">
              <w:rPr>
                <w:rFonts w:ascii="Arial Narrow" w:hAnsi="Arial Narrow"/>
                <w:b/>
                <w:bCs/>
                <w:sz w:val="20"/>
                <w:szCs w:val="20"/>
              </w:rPr>
              <w:t>Treatment</w:t>
            </w:r>
            <w:r w:rsidRPr="00094B4E">
              <w:rPr>
                <w:rFonts w:ascii="Arial Narrow" w:hAnsi="Arial Narrow"/>
                <w:b/>
                <w:bCs/>
                <w:spacing w:val="-3"/>
                <w:sz w:val="20"/>
                <w:szCs w:val="20"/>
              </w:rPr>
              <w:t xml:space="preserve"> </w:t>
            </w:r>
            <w:r w:rsidRPr="00094B4E">
              <w:rPr>
                <w:rFonts w:ascii="Arial Narrow" w:hAnsi="Arial Narrow"/>
                <w:b/>
                <w:bCs/>
                <w:sz w:val="20"/>
                <w:szCs w:val="20"/>
              </w:rPr>
              <w:t>Phase:</w:t>
            </w:r>
            <w:r w:rsidRPr="00094B4E">
              <w:rPr>
                <w:rFonts w:ascii="Arial Narrow" w:hAnsi="Arial Narrow"/>
                <w:sz w:val="20"/>
                <w:szCs w:val="20"/>
              </w:rPr>
              <w:t xml:space="preserve"> Induction treatment (step-up dosing) </w:t>
            </w:r>
          </w:p>
        </w:tc>
      </w:tr>
      <w:tr w:rsidR="008C3EF1" w:rsidRPr="00094B4E" w14:paraId="2941933A" w14:textId="77777777" w:rsidTr="00FB4E72">
        <w:tblPrEx>
          <w:tblCellMar>
            <w:top w:w="15" w:type="dxa"/>
            <w:bottom w:w="15" w:type="dxa"/>
          </w:tblCellMar>
          <w:tblLook w:val="04A0" w:firstRow="1" w:lastRow="0" w:firstColumn="1" w:lastColumn="0" w:noHBand="0" w:noVBand="1"/>
        </w:tblPrEx>
        <w:trPr>
          <w:cantSplit/>
          <w:trHeight w:val="20"/>
        </w:trPr>
        <w:tc>
          <w:tcPr>
            <w:tcW w:w="1269" w:type="dxa"/>
            <w:tcBorders>
              <w:top w:val="single" w:sz="4" w:space="0" w:color="auto"/>
              <w:left w:val="single" w:sz="4" w:space="0" w:color="auto"/>
              <w:bottom w:val="single" w:sz="4" w:space="0" w:color="auto"/>
              <w:right w:val="single" w:sz="4" w:space="0" w:color="auto"/>
            </w:tcBorders>
            <w:vAlign w:val="center"/>
          </w:tcPr>
          <w:p w14:paraId="40B2452A" w14:textId="77777777" w:rsidR="008C3EF1" w:rsidRPr="00094B4E" w:rsidRDefault="008C3EF1" w:rsidP="00FB4E72">
            <w:pPr>
              <w:widowControl w:val="0"/>
              <w:jc w:val="center"/>
              <w:rPr>
                <w:rFonts w:ascii="Arial Narrow" w:hAnsi="Arial Narrow"/>
                <w:sz w:val="20"/>
                <w:szCs w:val="20"/>
              </w:rPr>
            </w:pPr>
          </w:p>
        </w:tc>
        <w:tc>
          <w:tcPr>
            <w:tcW w:w="7945" w:type="dxa"/>
            <w:gridSpan w:val="6"/>
            <w:tcBorders>
              <w:top w:val="single" w:sz="4" w:space="0" w:color="auto"/>
              <w:left w:val="single" w:sz="4" w:space="0" w:color="auto"/>
              <w:bottom w:val="single" w:sz="4" w:space="0" w:color="auto"/>
              <w:right w:val="single" w:sz="4" w:space="0" w:color="auto"/>
            </w:tcBorders>
          </w:tcPr>
          <w:p w14:paraId="121420F8" w14:textId="77777777" w:rsidR="008C3EF1" w:rsidRPr="00094B4E" w:rsidRDefault="008C3EF1" w:rsidP="00FB4E72">
            <w:pPr>
              <w:widowControl w:val="0"/>
              <w:rPr>
                <w:rFonts w:ascii="Arial Narrow" w:hAnsi="Arial Narrow"/>
                <w:b/>
                <w:sz w:val="20"/>
                <w:szCs w:val="20"/>
              </w:rPr>
            </w:pPr>
            <w:r w:rsidRPr="00094B4E">
              <w:rPr>
                <w:rFonts w:ascii="Arial Narrow" w:hAnsi="Arial Narrow"/>
                <w:b/>
                <w:bCs/>
                <w:sz w:val="20"/>
                <w:szCs w:val="20"/>
              </w:rPr>
              <w:t>Clinical</w:t>
            </w:r>
            <w:r w:rsidRPr="00094B4E">
              <w:rPr>
                <w:rFonts w:ascii="Arial Narrow" w:hAnsi="Arial Narrow"/>
                <w:b/>
                <w:bCs/>
                <w:spacing w:val="-4"/>
                <w:sz w:val="20"/>
                <w:szCs w:val="20"/>
              </w:rPr>
              <w:t xml:space="preserve"> </w:t>
            </w:r>
            <w:r w:rsidRPr="00094B4E">
              <w:rPr>
                <w:rFonts w:ascii="Arial Narrow" w:hAnsi="Arial Narrow"/>
                <w:b/>
                <w:bCs/>
                <w:spacing w:val="-2"/>
                <w:sz w:val="20"/>
                <w:szCs w:val="20"/>
              </w:rPr>
              <w:t>criteria:</w:t>
            </w:r>
          </w:p>
        </w:tc>
      </w:tr>
      <w:tr w:rsidR="008C3EF1" w:rsidRPr="00094B4E" w14:paraId="5F0B4A0D" w14:textId="77777777" w:rsidTr="00FB4E72">
        <w:tblPrEx>
          <w:tblCellMar>
            <w:top w:w="15" w:type="dxa"/>
            <w:bottom w:w="15" w:type="dxa"/>
          </w:tblCellMar>
          <w:tblLook w:val="04A0" w:firstRow="1" w:lastRow="0" w:firstColumn="1" w:lastColumn="0" w:noHBand="0" w:noVBand="1"/>
        </w:tblPrEx>
        <w:trPr>
          <w:cantSplit/>
          <w:trHeight w:val="20"/>
        </w:trPr>
        <w:tc>
          <w:tcPr>
            <w:tcW w:w="1269" w:type="dxa"/>
            <w:tcBorders>
              <w:top w:val="single" w:sz="4" w:space="0" w:color="auto"/>
              <w:left w:val="single" w:sz="4" w:space="0" w:color="auto"/>
              <w:bottom w:val="single" w:sz="4" w:space="0" w:color="auto"/>
              <w:right w:val="single" w:sz="4" w:space="0" w:color="auto"/>
            </w:tcBorders>
            <w:vAlign w:val="center"/>
          </w:tcPr>
          <w:p w14:paraId="53B9D656" w14:textId="015C5EE1" w:rsidR="008C3EF1" w:rsidRPr="00094B4E" w:rsidRDefault="008C3EF1" w:rsidP="00FB4E72">
            <w:pPr>
              <w:widowControl w:val="0"/>
              <w:jc w:val="center"/>
              <w:rPr>
                <w:rFonts w:ascii="Arial Narrow" w:hAnsi="Arial Narrow"/>
                <w:sz w:val="20"/>
                <w:szCs w:val="20"/>
              </w:rPr>
            </w:pPr>
          </w:p>
        </w:tc>
        <w:tc>
          <w:tcPr>
            <w:tcW w:w="7945" w:type="dxa"/>
            <w:gridSpan w:val="6"/>
            <w:tcBorders>
              <w:top w:val="single" w:sz="4" w:space="0" w:color="auto"/>
              <w:left w:val="single" w:sz="4" w:space="0" w:color="auto"/>
              <w:bottom w:val="single" w:sz="4" w:space="0" w:color="auto"/>
              <w:right w:val="single" w:sz="4" w:space="0" w:color="auto"/>
            </w:tcBorders>
          </w:tcPr>
          <w:p w14:paraId="1B6078E9" w14:textId="77777777" w:rsidR="008C3EF1" w:rsidRPr="00094B4E" w:rsidRDefault="008C3EF1" w:rsidP="00FB4E72">
            <w:pPr>
              <w:widowControl w:val="0"/>
              <w:rPr>
                <w:rFonts w:ascii="Arial Narrow" w:hAnsi="Arial Narrow"/>
                <w:b/>
                <w:sz w:val="20"/>
                <w:szCs w:val="20"/>
              </w:rPr>
            </w:pPr>
            <w:r w:rsidRPr="00094B4E">
              <w:rPr>
                <w:rFonts w:ascii="Arial Narrow" w:hAnsi="Arial Narrow"/>
                <w:spacing w:val="-2"/>
                <w:sz w:val="20"/>
                <w:szCs w:val="20"/>
              </w:rPr>
              <w:t>The condition must be confirmed by a histological diagnosis</w:t>
            </w:r>
          </w:p>
        </w:tc>
      </w:tr>
      <w:tr w:rsidR="008C3EF1" w:rsidRPr="00094B4E" w14:paraId="7085D824" w14:textId="77777777" w:rsidTr="00FB4E72">
        <w:tblPrEx>
          <w:tblCellMar>
            <w:top w:w="15" w:type="dxa"/>
            <w:bottom w:w="15" w:type="dxa"/>
          </w:tblCellMar>
          <w:tblLook w:val="04A0" w:firstRow="1" w:lastRow="0" w:firstColumn="1" w:lastColumn="0" w:noHBand="0" w:noVBand="1"/>
        </w:tblPrEx>
        <w:trPr>
          <w:cantSplit/>
          <w:trHeight w:val="20"/>
        </w:trPr>
        <w:tc>
          <w:tcPr>
            <w:tcW w:w="1269" w:type="dxa"/>
            <w:tcBorders>
              <w:top w:val="single" w:sz="4" w:space="0" w:color="auto"/>
              <w:left w:val="single" w:sz="4" w:space="0" w:color="auto"/>
              <w:bottom w:val="single" w:sz="4" w:space="0" w:color="auto"/>
              <w:right w:val="single" w:sz="4" w:space="0" w:color="auto"/>
            </w:tcBorders>
            <w:vAlign w:val="center"/>
          </w:tcPr>
          <w:p w14:paraId="4F24B288" w14:textId="77777777" w:rsidR="008C3EF1" w:rsidRPr="00094B4E" w:rsidRDefault="008C3EF1" w:rsidP="00FB4E72">
            <w:pPr>
              <w:widowControl w:val="0"/>
              <w:jc w:val="center"/>
              <w:rPr>
                <w:rFonts w:ascii="Arial Narrow" w:hAnsi="Arial Narrow"/>
                <w:sz w:val="20"/>
                <w:szCs w:val="20"/>
              </w:rPr>
            </w:pPr>
          </w:p>
        </w:tc>
        <w:tc>
          <w:tcPr>
            <w:tcW w:w="7945" w:type="dxa"/>
            <w:gridSpan w:val="6"/>
            <w:tcBorders>
              <w:top w:val="single" w:sz="4" w:space="0" w:color="auto"/>
              <w:left w:val="single" w:sz="4" w:space="0" w:color="auto"/>
              <w:bottom w:val="single" w:sz="4" w:space="0" w:color="auto"/>
              <w:right w:val="single" w:sz="4" w:space="0" w:color="auto"/>
            </w:tcBorders>
          </w:tcPr>
          <w:p w14:paraId="4DE1F521" w14:textId="77777777" w:rsidR="008C3EF1" w:rsidRPr="00094B4E" w:rsidRDefault="008C3EF1" w:rsidP="00FB4E72">
            <w:pPr>
              <w:widowControl w:val="0"/>
              <w:rPr>
                <w:rFonts w:ascii="Arial Narrow" w:hAnsi="Arial Narrow"/>
                <w:b/>
                <w:sz w:val="20"/>
                <w:szCs w:val="20"/>
              </w:rPr>
            </w:pPr>
            <w:r w:rsidRPr="00094B4E">
              <w:rPr>
                <w:rFonts w:ascii="Arial Narrow" w:hAnsi="Arial Narrow"/>
                <w:b/>
                <w:bCs/>
                <w:spacing w:val="-5"/>
                <w:sz w:val="20"/>
                <w:szCs w:val="20"/>
              </w:rPr>
              <w:t>AND</w:t>
            </w:r>
          </w:p>
        </w:tc>
      </w:tr>
      <w:tr w:rsidR="008C3EF1" w:rsidRPr="00094B4E" w14:paraId="45920A3B" w14:textId="77777777" w:rsidTr="00FB4E72">
        <w:tblPrEx>
          <w:tblCellMar>
            <w:top w:w="15" w:type="dxa"/>
            <w:bottom w:w="15" w:type="dxa"/>
          </w:tblCellMar>
          <w:tblLook w:val="04A0" w:firstRow="1" w:lastRow="0" w:firstColumn="1" w:lastColumn="0" w:noHBand="0" w:noVBand="1"/>
        </w:tblPrEx>
        <w:trPr>
          <w:cantSplit/>
          <w:trHeight w:val="20"/>
        </w:trPr>
        <w:tc>
          <w:tcPr>
            <w:tcW w:w="1269" w:type="dxa"/>
            <w:tcBorders>
              <w:top w:val="single" w:sz="4" w:space="0" w:color="auto"/>
              <w:left w:val="single" w:sz="4" w:space="0" w:color="auto"/>
              <w:bottom w:val="single" w:sz="4" w:space="0" w:color="auto"/>
              <w:right w:val="single" w:sz="4" w:space="0" w:color="auto"/>
            </w:tcBorders>
            <w:vAlign w:val="center"/>
          </w:tcPr>
          <w:p w14:paraId="59C1BF28" w14:textId="77777777" w:rsidR="008C3EF1" w:rsidRPr="00094B4E" w:rsidRDefault="008C3EF1" w:rsidP="00FB4E72">
            <w:pPr>
              <w:widowControl w:val="0"/>
              <w:jc w:val="center"/>
              <w:rPr>
                <w:rFonts w:ascii="Arial Narrow" w:hAnsi="Arial Narrow"/>
                <w:sz w:val="20"/>
                <w:szCs w:val="20"/>
              </w:rPr>
            </w:pPr>
          </w:p>
        </w:tc>
        <w:tc>
          <w:tcPr>
            <w:tcW w:w="7945" w:type="dxa"/>
            <w:gridSpan w:val="6"/>
            <w:tcBorders>
              <w:top w:val="single" w:sz="4" w:space="0" w:color="auto"/>
              <w:left w:val="single" w:sz="4" w:space="0" w:color="auto"/>
              <w:bottom w:val="single" w:sz="4" w:space="0" w:color="auto"/>
              <w:right w:val="single" w:sz="4" w:space="0" w:color="auto"/>
            </w:tcBorders>
          </w:tcPr>
          <w:p w14:paraId="78CF58E4" w14:textId="77777777" w:rsidR="008C3EF1" w:rsidRPr="00094B4E" w:rsidRDefault="008C3EF1" w:rsidP="00FB4E72">
            <w:pPr>
              <w:widowControl w:val="0"/>
              <w:rPr>
                <w:rFonts w:ascii="Arial Narrow" w:hAnsi="Arial Narrow"/>
                <w:b/>
                <w:bCs/>
                <w:spacing w:val="-5"/>
                <w:sz w:val="20"/>
                <w:szCs w:val="20"/>
              </w:rPr>
            </w:pPr>
            <w:r w:rsidRPr="00094B4E">
              <w:rPr>
                <w:rFonts w:ascii="Arial Narrow" w:hAnsi="Arial Narrow"/>
                <w:b/>
                <w:bCs/>
                <w:sz w:val="20"/>
                <w:szCs w:val="20"/>
              </w:rPr>
              <w:t>Clinical</w:t>
            </w:r>
            <w:r w:rsidRPr="00094B4E">
              <w:rPr>
                <w:rFonts w:ascii="Arial Narrow" w:hAnsi="Arial Narrow"/>
                <w:b/>
                <w:bCs/>
                <w:spacing w:val="-4"/>
                <w:sz w:val="20"/>
                <w:szCs w:val="20"/>
              </w:rPr>
              <w:t xml:space="preserve"> </w:t>
            </w:r>
            <w:r w:rsidRPr="00094B4E">
              <w:rPr>
                <w:rFonts w:ascii="Arial Narrow" w:hAnsi="Arial Narrow"/>
                <w:b/>
                <w:bCs/>
                <w:spacing w:val="-2"/>
                <w:sz w:val="20"/>
                <w:szCs w:val="20"/>
              </w:rPr>
              <w:t>criteria:</w:t>
            </w:r>
          </w:p>
        </w:tc>
      </w:tr>
      <w:tr w:rsidR="008C3EF1" w:rsidRPr="00094B4E" w14:paraId="595277A4" w14:textId="77777777" w:rsidTr="00FB4E72">
        <w:tblPrEx>
          <w:tblCellMar>
            <w:top w:w="15" w:type="dxa"/>
            <w:bottom w:w="15" w:type="dxa"/>
          </w:tblCellMar>
          <w:tblLook w:val="04A0" w:firstRow="1" w:lastRow="0" w:firstColumn="1" w:lastColumn="0" w:noHBand="0" w:noVBand="1"/>
        </w:tblPrEx>
        <w:trPr>
          <w:cantSplit/>
          <w:trHeight w:val="20"/>
        </w:trPr>
        <w:tc>
          <w:tcPr>
            <w:tcW w:w="1269" w:type="dxa"/>
            <w:tcBorders>
              <w:top w:val="single" w:sz="4" w:space="0" w:color="auto"/>
              <w:left w:val="single" w:sz="4" w:space="0" w:color="auto"/>
              <w:bottom w:val="single" w:sz="4" w:space="0" w:color="auto"/>
              <w:right w:val="single" w:sz="4" w:space="0" w:color="auto"/>
            </w:tcBorders>
            <w:vAlign w:val="center"/>
          </w:tcPr>
          <w:p w14:paraId="0E9F4663" w14:textId="4FB084A0" w:rsidR="008C3EF1" w:rsidRPr="00094B4E" w:rsidRDefault="008C3EF1" w:rsidP="00FB4E72">
            <w:pPr>
              <w:widowControl w:val="0"/>
              <w:jc w:val="center"/>
              <w:rPr>
                <w:rFonts w:ascii="Arial Narrow" w:hAnsi="Arial Narrow"/>
                <w:sz w:val="20"/>
                <w:szCs w:val="20"/>
              </w:rPr>
            </w:pPr>
          </w:p>
        </w:tc>
        <w:tc>
          <w:tcPr>
            <w:tcW w:w="7945" w:type="dxa"/>
            <w:gridSpan w:val="6"/>
            <w:tcBorders>
              <w:top w:val="single" w:sz="4" w:space="0" w:color="auto"/>
              <w:left w:val="single" w:sz="4" w:space="0" w:color="auto"/>
              <w:bottom w:val="single" w:sz="4" w:space="0" w:color="auto"/>
              <w:right w:val="single" w:sz="4" w:space="0" w:color="auto"/>
            </w:tcBorders>
          </w:tcPr>
          <w:p w14:paraId="0F5C0C59" w14:textId="5759006F" w:rsidR="008C3EF1" w:rsidRPr="00094B4E" w:rsidRDefault="008C3EF1" w:rsidP="00FB4E72">
            <w:pPr>
              <w:widowControl w:val="0"/>
              <w:rPr>
                <w:rFonts w:ascii="Arial Narrow" w:hAnsi="Arial Narrow"/>
                <w:sz w:val="20"/>
                <w:szCs w:val="20"/>
              </w:rPr>
            </w:pPr>
            <w:r w:rsidRPr="00094B4E">
              <w:rPr>
                <w:rFonts w:ascii="Arial Narrow" w:eastAsiaTheme="minorEastAsia" w:hAnsi="Arial Narrow"/>
                <w:sz w:val="20"/>
                <w:szCs w:val="20"/>
              </w:rPr>
              <w:t>Patient must have progressive disease after receiving at least 3 prior lines of therapy, including</w:t>
            </w:r>
            <w:r w:rsidR="007913A0">
              <w:rPr>
                <w:rFonts w:ascii="Arial Narrow" w:eastAsiaTheme="minorEastAsia" w:hAnsi="Arial Narrow"/>
                <w:sz w:val="20"/>
                <w:szCs w:val="20"/>
              </w:rPr>
              <w:t xml:space="preserve"> each of</w:t>
            </w:r>
            <w:r w:rsidRPr="00094B4E">
              <w:rPr>
                <w:rFonts w:ascii="Arial Narrow" w:eastAsiaTheme="minorEastAsia" w:hAnsi="Arial Narrow"/>
                <w:sz w:val="20"/>
                <w:szCs w:val="20"/>
              </w:rPr>
              <w:t xml:space="preserve"> the following therapies: (</w:t>
            </w:r>
            <w:proofErr w:type="spellStart"/>
            <w:r w:rsidRPr="00094B4E">
              <w:rPr>
                <w:rFonts w:ascii="Arial Narrow" w:eastAsiaTheme="minorEastAsia" w:hAnsi="Arial Narrow"/>
                <w:sz w:val="20"/>
                <w:szCs w:val="20"/>
              </w:rPr>
              <w:t>i</w:t>
            </w:r>
            <w:proofErr w:type="spellEnd"/>
            <w:r w:rsidRPr="00094B4E">
              <w:rPr>
                <w:rFonts w:ascii="Arial Narrow" w:eastAsiaTheme="minorEastAsia" w:hAnsi="Arial Narrow"/>
                <w:sz w:val="20"/>
                <w:szCs w:val="20"/>
              </w:rPr>
              <w:t>) a proteasome inhibitor, (ii) an immunomodulatory agent, and (iii) an anti-CD38 monoclonal antibody; or</w:t>
            </w:r>
          </w:p>
        </w:tc>
      </w:tr>
      <w:tr w:rsidR="008C3EF1" w:rsidRPr="00094B4E" w14:paraId="22E280E7" w14:textId="77777777" w:rsidTr="00FB4E72">
        <w:tblPrEx>
          <w:tblCellMar>
            <w:top w:w="15" w:type="dxa"/>
            <w:bottom w:w="15" w:type="dxa"/>
          </w:tblCellMar>
          <w:tblLook w:val="04A0" w:firstRow="1" w:lastRow="0" w:firstColumn="1" w:lastColumn="0" w:noHBand="0" w:noVBand="1"/>
        </w:tblPrEx>
        <w:trPr>
          <w:cantSplit/>
          <w:trHeight w:val="20"/>
        </w:trPr>
        <w:tc>
          <w:tcPr>
            <w:tcW w:w="1269" w:type="dxa"/>
            <w:tcBorders>
              <w:top w:val="single" w:sz="4" w:space="0" w:color="auto"/>
              <w:left w:val="single" w:sz="4" w:space="0" w:color="auto"/>
              <w:bottom w:val="single" w:sz="4" w:space="0" w:color="auto"/>
              <w:right w:val="single" w:sz="4" w:space="0" w:color="auto"/>
            </w:tcBorders>
            <w:vAlign w:val="center"/>
          </w:tcPr>
          <w:p w14:paraId="4BC4A917" w14:textId="41DCD261" w:rsidR="008C3EF1" w:rsidRPr="00094B4E" w:rsidRDefault="008C3EF1" w:rsidP="00FB4E72">
            <w:pPr>
              <w:widowControl w:val="0"/>
              <w:jc w:val="center"/>
              <w:rPr>
                <w:rFonts w:ascii="Arial Narrow" w:hAnsi="Arial Narrow"/>
                <w:sz w:val="20"/>
                <w:szCs w:val="20"/>
              </w:rPr>
            </w:pPr>
          </w:p>
        </w:tc>
        <w:tc>
          <w:tcPr>
            <w:tcW w:w="7945" w:type="dxa"/>
            <w:gridSpan w:val="6"/>
            <w:tcBorders>
              <w:top w:val="single" w:sz="4" w:space="0" w:color="auto"/>
              <w:left w:val="single" w:sz="4" w:space="0" w:color="auto"/>
              <w:bottom w:val="single" w:sz="4" w:space="0" w:color="auto"/>
              <w:right w:val="single" w:sz="4" w:space="0" w:color="auto"/>
            </w:tcBorders>
          </w:tcPr>
          <w:p w14:paraId="5297C161" w14:textId="1C513F75" w:rsidR="008C3EF1" w:rsidRPr="00094B4E" w:rsidRDefault="008C3EF1" w:rsidP="00FB4E72">
            <w:pPr>
              <w:widowControl w:val="0"/>
              <w:rPr>
                <w:rFonts w:ascii="Arial Narrow" w:hAnsi="Arial Narrow"/>
                <w:b/>
                <w:sz w:val="20"/>
                <w:szCs w:val="20"/>
              </w:rPr>
            </w:pPr>
            <w:r w:rsidRPr="00094B4E">
              <w:rPr>
                <w:rFonts w:ascii="Arial Narrow" w:hAnsi="Arial Narrow"/>
                <w:spacing w:val="-2"/>
                <w:sz w:val="20"/>
                <w:szCs w:val="20"/>
              </w:rPr>
              <w:t>Patient must be refractory to, at least 3 prior lines of therapy, including</w:t>
            </w:r>
            <w:r w:rsidR="00174EEE">
              <w:rPr>
                <w:rFonts w:ascii="Arial Narrow" w:hAnsi="Arial Narrow"/>
                <w:spacing w:val="-2"/>
                <w:sz w:val="20"/>
                <w:szCs w:val="20"/>
              </w:rPr>
              <w:t xml:space="preserve"> each of</w:t>
            </w:r>
            <w:r w:rsidRPr="00094B4E">
              <w:rPr>
                <w:rFonts w:ascii="Arial Narrow" w:hAnsi="Arial Narrow"/>
                <w:spacing w:val="-2"/>
                <w:sz w:val="20"/>
                <w:szCs w:val="20"/>
              </w:rPr>
              <w:t xml:space="preserve"> the following therapies: (</w:t>
            </w:r>
            <w:proofErr w:type="spellStart"/>
            <w:r w:rsidRPr="00094B4E">
              <w:rPr>
                <w:rFonts w:ascii="Arial Narrow" w:hAnsi="Arial Narrow"/>
                <w:spacing w:val="-2"/>
                <w:sz w:val="20"/>
                <w:szCs w:val="20"/>
              </w:rPr>
              <w:t>i</w:t>
            </w:r>
            <w:proofErr w:type="spellEnd"/>
            <w:r w:rsidRPr="00094B4E">
              <w:rPr>
                <w:rFonts w:ascii="Arial Narrow" w:hAnsi="Arial Narrow"/>
                <w:spacing w:val="-2"/>
                <w:sz w:val="20"/>
                <w:szCs w:val="20"/>
              </w:rPr>
              <w:t>) a proteasome inhibitor, (ii) an immunomodulatory agent, (iii) an anti-CD38 monoclonal antibody</w:t>
            </w:r>
          </w:p>
        </w:tc>
      </w:tr>
      <w:tr w:rsidR="008C3EF1" w:rsidRPr="00094B4E" w14:paraId="445CD7E0" w14:textId="77777777" w:rsidTr="00FB4E72">
        <w:tblPrEx>
          <w:tblCellMar>
            <w:top w:w="15" w:type="dxa"/>
            <w:bottom w:w="15" w:type="dxa"/>
          </w:tblCellMar>
          <w:tblLook w:val="04A0" w:firstRow="1" w:lastRow="0" w:firstColumn="1" w:lastColumn="0" w:noHBand="0" w:noVBand="1"/>
        </w:tblPrEx>
        <w:trPr>
          <w:cantSplit/>
          <w:trHeight w:val="20"/>
        </w:trPr>
        <w:tc>
          <w:tcPr>
            <w:tcW w:w="1269" w:type="dxa"/>
            <w:tcBorders>
              <w:top w:val="single" w:sz="4" w:space="0" w:color="auto"/>
              <w:left w:val="single" w:sz="4" w:space="0" w:color="auto"/>
              <w:bottom w:val="single" w:sz="4" w:space="0" w:color="auto"/>
              <w:right w:val="single" w:sz="4" w:space="0" w:color="auto"/>
            </w:tcBorders>
            <w:vAlign w:val="center"/>
          </w:tcPr>
          <w:p w14:paraId="13BA2913" w14:textId="77777777" w:rsidR="008C3EF1" w:rsidRPr="00094B4E" w:rsidRDefault="008C3EF1" w:rsidP="00FB4E72">
            <w:pPr>
              <w:widowControl w:val="0"/>
              <w:jc w:val="center"/>
              <w:rPr>
                <w:rFonts w:ascii="Arial Narrow" w:hAnsi="Arial Narrow"/>
                <w:strike/>
                <w:sz w:val="20"/>
                <w:szCs w:val="20"/>
              </w:rPr>
            </w:pPr>
          </w:p>
        </w:tc>
        <w:tc>
          <w:tcPr>
            <w:tcW w:w="7945" w:type="dxa"/>
            <w:gridSpan w:val="6"/>
            <w:tcBorders>
              <w:top w:val="single" w:sz="4" w:space="0" w:color="auto"/>
              <w:left w:val="single" w:sz="4" w:space="0" w:color="auto"/>
              <w:bottom w:val="single" w:sz="4" w:space="0" w:color="auto"/>
              <w:right w:val="single" w:sz="4" w:space="0" w:color="auto"/>
            </w:tcBorders>
          </w:tcPr>
          <w:p w14:paraId="67C67AAB" w14:textId="77777777" w:rsidR="008C3EF1" w:rsidRPr="00094B4E" w:rsidRDefault="008C3EF1" w:rsidP="00FB4E72">
            <w:pPr>
              <w:widowControl w:val="0"/>
              <w:rPr>
                <w:rFonts w:ascii="Arial Narrow" w:hAnsi="Arial Narrow"/>
                <w:strike/>
                <w:spacing w:val="-2"/>
                <w:sz w:val="20"/>
                <w:szCs w:val="20"/>
              </w:rPr>
            </w:pPr>
            <w:r w:rsidRPr="00094B4E">
              <w:rPr>
                <w:rFonts w:ascii="Arial Narrow" w:hAnsi="Arial Narrow"/>
                <w:b/>
                <w:bCs/>
                <w:spacing w:val="-2"/>
                <w:sz w:val="20"/>
                <w:szCs w:val="20"/>
              </w:rPr>
              <w:t>AND</w:t>
            </w:r>
          </w:p>
        </w:tc>
      </w:tr>
      <w:tr w:rsidR="008C3EF1" w:rsidRPr="00094B4E" w14:paraId="5B7D37A5" w14:textId="77777777" w:rsidTr="00FB4E72">
        <w:tblPrEx>
          <w:tblCellMar>
            <w:top w:w="15" w:type="dxa"/>
            <w:bottom w:w="15" w:type="dxa"/>
          </w:tblCellMar>
          <w:tblLook w:val="04A0" w:firstRow="1" w:lastRow="0" w:firstColumn="1" w:lastColumn="0" w:noHBand="0" w:noVBand="1"/>
        </w:tblPrEx>
        <w:trPr>
          <w:cantSplit/>
          <w:trHeight w:val="20"/>
        </w:trPr>
        <w:tc>
          <w:tcPr>
            <w:tcW w:w="1269" w:type="dxa"/>
            <w:tcBorders>
              <w:top w:val="single" w:sz="4" w:space="0" w:color="auto"/>
              <w:left w:val="single" w:sz="4" w:space="0" w:color="auto"/>
              <w:bottom w:val="single" w:sz="4" w:space="0" w:color="auto"/>
              <w:right w:val="single" w:sz="4" w:space="0" w:color="auto"/>
            </w:tcBorders>
            <w:vAlign w:val="center"/>
          </w:tcPr>
          <w:p w14:paraId="38D2797A" w14:textId="77777777" w:rsidR="008C3EF1" w:rsidRPr="00094B4E" w:rsidRDefault="008C3EF1" w:rsidP="00FB4E72">
            <w:pPr>
              <w:widowControl w:val="0"/>
              <w:jc w:val="center"/>
              <w:rPr>
                <w:rFonts w:ascii="Arial Narrow" w:hAnsi="Arial Narrow"/>
                <w:strike/>
                <w:sz w:val="20"/>
                <w:szCs w:val="20"/>
              </w:rPr>
            </w:pPr>
          </w:p>
        </w:tc>
        <w:tc>
          <w:tcPr>
            <w:tcW w:w="7945" w:type="dxa"/>
            <w:gridSpan w:val="6"/>
            <w:tcBorders>
              <w:top w:val="single" w:sz="4" w:space="0" w:color="auto"/>
              <w:left w:val="single" w:sz="4" w:space="0" w:color="auto"/>
              <w:bottom w:val="single" w:sz="4" w:space="0" w:color="auto"/>
              <w:right w:val="single" w:sz="4" w:space="0" w:color="auto"/>
            </w:tcBorders>
          </w:tcPr>
          <w:p w14:paraId="7D8B13A2" w14:textId="77777777" w:rsidR="008C3EF1" w:rsidRPr="00094B4E" w:rsidRDefault="008C3EF1" w:rsidP="00FB4E72">
            <w:pPr>
              <w:widowControl w:val="0"/>
              <w:rPr>
                <w:rFonts w:ascii="Arial Narrow" w:hAnsi="Arial Narrow"/>
                <w:strike/>
                <w:spacing w:val="-2"/>
                <w:sz w:val="20"/>
                <w:szCs w:val="20"/>
              </w:rPr>
            </w:pPr>
            <w:r w:rsidRPr="00094B4E">
              <w:rPr>
                <w:rFonts w:ascii="Arial Narrow" w:hAnsi="Arial Narrow"/>
                <w:b/>
                <w:bCs/>
                <w:sz w:val="20"/>
                <w:szCs w:val="20"/>
              </w:rPr>
              <w:t>Clinical</w:t>
            </w:r>
            <w:r w:rsidRPr="00094B4E">
              <w:rPr>
                <w:rFonts w:ascii="Arial Narrow" w:hAnsi="Arial Narrow"/>
                <w:b/>
                <w:bCs/>
                <w:spacing w:val="-4"/>
                <w:sz w:val="20"/>
                <w:szCs w:val="20"/>
              </w:rPr>
              <w:t xml:space="preserve"> </w:t>
            </w:r>
            <w:r w:rsidRPr="00094B4E">
              <w:rPr>
                <w:rFonts w:ascii="Arial Narrow" w:hAnsi="Arial Narrow"/>
                <w:b/>
                <w:bCs/>
                <w:spacing w:val="-2"/>
                <w:sz w:val="20"/>
                <w:szCs w:val="20"/>
              </w:rPr>
              <w:t>criteria:</w:t>
            </w:r>
          </w:p>
        </w:tc>
      </w:tr>
      <w:tr w:rsidR="008C3EF1" w:rsidRPr="00094B4E" w14:paraId="1D9295DF" w14:textId="77777777" w:rsidTr="00FB4E72">
        <w:tblPrEx>
          <w:tblCellMar>
            <w:top w:w="15" w:type="dxa"/>
            <w:bottom w:w="15" w:type="dxa"/>
          </w:tblCellMar>
          <w:tblLook w:val="04A0" w:firstRow="1" w:lastRow="0" w:firstColumn="1" w:lastColumn="0" w:noHBand="0" w:noVBand="1"/>
        </w:tblPrEx>
        <w:trPr>
          <w:cantSplit/>
          <w:trHeight w:val="20"/>
        </w:trPr>
        <w:tc>
          <w:tcPr>
            <w:tcW w:w="1269" w:type="dxa"/>
            <w:tcBorders>
              <w:top w:val="single" w:sz="4" w:space="0" w:color="auto"/>
              <w:left w:val="single" w:sz="4" w:space="0" w:color="auto"/>
              <w:bottom w:val="single" w:sz="4" w:space="0" w:color="auto"/>
              <w:right w:val="single" w:sz="4" w:space="0" w:color="auto"/>
            </w:tcBorders>
            <w:vAlign w:val="center"/>
          </w:tcPr>
          <w:p w14:paraId="6DCC9047" w14:textId="4F7FB9E4" w:rsidR="008C3EF1" w:rsidRPr="00E81BB6" w:rsidRDefault="008C3EF1" w:rsidP="00FB4E72">
            <w:pPr>
              <w:widowControl w:val="0"/>
              <w:jc w:val="center"/>
              <w:rPr>
                <w:rFonts w:ascii="Arial Narrow" w:hAnsi="Arial Narrow"/>
                <w:sz w:val="20"/>
                <w:szCs w:val="20"/>
              </w:rPr>
            </w:pPr>
          </w:p>
        </w:tc>
        <w:tc>
          <w:tcPr>
            <w:tcW w:w="7945" w:type="dxa"/>
            <w:gridSpan w:val="6"/>
            <w:tcBorders>
              <w:top w:val="single" w:sz="4" w:space="0" w:color="auto"/>
              <w:left w:val="single" w:sz="4" w:space="0" w:color="auto"/>
              <w:bottom w:val="single" w:sz="4" w:space="0" w:color="auto"/>
              <w:right w:val="single" w:sz="4" w:space="0" w:color="auto"/>
            </w:tcBorders>
          </w:tcPr>
          <w:p w14:paraId="5BC7DDBD" w14:textId="77777777" w:rsidR="008C3EF1" w:rsidRPr="00094B4E" w:rsidRDefault="008C3EF1" w:rsidP="00FB4E72">
            <w:pPr>
              <w:widowControl w:val="0"/>
              <w:rPr>
                <w:rFonts w:ascii="Arial Narrow" w:hAnsi="Arial Narrow"/>
                <w:strike/>
                <w:spacing w:val="-2"/>
                <w:sz w:val="20"/>
                <w:szCs w:val="20"/>
              </w:rPr>
            </w:pPr>
            <w:r w:rsidRPr="00094B4E">
              <w:rPr>
                <w:rFonts w:ascii="Arial Narrow" w:hAnsi="Arial Narrow"/>
                <w:spacing w:val="-2"/>
                <w:sz w:val="20"/>
                <w:szCs w:val="20"/>
              </w:rPr>
              <w:t>Patient must have a WHO performance status of 2 or less</w:t>
            </w:r>
          </w:p>
        </w:tc>
      </w:tr>
      <w:tr w:rsidR="008C3EF1" w:rsidRPr="00094B4E" w14:paraId="3F1CDEB2" w14:textId="77777777" w:rsidTr="00FB4E72">
        <w:tblPrEx>
          <w:tblCellMar>
            <w:top w:w="15" w:type="dxa"/>
            <w:bottom w:w="15" w:type="dxa"/>
          </w:tblCellMar>
          <w:tblLook w:val="04A0" w:firstRow="1" w:lastRow="0" w:firstColumn="1" w:lastColumn="0" w:noHBand="0" w:noVBand="1"/>
        </w:tblPrEx>
        <w:trPr>
          <w:cantSplit/>
          <w:trHeight w:val="20"/>
        </w:trPr>
        <w:tc>
          <w:tcPr>
            <w:tcW w:w="1269" w:type="dxa"/>
            <w:tcBorders>
              <w:top w:val="single" w:sz="4" w:space="0" w:color="auto"/>
              <w:left w:val="single" w:sz="4" w:space="0" w:color="auto"/>
              <w:bottom w:val="single" w:sz="4" w:space="0" w:color="auto"/>
              <w:right w:val="single" w:sz="4" w:space="0" w:color="auto"/>
            </w:tcBorders>
          </w:tcPr>
          <w:p w14:paraId="1B8C494E" w14:textId="77777777" w:rsidR="008C3EF1" w:rsidRPr="00094B4E" w:rsidRDefault="008C3EF1" w:rsidP="00FB4E72">
            <w:pPr>
              <w:widowControl w:val="0"/>
              <w:jc w:val="center"/>
              <w:rPr>
                <w:rFonts w:ascii="Arial Narrow" w:hAnsi="Arial Narrow"/>
                <w:strike/>
                <w:sz w:val="20"/>
                <w:szCs w:val="20"/>
              </w:rPr>
            </w:pPr>
          </w:p>
        </w:tc>
        <w:tc>
          <w:tcPr>
            <w:tcW w:w="7945" w:type="dxa"/>
            <w:gridSpan w:val="6"/>
            <w:tcBorders>
              <w:top w:val="single" w:sz="4" w:space="0" w:color="auto"/>
              <w:left w:val="single" w:sz="4" w:space="0" w:color="auto"/>
              <w:bottom w:val="single" w:sz="4" w:space="0" w:color="auto"/>
              <w:right w:val="single" w:sz="4" w:space="0" w:color="auto"/>
            </w:tcBorders>
          </w:tcPr>
          <w:p w14:paraId="6FE4FF23" w14:textId="77777777" w:rsidR="008C3EF1" w:rsidRPr="00094B4E" w:rsidRDefault="008C3EF1" w:rsidP="00FB4E72">
            <w:pPr>
              <w:pStyle w:val="TableParagraph"/>
              <w:kinsoku w:val="0"/>
              <w:overflowPunct w:val="0"/>
              <w:spacing w:line="201" w:lineRule="exact"/>
              <w:ind w:left="13"/>
              <w:rPr>
                <w:b/>
                <w:bCs/>
                <w:spacing w:val="-2"/>
                <w:sz w:val="20"/>
                <w:szCs w:val="20"/>
              </w:rPr>
            </w:pPr>
            <w:r w:rsidRPr="00094B4E">
              <w:rPr>
                <w:b/>
                <w:bCs/>
                <w:spacing w:val="-2"/>
                <w:sz w:val="20"/>
                <w:szCs w:val="20"/>
              </w:rPr>
              <w:t>AND</w:t>
            </w:r>
          </w:p>
        </w:tc>
      </w:tr>
      <w:tr w:rsidR="008C3EF1" w:rsidRPr="00094B4E" w14:paraId="4D1CC478" w14:textId="77777777" w:rsidTr="00FB4E72">
        <w:tblPrEx>
          <w:tblCellMar>
            <w:top w:w="15" w:type="dxa"/>
            <w:bottom w:w="15" w:type="dxa"/>
          </w:tblCellMar>
          <w:tblLook w:val="04A0" w:firstRow="1" w:lastRow="0" w:firstColumn="1" w:lastColumn="0" w:noHBand="0" w:noVBand="1"/>
        </w:tblPrEx>
        <w:trPr>
          <w:cantSplit/>
          <w:trHeight w:val="20"/>
        </w:trPr>
        <w:tc>
          <w:tcPr>
            <w:tcW w:w="1269" w:type="dxa"/>
            <w:tcBorders>
              <w:top w:val="single" w:sz="4" w:space="0" w:color="auto"/>
              <w:left w:val="single" w:sz="4" w:space="0" w:color="auto"/>
              <w:bottom w:val="single" w:sz="4" w:space="0" w:color="auto"/>
              <w:right w:val="single" w:sz="4" w:space="0" w:color="auto"/>
            </w:tcBorders>
          </w:tcPr>
          <w:p w14:paraId="51982B9A" w14:textId="77777777" w:rsidR="008C3EF1" w:rsidRPr="00094B4E" w:rsidRDefault="008C3EF1" w:rsidP="00FB4E72">
            <w:pPr>
              <w:widowControl w:val="0"/>
              <w:jc w:val="center"/>
              <w:rPr>
                <w:rFonts w:ascii="Arial Narrow" w:hAnsi="Arial Narrow"/>
                <w:strike/>
                <w:sz w:val="20"/>
                <w:szCs w:val="20"/>
              </w:rPr>
            </w:pPr>
          </w:p>
        </w:tc>
        <w:tc>
          <w:tcPr>
            <w:tcW w:w="7945" w:type="dxa"/>
            <w:gridSpan w:val="6"/>
            <w:tcBorders>
              <w:top w:val="single" w:sz="4" w:space="0" w:color="auto"/>
              <w:left w:val="single" w:sz="4" w:space="0" w:color="auto"/>
              <w:bottom w:val="single" w:sz="4" w:space="0" w:color="auto"/>
              <w:right w:val="single" w:sz="4" w:space="0" w:color="auto"/>
            </w:tcBorders>
          </w:tcPr>
          <w:p w14:paraId="55CDA416" w14:textId="77777777" w:rsidR="008C3EF1" w:rsidRPr="00094B4E" w:rsidRDefault="008C3EF1" w:rsidP="00FB4E72">
            <w:pPr>
              <w:pStyle w:val="TableParagraph"/>
              <w:kinsoku w:val="0"/>
              <w:overflowPunct w:val="0"/>
              <w:spacing w:line="201" w:lineRule="exact"/>
              <w:ind w:left="13"/>
              <w:rPr>
                <w:b/>
                <w:bCs/>
                <w:spacing w:val="-2"/>
                <w:sz w:val="20"/>
                <w:szCs w:val="20"/>
              </w:rPr>
            </w:pPr>
            <w:r w:rsidRPr="00094B4E">
              <w:rPr>
                <w:b/>
                <w:bCs/>
                <w:spacing w:val="-2"/>
                <w:sz w:val="20"/>
                <w:szCs w:val="20"/>
              </w:rPr>
              <w:t>Clinical criteria:</w:t>
            </w:r>
          </w:p>
        </w:tc>
      </w:tr>
      <w:tr w:rsidR="008C3EF1" w:rsidRPr="0017389B" w14:paraId="43CEC18E" w14:textId="77777777" w:rsidTr="00FB4E72">
        <w:tblPrEx>
          <w:tblCellMar>
            <w:top w:w="15" w:type="dxa"/>
            <w:bottom w:w="15" w:type="dxa"/>
          </w:tblCellMar>
          <w:tblLook w:val="04A0" w:firstRow="1" w:lastRow="0" w:firstColumn="1" w:lastColumn="0" w:noHBand="0" w:noVBand="1"/>
        </w:tblPrEx>
        <w:trPr>
          <w:cantSplit/>
          <w:trHeight w:val="20"/>
        </w:trPr>
        <w:tc>
          <w:tcPr>
            <w:tcW w:w="1269" w:type="dxa"/>
            <w:tcBorders>
              <w:top w:val="single" w:sz="4" w:space="0" w:color="auto"/>
              <w:left w:val="single" w:sz="4" w:space="0" w:color="auto"/>
              <w:bottom w:val="single" w:sz="4" w:space="0" w:color="auto"/>
              <w:right w:val="single" w:sz="4" w:space="0" w:color="auto"/>
            </w:tcBorders>
          </w:tcPr>
          <w:p w14:paraId="63AA1FAF" w14:textId="720B33D2" w:rsidR="008C3EF1" w:rsidRPr="0017389B" w:rsidRDefault="008C3EF1" w:rsidP="00FB4E72">
            <w:pPr>
              <w:widowControl w:val="0"/>
              <w:jc w:val="center"/>
              <w:rPr>
                <w:rFonts w:ascii="Arial Narrow" w:hAnsi="Arial Narrow"/>
                <w:sz w:val="20"/>
                <w:szCs w:val="20"/>
              </w:rPr>
            </w:pPr>
          </w:p>
        </w:tc>
        <w:tc>
          <w:tcPr>
            <w:tcW w:w="7945" w:type="dxa"/>
            <w:gridSpan w:val="6"/>
            <w:tcBorders>
              <w:top w:val="single" w:sz="4" w:space="0" w:color="auto"/>
              <w:left w:val="single" w:sz="4" w:space="0" w:color="auto"/>
              <w:bottom w:val="single" w:sz="4" w:space="0" w:color="auto"/>
              <w:right w:val="single" w:sz="4" w:space="0" w:color="auto"/>
            </w:tcBorders>
          </w:tcPr>
          <w:p w14:paraId="108E7297" w14:textId="5CA41843" w:rsidR="008C3EF1" w:rsidRPr="0017389B" w:rsidRDefault="008C3EF1" w:rsidP="00FB4E72">
            <w:pPr>
              <w:pStyle w:val="TableParagraph"/>
              <w:kinsoku w:val="0"/>
              <w:overflowPunct w:val="0"/>
              <w:spacing w:line="201" w:lineRule="exact"/>
              <w:ind w:left="13"/>
              <w:rPr>
                <w:spacing w:val="-2"/>
                <w:sz w:val="20"/>
                <w:szCs w:val="20"/>
              </w:rPr>
            </w:pPr>
            <w:r w:rsidRPr="0017389B">
              <w:rPr>
                <w:spacing w:val="-2"/>
                <w:sz w:val="20"/>
                <w:szCs w:val="20"/>
              </w:rPr>
              <w:t xml:space="preserve">Patient must not have previously </w:t>
            </w:r>
            <w:r w:rsidR="00825933" w:rsidRPr="0017389B">
              <w:rPr>
                <w:spacing w:val="-2"/>
                <w:sz w:val="20"/>
                <w:szCs w:val="20"/>
              </w:rPr>
              <w:t xml:space="preserve">received </w:t>
            </w:r>
            <w:r w:rsidRPr="0017389B">
              <w:rPr>
                <w:spacing w:val="-2"/>
                <w:sz w:val="20"/>
                <w:szCs w:val="20"/>
              </w:rPr>
              <w:t>treatment with a</w:t>
            </w:r>
            <w:r w:rsidR="00532E62" w:rsidRPr="0017389B">
              <w:rPr>
                <w:spacing w:val="-2"/>
                <w:sz w:val="20"/>
                <w:szCs w:val="20"/>
              </w:rPr>
              <w:t>nother</w:t>
            </w:r>
            <w:r w:rsidRPr="0017389B">
              <w:rPr>
                <w:spacing w:val="-2"/>
                <w:sz w:val="20"/>
                <w:szCs w:val="20"/>
              </w:rPr>
              <w:t xml:space="preserve"> B-cell maturation antigen (BCMA) directed </w:t>
            </w:r>
            <w:r w:rsidR="003162CD" w:rsidRPr="0017389B">
              <w:rPr>
                <w:spacing w:val="-2"/>
                <w:sz w:val="20"/>
                <w:szCs w:val="20"/>
              </w:rPr>
              <w:t xml:space="preserve">therapy </w:t>
            </w:r>
            <w:r w:rsidRPr="0017389B">
              <w:rPr>
                <w:spacing w:val="-2"/>
                <w:sz w:val="20"/>
                <w:szCs w:val="20"/>
              </w:rPr>
              <w:t>for this condition</w:t>
            </w:r>
            <w:r w:rsidR="00701A49" w:rsidRPr="0017389B">
              <w:rPr>
                <w:spacing w:val="-2"/>
                <w:sz w:val="20"/>
                <w:szCs w:val="20"/>
              </w:rPr>
              <w:t>.</w:t>
            </w:r>
          </w:p>
        </w:tc>
      </w:tr>
      <w:tr w:rsidR="00AA4203" w:rsidRPr="0017389B" w14:paraId="2C6CCACD" w14:textId="77777777" w:rsidTr="00167CD7">
        <w:tblPrEx>
          <w:tblCellMar>
            <w:top w:w="15" w:type="dxa"/>
            <w:bottom w:w="15" w:type="dxa"/>
          </w:tblCellMar>
          <w:tblLook w:val="04A0" w:firstRow="1" w:lastRow="0" w:firstColumn="1" w:lastColumn="0" w:noHBand="0" w:noVBand="1"/>
        </w:tblPrEx>
        <w:trPr>
          <w:cantSplit/>
          <w:trHeight w:val="55"/>
        </w:trPr>
        <w:tc>
          <w:tcPr>
            <w:tcW w:w="1269" w:type="dxa"/>
            <w:tcBorders>
              <w:top w:val="single" w:sz="4" w:space="0" w:color="auto"/>
              <w:left w:val="single" w:sz="4" w:space="0" w:color="auto"/>
              <w:bottom w:val="single" w:sz="4" w:space="0" w:color="auto"/>
              <w:right w:val="single" w:sz="4" w:space="0" w:color="auto"/>
            </w:tcBorders>
          </w:tcPr>
          <w:p w14:paraId="6C914C31" w14:textId="77777777" w:rsidR="00AA4203" w:rsidRPr="0017389B" w:rsidRDefault="00AA4203" w:rsidP="00FB4E72">
            <w:pPr>
              <w:widowControl w:val="0"/>
              <w:jc w:val="center"/>
              <w:rPr>
                <w:rFonts w:ascii="Arial Narrow" w:hAnsi="Arial Narrow"/>
                <w:strike/>
                <w:sz w:val="20"/>
                <w:szCs w:val="20"/>
              </w:rPr>
            </w:pPr>
          </w:p>
        </w:tc>
        <w:tc>
          <w:tcPr>
            <w:tcW w:w="7945" w:type="dxa"/>
            <w:gridSpan w:val="6"/>
            <w:tcBorders>
              <w:top w:val="single" w:sz="4" w:space="0" w:color="auto"/>
              <w:left w:val="single" w:sz="4" w:space="0" w:color="auto"/>
              <w:bottom w:val="single" w:sz="4" w:space="0" w:color="auto"/>
              <w:right w:val="single" w:sz="4" w:space="0" w:color="auto"/>
            </w:tcBorders>
          </w:tcPr>
          <w:p w14:paraId="1D24EB8A" w14:textId="3F238023" w:rsidR="00AA4203" w:rsidRPr="0017389B" w:rsidRDefault="00AA4203" w:rsidP="00FB4E72">
            <w:pPr>
              <w:pStyle w:val="TableParagraph"/>
              <w:kinsoku w:val="0"/>
              <w:overflowPunct w:val="0"/>
              <w:spacing w:line="201" w:lineRule="exact"/>
              <w:ind w:left="13"/>
              <w:rPr>
                <w:b/>
                <w:bCs/>
                <w:spacing w:val="-2"/>
                <w:sz w:val="20"/>
                <w:szCs w:val="20"/>
              </w:rPr>
            </w:pPr>
            <w:r w:rsidRPr="0017389B">
              <w:rPr>
                <w:b/>
                <w:bCs/>
                <w:spacing w:val="-2"/>
                <w:sz w:val="20"/>
                <w:szCs w:val="20"/>
              </w:rPr>
              <w:t>AND</w:t>
            </w:r>
          </w:p>
        </w:tc>
      </w:tr>
      <w:tr w:rsidR="00AA4203" w:rsidRPr="0017389B" w14:paraId="752540B7" w14:textId="77777777" w:rsidTr="00FB4E72">
        <w:tblPrEx>
          <w:tblCellMar>
            <w:top w:w="15" w:type="dxa"/>
            <w:bottom w:w="15" w:type="dxa"/>
          </w:tblCellMar>
          <w:tblLook w:val="04A0" w:firstRow="1" w:lastRow="0" w:firstColumn="1" w:lastColumn="0" w:noHBand="0" w:noVBand="1"/>
        </w:tblPrEx>
        <w:trPr>
          <w:cantSplit/>
          <w:trHeight w:val="20"/>
        </w:trPr>
        <w:tc>
          <w:tcPr>
            <w:tcW w:w="1269" w:type="dxa"/>
            <w:tcBorders>
              <w:top w:val="single" w:sz="4" w:space="0" w:color="auto"/>
              <w:left w:val="single" w:sz="4" w:space="0" w:color="auto"/>
              <w:bottom w:val="single" w:sz="4" w:space="0" w:color="auto"/>
              <w:right w:val="single" w:sz="4" w:space="0" w:color="auto"/>
            </w:tcBorders>
          </w:tcPr>
          <w:p w14:paraId="57FCDEE8" w14:textId="77777777" w:rsidR="00AA4203" w:rsidRPr="0017389B" w:rsidRDefault="00AA4203" w:rsidP="00FB4E72">
            <w:pPr>
              <w:widowControl w:val="0"/>
              <w:jc w:val="center"/>
              <w:rPr>
                <w:rFonts w:ascii="Arial Narrow" w:hAnsi="Arial Narrow"/>
                <w:strike/>
                <w:sz w:val="20"/>
                <w:szCs w:val="20"/>
              </w:rPr>
            </w:pPr>
          </w:p>
        </w:tc>
        <w:tc>
          <w:tcPr>
            <w:tcW w:w="7945" w:type="dxa"/>
            <w:gridSpan w:val="6"/>
            <w:tcBorders>
              <w:top w:val="single" w:sz="4" w:space="0" w:color="auto"/>
              <w:left w:val="single" w:sz="4" w:space="0" w:color="auto"/>
              <w:bottom w:val="single" w:sz="4" w:space="0" w:color="auto"/>
              <w:right w:val="single" w:sz="4" w:space="0" w:color="auto"/>
            </w:tcBorders>
          </w:tcPr>
          <w:p w14:paraId="1B004A0B" w14:textId="23A8B86D" w:rsidR="00AA4203" w:rsidRPr="0017389B" w:rsidRDefault="001A6F24" w:rsidP="00FB4E72">
            <w:pPr>
              <w:pStyle w:val="TableParagraph"/>
              <w:kinsoku w:val="0"/>
              <w:overflowPunct w:val="0"/>
              <w:spacing w:line="201" w:lineRule="exact"/>
              <w:ind w:left="13"/>
              <w:rPr>
                <w:b/>
                <w:bCs/>
                <w:spacing w:val="-2"/>
                <w:sz w:val="20"/>
                <w:szCs w:val="20"/>
              </w:rPr>
            </w:pPr>
            <w:r w:rsidRPr="0017389B">
              <w:rPr>
                <w:b/>
                <w:bCs/>
                <w:spacing w:val="-2"/>
                <w:sz w:val="20"/>
                <w:szCs w:val="20"/>
              </w:rPr>
              <w:t xml:space="preserve">Clinical </w:t>
            </w:r>
            <w:r w:rsidR="00AA4203" w:rsidRPr="0017389B">
              <w:rPr>
                <w:b/>
                <w:bCs/>
                <w:spacing w:val="-2"/>
                <w:sz w:val="20"/>
                <w:szCs w:val="20"/>
              </w:rPr>
              <w:t>criteria</w:t>
            </w:r>
            <w:r w:rsidR="006D6904" w:rsidRPr="0017389B">
              <w:rPr>
                <w:b/>
                <w:bCs/>
                <w:spacing w:val="-2"/>
                <w:sz w:val="20"/>
                <w:szCs w:val="20"/>
              </w:rPr>
              <w:t>:</w:t>
            </w:r>
          </w:p>
        </w:tc>
      </w:tr>
      <w:tr w:rsidR="00AA4203" w:rsidRPr="0017389B" w14:paraId="07036E2A" w14:textId="77777777" w:rsidTr="00F007E7">
        <w:tblPrEx>
          <w:tblCellMar>
            <w:top w:w="15" w:type="dxa"/>
            <w:bottom w:w="15" w:type="dxa"/>
          </w:tblCellMar>
          <w:tblLook w:val="04A0" w:firstRow="1" w:lastRow="0" w:firstColumn="1" w:lastColumn="0" w:noHBand="0" w:noVBand="1"/>
        </w:tblPrEx>
        <w:trPr>
          <w:cantSplit/>
          <w:trHeight w:val="47"/>
        </w:trPr>
        <w:tc>
          <w:tcPr>
            <w:tcW w:w="1269" w:type="dxa"/>
            <w:tcBorders>
              <w:top w:val="single" w:sz="4" w:space="0" w:color="auto"/>
              <w:left w:val="single" w:sz="4" w:space="0" w:color="auto"/>
              <w:bottom w:val="single" w:sz="4" w:space="0" w:color="auto"/>
              <w:right w:val="single" w:sz="4" w:space="0" w:color="auto"/>
            </w:tcBorders>
          </w:tcPr>
          <w:p w14:paraId="49DD881E" w14:textId="32CFF0E2" w:rsidR="00AA4203" w:rsidRPr="0017389B" w:rsidRDefault="00AA4203" w:rsidP="00FB4E72">
            <w:pPr>
              <w:widowControl w:val="0"/>
              <w:jc w:val="center"/>
              <w:rPr>
                <w:rFonts w:ascii="Arial Narrow" w:hAnsi="Arial Narrow"/>
                <w:sz w:val="20"/>
                <w:szCs w:val="20"/>
              </w:rPr>
            </w:pPr>
          </w:p>
        </w:tc>
        <w:tc>
          <w:tcPr>
            <w:tcW w:w="7945" w:type="dxa"/>
            <w:gridSpan w:val="6"/>
            <w:tcBorders>
              <w:top w:val="single" w:sz="4" w:space="0" w:color="auto"/>
              <w:left w:val="single" w:sz="4" w:space="0" w:color="auto"/>
              <w:bottom w:val="single" w:sz="4" w:space="0" w:color="auto"/>
              <w:right w:val="single" w:sz="4" w:space="0" w:color="auto"/>
            </w:tcBorders>
          </w:tcPr>
          <w:p w14:paraId="52BBBB0B" w14:textId="1F61581D" w:rsidR="00AA4203" w:rsidRPr="0017389B" w:rsidRDefault="006D6904" w:rsidP="00FB4E72">
            <w:pPr>
              <w:pStyle w:val="TableParagraph"/>
              <w:kinsoku w:val="0"/>
              <w:overflowPunct w:val="0"/>
              <w:spacing w:line="201" w:lineRule="exact"/>
              <w:ind w:left="13"/>
              <w:rPr>
                <w:spacing w:val="-2"/>
                <w:sz w:val="20"/>
                <w:szCs w:val="20"/>
              </w:rPr>
            </w:pPr>
            <w:r w:rsidRPr="0017389B">
              <w:rPr>
                <w:spacing w:val="-2"/>
                <w:sz w:val="20"/>
                <w:szCs w:val="20"/>
              </w:rPr>
              <w:t>T</w:t>
            </w:r>
            <w:r w:rsidR="00C9006C" w:rsidRPr="0017389B">
              <w:rPr>
                <w:spacing w:val="-2"/>
                <w:sz w:val="20"/>
                <w:szCs w:val="20"/>
              </w:rPr>
              <w:t>he t</w:t>
            </w:r>
            <w:r w:rsidRPr="0017389B">
              <w:rPr>
                <w:spacing w:val="-2"/>
                <w:sz w:val="20"/>
                <w:szCs w:val="20"/>
              </w:rPr>
              <w:t xml:space="preserve">reatment must be </w:t>
            </w:r>
            <w:r w:rsidR="00553CCD" w:rsidRPr="0017389B">
              <w:rPr>
                <w:spacing w:val="-2"/>
                <w:sz w:val="20"/>
                <w:szCs w:val="20"/>
              </w:rPr>
              <w:t xml:space="preserve">the sole </w:t>
            </w:r>
            <w:r w:rsidR="0077069E" w:rsidRPr="0017389B">
              <w:rPr>
                <w:spacing w:val="-2"/>
                <w:sz w:val="20"/>
                <w:szCs w:val="20"/>
              </w:rPr>
              <w:t xml:space="preserve">PBS-subsidised systemic anti-cancer therapy </w:t>
            </w:r>
            <w:r w:rsidR="00F97BC5" w:rsidRPr="0017389B">
              <w:rPr>
                <w:spacing w:val="-2"/>
                <w:sz w:val="20"/>
                <w:szCs w:val="20"/>
              </w:rPr>
              <w:t>for this condition</w:t>
            </w:r>
          </w:p>
        </w:tc>
      </w:tr>
      <w:tr w:rsidR="008C3EF1" w:rsidRPr="00094B4E" w14:paraId="34D611F6" w14:textId="77777777" w:rsidTr="00FB4E72">
        <w:tblPrEx>
          <w:tblCellMar>
            <w:top w:w="15" w:type="dxa"/>
            <w:bottom w:w="15" w:type="dxa"/>
          </w:tblCellMar>
          <w:tblLook w:val="04A0" w:firstRow="1" w:lastRow="0" w:firstColumn="1" w:lastColumn="0" w:noHBand="0" w:noVBand="1"/>
        </w:tblPrEx>
        <w:trPr>
          <w:cantSplit/>
          <w:trHeight w:val="20"/>
        </w:trPr>
        <w:tc>
          <w:tcPr>
            <w:tcW w:w="1269" w:type="dxa"/>
            <w:tcBorders>
              <w:top w:val="single" w:sz="4" w:space="0" w:color="auto"/>
              <w:left w:val="single" w:sz="4" w:space="0" w:color="auto"/>
              <w:bottom w:val="single" w:sz="4" w:space="0" w:color="auto"/>
              <w:right w:val="single" w:sz="4" w:space="0" w:color="auto"/>
            </w:tcBorders>
          </w:tcPr>
          <w:p w14:paraId="6DE42EFD" w14:textId="6E58CFA9" w:rsidR="008C3EF1" w:rsidRPr="004022F7" w:rsidRDefault="008C3EF1" w:rsidP="00FB4E72">
            <w:pPr>
              <w:widowControl w:val="0"/>
              <w:jc w:val="center"/>
              <w:rPr>
                <w:rFonts w:ascii="Arial Narrow" w:hAnsi="Arial Narrow"/>
                <w:sz w:val="20"/>
                <w:szCs w:val="20"/>
              </w:rPr>
            </w:pPr>
          </w:p>
        </w:tc>
        <w:tc>
          <w:tcPr>
            <w:tcW w:w="7945" w:type="dxa"/>
            <w:gridSpan w:val="6"/>
            <w:tcBorders>
              <w:top w:val="single" w:sz="4" w:space="0" w:color="auto"/>
              <w:left w:val="single" w:sz="4" w:space="0" w:color="auto"/>
              <w:bottom w:val="single" w:sz="4" w:space="0" w:color="auto"/>
              <w:right w:val="single" w:sz="4" w:space="0" w:color="auto"/>
            </w:tcBorders>
          </w:tcPr>
          <w:p w14:paraId="65EB87E9" w14:textId="77777777" w:rsidR="008C3EF1" w:rsidRPr="00094B4E" w:rsidRDefault="008C3EF1" w:rsidP="00FB4E72">
            <w:pPr>
              <w:pStyle w:val="TableParagraph"/>
              <w:kinsoku w:val="0"/>
              <w:overflowPunct w:val="0"/>
              <w:spacing w:line="201" w:lineRule="exact"/>
              <w:ind w:left="13"/>
              <w:rPr>
                <w:b/>
                <w:bCs/>
                <w:spacing w:val="-2"/>
                <w:sz w:val="20"/>
                <w:szCs w:val="20"/>
              </w:rPr>
            </w:pPr>
            <w:r w:rsidRPr="00094B4E">
              <w:rPr>
                <w:b/>
                <w:bCs/>
                <w:spacing w:val="-2"/>
                <w:sz w:val="20"/>
                <w:szCs w:val="20"/>
              </w:rPr>
              <w:t>Prescribing instruction:</w:t>
            </w:r>
          </w:p>
          <w:p w14:paraId="17C9D3FB" w14:textId="77777777" w:rsidR="008C3EF1" w:rsidRPr="00094B4E" w:rsidRDefault="008C3EF1" w:rsidP="00FB4E72">
            <w:pPr>
              <w:pStyle w:val="TableParagraph"/>
              <w:kinsoku w:val="0"/>
              <w:overflowPunct w:val="0"/>
              <w:spacing w:line="201" w:lineRule="exact"/>
              <w:rPr>
                <w:spacing w:val="-2"/>
                <w:sz w:val="20"/>
                <w:szCs w:val="20"/>
              </w:rPr>
            </w:pPr>
            <w:r w:rsidRPr="00094B4E">
              <w:rPr>
                <w:spacing w:val="-2"/>
                <w:sz w:val="20"/>
                <w:szCs w:val="20"/>
              </w:rPr>
              <w:t>According to the TGA-approved Product Information, hospitalisation is recommended at minimum for the first 2 doses (on Days 1 and 4) and for at least 48 hours after each administration is completed.</w:t>
            </w:r>
          </w:p>
        </w:tc>
      </w:tr>
      <w:tr w:rsidR="008C3EF1" w:rsidRPr="00094B4E" w14:paraId="11CFC931" w14:textId="77777777" w:rsidTr="00FB4E72">
        <w:tblPrEx>
          <w:tblCellMar>
            <w:top w:w="15" w:type="dxa"/>
            <w:bottom w:w="15" w:type="dxa"/>
          </w:tblCellMar>
          <w:tblLook w:val="04A0" w:firstRow="1" w:lastRow="0" w:firstColumn="1" w:lastColumn="0" w:noHBand="0" w:noVBand="1"/>
        </w:tblPrEx>
        <w:trPr>
          <w:cantSplit/>
          <w:trHeight w:val="20"/>
        </w:trPr>
        <w:tc>
          <w:tcPr>
            <w:tcW w:w="1269" w:type="dxa"/>
            <w:tcBorders>
              <w:top w:val="single" w:sz="4" w:space="0" w:color="auto"/>
              <w:left w:val="single" w:sz="4" w:space="0" w:color="auto"/>
              <w:bottom w:val="single" w:sz="4" w:space="0" w:color="auto"/>
              <w:right w:val="single" w:sz="4" w:space="0" w:color="auto"/>
            </w:tcBorders>
          </w:tcPr>
          <w:p w14:paraId="137BD2AD" w14:textId="6023841F" w:rsidR="008C3EF1" w:rsidRPr="004022F7" w:rsidRDefault="008C3EF1" w:rsidP="00FB4E72">
            <w:pPr>
              <w:widowControl w:val="0"/>
              <w:jc w:val="center"/>
              <w:rPr>
                <w:rFonts w:ascii="Arial Narrow" w:hAnsi="Arial Narrow"/>
                <w:sz w:val="20"/>
                <w:szCs w:val="20"/>
              </w:rPr>
            </w:pPr>
          </w:p>
        </w:tc>
        <w:tc>
          <w:tcPr>
            <w:tcW w:w="7945" w:type="dxa"/>
            <w:gridSpan w:val="6"/>
            <w:tcBorders>
              <w:top w:val="single" w:sz="4" w:space="0" w:color="auto"/>
              <w:left w:val="single" w:sz="4" w:space="0" w:color="auto"/>
              <w:bottom w:val="single" w:sz="4" w:space="0" w:color="auto"/>
              <w:right w:val="single" w:sz="4" w:space="0" w:color="auto"/>
            </w:tcBorders>
          </w:tcPr>
          <w:p w14:paraId="104DF531" w14:textId="77777777" w:rsidR="008C3EF1" w:rsidRPr="00094B4E" w:rsidRDefault="008C3EF1" w:rsidP="00FB4E72">
            <w:pPr>
              <w:pStyle w:val="TableParagraph"/>
              <w:kinsoku w:val="0"/>
              <w:overflowPunct w:val="0"/>
              <w:spacing w:line="201" w:lineRule="exact"/>
              <w:ind w:left="13"/>
              <w:rPr>
                <w:b/>
                <w:bCs/>
                <w:spacing w:val="-2"/>
                <w:sz w:val="20"/>
                <w:szCs w:val="20"/>
              </w:rPr>
            </w:pPr>
            <w:r w:rsidRPr="00094B4E">
              <w:rPr>
                <w:b/>
                <w:bCs/>
                <w:spacing w:val="-2"/>
                <w:sz w:val="20"/>
                <w:szCs w:val="20"/>
              </w:rPr>
              <w:t>Prescribing instruction:</w:t>
            </w:r>
          </w:p>
          <w:p w14:paraId="19C41113" w14:textId="77777777" w:rsidR="008C3EF1" w:rsidRPr="00094B4E" w:rsidRDefault="008C3EF1" w:rsidP="00FB4E72">
            <w:pPr>
              <w:pStyle w:val="TableParagraph"/>
              <w:kinsoku w:val="0"/>
              <w:overflowPunct w:val="0"/>
              <w:spacing w:line="201" w:lineRule="exact"/>
              <w:ind w:left="13"/>
              <w:rPr>
                <w:b/>
                <w:bCs/>
                <w:spacing w:val="-2"/>
                <w:sz w:val="20"/>
                <w:szCs w:val="20"/>
              </w:rPr>
            </w:pPr>
            <w:r w:rsidRPr="00094B4E">
              <w:rPr>
                <w:spacing w:val="-2"/>
                <w:sz w:val="20"/>
                <w:szCs w:val="20"/>
              </w:rPr>
              <w:t>Patients who require restarting therapy due to dose delays may access step-up dosing through this induction treatment restriction.</w:t>
            </w:r>
          </w:p>
        </w:tc>
      </w:tr>
      <w:tr w:rsidR="008C3EF1" w:rsidRPr="00094B4E" w14:paraId="29B230C0" w14:textId="77777777" w:rsidTr="00FB4E72">
        <w:tblPrEx>
          <w:tblCellMar>
            <w:top w:w="15" w:type="dxa"/>
            <w:bottom w:w="15" w:type="dxa"/>
          </w:tblCellMar>
          <w:tblLook w:val="04A0" w:firstRow="1" w:lastRow="0" w:firstColumn="1" w:lastColumn="0" w:noHBand="0" w:noVBand="1"/>
        </w:tblPrEx>
        <w:trPr>
          <w:cantSplit/>
          <w:trHeight w:val="20"/>
        </w:trPr>
        <w:tc>
          <w:tcPr>
            <w:tcW w:w="1269" w:type="dxa"/>
            <w:tcBorders>
              <w:top w:val="single" w:sz="4" w:space="0" w:color="auto"/>
              <w:left w:val="single" w:sz="4" w:space="0" w:color="auto"/>
              <w:bottom w:val="single" w:sz="4" w:space="0" w:color="auto"/>
              <w:right w:val="single" w:sz="4" w:space="0" w:color="auto"/>
            </w:tcBorders>
          </w:tcPr>
          <w:p w14:paraId="6B66149F" w14:textId="4D9091AC" w:rsidR="008C3EF1" w:rsidRPr="00094B4E" w:rsidRDefault="008C3EF1" w:rsidP="00FB4E72">
            <w:pPr>
              <w:widowControl w:val="0"/>
              <w:jc w:val="center"/>
              <w:rPr>
                <w:rFonts w:ascii="Arial Narrow" w:hAnsi="Arial Narrow"/>
                <w:strike/>
                <w:sz w:val="20"/>
                <w:szCs w:val="20"/>
              </w:rPr>
            </w:pPr>
          </w:p>
        </w:tc>
        <w:tc>
          <w:tcPr>
            <w:tcW w:w="7945" w:type="dxa"/>
            <w:gridSpan w:val="6"/>
            <w:tcBorders>
              <w:top w:val="single" w:sz="4" w:space="0" w:color="auto"/>
              <w:left w:val="single" w:sz="4" w:space="0" w:color="auto"/>
              <w:bottom w:val="single" w:sz="4" w:space="0" w:color="auto"/>
              <w:right w:val="single" w:sz="4" w:space="0" w:color="auto"/>
            </w:tcBorders>
          </w:tcPr>
          <w:p w14:paraId="4631FDF7" w14:textId="77777777" w:rsidR="008C3EF1" w:rsidRPr="00094B4E" w:rsidRDefault="008C3EF1" w:rsidP="00FB4E72">
            <w:pPr>
              <w:pStyle w:val="TableParagraph"/>
              <w:kinsoku w:val="0"/>
              <w:overflowPunct w:val="0"/>
              <w:spacing w:line="201" w:lineRule="exact"/>
              <w:ind w:left="13"/>
              <w:rPr>
                <w:b/>
                <w:bCs/>
                <w:spacing w:val="-2"/>
                <w:sz w:val="20"/>
                <w:szCs w:val="20"/>
              </w:rPr>
            </w:pPr>
            <w:r w:rsidRPr="00094B4E">
              <w:rPr>
                <w:b/>
                <w:bCs/>
                <w:spacing w:val="-2"/>
                <w:sz w:val="20"/>
                <w:szCs w:val="20"/>
              </w:rPr>
              <w:t>Prescribing instruction:</w:t>
            </w:r>
          </w:p>
          <w:p w14:paraId="06E8BD48" w14:textId="77777777" w:rsidR="008C3EF1" w:rsidRPr="00094B4E" w:rsidRDefault="008C3EF1" w:rsidP="00FB4E72">
            <w:pPr>
              <w:pStyle w:val="TableParagraph"/>
              <w:kinsoku w:val="0"/>
              <w:overflowPunct w:val="0"/>
              <w:spacing w:line="201" w:lineRule="exact"/>
              <w:ind w:left="13"/>
              <w:rPr>
                <w:b/>
                <w:bCs/>
                <w:spacing w:val="-2"/>
                <w:sz w:val="20"/>
                <w:szCs w:val="20"/>
              </w:rPr>
            </w:pPr>
            <w:r w:rsidRPr="00094B4E">
              <w:rPr>
                <w:spacing w:val="-2"/>
                <w:sz w:val="20"/>
                <w:szCs w:val="20"/>
              </w:rPr>
              <w:t>This drug is not PBS-subsidised if it is administered to an in-patient in a public hospital setting.</w:t>
            </w:r>
          </w:p>
        </w:tc>
      </w:tr>
      <w:tr w:rsidR="008C3EF1" w:rsidRPr="00094B4E" w14:paraId="381D2B66" w14:textId="77777777" w:rsidTr="00FB4E72">
        <w:tblPrEx>
          <w:tblCellMar>
            <w:top w:w="15" w:type="dxa"/>
            <w:bottom w:w="15" w:type="dxa"/>
          </w:tblCellMar>
          <w:tblLook w:val="04A0" w:firstRow="1" w:lastRow="0" w:firstColumn="1" w:lastColumn="0" w:noHBand="0" w:noVBand="1"/>
        </w:tblPrEx>
        <w:trPr>
          <w:cantSplit/>
          <w:trHeight w:val="6797"/>
        </w:trPr>
        <w:tc>
          <w:tcPr>
            <w:tcW w:w="1269" w:type="dxa"/>
            <w:tcBorders>
              <w:top w:val="single" w:sz="4" w:space="0" w:color="auto"/>
              <w:left w:val="single" w:sz="4" w:space="0" w:color="auto"/>
              <w:bottom w:val="single" w:sz="4" w:space="0" w:color="auto"/>
              <w:right w:val="single" w:sz="4" w:space="0" w:color="auto"/>
            </w:tcBorders>
            <w:vAlign w:val="center"/>
          </w:tcPr>
          <w:p w14:paraId="3404F511" w14:textId="3E31495A" w:rsidR="008C3EF1" w:rsidRPr="00094B4E" w:rsidRDefault="008C3EF1" w:rsidP="00FB4E72">
            <w:pPr>
              <w:widowControl w:val="0"/>
              <w:jc w:val="center"/>
              <w:rPr>
                <w:rFonts w:ascii="Arial Narrow" w:hAnsi="Arial Narrow"/>
                <w:sz w:val="20"/>
                <w:szCs w:val="20"/>
              </w:rPr>
            </w:pPr>
          </w:p>
        </w:tc>
        <w:tc>
          <w:tcPr>
            <w:tcW w:w="7945" w:type="dxa"/>
            <w:gridSpan w:val="6"/>
            <w:tcBorders>
              <w:top w:val="single" w:sz="4" w:space="0" w:color="auto"/>
              <w:left w:val="single" w:sz="4" w:space="0" w:color="auto"/>
              <w:bottom w:val="single" w:sz="4" w:space="0" w:color="auto"/>
              <w:right w:val="single" w:sz="4" w:space="0" w:color="auto"/>
            </w:tcBorders>
          </w:tcPr>
          <w:p w14:paraId="3D3A534F" w14:textId="77777777" w:rsidR="008C3EF1" w:rsidRPr="00094B4E" w:rsidRDefault="008C3EF1" w:rsidP="00FB4E72">
            <w:pPr>
              <w:pStyle w:val="TableParagraph"/>
              <w:kinsoku w:val="0"/>
              <w:overflowPunct w:val="0"/>
              <w:rPr>
                <w:b/>
                <w:bCs/>
                <w:spacing w:val="-2"/>
                <w:sz w:val="20"/>
                <w:szCs w:val="20"/>
              </w:rPr>
            </w:pPr>
            <w:r w:rsidRPr="00094B4E">
              <w:rPr>
                <w:b/>
                <w:bCs/>
                <w:spacing w:val="-2"/>
                <w:sz w:val="20"/>
                <w:szCs w:val="20"/>
              </w:rPr>
              <w:t xml:space="preserve">Prescriber Instructions: </w:t>
            </w:r>
          </w:p>
          <w:p w14:paraId="019AD824" w14:textId="77777777" w:rsidR="008C3EF1" w:rsidRPr="00094B4E" w:rsidRDefault="008C3EF1" w:rsidP="00FB4E72">
            <w:pPr>
              <w:pStyle w:val="TableParagraph"/>
              <w:kinsoku w:val="0"/>
              <w:overflowPunct w:val="0"/>
              <w:rPr>
                <w:spacing w:val="-2"/>
                <w:sz w:val="20"/>
                <w:szCs w:val="20"/>
              </w:rPr>
            </w:pPr>
            <w:r w:rsidRPr="00094B4E">
              <w:rPr>
                <w:spacing w:val="-2"/>
                <w:sz w:val="20"/>
                <w:szCs w:val="20"/>
              </w:rPr>
              <w:t>Progressive disease is defined as at least 1 of the following:</w:t>
            </w:r>
          </w:p>
          <w:p w14:paraId="2C6299C6" w14:textId="77777777" w:rsidR="008C3EF1" w:rsidRPr="00094B4E" w:rsidRDefault="008C3EF1" w:rsidP="00FB4E72">
            <w:pPr>
              <w:pStyle w:val="TableParagraph"/>
              <w:kinsoku w:val="0"/>
              <w:overflowPunct w:val="0"/>
              <w:rPr>
                <w:spacing w:val="-2"/>
                <w:sz w:val="20"/>
                <w:szCs w:val="20"/>
              </w:rPr>
            </w:pPr>
            <w:r w:rsidRPr="00094B4E">
              <w:rPr>
                <w:spacing w:val="-2"/>
                <w:sz w:val="20"/>
                <w:szCs w:val="20"/>
              </w:rPr>
              <w:t>(a) at least a 25% increase and an absolute increase of at least 5 g per L in serum M protein (monoclonal protein); or</w:t>
            </w:r>
          </w:p>
          <w:p w14:paraId="5DB1F95A" w14:textId="77777777" w:rsidR="008C3EF1" w:rsidRPr="00094B4E" w:rsidRDefault="008C3EF1" w:rsidP="00FB4E72">
            <w:pPr>
              <w:pStyle w:val="TableParagraph"/>
              <w:kinsoku w:val="0"/>
              <w:overflowPunct w:val="0"/>
              <w:rPr>
                <w:spacing w:val="-2"/>
                <w:sz w:val="20"/>
                <w:szCs w:val="20"/>
              </w:rPr>
            </w:pPr>
            <w:r w:rsidRPr="00094B4E">
              <w:rPr>
                <w:spacing w:val="-2"/>
                <w:sz w:val="20"/>
                <w:szCs w:val="20"/>
              </w:rPr>
              <w:t>(b) at least a 25% increase in 24-hour urinary light chain M protein excretion, and an absolute increase of at least 200 mg per 24 hours; or</w:t>
            </w:r>
          </w:p>
          <w:p w14:paraId="0FB7CE6C" w14:textId="77777777" w:rsidR="008C3EF1" w:rsidRPr="00094B4E" w:rsidRDefault="008C3EF1" w:rsidP="00FB4E72">
            <w:pPr>
              <w:pStyle w:val="TableParagraph"/>
              <w:kinsoku w:val="0"/>
              <w:overflowPunct w:val="0"/>
              <w:rPr>
                <w:spacing w:val="-2"/>
                <w:sz w:val="20"/>
                <w:szCs w:val="20"/>
              </w:rPr>
            </w:pPr>
            <w:r w:rsidRPr="00094B4E">
              <w:rPr>
                <w:spacing w:val="-2"/>
                <w:sz w:val="20"/>
                <w:szCs w:val="20"/>
              </w:rPr>
              <w:t>(c) in oligo-secretory and non-secretory myeloma patients only, at least a 50% increase in the difference between involved free light chain and uninvolved free light chain; or</w:t>
            </w:r>
          </w:p>
          <w:p w14:paraId="1976C36D" w14:textId="77777777" w:rsidR="008C3EF1" w:rsidRPr="00094B4E" w:rsidRDefault="008C3EF1" w:rsidP="00FB4E72">
            <w:pPr>
              <w:pStyle w:val="TableParagraph"/>
              <w:kinsoku w:val="0"/>
              <w:overflowPunct w:val="0"/>
              <w:rPr>
                <w:spacing w:val="-2"/>
                <w:sz w:val="20"/>
                <w:szCs w:val="20"/>
              </w:rPr>
            </w:pPr>
            <w:r w:rsidRPr="00094B4E">
              <w:rPr>
                <w:spacing w:val="-2"/>
                <w:sz w:val="20"/>
                <w:szCs w:val="20"/>
              </w:rPr>
              <w:t>(d) at least a 25% relative increase and at least a 10% absolute increase in plasma cells in a bone marrow aspirate or on biopsy; or</w:t>
            </w:r>
          </w:p>
          <w:p w14:paraId="7C33FD4B" w14:textId="77777777" w:rsidR="008C3EF1" w:rsidRPr="00094B4E" w:rsidRDefault="008C3EF1" w:rsidP="00FB4E72">
            <w:pPr>
              <w:pStyle w:val="TableParagraph"/>
              <w:kinsoku w:val="0"/>
              <w:overflowPunct w:val="0"/>
              <w:rPr>
                <w:spacing w:val="-2"/>
                <w:sz w:val="20"/>
                <w:szCs w:val="20"/>
              </w:rPr>
            </w:pPr>
            <w:r w:rsidRPr="00094B4E">
              <w:rPr>
                <w:spacing w:val="-2"/>
                <w:sz w:val="20"/>
                <w:szCs w:val="20"/>
              </w:rPr>
              <w:t>(e) an increase in the size or number of lytic bone lesions (not including compression fractures); or</w:t>
            </w:r>
          </w:p>
          <w:p w14:paraId="71891822" w14:textId="77777777" w:rsidR="008C3EF1" w:rsidRPr="00094B4E" w:rsidRDefault="008C3EF1" w:rsidP="00FB4E72">
            <w:pPr>
              <w:pStyle w:val="TableParagraph"/>
              <w:kinsoku w:val="0"/>
              <w:overflowPunct w:val="0"/>
              <w:rPr>
                <w:spacing w:val="-2"/>
                <w:sz w:val="20"/>
                <w:szCs w:val="20"/>
              </w:rPr>
            </w:pPr>
            <w:r w:rsidRPr="00094B4E">
              <w:rPr>
                <w:spacing w:val="-2"/>
                <w:sz w:val="20"/>
                <w:szCs w:val="20"/>
              </w:rPr>
              <w:t>(f) at least a 25% increase in the size of an existing or the development of a new soft tissue plasmacytoma (determined by clinical examination or diagnostic imaging); or</w:t>
            </w:r>
          </w:p>
          <w:p w14:paraId="336FD427" w14:textId="77777777" w:rsidR="008C3EF1" w:rsidRPr="00094B4E" w:rsidRDefault="008C3EF1" w:rsidP="00FB4E72">
            <w:pPr>
              <w:pStyle w:val="TableParagraph"/>
              <w:kinsoku w:val="0"/>
              <w:overflowPunct w:val="0"/>
              <w:rPr>
                <w:spacing w:val="-2"/>
                <w:sz w:val="20"/>
                <w:szCs w:val="20"/>
              </w:rPr>
            </w:pPr>
            <w:r w:rsidRPr="00094B4E">
              <w:rPr>
                <w:spacing w:val="-2"/>
                <w:sz w:val="20"/>
                <w:szCs w:val="20"/>
              </w:rPr>
              <w:t>(g) development of hypercalcaemia (corrected serum calcium greater than 2.65 mmol per L not attributable to any other cause).</w:t>
            </w:r>
          </w:p>
          <w:p w14:paraId="642AA320" w14:textId="77777777" w:rsidR="008C3EF1" w:rsidRPr="00094B4E" w:rsidRDefault="008C3EF1" w:rsidP="00FB4E72">
            <w:pPr>
              <w:pStyle w:val="TableParagraph"/>
              <w:kinsoku w:val="0"/>
              <w:overflowPunct w:val="0"/>
              <w:rPr>
                <w:spacing w:val="-2"/>
                <w:sz w:val="20"/>
                <w:szCs w:val="20"/>
              </w:rPr>
            </w:pPr>
          </w:p>
          <w:p w14:paraId="52C0DCFD" w14:textId="77777777" w:rsidR="008C3EF1" w:rsidRPr="00094B4E" w:rsidRDefault="008C3EF1" w:rsidP="00FB4E72">
            <w:pPr>
              <w:pStyle w:val="TableParagraph"/>
              <w:kinsoku w:val="0"/>
              <w:overflowPunct w:val="0"/>
              <w:rPr>
                <w:spacing w:val="-2"/>
                <w:sz w:val="20"/>
                <w:szCs w:val="20"/>
              </w:rPr>
            </w:pPr>
            <w:r w:rsidRPr="00094B4E">
              <w:rPr>
                <w:spacing w:val="-2"/>
                <w:sz w:val="20"/>
                <w:szCs w:val="20"/>
              </w:rPr>
              <w:t>Oligo-secretory and non-secretory patients are defined as having active disease with less than 10 g per L serum M protein.</w:t>
            </w:r>
          </w:p>
          <w:p w14:paraId="4BEAB1FF" w14:textId="77777777" w:rsidR="008C3EF1" w:rsidRPr="00094B4E" w:rsidRDefault="008C3EF1" w:rsidP="00FB4E72">
            <w:pPr>
              <w:pStyle w:val="TableParagraph"/>
              <w:kinsoku w:val="0"/>
              <w:overflowPunct w:val="0"/>
              <w:rPr>
                <w:spacing w:val="-2"/>
                <w:sz w:val="20"/>
                <w:szCs w:val="20"/>
              </w:rPr>
            </w:pPr>
            <w:r w:rsidRPr="00094B4E">
              <w:rPr>
                <w:spacing w:val="-2"/>
                <w:sz w:val="20"/>
                <w:szCs w:val="20"/>
              </w:rPr>
              <w:t xml:space="preserve">Details </w:t>
            </w:r>
            <w:proofErr w:type="gramStart"/>
            <w:r w:rsidRPr="00094B4E">
              <w:rPr>
                <w:spacing w:val="-2"/>
                <w:sz w:val="20"/>
                <w:szCs w:val="20"/>
              </w:rPr>
              <w:t>of:</w:t>
            </w:r>
            <w:proofErr w:type="gramEnd"/>
            <w:r w:rsidRPr="00094B4E">
              <w:rPr>
                <w:spacing w:val="-2"/>
                <w:sz w:val="20"/>
                <w:szCs w:val="20"/>
              </w:rPr>
              <w:t xml:space="preserve"> the histological diagnosis of multiple myeloma; prior treatments including name(s) of drug(s) and date of most recent treatment cycle; the basis of the diagnosis of progressive disease or failure to respond; and which disease activity parameters will be used to assess response, must be documented in the patient's medical records.</w:t>
            </w:r>
          </w:p>
          <w:p w14:paraId="05BB668C" w14:textId="77777777" w:rsidR="008C3EF1" w:rsidRPr="00094B4E" w:rsidRDefault="008C3EF1" w:rsidP="00FB4E72">
            <w:pPr>
              <w:pStyle w:val="TableParagraph"/>
              <w:kinsoku w:val="0"/>
              <w:overflowPunct w:val="0"/>
              <w:rPr>
                <w:spacing w:val="-2"/>
                <w:sz w:val="20"/>
                <w:szCs w:val="20"/>
              </w:rPr>
            </w:pPr>
          </w:p>
          <w:p w14:paraId="0159B359" w14:textId="77777777" w:rsidR="008C3EF1" w:rsidRPr="00094B4E" w:rsidRDefault="008C3EF1" w:rsidP="00FB4E72">
            <w:pPr>
              <w:pStyle w:val="TableParagraph"/>
              <w:kinsoku w:val="0"/>
              <w:overflowPunct w:val="0"/>
              <w:rPr>
                <w:spacing w:val="-2"/>
                <w:sz w:val="20"/>
                <w:szCs w:val="20"/>
              </w:rPr>
            </w:pPr>
            <w:r w:rsidRPr="00094B4E">
              <w:rPr>
                <w:spacing w:val="-2"/>
                <w:sz w:val="20"/>
                <w:szCs w:val="20"/>
              </w:rPr>
              <w:t>Confirmation of eligibility for treatment with current diagnostic reports of at least one of the following must be documented in the patient's medical records:</w:t>
            </w:r>
          </w:p>
          <w:p w14:paraId="6942106E" w14:textId="77777777" w:rsidR="008C3EF1" w:rsidRPr="00094B4E" w:rsidRDefault="008C3EF1" w:rsidP="00FB4E72">
            <w:pPr>
              <w:pStyle w:val="TableParagraph"/>
              <w:kinsoku w:val="0"/>
              <w:overflowPunct w:val="0"/>
              <w:rPr>
                <w:spacing w:val="-2"/>
                <w:sz w:val="20"/>
                <w:szCs w:val="20"/>
              </w:rPr>
            </w:pPr>
          </w:p>
          <w:p w14:paraId="267D4785" w14:textId="77777777" w:rsidR="008C3EF1" w:rsidRPr="00094B4E" w:rsidRDefault="008C3EF1" w:rsidP="00FB4E72">
            <w:pPr>
              <w:pStyle w:val="TableParagraph"/>
              <w:kinsoku w:val="0"/>
              <w:overflowPunct w:val="0"/>
              <w:rPr>
                <w:spacing w:val="-2"/>
                <w:sz w:val="20"/>
                <w:szCs w:val="20"/>
              </w:rPr>
            </w:pPr>
            <w:r w:rsidRPr="00094B4E">
              <w:rPr>
                <w:spacing w:val="-2"/>
                <w:sz w:val="20"/>
                <w:szCs w:val="20"/>
              </w:rPr>
              <w:t>(a) the level of serum monoclonal protein; or</w:t>
            </w:r>
          </w:p>
          <w:p w14:paraId="2F2D8C6A" w14:textId="77777777" w:rsidR="008C3EF1" w:rsidRPr="00094B4E" w:rsidRDefault="008C3EF1" w:rsidP="00FB4E72">
            <w:pPr>
              <w:pStyle w:val="TableParagraph"/>
              <w:kinsoku w:val="0"/>
              <w:overflowPunct w:val="0"/>
              <w:rPr>
                <w:spacing w:val="-2"/>
                <w:sz w:val="20"/>
                <w:szCs w:val="20"/>
              </w:rPr>
            </w:pPr>
            <w:r w:rsidRPr="00094B4E">
              <w:rPr>
                <w:spacing w:val="-2"/>
                <w:sz w:val="20"/>
                <w:szCs w:val="20"/>
              </w:rPr>
              <w:t>(b) Bence-Jones proteinuria - the results of 24-hour urinary light chain M protein excretion; or</w:t>
            </w:r>
          </w:p>
          <w:p w14:paraId="017082D9" w14:textId="77777777" w:rsidR="008C3EF1" w:rsidRPr="00094B4E" w:rsidRDefault="008C3EF1" w:rsidP="00FB4E72">
            <w:pPr>
              <w:pStyle w:val="TableParagraph"/>
              <w:kinsoku w:val="0"/>
              <w:overflowPunct w:val="0"/>
              <w:rPr>
                <w:spacing w:val="-2"/>
                <w:sz w:val="20"/>
                <w:szCs w:val="20"/>
              </w:rPr>
            </w:pPr>
            <w:r w:rsidRPr="00094B4E">
              <w:rPr>
                <w:spacing w:val="-2"/>
                <w:sz w:val="20"/>
                <w:szCs w:val="20"/>
              </w:rPr>
              <w:t>(c) the serum level of free kappa and lambda light chains; or</w:t>
            </w:r>
          </w:p>
          <w:p w14:paraId="5458651F" w14:textId="77777777" w:rsidR="008C3EF1" w:rsidRPr="00094B4E" w:rsidRDefault="008C3EF1" w:rsidP="00FB4E72">
            <w:pPr>
              <w:pStyle w:val="TableParagraph"/>
              <w:kinsoku w:val="0"/>
              <w:overflowPunct w:val="0"/>
              <w:rPr>
                <w:spacing w:val="-2"/>
                <w:sz w:val="20"/>
                <w:szCs w:val="20"/>
              </w:rPr>
            </w:pPr>
            <w:r w:rsidRPr="00094B4E">
              <w:rPr>
                <w:spacing w:val="-2"/>
                <w:sz w:val="20"/>
                <w:szCs w:val="20"/>
              </w:rPr>
              <w:t>(d) bone marrow aspirate or trephine; or</w:t>
            </w:r>
          </w:p>
          <w:p w14:paraId="5E2C2922" w14:textId="77777777" w:rsidR="008C3EF1" w:rsidRPr="00094B4E" w:rsidRDefault="008C3EF1" w:rsidP="00FB4E72">
            <w:pPr>
              <w:pStyle w:val="TableParagraph"/>
              <w:kinsoku w:val="0"/>
              <w:overflowPunct w:val="0"/>
              <w:rPr>
                <w:spacing w:val="-2"/>
                <w:sz w:val="20"/>
                <w:szCs w:val="20"/>
              </w:rPr>
            </w:pPr>
            <w:r w:rsidRPr="00094B4E">
              <w:rPr>
                <w:spacing w:val="-2"/>
                <w:sz w:val="20"/>
                <w:szCs w:val="20"/>
              </w:rPr>
              <w:t>(e) if present, the size and location of lytic bone lesions (not including compression fractures); or</w:t>
            </w:r>
          </w:p>
          <w:p w14:paraId="5F32DE9B" w14:textId="77777777" w:rsidR="008C3EF1" w:rsidRPr="00094B4E" w:rsidRDefault="008C3EF1" w:rsidP="00FB4E72">
            <w:pPr>
              <w:pStyle w:val="TableParagraph"/>
              <w:kinsoku w:val="0"/>
              <w:overflowPunct w:val="0"/>
              <w:rPr>
                <w:spacing w:val="-2"/>
                <w:sz w:val="20"/>
                <w:szCs w:val="20"/>
              </w:rPr>
            </w:pPr>
            <w:r w:rsidRPr="00094B4E">
              <w:rPr>
                <w:spacing w:val="-2"/>
                <w:sz w:val="20"/>
                <w:szCs w:val="20"/>
              </w:rPr>
              <w:t>(f) if present, the size and location of all soft tissue plasmacytomas by clinical or radiographic examination i.e. MRI or CT-scan; or</w:t>
            </w:r>
          </w:p>
          <w:p w14:paraId="3D92D7AB" w14:textId="77777777" w:rsidR="008C3EF1" w:rsidRPr="00094B4E" w:rsidRDefault="008C3EF1" w:rsidP="00FB4E72">
            <w:pPr>
              <w:pStyle w:val="TableParagraph"/>
              <w:kinsoku w:val="0"/>
              <w:overflowPunct w:val="0"/>
              <w:rPr>
                <w:spacing w:val="-2"/>
                <w:sz w:val="20"/>
                <w:szCs w:val="20"/>
              </w:rPr>
            </w:pPr>
            <w:r w:rsidRPr="00094B4E">
              <w:rPr>
                <w:spacing w:val="-2"/>
                <w:sz w:val="20"/>
                <w:szCs w:val="20"/>
              </w:rPr>
              <w:t>(g) if present, the level of hypercalcaemia, corrected for albumin concentration.</w:t>
            </w:r>
          </w:p>
          <w:p w14:paraId="4568A286" w14:textId="77777777" w:rsidR="008C3EF1" w:rsidRPr="00094B4E" w:rsidRDefault="008C3EF1" w:rsidP="00FB4E72">
            <w:pPr>
              <w:pStyle w:val="TableParagraph"/>
              <w:kinsoku w:val="0"/>
              <w:overflowPunct w:val="0"/>
              <w:rPr>
                <w:spacing w:val="-2"/>
                <w:sz w:val="20"/>
                <w:szCs w:val="20"/>
              </w:rPr>
            </w:pPr>
          </w:p>
          <w:p w14:paraId="5A2FBBA1" w14:textId="77777777" w:rsidR="008C3EF1" w:rsidRPr="00094B4E" w:rsidRDefault="008C3EF1" w:rsidP="00FB4E72">
            <w:pPr>
              <w:pStyle w:val="TableParagraph"/>
              <w:kinsoku w:val="0"/>
              <w:overflowPunct w:val="0"/>
              <w:rPr>
                <w:spacing w:val="-2"/>
                <w:sz w:val="20"/>
                <w:szCs w:val="20"/>
              </w:rPr>
            </w:pPr>
            <w:r w:rsidRPr="00094B4E">
              <w:rPr>
                <w:spacing w:val="-2"/>
                <w:sz w:val="20"/>
                <w:szCs w:val="20"/>
              </w:rPr>
              <w:t>As these parameters must be used to determine response, results for either (a) or (b) or (c) should be documented for all patients. Where the patient has oligo-secretory or non-secretory multiple myeloma, either (c) or (d) or if relevant (e), (f) or (g) must be documented in the patient's medical records. Where the prescriber plans to assess response in patients with oligo-secretory or non-secretory multiple myeloma with free light chain assays, evidence of the oligo-secretory or non-secretory nature of the multiple myeloma (current serum M protein less than 10 g per L) must be documented in the patient's medical records.</w:t>
            </w:r>
          </w:p>
          <w:p w14:paraId="743DFE3B" w14:textId="77777777" w:rsidR="008C3EF1" w:rsidRPr="00094B4E" w:rsidRDefault="008C3EF1" w:rsidP="00FB4E72">
            <w:pPr>
              <w:pStyle w:val="TableParagraph"/>
              <w:kinsoku w:val="0"/>
              <w:overflowPunct w:val="0"/>
              <w:rPr>
                <w:spacing w:val="-2"/>
                <w:sz w:val="20"/>
                <w:szCs w:val="20"/>
              </w:rPr>
            </w:pPr>
          </w:p>
          <w:p w14:paraId="094F091C" w14:textId="77777777" w:rsidR="008C3EF1" w:rsidRPr="00094B4E" w:rsidRDefault="008C3EF1" w:rsidP="00FB4E72">
            <w:pPr>
              <w:widowControl w:val="0"/>
              <w:jc w:val="left"/>
              <w:rPr>
                <w:rFonts w:ascii="Arial Narrow" w:hAnsi="Arial Narrow"/>
                <w:spacing w:val="-2"/>
                <w:sz w:val="20"/>
                <w:szCs w:val="20"/>
              </w:rPr>
            </w:pPr>
            <w:r w:rsidRPr="00094B4E">
              <w:rPr>
                <w:rFonts w:ascii="Arial Narrow" w:hAnsi="Arial Narrow"/>
                <w:spacing w:val="-2"/>
                <w:sz w:val="20"/>
                <w:szCs w:val="20"/>
              </w:rPr>
              <w:t>Refractory disease is defined as less than or equal to a 25% response to therapy, or progression during or within 60 days after completion of therapy</w:t>
            </w:r>
          </w:p>
        </w:tc>
      </w:tr>
      <w:tr w:rsidR="008C3EF1" w:rsidRPr="00094B4E" w14:paraId="47DDE2DF" w14:textId="77777777" w:rsidTr="00FB4E72">
        <w:tblPrEx>
          <w:tblCellMar>
            <w:top w:w="15" w:type="dxa"/>
            <w:bottom w:w="15" w:type="dxa"/>
          </w:tblCellMar>
          <w:tblLook w:val="04A0" w:firstRow="1" w:lastRow="0" w:firstColumn="1" w:lastColumn="0" w:noHBand="0" w:noVBand="1"/>
        </w:tblPrEx>
        <w:trPr>
          <w:cantSplit/>
          <w:trHeight w:val="62"/>
        </w:trPr>
        <w:tc>
          <w:tcPr>
            <w:tcW w:w="1269" w:type="dxa"/>
            <w:tcBorders>
              <w:top w:val="single" w:sz="4" w:space="0" w:color="auto"/>
              <w:left w:val="single" w:sz="4" w:space="0" w:color="auto"/>
              <w:bottom w:val="single" w:sz="4" w:space="0" w:color="auto"/>
              <w:right w:val="single" w:sz="4" w:space="0" w:color="auto"/>
            </w:tcBorders>
          </w:tcPr>
          <w:p w14:paraId="5216B2AF" w14:textId="03D7E1AF" w:rsidR="008C3EF1" w:rsidRPr="00094B4E" w:rsidRDefault="008C3EF1" w:rsidP="00FB4E72">
            <w:pPr>
              <w:widowControl w:val="0"/>
              <w:jc w:val="center"/>
              <w:rPr>
                <w:rFonts w:ascii="Arial Narrow" w:hAnsi="Arial Narrow"/>
                <w:sz w:val="20"/>
                <w:szCs w:val="20"/>
              </w:rPr>
            </w:pPr>
          </w:p>
        </w:tc>
        <w:tc>
          <w:tcPr>
            <w:tcW w:w="7945" w:type="dxa"/>
            <w:gridSpan w:val="6"/>
            <w:tcBorders>
              <w:top w:val="single" w:sz="4" w:space="0" w:color="auto"/>
              <w:left w:val="single" w:sz="4" w:space="0" w:color="auto"/>
              <w:bottom w:val="single" w:sz="4" w:space="0" w:color="auto"/>
              <w:right w:val="single" w:sz="4" w:space="0" w:color="auto"/>
            </w:tcBorders>
          </w:tcPr>
          <w:p w14:paraId="4BD1BA1E" w14:textId="77777777" w:rsidR="008C3EF1" w:rsidRPr="00094B4E" w:rsidRDefault="008C3EF1" w:rsidP="00FB4E72">
            <w:pPr>
              <w:pStyle w:val="TableParagraph"/>
              <w:kinsoku w:val="0"/>
              <w:overflowPunct w:val="0"/>
              <w:rPr>
                <w:b/>
                <w:bCs/>
                <w:spacing w:val="-2"/>
                <w:sz w:val="20"/>
                <w:szCs w:val="20"/>
              </w:rPr>
            </w:pPr>
            <w:r w:rsidRPr="00094B4E">
              <w:rPr>
                <w:rFonts w:eastAsia="Calibri" w:cs="Arial"/>
                <w:b/>
                <w:sz w:val="20"/>
                <w:szCs w:val="20"/>
              </w:rPr>
              <w:t>Administrative advice:</w:t>
            </w:r>
            <w:r w:rsidRPr="00094B4E">
              <w:rPr>
                <w:rFonts w:eastAsia="Calibri" w:cs="Arial"/>
                <w:bCs/>
                <w:sz w:val="20"/>
                <w:szCs w:val="20"/>
              </w:rPr>
              <w:t xml:space="preserve"> No increase in the maximum quantity or number of units may be authorised</w:t>
            </w:r>
          </w:p>
        </w:tc>
      </w:tr>
      <w:tr w:rsidR="008C3EF1" w:rsidRPr="00094B4E" w14:paraId="18609401" w14:textId="77777777" w:rsidTr="00FB4E72">
        <w:tblPrEx>
          <w:tblCellMar>
            <w:top w:w="15" w:type="dxa"/>
            <w:bottom w:w="15" w:type="dxa"/>
          </w:tblCellMar>
          <w:tblLook w:val="04A0" w:firstRow="1" w:lastRow="0" w:firstColumn="1" w:lastColumn="0" w:noHBand="0" w:noVBand="1"/>
        </w:tblPrEx>
        <w:trPr>
          <w:cantSplit/>
          <w:trHeight w:val="62"/>
        </w:trPr>
        <w:tc>
          <w:tcPr>
            <w:tcW w:w="1269" w:type="dxa"/>
            <w:tcBorders>
              <w:top w:val="single" w:sz="4" w:space="0" w:color="auto"/>
              <w:left w:val="single" w:sz="4" w:space="0" w:color="auto"/>
              <w:bottom w:val="single" w:sz="4" w:space="0" w:color="auto"/>
              <w:right w:val="single" w:sz="4" w:space="0" w:color="auto"/>
            </w:tcBorders>
          </w:tcPr>
          <w:p w14:paraId="265553EA" w14:textId="0BF99DD7" w:rsidR="008C3EF1" w:rsidRPr="00094B4E" w:rsidRDefault="008C3EF1" w:rsidP="00FB4E72">
            <w:pPr>
              <w:widowControl w:val="0"/>
              <w:jc w:val="center"/>
              <w:rPr>
                <w:rFonts w:ascii="Arial Narrow" w:hAnsi="Arial Narrow"/>
                <w:sz w:val="20"/>
                <w:szCs w:val="20"/>
              </w:rPr>
            </w:pPr>
          </w:p>
        </w:tc>
        <w:tc>
          <w:tcPr>
            <w:tcW w:w="7945" w:type="dxa"/>
            <w:gridSpan w:val="6"/>
            <w:tcBorders>
              <w:top w:val="single" w:sz="4" w:space="0" w:color="auto"/>
              <w:left w:val="single" w:sz="4" w:space="0" w:color="auto"/>
              <w:bottom w:val="single" w:sz="4" w:space="0" w:color="auto"/>
              <w:right w:val="single" w:sz="4" w:space="0" w:color="auto"/>
            </w:tcBorders>
          </w:tcPr>
          <w:p w14:paraId="3280F5C0" w14:textId="77777777" w:rsidR="008C3EF1" w:rsidRPr="00094B4E" w:rsidRDefault="008C3EF1" w:rsidP="00FB4E72">
            <w:pPr>
              <w:pStyle w:val="TableParagraph"/>
              <w:kinsoku w:val="0"/>
              <w:overflowPunct w:val="0"/>
              <w:rPr>
                <w:b/>
                <w:bCs/>
                <w:spacing w:val="-2"/>
                <w:sz w:val="20"/>
                <w:szCs w:val="20"/>
              </w:rPr>
            </w:pPr>
            <w:r w:rsidRPr="00094B4E">
              <w:rPr>
                <w:rFonts w:eastAsia="Calibri" w:cs="Arial"/>
                <w:b/>
                <w:sz w:val="20"/>
                <w:szCs w:val="20"/>
              </w:rPr>
              <w:t>Administrative advice:</w:t>
            </w:r>
            <w:r w:rsidRPr="00094B4E">
              <w:rPr>
                <w:rFonts w:eastAsia="Calibri" w:cs="Arial"/>
                <w:bCs/>
                <w:sz w:val="20"/>
                <w:szCs w:val="20"/>
              </w:rPr>
              <w:t xml:space="preserve"> No increase in the maximum number of repeats may be authorised</w:t>
            </w:r>
          </w:p>
        </w:tc>
      </w:tr>
      <w:tr w:rsidR="008C3EF1" w:rsidRPr="00094B4E" w14:paraId="13E6B47D" w14:textId="77777777" w:rsidTr="00FB4E72">
        <w:tblPrEx>
          <w:tblCellMar>
            <w:top w:w="15" w:type="dxa"/>
            <w:bottom w:w="15" w:type="dxa"/>
          </w:tblCellMar>
          <w:tblLook w:val="04A0" w:firstRow="1" w:lastRow="0" w:firstColumn="1" w:lastColumn="0" w:noHBand="0" w:noVBand="1"/>
        </w:tblPrEx>
        <w:trPr>
          <w:cantSplit/>
          <w:trHeight w:val="62"/>
        </w:trPr>
        <w:tc>
          <w:tcPr>
            <w:tcW w:w="1269" w:type="dxa"/>
            <w:tcBorders>
              <w:top w:val="single" w:sz="4" w:space="0" w:color="auto"/>
              <w:left w:val="single" w:sz="4" w:space="0" w:color="auto"/>
              <w:bottom w:val="single" w:sz="4" w:space="0" w:color="auto"/>
              <w:right w:val="single" w:sz="4" w:space="0" w:color="auto"/>
            </w:tcBorders>
          </w:tcPr>
          <w:p w14:paraId="4C1AA841" w14:textId="0228FB7B" w:rsidR="008C3EF1" w:rsidRPr="00094B4E" w:rsidRDefault="008C3EF1" w:rsidP="00FB4E72">
            <w:pPr>
              <w:widowControl w:val="0"/>
              <w:jc w:val="center"/>
              <w:rPr>
                <w:rFonts w:ascii="Arial Narrow" w:hAnsi="Arial Narrow"/>
                <w:sz w:val="20"/>
                <w:szCs w:val="20"/>
              </w:rPr>
            </w:pPr>
          </w:p>
        </w:tc>
        <w:tc>
          <w:tcPr>
            <w:tcW w:w="7945" w:type="dxa"/>
            <w:gridSpan w:val="6"/>
            <w:tcBorders>
              <w:top w:val="single" w:sz="4" w:space="0" w:color="auto"/>
              <w:left w:val="single" w:sz="4" w:space="0" w:color="auto"/>
              <w:bottom w:val="single" w:sz="4" w:space="0" w:color="auto"/>
              <w:right w:val="single" w:sz="4" w:space="0" w:color="auto"/>
            </w:tcBorders>
          </w:tcPr>
          <w:p w14:paraId="35B5A0CD" w14:textId="77777777" w:rsidR="008C3EF1" w:rsidRPr="00094B4E" w:rsidRDefault="008C3EF1" w:rsidP="00FB4E72">
            <w:pPr>
              <w:pStyle w:val="TableParagraph"/>
              <w:kinsoku w:val="0"/>
              <w:overflowPunct w:val="0"/>
              <w:rPr>
                <w:b/>
                <w:bCs/>
                <w:spacing w:val="-2"/>
                <w:sz w:val="20"/>
                <w:szCs w:val="20"/>
              </w:rPr>
            </w:pPr>
            <w:r w:rsidRPr="00094B4E">
              <w:rPr>
                <w:rFonts w:eastAsia="Calibri" w:cs="Arial"/>
                <w:b/>
                <w:sz w:val="20"/>
                <w:szCs w:val="20"/>
              </w:rPr>
              <w:t>Administrative advice:</w:t>
            </w:r>
            <w:r w:rsidRPr="00094B4E">
              <w:rPr>
                <w:rFonts w:eastAsia="Calibri" w:cs="Arial"/>
                <w:bCs/>
                <w:sz w:val="20"/>
                <w:szCs w:val="20"/>
              </w:rPr>
              <w:t xml:space="preserve"> Special pricing arrangements apply</w:t>
            </w:r>
          </w:p>
        </w:tc>
      </w:tr>
      <w:tr w:rsidR="008C3EF1" w:rsidRPr="00094B4E" w14:paraId="0C924D0C" w14:textId="77777777" w:rsidTr="00FB4E72">
        <w:tblPrEx>
          <w:tblCellMar>
            <w:top w:w="15" w:type="dxa"/>
            <w:bottom w:w="15" w:type="dxa"/>
          </w:tblCellMar>
          <w:tblLook w:val="04A0" w:firstRow="1" w:lastRow="0" w:firstColumn="1" w:lastColumn="0" w:noHBand="0" w:noVBand="1"/>
        </w:tblPrEx>
        <w:trPr>
          <w:cantSplit/>
          <w:trHeight w:val="62"/>
        </w:trPr>
        <w:tc>
          <w:tcPr>
            <w:tcW w:w="1269" w:type="dxa"/>
            <w:tcBorders>
              <w:top w:val="single" w:sz="4" w:space="0" w:color="auto"/>
              <w:left w:val="single" w:sz="4" w:space="0" w:color="auto"/>
              <w:bottom w:val="single" w:sz="4" w:space="0" w:color="auto"/>
              <w:right w:val="single" w:sz="4" w:space="0" w:color="auto"/>
            </w:tcBorders>
            <w:vAlign w:val="center"/>
          </w:tcPr>
          <w:p w14:paraId="14A6D4FD" w14:textId="79443DE6" w:rsidR="008C3EF1" w:rsidRPr="00094B4E" w:rsidRDefault="008C3EF1" w:rsidP="00FB4E72">
            <w:pPr>
              <w:widowControl w:val="0"/>
              <w:jc w:val="center"/>
              <w:rPr>
                <w:rFonts w:ascii="Arial Narrow" w:hAnsi="Arial Narrow"/>
                <w:sz w:val="20"/>
                <w:szCs w:val="20"/>
              </w:rPr>
            </w:pPr>
          </w:p>
        </w:tc>
        <w:tc>
          <w:tcPr>
            <w:tcW w:w="7945" w:type="dxa"/>
            <w:gridSpan w:val="6"/>
            <w:tcBorders>
              <w:top w:val="single" w:sz="4" w:space="0" w:color="auto"/>
              <w:left w:val="single" w:sz="4" w:space="0" w:color="auto"/>
              <w:bottom w:val="single" w:sz="4" w:space="0" w:color="auto"/>
              <w:right w:val="single" w:sz="4" w:space="0" w:color="auto"/>
            </w:tcBorders>
            <w:vAlign w:val="center"/>
          </w:tcPr>
          <w:p w14:paraId="5F459C84" w14:textId="77777777" w:rsidR="008C3EF1" w:rsidRPr="00094B4E" w:rsidRDefault="008C3EF1" w:rsidP="00FB4E72">
            <w:pPr>
              <w:pStyle w:val="TableParagraph"/>
              <w:kinsoku w:val="0"/>
              <w:overflowPunct w:val="0"/>
              <w:rPr>
                <w:b/>
                <w:bCs/>
                <w:spacing w:val="-2"/>
                <w:sz w:val="20"/>
                <w:szCs w:val="20"/>
              </w:rPr>
            </w:pPr>
            <w:r w:rsidRPr="00094B4E">
              <w:rPr>
                <w:rFonts w:eastAsia="Calibri" w:cs="Arial"/>
                <w:b/>
                <w:sz w:val="20"/>
                <w:szCs w:val="20"/>
              </w:rPr>
              <w:t>Administrative Advice:</w:t>
            </w:r>
            <w:r w:rsidRPr="00094B4E">
              <w:rPr>
                <w:rFonts w:eastAsia="Calibri" w:cs="Arial"/>
                <w:bCs/>
                <w:sz w:val="20"/>
                <w:szCs w:val="20"/>
              </w:rPr>
              <w:t xml:space="preserve"> Applications for authorisation under this restriction may be made in real time using the Online PBS Authorities system (see www.servicesaustralia.gov.au/HPOS) or by telephone by contacting Services Australia on 1800 888 333.</w:t>
            </w:r>
          </w:p>
        </w:tc>
      </w:tr>
    </w:tbl>
    <w:p w14:paraId="63A277B6" w14:textId="77777777" w:rsidR="008C3EF1" w:rsidRDefault="008C3EF1" w:rsidP="008C3EF1">
      <w:pPr>
        <w:widowControl w:val="0"/>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commended listing: add new item"/>
        <w:tblDescription w:val="Treatment phase: continuing treatment"/>
      </w:tblPr>
      <w:tblGrid>
        <w:gridCol w:w="6"/>
        <w:gridCol w:w="1268"/>
        <w:gridCol w:w="2412"/>
        <w:gridCol w:w="1066"/>
        <w:gridCol w:w="888"/>
        <w:gridCol w:w="1080"/>
        <w:gridCol w:w="960"/>
        <w:gridCol w:w="1534"/>
      </w:tblGrid>
      <w:tr w:rsidR="008C3EF1" w:rsidRPr="00075B73" w14:paraId="21E62680" w14:textId="77777777" w:rsidTr="00FB4E72">
        <w:trPr>
          <w:gridBefore w:val="1"/>
          <w:wBefore w:w="6" w:type="dxa"/>
          <w:cantSplit/>
          <w:trHeight w:val="20"/>
        </w:trPr>
        <w:tc>
          <w:tcPr>
            <w:tcW w:w="3680" w:type="dxa"/>
            <w:gridSpan w:val="2"/>
            <w:tcBorders>
              <w:top w:val="single" w:sz="4" w:space="0" w:color="auto"/>
              <w:left w:val="single" w:sz="4" w:space="0" w:color="auto"/>
              <w:bottom w:val="single" w:sz="4" w:space="0" w:color="auto"/>
              <w:right w:val="single" w:sz="4" w:space="0" w:color="auto"/>
            </w:tcBorders>
            <w:vAlign w:val="center"/>
          </w:tcPr>
          <w:p w14:paraId="6AD75D5A" w14:textId="77777777" w:rsidR="008C3EF1" w:rsidRPr="00075B73" w:rsidRDefault="008C3EF1" w:rsidP="00F007E7">
            <w:pPr>
              <w:keepNext/>
              <w:keepLines/>
              <w:widowControl w:val="0"/>
              <w:rPr>
                <w:rFonts w:ascii="Arial Narrow" w:hAnsi="Arial Narrow"/>
                <w:b/>
                <w:bCs/>
                <w:sz w:val="20"/>
                <w:szCs w:val="20"/>
              </w:rPr>
            </w:pPr>
            <w:r w:rsidRPr="00075B73">
              <w:rPr>
                <w:rFonts w:ascii="Arial Narrow" w:hAnsi="Arial Narrow"/>
                <w:b/>
                <w:bCs/>
                <w:sz w:val="20"/>
                <w:szCs w:val="20"/>
              </w:rPr>
              <w:lastRenderedPageBreak/>
              <w:t>MEDICINAL PRODUCT</w:t>
            </w:r>
          </w:p>
          <w:p w14:paraId="63253689" w14:textId="77777777" w:rsidR="008C3EF1" w:rsidRPr="00075B73" w:rsidRDefault="008C3EF1" w:rsidP="00F007E7">
            <w:pPr>
              <w:keepNext/>
              <w:keepLines/>
              <w:widowControl w:val="0"/>
              <w:rPr>
                <w:rFonts w:ascii="Arial Narrow" w:hAnsi="Arial Narrow"/>
                <w:b/>
                <w:sz w:val="20"/>
                <w:szCs w:val="20"/>
              </w:rPr>
            </w:pPr>
            <w:r w:rsidRPr="00075B73">
              <w:rPr>
                <w:rFonts w:ascii="Arial Narrow" w:hAnsi="Arial Narrow"/>
                <w:b/>
                <w:bCs/>
                <w:sz w:val="20"/>
                <w:szCs w:val="20"/>
              </w:rPr>
              <w:t>medicinal product pack</w:t>
            </w:r>
          </w:p>
        </w:tc>
        <w:tc>
          <w:tcPr>
            <w:tcW w:w="1066" w:type="dxa"/>
            <w:tcBorders>
              <w:top w:val="single" w:sz="4" w:space="0" w:color="auto"/>
              <w:left w:val="single" w:sz="4" w:space="0" w:color="auto"/>
              <w:bottom w:val="single" w:sz="4" w:space="0" w:color="auto"/>
              <w:right w:val="single" w:sz="4" w:space="0" w:color="auto"/>
            </w:tcBorders>
            <w:vAlign w:val="center"/>
          </w:tcPr>
          <w:p w14:paraId="25AA14E4" w14:textId="77777777" w:rsidR="008C3EF1" w:rsidRPr="00075B73" w:rsidRDefault="008C3EF1" w:rsidP="00F007E7">
            <w:pPr>
              <w:keepNext/>
              <w:keepLines/>
              <w:widowControl w:val="0"/>
              <w:jc w:val="center"/>
              <w:rPr>
                <w:rFonts w:ascii="Arial Narrow" w:hAnsi="Arial Narrow"/>
                <w:b/>
                <w:sz w:val="20"/>
                <w:szCs w:val="20"/>
              </w:rPr>
            </w:pPr>
            <w:r w:rsidRPr="00075B73">
              <w:rPr>
                <w:rFonts w:ascii="Arial Narrow" w:hAnsi="Arial Narrow"/>
                <w:b/>
                <w:sz w:val="20"/>
                <w:szCs w:val="20"/>
              </w:rPr>
              <w:t>PBS item code</w:t>
            </w:r>
          </w:p>
        </w:tc>
        <w:tc>
          <w:tcPr>
            <w:tcW w:w="888" w:type="dxa"/>
            <w:tcBorders>
              <w:top w:val="single" w:sz="4" w:space="0" w:color="auto"/>
              <w:left w:val="single" w:sz="4" w:space="0" w:color="auto"/>
              <w:bottom w:val="single" w:sz="4" w:space="0" w:color="auto"/>
              <w:right w:val="single" w:sz="4" w:space="0" w:color="auto"/>
            </w:tcBorders>
            <w:vAlign w:val="center"/>
          </w:tcPr>
          <w:p w14:paraId="08F0309E" w14:textId="77777777" w:rsidR="008C3EF1" w:rsidRPr="00075B73" w:rsidRDefault="008C3EF1" w:rsidP="00F007E7">
            <w:pPr>
              <w:keepNext/>
              <w:keepLines/>
              <w:widowControl w:val="0"/>
              <w:jc w:val="center"/>
              <w:rPr>
                <w:rFonts w:ascii="Arial Narrow" w:hAnsi="Arial Narrow"/>
                <w:b/>
                <w:sz w:val="20"/>
                <w:szCs w:val="20"/>
              </w:rPr>
            </w:pPr>
            <w:r w:rsidRPr="00075B73">
              <w:rPr>
                <w:rFonts w:ascii="Arial Narrow" w:hAnsi="Arial Narrow"/>
                <w:b/>
                <w:sz w:val="20"/>
                <w:szCs w:val="20"/>
              </w:rPr>
              <w:t>Max. qty packs</w:t>
            </w:r>
          </w:p>
        </w:tc>
        <w:tc>
          <w:tcPr>
            <w:tcW w:w="1080" w:type="dxa"/>
            <w:tcBorders>
              <w:top w:val="single" w:sz="4" w:space="0" w:color="auto"/>
              <w:left w:val="single" w:sz="4" w:space="0" w:color="auto"/>
              <w:bottom w:val="single" w:sz="4" w:space="0" w:color="auto"/>
              <w:right w:val="single" w:sz="4" w:space="0" w:color="auto"/>
            </w:tcBorders>
            <w:vAlign w:val="center"/>
          </w:tcPr>
          <w:p w14:paraId="0185E350" w14:textId="77777777" w:rsidR="008C3EF1" w:rsidRPr="00075B73" w:rsidRDefault="008C3EF1" w:rsidP="00F007E7">
            <w:pPr>
              <w:keepNext/>
              <w:keepLines/>
              <w:widowControl w:val="0"/>
              <w:jc w:val="center"/>
              <w:rPr>
                <w:rFonts w:ascii="Arial Narrow" w:hAnsi="Arial Narrow"/>
                <w:b/>
                <w:sz w:val="20"/>
                <w:szCs w:val="20"/>
              </w:rPr>
            </w:pPr>
            <w:r w:rsidRPr="00075B73">
              <w:rPr>
                <w:rFonts w:ascii="Arial Narrow" w:hAnsi="Arial Narrow"/>
                <w:b/>
                <w:sz w:val="20"/>
                <w:szCs w:val="20"/>
              </w:rPr>
              <w:t>Max. qty units</w:t>
            </w:r>
          </w:p>
        </w:tc>
        <w:tc>
          <w:tcPr>
            <w:tcW w:w="960" w:type="dxa"/>
            <w:tcBorders>
              <w:top w:val="single" w:sz="4" w:space="0" w:color="auto"/>
              <w:left w:val="single" w:sz="4" w:space="0" w:color="auto"/>
              <w:bottom w:val="single" w:sz="4" w:space="0" w:color="auto"/>
              <w:right w:val="single" w:sz="4" w:space="0" w:color="auto"/>
            </w:tcBorders>
            <w:vAlign w:val="center"/>
          </w:tcPr>
          <w:p w14:paraId="086E133D" w14:textId="77777777" w:rsidR="008C3EF1" w:rsidRPr="00075B73" w:rsidRDefault="008C3EF1" w:rsidP="00F007E7">
            <w:pPr>
              <w:keepNext/>
              <w:keepLines/>
              <w:widowControl w:val="0"/>
              <w:jc w:val="center"/>
              <w:rPr>
                <w:rFonts w:ascii="Arial Narrow" w:hAnsi="Arial Narrow"/>
                <w:b/>
                <w:sz w:val="20"/>
                <w:szCs w:val="20"/>
              </w:rPr>
            </w:pPr>
            <w:proofErr w:type="gramStart"/>
            <w:r w:rsidRPr="00075B73">
              <w:rPr>
                <w:rFonts w:ascii="Arial Narrow" w:hAnsi="Arial Narrow"/>
                <w:b/>
                <w:sz w:val="20"/>
                <w:szCs w:val="20"/>
              </w:rPr>
              <w:t>№.of</w:t>
            </w:r>
            <w:proofErr w:type="gramEnd"/>
          </w:p>
          <w:p w14:paraId="01E4ADDB" w14:textId="77777777" w:rsidR="008C3EF1" w:rsidRPr="00075B73" w:rsidRDefault="008C3EF1" w:rsidP="00F007E7">
            <w:pPr>
              <w:keepNext/>
              <w:keepLines/>
              <w:widowControl w:val="0"/>
              <w:jc w:val="center"/>
              <w:rPr>
                <w:rFonts w:ascii="Arial Narrow" w:hAnsi="Arial Narrow"/>
                <w:b/>
                <w:sz w:val="20"/>
                <w:szCs w:val="20"/>
              </w:rPr>
            </w:pPr>
            <w:proofErr w:type="spellStart"/>
            <w:r w:rsidRPr="00075B73">
              <w:rPr>
                <w:rFonts w:ascii="Arial Narrow" w:hAnsi="Arial Narrow"/>
                <w:b/>
                <w:sz w:val="20"/>
                <w:szCs w:val="20"/>
              </w:rPr>
              <w:t>Rpts</w:t>
            </w:r>
            <w:proofErr w:type="spellEnd"/>
          </w:p>
        </w:tc>
        <w:tc>
          <w:tcPr>
            <w:tcW w:w="1534" w:type="dxa"/>
            <w:tcBorders>
              <w:top w:val="single" w:sz="4" w:space="0" w:color="auto"/>
              <w:left w:val="single" w:sz="4" w:space="0" w:color="auto"/>
              <w:bottom w:val="single" w:sz="4" w:space="0" w:color="auto"/>
              <w:right w:val="single" w:sz="4" w:space="0" w:color="auto"/>
            </w:tcBorders>
            <w:vAlign w:val="center"/>
          </w:tcPr>
          <w:p w14:paraId="3CEE6D5C" w14:textId="77777777" w:rsidR="008C3EF1" w:rsidRPr="00075B73" w:rsidRDefault="008C3EF1" w:rsidP="00F007E7">
            <w:pPr>
              <w:keepNext/>
              <w:keepLines/>
              <w:widowControl w:val="0"/>
              <w:rPr>
                <w:rFonts w:ascii="Arial Narrow" w:hAnsi="Arial Narrow"/>
                <w:b/>
                <w:sz w:val="20"/>
                <w:szCs w:val="20"/>
                <w:lang w:val="fr-FR"/>
              </w:rPr>
            </w:pPr>
            <w:r w:rsidRPr="00075B73">
              <w:rPr>
                <w:rFonts w:ascii="Arial Narrow" w:hAnsi="Arial Narrow"/>
                <w:b/>
                <w:sz w:val="20"/>
                <w:szCs w:val="20"/>
              </w:rPr>
              <w:t>Available brands</w:t>
            </w:r>
          </w:p>
        </w:tc>
      </w:tr>
      <w:tr w:rsidR="008C3EF1" w:rsidRPr="00075B73" w14:paraId="139E339B" w14:textId="77777777" w:rsidTr="00FB4E72">
        <w:trPr>
          <w:gridBefore w:val="1"/>
          <w:wBefore w:w="6" w:type="dxa"/>
          <w:cantSplit/>
          <w:trHeight w:val="20"/>
        </w:trPr>
        <w:tc>
          <w:tcPr>
            <w:tcW w:w="9208" w:type="dxa"/>
            <w:gridSpan w:val="7"/>
            <w:tcBorders>
              <w:top w:val="single" w:sz="4" w:space="0" w:color="auto"/>
              <w:left w:val="single" w:sz="4" w:space="0" w:color="auto"/>
              <w:bottom w:val="single" w:sz="4" w:space="0" w:color="auto"/>
              <w:right w:val="single" w:sz="4" w:space="0" w:color="auto"/>
            </w:tcBorders>
            <w:vAlign w:val="center"/>
          </w:tcPr>
          <w:p w14:paraId="155FB48D" w14:textId="77777777" w:rsidR="008C3EF1" w:rsidRPr="00075B73" w:rsidRDefault="008C3EF1" w:rsidP="00F007E7">
            <w:pPr>
              <w:keepNext/>
              <w:keepLines/>
              <w:widowControl w:val="0"/>
              <w:rPr>
                <w:rFonts w:ascii="Arial Narrow" w:hAnsi="Arial Narrow"/>
                <w:sz w:val="20"/>
                <w:szCs w:val="20"/>
              </w:rPr>
            </w:pPr>
            <w:r w:rsidRPr="00075B73">
              <w:rPr>
                <w:rFonts w:ascii="Arial Narrow" w:hAnsi="Arial Narrow"/>
                <w:bCs/>
                <w:sz w:val="20"/>
                <w:szCs w:val="20"/>
              </w:rPr>
              <w:t>ELRANATAMAB</w:t>
            </w:r>
          </w:p>
        </w:tc>
      </w:tr>
      <w:tr w:rsidR="008C3EF1" w:rsidRPr="00075B73" w14:paraId="5DC02264" w14:textId="77777777" w:rsidTr="00FB4E72">
        <w:trPr>
          <w:gridBefore w:val="1"/>
          <w:wBefore w:w="6" w:type="dxa"/>
          <w:cantSplit/>
          <w:trHeight w:val="20"/>
        </w:trPr>
        <w:tc>
          <w:tcPr>
            <w:tcW w:w="3680" w:type="dxa"/>
            <w:gridSpan w:val="2"/>
            <w:tcBorders>
              <w:top w:val="single" w:sz="4" w:space="0" w:color="auto"/>
              <w:left w:val="single" w:sz="4" w:space="0" w:color="auto"/>
              <w:bottom w:val="single" w:sz="4" w:space="0" w:color="auto"/>
              <w:right w:val="single" w:sz="4" w:space="0" w:color="auto"/>
            </w:tcBorders>
            <w:vAlign w:val="center"/>
          </w:tcPr>
          <w:p w14:paraId="372E857F" w14:textId="77777777" w:rsidR="008C3EF1" w:rsidRPr="00075B73" w:rsidRDefault="008C3EF1" w:rsidP="00F007E7">
            <w:pPr>
              <w:keepNext/>
              <w:keepLines/>
              <w:widowControl w:val="0"/>
              <w:rPr>
                <w:rFonts w:ascii="Arial Narrow" w:hAnsi="Arial Narrow"/>
                <w:sz w:val="20"/>
                <w:szCs w:val="20"/>
              </w:rPr>
            </w:pPr>
            <w:r w:rsidRPr="00075B73">
              <w:rPr>
                <w:rFonts w:ascii="Arial Narrow" w:hAnsi="Arial Narrow"/>
                <w:sz w:val="20"/>
                <w:szCs w:val="20"/>
              </w:rPr>
              <w:t>elranatamab 76 mg/1.9 mL injection, 1.9 mL vial</w:t>
            </w:r>
          </w:p>
        </w:tc>
        <w:tc>
          <w:tcPr>
            <w:tcW w:w="1066" w:type="dxa"/>
            <w:tcBorders>
              <w:top w:val="single" w:sz="4" w:space="0" w:color="auto"/>
              <w:left w:val="single" w:sz="4" w:space="0" w:color="auto"/>
              <w:bottom w:val="single" w:sz="4" w:space="0" w:color="auto"/>
              <w:right w:val="single" w:sz="4" w:space="0" w:color="auto"/>
            </w:tcBorders>
            <w:vAlign w:val="center"/>
          </w:tcPr>
          <w:p w14:paraId="0EC417DB" w14:textId="77777777" w:rsidR="008C3EF1" w:rsidRPr="00075B73" w:rsidRDefault="008C3EF1" w:rsidP="00F007E7">
            <w:pPr>
              <w:keepNext/>
              <w:keepLines/>
              <w:widowControl w:val="0"/>
              <w:jc w:val="center"/>
              <w:rPr>
                <w:rFonts w:ascii="Arial Narrow" w:hAnsi="Arial Narrow"/>
                <w:sz w:val="20"/>
                <w:szCs w:val="20"/>
              </w:rPr>
            </w:pPr>
            <w:r w:rsidRPr="00075B73">
              <w:rPr>
                <w:rFonts w:ascii="Arial Narrow" w:hAnsi="Arial Narrow"/>
                <w:sz w:val="20"/>
                <w:szCs w:val="20"/>
              </w:rPr>
              <w:t>NEW (CT)</w:t>
            </w:r>
          </w:p>
        </w:tc>
        <w:tc>
          <w:tcPr>
            <w:tcW w:w="888" w:type="dxa"/>
            <w:tcBorders>
              <w:top w:val="single" w:sz="4" w:space="0" w:color="auto"/>
              <w:left w:val="single" w:sz="4" w:space="0" w:color="auto"/>
              <w:bottom w:val="single" w:sz="4" w:space="0" w:color="auto"/>
              <w:right w:val="single" w:sz="4" w:space="0" w:color="auto"/>
            </w:tcBorders>
            <w:vAlign w:val="center"/>
          </w:tcPr>
          <w:p w14:paraId="13D3E150" w14:textId="77777777" w:rsidR="008C3EF1" w:rsidRPr="00075B73" w:rsidRDefault="008C3EF1" w:rsidP="00F007E7">
            <w:pPr>
              <w:keepNext/>
              <w:keepLines/>
              <w:widowControl w:val="0"/>
              <w:jc w:val="center"/>
              <w:rPr>
                <w:rFonts w:ascii="Arial Narrow" w:hAnsi="Arial Narrow"/>
                <w:sz w:val="20"/>
                <w:szCs w:val="20"/>
              </w:rPr>
            </w:pPr>
            <w:r w:rsidRPr="00075B73">
              <w:rPr>
                <w:rFonts w:ascii="Arial Narrow" w:hAnsi="Arial Narrow"/>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tcPr>
          <w:p w14:paraId="427768BE" w14:textId="77777777" w:rsidR="008C3EF1" w:rsidRPr="00075B73" w:rsidRDefault="008C3EF1" w:rsidP="00F007E7">
            <w:pPr>
              <w:keepNext/>
              <w:keepLines/>
              <w:widowControl w:val="0"/>
              <w:jc w:val="center"/>
              <w:rPr>
                <w:rFonts w:ascii="Arial Narrow" w:hAnsi="Arial Narrow"/>
                <w:sz w:val="20"/>
                <w:szCs w:val="20"/>
              </w:rPr>
            </w:pPr>
            <w:r w:rsidRPr="00075B73">
              <w:rPr>
                <w:rFonts w:ascii="Arial Narrow" w:hAnsi="Arial Narrow"/>
                <w:sz w:val="20"/>
                <w:szCs w:val="20"/>
              </w:rPr>
              <w:t>1</w:t>
            </w:r>
          </w:p>
        </w:tc>
        <w:tc>
          <w:tcPr>
            <w:tcW w:w="960" w:type="dxa"/>
            <w:tcBorders>
              <w:top w:val="single" w:sz="4" w:space="0" w:color="auto"/>
              <w:left w:val="single" w:sz="4" w:space="0" w:color="auto"/>
              <w:bottom w:val="single" w:sz="4" w:space="0" w:color="auto"/>
              <w:right w:val="single" w:sz="4" w:space="0" w:color="auto"/>
            </w:tcBorders>
            <w:vAlign w:val="center"/>
          </w:tcPr>
          <w:p w14:paraId="79FA2114" w14:textId="77777777" w:rsidR="008C3EF1" w:rsidRPr="00075B73" w:rsidRDefault="008C3EF1" w:rsidP="00F007E7">
            <w:pPr>
              <w:keepNext/>
              <w:keepLines/>
              <w:widowControl w:val="0"/>
              <w:jc w:val="center"/>
              <w:rPr>
                <w:rFonts w:ascii="Arial Narrow" w:hAnsi="Arial Narrow"/>
                <w:sz w:val="20"/>
                <w:szCs w:val="20"/>
              </w:rPr>
            </w:pPr>
            <w:r w:rsidRPr="00075B73">
              <w:rPr>
                <w:rFonts w:ascii="Arial Narrow" w:hAnsi="Arial Narrow"/>
                <w:sz w:val="20"/>
                <w:szCs w:val="20"/>
              </w:rPr>
              <w:t>5</w:t>
            </w:r>
          </w:p>
        </w:tc>
        <w:tc>
          <w:tcPr>
            <w:tcW w:w="1534" w:type="dxa"/>
            <w:tcBorders>
              <w:top w:val="single" w:sz="4" w:space="0" w:color="auto"/>
              <w:left w:val="single" w:sz="4" w:space="0" w:color="auto"/>
              <w:bottom w:val="single" w:sz="4" w:space="0" w:color="auto"/>
              <w:right w:val="single" w:sz="4" w:space="0" w:color="auto"/>
            </w:tcBorders>
            <w:vAlign w:val="center"/>
          </w:tcPr>
          <w:p w14:paraId="0BD3F73A" w14:textId="77777777" w:rsidR="008C3EF1" w:rsidRPr="00075B73" w:rsidRDefault="008C3EF1" w:rsidP="00F007E7">
            <w:pPr>
              <w:keepNext/>
              <w:keepLines/>
              <w:widowControl w:val="0"/>
              <w:rPr>
                <w:rFonts w:ascii="Arial Narrow" w:hAnsi="Arial Narrow"/>
                <w:sz w:val="20"/>
                <w:szCs w:val="20"/>
              </w:rPr>
            </w:pPr>
            <w:r w:rsidRPr="00075B73">
              <w:rPr>
                <w:rFonts w:ascii="Arial Narrow" w:hAnsi="Arial Narrow"/>
                <w:sz w:val="20"/>
                <w:szCs w:val="20"/>
              </w:rPr>
              <w:t>Elrexfio</w:t>
            </w:r>
          </w:p>
        </w:tc>
      </w:tr>
      <w:tr w:rsidR="008C3EF1" w:rsidRPr="00075B73" w14:paraId="315B4373" w14:textId="77777777" w:rsidTr="00FB4E72">
        <w:trPr>
          <w:gridBefore w:val="1"/>
          <w:wBefore w:w="6" w:type="dxa"/>
          <w:cantSplit/>
          <w:trHeight w:val="20"/>
        </w:trPr>
        <w:tc>
          <w:tcPr>
            <w:tcW w:w="3680" w:type="dxa"/>
            <w:gridSpan w:val="2"/>
            <w:tcBorders>
              <w:top w:val="single" w:sz="4" w:space="0" w:color="auto"/>
              <w:left w:val="single" w:sz="4" w:space="0" w:color="auto"/>
              <w:bottom w:val="single" w:sz="4" w:space="0" w:color="auto"/>
              <w:right w:val="single" w:sz="4" w:space="0" w:color="auto"/>
            </w:tcBorders>
            <w:vAlign w:val="center"/>
          </w:tcPr>
          <w:p w14:paraId="2EF44A9E" w14:textId="77777777" w:rsidR="008C3EF1" w:rsidRPr="00075B73" w:rsidRDefault="008C3EF1" w:rsidP="00F007E7">
            <w:pPr>
              <w:keepNext/>
              <w:keepLines/>
              <w:widowControl w:val="0"/>
              <w:rPr>
                <w:rFonts w:ascii="Arial Narrow" w:hAnsi="Arial Narrow"/>
                <w:sz w:val="20"/>
                <w:szCs w:val="20"/>
              </w:rPr>
            </w:pPr>
            <w:r w:rsidRPr="00075B73">
              <w:rPr>
                <w:rFonts w:ascii="Arial Narrow" w:hAnsi="Arial Narrow"/>
                <w:sz w:val="20"/>
                <w:szCs w:val="20"/>
              </w:rPr>
              <w:t>elranatamab 76 mg/1.9 mL injection, 1.9 mL vial</w:t>
            </w:r>
          </w:p>
        </w:tc>
        <w:tc>
          <w:tcPr>
            <w:tcW w:w="1066" w:type="dxa"/>
            <w:tcBorders>
              <w:top w:val="single" w:sz="4" w:space="0" w:color="auto"/>
              <w:left w:val="single" w:sz="4" w:space="0" w:color="auto"/>
              <w:bottom w:val="single" w:sz="4" w:space="0" w:color="auto"/>
              <w:right w:val="single" w:sz="4" w:space="0" w:color="auto"/>
            </w:tcBorders>
            <w:vAlign w:val="center"/>
          </w:tcPr>
          <w:p w14:paraId="6CDF65A3" w14:textId="77777777" w:rsidR="008C3EF1" w:rsidRPr="00075B73" w:rsidRDefault="008C3EF1" w:rsidP="00F007E7">
            <w:pPr>
              <w:keepNext/>
              <w:keepLines/>
              <w:widowControl w:val="0"/>
              <w:jc w:val="center"/>
              <w:rPr>
                <w:rFonts w:ascii="Arial Narrow" w:hAnsi="Arial Narrow"/>
                <w:sz w:val="20"/>
                <w:szCs w:val="20"/>
              </w:rPr>
            </w:pPr>
            <w:r w:rsidRPr="00075B73">
              <w:rPr>
                <w:rFonts w:ascii="Arial Narrow" w:hAnsi="Arial Narrow"/>
                <w:sz w:val="20"/>
                <w:szCs w:val="20"/>
              </w:rPr>
              <w:t>NEW (GE)</w:t>
            </w:r>
          </w:p>
        </w:tc>
        <w:tc>
          <w:tcPr>
            <w:tcW w:w="888" w:type="dxa"/>
            <w:tcBorders>
              <w:top w:val="single" w:sz="4" w:space="0" w:color="auto"/>
              <w:left w:val="single" w:sz="4" w:space="0" w:color="auto"/>
              <w:bottom w:val="single" w:sz="4" w:space="0" w:color="auto"/>
              <w:right w:val="single" w:sz="4" w:space="0" w:color="auto"/>
            </w:tcBorders>
            <w:vAlign w:val="center"/>
          </w:tcPr>
          <w:p w14:paraId="514B210A" w14:textId="77777777" w:rsidR="008C3EF1" w:rsidRPr="00075B73" w:rsidRDefault="008C3EF1" w:rsidP="00F007E7">
            <w:pPr>
              <w:keepNext/>
              <w:keepLines/>
              <w:widowControl w:val="0"/>
              <w:jc w:val="center"/>
              <w:rPr>
                <w:rFonts w:ascii="Arial Narrow" w:hAnsi="Arial Narrow"/>
                <w:sz w:val="20"/>
                <w:szCs w:val="20"/>
              </w:rPr>
            </w:pPr>
            <w:r w:rsidRPr="00075B73">
              <w:rPr>
                <w:rFonts w:ascii="Arial Narrow" w:hAnsi="Arial Narrow"/>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tcPr>
          <w:p w14:paraId="4A3F5C2B" w14:textId="77777777" w:rsidR="008C3EF1" w:rsidRPr="00075B73" w:rsidRDefault="008C3EF1" w:rsidP="00F007E7">
            <w:pPr>
              <w:keepNext/>
              <w:keepLines/>
              <w:widowControl w:val="0"/>
              <w:jc w:val="center"/>
              <w:rPr>
                <w:rFonts w:ascii="Arial Narrow" w:hAnsi="Arial Narrow"/>
                <w:sz w:val="20"/>
                <w:szCs w:val="20"/>
              </w:rPr>
            </w:pPr>
            <w:r w:rsidRPr="00075B73">
              <w:rPr>
                <w:rFonts w:ascii="Arial Narrow" w:hAnsi="Arial Narrow"/>
                <w:sz w:val="20"/>
                <w:szCs w:val="20"/>
              </w:rPr>
              <w:t>1</w:t>
            </w:r>
          </w:p>
        </w:tc>
        <w:tc>
          <w:tcPr>
            <w:tcW w:w="960" w:type="dxa"/>
            <w:tcBorders>
              <w:top w:val="single" w:sz="4" w:space="0" w:color="auto"/>
              <w:left w:val="single" w:sz="4" w:space="0" w:color="auto"/>
              <w:bottom w:val="single" w:sz="4" w:space="0" w:color="auto"/>
              <w:right w:val="single" w:sz="4" w:space="0" w:color="auto"/>
            </w:tcBorders>
            <w:vAlign w:val="center"/>
          </w:tcPr>
          <w:p w14:paraId="7BBFA7CC" w14:textId="77777777" w:rsidR="008C3EF1" w:rsidRPr="00075B73" w:rsidRDefault="008C3EF1" w:rsidP="00F007E7">
            <w:pPr>
              <w:keepNext/>
              <w:keepLines/>
              <w:widowControl w:val="0"/>
              <w:jc w:val="center"/>
              <w:rPr>
                <w:rFonts w:ascii="Arial Narrow" w:hAnsi="Arial Narrow"/>
                <w:sz w:val="20"/>
                <w:szCs w:val="20"/>
              </w:rPr>
            </w:pPr>
            <w:r w:rsidRPr="00075B73">
              <w:rPr>
                <w:rFonts w:ascii="Arial Narrow" w:hAnsi="Arial Narrow"/>
                <w:sz w:val="20"/>
                <w:szCs w:val="20"/>
              </w:rPr>
              <w:t>5</w:t>
            </w:r>
          </w:p>
        </w:tc>
        <w:tc>
          <w:tcPr>
            <w:tcW w:w="1534" w:type="dxa"/>
            <w:tcBorders>
              <w:top w:val="single" w:sz="4" w:space="0" w:color="auto"/>
              <w:left w:val="single" w:sz="4" w:space="0" w:color="auto"/>
              <w:bottom w:val="single" w:sz="4" w:space="0" w:color="auto"/>
              <w:right w:val="single" w:sz="4" w:space="0" w:color="auto"/>
            </w:tcBorders>
            <w:vAlign w:val="center"/>
          </w:tcPr>
          <w:p w14:paraId="02953692" w14:textId="77777777" w:rsidR="008C3EF1" w:rsidRPr="00075B73" w:rsidRDefault="008C3EF1" w:rsidP="00F007E7">
            <w:pPr>
              <w:keepNext/>
              <w:keepLines/>
              <w:widowControl w:val="0"/>
              <w:rPr>
                <w:rFonts w:ascii="Arial Narrow" w:hAnsi="Arial Narrow"/>
                <w:sz w:val="20"/>
                <w:szCs w:val="20"/>
              </w:rPr>
            </w:pPr>
            <w:r w:rsidRPr="00075B73">
              <w:rPr>
                <w:rFonts w:ascii="Arial Narrow" w:hAnsi="Arial Narrow"/>
                <w:sz w:val="20"/>
                <w:szCs w:val="20"/>
              </w:rPr>
              <w:t>Elrexfio</w:t>
            </w:r>
          </w:p>
        </w:tc>
      </w:tr>
      <w:tr w:rsidR="008C3EF1" w:rsidRPr="00075B73" w14:paraId="09603CD0" w14:textId="77777777" w:rsidTr="00FB4E72">
        <w:tblPrEx>
          <w:tblCellMar>
            <w:top w:w="15" w:type="dxa"/>
            <w:bottom w:w="15" w:type="dxa"/>
          </w:tblCellMar>
          <w:tblLook w:val="04A0" w:firstRow="1" w:lastRow="0" w:firstColumn="1" w:lastColumn="0" w:noHBand="0" w:noVBand="1"/>
        </w:tblPrEx>
        <w:trPr>
          <w:cantSplit/>
          <w:trHeight w:val="20"/>
        </w:trPr>
        <w:tc>
          <w:tcPr>
            <w:tcW w:w="9214" w:type="dxa"/>
            <w:gridSpan w:val="8"/>
            <w:tcBorders>
              <w:top w:val="single" w:sz="4" w:space="0" w:color="auto"/>
              <w:left w:val="single" w:sz="4" w:space="0" w:color="auto"/>
              <w:bottom w:val="single" w:sz="4" w:space="0" w:color="auto"/>
              <w:right w:val="single" w:sz="4" w:space="0" w:color="auto"/>
            </w:tcBorders>
            <w:vAlign w:val="center"/>
          </w:tcPr>
          <w:p w14:paraId="15376667" w14:textId="295D2496" w:rsidR="008C3EF1" w:rsidRPr="00075B73" w:rsidRDefault="008C3EF1" w:rsidP="00F007E7">
            <w:pPr>
              <w:keepNext/>
              <w:keepLines/>
              <w:widowControl w:val="0"/>
              <w:rPr>
                <w:rFonts w:ascii="Arial Narrow" w:hAnsi="Arial Narrow"/>
                <w:b/>
                <w:bCs/>
                <w:sz w:val="20"/>
                <w:szCs w:val="20"/>
              </w:rPr>
            </w:pPr>
            <w:r w:rsidRPr="00075B73">
              <w:rPr>
                <w:rFonts w:ascii="Arial Narrow" w:hAnsi="Arial Narrow"/>
                <w:bCs/>
                <w:sz w:val="20"/>
                <w:szCs w:val="20"/>
              </w:rPr>
              <w:t xml:space="preserve">Restrictions Summary / Treatment of Concept: </w:t>
            </w:r>
          </w:p>
        </w:tc>
      </w:tr>
      <w:tr w:rsidR="008C3EF1" w:rsidRPr="00075B73" w14:paraId="4065E850" w14:textId="77777777" w:rsidTr="00FB4E72">
        <w:tblPrEx>
          <w:tblCellMar>
            <w:top w:w="15" w:type="dxa"/>
            <w:bottom w:w="15" w:type="dxa"/>
          </w:tblCellMar>
          <w:tblLook w:val="04A0" w:firstRow="1" w:lastRow="0" w:firstColumn="1" w:lastColumn="0" w:noHBand="0" w:noVBand="1"/>
        </w:tblPrEx>
        <w:trPr>
          <w:cantSplit/>
          <w:trHeight w:val="20"/>
        </w:trPr>
        <w:tc>
          <w:tcPr>
            <w:tcW w:w="1274" w:type="dxa"/>
            <w:gridSpan w:val="2"/>
            <w:vMerge w:val="restart"/>
            <w:tcBorders>
              <w:top w:val="single" w:sz="4" w:space="0" w:color="auto"/>
              <w:left w:val="single" w:sz="4" w:space="0" w:color="auto"/>
              <w:bottom w:val="single" w:sz="4" w:space="0" w:color="auto"/>
              <w:right w:val="single" w:sz="4" w:space="0" w:color="auto"/>
            </w:tcBorders>
            <w:vAlign w:val="center"/>
          </w:tcPr>
          <w:p w14:paraId="4C099E4D" w14:textId="77777777" w:rsidR="008C3EF1" w:rsidRPr="00075B73" w:rsidRDefault="008C3EF1" w:rsidP="00F007E7">
            <w:pPr>
              <w:keepNext/>
              <w:keepLines/>
              <w:widowControl w:val="0"/>
              <w:jc w:val="center"/>
              <w:rPr>
                <w:rFonts w:ascii="Arial Narrow" w:hAnsi="Arial Narrow"/>
                <w:sz w:val="20"/>
                <w:szCs w:val="20"/>
              </w:rPr>
            </w:pPr>
          </w:p>
        </w:tc>
        <w:tc>
          <w:tcPr>
            <w:tcW w:w="7940" w:type="dxa"/>
            <w:gridSpan w:val="6"/>
            <w:tcBorders>
              <w:top w:val="single" w:sz="4" w:space="0" w:color="auto"/>
              <w:left w:val="single" w:sz="4" w:space="0" w:color="auto"/>
              <w:bottom w:val="single" w:sz="4" w:space="0" w:color="auto"/>
              <w:right w:val="single" w:sz="4" w:space="0" w:color="auto"/>
            </w:tcBorders>
          </w:tcPr>
          <w:p w14:paraId="280AC64B" w14:textId="77777777" w:rsidR="008C3EF1" w:rsidRPr="00075B73" w:rsidRDefault="008C3EF1" w:rsidP="00F007E7">
            <w:pPr>
              <w:keepNext/>
              <w:keepLines/>
              <w:widowControl w:val="0"/>
              <w:rPr>
                <w:rFonts w:ascii="Arial Narrow" w:hAnsi="Arial Narrow"/>
                <w:bCs/>
                <w:sz w:val="20"/>
                <w:szCs w:val="20"/>
              </w:rPr>
            </w:pPr>
            <w:proofErr w:type="spellStart"/>
            <w:r w:rsidRPr="00075B73">
              <w:rPr>
                <w:rFonts w:ascii="Arial Narrow" w:hAnsi="Arial Narrow"/>
                <w:b/>
                <w:bCs/>
                <w:sz w:val="20"/>
                <w:szCs w:val="20"/>
              </w:rPr>
              <w:t>Episodicity</w:t>
            </w:r>
            <w:proofErr w:type="spellEnd"/>
            <w:r w:rsidRPr="00075B73">
              <w:rPr>
                <w:rFonts w:ascii="Arial Narrow" w:hAnsi="Arial Narrow"/>
                <w:b/>
                <w:bCs/>
                <w:sz w:val="20"/>
                <w:szCs w:val="20"/>
              </w:rPr>
              <w:t xml:space="preserve">: </w:t>
            </w:r>
            <w:r w:rsidRPr="00075B73">
              <w:rPr>
                <w:rFonts w:ascii="Arial Narrow" w:hAnsi="Arial Narrow"/>
                <w:sz w:val="20"/>
                <w:szCs w:val="20"/>
              </w:rPr>
              <w:t>[Blank]</w:t>
            </w:r>
          </w:p>
        </w:tc>
      </w:tr>
      <w:tr w:rsidR="008C3EF1" w:rsidRPr="00075B73" w14:paraId="12CE372C" w14:textId="77777777" w:rsidTr="00FB4E72">
        <w:tblPrEx>
          <w:tblCellMar>
            <w:top w:w="15" w:type="dxa"/>
            <w:bottom w:w="15" w:type="dxa"/>
          </w:tblCellMar>
          <w:tblLook w:val="04A0" w:firstRow="1" w:lastRow="0" w:firstColumn="1" w:lastColumn="0" w:noHBand="0" w:noVBand="1"/>
        </w:tblPrEx>
        <w:trPr>
          <w:cantSplit/>
          <w:trHeight w:val="20"/>
        </w:trPr>
        <w:tc>
          <w:tcPr>
            <w:tcW w:w="1274" w:type="dxa"/>
            <w:gridSpan w:val="2"/>
            <w:vMerge/>
            <w:vAlign w:val="center"/>
          </w:tcPr>
          <w:p w14:paraId="208E2054" w14:textId="77777777" w:rsidR="008C3EF1" w:rsidRPr="00075B73" w:rsidRDefault="008C3EF1" w:rsidP="00FB4E72">
            <w:pPr>
              <w:widowControl w:val="0"/>
              <w:jc w:val="center"/>
              <w:rPr>
                <w:rFonts w:ascii="Arial Narrow" w:hAnsi="Arial Narrow"/>
                <w:sz w:val="20"/>
                <w:szCs w:val="20"/>
              </w:rPr>
            </w:pPr>
          </w:p>
        </w:tc>
        <w:tc>
          <w:tcPr>
            <w:tcW w:w="7940" w:type="dxa"/>
            <w:gridSpan w:val="6"/>
            <w:tcBorders>
              <w:top w:val="single" w:sz="4" w:space="0" w:color="auto"/>
              <w:left w:val="single" w:sz="4" w:space="0" w:color="auto"/>
              <w:bottom w:val="single" w:sz="4" w:space="0" w:color="auto"/>
              <w:right w:val="single" w:sz="4" w:space="0" w:color="auto"/>
            </w:tcBorders>
          </w:tcPr>
          <w:p w14:paraId="077AF323" w14:textId="77777777" w:rsidR="008C3EF1" w:rsidRPr="00075B73" w:rsidRDefault="008C3EF1" w:rsidP="00FB4E72">
            <w:pPr>
              <w:widowControl w:val="0"/>
              <w:rPr>
                <w:rFonts w:ascii="Arial Narrow" w:hAnsi="Arial Narrow"/>
                <w:b/>
                <w:bCs/>
                <w:sz w:val="20"/>
                <w:szCs w:val="20"/>
              </w:rPr>
            </w:pPr>
            <w:r w:rsidRPr="00075B73">
              <w:rPr>
                <w:rFonts w:ascii="Arial Narrow" w:hAnsi="Arial Narrow"/>
                <w:b/>
                <w:sz w:val="20"/>
                <w:szCs w:val="20"/>
              </w:rPr>
              <w:t>Severity:</w:t>
            </w:r>
            <w:r w:rsidRPr="00075B73">
              <w:rPr>
                <w:rFonts w:ascii="Arial Narrow" w:hAnsi="Arial Narrow"/>
                <w:sz w:val="20"/>
                <w:szCs w:val="20"/>
              </w:rPr>
              <w:t xml:space="preserve"> Relapsed or refractory</w:t>
            </w:r>
          </w:p>
        </w:tc>
      </w:tr>
      <w:tr w:rsidR="008C3EF1" w:rsidRPr="00075B73" w14:paraId="67392C15" w14:textId="77777777" w:rsidTr="00FB4E72">
        <w:tblPrEx>
          <w:tblCellMar>
            <w:top w:w="15" w:type="dxa"/>
            <w:bottom w:w="15" w:type="dxa"/>
          </w:tblCellMar>
          <w:tblLook w:val="04A0" w:firstRow="1" w:lastRow="0" w:firstColumn="1" w:lastColumn="0" w:noHBand="0" w:noVBand="1"/>
        </w:tblPrEx>
        <w:trPr>
          <w:cantSplit/>
          <w:trHeight w:val="20"/>
        </w:trPr>
        <w:tc>
          <w:tcPr>
            <w:tcW w:w="1274" w:type="dxa"/>
            <w:gridSpan w:val="2"/>
            <w:vMerge/>
            <w:vAlign w:val="center"/>
          </w:tcPr>
          <w:p w14:paraId="0C2741F8" w14:textId="77777777" w:rsidR="008C3EF1" w:rsidRPr="00075B73" w:rsidRDefault="008C3EF1" w:rsidP="00FB4E72">
            <w:pPr>
              <w:widowControl w:val="0"/>
              <w:jc w:val="center"/>
              <w:rPr>
                <w:rFonts w:ascii="Arial Narrow" w:hAnsi="Arial Narrow"/>
                <w:sz w:val="20"/>
                <w:szCs w:val="20"/>
              </w:rPr>
            </w:pPr>
          </w:p>
        </w:tc>
        <w:tc>
          <w:tcPr>
            <w:tcW w:w="7940" w:type="dxa"/>
            <w:gridSpan w:val="6"/>
            <w:tcBorders>
              <w:top w:val="single" w:sz="4" w:space="0" w:color="auto"/>
              <w:left w:val="single" w:sz="4" w:space="0" w:color="auto"/>
              <w:bottom w:val="single" w:sz="4" w:space="0" w:color="auto"/>
              <w:right w:val="single" w:sz="4" w:space="0" w:color="auto"/>
            </w:tcBorders>
          </w:tcPr>
          <w:p w14:paraId="591A764C" w14:textId="77777777" w:rsidR="008C3EF1" w:rsidRPr="00075B73" w:rsidRDefault="008C3EF1" w:rsidP="00FB4E72">
            <w:pPr>
              <w:widowControl w:val="0"/>
              <w:rPr>
                <w:rFonts w:ascii="Arial Narrow" w:hAnsi="Arial Narrow"/>
                <w:b/>
                <w:bCs/>
                <w:sz w:val="20"/>
                <w:szCs w:val="20"/>
              </w:rPr>
            </w:pPr>
            <w:r w:rsidRPr="00075B73">
              <w:rPr>
                <w:rFonts w:ascii="Arial Narrow" w:hAnsi="Arial Narrow"/>
                <w:b/>
                <w:sz w:val="20"/>
                <w:szCs w:val="20"/>
              </w:rPr>
              <w:t>Condition:</w:t>
            </w:r>
            <w:r w:rsidRPr="00075B73">
              <w:rPr>
                <w:rFonts w:ascii="Arial Narrow" w:hAnsi="Arial Narrow"/>
                <w:sz w:val="20"/>
                <w:szCs w:val="20"/>
              </w:rPr>
              <w:t xml:space="preserve"> Multiple myeloma</w:t>
            </w:r>
          </w:p>
        </w:tc>
      </w:tr>
      <w:tr w:rsidR="008C3EF1" w:rsidRPr="00075B73" w14:paraId="57B329DC" w14:textId="77777777" w:rsidTr="00E57D32">
        <w:tblPrEx>
          <w:tblCellMar>
            <w:top w:w="15" w:type="dxa"/>
            <w:bottom w:w="15" w:type="dxa"/>
          </w:tblCellMar>
          <w:tblLook w:val="04A0" w:firstRow="1" w:lastRow="0" w:firstColumn="1" w:lastColumn="0" w:noHBand="0" w:noVBand="1"/>
        </w:tblPrEx>
        <w:trPr>
          <w:cantSplit/>
          <w:trHeight w:val="20"/>
        </w:trPr>
        <w:tc>
          <w:tcPr>
            <w:tcW w:w="1274" w:type="dxa"/>
            <w:gridSpan w:val="2"/>
            <w:tcBorders>
              <w:top w:val="single" w:sz="4" w:space="0" w:color="auto"/>
              <w:left w:val="single" w:sz="4" w:space="0" w:color="auto"/>
              <w:bottom w:val="single" w:sz="4" w:space="0" w:color="auto"/>
              <w:right w:val="single" w:sz="4" w:space="0" w:color="auto"/>
            </w:tcBorders>
            <w:vAlign w:val="center"/>
          </w:tcPr>
          <w:p w14:paraId="175CFFBE" w14:textId="77777777" w:rsidR="008C3EF1" w:rsidRPr="00075B73" w:rsidRDefault="008C3EF1" w:rsidP="00FB4E72">
            <w:pPr>
              <w:widowControl w:val="0"/>
              <w:jc w:val="center"/>
              <w:rPr>
                <w:rFonts w:ascii="Arial Narrow" w:hAnsi="Arial Narrow"/>
                <w:sz w:val="20"/>
                <w:szCs w:val="20"/>
              </w:rPr>
            </w:pPr>
          </w:p>
        </w:tc>
        <w:tc>
          <w:tcPr>
            <w:tcW w:w="7940" w:type="dxa"/>
            <w:gridSpan w:val="6"/>
            <w:tcBorders>
              <w:top w:val="single" w:sz="4" w:space="0" w:color="auto"/>
              <w:left w:val="single" w:sz="4" w:space="0" w:color="auto"/>
              <w:bottom w:val="single" w:sz="4" w:space="0" w:color="auto"/>
              <w:right w:val="single" w:sz="4" w:space="0" w:color="auto"/>
            </w:tcBorders>
            <w:hideMark/>
          </w:tcPr>
          <w:p w14:paraId="65CBD4E4" w14:textId="77777777" w:rsidR="008C3EF1" w:rsidRPr="00075B73" w:rsidRDefault="008C3EF1" w:rsidP="00FB4E72">
            <w:pPr>
              <w:widowControl w:val="0"/>
              <w:rPr>
                <w:rFonts w:ascii="Arial Narrow" w:hAnsi="Arial Narrow"/>
                <w:sz w:val="20"/>
                <w:szCs w:val="20"/>
              </w:rPr>
            </w:pPr>
            <w:r w:rsidRPr="00075B73">
              <w:rPr>
                <w:rFonts w:ascii="Arial Narrow" w:hAnsi="Arial Narrow"/>
                <w:b/>
                <w:sz w:val="20"/>
                <w:szCs w:val="20"/>
              </w:rPr>
              <w:t>Indication:</w:t>
            </w:r>
            <w:r w:rsidRPr="00075B73">
              <w:rPr>
                <w:rFonts w:ascii="Arial Narrow" w:hAnsi="Arial Narrow"/>
                <w:sz w:val="20"/>
                <w:szCs w:val="20"/>
              </w:rPr>
              <w:t xml:space="preserve"> Relapsed or refractory multiple myeloma</w:t>
            </w:r>
          </w:p>
        </w:tc>
      </w:tr>
      <w:tr w:rsidR="008C3EF1" w:rsidRPr="00075B73" w14:paraId="4971C8C4" w14:textId="77777777" w:rsidTr="00FB4E72">
        <w:tblPrEx>
          <w:tblCellMar>
            <w:top w:w="15" w:type="dxa"/>
            <w:bottom w:w="15" w:type="dxa"/>
          </w:tblCellMar>
          <w:tblLook w:val="04A0" w:firstRow="1" w:lastRow="0" w:firstColumn="1" w:lastColumn="0" w:noHBand="0" w:noVBand="1"/>
        </w:tblPrEx>
        <w:trPr>
          <w:cantSplit/>
          <w:trHeight w:val="20"/>
        </w:trPr>
        <w:tc>
          <w:tcPr>
            <w:tcW w:w="1274" w:type="dxa"/>
            <w:gridSpan w:val="2"/>
            <w:tcBorders>
              <w:top w:val="single" w:sz="4" w:space="0" w:color="auto"/>
              <w:left w:val="single" w:sz="4" w:space="0" w:color="auto"/>
              <w:bottom w:val="single" w:sz="4" w:space="0" w:color="auto"/>
              <w:right w:val="single" w:sz="4" w:space="0" w:color="auto"/>
            </w:tcBorders>
            <w:vAlign w:val="center"/>
          </w:tcPr>
          <w:p w14:paraId="0F59C081" w14:textId="77777777" w:rsidR="008C3EF1" w:rsidRPr="00075B73" w:rsidRDefault="008C3EF1" w:rsidP="00FB4E72">
            <w:pPr>
              <w:widowControl w:val="0"/>
              <w:jc w:val="center"/>
              <w:rPr>
                <w:rFonts w:ascii="Arial Narrow" w:hAnsi="Arial Narrow"/>
                <w:sz w:val="20"/>
                <w:szCs w:val="20"/>
              </w:rPr>
            </w:pPr>
          </w:p>
        </w:tc>
        <w:tc>
          <w:tcPr>
            <w:tcW w:w="7940" w:type="dxa"/>
            <w:gridSpan w:val="6"/>
            <w:tcBorders>
              <w:top w:val="single" w:sz="4" w:space="0" w:color="auto"/>
              <w:left w:val="single" w:sz="4" w:space="0" w:color="auto"/>
              <w:bottom w:val="single" w:sz="4" w:space="0" w:color="auto"/>
              <w:right w:val="single" w:sz="4" w:space="0" w:color="auto"/>
            </w:tcBorders>
          </w:tcPr>
          <w:p w14:paraId="013AD7B4" w14:textId="7BB67FD1" w:rsidR="008C3EF1" w:rsidRPr="00075B73" w:rsidRDefault="008C3EF1" w:rsidP="00FB4E72">
            <w:pPr>
              <w:widowControl w:val="0"/>
              <w:rPr>
                <w:rFonts w:ascii="Arial Narrow" w:hAnsi="Arial Narrow"/>
                <w:b/>
                <w:sz w:val="20"/>
                <w:szCs w:val="20"/>
              </w:rPr>
            </w:pPr>
            <w:r w:rsidRPr="00075B73">
              <w:rPr>
                <w:rFonts w:ascii="Arial Narrow" w:hAnsi="Arial Narrow"/>
                <w:b/>
                <w:bCs/>
                <w:sz w:val="20"/>
                <w:szCs w:val="20"/>
              </w:rPr>
              <w:t>Treatment</w:t>
            </w:r>
            <w:r w:rsidRPr="00075B73">
              <w:rPr>
                <w:rFonts w:ascii="Arial Narrow" w:hAnsi="Arial Narrow"/>
                <w:b/>
                <w:bCs/>
                <w:spacing w:val="-3"/>
                <w:sz w:val="20"/>
                <w:szCs w:val="20"/>
              </w:rPr>
              <w:t xml:space="preserve"> </w:t>
            </w:r>
            <w:r w:rsidRPr="00075B73">
              <w:rPr>
                <w:rFonts w:ascii="Arial Narrow" w:hAnsi="Arial Narrow"/>
                <w:b/>
                <w:bCs/>
                <w:sz w:val="20"/>
                <w:szCs w:val="20"/>
              </w:rPr>
              <w:t>Phase:</w:t>
            </w:r>
            <w:r w:rsidRPr="00075B73">
              <w:rPr>
                <w:rFonts w:ascii="Arial Narrow" w:hAnsi="Arial Narrow"/>
                <w:b/>
                <w:bCs/>
                <w:spacing w:val="-1"/>
                <w:sz w:val="20"/>
                <w:szCs w:val="20"/>
              </w:rPr>
              <w:t xml:space="preserve"> </w:t>
            </w:r>
            <w:r w:rsidRPr="00075B73">
              <w:rPr>
                <w:rFonts w:ascii="Arial Narrow" w:hAnsi="Arial Narrow"/>
                <w:sz w:val="20"/>
                <w:szCs w:val="20"/>
              </w:rPr>
              <w:t xml:space="preserve">Continuing treatment </w:t>
            </w:r>
          </w:p>
        </w:tc>
      </w:tr>
      <w:tr w:rsidR="008C3EF1" w:rsidRPr="00075B73" w14:paraId="76D12194" w14:textId="77777777" w:rsidTr="00FB4E72">
        <w:tblPrEx>
          <w:tblCellMar>
            <w:top w:w="15" w:type="dxa"/>
            <w:bottom w:w="15" w:type="dxa"/>
          </w:tblCellMar>
          <w:tblLook w:val="04A0" w:firstRow="1" w:lastRow="0" w:firstColumn="1" w:lastColumn="0" w:noHBand="0" w:noVBand="1"/>
        </w:tblPrEx>
        <w:trPr>
          <w:cantSplit/>
          <w:trHeight w:val="20"/>
        </w:trPr>
        <w:tc>
          <w:tcPr>
            <w:tcW w:w="1274" w:type="dxa"/>
            <w:gridSpan w:val="2"/>
            <w:tcBorders>
              <w:top w:val="single" w:sz="4" w:space="0" w:color="auto"/>
              <w:left w:val="single" w:sz="4" w:space="0" w:color="auto"/>
              <w:bottom w:val="single" w:sz="4" w:space="0" w:color="auto"/>
              <w:right w:val="single" w:sz="4" w:space="0" w:color="auto"/>
            </w:tcBorders>
          </w:tcPr>
          <w:p w14:paraId="2D2FDFC5" w14:textId="77777777" w:rsidR="008C3EF1" w:rsidRPr="00075B73" w:rsidRDefault="008C3EF1" w:rsidP="00FB4E72">
            <w:pPr>
              <w:widowControl w:val="0"/>
              <w:jc w:val="center"/>
              <w:rPr>
                <w:rFonts w:ascii="Arial Narrow" w:hAnsi="Arial Narrow"/>
                <w:sz w:val="20"/>
                <w:szCs w:val="20"/>
              </w:rPr>
            </w:pPr>
          </w:p>
        </w:tc>
        <w:tc>
          <w:tcPr>
            <w:tcW w:w="7940" w:type="dxa"/>
            <w:gridSpan w:val="6"/>
            <w:tcBorders>
              <w:top w:val="single" w:sz="4" w:space="0" w:color="auto"/>
              <w:left w:val="single" w:sz="4" w:space="0" w:color="auto"/>
              <w:bottom w:val="single" w:sz="4" w:space="0" w:color="auto"/>
              <w:right w:val="single" w:sz="4" w:space="0" w:color="auto"/>
            </w:tcBorders>
          </w:tcPr>
          <w:p w14:paraId="20A86255" w14:textId="77777777" w:rsidR="008C3EF1" w:rsidRPr="00075B73" w:rsidRDefault="008C3EF1" w:rsidP="00FB4E72">
            <w:pPr>
              <w:widowControl w:val="0"/>
              <w:rPr>
                <w:rFonts w:ascii="Arial Narrow" w:hAnsi="Arial Narrow"/>
                <w:b/>
                <w:bCs/>
                <w:sz w:val="20"/>
                <w:szCs w:val="20"/>
              </w:rPr>
            </w:pPr>
            <w:r w:rsidRPr="00075B73">
              <w:rPr>
                <w:rFonts w:ascii="Arial Narrow" w:hAnsi="Arial Narrow"/>
                <w:b/>
                <w:bCs/>
                <w:sz w:val="20"/>
                <w:szCs w:val="20"/>
              </w:rPr>
              <w:t>Clinical</w:t>
            </w:r>
            <w:r w:rsidRPr="00075B73">
              <w:rPr>
                <w:rFonts w:ascii="Arial Narrow" w:hAnsi="Arial Narrow"/>
                <w:b/>
                <w:bCs/>
                <w:spacing w:val="-4"/>
                <w:sz w:val="20"/>
                <w:szCs w:val="20"/>
              </w:rPr>
              <w:t xml:space="preserve"> </w:t>
            </w:r>
            <w:r w:rsidRPr="00075B73">
              <w:rPr>
                <w:rFonts w:ascii="Arial Narrow" w:hAnsi="Arial Narrow"/>
                <w:b/>
                <w:bCs/>
                <w:spacing w:val="-2"/>
                <w:sz w:val="20"/>
                <w:szCs w:val="20"/>
              </w:rPr>
              <w:t>criteria:</w:t>
            </w:r>
          </w:p>
        </w:tc>
      </w:tr>
      <w:tr w:rsidR="008C3EF1" w:rsidRPr="00075B73" w14:paraId="43C3A63C" w14:textId="77777777" w:rsidTr="00FB4E72">
        <w:tblPrEx>
          <w:tblCellMar>
            <w:top w:w="15" w:type="dxa"/>
            <w:bottom w:w="15" w:type="dxa"/>
          </w:tblCellMar>
          <w:tblLook w:val="04A0" w:firstRow="1" w:lastRow="0" w:firstColumn="1" w:lastColumn="0" w:noHBand="0" w:noVBand="1"/>
        </w:tblPrEx>
        <w:trPr>
          <w:cantSplit/>
          <w:trHeight w:val="20"/>
        </w:trPr>
        <w:tc>
          <w:tcPr>
            <w:tcW w:w="1274" w:type="dxa"/>
            <w:gridSpan w:val="2"/>
            <w:tcBorders>
              <w:top w:val="single" w:sz="4" w:space="0" w:color="auto"/>
              <w:left w:val="single" w:sz="4" w:space="0" w:color="auto"/>
              <w:bottom w:val="single" w:sz="4" w:space="0" w:color="auto"/>
              <w:right w:val="single" w:sz="4" w:space="0" w:color="auto"/>
            </w:tcBorders>
          </w:tcPr>
          <w:p w14:paraId="50022EA4" w14:textId="755166FB" w:rsidR="008C3EF1" w:rsidRPr="00075B73" w:rsidRDefault="008C3EF1" w:rsidP="00FB4E72">
            <w:pPr>
              <w:widowControl w:val="0"/>
              <w:jc w:val="center"/>
              <w:rPr>
                <w:rFonts w:ascii="Arial Narrow" w:hAnsi="Arial Narrow"/>
                <w:sz w:val="20"/>
                <w:szCs w:val="20"/>
              </w:rPr>
            </w:pPr>
          </w:p>
        </w:tc>
        <w:tc>
          <w:tcPr>
            <w:tcW w:w="7940" w:type="dxa"/>
            <w:gridSpan w:val="6"/>
            <w:tcBorders>
              <w:top w:val="single" w:sz="4" w:space="0" w:color="auto"/>
              <w:left w:val="single" w:sz="4" w:space="0" w:color="auto"/>
              <w:bottom w:val="single" w:sz="4" w:space="0" w:color="auto"/>
              <w:right w:val="single" w:sz="4" w:space="0" w:color="auto"/>
            </w:tcBorders>
          </w:tcPr>
          <w:p w14:paraId="7EC4176D" w14:textId="022949FE" w:rsidR="008C3EF1" w:rsidRPr="00075B73" w:rsidRDefault="008C3EF1" w:rsidP="00FB4E72">
            <w:pPr>
              <w:widowControl w:val="0"/>
              <w:rPr>
                <w:rFonts w:ascii="Arial Narrow" w:hAnsi="Arial Narrow"/>
                <w:b/>
                <w:bCs/>
                <w:sz w:val="20"/>
                <w:szCs w:val="20"/>
              </w:rPr>
            </w:pPr>
            <w:r w:rsidRPr="00075B73">
              <w:rPr>
                <w:rFonts w:ascii="Arial Narrow" w:hAnsi="Arial Narrow"/>
                <w:spacing w:val="-2"/>
                <w:sz w:val="20"/>
                <w:szCs w:val="20"/>
              </w:rPr>
              <w:t>Patient must have previously received treatment with this drug for this condition,</w:t>
            </w:r>
          </w:p>
        </w:tc>
      </w:tr>
      <w:tr w:rsidR="008C3EF1" w:rsidRPr="00075B73" w14:paraId="6B9B7ECB" w14:textId="77777777" w:rsidTr="00FB4E72">
        <w:tblPrEx>
          <w:tblCellMar>
            <w:top w:w="15" w:type="dxa"/>
            <w:bottom w:w="15" w:type="dxa"/>
          </w:tblCellMar>
          <w:tblLook w:val="04A0" w:firstRow="1" w:lastRow="0" w:firstColumn="1" w:lastColumn="0" w:noHBand="0" w:noVBand="1"/>
        </w:tblPrEx>
        <w:trPr>
          <w:cantSplit/>
          <w:trHeight w:val="20"/>
        </w:trPr>
        <w:tc>
          <w:tcPr>
            <w:tcW w:w="1274" w:type="dxa"/>
            <w:gridSpan w:val="2"/>
            <w:tcBorders>
              <w:top w:val="single" w:sz="4" w:space="0" w:color="auto"/>
              <w:left w:val="single" w:sz="4" w:space="0" w:color="auto"/>
              <w:bottom w:val="single" w:sz="4" w:space="0" w:color="auto"/>
              <w:right w:val="single" w:sz="4" w:space="0" w:color="auto"/>
            </w:tcBorders>
          </w:tcPr>
          <w:p w14:paraId="43CD2C88" w14:textId="77777777" w:rsidR="008C3EF1" w:rsidRPr="00075B73" w:rsidRDefault="008C3EF1" w:rsidP="00FB4E72">
            <w:pPr>
              <w:widowControl w:val="0"/>
              <w:jc w:val="center"/>
              <w:rPr>
                <w:rFonts w:ascii="Arial Narrow" w:hAnsi="Arial Narrow"/>
                <w:sz w:val="20"/>
                <w:szCs w:val="20"/>
              </w:rPr>
            </w:pPr>
          </w:p>
        </w:tc>
        <w:tc>
          <w:tcPr>
            <w:tcW w:w="7940" w:type="dxa"/>
            <w:gridSpan w:val="6"/>
            <w:tcBorders>
              <w:top w:val="single" w:sz="4" w:space="0" w:color="auto"/>
              <w:left w:val="single" w:sz="4" w:space="0" w:color="auto"/>
              <w:bottom w:val="single" w:sz="4" w:space="0" w:color="auto"/>
              <w:right w:val="single" w:sz="4" w:space="0" w:color="auto"/>
            </w:tcBorders>
          </w:tcPr>
          <w:p w14:paraId="313223FD" w14:textId="77777777" w:rsidR="008C3EF1" w:rsidRPr="00075B73" w:rsidRDefault="008C3EF1" w:rsidP="00FB4E72">
            <w:pPr>
              <w:widowControl w:val="0"/>
              <w:rPr>
                <w:rFonts w:ascii="Arial Narrow" w:hAnsi="Arial Narrow"/>
                <w:b/>
                <w:bCs/>
                <w:sz w:val="20"/>
                <w:szCs w:val="20"/>
              </w:rPr>
            </w:pPr>
            <w:r w:rsidRPr="00075B73">
              <w:rPr>
                <w:rFonts w:ascii="Arial Narrow" w:hAnsi="Arial Narrow"/>
                <w:b/>
                <w:bCs/>
                <w:spacing w:val="-5"/>
                <w:sz w:val="20"/>
                <w:szCs w:val="20"/>
              </w:rPr>
              <w:t>AND</w:t>
            </w:r>
          </w:p>
        </w:tc>
      </w:tr>
      <w:tr w:rsidR="008C3EF1" w:rsidRPr="00075B73" w14:paraId="46758C4D" w14:textId="77777777" w:rsidTr="00FB4E72">
        <w:tblPrEx>
          <w:tblCellMar>
            <w:top w:w="15" w:type="dxa"/>
            <w:bottom w:w="15" w:type="dxa"/>
          </w:tblCellMar>
          <w:tblLook w:val="04A0" w:firstRow="1" w:lastRow="0" w:firstColumn="1" w:lastColumn="0" w:noHBand="0" w:noVBand="1"/>
        </w:tblPrEx>
        <w:trPr>
          <w:cantSplit/>
          <w:trHeight w:val="20"/>
        </w:trPr>
        <w:tc>
          <w:tcPr>
            <w:tcW w:w="1274" w:type="dxa"/>
            <w:gridSpan w:val="2"/>
            <w:tcBorders>
              <w:top w:val="single" w:sz="4" w:space="0" w:color="auto"/>
              <w:left w:val="single" w:sz="4" w:space="0" w:color="auto"/>
              <w:bottom w:val="single" w:sz="4" w:space="0" w:color="auto"/>
              <w:right w:val="single" w:sz="4" w:space="0" w:color="auto"/>
            </w:tcBorders>
            <w:vAlign w:val="center"/>
          </w:tcPr>
          <w:p w14:paraId="475C2270" w14:textId="77777777" w:rsidR="008C3EF1" w:rsidRPr="00075B73" w:rsidRDefault="008C3EF1" w:rsidP="00FB4E72">
            <w:pPr>
              <w:widowControl w:val="0"/>
              <w:jc w:val="center"/>
              <w:rPr>
                <w:rFonts w:ascii="Arial Narrow" w:hAnsi="Arial Narrow"/>
                <w:sz w:val="20"/>
                <w:szCs w:val="20"/>
              </w:rPr>
            </w:pPr>
          </w:p>
        </w:tc>
        <w:tc>
          <w:tcPr>
            <w:tcW w:w="7940" w:type="dxa"/>
            <w:gridSpan w:val="6"/>
            <w:tcBorders>
              <w:top w:val="single" w:sz="4" w:space="0" w:color="auto"/>
              <w:left w:val="single" w:sz="4" w:space="0" w:color="auto"/>
              <w:bottom w:val="single" w:sz="4" w:space="0" w:color="auto"/>
              <w:right w:val="single" w:sz="4" w:space="0" w:color="auto"/>
            </w:tcBorders>
          </w:tcPr>
          <w:p w14:paraId="34A203B8" w14:textId="77777777" w:rsidR="008C3EF1" w:rsidRPr="00075B73" w:rsidRDefault="008C3EF1" w:rsidP="00FB4E72">
            <w:pPr>
              <w:widowControl w:val="0"/>
              <w:rPr>
                <w:rFonts w:ascii="Arial Narrow" w:hAnsi="Arial Narrow"/>
                <w:b/>
                <w:bCs/>
                <w:spacing w:val="-5"/>
                <w:sz w:val="20"/>
                <w:szCs w:val="20"/>
              </w:rPr>
            </w:pPr>
            <w:r w:rsidRPr="00075B73">
              <w:rPr>
                <w:rFonts w:ascii="Arial Narrow" w:hAnsi="Arial Narrow"/>
                <w:b/>
                <w:bCs/>
                <w:sz w:val="20"/>
                <w:szCs w:val="20"/>
              </w:rPr>
              <w:t>Clinical</w:t>
            </w:r>
            <w:r w:rsidRPr="00075B73">
              <w:rPr>
                <w:rFonts w:ascii="Arial Narrow" w:hAnsi="Arial Narrow"/>
                <w:b/>
                <w:bCs/>
                <w:spacing w:val="-4"/>
                <w:sz w:val="20"/>
                <w:szCs w:val="20"/>
              </w:rPr>
              <w:t xml:space="preserve"> </w:t>
            </w:r>
            <w:r w:rsidRPr="00075B73">
              <w:rPr>
                <w:rFonts w:ascii="Arial Narrow" w:hAnsi="Arial Narrow"/>
                <w:b/>
                <w:bCs/>
                <w:spacing w:val="-2"/>
                <w:sz w:val="20"/>
                <w:szCs w:val="20"/>
              </w:rPr>
              <w:t>criteria:</w:t>
            </w:r>
          </w:p>
        </w:tc>
      </w:tr>
      <w:tr w:rsidR="008C3EF1" w:rsidRPr="00075B73" w14:paraId="3DDE8D56" w14:textId="77777777" w:rsidTr="00FB4E72">
        <w:tblPrEx>
          <w:tblCellMar>
            <w:top w:w="15" w:type="dxa"/>
            <w:bottom w:w="15" w:type="dxa"/>
          </w:tblCellMar>
          <w:tblLook w:val="04A0" w:firstRow="1" w:lastRow="0" w:firstColumn="1" w:lastColumn="0" w:noHBand="0" w:noVBand="1"/>
        </w:tblPrEx>
        <w:trPr>
          <w:cantSplit/>
          <w:trHeight w:val="20"/>
        </w:trPr>
        <w:tc>
          <w:tcPr>
            <w:tcW w:w="1274" w:type="dxa"/>
            <w:gridSpan w:val="2"/>
            <w:tcBorders>
              <w:top w:val="single" w:sz="4" w:space="0" w:color="auto"/>
              <w:left w:val="single" w:sz="4" w:space="0" w:color="auto"/>
              <w:bottom w:val="single" w:sz="4" w:space="0" w:color="auto"/>
              <w:right w:val="single" w:sz="4" w:space="0" w:color="auto"/>
            </w:tcBorders>
            <w:vAlign w:val="center"/>
          </w:tcPr>
          <w:p w14:paraId="26943360" w14:textId="4EE898E1" w:rsidR="008C3EF1" w:rsidRPr="00075B73" w:rsidRDefault="008C3EF1" w:rsidP="00FB4E72">
            <w:pPr>
              <w:widowControl w:val="0"/>
              <w:jc w:val="center"/>
              <w:rPr>
                <w:rFonts w:ascii="Arial Narrow" w:hAnsi="Arial Narrow"/>
                <w:sz w:val="20"/>
                <w:szCs w:val="20"/>
              </w:rPr>
            </w:pPr>
          </w:p>
        </w:tc>
        <w:tc>
          <w:tcPr>
            <w:tcW w:w="7940" w:type="dxa"/>
            <w:gridSpan w:val="6"/>
            <w:tcBorders>
              <w:top w:val="single" w:sz="4" w:space="0" w:color="auto"/>
              <w:left w:val="single" w:sz="4" w:space="0" w:color="auto"/>
              <w:bottom w:val="single" w:sz="4" w:space="0" w:color="auto"/>
              <w:right w:val="single" w:sz="4" w:space="0" w:color="auto"/>
            </w:tcBorders>
          </w:tcPr>
          <w:p w14:paraId="1E83B5B4" w14:textId="09606435" w:rsidR="008C3EF1" w:rsidRPr="00075B73" w:rsidRDefault="008C3EF1" w:rsidP="00FB4E72">
            <w:pPr>
              <w:widowControl w:val="0"/>
              <w:rPr>
                <w:rFonts w:ascii="Arial Narrow" w:hAnsi="Arial Narrow"/>
                <w:b/>
                <w:bCs/>
                <w:sz w:val="20"/>
                <w:szCs w:val="20"/>
              </w:rPr>
            </w:pPr>
            <w:r w:rsidRPr="00075B73">
              <w:rPr>
                <w:rFonts w:ascii="Arial Narrow" w:eastAsiaTheme="minorEastAsia" w:hAnsi="Arial Narrow"/>
                <w:sz w:val="20"/>
                <w:szCs w:val="20"/>
              </w:rPr>
              <w:t>Patient must have had progressive disease after receiving at least 3 prior lines of therapy, including</w:t>
            </w:r>
            <w:r w:rsidR="007E3443">
              <w:rPr>
                <w:rFonts w:ascii="Arial Narrow" w:eastAsiaTheme="minorEastAsia" w:hAnsi="Arial Narrow"/>
                <w:sz w:val="20"/>
                <w:szCs w:val="20"/>
              </w:rPr>
              <w:t xml:space="preserve"> each of</w:t>
            </w:r>
            <w:r w:rsidRPr="00075B73">
              <w:rPr>
                <w:rFonts w:ascii="Arial Narrow" w:eastAsiaTheme="minorEastAsia" w:hAnsi="Arial Narrow"/>
                <w:sz w:val="20"/>
                <w:szCs w:val="20"/>
              </w:rPr>
              <w:t xml:space="preserve"> the following therapies: (</w:t>
            </w:r>
            <w:proofErr w:type="spellStart"/>
            <w:r w:rsidRPr="00075B73">
              <w:rPr>
                <w:rFonts w:ascii="Arial Narrow" w:eastAsiaTheme="minorEastAsia" w:hAnsi="Arial Narrow"/>
                <w:sz w:val="20"/>
                <w:szCs w:val="20"/>
              </w:rPr>
              <w:t>i</w:t>
            </w:r>
            <w:proofErr w:type="spellEnd"/>
            <w:r w:rsidRPr="00075B73">
              <w:rPr>
                <w:rFonts w:ascii="Arial Narrow" w:eastAsiaTheme="minorEastAsia" w:hAnsi="Arial Narrow"/>
                <w:sz w:val="20"/>
                <w:szCs w:val="20"/>
              </w:rPr>
              <w:t>) a proteasome inhibitor, (ii) an immunomodulatory agent, and (iii) an anti-CD38 monoclonal antibody; or</w:t>
            </w:r>
          </w:p>
        </w:tc>
      </w:tr>
      <w:tr w:rsidR="008C3EF1" w:rsidRPr="00075B73" w14:paraId="30886619" w14:textId="77777777" w:rsidTr="00FB4E72">
        <w:tblPrEx>
          <w:tblCellMar>
            <w:top w:w="15" w:type="dxa"/>
            <w:bottom w:w="15" w:type="dxa"/>
          </w:tblCellMar>
          <w:tblLook w:val="04A0" w:firstRow="1" w:lastRow="0" w:firstColumn="1" w:lastColumn="0" w:noHBand="0" w:noVBand="1"/>
        </w:tblPrEx>
        <w:trPr>
          <w:cantSplit/>
          <w:trHeight w:val="20"/>
        </w:trPr>
        <w:tc>
          <w:tcPr>
            <w:tcW w:w="1274" w:type="dxa"/>
            <w:gridSpan w:val="2"/>
            <w:tcBorders>
              <w:top w:val="single" w:sz="4" w:space="0" w:color="auto"/>
              <w:left w:val="single" w:sz="4" w:space="0" w:color="auto"/>
              <w:bottom w:val="single" w:sz="4" w:space="0" w:color="auto"/>
              <w:right w:val="single" w:sz="4" w:space="0" w:color="auto"/>
            </w:tcBorders>
            <w:vAlign w:val="center"/>
          </w:tcPr>
          <w:p w14:paraId="1DE0F901" w14:textId="4C3DC694" w:rsidR="008C3EF1" w:rsidRPr="00075B73" w:rsidRDefault="008C3EF1" w:rsidP="00FB4E72">
            <w:pPr>
              <w:widowControl w:val="0"/>
              <w:jc w:val="center"/>
              <w:rPr>
                <w:rFonts w:ascii="Arial Narrow" w:hAnsi="Arial Narrow"/>
                <w:sz w:val="20"/>
                <w:szCs w:val="20"/>
              </w:rPr>
            </w:pPr>
          </w:p>
        </w:tc>
        <w:tc>
          <w:tcPr>
            <w:tcW w:w="7940" w:type="dxa"/>
            <w:gridSpan w:val="6"/>
            <w:tcBorders>
              <w:top w:val="single" w:sz="4" w:space="0" w:color="auto"/>
              <w:left w:val="single" w:sz="4" w:space="0" w:color="auto"/>
              <w:bottom w:val="single" w:sz="4" w:space="0" w:color="auto"/>
              <w:right w:val="single" w:sz="4" w:space="0" w:color="auto"/>
            </w:tcBorders>
          </w:tcPr>
          <w:p w14:paraId="5ABD7041" w14:textId="3FA55B62" w:rsidR="008C3EF1" w:rsidRPr="00075B73" w:rsidRDefault="008C3EF1" w:rsidP="00FB4E72">
            <w:pPr>
              <w:widowControl w:val="0"/>
              <w:rPr>
                <w:rFonts w:ascii="Arial Narrow" w:hAnsi="Arial Narrow"/>
                <w:b/>
                <w:bCs/>
                <w:spacing w:val="-5"/>
                <w:sz w:val="20"/>
                <w:szCs w:val="20"/>
              </w:rPr>
            </w:pPr>
            <w:r w:rsidRPr="00075B73">
              <w:rPr>
                <w:rFonts w:ascii="Arial Narrow" w:hAnsi="Arial Narrow"/>
                <w:spacing w:val="-2"/>
                <w:sz w:val="20"/>
                <w:szCs w:val="20"/>
              </w:rPr>
              <w:t>Patient must have been refractory to, at least 3 prior lines of therapy, including</w:t>
            </w:r>
            <w:r w:rsidR="007E3443">
              <w:rPr>
                <w:rFonts w:ascii="Arial Narrow" w:hAnsi="Arial Narrow"/>
                <w:spacing w:val="-2"/>
                <w:sz w:val="20"/>
                <w:szCs w:val="20"/>
              </w:rPr>
              <w:t xml:space="preserve"> each of</w:t>
            </w:r>
            <w:r w:rsidRPr="00075B73">
              <w:rPr>
                <w:rFonts w:ascii="Arial Narrow" w:hAnsi="Arial Narrow"/>
                <w:spacing w:val="-2"/>
                <w:sz w:val="20"/>
                <w:szCs w:val="20"/>
              </w:rPr>
              <w:t xml:space="preserve"> the following therapies: (</w:t>
            </w:r>
            <w:proofErr w:type="spellStart"/>
            <w:r w:rsidRPr="00075B73">
              <w:rPr>
                <w:rFonts w:ascii="Arial Narrow" w:hAnsi="Arial Narrow"/>
                <w:spacing w:val="-2"/>
                <w:sz w:val="20"/>
                <w:szCs w:val="20"/>
              </w:rPr>
              <w:t>i</w:t>
            </w:r>
            <w:proofErr w:type="spellEnd"/>
            <w:r w:rsidRPr="00075B73">
              <w:rPr>
                <w:rFonts w:ascii="Arial Narrow" w:hAnsi="Arial Narrow"/>
                <w:spacing w:val="-2"/>
                <w:sz w:val="20"/>
                <w:szCs w:val="20"/>
              </w:rPr>
              <w:t>) a proteasome inhibitor, (ii) an immunomodulatory agent, (iii) an anti-CD38 monoclonal antibody</w:t>
            </w:r>
          </w:p>
        </w:tc>
      </w:tr>
      <w:tr w:rsidR="008C3EF1" w:rsidRPr="00075B73" w14:paraId="5A3163F2" w14:textId="77777777" w:rsidTr="00FB4E72">
        <w:tblPrEx>
          <w:tblCellMar>
            <w:top w:w="15" w:type="dxa"/>
            <w:bottom w:w="15" w:type="dxa"/>
          </w:tblCellMar>
          <w:tblLook w:val="04A0" w:firstRow="1" w:lastRow="0" w:firstColumn="1" w:lastColumn="0" w:noHBand="0" w:noVBand="1"/>
        </w:tblPrEx>
        <w:trPr>
          <w:cantSplit/>
          <w:trHeight w:val="20"/>
        </w:trPr>
        <w:tc>
          <w:tcPr>
            <w:tcW w:w="1274" w:type="dxa"/>
            <w:gridSpan w:val="2"/>
            <w:tcBorders>
              <w:top w:val="single" w:sz="4" w:space="0" w:color="auto"/>
              <w:left w:val="single" w:sz="4" w:space="0" w:color="auto"/>
              <w:bottom w:val="single" w:sz="4" w:space="0" w:color="auto"/>
              <w:right w:val="single" w:sz="4" w:space="0" w:color="auto"/>
            </w:tcBorders>
          </w:tcPr>
          <w:p w14:paraId="7BC1A9EA" w14:textId="77777777" w:rsidR="008C3EF1" w:rsidRPr="00075B73" w:rsidRDefault="008C3EF1" w:rsidP="00FB4E72">
            <w:pPr>
              <w:widowControl w:val="0"/>
              <w:jc w:val="center"/>
              <w:rPr>
                <w:rFonts w:ascii="Arial Narrow" w:hAnsi="Arial Narrow"/>
                <w:sz w:val="20"/>
                <w:szCs w:val="20"/>
              </w:rPr>
            </w:pPr>
          </w:p>
        </w:tc>
        <w:tc>
          <w:tcPr>
            <w:tcW w:w="7940" w:type="dxa"/>
            <w:gridSpan w:val="6"/>
            <w:tcBorders>
              <w:top w:val="single" w:sz="4" w:space="0" w:color="auto"/>
              <w:left w:val="single" w:sz="4" w:space="0" w:color="auto"/>
              <w:bottom w:val="single" w:sz="4" w:space="0" w:color="auto"/>
              <w:right w:val="single" w:sz="4" w:space="0" w:color="auto"/>
            </w:tcBorders>
          </w:tcPr>
          <w:p w14:paraId="4FA0783C" w14:textId="77777777" w:rsidR="008C3EF1" w:rsidRPr="00075B73" w:rsidRDefault="008C3EF1" w:rsidP="00FB4E72">
            <w:pPr>
              <w:widowControl w:val="0"/>
              <w:rPr>
                <w:rFonts w:ascii="Arial Narrow" w:hAnsi="Arial Narrow"/>
                <w:b/>
                <w:bCs/>
                <w:spacing w:val="-5"/>
                <w:sz w:val="20"/>
                <w:szCs w:val="20"/>
              </w:rPr>
            </w:pPr>
            <w:r w:rsidRPr="00075B73">
              <w:rPr>
                <w:rFonts w:ascii="Arial Narrow" w:hAnsi="Arial Narrow"/>
                <w:b/>
                <w:bCs/>
                <w:spacing w:val="-5"/>
                <w:sz w:val="20"/>
                <w:szCs w:val="20"/>
              </w:rPr>
              <w:t>AND</w:t>
            </w:r>
          </w:p>
        </w:tc>
      </w:tr>
      <w:tr w:rsidR="00C9006C" w:rsidRPr="00075B73" w14:paraId="54420410" w14:textId="77777777" w:rsidTr="00FB4E72">
        <w:tblPrEx>
          <w:tblCellMar>
            <w:top w:w="15" w:type="dxa"/>
            <w:bottom w:w="15" w:type="dxa"/>
          </w:tblCellMar>
          <w:tblLook w:val="04A0" w:firstRow="1" w:lastRow="0" w:firstColumn="1" w:lastColumn="0" w:noHBand="0" w:noVBand="1"/>
        </w:tblPrEx>
        <w:trPr>
          <w:cantSplit/>
          <w:trHeight w:val="20"/>
        </w:trPr>
        <w:tc>
          <w:tcPr>
            <w:tcW w:w="1274" w:type="dxa"/>
            <w:gridSpan w:val="2"/>
            <w:tcBorders>
              <w:top w:val="single" w:sz="4" w:space="0" w:color="auto"/>
              <w:left w:val="single" w:sz="4" w:space="0" w:color="auto"/>
              <w:bottom w:val="single" w:sz="4" w:space="0" w:color="auto"/>
              <w:right w:val="single" w:sz="4" w:space="0" w:color="auto"/>
            </w:tcBorders>
          </w:tcPr>
          <w:p w14:paraId="29281BDC" w14:textId="77777777" w:rsidR="00C9006C" w:rsidRPr="00075B73" w:rsidRDefault="00C9006C" w:rsidP="00C9006C">
            <w:pPr>
              <w:widowControl w:val="0"/>
              <w:jc w:val="center"/>
              <w:rPr>
                <w:rFonts w:ascii="Arial Narrow" w:hAnsi="Arial Narrow"/>
                <w:sz w:val="20"/>
                <w:szCs w:val="20"/>
              </w:rPr>
            </w:pPr>
          </w:p>
        </w:tc>
        <w:tc>
          <w:tcPr>
            <w:tcW w:w="7940" w:type="dxa"/>
            <w:gridSpan w:val="6"/>
            <w:tcBorders>
              <w:top w:val="single" w:sz="4" w:space="0" w:color="auto"/>
              <w:left w:val="single" w:sz="4" w:space="0" w:color="auto"/>
              <w:bottom w:val="single" w:sz="4" w:space="0" w:color="auto"/>
              <w:right w:val="single" w:sz="4" w:space="0" w:color="auto"/>
            </w:tcBorders>
          </w:tcPr>
          <w:p w14:paraId="02C17F6C" w14:textId="1FA58C8A" w:rsidR="00C9006C" w:rsidRPr="00075B73" w:rsidRDefault="00C9006C" w:rsidP="00C9006C">
            <w:pPr>
              <w:widowControl w:val="0"/>
              <w:rPr>
                <w:rFonts w:ascii="Arial Narrow" w:hAnsi="Arial Narrow"/>
                <w:b/>
                <w:bCs/>
                <w:spacing w:val="-5"/>
                <w:sz w:val="20"/>
                <w:szCs w:val="20"/>
              </w:rPr>
            </w:pPr>
            <w:r w:rsidRPr="00094B4E">
              <w:rPr>
                <w:b/>
                <w:bCs/>
                <w:spacing w:val="-2"/>
                <w:sz w:val="20"/>
                <w:szCs w:val="20"/>
              </w:rPr>
              <w:t>Clinical criteria:</w:t>
            </w:r>
          </w:p>
        </w:tc>
      </w:tr>
      <w:tr w:rsidR="00C9006C" w:rsidRPr="00F007E7" w14:paraId="16D67258" w14:textId="77777777" w:rsidTr="00FB4E72">
        <w:tblPrEx>
          <w:tblCellMar>
            <w:top w:w="15" w:type="dxa"/>
            <w:bottom w:w="15" w:type="dxa"/>
          </w:tblCellMar>
          <w:tblLook w:val="04A0" w:firstRow="1" w:lastRow="0" w:firstColumn="1" w:lastColumn="0" w:noHBand="0" w:noVBand="1"/>
        </w:tblPrEx>
        <w:trPr>
          <w:cantSplit/>
          <w:trHeight w:val="20"/>
        </w:trPr>
        <w:tc>
          <w:tcPr>
            <w:tcW w:w="1274" w:type="dxa"/>
            <w:gridSpan w:val="2"/>
            <w:tcBorders>
              <w:top w:val="single" w:sz="4" w:space="0" w:color="auto"/>
              <w:left w:val="single" w:sz="4" w:space="0" w:color="auto"/>
              <w:bottom w:val="single" w:sz="4" w:space="0" w:color="auto"/>
              <w:right w:val="single" w:sz="4" w:space="0" w:color="auto"/>
            </w:tcBorders>
          </w:tcPr>
          <w:p w14:paraId="62E7F718" w14:textId="78F8099B" w:rsidR="00C9006C" w:rsidRPr="00F007E7" w:rsidRDefault="00C9006C" w:rsidP="00C9006C">
            <w:pPr>
              <w:widowControl w:val="0"/>
              <w:jc w:val="center"/>
              <w:rPr>
                <w:rFonts w:ascii="Arial Narrow" w:hAnsi="Arial Narrow"/>
                <w:sz w:val="20"/>
                <w:szCs w:val="20"/>
              </w:rPr>
            </w:pPr>
          </w:p>
        </w:tc>
        <w:tc>
          <w:tcPr>
            <w:tcW w:w="7940" w:type="dxa"/>
            <w:gridSpan w:val="6"/>
            <w:tcBorders>
              <w:top w:val="single" w:sz="4" w:space="0" w:color="auto"/>
              <w:left w:val="single" w:sz="4" w:space="0" w:color="auto"/>
              <w:bottom w:val="single" w:sz="4" w:space="0" w:color="auto"/>
              <w:right w:val="single" w:sz="4" w:space="0" w:color="auto"/>
            </w:tcBorders>
          </w:tcPr>
          <w:p w14:paraId="77FF43BC" w14:textId="5C67E996" w:rsidR="00C9006C" w:rsidRPr="00F007E7" w:rsidRDefault="00C9006C" w:rsidP="00C9006C">
            <w:pPr>
              <w:widowControl w:val="0"/>
              <w:rPr>
                <w:rFonts w:ascii="Arial Narrow" w:hAnsi="Arial Narrow"/>
                <w:b/>
                <w:bCs/>
                <w:spacing w:val="-5"/>
                <w:sz w:val="20"/>
                <w:szCs w:val="20"/>
              </w:rPr>
            </w:pPr>
            <w:r w:rsidRPr="00F007E7">
              <w:rPr>
                <w:rFonts w:ascii="Arial Narrow" w:hAnsi="Arial Narrow"/>
                <w:sz w:val="20"/>
                <w:szCs w:val="20"/>
              </w:rPr>
              <w:t>Patient must not have previously received treatment with a</w:t>
            </w:r>
            <w:r w:rsidR="0012707E" w:rsidRPr="00F007E7">
              <w:rPr>
                <w:rFonts w:ascii="Arial Narrow" w:hAnsi="Arial Narrow"/>
                <w:sz w:val="20"/>
                <w:szCs w:val="20"/>
              </w:rPr>
              <w:t>nother</w:t>
            </w:r>
            <w:r w:rsidRPr="00F007E7">
              <w:rPr>
                <w:rFonts w:ascii="Arial Narrow" w:hAnsi="Arial Narrow"/>
                <w:sz w:val="20"/>
                <w:szCs w:val="20"/>
              </w:rPr>
              <w:t xml:space="preserve"> B-cell maturation antigen (BCMA) directed </w:t>
            </w:r>
            <w:r w:rsidR="00E567AF" w:rsidRPr="00F007E7">
              <w:rPr>
                <w:rFonts w:ascii="Arial Narrow" w:hAnsi="Arial Narrow"/>
                <w:sz w:val="20"/>
                <w:szCs w:val="20"/>
              </w:rPr>
              <w:t>therapy</w:t>
            </w:r>
            <w:r w:rsidRPr="00F007E7">
              <w:rPr>
                <w:rFonts w:ascii="Arial Narrow" w:hAnsi="Arial Narrow"/>
                <w:sz w:val="20"/>
                <w:szCs w:val="20"/>
              </w:rPr>
              <w:t xml:space="preserve"> for this condition.</w:t>
            </w:r>
          </w:p>
        </w:tc>
      </w:tr>
      <w:tr w:rsidR="00C9006C" w:rsidRPr="00F007E7" w14:paraId="137B9248" w14:textId="77777777" w:rsidTr="00FB4E72">
        <w:tblPrEx>
          <w:tblCellMar>
            <w:top w:w="15" w:type="dxa"/>
            <w:bottom w:w="15" w:type="dxa"/>
          </w:tblCellMar>
          <w:tblLook w:val="04A0" w:firstRow="1" w:lastRow="0" w:firstColumn="1" w:lastColumn="0" w:noHBand="0" w:noVBand="1"/>
        </w:tblPrEx>
        <w:trPr>
          <w:cantSplit/>
          <w:trHeight w:val="20"/>
        </w:trPr>
        <w:tc>
          <w:tcPr>
            <w:tcW w:w="1274" w:type="dxa"/>
            <w:gridSpan w:val="2"/>
            <w:tcBorders>
              <w:top w:val="single" w:sz="4" w:space="0" w:color="auto"/>
              <w:left w:val="single" w:sz="4" w:space="0" w:color="auto"/>
              <w:bottom w:val="single" w:sz="4" w:space="0" w:color="auto"/>
              <w:right w:val="single" w:sz="4" w:space="0" w:color="auto"/>
            </w:tcBorders>
          </w:tcPr>
          <w:p w14:paraId="1637B03E" w14:textId="77777777" w:rsidR="00C9006C" w:rsidRPr="00F007E7" w:rsidRDefault="00C9006C" w:rsidP="00C9006C">
            <w:pPr>
              <w:widowControl w:val="0"/>
              <w:jc w:val="center"/>
              <w:rPr>
                <w:rFonts w:ascii="Arial Narrow" w:hAnsi="Arial Narrow"/>
                <w:sz w:val="20"/>
                <w:szCs w:val="20"/>
              </w:rPr>
            </w:pPr>
          </w:p>
        </w:tc>
        <w:tc>
          <w:tcPr>
            <w:tcW w:w="7940" w:type="dxa"/>
            <w:gridSpan w:val="6"/>
            <w:tcBorders>
              <w:top w:val="single" w:sz="4" w:space="0" w:color="auto"/>
              <w:left w:val="single" w:sz="4" w:space="0" w:color="auto"/>
              <w:bottom w:val="single" w:sz="4" w:space="0" w:color="auto"/>
              <w:right w:val="single" w:sz="4" w:space="0" w:color="auto"/>
            </w:tcBorders>
          </w:tcPr>
          <w:p w14:paraId="7170E7DA" w14:textId="70C96B55" w:rsidR="00C9006C" w:rsidRPr="00F007E7" w:rsidRDefault="00C9006C" w:rsidP="00C9006C">
            <w:pPr>
              <w:widowControl w:val="0"/>
              <w:rPr>
                <w:rFonts w:ascii="Arial Narrow" w:hAnsi="Arial Narrow"/>
                <w:b/>
                <w:bCs/>
                <w:spacing w:val="-5"/>
                <w:sz w:val="20"/>
                <w:szCs w:val="20"/>
              </w:rPr>
            </w:pPr>
            <w:r w:rsidRPr="00F007E7">
              <w:rPr>
                <w:b/>
                <w:bCs/>
                <w:spacing w:val="-2"/>
                <w:sz w:val="20"/>
                <w:szCs w:val="20"/>
              </w:rPr>
              <w:t>AND</w:t>
            </w:r>
          </w:p>
        </w:tc>
      </w:tr>
      <w:tr w:rsidR="008C3EF1" w:rsidRPr="00F007E7" w14:paraId="5D33E227" w14:textId="77777777" w:rsidTr="00FB4E72">
        <w:tblPrEx>
          <w:tblCellMar>
            <w:top w:w="15" w:type="dxa"/>
            <w:bottom w:w="15" w:type="dxa"/>
          </w:tblCellMar>
          <w:tblLook w:val="04A0" w:firstRow="1" w:lastRow="0" w:firstColumn="1" w:lastColumn="0" w:noHBand="0" w:noVBand="1"/>
        </w:tblPrEx>
        <w:trPr>
          <w:cantSplit/>
          <w:trHeight w:val="20"/>
        </w:trPr>
        <w:tc>
          <w:tcPr>
            <w:tcW w:w="1274" w:type="dxa"/>
            <w:gridSpan w:val="2"/>
            <w:tcBorders>
              <w:top w:val="single" w:sz="4" w:space="0" w:color="auto"/>
              <w:left w:val="single" w:sz="4" w:space="0" w:color="auto"/>
              <w:bottom w:val="single" w:sz="4" w:space="0" w:color="auto"/>
              <w:right w:val="single" w:sz="4" w:space="0" w:color="auto"/>
            </w:tcBorders>
          </w:tcPr>
          <w:p w14:paraId="33D42610" w14:textId="77777777" w:rsidR="008C3EF1" w:rsidRPr="00F007E7" w:rsidRDefault="008C3EF1" w:rsidP="00FB4E72">
            <w:pPr>
              <w:widowControl w:val="0"/>
              <w:jc w:val="center"/>
              <w:rPr>
                <w:rFonts w:ascii="Arial Narrow" w:hAnsi="Arial Narrow"/>
                <w:sz w:val="20"/>
                <w:szCs w:val="20"/>
              </w:rPr>
            </w:pPr>
          </w:p>
        </w:tc>
        <w:tc>
          <w:tcPr>
            <w:tcW w:w="7940" w:type="dxa"/>
            <w:gridSpan w:val="6"/>
            <w:tcBorders>
              <w:top w:val="single" w:sz="4" w:space="0" w:color="auto"/>
              <w:left w:val="single" w:sz="4" w:space="0" w:color="auto"/>
              <w:bottom w:val="single" w:sz="4" w:space="0" w:color="auto"/>
              <w:right w:val="single" w:sz="4" w:space="0" w:color="auto"/>
            </w:tcBorders>
          </w:tcPr>
          <w:p w14:paraId="6CC503E9" w14:textId="77777777" w:rsidR="008C3EF1" w:rsidRPr="00F007E7" w:rsidRDefault="008C3EF1" w:rsidP="00FB4E72">
            <w:pPr>
              <w:widowControl w:val="0"/>
              <w:rPr>
                <w:rFonts w:ascii="Arial Narrow" w:hAnsi="Arial Narrow"/>
                <w:b/>
                <w:bCs/>
                <w:spacing w:val="-5"/>
                <w:sz w:val="20"/>
                <w:szCs w:val="20"/>
              </w:rPr>
            </w:pPr>
            <w:r w:rsidRPr="00F007E7">
              <w:rPr>
                <w:rFonts w:ascii="Arial Narrow" w:hAnsi="Arial Narrow"/>
                <w:b/>
                <w:bCs/>
                <w:sz w:val="20"/>
                <w:szCs w:val="20"/>
              </w:rPr>
              <w:t>Clinical</w:t>
            </w:r>
            <w:r w:rsidRPr="00F007E7">
              <w:rPr>
                <w:rFonts w:ascii="Arial Narrow" w:hAnsi="Arial Narrow"/>
                <w:b/>
                <w:bCs/>
                <w:spacing w:val="-4"/>
                <w:sz w:val="20"/>
                <w:szCs w:val="20"/>
              </w:rPr>
              <w:t xml:space="preserve"> </w:t>
            </w:r>
            <w:r w:rsidRPr="00F007E7">
              <w:rPr>
                <w:rFonts w:ascii="Arial Narrow" w:hAnsi="Arial Narrow"/>
                <w:b/>
                <w:bCs/>
                <w:spacing w:val="-2"/>
                <w:sz w:val="20"/>
                <w:szCs w:val="20"/>
              </w:rPr>
              <w:t>criteria:</w:t>
            </w:r>
          </w:p>
        </w:tc>
      </w:tr>
      <w:tr w:rsidR="008C3EF1" w:rsidRPr="00F007E7" w14:paraId="08654712" w14:textId="77777777" w:rsidTr="00FB4E72">
        <w:tblPrEx>
          <w:tblCellMar>
            <w:top w:w="15" w:type="dxa"/>
            <w:bottom w:w="15" w:type="dxa"/>
          </w:tblCellMar>
          <w:tblLook w:val="04A0" w:firstRow="1" w:lastRow="0" w:firstColumn="1" w:lastColumn="0" w:noHBand="0" w:noVBand="1"/>
        </w:tblPrEx>
        <w:trPr>
          <w:cantSplit/>
          <w:trHeight w:val="20"/>
        </w:trPr>
        <w:tc>
          <w:tcPr>
            <w:tcW w:w="1274" w:type="dxa"/>
            <w:gridSpan w:val="2"/>
            <w:tcBorders>
              <w:top w:val="single" w:sz="4" w:space="0" w:color="auto"/>
              <w:left w:val="single" w:sz="4" w:space="0" w:color="auto"/>
              <w:bottom w:val="single" w:sz="4" w:space="0" w:color="auto"/>
              <w:right w:val="single" w:sz="4" w:space="0" w:color="auto"/>
            </w:tcBorders>
          </w:tcPr>
          <w:p w14:paraId="2A77CA36" w14:textId="5E958A73" w:rsidR="008C3EF1" w:rsidRPr="00F007E7" w:rsidRDefault="008C3EF1" w:rsidP="00FB4E72">
            <w:pPr>
              <w:widowControl w:val="0"/>
              <w:jc w:val="center"/>
              <w:rPr>
                <w:rFonts w:ascii="Arial Narrow" w:hAnsi="Arial Narrow"/>
                <w:sz w:val="20"/>
                <w:szCs w:val="20"/>
              </w:rPr>
            </w:pPr>
          </w:p>
        </w:tc>
        <w:tc>
          <w:tcPr>
            <w:tcW w:w="7940" w:type="dxa"/>
            <w:gridSpan w:val="6"/>
            <w:tcBorders>
              <w:top w:val="single" w:sz="4" w:space="0" w:color="auto"/>
              <w:left w:val="single" w:sz="4" w:space="0" w:color="auto"/>
              <w:bottom w:val="single" w:sz="4" w:space="0" w:color="auto"/>
              <w:right w:val="single" w:sz="4" w:space="0" w:color="auto"/>
            </w:tcBorders>
          </w:tcPr>
          <w:p w14:paraId="50953D80" w14:textId="77777777" w:rsidR="008C3EF1" w:rsidRPr="00F007E7" w:rsidRDefault="008C3EF1" w:rsidP="00FB4E72">
            <w:pPr>
              <w:widowControl w:val="0"/>
              <w:rPr>
                <w:rFonts w:ascii="Arial Narrow" w:hAnsi="Arial Narrow"/>
                <w:b/>
                <w:bCs/>
                <w:spacing w:val="-5"/>
                <w:sz w:val="20"/>
                <w:szCs w:val="20"/>
              </w:rPr>
            </w:pPr>
            <w:r w:rsidRPr="00F007E7">
              <w:rPr>
                <w:rFonts w:ascii="Arial Narrow" w:hAnsi="Arial Narrow"/>
                <w:spacing w:val="-2"/>
                <w:sz w:val="20"/>
                <w:szCs w:val="20"/>
              </w:rPr>
              <w:t>Patient must have a WHO performance status of 2 or less prior to initiating treatment with this drug for this condition</w:t>
            </w:r>
          </w:p>
        </w:tc>
      </w:tr>
      <w:tr w:rsidR="008C3EF1" w:rsidRPr="00F007E7" w14:paraId="09DB051B" w14:textId="77777777" w:rsidTr="00FB4E72">
        <w:tblPrEx>
          <w:tblCellMar>
            <w:top w:w="15" w:type="dxa"/>
            <w:bottom w:w="15" w:type="dxa"/>
          </w:tblCellMar>
          <w:tblLook w:val="04A0" w:firstRow="1" w:lastRow="0" w:firstColumn="1" w:lastColumn="0" w:noHBand="0" w:noVBand="1"/>
        </w:tblPrEx>
        <w:trPr>
          <w:cantSplit/>
          <w:trHeight w:val="20"/>
        </w:trPr>
        <w:tc>
          <w:tcPr>
            <w:tcW w:w="1274" w:type="dxa"/>
            <w:gridSpan w:val="2"/>
            <w:tcBorders>
              <w:top w:val="single" w:sz="4" w:space="0" w:color="auto"/>
              <w:left w:val="single" w:sz="4" w:space="0" w:color="auto"/>
              <w:bottom w:val="single" w:sz="4" w:space="0" w:color="auto"/>
              <w:right w:val="single" w:sz="4" w:space="0" w:color="auto"/>
            </w:tcBorders>
          </w:tcPr>
          <w:p w14:paraId="306442C6" w14:textId="77777777" w:rsidR="008C3EF1" w:rsidRPr="00F007E7" w:rsidRDefault="008C3EF1" w:rsidP="00FB4E72">
            <w:pPr>
              <w:widowControl w:val="0"/>
              <w:jc w:val="center"/>
              <w:rPr>
                <w:rFonts w:ascii="Arial Narrow" w:hAnsi="Arial Narrow"/>
                <w:sz w:val="20"/>
                <w:szCs w:val="20"/>
              </w:rPr>
            </w:pPr>
          </w:p>
        </w:tc>
        <w:tc>
          <w:tcPr>
            <w:tcW w:w="7940" w:type="dxa"/>
            <w:gridSpan w:val="6"/>
            <w:tcBorders>
              <w:top w:val="single" w:sz="4" w:space="0" w:color="auto"/>
              <w:left w:val="single" w:sz="4" w:space="0" w:color="auto"/>
              <w:bottom w:val="single" w:sz="4" w:space="0" w:color="auto"/>
              <w:right w:val="single" w:sz="4" w:space="0" w:color="auto"/>
            </w:tcBorders>
          </w:tcPr>
          <w:p w14:paraId="1162797A" w14:textId="77777777" w:rsidR="008C3EF1" w:rsidRPr="00F007E7" w:rsidRDefault="008C3EF1" w:rsidP="00FB4E72">
            <w:pPr>
              <w:widowControl w:val="0"/>
              <w:rPr>
                <w:rFonts w:ascii="Arial Narrow" w:hAnsi="Arial Narrow"/>
                <w:b/>
                <w:bCs/>
                <w:spacing w:val="-5"/>
                <w:sz w:val="20"/>
                <w:szCs w:val="20"/>
              </w:rPr>
            </w:pPr>
            <w:r w:rsidRPr="00F007E7">
              <w:rPr>
                <w:rFonts w:ascii="Arial Narrow" w:hAnsi="Arial Narrow"/>
                <w:b/>
                <w:bCs/>
                <w:spacing w:val="-2"/>
                <w:sz w:val="20"/>
                <w:szCs w:val="20"/>
              </w:rPr>
              <w:t>AND</w:t>
            </w:r>
          </w:p>
        </w:tc>
      </w:tr>
      <w:tr w:rsidR="008C3EF1" w:rsidRPr="00F007E7" w14:paraId="19803689" w14:textId="77777777" w:rsidTr="00FB4E72">
        <w:tblPrEx>
          <w:tblCellMar>
            <w:top w:w="15" w:type="dxa"/>
            <w:bottom w:w="15" w:type="dxa"/>
          </w:tblCellMar>
          <w:tblLook w:val="04A0" w:firstRow="1" w:lastRow="0" w:firstColumn="1" w:lastColumn="0" w:noHBand="0" w:noVBand="1"/>
        </w:tblPrEx>
        <w:trPr>
          <w:cantSplit/>
          <w:trHeight w:val="20"/>
        </w:trPr>
        <w:tc>
          <w:tcPr>
            <w:tcW w:w="1274" w:type="dxa"/>
            <w:gridSpan w:val="2"/>
            <w:tcBorders>
              <w:top w:val="single" w:sz="4" w:space="0" w:color="auto"/>
              <w:left w:val="single" w:sz="4" w:space="0" w:color="auto"/>
              <w:bottom w:val="single" w:sz="4" w:space="0" w:color="auto"/>
              <w:right w:val="single" w:sz="4" w:space="0" w:color="auto"/>
            </w:tcBorders>
          </w:tcPr>
          <w:p w14:paraId="325F90BC" w14:textId="77777777" w:rsidR="008C3EF1" w:rsidRPr="00F007E7" w:rsidRDefault="008C3EF1" w:rsidP="00FB4E72">
            <w:pPr>
              <w:widowControl w:val="0"/>
              <w:jc w:val="center"/>
              <w:rPr>
                <w:rFonts w:ascii="Arial Narrow" w:hAnsi="Arial Narrow"/>
                <w:sz w:val="20"/>
                <w:szCs w:val="20"/>
              </w:rPr>
            </w:pPr>
          </w:p>
        </w:tc>
        <w:tc>
          <w:tcPr>
            <w:tcW w:w="7940" w:type="dxa"/>
            <w:gridSpan w:val="6"/>
            <w:tcBorders>
              <w:top w:val="single" w:sz="4" w:space="0" w:color="auto"/>
              <w:left w:val="single" w:sz="4" w:space="0" w:color="auto"/>
              <w:bottom w:val="single" w:sz="4" w:space="0" w:color="auto"/>
              <w:right w:val="single" w:sz="4" w:space="0" w:color="auto"/>
            </w:tcBorders>
          </w:tcPr>
          <w:p w14:paraId="1740516B" w14:textId="77777777" w:rsidR="008C3EF1" w:rsidRPr="00F007E7" w:rsidRDefault="008C3EF1" w:rsidP="00FB4E72">
            <w:pPr>
              <w:widowControl w:val="0"/>
              <w:rPr>
                <w:rFonts w:ascii="Arial Narrow" w:hAnsi="Arial Narrow"/>
                <w:b/>
                <w:bCs/>
                <w:spacing w:val="-5"/>
                <w:sz w:val="20"/>
                <w:szCs w:val="20"/>
              </w:rPr>
            </w:pPr>
            <w:r w:rsidRPr="00F007E7">
              <w:rPr>
                <w:rFonts w:ascii="Arial Narrow" w:hAnsi="Arial Narrow"/>
                <w:b/>
                <w:bCs/>
                <w:sz w:val="20"/>
                <w:szCs w:val="20"/>
              </w:rPr>
              <w:t>Clinical</w:t>
            </w:r>
            <w:r w:rsidRPr="00F007E7">
              <w:rPr>
                <w:rFonts w:ascii="Arial Narrow" w:hAnsi="Arial Narrow"/>
                <w:b/>
                <w:bCs/>
                <w:spacing w:val="-4"/>
                <w:sz w:val="20"/>
                <w:szCs w:val="20"/>
              </w:rPr>
              <w:t xml:space="preserve"> </w:t>
            </w:r>
            <w:r w:rsidRPr="00F007E7">
              <w:rPr>
                <w:rFonts w:ascii="Arial Narrow" w:hAnsi="Arial Narrow"/>
                <w:b/>
                <w:bCs/>
                <w:spacing w:val="-2"/>
                <w:sz w:val="20"/>
                <w:szCs w:val="20"/>
              </w:rPr>
              <w:t>criteria:</w:t>
            </w:r>
          </w:p>
        </w:tc>
      </w:tr>
      <w:tr w:rsidR="008C3EF1" w:rsidRPr="00F007E7" w14:paraId="7ACDB606" w14:textId="77777777" w:rsidTr="00FB4E72">
        <w:tblPrEx>
          <w:tblCellMar>
            <w:top w:w="15" w:type="dxa"/>
            <w:bottom w:w="15" w:type="dxa"/>
          </w:tblCellMar>
          <w:tblLook w:val="04A0" w:firstRow="1" w:lastRow="0" w:firstColumn="1" w:lastColumn="0" w:noHBand="0" w:noVBand="1"/>
        </w:tblPrEx>
        <w:trPr>
          <w:cantSplit/>
          <w:trHeight w:val="20"/>
        </w:trPr>
        <w:tc>
          <w:tcPr>
            <w:tcW w:w="1274" w:type="dxa"/>
            <w:gridSpan w:val="2"/>
            <w:tcBorders>
              <w:top w:val="single" w:sz="4" w:space="0" w:color="auto"/>
              <w:left w:val="single" w:sz="4" w:space="0" w:color="auto"/>
              <w:bottom w:val="single" w:sz="4" w:space="0" w:color="auto"/>
              <w:right w:val="single" w:sz="4" w:space="0" w:color="auto"/>
            </w:tcBorders>
          </w:tcPr>
          <w:p w14:paraId="66B8F63E" w14:textId="29ED4375" w:rsidR="008C3EF1" w:rsidRPr="00F007E7" w:rsidRDefault="008C3EF1" w:rsidP="00FB4E72">
            <w:pPr>
              <w:widowControl w:val="0"/>
              <w:jc w:val="center"/>
              <w:rPr>
                <w:rFonts w:ascii="Arial Narrow" w:hAnsi="Arial Narrow"/>
                <w:sz w:val="20"/>
                <w:szCs w:val="20"/>
              </w:rPr>
            </w:pPr>
          </w:p>
        </w:tc>
        <w:tc>
          <w:tcPr>
            <w:tcW w:w="7940" w:type="dxa"/>
            <w:gridSpan w:val="6"/>
            <w:tcBorders>
              <w:top w:val="single" w:sz="4" w:space="0" w:color="auto"/>
              <w:left w:val="single" w:sz="4" w:space="0" w:color="auto"/>
              <w:bottom w:val="single" w:sz="4" w:space="0" w:color="auto"/>
              <w:right w:val="single" w:sz="4" w:space="0" w:color="auto"/>
            </w:tcBorders>
          </w:tcPr>
          <w:p w14:paraId="60CB8582" w14:textId="77777777" w:rsidR="008C3EF1" w:rsidRPr="00F007E7" w:rsidRDefault="008C3EF1" w:rsidP="00FB4E72">
            <w:pPr>
              <w:widowControl w:val="0"/>
              <w:rPr>
                <w:rFonts w:ascii="Arial Narrow" w:hAnsi="Arial Narrow"/>
                <w:b/>
                <w:bCs/>
                <w:sz w:val="20"/>
                <w:szCs w:val="20"/>
              </w:rPr>
            </w:pPr>
            <w:r w:rsidRPr="00F007E7">
              <w:rPr>
                <w:rFonts w:ascii="Arial Narrow" w:hAnsi="Arial Narrow"/>
                <w:spacing w:val="-2"/>
                <w:sz w:val="20"/>
                <w:szCs w:val="20"/>
              </w:rPr>
              <w:t>Patient must not have developed disease progression while receiving treatment with this drug for this condition.</w:t>
            </w:r>
          </w:p>
        </w:tc>
      </w:tr>
      <w:tr w:rsidR="008C3EF1" w:rsidRPr="00F007E7" w14:paraId="50735CFE" w14:textId="77777777" w:rsidTr="00FB4E72">
        <w:tblPrEx>
          <w:tblCellMar>
            <w:top w:w="15" w:type="dxa"/>
            <w:bottom w:w="15" w:type="dxa"/>
          </w:tblCellMar>
          <w:tblLook w:val="04A0" w:firstRow="1" w:lastRow="0" w:firstColumn="1" w:lastColumn="0" w:noHBand="0" w:noVBand="1"/>
        </w:tblPrEx>
        <w:trPr>
          <w:cantSplit/>
          <w:trHeight w:val="20"/>
        </w:trPr>
        <w:tc>
          <w:tcPr>
            <w:tcW w:w="1274" w:type="dxa"/>
            <w:gridSpan w:val="2"/>
            <w:tcBorders>
              <w:top w:val="single" w:sz="4" w:space="0" w:color="auto"/>
              <w:left w:val="single" w:sz="4" w:space="0" w:color="auto"/>
              <w:bottom w:val="single" w:sz="4" w:space="0" w:color="auto"/>
              <w:right w:val="single" w:sz="4" w:space="0" w:color="auto"/>
            </w:tcBorders>
          </w:tcPr>
          <w:p w14:paraId="40CCF04D" w14:textId="77777777" w:rsidR="008C3EF1" w:rsidRPr="00F007E7" w:rsidRDefault="008C3EF1" w:rsidP="00FB4E72">
            <w:pPr>
              <w:widowControl w:val="0"/>
              <w:jc w:val="center"/>
              <w:rPr>
                <w:rFonts w:ascii="Arial Narrow" w:hAnsi="Arial Narrow"/>
                <w:sz w:val="20"/>
                <w:szCs w:val="20"/>
              </w:rPr>
            </w:pPr>
          </w:p>
        </w:tc>
        <w:tc>
          <w:tcPr>
            <w:tcW w:w="7940" w:type="dxa"/>
            <w:gridSpan w:val="6"/>
            <w:tcBorders>
              <w:top w:val="single" w:sz="4" w:space="0" w:color="auto"/>
              <w:left w:val="single" w:sz="4" w:space="0" w:color="auto"/>
              <w:bottom w:val="single" w:sz="4" w:space="0" w:color="auto"/>
              <w:right w:val="single" w:sz="4" w:space="0" w:color="auto"/>
            </w:tcBorders>
          </w:tcPr>
          <w:p w14:paraId="112B9803" w14:textId="77777777" w:rsidR="008C3EF1" w:rsidRPr="00F007E7" w:rsidRDefault="008C3EF1" w:rsidP="00FB4E72">
            <w:pPr>
              <w:widowControl w:val="0"/>
              <w:rPr>
                <w:rFonts w:ascii="Arial Narrow" w:hAnsi="Arial Narrow"/>
                <w:spacing w:val="-2"/>
                <w:sz w:val="20"/>
                <w:szCs w:val="20"/>
              </w:rPr>
            </w:pPr>
            <w:r w:rsidRPr="00F007E7">
              <w:rPr>
                <w:rFonts w:ascii="Arial Narrow" w:hAnsi="Arial Narrow"/>
                <w:b/>
                <w:bCs/>
                <w:spacing w:val="-5"/>
                <w:sz w:val="20"/>
                <w:szCs w:val="20"/>
              </w:rPr>
              <w:t>AND</w:t>
            </w:r>
          </w:p>
        </w:tc>
      </w:tr>
      <w:tr w:rsidR="002D2EBB" w:rsidRPr="00F007E7" w14:paraId="3069834B" w14:textId="77777777" w:rsidTr="00FB4E72">
        <w:tblPrEx>
          <w:tblCellMar>
            <w:top w:w="15" w:type="dxa"/>
            <w:bottom w:w="15" w:type="dxa"/>
          </w:tblCellMar>
          <w:tblLook w:val="04A0" w:firstRow="1" w:lastRow="0" w:firstColumn="1" w:lastColumn="0" w:noHBand="0" w:noVBand="1"/>
        </w:tblPrEx>
        <w:trPr>
          <w:cantSplit/>
          <w:trHeight w:val="20"/>
        </w:trPr>
        <w:tc>
          <w:tcPr>
            <w:tcW w:w="1274" w:type="dxa"/>
            <w:gridSpan w:val="2"/>
            <w:tcBorders>
              <w:top w:val="single" w:sz="4" w:space="0" w:color="auto"/>
              <w:left w:val="single" w:sz="4" w:space="0" w:color="auto"/>
              <w:bottom w:val="single" w:sz="4" w:space="0" w:color="auto"/>
              <w:right w:val="single" w:sz="4" w:space="0" w:color="auto"/>
            </w:tcBorders>
          </w:tcPr>
          <w:p w14:paraId="132A75FD" w14:textId="77777777" w:rsidR="002D2EBB" w:rsidRPr="00F007E7" w:rsidRDefault="002D2EBB" w:rsidP="00FB4E72">
            <w:pPr>
              <w:widowControl w:val="0"/>
              <w:jc w:val="center"/>
              <w:rPr>
                <w:rFonts w:ascii="Arial Narrow" w:hAnsi="Arial Narrow"/>
                <w:sz w:val="20"/>
                <w:szCs w:val="20"/>
              </w:rPr>
            </w:pPr>
          </w:p>
        </w:tc>
        <w:tc>
          <w:tcPr>
            <w:tcW w:w="7940" w:type="dxa"/>
            <w:gridSpan w:val="6"/>
            <w:tcBorders>
              <w:top w:val="single" w:sz="4" w:space="0" w:color="auto"/>
              <w:left w:val="single" w:sz="4" w:space="0" w:color="auto"/>
              <w:bottom w:val="single" w:sz="4" w:space="0" w:color="auto"/>
              <w:right w:val="single" w:sz="4" w:space="0" w:color="auto"/>
            </w:tcBorders>
          </w:tcPr>
          <w:p w14:paraId="5EFD2461" w14:textId="1978F55D" w:rsidR="002D2EBB" w:rsidRPr="00F007E7" w:rsidRDefault="00B55D3B" w:rsidP="00FB4E72">
            <w:pPr>
              <w:widowControl w:val="0"/>
              <w:rPr>
                <w:rFonts w:ascii="Arial Narrow" w:hAnsi="Arial Narrow"/>
                <w:b/>
                <w:bCs/>
                <w:sz w:val="20"/>
                <w:szCs w:val="20"/>
              </w:rPr>
            </w:pPr>
            <w:r w:rsidRPr="00F007E7">
              <w:rPr>
                <w:rFonts w:ascii="Arial Narrow" w:hAnsi="Arial Narrow"/>
                <w:b/>
                <w:bCs/>
                <w:sz w:val="20"/>
                <w:szCs w:val="20"/>
              </w:rPr>
              <w:t xml:space="preserve">Clinical </w:t>
            </w:r>
            <w:r w:rsidR="002D2EBB" w:rsidRPr="00F007E7">
              <w:rPr>
                <w:rFonts w:ascii="Arial Narrow" w:hAnsi="Arial Narrow"/>
                <w:b/>
                <w:bCs/>
                <w:sz w:val="20"/>
                <w:szCs w:val="20"/>
              </w:rPr>
              <w:t>criteria:</w:t>
            </w:r>
          </w:p>
        </w:tc>
      </w:tr>
      <w:tr w:rsidR="002D2EBB" w:rsidRPr="00075B73" w14:paraId="14300EEC" w14:textId="77777777" w:rsidTr="00FB4E72">
        <w:tblPrEx>
          <w:tblCellMar>
            <w:top w:w="15" w:type="dxa"/>
            <w:bottom w:w="15" w:type="dxa"/>
          </w:tblCellMar>
          <w:tblLook w:val="04A0" w:firstRow="1" w:lastRow="0" w:firstColumn="1" w:lastColumn="0" w:noHBand="0" w:noVBand="1"/>
        </w:tblPrEx>
        <w:trPr>
          <w:cantSplit/>
          <w:trHeight w:val="20"/>
        </w:trPr>
        <w:tc>
          <w:tcPr>
            <w:tcW w:w="1274" w:type="dxa"/>
            <w:gridSpan w:val="2"/>
            <w:tcBorders>
              <w:top w:val="single" w:sz="4" w:space="0" w:color="auto"/>
              <w:left w:val="single" w:sz="4" w:space="0" w:color="auto"/>
              <w:bottom w:val="single" w:sz="4" w:space="0" w:color="auto"/>
              <w:right w:val="single" w:sz="4" w:space="0" w:color="auto"/>
            </w:tcBorders>
          </w:tcPr>
          <w:p w14:paraId="64148EF6" w14:textId="0E41A5A4" w:rsidR="002D2EBB" w:rsidRPr="00F007E7" w:rsidRDefault="002D2EBB" w:rsidP="00FB4E72">
            <w:pPr>
              <w:widowControl w:val="0"/>
              <w:jc w:val="center"/>
              <w:rPr>
                <w:rFonts w:ascii="Arial Narrow" w:hAnsi="Arial Narrow"/>
                <w:sz w:val="20"/>
                <w:szCs w:val="20"/>
              </w:rPr>
            </w:pPr>
          </w:p>
        </w:tc>
        <w:tc>
          <w:tcPr>
            <w:tcW w:w="7940" w:type="dxa"/>
            <w:gridSpan w:val="6"/>
            <w:tcBorders>
              <w:top w:val="single" w:sz="4" w:space="0" w:color="auto"/>
              <w:left w:val="single" w:sz="4" w:space="0" w:color="auto"/>
              <w:bottom w:val="single" w:sz="4" w:space="0" w:color="auto"/>
              <w:right w:val="single" w:sz="4" w:space="0" w:color="auto"/>
            </w:tcBorders>
          </w:tcPr>
          <w:p w14:paraId="03BD6749" w14:textId="00BB2569" w:rsidR="002D2EBB" w:rsidRPr="00F007E7" w:rsidRDefault="002D2EBB" w:rsidP="00FB4E72">
            <w:pPr>
              <w:widowControl w:val="0"/>
              <w:rPr>
                <w:rFonts w:ascii="Arial Narrow" w:hAnsi="Arial Narrow"/>
                <w:sz w:val="20"/>
                <w:szCs w:val="20"/>
              </w:rPr>
            </w:pPr>
            <w:r w:rsidRPr="00F007E7">
              <w:rPr>
                <w:rFonts w:ascii="Arial Narrow" w:hAnsi="Arial Narrow"/>
                <w:sz w:val="20"/>
                <w:szCs w:val="20"/>
              </w:rPr>
              <w:t>T</w:t>
            </w:r>
            <w:r w:rsidR="00B55D3B" w:rsidRPr="00F007E7">
              <w:rPr>
                <w:rFonts w:ascii="Arial Narrow" w:hAnsi="Arial Narrow"/>
                <w:sz w:val="20"/>
                <w:szCs w:val="20"/>
              </w:rPr>
              <w:t>he t</w:t>
            </w:r>
            <w:r w:rsidRPr="00F007E7">
              <w:rPr>
                <w:rFonts w:ascii="Arial Narrow" w:hAnsi="Arial Narrow"/>
                <w:sz w:val="20"/>
                <w:szCs w:val="20"/>
              </w:rPr>
              <w:t xml:space="preserve">reatment must be </w:t>
            </w:r>
            <w:r w:rsidR="00C9006C" w:rsidRPr="00F007E7">
              <w:rPr>
                <w:rFonts w:ascii="Arial Narrow" w:hAnsi="Arial Narrow"/>
                <w:sz w:val="20"/>
                <w:szCs w:val="20"/>
              </w:rPr>
              <w:t xml:space="preserve">the sole PBS-subsidised systemic anti-cancer therapy </w:t>
            </w:r>
            <w:r w:rsidR="00F97BC5" w:rsidRPr="00F007E7">
              <w:rPr>
                <w:rFonts w:ascii="Arial Narrow" w:hAnsi="Arial Narrow"/>
                <w:sz w:val="20"/>
                <w:szCs w:val="20"/>
              </w:rPr>
              <w:t>for this condition</w:t>
            </w:r>
          </w:p>
        </w:tc>
      </w:tr>
      <w:tr w:rsidR="008C3EF1" w:rsidRPr="00075B73" w14:paraId="5FBA28B9" w14:textId="77777777" w:rsidTr="00FB4E72">
        <w:tblPrEx>
          <w:tblCellMar>
            <w:top w:w="15" w:type="dxa"/>
            <w:bottom w:w="15" w:type="dxa"/>
          </w:tblCellMar>
          <w:tblLook w:val="04A0" w:firstRow="1" w:lastRow="0" w:firstColumn="1" w:lastColumn="0" w:noHBand="0" w:noVBand="1"/>
        </w:tblPrEx>
        <w:trPr>
          <w:cantSplit/>
          <w:trHeight w:val="62"/>
        </w:trPr>
        <w:tc>
          <w:tcPr>
            <w:tcW w:w="1274" w:type="dxa"/>
            <w:gridSpan w:val="2"/>
            <w:tcBorders>
              <w:top w:val="single" w:sz="4" w:space="0" w:color="auto"/>
              <w:left w:val="single" w:sz="4" w:space="0" w:color="auto"/>
              <w:bottom w:val="single" w:sz="4" w:space="0" w:color="auto"/>
              <w:right w:val="single" w:sz="4" w:space="0" w:color="auto"/>
            </w:tcBorders>
          </w:tcPr>
          <w:p w14:paraId="677CB076" w14:textId="077C38A8" w:rsidR="008C3EF1" w:rsidRPr="00075B73" w:rsidRDefault="008C3EF1" w:rsidP="00FB4E72">
            <w:pPr>
              <w:widowControl w:val="0"/>
              <w:jc w:val="center"/>
              <w:rPr>
                <w:rFonts w:ascii="Arial Narrow" w:hAnsi="Arial Narrow"/>
                <w:sz w:val="20"/>
                <w:szCs w:val="20"/>
              </w:rPr>
            </w:pPr>
          </w:p>
        </w:tc>
        <w:tc>
          <w:tcPr>
            <w:tcW w:w="7940" w:type="dxa"/>
            <w:gridSpan w:val="6"/>
            <w:tcBorders>
              <w:top w:val="single" w:sz="4" w:space="0" w:color="auto"/>
              <w:left w:val="single" w:sz="4" w:space="0" w:color="auto"/>
              <w:bottom w:val="single" w:sz="4" w:space="0" w:color="auto"/>
              <w:right w:val="single" w:sz="4" w:space="0" w:color="auto"/>
            </w:tcBorders>
          </w:tcPr>
          <w:p w14:paraId="358A81EC" w14:textId="77777777" w:rsidR="008C3EF1" w:rsidRPr="00075B73" w:rsidRDefault="008C3EF1" w:rsidP="00FB4E72">
            <w:pPr>
              <w:pStyle w:val="TableParagraph"/>
              <w:kinsoku w:val="0"/>
              <w:overflowPunct w:val="0"/>
              <w:spacing w:line="201" w:lineRule="exact"/>
              <w:ind w:left="13"/>
              <w:rPr>
                <w:b/>
                <w:bCs/>
                <w:spacing w:val="-2"/>
                <w:sz w:val="20"/>
                <w:szCs w:val="20"/>
              </w:rPr>
            </w:pPr>
            <w:r w:rsidRPr="00075B73">
              <w:rPr>
                <w:b/>
                <w:bCs/>
                <w:spacing w:val="-2"/>
                <w:sz w:val="20"/>
                <w:szCs w:val="20"/>
              </w:rPr>
              <w:t>Prescribing Instructions:</w:t>
            </w:r>
          </w:p>
          <w:p w14:paraId="1DA71985" w14:textId="77777777" w:rsidR="008C3EF1" w:rsidRPr="00075B73" w:rsidRDefault="008C3EF1" w:rsidP="00FB4E72">
            <w:pPr>
              <w:pStyle w:val="TableParagraph"/>
              <w:kinsoku w:val="0"/>
              <w:overflowPunct w:val="0"/>
              <w:spacing w:line="201" w:lineRule="exact"/>
              <w:ind w:left="13"/>
              <w:rPr>
                <w:spacing w:val="-2"/>
                <w:sz w:val="20"/>
                <w:szCs w:val="20"/>
              </w:rPr>
            </w:pPr>
            <w:r w:rsidRPr="00075B73">
              <w:rPr>
                <w:spacing w:val="-2"/>
                <w:sz w:val="20"/>
                <w:szCs w:val="20"/>
              </w:rPr>
              <w:t>Progressive disease is defined as at least 1 of the following:</w:t>
            </w:r>
          </w:p>
          <w:p w14:paraId="2E8AD48A" w14:textId="77777777" w:rsidR="008C3EF1" w:rsidRPr="00075B73" w:rsidRDefault="008C3EF1" w:rsidP="00FB4E72">
            <w:pPr>
              <w:pStyle w:val="TableParagraph"/>
              <w:kinsoku w:val="0"/>
              <w:overflowPunct w:val="0"/>
              <w:spacing w:line="201" w:lineRule="exact"/>
              <w:ind w:left="13"/>
              <w:rPr>
                <w:spacing w:val="-2"/>
                <w:sz w:val="20"/>
                <w:szCs w:val="20"/>
              </w:rPr>
            </w:pPr>
          </w:p>
          <w:p w14:paraId="1F088814" w14:textId="77777777" w:rsidR="008C3EF1" w:rsidRPr="00075B73" w:rsidRDefault="008C3EF1" w:rsidP="00FB4E72">
            <w:pPr>
              <w:pStyle w:val="TableParagraph"/>
              <w:kinsoku w:val="0"/>
              <w:overflowPunct w:val="0"/>
              <w:spacing w:line="201" w:lineRule="exact"/>
              <w:ind w:left="13"/>
              <w:rPr>
                <w:spacing w:val="-2"/>
                <w:sz w:val="20"/>
                <w:szCs w:val="20"/>
              </w:rPr>
            </w:pPr>
            <w:r w:rsidRPr="00075B73">
              <w:rPr>
                <w:spacing w:val="-2"/>
                <w:sz w:val="20"/>
                <w:szCs w:val="20"/>
              </w:rPr>
              <w:t>(a) at least a 25% increase and an absolute increase of at least 5 g per L in serum M protein (monoclonal protein); or</w:t>
            </w:r>
          </w:p>
          <w:p w14:paraId="255927DB" w14:textId="77777777" w:rsidR="008C3EF1" w:rsidRPr="00075B73" w:rsidRDefault="008C3EF1" w:rsidP="00FB4E72">
            <w:pPr>
              <w:pStyle w:val="TableParagraph"/>
              <w:kinsoku w:val="0"/>
              <w:overflowPunct w:val="0"/>
              <w:spacing w:line="201" w:lineRule="exact"/>
              <w:ind w:left="13"/>
              <w:rPr>
                <w:spacing w:val="-2"/>
                <w:sz w:val="20"/>
                <w:szCs w:val="20"/>
              </w:rPr>
            </w:pPr>
          </w:p>
          <w:p w14:paraId="685AC610" w14:textId="77777777" w:rsidR="008C3EF1" w:rsidRPr="00075B73" w:rsidRDefault="008C3EF1" w:rsidP="00FB4E72">
            <w:pPr>
              <w:pStyle w:val="TableParagraph"/>
              <w:kinsoku w:val="0"/>
              <w:overflowPunct w:val="0"/>
              <w:spacing w:line="201" w:lineRule="exact"/>
              <w:ind w:left="13"/>
              <w:rPr>
                <w:spacing w:val="-2"/>
                <w:sz w:val="20"/>
                <w:szCs w:val="20"/>
              </w:rPr>
            </w:pPr>
            <w:r w:rsidRPr="00075B73">
              <w:rPr>
                <w:spacing w:val="-2"/>
                <w:sz w:val="20"/>
                <w:szCs w:val="20"/>
              </w:rPr>
              <w:t>(b) at least a 25% increase in 24-hour urinary light chain M protein excretion, and an absolute increase of at least 200 mg per 24 hours; or</w:t>
            </w:r>
          </w:p>
          <w:p w14:paraId="7D6D34EB" w14:textId="77777777" w:rsidR="008C3EF1" w:rsidRPr="00075B73" w:rsidRDefault="008C3EF1" w:rsidP="00FB4E72">
            <w:pPr>
              <w:pStyle w:val="TableParagraph"/>
              <w:kinsoku w:val="0"/>
              <w:overflowPunct w:val="0"/>
              <w:spacing w:line="201" w:lineRule="exact"/>
              <w:ind w:left="13"/>
              <w:rPr>
                <w:spacing w:val="-2"/>
                <w:sz w:val="20"/>
                <w:szCs w:val="20"/>
              </w:rPr>
            </w:pPr>
          </w:p>
          <w:p w14:paraId="619404CB" w14:textId="77777777" w:rsidR="008C3EF1" w:rsidRPr="00075B73" w:rsidRDefault="008C3EF1" w:rsidP="00FB4E72">
            <w:pPr>
              <w:pStyle w:val="TableParagraph"/>
              <w:kinsoku w:val="0"/>
              <w:overflowPunct w:val="0"/>
              <w:spacing w:line="201" w:lineRule="exact"/>
              <w:ind w:left="13"/>
              <w:rPr>
                <w:spacing w:val="-2"/>
                <w:sz w:val="20"/>
                <w:szCs w:val="20"/>
              </w:rPr>
            </w:pPr>
            <w:r w:rsidRPr="00075B73">
              <w:rPr>
                <w:spacing w:val="-2"/>
                <w:sz w:val="20"/>
                <w:szCs w:val="20"/>
              </w:rPr>
              <w:t>(c) in oligo-secretory and non-secretory myeloma patients only, at least a 50% increase in the difference between involved free light chain and uninvolved free light chain; or</w:t>
            </w:r>
          </w:p>
          <w:p w14:paraId="0688CF78" w14:textId="77777777" w:rsidR="008C3EF1" w:rsidRPr="00075B73" w:rsidRDefault="008C3EF1" w:rsidP="00FB4E72">
            <w:pPr>
              <w:pStyle w:val="TableParagraph"/>
              <w:kinsoku w:val="0"/>
              <w:overflowPunct w:val="0"/>
              <w:spacing w:line="201" w:lineRule="exact"/>
              <w:ind w:left="13"/>
              <w:rPr>
                <w:spacing w:val="-2"/>
                <w:sz w:val="20"/>
                <w:szCs w:val="20"/>
              </w:rPr>
            </w:pPr>
          </w:p>
          <w:p w14:paraId="498BDB67" w14:textId="77777777" w:rsidR="008C3EF1" w:rsidRPr="00075B73" w:rsidRDefault="008C3EF1" w:rsidP="00FB4E72">
            <w:pPr>
              <w:pStyle w:val="TableParagraph"/>
              <w:kinsoku w:val="0"/>
              <w:overflowPunct w:val="0"/>
              <w:spacing w:line="201" w:lineRule="exact"/>
              <w:ind w:left="13"/>
              <w:rPr>
                <w:spacing w:val="-2"/>
                <w:sz w:val="20"/>
                <w:szCs w:val="20"/>
              </w:rPr>
            </w:pPr>
            <w:r w:rsidRPr="00075B73">
              <w:rPr>
                <w:spacing w:val="-2"/>
                <w:sz w:val="20"/>
                <w:szCs w:val="20"/>
              </w:rPr>
              <w:t>(d) at least a 25% relative increase and at least a 10% absolute increase in plasma cells in a bone marrow aspirate or on biopsy; or</w:t>
            </w:r>
          </w:p>
          <w:p w14:paraId="156CC9B9" w14:textId="77777777" w:rsidR="008C3EF1" w:rsidRPr="00075B73" w:rsidRDefault="008C3EF1" w:rsidP="00FB4E72">
            <w:pPr>
              <w:pStyle w:val="TableParagraph"/>
              <w:kinsoku w:val="0"/>
              <w:overflowPunct w:val="0"/>
              <w:spacing w:line="201" w:lineRule="exact"/>
              <w:ind w:left="13"/>
              <w:rPr>
                <w:spacing w:val="-2"/>
                <w:sz w:val="20"/>
                <w:szCs w:val="20"/>
              </w:rPr>
            </w:pPr>
          </w:p>
          <w:p w14:paraId="098386BE" w14:textId="77777777" w:rsidR="008C3EF1" w:rsidRPr="00075B73" w:rsidRDefault="008C3EF1" w:rsidP="00FB4E72">
            <w:pPr>
              <w:pStyle w:val="TableParagraph"/>
              <w:kinsoku w:val="0"/>
              <w:overflowPunct w:val="0"/>
              <w:spacing w:line="201" w:lineRule="exact"/>
              <w:ind w:left="13"/>
              <w:rPr>
                <w:spacing w:val="-2"/>
                <w:sz w:val="20"/>
                <w:szCs w:val="20"/>
              </w:rPr>
            </w:pPr>
            <w:r w:rsidRPr="00075B73">
              <w:rPr>
                <w:spacing w:val="-2"/>
                <w:sz w:val="20"/>
                <w:szCs w:val="20"/>
              </w:rPr>
              <w:t>(e) an increase in the size or number of lytic bone lesions (not including compression fractures); or</w:t>
            </w:r>
          </w:p>
          <w:p w14:paraId="15D4D3E9" w14:textId="77777777" w:rsidR="008C3EF1" w:rsidRPr="00075B73" w:rsidRDefault="008C3EF1" w:rsidP="00FB4E72">
            <w:pPr>
              <w:pStyle w:val="TableParagraph"/>
              <w:kinsoku w:val="0"/>
              <w:overflowPunct w:val="0"/>
              <w:spacing w:line="201" w:lineRule="exact"/>
              <w:ind w:left="13"/>
              <w:rPr>
                <w:spacing w:val="-2"/>
                <w:sz w:val="20"/>
                <w:szCs w:val="20"/>
              </w:rPr>
            </w:pPr>
          </w:p>
          <w:p w14:paraId="20D23D8E" w14:textId="77777777" w:rsidR="008C3EF1" w:rsidRPr="00075B73" w:rsidRDefault="008C3EF1" w:rsidP="00FB4E72">
            <w:pPr>
              <w:pStyle w:val="TableParagraph"/>
              <w:kinsoku w:val="0"/>
              <w:overflowPunct w:val="0"/>
              <w:spacing w:line="201" w:lineRule="exact"/>
              <w:ind w:left="13"/>
              <w:rPr>
                <w:spacing w:val="-2"/>
                <w:sz w:val="20"/>
                <w:szCs w:val="20"/>
              </w:rPr>
            </w:pPr>
            <w:r w:rsidRPr="00075B73">
              <w:rPr>
                <w:spacing w:val="-2"/>
                <w:sz w:val="20"/>
                <w:szCs w:val="20"/>
              </w:rPr>
              <w:t>(f) at least a 25% increase in the size of an existing or the development of a new soft tissue plasmacytoma (determined by clinical examination or diagnostic imaging); or</w:t>
            </w:r>
          </w:p>
          <w:p w14:paraId="3C9034FF" w14:textId="77777777" w:rsidR="008C3EF1" w:rsidRPr="00075B73" w:rsidRDefault="008C3EF1" w:rsidP="00FB4E72">
            <w:pPr>
              <w:pStyle w:val="TableParagraph"/>
              <w:kinsoku w:val="0"/>
              <w:overflowPunct w:val="0"/>
              <w:spacing w:line="201" w:lineRule="exact"/>
              <w:ind w:left="13"/>
              <w:rPr>
                <w:spacing w:val="-2"/>
                <w:sz w:val="20"/>
                <w:szCs w:val="20"/>
              </w:rPr>
            </w:pPr>
          </w:p>
          <w:p w14:paraId="034DEE43" w14:textId="77777777" w:rsidR="008C3EF1" w:rsidRPr="00075B73" w:rsidRDefault="008C3EF1" w:rsidP="00FB4E72">
            <w:pPr>
              <w:pStyle w:val="TableParagraph"/>
              <w:kinsoku w:val="0"/>
              <w:overflowPunct w:val="0"/>
              <w:spacing w:line="201" w:lineRule="exact"/>
              <w:ind w:left="13"/>
              <w:rPr>
                <w:spacing w:val="-2"/>
                <w:sz w:val="20"/>
                <w:szCs w:val="20"/>
              </w:rPr>
            </w:pPr>
            <w:r w:rsidRPr="00075B73">
              <w:rPr>
                <w:spacing w:val="-2"/>
                <w:sz w:val="20"/>
                <w:szCs w:val="20"/>
              </w:rPr>
              <w:t>(g) development of hypercalcaemia (corrected serum calcium greater than 2.65 mmol per L not attributable to any other cause).</w:t>
            </w:r>
          </w:p>
        </w:tc>
      </w:tr>
      <w:tr w:rsidR="008C3EF1" w:rsidRPr="00075B73" w14:paraId="16462D3A" w14:textId="77777777" w:rsidTr="00FB4E72">
        <w:tblPrEx>
          <w:tblCellMar>
            <w:top w:w="15" w:type="dxa"/>
            <w:bottom w:w="15" w:type="dxa"/>
          </w:tblCellMar>
          <w:tblLook w:val="04A0" w:firstRow="1" w:lastRow="0" w:firstColumn="1" w:lastColumn="0" w:noHBand="0" w:noVBand="1"/>
        </w:tblPrEx>
        <w:trPr>
          <w:cantSplit/>
          <w:trHeight w:val="20"/>
        </w:trPr>
        <w:tc>
          <w:tcPr>
            <w:tcW w:w="1274" w:type="dxa"/>
            <w:gridSpan w:val="2"/>
            <w:tcBorders>
              <w:top w:val="single" w:sz="4" w:space="0" w:color="auto"/>
              <w:left w:val="single" w:sz="4" w:space="0" w:color="auto"/>
              <w:bottom w:val="single" w:sz="4" w:space="0" w:color="auto"/>
              <w:right w:val="single" w:sz="4" w:space="0" w:color="auto"/>
            </w:tcBorders>
          </w:tcPr>
          <w:p w14:paraId="03B93DBF" w14:textId="6F3C394A" w:rsidR="0050488F" w:rsidRPr="00075B73" w:rsidRDefault="0050488F" w:rsidP="00FB4E72">
            <w:pPr>
              <w:widowControl w:val="0"/>
              <w:jc w:val="center"/>
              <w:rPr>
                <w:rFonts w:ascii="Arial Narrow" w:hAnsi="Arial Narrow"/>
                <w:sz w:val="20"/>
                <w:szCs w:val="20"/>
              </w:rPr>
            </w:pPr>
          </w:p>
        </w:tc>
        <w:tc>
          <w:tcPr>
            <w:tcW w:w="7940" w:type="dxa"/>
            <w:gridSpan w:val="6"/>
            <w:tcBorders>
              <w:top w:val="single" w:sz="4" w:space="0" w:color="auto"/>
              <w:left w:val="single" w:sz="4" w:space="0" w:color="auto"/>
              <w:bottom w:val="single" w:sz="4" w:space="0" w:color="auto"/>
              <w:right w:val="single" w:sz="4" w:space="0" w:color="auto"/>
            </w:tcBorders>
          </w:tcPr>
          <w:p w14:paraId="74826827" w14:textId="77777777" w:rsidR="008C3EF1" w:rsidRPr="00075B73" w:rsidRDefault="008C3EF1" w:rsidP="00FB4E72">
            <w:pPr>
              <w:pStyle w:val="TableParagraph"/>
              <w:kinsoku w:val="0"/>
              <w:overflowPunct w:val="0"/>
              <w:spacing w:line="201" w:lineRule="exact"/>
              <w:ind w:left="13"/>
              <w:rPr>
                <w:b/>
                <w:bCs/>
                <w:spacing w:val="-2"/>
                <w:sz w:val="20"/>
                <w:szCs w:val="20"/>
              </w:rPr>
            </w:pPr>
            <w:r w:rsidRPr="00075B73">
              <w:rPr>
                <w:b/>
                <w:bCs/>
                <w:spacing w:val="-2"/>
                <w:sz w:val="20"/>
                <w:szCs w:val="20"/>
              </w:rPr>
              <w:t>Prescribing Instructions:</w:t>
            </w:r>
          </w:p>
          <w:p w14:paraId="49E2A0F8" w14:textId="7B6EC669" w:rsidR="008C3EF1" w:rsidRPr="00075B73" w:rsidRDefault="008C3EF1" w:rsidP="00FB4E72">
            <w:pPr>
              <w:widowControl w:val="0"/>
              <w:rPr>
                <w:rFonts w:ascii="Arial Narrow" w:hAnsi="Arial Narrow"/>
                <w:sz w:val="20"/>
                <w:szCs w:val="20"/>
              </w:rPr>
            </w:pPr>
            <w:r w:rsidRPr="00075B73">
              <w:rPr>
                <w:rFonts w:ascii="Arial Narrow" w:eastAsiaTheme="minorEastAsia" w:hAnsi="Arial Narrow" w:cs="Arial Narrow"/>
                <w:spacing w:val="-2"/>
                <w:sz w:val="20"/>
                <w:szCs w:val="20"/>
              </w:rPr>
              <w:t>Prescribers may request the number of vials in line with the dosing requirement for each stage of treatment</w:t>
            </w:r>
            <w:r w:rsidR="00784C1D">
              <w:rPr>
                <w:rFonts w:ascii="Arial Narrow" w:eastAsiaTheme="minorEastAsia" w:hAnsi="Arial Narrow" w:cs="Arial Narrow"/>
                <w:spacing w:val="-2"/>
                <w:sz w:val="20"/>
                <w:szCs w:val="20"/>
              </w:rPr>
              <w:t xml:space="preserve"> with the intention of providing the number of vials for each 4-weeks of treatment (24-weeks of treatment including repeats)</w:t>
            </w:r>
            <w:r w:rsidR="00784C1D" w:rsidRPr="00180B7D">
              <w:rPr>
                <w:rFonts w:ascii="Arial Narrow" w:eastAsiaTheme="minorEastAsia" w:hAnsi="Arial Narrow" w:cs="Arial Narrow"/>
                <w:spacing w:val="-2"/>
                <w:sz w:val="20"/>
                <w:szCs w:val="20"/>
              </w:rPr>
              <w:t>.</w:t>
            </w:r>
            <w:r w:rsidR="00784C1D">
              <w:rPr>
                <w:rFonts w:ascii="Arial Narrow" w:eastAsiaTheme="minorEastAsia" w:hAnsi="Arial Narrow" w:cs="Arial Narrow"/>
                <w:spacing w:val="-2"/>
                <w:sz w:val="20"/>
                <w:szCs w:val="20"/>
              </w:rPr>
              <w:t xml:space="preserve"> Up to 4 vials with 5 repeats may be requested for a patient undergoing treatment in weeks 2-26. Up to 2 vials with 5 repeats may be requested for a patient undergoing treatment from week 27 onwards</w:t>
            </w:r>
            <w:r w:rsidRPr="00075B73">
              <w:rPr>
                <w:rFonts w:ascii="Arial Narrow" w:eastAsiaTheme="minorEastAsia" w:hAnsi="Arial Narrow" w:cs="Arial Narrow"/>
                <w:spacing w:val="-2"/>
                <w:sz w:val="20"/>
                <w:szCs w:val="20"/>
              </w:rPr>
              <w:t>. Requests beyond what is listed in the</w:t>
            </w:r>
            <w:r w:rsidR="00784C1D">
              <w:rPr>
                <w:rFonts w:ascii="Arial Narrow" w:eastAsiaTheme="minorEastAsia" w:hAnsi="Arial Narrow" w:cs="Arial Narrow"/>
                <w:spacing w:val="-2"/>
                <w:sz w:val="20"/>
                <w:szCs w:val="20"/>
              </w:rPr>
              <w:t xml:space="preserve"> TGA approved product information</w:t>
            </w:r>
            <w:r w:rsidRPr="00075B73">
              <w:rPr>
                <w:rFonts w:ascii="Arial Narrow" w:eastAsiaTheme="minorEastAsia" w:hAnsi="Arial Narrow" w:cs="Arial Narrow"/>
                <w:spacing w:val="-2"/>
                <w:sz w:val="20"/>
                <w:szCs w:val="20"/>
              </w:rPr>
              <w:t xml:space="preserve"> will not be approved. </w:t>
            </w:r>
          </w:p>
        </w:tc>
      </w:tr>
      <w:tr w:rsidR="008C3EF1" w:rsidRPr="00075B73" w14:paraId="1B551F94" w14:textId="77777777" w:rsidTr="00FB4E72">
        <w:tblPrEx>
          <w:tblCellMar>
            <w:top w:w="15" w:type="dxa"/>
            <w:bottom w:w="15" w:type="dxa"/>
          </w:tblCellMar>
          <w:tblLook w:val="04A0" w:firstRow="1" w:lastRow="0" w:firstColumn="1" w:lastColumn="0" w:noHBand="0" w:noVBand="1"/>
        </w:tblPrEx>
        <w:trPr>
          <w:cantSplit/>
          <w:trHeight w:val="20"/>
        </w:trPr>
        <w:tc>
          <w:tcPr>
            <w:tcW w:w="1274" w:type="dxa"/>
            <w:gridSpan w:val="2"/>
            <w:tcBorders>
              <w:top w:val="single" w:sz="4" w:space="0" w:color="auto"/>
              <w:left w:val="single" w:sz="4" w:space="0" w:color="auto"/>
              <w:bottom w:val="single" w:sz="4" w:space="0" w:color="auto"/>
              <w:right w:val="single" w:sz="4" w:space="0" w:color="auto"/>
            </w:tcBorders>
          </w:tcPr>
          <w:p w14:paraId="1D41C976" w14:textId="746EC2B7" w:rsidR="008C3EF1" w:rsidRPr="00075B73" w:rsidRDefault="008C3EF1" w:rsidP="00FB4E72">
            <w:pPr>
              <w:widowControl w:val="0"/>
              <w:jc w:val="center"/>
              <w:rPr>
                <w:spacing w:val="-2"/>
                <w:sz w:val="18"/>
                <w:szCs w:val="18"/>
              </w:rPr>
            </w:pPr>
          </w:p>
        </w:tc>
        <w:tc>
          <w:tcPr>
            <w:tcW w:w="7940" w:type="dxa"/>
            <w:gridSpan w:val="6"/>
            <w:tcBorders>
              <w:top w:val="single" w:sz="4" w:space="0" w:color="auto"/>
              <w:left w:val="single" w:sz="4" w:space="0" w:color="auto"/>
              <w:bottom w:val="single" w:sz="4" w:space="0" w:color="auto"/>
              <w:right w:val="single" w:sz="4" w:space="0" w:color="auto"/>
            </w:tcBorders>
          </w:tcPr>
          <w:p w14:paraId="7FDA80F7" w14:textId="77777777" w:rsidR="008C3EF1" w:rsidRPr="00075B73" w:rsidRDefault="008C3EF1" w:rsidP="00FB4E72">
            <w:pPr>
              <w:pStyle w:val="TableParagraph"/>
              <w:kinsoku w:val="0"/>
              <w:overflowPunct w:val="0"/>
              <w:spacing w:line="201" w:lineRule="exact"/>
              <w:ind w:left="13"/>
              <w:rPr>
                <w:b/>
                <w:bCs/>
                <w:spacing w:val="-2"/>
                <w:sz w:val="20"/>
                <w:szCs w:val="20"/>
              </w:rPr>
            </w:pPr>
            <w:r w:rsidRPr="00075B73">
              <w:rPr>
                <w:b/>
                <w:bCs/>
                <w:spacing w:val="-2"/>
                <w:sz w:val="20"/>
                <w:szCs w:val="20"/>
              </w:rPr>
              <w:t>Prescribing instruction:</w:t>
            </w:r>
          </w:p>
          <w:p w14:paraId="7C928068" w14:textId="77777777" w:rsidR="008C3EF1" w:rsidRPr="00075B73" w:rsidRDefault="008C3EF1" w:rsidP="00FB4E72">
            <w:pPr>
              <w:pStyle w:val="TableParagraph"/>
              <w:kinsoku w:val="0"/>
              <w:overflowPunct w:val="0"/>
              <w:spacing w:line="201" w:lineRule="exact"/>
              <w:ind w:left="13"/>
              <w:rPr>
                <w:b/>
                <w:bCs/>
                <w:spacing w:val="-2"/>
                <w:sz w:val="20"/>
                <w:szCs w:val="20"/>
              </w:rPr>
            </w:pPr>
            <w:r w:rsidRPr="00075B73">
              <w:rPr>
                <w:spacing w:val="-2"/>
                <w:sz w:val="20"/>
                <w:szCs w:val="20"/>
              </w:rPr>
              <w:t>This drug is not PBS-subsidised if it is administered to an in-patient in a public hospital setting.</w:t>
            </w:r>
          </w:p>
        </w:tc>
      </w:tr>
      <w:tr w:rsidR="008C3EF1" w:rsidRPr="00075B73" w14:paraId="5B260D5E" w14:textId="77777777" w:rsidTr="00FB4E72">
        <w:tblPrEx>
          <w:tblCellMar>
            <w:top w:w="15" w:type="dxa"/>
            <w:bottom w:w="15" w:type="dxa"/>
          </w:tblCellMar>
          <w:tblLook w:val="04A0" w:firstRow="1" w:lastRow="0" w:firstColumn="1" w:lastColumn="0" w:noHBand="0" w:noVBand="1"/>
        </w:tblPrEx>
        <w:trPr>
          <w:cantSplit/>
          <w:trHeight w:val="20"/>
        </w:trPr>
        <w:tc>
          <w:tcPr>
            <w:tcW w:w="1274" w:type="dxa"/>
            <w:gridSpan w:val="2"/>
            <w:tcBorders>
              <w:top w:val="single" w:sz="4" w:space="0" w:color="auto"/>
              <w:left w:val="single" w:sz="4" w:space="0" w:color="auto"/>
              <w:bottom w:val="single" w:sz="4" w:space="0" w:color="auto"/>
              <w:right w:val="single" w:sz="4" w:space="0" w:color="auto"/>
            </w:tcBorders>
          </w:tcPr>
          <w:p w14:paraId="2BA925BE" w14:textId="5830E9FA" w:rsidR="008C3EF1" w:rsidRPr="00075B73" w:rsidRDefault="008C3EF1" w:rsidP="00FB4E72">
            <w:pPr>
              <w:widowControl w:val="0"/>
              <w:jc w:val="center"/>
              <w:rPr>
                <w:spacing w:val="-2"/>
                <w:sz w:val="18"/>
                <w:szCs w:val="18"/>
              </w:rPr>
            </w:pPr>
          </w:p>
        </w:tc>
        <w:tc>
          <w:tcPr>
            <w:tcW w:w="7940" w:type="dxa"/>
            <w:gridSpan w:val="6"/>
            <w:tcBorders>
              <w:top w:val="single" w:sz="4" w:space="0" w:color="auto"/>
              <w:left w:val="single" w:sz="4" w:space="0" w:color="auto"/>
              <w:bottom w:val="single" w:sz="4" w:space="0" w:color="auto"/>
              <w:right w:val="single" w:sz="4" w:space="0" w:color="auto"/>
            </w:tcBorders>
          </w:tcPr>
          <w:p w14:paraId="1319AD9D" w14:textId="77777777" w:rsidR="008C3EF1" w:rsidRPr="00075B73" w:rsidRDefault="008C3EF1" w:rsidP="00FB4E72">
            <w:pPr>
              <w:pStyle w:val="TableParagraph"/>
              <w:kinsoku w:val="0"/>
              <w:overflowPunct w:val="0"/>
              <w:spacing w:line="201" w:lineRule="exact"/>
              <w:ind w:left="13"/>
              <w:rPr>
                <w:b/>
                <w:bCs/>
                <w:spacing w:val="-2"/>
                <w:sz w:val="20"/>
                <w:szCs w:val="20"/>
              </w:rPr>
            </w:pPr>
            <w:r w:rsidRPr="00075B73">
              <w:rPr>
                <w:rFonts w:eastAsia="Calibri" w:cs="Arial"/>
                <w:b/>
                <w:sz w:val="20"/>
                <w:szCs w:val="20"/>
              </w:rPr>
              <w:t>Administrative advice:</w:t>
            </w:r>
            <w:r w:rsidRPr="00075B73">
              <w:rPr>
                <w:rFonts w:eastAsia="Calibri" w:cs="Arial"/>
                <w:bCs/>
                <w:sz w:val="20"/>
                <w:szCs w:val="20"/>
              </w:rPr>
              <w:t xml:space="preserve"> No increase in the maximum number of repeats may be authorised</w:t>
            </w:r>
          </w:p>
        </w:tc>
      </w:tr>
      <w:tr w:rsidR="008C3EF1" w:rsidRPr="00075B73" w14:paraId="07B14489" w14:textId="77777777" w:rsidTr="00FB4E72">
        <w:tblPrEx>
          <w:tblCellMar>
            <w:top w:w="15" w:type="dxa"/>
            <w:bottom w:w="15" w:type="dxa"/>
          </w:tblCellMar>
          <w:tblLook w:val="04A0" w:firstRow="1" w:lastRow="0" w:firstColumn="1" w:lastColumn="0" w:noHBand="0" w:noVBand="1"/>
        </w:tblPrEx>
        <w:trPr>
          <w:cantSplit/>
          <w:trHeight w:val="20"/>
        </w:trPr>
        <w:tc>
          <w:tcPr>
            <w:tcW w:w="1274" w:type="dxa"/>
            <w:gridSpan w:val="2"/>
            <w:tcBorders>
              <w:top w:val="single" w:sz="4" w:space="0" w:color="auto"/>
              <w:left w:val="single" w:sz="4" w:space="0" w:color="auto"/>
              <w:bottom w:val="single" w:sz="4" w:space="0" w:color="auto"/>
              <w:right w:val="single" w:sz="4" w:space="0" w:color="auto"/>
            </w:tcBorders>
          </w:tcPr>
          <w:p w14:paraId="5DDBA4DD" w14:textId="678D13A1" w:rsidR="008C3EF1" w:rsidRPr="00075B73" w:rsidRDefault="008C3EF1" w:rsidP="00FB4E72">
            <w:pPr>
              <w:widowControl w:val="0"/>
              <w:jc w:val="center"/>
              <w:rPr>
                <w:spacing w:val="-2"/>
                <w:sz w:val="18"/>
                <w:szCs w:val="18"/>
              </w:rPr>
            </w:pPr>
          </w:p>
        </w:tc>
        <w:tc>
          <w:tcPr>
            <w:tcW w:w="7940" w:type="dxa"/>
            <w:gridSpan w:val="6"/>
            <w:tcBorders>
              <w:top w:val="single" w:sz="4" w:space="0" w:color="auto"/>
              <w:left w:val="single" w:sz="4" w:space="0" w:color="auto"/>
              <w:bottom w:val="single" w:sz="4" w:space="0" w:color="auto"/>
              <w:right w:val="single" w:sz="4" w:space="0" w:color="auto"/>
            </w:tcBorders>
          </w:tcPr>
          <w:p w14:paraId="4E50AAB2" w14:textId="77777777" w:rsidR="008C3EF1" w:rsidRPr="00075B73" w:rsidRDefault="008C3EF1" w:rsidP="00FB4E72">
            <w:pPr>
              <w:pStyle w:val="TableParagraph"/>
              <w:kinsoku w:val="0"/>
              <w:overflowPunct w:val="0"/>
              <w:spacing w:line="201" w:lineRule="exact"/>
              <w:ind w:left="13"/>
              <w:rPr>
                <w:b/>
                <w:bCs/>
                <w:spacing w:val="-2"/>
                <w:sz w:val="20"/>
                <w:szCs w:val="20"/>
              </w:rPr>
            </w:pPr>
            <w:r w:rsidRPr="00075B73">
              <w:rPr>
                <w:rFonts w:eastAsia="Calibri" w:cs="Arial"/>
                <w:b/>
                <w:sz w:val="20"/>
                <w:szCs w:val="20"/>
              </w:rPr>
              <w:t>Administrative advice:</w:t>
            </w:r>
            <w:r w:rsidRPr="00075B73">
              <w:rPr>
                <w:rFonts w:eastAsia="Calibri" w:cs="Arial"/>
                <w:bCs/>
                <w:sz w:val="20"/>
                <w:szCs w:val="20"/>
              </w:rPr>
              <w:t xml:space="preserve"> Special pricing arrangements apply</w:t>
            </w:r>
          </w:p>
        </w:tc>
      </w:tr>
      <w:tr w:rsidR="008C3EF1" w:rsidRPr="00075B73" w14:paraId="1CCED360" w14:textId="77777777" w:rsidTr="00FB4E72">
        <w:tblPrEx>
          <w:tblCellMar>
            <w:top w:w="15" w:type="dxa"/>
            <w:bottom w:w="15" w:type="dxa"/>
          </w:tblCellMar>
          <w:tblLook w:val="04A0" w:firstRow="1" w:lastRow="0" w:firstColumn="1" w:lastColumn="0" w:noHBand="0" w:noVBand="1"/>
        </w:tblPrEx>
        <w:trPr>
          <w:cantSplit/>
          <w:trHeight w:val="20"/>
        </w:trPr>
        <w:tc>
          <w:tcPr>
            <w:tcW w:w="1274" w:type="dxa"/>
            <w:gridSpan w:val="2"/>
            <w:tcBorders>
              <w:top w:val="single" w:sz="4" w:space="0" w:color="auto"/>
              <w:left w:val="single" w:sz="4" w:space="0" w:color="auto"/>
              <w:bottom w:val="single" w:sz="4" w:space="0" w:color="auto"/>
              <w:right w:val="single" w:sz="4" w:space="0" w:color="auto"/>
            </w:tcBorders>
            <w:vAlign w:val="center"/>
          </w:tcPr>
          <w:p w14:paraId="369EF564" w14:textId="2A36F256" w:rsidR="008C3EF1" w:rsidRPr="00075B73" w:rsidRDefault="008C3EF1" w:rsidP="00FB4E72">
            <w:pPr>
              <w:widowControl w:val="0"/>
              <w:jc w:val="center"/>
              <w:rPr>
                <w:spacing w:val="-2"/>
                <w:sz w:val="18"/>
                <w:szCs w:val="18"/>
              </w:rPr>
            </w:pPr>
          </w:p>
        </w:tc>
        <w:tc>
          <w:tcPr>
            <w:tcW w:w="7940" w:type="dxa"/>
            <w:gridSpan w:val="6"/>
            <w:tcBorders>
              <w:top w:val="single" w:sz="4" w:space="0" w:color="auto"/>
              <w:left w:val="single" w:sz="4" w:space="0" w:color="auto"/>
              <w:bottom w:val="single" w:sz="4" w:space="0" w:color="auto"/>
              <w:right w:val="single" w:sz="4" w:space="0" w:color="auto"/>
            </w:tcBorders>
            <w:vAlign w:val="center"/>
          </w:tcPr>
          <w:p w14:paraId="0B38CAF5" w14:textId="77777777" w:rsidR="008C3EF1" w:rsidRPr="00075B73" w:rsidRDefault="008C3EF1" w:rsidP="00FB4E72">
            <w:pPr>
              <w:pStyle w:val="TableParagraph"/>
              <w:kinsoku w:val="0"/>
              <w:overflowPunct w:val="0"/>
              <w:spacing w:line="201" w:lineRule="exact"/>
              <w:ind w:left="13"/>
              <w:rPr>
                <w:b/>
                <w:bCs/>
                <w:spacing w:val="-2"/>
                <w:sz w:val="20"/>
                <w:szCs w:val="20"/>
              </w:rPr>
            </w:pPr>
            <w:r w:rsidRPr="00075B73">
              <w:rPr>
                <w:rFonts w:eastAsia="Calibri" w:cs="Arial"/>
                <w:b/>
                <w:sz w:val="20"/>
                <w:szCs w:val="20"/>
              </w:rPr>
              <w:t>Administrative Advice:</w:t>
            </w:r>
            <w:r w:rsidRPr="00075B73">
              <w:rPr>
                <w:rFonts w:eastAsia="Calibri" w:cs="Arial"/>
                <w:bCs/>
                <w:sz w:val="20"/>
                <w:szCs w:val="20"/>
              </w:rPr>
              <w:t xml:space="preserve"> Applications for authorisation under this restriction may be made in real time using the Online PBS Authorities system (see www.servicesaustralia.gov.au/HPOS) or by telephone by contacting Services Australia on 1800 888 333.</w:t>
            </w:r>
          </w:p>
        </w:tc>
      </w:tr>
    </w:tbl>
    <w:p w14:paraId="03B26EE2" w14:textId="716C6EF3" w:rsidR="00F102F0" w:rsidRPr="00907671" w:rsidRDefault="00F102F0" w:rsidP="00BE1748">
      <w:pPr>
        <w:spacing w:before="120" w:after="120"/>
        <w:rPr>
          <w:rFonts w:asciiTheme="minorHAnsi" w:hAnsiTheme="minorHAnsi"/>
          <w:b/>
          <w:i/>
          <w:iCs/>
          <w:snapToGrid w:val="0"/>
          <w:lang w:val="en-GB"/>
        </w:rPr>
      </w:pPr>
      <w:r w:rsidRPr="00907671">
        <w:rPr>
          <w:rFonts w:asciiTheme="minorHAnsi" w:hAnsiTheme="minorHAnsi"/>
          <w:b/>
          <w:i/>
          <w:iCs/>
          <w:snapToGrid w:val="0"/>
          <w:lang w:val="en-GB"/>
        </w:rPr>
        <w:t>These restrictions may be subject to further review. Should there be any changes made to the restriction the sponsor will be informed.</w:t>
      </w:r>
    </w:p>
    <w:bookmarkEnd w:id="69"/>
    <w:p w14:paraId="76924655" w14:textId="77777777" w:rsidR="00BE1748" w:rsidRPr="00BE1748" w:rsidRDefault="00BE1748" w:rsidP="004B1F55">
      <w:pPr>
        <w:pStyle w:val="COMH1-numbered"/>
      </w:pPr>
      <w:r w:rsidRPr="00BE1748">
        <w:t>Context for Decision</w:t>
      </w:r>
    </w:p>
    <w:p w14:paraId="64A11F9E" w14:textId="77777777" w:rsidR="00BE1748" w:rsidRPr="00061CBE" w:rsidRDefault="00BE1748" w:rsidP="004B1F55">
      <w:pPr>
        <w:spacing w:before="120" w:after="120"/>
        <w:ind w:left="720"/>
        <w:rPr>
          <w:bCs/>
          <w:lang w:val="en-GB"/>
        </w:rPr>
      </w:pPr>
      <w:r w:rsidRPr="00061CBE">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446CA3E" w14:textId="09CB2355" w:rsidR="00BE1748" w:rsidRPr="00061CBE" w:rsidRDefault="00BE1748" w:rsidP="004B1F55">
      <w:pPr>
        <w:pStyle w:val="COMH1-numbered"/>
      </w:pPr>
      <w:r w:rsidRPr="00061CBE">
        <w:t>Sponsor’s Comment</w:t>
      </w:r>
    </w:p>
    <w:p w14:paraId="46EF28A2" w14:textId="65AFA4DE" w:rsidR="00753B29" w:rsidRPr="006E0FA2" w:rsidRDefault="00BE1748" w:rsidP="004B1F55">
      <w:pPr>
        <w:spacing w:before="120" w:after="120"/>
        <w:ind w:firstLine="720"/>
        <w:jc w:val="left"/>
        <w:rPr>
          <w:rFonts w:asciiTheme="minorHAnsi" w:hAnsiTheme="minorHAnsi"/>
          <w:b/>
          <w:snapToGrid w:val="0"/>
          <w:sz w:val="32"/>
          <w:szCs w:val="32"/>
        </w:rPr>
      </w:pPr>
      <w:r w:rsidRPr="00061CBE">
        <w:rPr>
          <w:bCs/>
        </w:rPr>
        <w:t>The sponsor had no comment</w:t>
      </w:r>
      <w:r w:rsidR="004B1F55">
        <w:rPr>
          <w:bCs/>
        </w:rPr>
        <w:t>.</w:t>
      </w:r>
    </w:p>
    <w:sectPr w:rsidR="00753B29" w:rsidRPr="006E0FA2" w:rsidSect="00C56DBE">
      <w:headerReference w:type="default" r:id="rId13"/>
      <w:footerReference w:type="default" r:id="rId14"/>
      <w:pgSz w:w="11907" w:h="16840" w:code="9"/>
      <w:pgMar w:top="1440" w:right="1440" w:bottom="156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CC868" w14:textId="77777777" w:rsidR="007C1436" w:rsidRDefault="007C1436" w:rsidP="00124A51">
      <w:r>
        <w:separator/>
      </w:r>
    </w:p>
    <w:p w14:paraId="46512ACD" w14:textId="77777777" w:rsidR="007C1436" w:rsidRDefault="007C1436"/>
    <w:p w14:paraId="32E3DF67" w14:textId="77777777" w:rsidR="007C1436" w:rsidRDefault="007C1436"/>
    <w:p w14:paraId="6AFE3F98" w14:textId="77777777" w:rsidR="007C1436" w:rsidRDefault="007C1436"/>
  </w:endnote>
  <w:endnote w:type="continuationSeparator" w:id="0">
    <w:p w14:paraId="788D3F3E" w14:textId="77777777" w:rsidR="007C1436" w:rsidRDefault="007C1436" w:rsidP="00124A51">
      <w:r>
        <w:continuationSeparator/>
      </w:r>
    </w:p>
    <w:p w14:paraId="5DC0367E" w14:textId="77777777" w:rsidR="007C1436" w:rsidRDefault="007C1436"/>
    <w:p w14:paraId="31F75B1D" w14:textId="77777777" w:rsidR="007C1436" w:rsidRDefault="007C1436"/>
    <w:p w14:paraId="796F2B1E" w14:textId="77777777" w:rsidR="007C1436" w:rsidRDefault="007C1436"/>
  </w:endnote>
  <w:endnote w:type="continuationNotice" w:id="1">
    <w:p w14:paraId="0861E7CD" w14:textId="77777777" w:rsidR="007C1436" w:rsidRDefault="007C14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84CD3" w14:textId="0A2660C6" w:rsidR="00D843F2" w:rsidRPr="00BD36C4" w:rsidRDefault="00000000" w:rsidP="00AB5410">
    <w:pPr>
      <w:pStyle w:val="PageFooter"/>
    </w:pPr>
    <w:sdt>
      <w:sdtPr>
        <w:rPr>
          <w:b w:val="0"/>
          <w:bCs/>
        </w:rPr>
        <w:id w:val="1036156457"/>
        <w:docPartObj>
          <w:docPartGallery w:val="Page Numbers (Bottom of Page)"/>
          <w:docPartUnique/>
        </w:docPartObj>
      </w:sdtPr>
      <w:sdtEndPr>
        <w:rPr>
          <w:b/>
          <w:bCs w:val="0"/>
        </w:rPr>
      </w:sdtEndPr>
      <w:sdtContent>
        <w:r w:rsidR="00D843F2" w:rsidRPr="00BD36C4">
          <w:fldChar w:fldCharType="begin"/>
        </w:r>
        <w:r w:rsidR="00D843F2" w:rsidRPr="00BD36C4">
          <w:instrText xml:space="preserve"> PAGE   \* MERGEFORMAT </w:instrText>
        </w:r>
        <w:r w:rsidR="00D843F2" w:rsidRPr="00BD36C4">
          <w:fldChar w:fldCharType="separate"/>
        </w:r>
        <w:r w:rsidR="00D843F2" w:rsidRPr="00BD36C4">
          <w:t>2</w:t>
        </w:r>
        <w:r w:rsidR="00D843F2" w:rsidRPr="00BD36C4">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C3E61" w14:textId="77777777" w:rsidR="007C1436" w:rsidRDefault="007C1436" w:rsidP="00124A51">
      <w:r>
        <w:separator/>
      </w:r>
    </w:p>
  </w:footnote>
  <w:footnote w:type="continuationSeparator" w:id="0">
    <w:p w14:paraId="49C57A05" w14:textId="77777777" w:rsidR="007C1436" w:rsidRDefault="007C1436" w:rsidP="00124A51">
      <w:r>
        <w:continuationSeparator/>
      </w:r>
    </w:p>
    <w:p w14:paraId="37E6EA15" w14:textId="77777777" w:rsidR="007C1436" w:rsidRDefault="007C1436"/>
    <w:p w14:paraId="30AF006C" w14:textId="77777777" w:rsidR="007C1436" w:rsidRDefault="007C1436"/>
    <w:p w14:paraId="44AFEC14" w14:textId="77777777" w:rsidR="007C1436" w:rsidRDefault="007C1436"/>
  </w:footnote>
  <w:footnote w:type="continuationNotice" w:id="1">
    <w:p w14:paraId="2A79A01B" w14:textId="77777777" w:rsidR="007C1436" w:rsidRDefault="007C1436"/>
  </w:footnote>
  <w:footnote w:id="2">
    <w:p w14:paraId="237E8CFE" w14:textId="2BE8900C" w:rsidR="00EE6E39" w:rsidRDefault="00EE6E39" w:rsidP="00C56DBE">
      <w:pPr>
        <w:pStyle w:val="FootnoteText"/>
        <w:contextualSpacing/>
      </w:pPr>
      <w:r>
        <w:rPr>
          <w:rStyle w:val="FootnoteReference"/>
        </w:rPr>
        <w:footnoteRef/>
      </w:r>
      <w:r>
        <w:t xml:space="preserve"> The elranatamab PI contains recommendations for restarting therapy after dose delay. For patients receiving the full dose that have a delay of &gt;12 weeks from the last initiation, reinitiation with the step-up doses is recommended.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5E204" w14:textId="790E9F1D" w:rsidR="00D843F2" w:rsidRPr="00A51C91" w:rsidRDefault="004B1F55" w:rsidP="00A51C91">
    <w:pPr>
      <w:pStyle w:val="Header"/>
      <w:rPr>
        <w:rFonts w:asciiTheme="minorHAnsi" w:hAnsiTheme="minorHAnsi"/>
        <w:color w:val="808080"/>
      </w:rPr>
    </w:pPr>
    <w:r>
      <w:rPr>
        <w:rFonts w:asciiTheme="minorHAnsi" w:hAnsiTheme="minorHAnsi"/>
        <w:color w:val="808080"/>
      </w:rPr>
      <w:t>Public Summary Document</w:t>
    </w:r>
    <w:r w:rsidR="00BD36C4">
      <w:rPr>
        <w:rFonts w:asciiTheme="minorHAnsi" w:hAnsiTheme="minorHAnsi"/>
        <w:color w:val="808080"/>
      </w:rPr>
      <w:t xml:space="preserve"> - </w:t>
    </w:r>
    <w:r w:rsidR="00BA2DB9">
      <w:rPr>
        <w:rFonts w:asciiTheme="minorHAnsi" w:hAnsiTheme="minorHAnsi"/>
        <w:color w:val="808080"/>
      </w:rPr>
      <w:t>March</w:t>
    </w:r>
    <w:r w:rsidR="00D843F2">
      <w:rPr>
        <w:rFonts w:asciiTheme="minorHAnsi" w:hAnsiTheme="minorHAnsi"/>
        <w:color w:val="808080"/>
      </w:rPr>
      <w:t xml:space="preserve"> 202</w:t>
    </w:r>
    <w:r w:rsidR="00BA2DB9">
      <w:rPr>
        <w:rFonts w:asciiTheme="minorHAnsi" w:hAnsiTheme="minorHAnsi"/>
        <w:color w:val="808080"/>
      </w:rPr>
      <w:t xml:space="preserve">5 </w:t>
    </w:r>
    <w:r w:rsidR="00D843F2" w:rsidRPr="00195452">
      <w:rPr>
        <w:rFonts w:asciiTheme="minorHAnsi" w:hAnsiTheme="minorHAnsi"/>
        <w:color w:val="808080"/>
      </w:rPr>
      <w:t>PBAC Meeting</w:t>
    </w:r>
  </w:p>
  <w:p w14:paraId="03AF943B" w14:textId="77777777" w:rsidR="00D843F2" w:rsidRPr="008C7ECB" w:rsidRDefault="00D843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94C616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3C7BDD"/>
    <w:multiLevelType w:val="multilevel"/>
    <w:tmpl w:val="6B5AD9DC"/>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A62179"/>
    <w:multiLevelType w:val="hybridMultilevel"/>
    <w:tmpl w:val="7F94F124"/>
    <w:lvl w:ilvl="0" w:tplc="8F52D6B6">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D27B18"/>
    <w:multiLevelType w:val="hybridMultilevel"/>
    <w:tmpl w:val="2838708E"/>
    <w:lvl w:ilvl="0" w:tplc="121ADBF2">
      <w:start w:val="1"/>
      <w:numFmt w:val="bullet"/>
      <w:pStyle w:val="COMbody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0F0FFA"/>
    <w:multiLevelType w:val="hybridMultilevel"/>
    <w:tmpl w:val="1E46B472"/>
    <w:lvl w:ilvl="0" w:tplc="2AEE6040">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6C00E3"/>
    <w:multiLevelType w:val="hybridMultilevel"/>
    <w:tmpl w:val="75C81B66"/>
    <w:lvl w:ilvl="0" w:tplc="0C090003">
      <w:start w:val="1"/>
      <w:numFmt w:val="bullet"/>
      <w:lvlText w:val="o"/>
      <w:lvlJc w:val="left"/>
      <w:pPr>
        <w:ind w:left="360" w:hanging="360"/>
      </w:pPr>
      <w:rPr>
        <w:rFonts w:ascii="Courier New" w:hAnsi="Courier New" w:cs="Courier New" w:hint="default"/>
      </w:rPr>
    </w:lvl>
    <w:lvl w:ilvl="1" w:tplc="FFFFFFFF">
      <w:start w:val="1"/>
      <w:numFmt w:val="bullet"/>
      <w:lvlText w:val="-"/>
      <w:lvlJc w:val="left"/>
      <w:pPr>
        <w:ind w:left="1080" w:hanging="360"/>
      </w:pPr>
      <w:rPr>
        <w:rFonts w:ascii="Calibri" w:eastAsia="Times New Roman"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FB219F8"/>
    <w:multiLevelType w:val="hybridMultilevel"/>
    <w:tmpl w:val="77F8F94E"/>
    <w:lvl w:ilvl="0" w:tplc="4F38898A">
      <w:start w:val="1"/>
      <w:numFmt w:val="bullet"/>
      <w:pStyle w:val="COMexecsummmainissuesbullets"/>
      <w:lvlText w:val=""/>
      <w:lvlJc w:val="left"/>
      <w:pPr>
        <w:ind w:left="360" w:hanging="360"/>
      </w:pPr>
      <w:rPr>
        <w:rFonts w:ascii="Symbol" w:hAnsi="Symbol" w:hint="default"/>
      </w:rPr>
    </w:lvl>
    <w:lvl w:ilvl="1" w:tplc="2AEE6040">
      <w:start w:val="1"/>
      <w:numFmt w:val="bullet"/>
      <w:lvlText w:val="-"/>
      <w:lvlJc w:val="left"/>
      <w:pPr>
        <w:ind w:left="1080" w:hanging="360"/>
      </w:pPr>
      <w:rPr>
        <w:rFonts w:ascii="Calibri" w:eastAsia="Times New Roman"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3B6274A"/>
    <w:multiLevelType w:val="hybridMultilevel"/>
    <w:tmpl w:val="8E8651BC"/>
    <w:lvl w:ilvl="0" w:tplc="E93C2C9E">
      <w:start w:val="1"/>
      <w:numFmt w:val="decimal"/>
      <w:lvlText w:val="%1."/>
      <w:lvlJc w:val="left"/>
      <w:pPr>
        <w:ind w:left="4754" w:hanging="360"/>
      </w:pPr>
      <w:rPr>
        <w:rFonts w:hint="default"/>
        <w:i w:val="0"/>
        <w:iCs/>
        <w:color w:val="auto"/>
      </w:rPr>
    </w:lvl>
    <w:lvl w:ilvl="1" w:tplc="0C090019">
      <w:start w:val="1"/>
      <w:numFmt w:val="lowerLetter"/>
      <w:lvlText w:val="%2."/>
      <w:lvlJc w:val="left"/>
      <w:pPr>
        <w:ind w:left="1083" w:hanging="360"/>
      </w:pPr>
    </w:lvl>
    <w:lvl w:ilvl="2" w:tplc="0C09001B">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12"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8D67A6"/>
    <w:multiLevelType w:val="hybridMultilevel"/>
    <w:tmpl w:val="FAB8EED8"/>
    <w:lvl w:ilvl="0" w:tplc="8708BECA">
      <w:start w:val="1"/>
      <w:numFmt w:val="bullet"/>
      <w:pStyle w:val="COMexecsumm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B832EB"/>
    <w:multiLevelType w:val="hybridMultilevel"/>
    <w:tmpl w:val="3C700A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FD07B1"/>
    <w:multiLevelType w:val="hybridMultilevel"/>
    <w:tmpl w:val="440E2580"/>
    <w:lvl w:ilvl="0" w:tplc="03ECEDE8">
      <w:start w:val="6"/>
      <w:numFmt w:val="decimal"/>
      <w:lvlText w:val="%1."/>
      <w:lvlJc w:val="left"/>
      <w:pPr>
        <w:ind w:left="4754" w:hanging="360"/>
      </w:pPr>
      <w:rPr>
        <w:rFonts w:hint="default"/>
        <w:i w:val="0"/>
        <w:iCs/>
        <w:color w:val="auto"/>
      </w:rPr>
    </w:lvl>
    <w:lvl w:ilvl="1" w:tplc="FFFFFFFF">
      <w:start w:val="1"/>
      <w:numFmt w:val="lowerLetter"/>
      <w:lvlText w:val="%2."/>
      <w:lvlJc w:val="left"/>
      <w:pPr>
        <w:ind w:left="1083" w:hanging="360"/>
      </w:pPr>
    </w:lvl>
    <w:lvl w:ilvl="2" w:tplc="FFFFFFFF">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18" w15:restartNumberingAfterBreak="0">
    <w:nsid w:val="4B9B5018"/>
    <w:multiLevelType w:val="hybridMultilevel"/>
    <w:tmpl w:val="C5B2C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AE0C0C"/>
    <w:multiLevelType w:val="multilevel"/>
    <w:tmpl w:val="8DFCA95E"/>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E3112C"/>
    <w:multiLevelType w:val="hybridMultilevel"/>
    <w:tmpl w:val="215AC572"/>
    <w:lvl w:ilvl="0" w:tplc="2AEE6040">
      <w:start w:val="1"/>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AF22442"/>
    <w:multiLevelType w:val="hybridMultilevel"/>
    <w:tmpl w:val="9BA0DDB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800" w:hanging="360"/>
      </w:pPr>
      <w:rPr>
        <w:rFonts w:ascii="Symbol" w:hAnsi="Symbo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22E1B0A"/>
    <w:multiLevelType w:val="hybridMultilevel"/>
    <w:tmpl w:val="AC408026"/>
    <w:lvl w:ilvl="0" w:tplc="6166251A">
      <w:start w:val="1"/>
      <w:numFmt w:val="bullet"/>
      <w:pStyle w:val="TableText"/>
      <w:lvlText w:val="-"/>
      <w:lvlJc w:val="left"/>
      <w:pPr>
        <w:ind w:left="734" w:hanging="360"/>
      </w:pPr>
      <w:rPr>
        <w:rFonts w:ascii="Calibri" w:eastAsia="Times New Roman" w:hAnsi="Calibri" w:cs="Calibri" w:hint="default"/>
      </w:rPr>
    </w:lvl>
    <w:lvl w:ilvl="1" w:tplc="0C090003" w:tentative="1">
      <w:start w:val="1"/>
      <w:numFmt w:val="bullet"/>
      <w:lvlText w:val="o"/>
      <w:lvlJc w:val="left"/>
      <w:pPr>
        <w:ind w:left="1454" w:hanging="360"/>
      </w:pPr>
      <w:rPr>
        <w:rFonts w:ascii="Courier New" w:hAnsi="Courier New" w:cs="Courier New" w:hint="default"/>
      </w:rPr>
    </w:lvl>
    <w:lvl w:ilvl="2" w:tplc="0C090005" w:tentative="1">
      <w:start w:val="1"/>
      <w:numFmt w:val="bullet"/>
      <w:lvlText w:val=""/>
      <w:lvlJc w:val="left"/>
      <w:pPr>
        <w:ind w:left="2174" w:hanging="360"/>
      </w:pPr>
      <w:rPr>
        <w:rFonts w:ascii="Wingdings" w:hAnsi="Wingdings" w:hint="default"/>
      </w:rPr>
    </w:lvl>
    <w:lvl w:ilvl="3" w:tplc="0C090001" w:tentative="1">
      <w:start w:val="1"/>
      <w:numFmt w:val="bullet"/>
      <w:lvlText w:val=""/>
      <w:lvlJc w:val="left"/>
      <w:pPr>
        <w:ind w:left="2894" w:hanging="360"/>
      </w:pPr>
      <w:rPr>
        <w:rFonts w:ascii="Symbol" w:hAnsi="Symbol" w:hint="default"/>
      </w:rPr>
    </w:lvl>
    <w:lvl w:ilvl="4" w:tplc="0C090003" w:tentative="1">
      <w:start w:val="1"/>
      <w:numFmt w:val="bullet"/>
      <w:lvlText w:val="o"/>
      <w:lvlJc w:val="left"/>
      <w:pPr>
        <w:ind w:left="3614" w:hanging="360"/>
      </w:pPr>
      <w:rPr>
        <w:rFonts w:ascii="Courier New" w:hAnsi="Courier New" w:cs="Courier New" w:hint="default"/>
      </w:rPr>
    </w:lvl>
    <w:lvl w:ilvl="5" w:tplc="0C090005" w:tentative="1">
      <w:start w:val="1"/>
      <w:numFmt w:val="bullet"/>
      <w:lvlText w:val=""/>
      <w:lvlJc w:val="left"/>
      <w:pPr>
        <w:ind w:left="4334" w:hanging="360"/>
      </w:pPr>
      <w:rPr>
        <w:rFonts w:ascii="Wingdings" w:hAnsi="Wingdings" w:hint="default"/>
      </w:rPr>
    </w:lvl>
    <w:lvl w:ilvl="6" w:tplc="0C090001" w:tentative="1">
      <w:start w:val="1"/>
      <w:numFmt w:val="bullet"/>
      <w:lvlText w:val=""/>
      <w:lvlJc w:val="left"/>
      <w:pPr>
        <w:ind w:left="5054" w:hanging="360"/>
      </w:pPr>
      <w:rPr>
        <w:rFonts w:ascii="Symbol" w:hAnsi="Symbol" w:hint="default"/>
      </w:rPr>
    </w:lvl>
    <w:lvl w:ilvl="7" w:tplc="0C090003" w:tentative="1">
      <w:start w:val="1"/>
      <w:numFmt w:val="bullet"/>
      <w:lvlText w:val="o"/>
      <w:lvlJc w:val="left"/>
      <w:pPr>
        <w:ind w:left="5774" w:hanging="360"/>
      </w:pPr>
      <w:rPr>
        <w:rFonts w:ascii="Courier New" w:hAnsi="Courier New" w:cs="Courier New" w:hint="default"/>
      </w:rPr>
    </w:lvl>
    <w:lvl w:ilvl="8" w:tplc="0C090005" w:tentative="1">
      <w:start w:val="1"/>
      <w:numFmt w:val="bullet"/>
      <w:lvlText w:val=""/>
      <w:lvlJc w:val="left"/>
      <w:pPr>
        <w:ind w:left="6494" w:hanging="360"/>
      </w:pPr>
      <w:rPr>
        <w:rFonts w:ascii="Wingdings" w:hAnsi="Wingdings" w:hint="default"/>
      </w:rPr>
    </w:lvl>
  </w:abstractNum>
  <w:abstractNum w:abstractNumId="27" w15:restartNumberingAfterBreak="0">
    <w:nsid w:val="753A0AAA"/>
    <w:multiLevelType w:val="hybridMultilevel"/>
    <w:tmpl w:val="5AEECEA8"/>
    <w:lvl w:ilvl="0" w:tplc="2C648122">
      <w:start w:val="39"/>
      <w:numFmt w:val="bullet"/>
      <w:lvlText w:val="-"/>
      <w:lvlJc w:val="left"/>
      <w:pPr>
        <w:ind w:left="720" w:hanging="360"/>
      </w:pPr>
      <w:rPr>
        <w:rFonts w:ascii="Arial Narrow" w:eastAsiaTheme="majorEastAsia" w:hAnsi="Arial Narrow"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4D033C"/>
    <w:multiLevelType w:val="multilevel"/>
    <w:tmpl w:val="320409CE"/>
    <w:lvl w:ilvl="0">
      <w:start w:val="1"/>
      <w:numFmt w:val="decimal"/>
      <w:pStyle w:val="COMH1-numbered"/>
      <w:lvlText w:val="%1"/>
      <w:lvlJc w:val="left"/>
      <w:pPr>
        <w:ind w:left="720" w:hanging="720"/>
      </w:pPr>
      <w:rPr>
        <w:rFonts w:hint="default"/>
        <w:b/>
      </w:rPr>
    </w:lvl>
    <w:lvl w:ilvl="1">
      <w:start w:val="1"/>
      <w:numFmt w:val="decimal"/>
      <w:pStyle w:val="COMexecsummnumbered"/>
      <w:lvlText w:val="%1.%2"/>
      <w:lvlJc w:val="left"/>
      <w:pPr>
        <w:ind w:left="720" w:hanging="720"/>
      </w:pPr>
      <w:rPr>
        <w:rFonts w:hint="default"/>
        <w:b w:val="0"/>
        <w:bCs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16cid:durableId="816186631">
    <w:abstractNumId w:val="28"/>
  </w:num>
  <w:num w:numId="2" w16cid:durableId="917793048">
    <w:abstractNumId w:val="14"/>
  </w:num>
  <w:num w:numId="3" w16cid:durableId="263461728">
    <w:abstractNumId w:val="0"/>
  </w:num>
  <w:num w:numId="4" w16cid:durableId="9892165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8839230">
    <w:abstractNumId w:val="28"/>
  </w:num>
  <w:num w:numId="6" w16cid:durableId="2123836775">
    <w:abstractNumId w:val="15"/>
  </w:num>
  <w:num w:numId="7" w16cid:durableId="690643893">
    <w:abstractNumId w:val="9"/>
  </w:num>
  <w:num w:numId="8" w16cid:durableId="1031146738">
    <w:abstractNumId w:val="18"/>
  </w:num>
  <w:num w:numId="9" w16cid:durableId="932859220">
    <w:abstractNumId w:val="5"/>
  </w:num>
  <w:num w:numId="10" w16cid:durableId="1222248674">
    <w:abstractNumId w:val="26"/>
  </w:num>
  <w:num w:numId="11" w16cid:durableId="713575692">
    <w:abstractNumId w:val="7"/>
  </w:num>
  <w:num w:numId="12" w16cid:durableId="1316569497">
    <w:abstractNumId w:val="20"/>
  </w:num>
  <w:num w:numId="13" w16cid:durableId="862520680">
    <w:abstractNumId w:val="6"/>
  </w:num>
  <w:num w:numId="14" w16cid:durableId="1893883994">
    <w:abstractNumId w:val="27"/>
  </w:num>
  <w:num w:numId="15" w16cid:durableId="1904216802">
    <w:abstractNumId w:val="11"/>
  </w:num>
  <w:num w:numId="16" w16cid:durableId="1327897117">
    <w:abstractNumId w:val="29"/>
  </w:num>
  <w:num w:numId="17" w16cid:durableId="1051001321">
    <w:abstractNumId w:val="17"/>
  </w:num>
  <w:num w:numId="18" w16cid:durableId="126240624">
    <w:abstractNumId w:val="24"/>
  </w:num>
  <w:num w:numId="19" w16cid:durableId="968053102">
    <w:abstractNumId w:val="8"/>
  </w:num>
  <w:num w:numId="20" w16cid:durableId="1712262878">
    <w:abstractNumId w:val="14"/>
  </w:num>
  <w:num w:numId="21" w16cid:durableId="1442803483">
    <w:abstractNumId w:val="16"/>
  </w:num>
  <w:num w:numId="22" w16cid:durableId="1660116426">
    <w:abstractNumId w:val="3"/>
  </w:num>
  <w:num w:numId="23" w16cid:durableId="1573005167">
    <w:abstractNumId w:val="21"/>
  </w:num>
  <w:num w:numId="24" w16cid:durableId="408699874">
    <w:abstractNumId w:val="22"/>
  </w:num>
  <w:num w:numId="25" w16cid:durableId="1569418770">
    <w:abstractNumId w:val="4"/>
  </w:num>
  <w:num w:numId="26" w16cid:durableId="705176722">
    <w:abstractNumId w:val="1"/>
  </w:num>
  <w:num w:numId="27" w16cid:durableId="1926569401">
    <w:abstractNumId w:val="12"/>
  </w:num>
  <w:num w:numId="28" w16cid:durableId="1979457665">
    <w:abstractNumId w:val="13"/>
  </w:num>
  <w:num w:numId="29" w16cid:durableId="2038313566">
    <w:abstractNumId w:val="10"/>
  </w:num>
  <w:num w:numId="30" w16cid:durableId="129744317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9997201">
    <w:abstractNumId w:val="25"/>
  </w:num>
  <w:num w:numId="32" w16cid:durableId="1466658708">
    <w:abstractNumId w:val="19"/>
  </w:num>
  <w:num w:numId="33" w16cid:durableId="45371522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08E5"/>
    <w:rsid w:val="0000110B"/>
    <w:rsid w:val="00001CCA"/>
    <w:rsid w:val="00001F63"/>
    <w:rsid w:val="00002A1E"/>
    <w:rsid w:val="00002A33"/>
    <w:rsid w:val="00002D05"/>
    <w:rsid w:val="00002E5A"/>
    <w:rsid w:val="0000306C"/>
    <w:rsid w:val="00003499"/>
    <w:rsid w:val="000039B7"/>
    <w:rsid w:val="000044F0"/>
    <w:rsid w:val="00005292"/>
    <w:rsid w:val="0000531A"/>
    <w:rsid w:val="00005366"/>
    <w:rsid w:val="000056B9"/>
    <w:rsid w:val="00005A50"/>
    <w:rsid w:val="0000639A"/>
    <w:rsid w:val="000064F3"/>
    <w:rsid w:val="00006FA5"/>
    <w:rsid w:val="000070A6"/>
    <w:rsid w:val="000078F6"/>
    <w:rsid w:val="00010071"/>
    <w:rsid w:val="00010392"/>
    <w:rsid w:val="00010959"/>
    <w:rsid w:val="000112F6"/>
    <w:rsid w:val="000118C1"/>
    <w:rsid w:val="000120AC"/>
    <w:rsid w:val="00012555"/>
    <w:rsid w:val="00012ABA"/>
    <w:rsid w:val="00012F17"/>
    <w:rsid w:val="00013247"/>
    <w:rsid w:val="0001334A"/>
    <w:rsid w:val="00013785"/>
    <w:rsid w:val="00013DA9"/>
    <w:rsid w:val="00013F58"/>
    <w:rsid w:val="000141FB"/>
    <w:rsid w:val="00015886"/>
    <w:rsid w:val="0001612A"/>
    <w:rsid w:val="000162EF"/>
    <w:rsid w:val="000166B7"/>
    <w:rsid w:val="00016C22"/>
    <w:rsid w:val="0001706E"/>
    <w:rsid w:val="000171DD"/>
    <w:rsid w:val="00017302"/>
    <w:rsid w:val="00017908"/>
    <w:rsid w:val="000202C1"/>
    <w:rsid w:val="00020421"/>
    <w:rsid w:val="000207C9"/>
    <w:rsid w:val="00020928"/>
    <w:rsid w:val="00020A42"/>
    <w:rsid w:val="00020C66"/>
    <w:rsid w:val="00021014"/>
    <w:rsid w:val="00021129"/>
    <w:rsid w:val="0002225F"/>
    <w:rsid w:val="0002262D"/>
    <w:rsid w:val="00023763"/>
    <w:rsid w:val="00023AC3"/>
    <w:rsid w:val="00024697"/>
    <w:rsid w:val="00024EB5"/>
    <w:rsid w:val="0002570F"/>
    <w:rsid w:val="00025910"/>
    <w:rsid w:val="00025C43"/>
    <w:rsid w:val="00025E40"/>
    <w:rsid w:val="00026622"/>
    <w:rsid w:val="00026EE4"/>
    <w:rsid w:val="000274B8"/>
    <w:rsid w:val="00027D5D"/>
    <w:rsid w:val="0003073F"/>
    <w:rsid w:val="00030B35"/>
    <w:rsid w:val="00030BDF"/>
    <w:rsid w:val="00031F91"/>
    <w:rsid w:val="00032235"/>
    <w:rsid w:val="00032C04"/>
    <w:rsid w:val="000333EE"/>
    <w:rsid w:val="00033863"/>
    <w:rsid w:val="000339F6"/>
    <w:rsid w:val="00033A7D"/>
    <w:rsid w:val="000340BF"/>
    <w:rsid w:val="00034615"/>
    <w:rsid w:val="00034935"/>
    <w:rsid w:val="0003496E"/>
    <w:rsid w:val="000354C6"/>
    <w:rsid w:val="0003563F"/>
    <w:rsid w:val="0003576F"/>
    <w:rsid w:val="0003599A"/>
    <w:rsid w:val="00035DC0"/>
    <w:rsid w:val="00035DEC"/>
    <w:rsid w:val="0003616C"/>
    <w:rsid w:val="00036829"/>
    <w:rsid w:val="00036952"/>
    <w:rsid w:val="00037261"/>
    <w:rsid w:val="000378DF"/>
    <w:rsid w:val="000406CF"/>
    <w:rsid w:val="00040895"/>
    <w:rsid w:val="000410A0"/>
    <w:rsid w:val="00041DDC"/>
    <w:rsid w:val="00042070"/>
    <w:rsid w:val="000425E0"/>
    <w:rsid w:val="00042ADB"/>
    <w:rsid w:val="000435EE"/>
    <w:rsid w:val="000439FF"/>
    <w:rsid w:val="00043C37"/>
    <w:rsid w:val="00044D8D"/>
    <w:rsid w:val="00045017"/>
    <w:rsid w:val="000452E9"/>
    <w:rsid w:val="0004595F"/>
    <w:rsid w:val="00045A2B"/>
    <w:rsid w:val="00045AF4"/>
    <w:rsid w:val="000466B7"/>
    <w:rsid w:val="0004698F"/>
    <w:rsid w:val="00046B26"/>
    <w:rsid w:val="00046C56"/>
    <w:rsid w:val="00046D64"/>
    <w:rsid w:val="00047256"/>
    <w:rsid w:val="000478AC"/>
    <w:rsid w:val="00047AB6"/>
    <w:rsid w:val="00047F70"/>
    <w:rsid w:val="0005000C"/>
    <w:rsid w:val="00050293"/>
    <w:rsid w:val="00050398"/>
    <w:rsid w:val="000508C2"/>
    <w:rsid w:val="00050928"/>
    <w:rsid w:val="00050EAD"/>
    <w:rsid w:val="00051365"/>
    <w:rsid w:val="000515D2"/>
    <w:rsid w:val="00051773"/>
    <w:rsid w:val="000518A2"/>
    <w:rsid w:val="00052141"/>
    <w:rsid w:val="00052EDC"/>
    <w:rsid w:val="00053248"/>
    <w:rsid w:val="000539D0"/>
    <w:rsid w:val="0005405C"/>
    <w:rsid w:val="00054621"/>
    <w:rsid w:val="000546D7"/>
    <w:rsid w:val="000547D1"/>
    <w:rsid w:val="000549EA"/>
    <w:rsid w:val="00054A8D"/>
    <w:rsid w:val="00055AAA"/>
    <w:rsid w:val="00055B9E"/>
    <w:rsid w:val="00055F3C"/>
    <w:rsid w:val="00056705"/>
    <w:rsid w:val="00056A6B"/>
    <w:rsid w:val="00056B0E"/>
    <w:rsid w:val="00056BE8"/>
    <w:rsid w:val="00056ECF"/>
    <w:rsid w:val="00057FD0"/>
    <w:rsid w:val="000604DF"/>
    <w:rsid w:val="000610E8"/>
    <w:rsid w:val="000610EA"/>
    <w:rsid w:val="00061C7F"/>
    <w:rsid w:val="000620DC"/>
    <w:rsid w:val="00062324"/>
    <w:rsid w:val="00063190"/>
    <w:rsid w:val="000639E8"/>
    <w:rsid w:val="00063F88"/>
    <w:rsid w:val="00064B51"/>
    <w:rsid w:val="00065009"/>
    <w:rsid w:val="000653B5"/>
    <w:rsid w:val="00065522"/>
    <w:rsid w:val="00065597"/>
    <w:rsid w:val="000657E3"/>
    <w:rsid w:val="00066002"/>
    <w:rsid w:val="00066360"/>
    <w:rsid w:val="00066AF8"/>
    <w:rsid w:val="00066B5A"/>
    <w:rsid w:val="00066CC6"/>
    <w:rsid w:val="00066E11"/>
    <w:rsid w:val="0007093F"/>
    <w:rsid w:val="00071248"/>
    <w:rsid w:val="00072014"/>
    <w:rsid w:val="000720B9"/>
    <w:rsid w:val="000722D4"/>
    <w:rsid w:val="000728B5"/>
    <w:rsid w:val="000737F7"/>
    <w:rsid w:val="0007420A"/>
    <w:rsid w:val="0007515D"/>
    <w:rsid w:val="0007519D"/>
    <w:rsid w:val="0007546C"/>
    <w:rsid w:val="00075B73"/>
    <w:rsid w:val="00075D51"/>
    <w:rsid w:val="00075DB3"/>
    <w:rsid w:val="0007672F"/>
    <w:rsid w:val="000769C0"/>
    <w:rsid w:val="00076B54"/>
    <w:rsid w:val="00076F62"/>
    <w:rsid w:val="000771EA"/>
    <w:rsid w:val="00077321"/>
    <w:rsid w:val="000774F0"/>
    <w:rsid w:val="00077656"/>
    <w:rsid w:val="000777E5"/>
    <w:rsid w:val="00077FEE"/>
    <w:rsid w:val="0008006B"/>
    <w:rsid w:val="000800DE"/>
    <w:rsid w:val="00080817"/>
    <w:rsid w:val="00080909"/>
    <w:rsid w:val="00080CAB"/>
    <w:rsid w:val="00080CDD"/>
    <w:rsid w:val="0008106F"/>
    <w:rsid w:val="000812CA"/>
    <w:rsid w:val="000814BB"/>
    <w:rsid w:val="00081BE1"/>
    <w:rsid w:val="00081C45"/>
    <w:rsid w:val="00081E63"/>
    <w:rsid w:val="0008212C"/>
    <w:rsid w:val="00082195"/>
    <w:rsid w:val="0008258D"/>
    <w:rsid w:val="000828F7"/>
    <w:rsid w:val="00083894"/>
    <w:rsid w:val="000838B7"/>
    <w:rsid w:val="000838FB"/>
    <w:rsid w:val="00083E0D"/>
    <w:rsid w:val="00083E99"/>
    <w:rsid w:val="00083FEE"/>
    <w:rsid w:val="00084022"/>
    <w:rsid w:val="000846AF"/>
    <w:rsid w:val="000848D3"/>
    <w:rsid w:val="00084BA6"/>
    <w:rsid w:val="00084E64"/>
    <w:rsid w:val="00084FA8"/>
    <w:rsid w:val="00085158"/>
    <w:rsid w:val="000856C5"/>
    <w:rsid w:val="00085C31"/>
    <w:rsid w:val="000860F9"/>
    <w:rsid w:val="000865F0"/>
    <w:rsid w:val="000867B0"/>
    <w:rsid w:val="0008750A"/>
    <w:rsid w:val="0008791C"/>
    <w:rsid w:val="00087A0B"/>
    <w:rsid w:val="000902D9"/>
    <w:rsid w:val="00090C78"/>
    <w:rsid w:val="00090C7E"/>
    <w:rsid w:val="00090E5E"/>
    <w:rsid w:val="00091101"/>
    <w:rsid w:val="000911AC"/>
    <w:rsid w:val="00091771"/>
    <w:rsid w:val="00091DEC"/>
    <w:rsid w:val="00092600"/>
    <w:rsid w:val="0009262B"/>
    <w:rsid w:val="00093310"/>
    <w:rsid w:val="00093CF1"/>
    <w:rsid w:val="00094187"/>
    <w:rsid w:val="000941BC"/>
    <w:rsid w:val="000942F3"/>
    <w:rsid w:val="000943D1"/>
    <w:rsid w:val="0009445C"/>
    <w:rsid w:val="00094A25"/>
    <w:rsid w:val="00094AC5"/>
    <w:rsid w:val="00094B4E"/>
    <w:rsid w:val="00094BE2"/>
    <w:rsid w:val="00095200"/>
    <w:rsid w:val="00095B4C"/>
    <w:rsid w:val="00095C5D"/>
    <w:rsid w:val="00095FE5"/>
    <w:rsid w:val="00096284"/>
    <w:rsid w:val="000964D8"/>
    <w:rsid w:val="00096750"/>
    <w:rsid w:val="00096884"/>
    <w:rsid w:val="000968A1"/>
    <w:rsid w:val="00097A60"/>
    <w:rsid w:val="000A03B3"/>
    <w:rsid w:val="000A0E63"/>
    <w:rsid w:val="000A0FB5"/>
    <w:rsid w:val="000A19E1"/>
    <w:rsid w:val="000A1BC0"/>
    <w:rsid w:val="000A1ECB"/>
    <w:rsid w:val="000A2580"/>
    <w:rsid w:val="000A2592"/>
    <w:rsid w:val="000A2BC9"/>
    <w:rsid w:val="000A2F9E"/>
    <w:rsid w:val="000A2FD3"/>
    <w:rsid w:val="000A338E"/>
    <w:rsid w:val="000A3E0D"/>
    <w:rsid w:val="000A3E47"/>
    <w:rsid w:val="000A4092"/>
    <w:rsid w:val="000A4236"/>
    <w:rsid w:val="000A469A"/>
    <w:rsid w:val="000A4E96"/>
    <w:rsid w:val="000A4EC0"/>
    <w:rsid w:val="000A522B"/>
    <w:rsid w:val="000A6019"/>
    <w:rsid w:val="000A6039"/>
    <w:rsid w:val="000A63CF"/>
    <w:rsid w:val="000A63D1"/>
    <w:rsid w:val="000A7453"/>
    <w:rsid w:val="000A7D08"/>
    <w:rsid w:val="000A7EB3"/>
    <w:rsid w:val="000B0121"/>
    <w:rsid w:val="000B0260"/>
    <w:rsid w:val="000B0670"/>
    <w:rsid w:val="000B0E75"/>
    <w:rsid w:val="000B2389"/>
    <w:rsid w:val="000B2540"/>
    <w:rsid w:val="000B2DCB"/>
    <w:rsid w:val="000B30CE"/>
    <w:rsid w:val="000B44AF"/>
    <w:rsid w:val="000B4C90"/>
    <w:rsid w:val="000B4EF3"/>
    <w:rsid w:val="000B5378"/>
    <w:rsid w:val="000B5592"/>
    <w:rsid w:val="000B5B9E"/>
    <w:rsid w:val="000B5CE0"/>
    <w:rsid w:val="000B62B6"/>
    <w:rsid w:val="000B69D0"/>
    <w:rsid w:val="000B6B6C"/>
    <w:rsid w:val="000B6B95"/>
    <w:rsid w:val="000B6CAC"/>
    <w:rsid w:val="000B6CD1"/>
    <w:rsid w:val="000B73DE"/>
    <w:rsid w:val="000B7612"/>
    <w:rsid w:val="000B766E"/>
    <w:rsid w:val="000B78AE"/>
    <w:rsid w:val="000B7E31"/>
    <w:rsid w:val="000B7E6E"/>
    <w:rsid w:val="000C0BBB"/>
    <w:rsid w:val="000C103D"/>
    <w:rsid w:val="000C1176"/>
    <w:rsid w:val="000C18BC"/>
    <w:rsid w:val="000C230A"/>
    <w:rsid w:val="000C24A6"/>
    <w:rsid w:val="000C2AD1"/>
    <w:rsid w:val="000C2C04"/>
    <w:rsid w:val="000C3426"/>
    <w:rsid w:val="000C3A09"/>
    <w:rsid w:val="000C3DF9"/>
    <w:rsid w:val="000C3F79"/>
    <w:rsid w:val="000C414D"/>
    <w:rsid w:val="000C448D"/>
    <w:rsid w:val="000C4CF2"/>
    <w:rsid w:val="000C50B5"/>
    <w:rsid w:val="000C52B4"/>
    <w:rsid w:val="000C55A8"/>
    <w:rsid w:val="000C5E64"/>
    <w:rsid w:val="000C6713"/>
    <w:rsid w:val="000C68C7"/>
    <w:rsid w:val="000C7873"/>
    <w:rsid w:val="000C78A8"/>
    <w:rsid w:val="000D0082"/>
    <w:rsid w:val="000D023F"/>
    <w:rsid w:val="000D0252"/>
    <w:rsid w:val="000D0719"/>
    <w:rsid w:val="000D0EC8"/>
    <w:rsid w:val="000D12FB"/>
    <w:rsid w:val="000D1695"/>
    <w:rsid w:val="000D1BC3"/>
    <w:rsid w:val="000D1BFC"/>
    <w:rsid w:val="000D1D5D"/>
    <w:rsid w:val="000D281A"/>
    <w:rsid w:val="000D2848"/>
    <w:rsid w:val="000D3165"/>
    <w:rsid w:val="000D326A"/>
    <w:rsid w:val="000D3942"/>
    <w:rsid w:val="000D4279"/>
    <w:rsid w:val="000D4890"/>
    <w:rsid w:val="000D48D5"/>
    <w:rsid w:val="000D51FB"/>
    <w:rsid w:val="000D54B2"/>
    <w:rsid w:val="000D5938"/>
    <w:rsid w:val="000D5E83"/>
    <w:rsid w:val="000D6219"/>
    <w:rsid w:val="000D6310"/>
    <w:rsid w:val="000D6685"/>
    <w:rsid w:val="000D6707"/>
    <w:rsid w:val="000E0161"/>
    <w:rsid w:val="000E05AD"/>
    <w:rsid w:val="000E0640"/>
    <w:rsid w:val="000E0CC0"/>
    <w:rsid w:val="000E0D71"/>
    <w:rsid w:val="000E135D"/>
    <w:rsid w:val="000E160B"/>
    <w:rsid w:val="000E1F14"/>
    <w:rsid w:val="000E1FE2"/>
    <w:rsid w:val="000E20B7"/>
    <w:rsid w:val="000E2AB5"/>
    <w:rsid w:val="000E31F3"/>
    <w:rsid w:val="000E32AB"/>
    <w:rsid w:val="000E50C4"/>
    <w:rsid w:val="000E5D82"/>
    <w:rsid w:val="000E664C"/>
    <w:rsid w:val="000E7028"/>
    <w:rsid w:val="000E7036"/>
    <w:rsid w:val="000E75BD"/>
    <w:rsid w:val="000E772B"/>
    <w:rsid w:val="000E783F"/>
    <w:rsid w:val="000E7D6D"/>
    <w:rsid w:val="000F00BA"/>
    <w:rsid w:val="000F0389"/>
    <w:rsid w:val="000F0B57"/>
    <w:rsid w:val="000F1052"/>
    <w:rsid w:val="000F124A"/>
    <w:rsid w:val="000F1319"/>
    <w:rsid w:val="000F1AFD"/>
    <w:rsid w:val="000F1C89"/>
    <w:rsid w:val="000F243A"/>
    <w:rsid w:val="000F2D3C"/>
    <w:rsid w:val="000F2D40"/>
    <w:rsid w:val="000F316A"/>
    <w:rsid w:val="000F3C74"/>
    <w:rsid w:val="000F3DDA"/>
    <w:rsid w:val="000F41AC"/>
    <w:rsid w:val="000F44D4"/>
    <w:rsid w:val="000F4BB8"/>
    <w:rsid w:val="000F4FA9"/>
    <w:rsid w:val="000F505C"/>
    <w:rsid w:val="000F53FB"/>
    <w:rsid w:val="000F5576"/>
    <w:rsid w:val="000F581C"/>
    <w:rsid w:val="000F5894"/>
    <w:rsid w:val="000F59DD"/>
    <w:rsid w:val="000F7127"/>
    <w:rsid w:val="000F7292"/>
    <w:rsid w:val="000F7407"/>
    <w:rsid w:val="000F7435"/>
    <w:rsid w:val="000F785A"/>
    <w:rsid w:val="000F7B54"/>
    <w:rsid w:val="001000B3"/>
    <w:rsid w:val="00100F8A"/>
    <w:rsid w:val="0010142A"/>
    <w:rsid w:val="00101464"/>
    <w:rsid w:val="00101514"/>
    <w:rsid w:val="001018DE"/>
    <w:rsid w:val="00101D61"/>
    <w:rsid w:val="00102167"/>
    <w:rsid w:val="00102303"/>
    <w:rsid w:val="001024CE"/>
    <w:rsid w:val="0010279A"/>
    <w:rsid w:val="001044D8"/>
    <w:rsid w:val="0010452E"/>
    <w:rsid w:val="0010467C"/>
    <w:rsid w:val="00105014"/>
    <w:rsid w:val="0010548C"/>
    <w:rsid w:val="001056C4"/>
    <w:rsid w:val="00105AE2"/>
    <w:rsid w:val="00105E33"/>
    <w:rsid w:val="001060C6"/>
    <w:rsid w:val="001067D9"/>
    <w:rsid w:val="00106805"/>
    <w:rsid w:val="00106908"/>
    <w:rsid w:val="00106B80"/>
    <w:rsid w:val="00106EE0"/>
    <w:rsid w:val="001072FC"/>
    <w:rsid w:val="00107573"/>
    <w:rsid w:val="00107612"/>
    <w:rsid w:val="0011032E"/>
    <w:rsid w:val="00110466"/>
    <w:rsid w:val="0011082E"/>
    <w:rsid w:val="00111A7C"/>
    <w:rsid w:val="00111FB8"/>
    <w:rsid w:val="00112E59"/>
    <w:rsid w:val="00112EF2"/>
    <w:rsid w:val="00113216"/>
    <w:rsid w:val="0011330F"/>
    <w:rsid w:val="00113442"/>
    <w:rsid w:val="0011348B"/>
    <w:rsid w:val="0011396F"/>
    <w:rsid w:val="00113F99"/>
    <w:rsid w:val="00114192"/>
    <w:rsid w:val="00114B87"/>
    <w:rsid w:val="00114FA7"/>
    <w:rsid w:val="00115183"/>
    <w:rsid w:val="001154E6"/>
    <w:rsid w:val="00115982"/>
    <w:rsid w:val="00115C0E"/>
    <w:rsid w:val="00116BAF"/>
    <w:rsid w:val="00116BF2"/>
    <w:rsid w:val="00116C53"/>
    <w:rsid w:val="00117A42"/>
    <w:rsid w:val="0012064B"/>
    <w:rsid w:val="001206AC"/>
    <w:rsid w:val="00120E1E"/>
    <w:rsid w:val="00121091"/>
    <w:rsid w:val="00121799"/>
    <w:rsid w:val="00121BC0"/>
    <w:rsid w:val="00122223"/>
    <w:rsid w:val="001222FC"/>
    <w:rsid w:val="00122D91"/>
    <w:rsid w:val="00123902"/>
    <w:rsid w:val="00124059"/>
    <w:rsid w:val="00124604"/>
    <w:rsid w:val="00124758"/>
    <w:rsid w:val="00124A51"/>
    <w:rsid w:val="00124DCE"/>
    <w:rsid w:val="001255CA"/>
    <w:rsid w:val="00125B03"/>
    <w:rsid w:val="00126621"/>
    <w:rsid w:val="0012678C"/>
    <w:rsid w:val="00126878"/>
    <w:rsid w:val="001269DD"/>
    <w:rsid w:val="00126B1D"/>
    <w:rsid w:val="0012707E"/>
    <w:rsid w:val="001301E9"/>
    <w:rsid w:val="001302B6"/>
    <w:rsid w:val="00130359"/>
    <w:rsid w:val="00130507"/>
    <w:rsid w:val="00130D7E"/>
    <w:rsid w:val="001319DB"/>
    <w:rsid w:val="00131C1B"/>
    <w:rsid w:val="00131D82"/>
    <w:rsid w:val="00131FF7"/>
    <w:rsid w:val="00132739"/>
    <w:rsid w:val="00132B22"/>
    <w:rsid w:val="00132CAC"/>
    <w:rsid w:val="0013351B"/>
    <w:rsid w:val="00133D36"/>
    <w:rsid w:val="0013410E"/>
    <w:rsid w:val="00134175"/>
    <w:rsid w:val="001341DC"/>
    <w:rsid w:val="001348DE"/>
    <w:rsid w:val="00134E89"/>
    <w:rsid w:val="00135710"/>
    <w:rsid w:val="0013664E"/>
    <w:rsid w:val="00136A00"/>
    <w:rsid w:val="00137049"/>
    <w:rsid w:val="00137645"/>
    <w:rsid w:val="001376CB"/>
    <w:rsid w:val="001377A0"/>
    <w:rsid w:val="00137A38"/>
    <w:rsid w:val="00137CF5"/>
    <w:rsid w:val="00137E33"/>
    <w:rsid w:val="0014015A"/>
    <w:rsid w:val="001401A1"/>
    <w:rsid w:val="00140638"/>
    <w:rsid w:val="00140CA0"/>
    <w:rsid w:val="00140E99"/>
    <w:rsid w:val="00141001"/>
    <w:rsid w:val="00142180"/>
    <w:rsid w:val="00142C3C"/>
    <w:rsid w:val="00142FEA"/>
    <w:rsid w:val="00143C96"/>
    <w:rsid w:val="00143F67"/>
    <w:rsid w:val="001443B0"/>
    <w:rsid w:val="0014480A"/>
    <w:rsid w:val="00145234"/>
    <w:rsid w:val="001453EB"/>
    <w:rsid w:val="00145540"/>
    <w:rsid w:val="001456B0"/>
    <w:rsid w:val="001463C4"/>
    <w:rsid w:val="0014704C"/>
    <w:rsid w:val="00147B78"/>
    <w:rsid w:val="0015026F"/>
    <w:rsid w:val="00150423"/>
    <w:rsid w:val="0015060F"/>
    <w:rsid w:val="0015079A"/>
    <w:rsid w:val="001507E6"/>
    <w:rsid w:val="0015117F"/>
    <w:rsid w:val="001518BA"/>
    <w:rsid w:val="00151AE7"/>
    <w:rsid w:val="001524B6"/>
    <w:rsid w:val="00153008"/>
    <w:rsid w:val="00153132"/>
    <w:rsid w:val="00153888"/>
    <w:rsid w:val="00153E31"/>
    <w:rsid w:val="001547AB"/>
    <w:rsid w:val="001548C7"/>
    <w:rsid w:val="00154F10"/>
    <w:rsid w:val="0015573C"/>
    <w:rsid w:val="00155F13"/>
    <w:rsid w:val="00156074"/>
    <w:rsid w:val="00156A46"/>
    <w:rsid w:val="00156AF3"/>
    <w:rsid w:val="00156F8F"/>
    <w:rsid w:val="00157130"/>
    <w:rsid w:val="0015736D"/>
    <w:rsid w:val="001573A5"/>
    <w:rsid w:val="001576B1"/>
    <w:rsid w:val="0016047B"/>
    <w:rsid w:val="00160880"/>
    <w:rsid w:val="00160A4C"/>
    <w:rsid w:val="00161282"/>
    <w:rsid w:val="00161B1F"/>
    <w:rsid w:val="001625D0"/>
    <w:rsid w:val="00162913"/>
    <w:rsid w:val="00163275"/>
    <w:rsid w:val="001632CE"/>
    <w:rsid w:val="001632F7"/>
    <w:rsid w:val="0016359A"/>
    <w:rsid w:val="001636C7"/>
    <w:rsid w:val="00163EFF"/>
    <w:rsid w:val="00163F0B"/>
    <w:rsid w:val="00163F66"/>
    <w:rsid w:val="0016478E"/>
    <w:rsid w:val="00164AA0"/>
    <w:rsid w:val="001655C2"/>
    <w:rsid w:val="0016582F"/>
    <w:rsid w:val="001659CC"/>
    <w:rsid w:val="00165EB7"/>
    <w:rsid w:val="00165EC4"/>
    <w:rsid w:val="001661FB"/>
    <w:rsid w:val="00166398"/>
    <w:rsid w:val="00166B10"/>
    <w:rsid w:val="00167104"/>
    <w:rsid w:val="001671A0"/>
    <w:rsid w:val="0016767F"/>
    <w:rsid w:val="00167938"/>
    <w:rsid w:val="00167CD7"/>
    <w:rsid w:val="00170945"/>
    <w:rsid w:val="00170AD6"/>
    <w:rsid w:val="00170F8A"/>
    <w:rsid w:val="001714AE"/>
    <w:rsid w:val="00171658"/>
    <w:rsid w:val="0017185A"/>
    <w:rsid w:val="00171BBF"/>
    <w:rsid w:val="0017234B"/>
    <w:rsid w:val="00173162"/>
    <w:rsid w:val="00173565"/>
    <w:rsid w:val="0017389B"/>
    <w:rsid w:val="00173ADD"/>
    <w:rsid w:val="00173B07"/>
    <w:rsid w:val="0017413D"/>
    <w:rsid w:val="001742F6"/>
    <w:rsid w:val="00174958"/>
    <w:rsid w:val="00174EEE"/>
    <w:rsid w:val="001751FA"/>
    <w:rsid w:val="00175E04"/>
    <w:rsid w:val="001762CF"/>
    <w:rsid w:val="00176CED"/>
    <w:rsid w:val="00177029"/>
    <w:rsid w:val="0017741F"/>
    <w:rsid w:val="00177BFD"/>
    <w:rsid w:val="00180446"/>
    <w:rsid w:val="00180727"/>
    <w:rsid w:val="00181430"/>
    <w:rsid w:val="00181C10"/>
    <w:rsid w:val="00181D9C"/>
    <w:rsid w:val="00182221"/>
    <w:rsid w:val="00182346"/>
    <w:rsid w:val="001823F9"/>
    <w:rsid w:val="00182828"/>
    <w:rsid w:val="001828A1"/>
    <w:rsid w:val="00182D75"/>
    <w:rsid w:val="00182F26"/>
    <w:rsid w:val="00182FAF"/>
    <w:rsid w:val="001837FF"/>
    <w:rsid w:val="00183BEE"/>
    <w:rsid w:val="00184949"/>
    <w:rsid w:val="00184B0E"/>
    <w:rsid w:val="00184C1E"/>
    <w:rsid w:val="0018566F"/>
    <w:rsid w:val="00185BA2"/>
    <w:rsid w:val="00185D0F"/>
    <w:rsid w:val="00185D8B"/>
    <w:rsid w:val="00186DC2"/>
    <w:rsid w:val="001870AB"/>
    <w:rsid w:val="0018752F"/>
    <w:rsid w:val="0018789D"/>
    <w:rsid w:val="00187E56"/>
    <w:rsid w:val="00190128"/>
    <w:rsid w:val="001909D7"/>
    <w:rsid w:val="00190A31"/>
    <w:rsid w:val="00190C09"/>
    <w:rsid w:val="00190EE7"/>
    <w:rsid w:val="00191393"/>
    <w:rsid w:val="001916FD"/>
    <w:rsid w:val="00192320"/>
    <w:rsid w:val="00192DBA"/>
    <w:rsid w:val="00193281"/>
    <w:rsid w:val="00193406"/>
    <w:rsid w:val="00193449"/>
    <w:rsid w:val="00193838"/>
    <w:rsid w:val="00193C0F"/>
    <w:rsid w:val="00193FA9"/>
    <w:rsid w:val="0019481B"/>
    <w:rsid w:val="00194AD8"/>
    <w:rsid w:val="00195222"/>
    <w:rsid w:val="00195452"/>
    <w:rsid w:val="0019550E"/>
    <w:rsid w:val="00196020"/>
    <w:rsid w:val="001975D8"/>
    <w:rsid w:val="00197AE4"/>
    <w:rsid w:val="001A0005"/>
    <w:rsid w:val="001A04F7"/>
    <w:rsid w:val="001A0835"/>
    <w:rsid w:val="001A0FB9"/>
    <w:rsid w:val="001A15B0"/>
    <w:rsid w:val="001A178E"/>
    <w:rsid w:val="001A251C"/>
    <w:rsid w:val="001A277F"/>
    <w:rsid w:val="001A2CA1"/>
    <w:rsid w:val="001A43FA"/>
    <w:rsid w:val="001A47C5"/>
    <w:rsid w:val="001A59FB"/>
    <w:rsid w:val="001A5ADB"/>
    <w:rsid w:val="001A5C10"/>
    <w:rsid w:val="001A5D5C"/>
    <w:rsid w:val="001A5E9E"/>
    <w:rsid w:val="001A632D"/>
    <w:rsid w:val="001A6354"/>
    <w:rsid w:val="001A6366"/>
    <w:rsid w:val="001A6E3E"/>
    <w:rsid w:val="001A6E5F"/>
    <w:rsid w:val="001A6F24"/>
    <w:rsid w:val="001A7662"/>
    <w:rsid w:val="001A7AE8"/>
    <w:rsid w:val="001A7B5F"/>
    <w:rsid w:val="001B030C"/>
    <w:rsid w:val="001B0C2A"/>
    <w:rsid w:val="001B14F9"/>
    <w:rsid w:val="001B1836"/>
    <w:rsid w:val="001B204E"/>
    <w:rsid w:val="001B2372"/>
    <w:rsid w:val="001B2683"/>
    <w:rsid w:val="001B26E6"/>
    <w:rsid w:val="001B2DC8"/>
    <w:rsid w:val="001B3077"/>
    <w:rsid w:val="001B30BD"/>
    <w:rsid w:val="001B3443"/>
    <w:rsid w:val="001B3CE0"/>
    <w:rsid w:val="001B3FA4"/>
    <w:rsid w:val="001B4799"/>
    <w:rsid w:val="001B4D20"/>
    <w:rsid w:val="001B4E02"/>
    <w:rsid w:val="001B5989"/>
    <w:rsid w:val="001B63A3"/>
    <w:rsid w:val="001B702B"/>
    <w:rsid w:val="001B725F"/>
    <w:rsid w:val="001B7AB6"/>
    <w:rsid w:val="001B7F84"/>
    <w:rsid w:val="001B7FC4"/>
    <w:rsid w:val="001C002E"/>
    <w:rsid w:val="001C0B7C"/>
    <w:rsid w:val="001C0F03"/>
    <w:rsid w:val="001C144C"/>
    <w:rsid w:val="001C1BA9"/>
    <w:rsid w:val="001C1C12"/>
    <w:rsid w:val="001C2A9B"/>
    <w:rsid w:val="001C2B93"/>
    <w:rsid w:val="001C2CF7"/>
    <w:rsid w:val="001C3251"/>
    <w:rsid w:val="001C374B"/>
    <w:rsid w:val="001C3DD6"/>
    <w:rsid w:val="001C3EF3"/>
    <w:rsid w:val="001C403E"/>
    <w:rsid w:val="001C4299"/>
    <w:rsid w:val="001C477C"/>
    <w:rsid w:val="001C4874"/>
    <w:rsid w:val="001C4890"/>
    <w:rsid w:val="001C4C4E"/>
    <w:rsid w:val="001C5F94"/>
    <w:rsid w:val="001C6256"/>
    <w:rsid w:val="001C6532"/>
    <w:rsid w:val="001C6AFB"/>
    <w:rsid w:val="001C6E66"/>
    <w:rsid w:val="001C6ED9"/>
    <w:rsid w:val="001D0152"/>
    <w:rsid w:val="001D030E"/>
    <w:rsid w:val="001D0873"/>
    <w:rsid w:val="001D0CE5"/>
    <w:rsid w:val="001D0EB2"/>
    <w:rsid w:val="001D1100"/>
    <w:rsid w:val="001D1391"/>
    <w:rsid w:val="001D16EA"/>
    <w:rsid w:val="001D185C"/>
    <w:rsid w:val="001D25D7"/>
    <w:rsid w:val="001D2890"/>
    <w:rsid w:val="001D45C2"/>
    <w:rsid w:val="001D50B2"/>
    <w:rsid w:val="001D5456"/>
    <w:rsid w:val="001D5481"/>
    <w:rsid w:val="001D55B4"/>
    <w:rsid w:val="001D5D3E"/>
    <w:rsid w:val="001D6544"/>
    <w:rsid w:val="001D65D7"/>
    <w:rsid w:val="001D6BEE"/>
    <w:rsid w:val="001D6D8B"/>
    <w:rsid w:val="001D7045"/>
    <w:rsid w:val="001D70A5"/>
    <w:rsid w:val="001D71F4"/>
    <w:rsid w:val="001D7645"/>
    <w:rsid w:val="001E03CA"/>
    <w:rsid w:val="001E0423"/>
    <w:rsid w:val="001E0C93"/>
    <w:rsid w:val="001E15F7"/>
    <w:rsid w:val="001E1B2E"/>
    <w:rsid w:val="001E1E86"/>
    <w:rsid w:val="001E238E"/>
    <w:rsid w:val="001E2483"/>
    <w:rsid w:val="001E24EA"/>
    <w:rsid w:val="001E2A69"/>
    <w:rsid w:val="001E2B1E"/>
    <w:rsid w:val="001E2CFF"/>
    <w:rsid w:val="001E2F24"/>
    <w:rsid w:val="001E30D4"/>
    <w:rsid w:val="001E34DF"/>
    <w:rsid w:val="001E44E8"/>
    <w:rsid w:val="001E4854"/>
    <w:rsid w:val="001E4D4E"/>
    <w:rsid w:val="001E508D"/>
    <w:rsid w:val="001E52EB"/>
    <w:rsid w:val="001E5EA9"/>
    <w:rsid w:val="001E61D2"/>
    <w:rsid w:val="001E6A02"/>
    <w:rsid w:val="001E740C"/>
    <w:rsid w:val="001E7F7B"/>
    <w:rsid w:val="001F06A4"/>
    <w:rsid w:val="001F09FA"/>
    <w:rsid w:val="001F0C9B"/>
    <w:rsid w:val="001F0F36"/>
    <w:rsid w:val="001F0FB1"/>
    <w:rsid w:val="001F1235"/>
    <w:rsid w:val="001F1681"/>
    <w:rsid w:val="001F1B48"/>
    <w:rsid w:val="001F1CB3"/>
    <w:rsid w:val="001F1EB4"/>
    <w:rsid w:val="001F1F9D"/>
    <w:rsid w:val="001F237F"/>
    <w:rsid w:val="001F2496"/>
    <w:rsid w:val="001F25CA"/>
    <w:rsid w:val="001F3582"/>
    <w:rsid w:val="001F38B5"/>
    <w:rsid w:val="001F3EFD"/>
    <w:rsid w:val="001F3FFA"/>
    <w:rsid w:val="001F4081"/>
    <w:rsid w:val="001F4FE5"/>
    <w:rsid w:val="001F59F1"/>
    <w:rsid w:val="001F5BE6"/>
    <w:rsid w:val="001F654D"/>
    <w:rsid w:val="001F6E4A"/>
    <w:rsid w:val="001F7361"/>
    <w:rsid w:val="001F757A"/>
    <w:rsid w:val="0020017A"/>
    <w:rsid w:val="002011B0"/>
    <w:rsid w:val="002015C2"/>
    <w:rsid w:val="00201662"/>
    <w:rsid w:val="00201817"/>
    <w:rsid w:val="00202307"/>
    <w:rsid w:val="002024C5"/>
    <w:rsid w:val="00203048"/>
    <w:rsid w:val="00203181"/>
    <w:rsid w:val="002031E1"/>
    <w:rsid w:val="0020323A"/>
    <w:rsid w:val="00203312"/>
    <w:rsid w:val="00203541"/>
    <w:rsid w:val="00203783"/>
    <w:rsid w:val="0020385F"/>
    <w:rsid w:val="002038C1"/>
    <w:rsid w:val="00204429"/>
    <w:rsid w:val="002046D8"/>
    <w:rsid w:val="0020470E"/>
    <w:rsid w:val="002050E4"/>
    <w:rsid w:val="00205220"/>
    <w:rsid w:val="00205A99"/>
    <w:rsid w:val="00205A9D"/>
    <w:rsid w:val="002068A0"/>
    <w:rsid w:val="00206BC7"/>
    <w:rsid w:val="00207021"/>
    <w:rsid w:val="002072B7"/>
    <w:rsid w:val="0020732F"/>
    <w:rsid w:val="0020733C"/>
    <w:rsid w:val="00207C67"/>
    <w:rsid w:val="00207D00"/>
    <w:rsid w:val="00207FD2"/>
    <w:rsid w:val="00210066"/>
    <w:rsid w:val="002100F2"/>
    <w:rsid w:val="002104FC"/>
    <w:rsid w:val="00210540"/>
    <w:rsid w:val="002105C1"/>
    <w:rsid w:val="0021084A"/>
    <w:rsid w:val="00210AB5"/>
    <w:rsid w:val="0021109C"/>
    <w:rsid w:val="00211148"/>
    <w:rsid w:val="0021120A"/>
    <w:rsid w:val="00211527"/>
    <w:rsid w:val="002116FD"/>
    <w:rsid w:val="00211AAA"/>
    <w:rsid w:val="00211B20"/>
    <w:rsid w:val="002126E1"/>
    <w:rsid w:val="00213165"/>
    <w:rsid w:val="002138AA"/>
    <w:rsid w:val="00213EBE"/>
    <w:rsid w:val="00213EC7"/>
    <w:rsid w:val="00213EF5"/>
    <w:rsid w:val="00214090"/>
    <w:rsid w:val="0021410A"/>
    <w:rsid w:val="0021444D"/>
    <w:rsid w:val="002147B4"/>
    <w:rsid w:val="002149B8"/>
    <w:rsid w:val="00214B46"/>
    <w:rsid w:val="00214F28"/>
    <w:rsid w:val="002150A3"/>
    <w:rsid w:val="00215104"/>
    <w:rsid w:val="00216BF5"/>
    <w:rsid w:val="00216D91"/>
    <w:rsid w:val="0021705B"/>
    <w:rsid w:val="002173AD"/>
    <w:rsid w:val="00217F24"/>
    <w:rsid w:val="002202D4"/>
    <w:rsid w:val="002203B0"/>
    <w:rsid w:val="002207B4"/>
    <w:rsid w:val="00221B2D"/>
    <w:rsid w:val="002226AA"/>
    <w:rsid w:val="00222A60"/>
    <w:rsid w:val="00223017"/>
    <w:rsid w:val="00223032"/>
    <w:rsid w:val="00223296"/>
    <w:rsid w:val="00223B49"/>
    <w:rsid w:val="00223D25"/>
    <w:rsid w:val="00223D5A"/>
    <w:rsid w:val="00223E86"/>
    <w:rsid w:val="00224002"/>
    <w:rsid w:val="00224598"/>
    <w:rsid w:val="00224C23"/>
    <w:rsid w:val="00224DD4"/>
    <w:rsid w:val="00225518"/>
    <w:rsid w:val="0022561E"/>
    <w:rsid w:val="002258B3"/>
    <w:rsid w:val="00225AC5"/>
    <w:rsid w:val="00225C83"/>
    <w:rsid w:val="00225EA9"/>
    <w:rsid w:val="0022762A"/>
    <w:rsid w:val="002278A0"/>
    <w:rsid w:val="00227C4E"/>
    <w:rsid w:val="00230084"/>
    <w:rsid w:val="002309CC"/>
    <w:rsid w:val="0023103A"/>
    <w:rsid w:val="00231BA9"/>
    <w:rsid w:val="0023209F"/>
    <w:rsid w:val="00232897"/>
    <w:rsid w:val="00233465"/>
    <w:rsid w:val="00233725"/>
    <w:rsid w:val="00233C01"/>
    <w:rsid w:val="0023413C"/>
    <w:rsid w:val="0023439C"/>
    <w:rsid w:val="002346F0"/>
    <w:rsid w:val="002349BC"/>
    <w:rsid w:val="00235B94"/>
    <w:rsid w:val="00235E98"/>
    <w:rsid w:val="0023629D"/>
    <w:rsid w:val="002364B9"/>
    <w:rsid w:val="00236651"/>
    <w:rsid w:val="002368C7"/>
    <w:rsid w:val="00236A9F"/>
    <w:rsid w:val="00237255"/>
    <w:rsid w:val="0023770A"/>
    <w:rsid w:val="0024006B"/>
    <w:rsid w:val="00240E92"/>
    <w:rsid w:val="00241F7C"/>
    <w:rsid w:val="002424AF"/>
    <w:rsid w:val="00242CD3"/>
    <w:rsid w:val="00242E07"/>
    <w:rsid w:val="0024305E"/>
    <w:rsid w:val="0024320E"/>
    <w:rsid w:val="002438BE"/>
    <w:rsid w:val="002439DC"/>
    <w:rsid w:val="00243C4C"/>
    <w:rsid w:val="00243DCA"/>
    <w:rsid w:val="00243FBA"/>
    <w:rsid w:val="002441D2"/>
    <w:rsid w:val="00244DC8"/>
    <w:rsid w:val="00245156"/>
    <w:rsid w:val="002451A8"/>
    <w:rsid w:val="002458BA"/>
    <w:rsid w:val="00245CE9"/>
    <w:rsid w:val="00246093"/>
    <w:rsid w:val="0024636C"/>
    <w:rsid w:val="002474A7"/>
    <w:rsid w:val="00247925"/>
    <w:rsid w:val="00250242"/>
    <w:rsid w:val="002508CD"/>
    <w:rsid w:val="00250F03"/>
    <w:rsid w:val="00251006"/>
    <w:rsid w:val="00251B72"/>
    <w:rsid w:val="00251C9E"/>
    <w:rsid w:val="00251D6B"/>
    <w:rsid w:val="002524C7"/>
    <w:rsid w:val="002524D5"/>
    <w:rsid w:val="0025311B"/>
    <w:rsid w:val="0025373D"/>
    <w:rsid w:val="00253B1D"/>
    <w:rsid w:val="0025482F"/>
    <w:rsid w:val="00254DCF"/>
    <w:rsid w:val="002551D2"/>
    <w:rsid w:val="0025534B"/>
    <w:rsid w:val="00255B1E"/>
    <w:rsid w:val="00255BB7"/>
    <w:rsid w:val="00255C4F"/>
    <w:rsid w:val="002568BE"/>
    <w:rsid w:val="00256A7A"/>
    <w:rsid w:val="00256F8E"/>
    <w:rsid w:val="00257031"/>
    <w:rsid w:val="002571E2"/>
    <w:rsid w:val="00257474"/>
    <w:rsid w:val="00257541"/>
    <w:rsid w:val="00257A39"/>
    <w:rsid w:val="00257AC4"/>
    <w:rsid w:val="00257B7F"/>
    <w:rsid w:val="00257BBE"/>
    <w:rsid w:val="00257E9D"/>
    <w:rsid w:val="00260072"/>
    <w:rsid w:val="00260FFA"/>
    <w:rsid w:val="002616BD"/>
    <w:rsid w:val="00261EEF"/>
    <w:rsid w:val="00262072"/>
    <w:rsid w:val="00262A1A"/>
    <w:rsid w:val="00262A87"/>
    <w:rsid w:val="00262F75"/>
    <w:rsid w:val="00263FAE"/>
    <w:rsid w:val="00264D26"/>
    <w:rsid w:val="002651CD"/>
    <w:rsid w:val="00265439"/>
    <w:rsid w:val="002654DB"/>
    <w:rsid w:val="00265595"/>
    <w:rsid w:val="00265D6A"/>
    <w:rsid w:val="0026616B"/>
    <w:rsid w:val="00266433"/>
    <w:rsid w:val="002667E0"/>
    <w:rsid w:val="0026693D"/>
    <w:rsid w:val="00266DBB"/>
    <w:rsid w:val="002671C6"/>
    <w:rsid w:val="00267642"/>
    <w:rsid w:val="00267771"/>
    <w:rsid w:val="00267A16"/>
    <w:rsid w:val="00267AEA"/>
    <w:rsid w:val="002700E6"/>
    <w:rsid w:val="002704BF"/>
    <w:rsid w:val="0027074C"/>
    <w:rsid w:val="00270B01"/>
    <w:rsid w:val="00270F39"/>
    <w:rsid w:val="00271678"/>
    <w:rsid w:val="00271B57"/>
    <w:rsid w:val="00271DF5"/>
    <w:rsid w:val="0027201B"/>
    <w:rsid w:val="0027247A"/>
    <w:rsid w:val="00272571"/>
    <w:rsid w:val="00272765"/>
    <w:rsid w:val="0027294B"/>
    <w:rsid w:val="00273EB4"/>
    <w:rsid w:val="00274682"/>
    <w:rsid w:val="002746D7"/>
    <w:rsid w:val="00274D11"/>
    <w:rsid w:val="00274FCA"/>
    <w:rsid w:val="00275158"/>
    <w:rsid w:val="00275C5A"/>
    <w:rsid w:val="00275ED4"/>
    <w:rsid w:val="00276BCE"/>
    <w:rsid w:val="00276BEE"/>
    <w:rsid w:val="00276ECB"/>
    <w:rsid w:val="0027723D"/>
    <w:rsid w:val="00277C85"/>
    <w:rsid w:val="00277DCF"/>
    <w:rsid w:val="0028018D"/>
    <w:rsid w:val="00280A11"/>
    <w:rsid w:val="00280A33"/>
    <w:rsid w:val="00280F90"/>
    <w:rsid w:val="00280FC7"/>
    <w:rsid w:val="00281014"/>
    <w:rsid w:val="002812CE"/>
    <w:rsid w:val="00281320"/>
    <w:rsid w:val="00281A65"/>
    <w:rsid w:val="00281B9F"/>
    <w:rsid w:val="00281D1D"/>
    <w:rsid w:val="0028278B"/>
    <w:rsid w:val="00282898"/>
    <w:rsid w:val="0028314C"/>
    <w:rsid w:val="002831AE"/>
    <w:rsid w:val="0028393B"/>
    <w:rsid w:val="002844EE"/>
    <w:rsid w:val="00284569"/>
    <w:rsid w:val="00284573"/>
    <w:rsid w:val="00285BCE"/>
    <w:rsid w:val="0028665D"/>
    <w:rsid w:val="00286B3D"/>
    <w:rsid w:val="00287DE2"/>
    <w:rsid w:val="00290074"/>
    <w:rsid w:val="00290F9A"/>
    <w:rsid w:val="00291099"/>
    <w:rsid w:val="00292028"/>
    <w:rsid w:val="002921E8"/>
    <w:rsid w:val="00292633"/>
    <w:rsid w:val="002926E6"/>
    <w:rsid w:val="002932E5"/>
    <w:rsid w:val="00293DBE"/>
    <w:rsid w:val="00293E52"/>
    <w:rsid w:val="002941BE"/>
    <w:rsid w:val="00294266"/>
    <w:rsid w:val="00294813"/>
    <w:rsid w:val="00294FB0"/>
    <w:rsid w:val="002952DF"/>
    <w:rsid w:val="00295B1F"/>
    <w:rsid w:val="00296762"/>
    <w:rsid w:val="002967CD"/>
    <w:rsid w:val="00297232"/>
    <w:rsid w:val="002973E6"/>
    <w:rsid w:val="00297B33"/>
    <w:rsid w:val="00297D50"/>
    <w:rsid w:val="002A0429"/>
    <w:rsid w:val="002A046A"/>
    <w:rsid w:val="002A0530"/>
    <w:rsid w:val="002A0B12"/>
    <w:rsid w:val="002A0BCB"/>
    <w:rsid w:val="002A14AB"/>
    <w:rsid w:val="002A1EE4"/>
    <w:rsid w:val="002A21F9"/>
    <w:rsid w:val="002A2705"/>
    <w:rsid w:val="002A2ADE"/>
    <w:rsid w:val="002A2F50"/>
    <w:rsid w:val="002A3A0D"/>
    <w:rsid w:val="002A3BF4"/>
    <w:rsid w:val="002A4049"/>
    <w:rsid w:val="002A4995"/>
    <w:rsid w:val="002A547E"/>
    <w:rsid w:val="002A5911"/>
    <w:rsid w:val="002A6000"/>
    <w:rsid w:val="002A61FD"/>
    <w:rsid w:val="002A673C"/>
    <w:rsid w:val="002A6909"/>
    <w:rsid w:val="002A7943"/>
    <w:rsid w:val="002A7BE3"/>
    <w:rsid w:val="002B0005"/>
    <w:rsid w:val="002B01FA"/>
    <w:rsid w:val="002B05A1"/>
    <w:rsid w:val="002B05D1"/>
    <w:rsid w:val="002B09A4"/>
    <w:rsid w:val="002B09A5"/>
    <w:rsid w:val="002B0D15"/>
    <w:rsid w:val="002B12FA"/>
    <w:rsid w:val="002B1C1F"/>
    <w:rsid w:val="002B1C61"/>
    <w:rsid w:val="002B2741"/>
    <w:rsid w:val="002B29D0"/>
    <w:rsid w:val="002B306E"/>
    <w:rsid w:val="002B33DF"/>
    <w:rsid w:val="002B3B10"/>
    <w:rsid w:val="002B432F"/>
    <w:rsid w:val="002B4984"/>
    <w:rsid w:val="002B4C62"/>
    <w:rsid w:val="002B50DD"/>
    <w:rsid w:val="002B5539"/>
    <w:rsid w:val="002B5995"/>
    <w:rsid w:val="002B5FCA"/>
    <w:rsid w:val="002B62B3"/>
    <w:rsid w:val="002B6701"/>
    <w:rsid w:val="002B6754"/>
    <w:rsid w:val="002B6CCB"/>
    <w:rsid w:val="002B6CCE"/>
    <w:rsid w:val="002B6CE0"/>
    <w:rsid w:val="002B6EE2"/>
    <w:rsid w:val="002B7292"/>
    <w:rsid w:val="002B73C7"/>
    <w:rsid w:val="002C05D8"/>
    <w:rsid w:val="002C0AC8"/>
    <w:rsid w:val="002C0C5C"/>
    <w:rsid w:val="002C116D"/>
    <w:rsid w:val="002C1390"/>
    <w:rsid w:val="002C1C7F"/>
    <w:rsid w:val="002C1D0C"/>
    <w:rsid w:val="002C1E72"/>
    <w:rsid w:val="002C2003"/>
    <w:rsid w:val="002C2196"/>
    <w:rsid w:val="002C24FC"/>
    <w:rsid w:val="002C2510"/>
    <w:rsid w:val="002C2589"/>
    <w:rsid w:val="002C2775"/>
    <w:rsid w:val="002C27C1"/>
    <w:rsid w:val="002C29F5"/>
    <w:rsid w:val="002C34A9"/>
    <w:rsid w:val="002C36E3"/>
    <w:rsid w:val="002C470E"/>
    <w:rsid w:val="002C47BC"/>
    <w:rsid w:val="002C5099"/>
    <w:rsid w:val="002C514C"/>
    <w:rsid w:val="002C53DE"/>
    <w:rsid w:val="002C5889"/>
    <w:rsid w:val="002C6163"/>
    <w:rsid w:val="002C6F69"/>
    <w:rsid w:val="002C6F72"/>
    <w:rsid w:val="002C71CE"/>
    <w:rsid w:val="002C72E2"/>
    <w:rsid w:val="002D00E1"/>
    <w:rsid w:val="002D039A"/>
    <w:rsid w:val="002D08F8"/>
    <w:rsid w:val="002D1509"/>
    <w:rsid w:val="002D1A95"/>
    <w:rsid w:val="002D1C7E"/>
    <w:rsid w:val="002D202B"/>
    <w:rsid w:val="002D208F"/>
    <w:rsid w:val="002D2149"/>
    <w:rsid w:val="002D2371"/>
    <w:rsid w:val="002D24FF"/>
    <w:rsid w:val="002D2855"/>
    <w:rsid w:val="002D2956"/>
    <w:rsid w:val="002D2EBB"/>
    <w:rsid w:val="002D2EE9"/>
    <w:rsid w:val="002D3393"/>
    <w:rsid w:val="002D3531"/>
    <w:rsid w:val="002D3A82"/>
    <w:rsid w:val="002D3D3A"/>
    <w:rsid w:val="002D3D57"/>
    <w:rsid w:val="002D4327"/>
    <w:rsid w:val="002D50B8"/>
    <w:rsid w:val="002D50F3"/>
    <w:rsid w:val="002D55D4"/>
    <w:rsid w:val="002D577C"/>
    <w:rsid w:val="002D5E35"/>
    <w:rsid w:val="002D662A"/>
    <w:rsid w:val="002D6744"/>
    <w:rsid w:val="002D69DB"/>
    <w:rsid w:val="002D6C71"/>
    <w:rsid w:val="002D72C4"/>
    <w:rsid w:val="002D73D0"/>
    <w:rsid w:val="002D7832"/>
    <w:rsid w:val="002E0A83"/>
    <w:rsid w:val="002E1071"/>
    <w:rsid w:val="002E15B9"/>
    <w:rsid w:val="002E20AB"/>
    <w:rsid w:val="002E2158"/>
    <w:rsid w:val="002E2280"/>
    <w:rsid w:val="002E24A2"/>
    <w:rsid w:val="002E2C35"/>
    <w:rsid w:val="002E2E05"/>
    <w:rsid w:val="002E2EFE"/>
    <w:rsid w:val="002E3AAC"/>
    <w:rsid w:val="002E3EB5"/>
    <w:rsid w:val="002E4F02"/>
    <w:rsid w:val="002E5409"/>
    <w:rsid w:val="002E5483"/>
    <w:rsid w:val="002E55CB"/>
    <w:rsid w:val="002E5B8A"/>
    <w:rsid w:val="002E6212"/>
    <w:rsid w:val="002E6225"/>
    <w:rsid w:val="002E6825"/>
    <w:rsid w:val="002E7722"/>
    <w:rsid w:val="002E7BDC"/>
    <w:rsid w:val="002E7FD4"/>
    <w:rsid w:val="002F02E7"/>
    <w:rsid w:val="002F0463"/>
    <w:rsid w:val="002F058C"/>
    <w:rsid w:val="002F05F3"/>
    <w:rsid w:val="002F07BA"/>
    <w:rsid w:val="002F0DA9"/>
    <w:rsid w:val="002F0F24"/>
    <w:rsid w:val="002F1014"/>
    <w:rsid w:val="002F1AA1"/>
    <w:rsid w:val="002F1E3B"/>
    <w:rsid w:val="002F2224"/>
    <w:rsid w:val="002F29B1"/>
    <w:rsid w:val="002F3669"/>
    <w:rsid w:val="002F3770"/>
    <w:rsid w:val="002F3875"/>
    <w:rsid w:val="002F3D12"/>
    <w:rsid w:val="002F3EB2"/>
    <w:rsid w:val="002F4936"/>
    <w:rsid w:val="002F4CB6"/>
    <w:rsid w:val="002F550A"/>
    <w:rsid w:val="002F59A5"/>
    <w:rsid w:val="002F5B87"/>
    <w:rsid w:val="002F6167"/>
    <w:rsid w:val="002F643C"/>
    <w:rsid w:val="002F655F"/>
    <w:rsid w:val="002F71C0"/>
    <w:rsid w:val="002F7272"/>
    <w:rsid w:val="002F733B"/>
    <w:rsid w:val="002F73BD"/>
    <w:rsid w:val="002F74F1"/>
    <w:rsid w:val="002F7873"/>
    <w:rsid w:val="002F7918"/>
    <w:rsid w:val="002F7FE1"/>
    <w:rsid w:val="0030029D"/>
    <w:rsid w:val="00300EFB"/>
    <w:rsid w:val="00301017"/>
    <w:rsid w:val="00301078"/>
    <w:rsid w:val="0030155F"/>
    <w:rsid w:val="00302AAD"/>
    <w:rsid w:val="00303632"/>
    <w:rsid w:val="00303A7F"/>
    <w:rsid w:val="00303C07"/>
    <w:rsid w:val="00303E59"/>
    <w:rsid w:val="00304C38"/>
    <w:rsid w:val="0030587B"/>
    <w:rsid w:val="003058E6"/>
    <w:rsid w:val="00305E10"/>
    <w:rsid w:val="0030607F"/>
    <w:rsid w:val="00306836"/>
    <w:rsid w:val="00306A90"/>
    <w:rsid w:val="00306D98"/>
    <w:rsid w:val="00306E06"/>
    <w:rsid w:val="003075B9"/>
    <w:rsid w:val="003077DD"/>
    <w:rsid w:val="0030786C"/>
    <w:rsid w:val="00307878"/>
    <w:rsid w:val="00307AAD"/>
    <w:rsid w:val="00307D9D"/>
    <w:rsid w:val="00310196"/>
    <w:rsid w:val="0031031A"/>
    <w:rsid w:val="003106BD"/>
    <w:rsid w:val="00310823"/>
    <w:rsid w:val="00310981"/>
    <w:rsid w:val="003110C0"/>
    <w:rsid w:val="003114F6"/>
    <w:rsid w:val="00311B36"/>
    <w:rsid w:val="00311D7E"/>
    <w:rsid w:val="00311D9B"/>
    <w:rsid w:val="003124D9"/>
    <w:rsid w:val="00312594"/>
    <w:rsid w:val="00312599"/>
    <w:rsid w:val="00313115"/>
    <w:rsid w:val="003132BF"/>
    <w:rsid w:val="00313381"/>
    <w:rsid w:val="00313F9B"/>
    <w:rsid w:val="00314424"/>
    <w:rsid w:val="003145CB"/>
    <w:rsid w:val="00314771"/>
    <w:rsid w:val="003151DB"/>
    <w:rsid w:val="00315373"/>
    <w:rsid w:val="00315498"/>
    <w:rsid w:val="003162CD"/>
    <w:rsid w:val="00316444"/>
    <w:rsid w:val="00316474"/>
    <w:rsid w:val="00316905"/>
    <w:rsid w:val="003169A1"/>
    <w:rsid w:val="003169B2"/>
    <w:rsid w:val="00316EFC"/>
    <w:rsid w:val="003178EF"/>
    <w:rsid w:val="00317E70"/>
    <w:rsid w:val="00320293"/>
    <w:rsid w:val="00320704"/>
    <w:rsid w:val="00321100"/>
    <w:rsid w:val="003211FF"/>
    <w:rsid w:val="0032134F"/>
    <w:rsid w:val="00321382"/>
    <w:rsid w:val="00321383"/>
    <w:rsid w:val="00321849"/>
    <w:rsid w:val="00321881"/>
    <w:rsid w:val="00321A69"/>
    <w:rsid w:val="00322107"/>
    <w:rsid w:val="0032214E"/>
    <w:rsid w:val="00322355"/>
    <w:rsid w:val="00322478"/>
    <w:rsid w:val="0032253A"/>
    <w:rsid w:val="00322846"/>
    <w:rsid w:val="00322B12"/>
    <w:rsid w:val="0032325F"/>
    <w:rsid w:val="0032357B"/>
    <w:rsid w:val="00323BD8"/>
    <w:rsid w:val="0032411E"/>
    <w:rsid w:val="00324A5B"/>
    <w:rsid w:val="00324D92"/>
    <w:rsid w:val="00325278"/>
    <w:rsid w:val="0032537D"/>
    <w:rsid w:val="003259F1"/>
    <w:rsid w:val="00325AE5"/>
    <w:rsid w:val="00326DA7"/>
    <w:rsid w:val="003270E4"/>
    <w:rsid w:val="003273E7"/>
    <w:rsid w:val="003276DE"/>
    <w:rsid w:val="0032790B"/>
    <w:rsid w:val="00327BD6"/>
    <w:rsid w:val="003306DC"/>
    <w:rsid w:val="00330905"/>
    <w:rsid w:val="00330DAA"/>
    <w:rsid w:val="00330E07"/>
    <w:rsid w:val="00330F5C"/>
    <w:rsid w:val="0033141F"/>
    <w:rsid w:val="0033150D"/>
    <w:rsid w:val="003316CD"/>
    <w:rsid w:val="0033175A"/>
    <w:rsid w:val="00333134"/>
    <w:rsid w:val="003335E8"/>
    <w:rsid w:val="00333619"/>
    <w:rsid w:val="00334829"/>
    <w:rsid w:val="00334B1C"/>
    <w:rsid w:val="00334DC7"/>
    <w:rsid w:val="00335170"/>
    <w:rsid w:val="0033575A"/>
    <w:rsid w:val="0033583D"/>
    <w:rsid w:val="003366C9"/>
    <w:rsid w:val="00336798"/>
    <w:rsid w:val="0033686B"/>
    <w:rsid w:val="00336B46"/>
    <w:rsid w:val="003371B0"/>
    <w:rsid w:val="00337546"/>
    <w:rsid w:val="00337DD3"/>
    <w:rsid w:val="00340547"/>
    <w:rsid w:val="003405FC"/>
    <w:rsid w:val="0034082C"/>
    <w:rsid w:val="00340C9E"/>
    <w:rsid w:val="00340DF1"/>
    <w:rsid w:val="003414F7"/>
    <w:rsid w:val="003415E9"/>
    <w:rsid w:val="00341902"/>
    <w:rsid w:val="0034247C"/>
    <w:rsid w:val="0034258A"/>
    <w:rsid w:val="00343849"/>
    <w:rsid w:val="00343BA7"/>
    <w:rsid w:val="00344358"/>
    <w:rsid w:val="00344CB2"/>
    <w:rsid w:val="00344E01"/>
    <w:rsid w:val="00344E5B"/>
    <w:rsid w:val="0034519D"/>
    <w:rsid w:val="0034539D"/>
    <w:rsid w:val="00345AE8"/>
    <w:rsid w:val="00345CEE"/>
    <w:rsid w:val="00346953"/>
    <w:rsid w:val="00346CB5"/>
    <w:rsid w:val="00347958"/>
    <w:rsid w:val="00347B6E"/>
    <w:rsid w:val="00347D47"/>
    <w:rsid w:val="00347D89"/>
    <w:rsid w:val="0035004E"/>
    <w:rsid w:val="00350ED7"/>
    <w:rsid w:val="003517F9"/>
    <w:rsid w:val="00351BA9"/>
    <w:rsid w:val="00352160"/>
    <w:rsid w:val="003522A4"/>
    <w:rsid w:val="0035322A"/>
    <w:rsid w:val="003535D3"/>
    <w:rsid w:val="003538CD"/>
    <w:rsid w:val="00353B17"/>
    <w:rsid w:val="00353F46"/>
    <w:rsid w:val="00354F64"/>
    <w:rsid w:val="0035502F"/>
    <w:rsid w:val="00355185"/>
    <w:rsid w:val="0035620E"/>
    <w:rsid w:val="003568C4"/>
    <w:rsid w:val="00356EFC"/>
    <w:rsid w:val="003575A0"/>
    <w:rsid w:val="003575BE"/>
    <w:rsid w:val="00357BF0"/>
    <w:rsid w:val="00357C4C"/>
    <w:rsid w:val="00360345"/>
    <w:rsid w:val="003604DF"/>
    <w:rsid w:val="003609E8"/>
    <w:rsid w:val="00361283"/>
    <w:rsid w:val="003612E3"/>
    <w:rsid w:val="00361716"/>
    <w:rsid w:val="00361A05"/>
    <w:rsid w:val="00361A25"/>
    <w:rsid w:val="00361AD2"/>
    <w:rsid w:val="003624C4"/>
    <w:rsid w:val="00362D4F"/>
    <w:rsid w:val="00363090"/>
    <w:rsid w:val="0036349F"/>
    <w:rsid w:val="00363739"/>
    <w:rsid w:val="003638BC"/>
    <w:rsid w:val="00363B00"/>
    <w:rsid w:val="00364330"/>
    <w:rsid w:val="0036490D"/>
    <w:rsid w:val="00364D58"/>
    <w:rsid w:val="003654AC"/>
    <w:rsid w:val="00365521"/>
    <w:rsid w:val="00365828"/>
    <w:rsid w:val="00365C1D"/>
    <w:rsid w:val="00365F50"/>
    <w:rsid w:val="003662A3"/>
    <w:rsid w:val="00366787"/>
    <w:rsid w:val="00366A7C"/>
    <w:rsid w:val="00366AA5"/>
    <w:rsid w:val="00366DE8"/>
    <w:rsid w:val="00367770"/>
    <w:rsid w:val="0037066A"/>
    <w:rsid w:val="003710CF"/>
    <w:rsid w:val="00371109"/>
    <w:rsid w:val="0037133C"/>
    <w:rsid w:val="0037138F"/>
    <w:rsid w:val="00371B73"/>
    <w:rsid w:val="00371C20"/>
    <w:rsid w:val="00371F1B"/>
    <w:rsid w:val="0037212E"/>
    <w:rsid w:val="00372AD3"/>
    <w:rsid w:val="00372B73"/>
    <w:rsid w:val="0037358A"/>
    <w:rsid w:val="003740C9"/>
    <w:rsid w:val="003746C8"/>
    <w:rsid w:val="00374B84"/>
    <w:rsid w:val="003750F6"/>
    <w:rsid w:val="0037544A"/>
    <w:rsid w:val="003754F3"/>
    <w:rsid w:val="003758A2"/>
    <w:rsid w:val="00375B78"/>
    <w:rsid w:val="00375F26"/>
    <w:rsid w:val="003760FC"/>
    <w:rsid w:val="00376C7D"/>
    <w:rsid w:val="0037736F"/>
    <w:rsid w:val="00377E40"/>
    <w:rsid w:val="003800EB"/>
    <w:rsid w:val="00381388"/>
    <w:rsid w:val="00381462"/>
    <w:rsid w:val="0038191F"/>
    <w:rsid w:val="003820F2"/>
    <w:rsid w:val="00382E75"/>
    <w:rsid w:val="00383466"/>
    <w:rsid w:val="0038365C"/>
    <w:rsid w:val="0038369B"/>
    <w:rsid w:val="00383B78"/>
    <w:rsid w:val="00385530"/>
    <w:rsid w:val="00385A9D"/>
    <w:rsid w:val="00385E50"/>
    <w:rsid w:val="00385FDB"/>
    <w:rsid w:val="00386208"/>
    <w:rsid w:val="00386EF9"/>
    <w:rsid w:val="00387121"/>
    <w:rsid w:val="003874DD"/>
    <w:rsid w:val="003877E1"/>
    <w:rsid w:val="00387E76"/>
    <w:rsid w:val="003902B1"/>
    <w:rsid w:val="0039046C"/>
    <w:rsid w:val="0039179C"/>
    <w:rsid w:val="00392186"/>
    <w:rsid w:val="00392551"/>
    <w:rsid w:val="003928CB"/>
    <w:rsid w:val="00392A25"/>
    <w:rsid w:val="00392D2C"/>
    <w:rsid w:val="00392DA8"/>
    <w:rsid w:val="00392ED9"/>
    <w:rsid w:val="0039322F"/>
    <w:rsid w:val="00394804"/>
    <w:rsid w:val="00394937"/>
    <w:rsid w:val="00394B30"/>
    <w:rsid w:val="00395148"/>
    <w:rsid w:val="00395215"/>
    <w:rsid w:val="00395711"/>
    <w:rsid w:val="00395E63"/>
    <w:rsid w:val="00396896"/>
    <w:rsid w:val="00396A8E"/>
    <w:rsid w:val="00396C34"/>
    <w:rsid w:val="00396FD0"/>
    <w:rsid w:val="0039738D"/>
    <w:rsid w:val="00397761"/>
    <w:rsid w:val="00397946"/>
    <w:rsid w:val="00397E2A"/>
    <w:rsid w:val="003A0614"/>
    <w:rsid w:val="003A0EC3"/>
    <w:rsid w:val="003A1A7A"/>
    <w:rsid w:val="003A20FC"/>
    <w:rsid w:val="003A2392"/>
    <w:rsid w:val="003A2831"/>
    <w:rsid w:val="003A2C17"/>
    <w:rsid w:val="003A2F07"/>
    <w:rsid w:val="003A30C4"/>
    <w:rsid w:val="003A32CA"/>
    <w:rsid w:val="003A33BA"/>
    <w:rsid w:val="003A35D5"/>
    <w:rsid w:val="003A3CB6"/>
    <w:rsid w:val="003A3ED1"/>
    <w:rsid w:val="003A430D"/>
    <w:rsid w:val="003A4329"/>
    <w:rsid w:val="003A44DB"/>
    <w:rsid w:val="003A4C14"/>
    <w:rsid w:val="003A4F2C"/>
    <w:rsid w:val="003A559B"/>
    <w:rsid w:val="003A574E"/>
    <w:rsid w:val="003A5DDF"/>
    <w:rsid w:val="003A671C"/>
    <w:rsid w:val="003A6B33"/>
    <w:rsid w:val="003A6CE9"/>
    <w:rsid w:val="003A6E20"/>
    <w:rsid w:val="003A739E"/>
    <w:rsid w:val="003A7D11"/>
    <w:rsid w:val="003B0A6C"/>
    <w:rsid w:val="003B19D8"/>
    <w:rsid w:val="003B1BD3"/>
    <w:rsid w:val="003B1CFB"/>
    <w:rsid w:val="003B2338"/>
    <w:rsid w:val="003B2565"/>
    <w:rsid w:val="003B2647"/>
    <w:rsid w:val="003B268F"/>
    <w:rsid w:val="003B2E21"/>
    <w:rsid w:val="003B2E54"/>
    <w:rsid w:val="003B34E2"/>
    <w:rsid w:val="003B3971"/>
    <w:rsid w:val="003B3E79"/>
    <w:rsid w:val="003B3EB2"/>
    <w:rsid w:val="003B3F70"/>
    <w:rsid w:val="003B450F"/>
    <w:rsid w:val="003B48DF"/>
    <w:rsid w:val="003B4F03"/>
    <w:rsid w:val="003B55D1"/>
    <w:rsid w:val="003B5B61"/>
    <w:rsid w:val="003B5B8A"/>
    <w:rsid w:val="003B5C73"/>
    <w:rsid w:val="003B5EA8"/>
    <w:rsid w:val="003B5F4F"/>
    <w:rsid w:val="003B609B"/>
    <w:rsid w:val="003B63CB"/>
    <w:rsid w:val="003B6434"/>
    <w:rsid w:val="003B6945"/>
    <w:rsid w:val="003B69B3"/>
    <w:rsid w:val="003B6AC7"/>
    <w:rsid w:val="003B6B79"/>
    <w:rsid w:val="003B74DF"/>
    <w:rsid w:val="003B751B"/>
    <w:rsid w:val="003C02E6"/>
    <w:rsid w:val="003C0A5C"/>
    <w:rsid w:val="003C126E"/>
    <w:rsid w:val="003C1506"/>
    <w:rsid w:val="003C1654"/>
    <w:rsid w:val="003C1EFA"/>
    <w:rsid w:val="003C21F3"/>
    <w:rsid w:val="003C2220"/>
    <w:rsid w:val="003C3246"/>
    <w:rsid w:val="003C3B00"/>
    <w:rsid w:val="003C3C66"/>
    <w:rsid w:val="003C421B"/>
    <w:rsid w:val="003C448C"/>
    <w:rsid w:val="003C4539"/>
    <w:rsid w:val="003C4F93"/>
    <w:rsid w:val="003C5542"/>
    <w:rsid w:val="003C59BA"/>
    <w:rsid w:val="003C5DD7"/>
    <w:rsid w:val="003C6C10"/>
    <w:rsid w:val="003C6D86"/>
    <w:rsid w:val="003C72A1"/>
    <w:rsid w:val="003C739A"/>
    <w:rsid w:val="003C73D7"/>
    <w:rsid w:val="003C7679"/>
    <w:rsid w:val="003C777A"/>
    <w:rsid w:val="003C7841"/>
    <w:rsid w:val="003C7B86"/>
    <w:rsid w:val="003C7BD8"/>
    <w:rsid w:val="003C7C15"/>
    <w:rsid w:val="003C7D19"/>
    <w:rsid w:val="003C7D2F"/>
    <w:rsid w:val="003D0AAA"/>
    <w:rsid w:val="003D0C5A"/>
    <w:rsid w:val="003D0F6F"/>
    <w:rsid w:val="003D1210"/>
    <w:rsid w:val="003D149D"/>
    <w:rsid w:val="003D1828"/>
    <w:rsid w:val="003D1DE4"/>
    <w:rsid w:val="003D1E9A"/>
    <w:rsid w:val="003D22BC"/>
    <w:rsid w:val="003D2422"/>
    <w:rsid w:val="003D2887"/>
    <w:rsid w:val="003D288B"/>
    <w:rsid w:val="003D31D9"/>
    <w:rsid w:val="003D393C"/>
    <w:rsid w:val="003D39A1"/>
    <w:rsid w:val="003D3FBF"/>
    <w:rsid w:val="003D490D"/>
    <w:rsid w:val="003D4A30"/>
    <w:rsid w:val="003D52D8"/>
    <w:rsid w:val="003D5844"/>
    <w:rsid w:val="003D5DE7"/>
    <w:rsid w:val="003D69ED"/>
    <w:rsid w:val="003D7452"/>
    <w:rsid w:val="003D79BB"/>
    <w:rsid w:val="003D7B53"/>
    <w:rsid w:val="003D7C98"/>
    <w:rsid w:val="003D7D9D"/>
    <w:rsid w:val="003E021E"/>
    <w:rsid w:val="003E0543"/>
    <w:rsid w:val="003E16AA"/>
    <w:rsid w:val="003E1FD0"/>
    <w:rsid w:val="003E2390"/>
    <w:rsid w:val="003E262B"/>
    <w:rsid w:val="003E2739"/>
    <w:rsid w:val="003E29F1"/>
    <w:rsid w:val="003E2ABF"/>
    <w:rsid w:val="003E2E59"/>
    <w:rsid w:val="003E3AA5"/>
    <w:rsid w:val="003E3AFC"/>
    <w:rsid w:val="003E3EF5"/>
    <w:rsid w:val="003E3F9A"/>
    <w:rsid w:val="003E5603"/>
    <w:rsid w:val="003E585C"/>
    <w:rsid w:val="003E69F0"/>
    <w:rsid w:val="003E749E"/>
    <w:rsid w:val="003E74D0"/>
    <w:rsid w:val="003F1100"/>
    <w:rsid w:val="003F138C"/>
    <w:rsid w:val="003F140B"/>
    <w:rsid w:val="003F16EB"/>
    <w:rsid w:val="003F1801"/>
    <w:rsid w:val="003F1C60"/>
    <w:rsid w:val="003F2832"/>
    <w:rsid w:val="003F358F"/>
    <w:rsid w:val="003F36B7"/>
    <w:rsid w:val="003F370B"/>
    <w:rsid w:val="003F3D5F"/>
    <w:rsid w:val="003F4006"/>
    <w:rsid w:val="003F40EF"/>
    <w:rsid w:val="003F4156"/>
    <w:rsid w:val="003F44BB"/>
    <w:rsid w:val="003F51AF"/>
    <w:rsid w:val="003F5612"/>
    <w:rsid w:val="003F56D4"/>
    <w:rsid w:val="003F597A"/>
    <w:rsid w:val="003F597C"/>
    <w:rsid w:val="003F5ADF"/>
    <w:rsid w:val="003F69D4"/>
    <w:rsid w:val="003F745A"/>
    <w:rsid w:val="003F754C"/>
    <w:rsid w:val="003F7DA0"/>
    <w:rsid w:val="00400B29"/>
    <w:rsid w:val="00400F7E"/>
    <w:rsid w:val="0040125D"/>
    <w:rsid w:val="004022F7"/>
    <w:rsid w:val="00402310"/>
    <w:rsid w:val="00402812"/>
    <w:rsid w:val="0040347B"/>
    <w:rsid w:val="004038C0"/>
    <w:rsid w:val="004043AE"/>
    <w:rsid w:val="00404A5D"/>
    <w:rsid w:val="00404B58"/>
    <w:rsid w:val="0040504B"/>
    <w:rsid w:val="0040508E"/>
    <w:rsid w:val="004050F7"/>
    <w:rsid w:val="004057AE"/>
    <w:rsid w:val="004059F4"/>
    <w:rsid w:val="00406FAF"/>
    <w:rsid w:val="00407410"/>
    <w:rsid w:val="00407600"/>
    <w:rsid w:val="00407A3A"/>
    <w:rsid w:val="00407D11"/>
    <w:rsid w:val="00407FE5"/>
    <w:rsid w:val="004101B0"/>
    <w:rsid w:val="00410326"/>
    <w:rsid w:val="00410708"/>
    <w:rsid w:val="00410BFB"/>
    <w:rsid w:val="00410C41"/>
    <w:rsid w:val="00410EC7"/>
    <w:rsid w:val="00411624"/>
    <w:rsid w:val="0041162C"/>
    <w:rsid w:val="00411695"/>
    <w:rsid w:val="004117D9"/>
    <w:rsid w:val="00411B39"/>
    <w:rsid w:val="0041273D"/>
    <w:rsid w:val="004127A7"/>
    <w:rsid w:val="00413866"/>
    <w:rsid w:val="00413A1E"/>
    <w:rsid w:val="00414476"/>
    <w:rsid w:val="00414C2E"/>
    <w:rsid w:val="0041511C"/>
    <w:rsid w:val="004151CF"/>
    <w:rsid w:val="00416364"/>
    <w:rsid w:val="004163A9"/>
    <w:rsid w:val="00416571"/>
    <w:rsid w:val="004166D0"/>
    <w:rsid w:val="0041682A"/>
    <w:rsid w:val="00417604"/>
    <w:rsid w:val="0041761F"/>
    <w:rsid w:val="0041765E"/>
    <w:rsid w:val="00417F8B"/>
    <w:rsid w:val="0042047F"/>
    <w:rsid w:val="004205ED"/>
    <w:rsid w:val="004209FA"/>
    <w:rsid w:val="00420AA6"/>
    <w:rsid w:val="00420B9F"/>
    <w:rsid w:val="00420EB3"/>
    <w:rsid w:val="0042192C"/>
    <w:rsid w:val="00421A54"/>
    <w:rsid w:val="00421EF6"/>
    <w:rsid w:val="00422260"/>
    <w:rsid w:val="00422349"/>
    <w:rsid w:val="00422A1A"/>
    <w:rsid w:val="0042308B"/>
    <w:rsid w:val="00423567"/>
    <w:rsid w:val="0042413F"/>
    <w:rsid w:val="004244AD"/>
    <w:rsid w:val="0042470B"/>
    <w:rsid w:val="004253FB"/>
    <w:rsid w:val="00425543"/>
    <w:rsid w:val="00425CDD"/>
    <w:rsid w:val="00426D02"/>
    <w:rsid w:val="004276C4"/>
    <w:rsid w:val="00427810"/>
    <w:rsid w:val="00427DB2"/>
    <w:rsid w:val="0043014E"/>
    <w:rsid w:val="00431036"/>
    <w:rsid w:val="004311FC"/>
    <w:rsid w:val="004319F8"/>
    <w:rsid w:val="00431A86"/>
    <w:rsid w:val="00431E55"/>
    <w:rsid w:val="00431FAE"/>
    <w:rsid w:val="004321F6"/>
    <w:rsid w:val="0043240D"/>
    <w:rsid w:val="004326E4"/>
    <w:rsid w:val="00433044"/>
    <w:rsid w:val="004333DC"/>
    <w:rsid w:val="00433764"/>
    <w:rsid w:val="00433C1C"/>
    <w:rsid w:val="00433F1C"/>
    <w:rsid w:val="00434088"/>
    <w:rsid w:val="0043427E"/>
    <w:rsid w:val="00434535"/>
    <w:rsid w:val="00435198"/>
    <w:rsid w:val="0043519B"/>
    <w:rsid w:val="004357CE"/>
    <w:rsid w:val="0043589C"/>
    <w:rsid w:val="00435908"/>
    <w:rsid w:val="00436208"/>
    <w:rsid w:val="00436783"/>
    <w:rsid w:val="00437046"/>
    <w:rsid w:val="004375B9"/>
    <w:rsid w:val="004376E0"/>
    <w:rsid w:val="00437AFC"/>
    <w:rsid w:val="0044071E"/>
    <w:rsid w:val="00441E8A"/>
    <w:rsid w:val="00441F72"/>
    <w:rsid w:val="00442322"/>
    <w:rsid w:val="004428D0"/>
    <w:rsid w:val="00442B7E"/>
    <w:rsid w:val="00444185"/>
    <w:rsid w:val="004443A7"/>
    <w:rsid w:val="0044442C"/>
    <w:rsid w:val="00444D2B"/>
    <w:rsid w:val="004454AE"/>
    <w:rsid w:val="00445941"/>
    <w:rsid w:val="004459D7"/>
    <w:rsid w:val="00445BB6"/>
    <w:rsid w:val="0044617D"/>
    <w:rsid w:val="004464C3"/>
    <w:rsid w:val="004464EB"/>
    <w:rsid w:val="0044680D"/>
    <w:rsid w:val="00446947"/>
    <w:rsid w:val="00447404"/>
    <w:rsid w:val="00447432"/>
    <w:rsid w:val="00447D26"/>
    <w:rsid w:val="00447DFC"/>
    <w:rsid w:val="00450E3E"/>
    <w:rsid w:val="00451051"/>
    <w:rsid w:val="00451331"/>
    <w:rsid w:val="00451427"/>
    <w:rsid w:val="00451D6B"/>
    <w:rsid w:val="00451DBE"/>
    <w:rsid w:val="00451DF0"/>
    <w:rsid w:val="004529F1"/>
    <w:rsid w:val="00453292"/>
    <w:rsid w:val="0045336D"/>
    <w:rsid w:val="00453D55"/>
    <w:rsid w:val="004543BC"/>
    <w:rsid w:val="00454DD4"/>
    <w:rsid w:val="00455205"/>
    <w:rsid w:val="004552F9"/>
    <w:rsid w:val="00455D45"/>
    <w:rsid w:val="00455ED0"/>
    <w:rsid w:val="00456568"/>
    <w:rsid w:val="004567D9"/>
    <w:rsid w:val="00457A58"/>
    <w:rsid w:val="00457A7C"/>
    <w:rsid w:val="00457B3A"/>
    <w:rsid w:val="00457E55"/>
    <w:rsid w:val="00457FAB"/>
    <w:rsid w:val="0046009A"/>
    <w:rsid w:val="00460E04"/>
    <w:rsid w:val="00460F08"/>
    <w:rsid w:val="0046136C"/>
    <w:rsid w:val="0046254B"/>
    <w:rsid w:val="00462C3E"/>
    <w:rsid w:val="00463F5C"/>
    <w:rsid w:val="00464595"/>
    <w:rsid w:val="004645B9"/>
    <w:rsid w:val="004655CC"/>
    <w:rsid w:val="00465721"/>
    <w:rsid w:val="004658B5"/>
    <w:rsid w:val="004659C7"/>
    <w:rsid w:val="004660DD"/>
    <w:rsid w:val="00466CE0"/>
    <w:rsid w:val="004672A7"/>
    <w:rsid w:val="00467775"/>
    <w:rsid w:val="00470579"/>
    <w:rsid w:val="00470C2A"/>
    <w:rsid w:val="00470CC5"/>
    <w:rsid w:val="00470EC2"/>
    <w:rsid w:val="00471084"/>
    <w:rsid w:val="00471C64"/>
    <w:rsid w:val="00471EA5"/>
    <w:rsid w:val="004727BF"/>
    <w:rsid w:val="00472A79"/>
    <w:rsid w:val="0047352C"/>
    <w:rsid w:val="00473F19"/>
    <w:rsid w:val="004742E7"/>
    <w:rsid w:val="004744F0"/>
    <w:rsid w:val="004753F9"/>
    <w:rsid w:val="004754D9"/>
    <w:rsid w:val="00475795"/>
    <w:rsid w:val="00475DAF"/>
    <w:rsid w:val="00475E22"/>
    <w:rsid w:val="00476335"/>
    <w:rsid w:val="004767E8"/>
    <w:rsid w:val="0047708E"/>
    <w:rsid w:val="004771C2"/>
    <w:rsid w:val="004773FE"/>
    <w:rsid w:val="0047755E"/>
    <w:rsid w:val="00477B08"/>
    <w:rsid w:val="00480798"/>
    <w:rsid w:val="004807CD"/>
    <w:rsid w:val="0048088E"/>
    <w:rsid w:val="00480F0C"/>
    <w:rsid w:val="00480F2B"/>
    <w:rsid w:val="00481064"/>
    <w:rsid w:val="00481C8E"/>
    <w:rsid w:val="00482720"/>
    <w:rsid w:val="00482DFA"/>
    <w:rsid w:val="00482EDA"/>
    <w:rsid w:val="00483261"/>
    <w:rsid w:val="004833A6"/>
    <w:rsid w:val="004835E7"/>
    <w:rsid w:val="004839EC"/>
    <w:rsid w:val="0048469B"/>
    <w:rsid w:val="004848FA"/>
    <w:rsid w:val="004853A4"/>
    <w:rsid w:val="00485988"/>
    <w:rsid w:val="004859E1"/>
    <w:rsid w:val="004860A1"/>
    <w:rsid w:val="004862F4"/>
    <w:rsid w:val="004867E2"/>
    <w:rsid w:val="00486A7B"/>
    <w:rsid w:val="00487783"/>
    <w:rsid w:val="00487C9C"/>
    <w:rsid w:val="00487E0D"/>
    <w:rsid w:val="004901F9"/>
    <w:rsid w:val="00490B17"/>
    <w:rsid w:val="00490C9F"/>
    <w:rsid w:val="00490DB7"/>
    <w:rsid w:val="004917FB"/>
    <w:rsid w:val="00491B3A"/>
    <w:rsid w:val="00491BCA"/>
    <w:rsid w:val="004921AB"/>
    <w:rsid w:val="00492731"/>
    <w:rsid w:val="00492BFE"/>
    <w:rsid w:val="00492CFD"/>
    <w:rsid w:val="004933AF"/>
    <w:rsid w:val="0049347E"/>
    <w:rsid w:val="004934F0"/>
    <w:rsid w:val="00494207"/>
    <w:rsid w:val="0049424B"/>
    <w:rsid w:val="004944E4"/>
    <w:rsid w:val="00494B2F"/>
    <w:rsid w:val="00494DD5"/>
    <w:rsid w:val="0049595E"/>
    <w:rsid w:val="00495BF1"/>
    <w:rsid w:val="00495C92"/>
    <w:rsid w:val="00495E7C"/>
    <w:rsid w:val="004962D2"/>
    <w:rsid w:val="00496566"/>
    <w:rsid w:val="00497880"/>
    <w:rsid w:val="00497D13"/>
    <w:rsid w:val="004A0DA1"/>
    <w:rsid w:val="004A0F2E"/>
    <w:rsid w:val="004A13D6"/>
    <w:rsid w:val="004A13DE"/>
    <w:rsid w:val="004A2FDE"/>
    <w:rsid w:val="004A345D"/>
    <w:rsid w:val="004A3E4C"/>
    <w:rsid w:val="004A4BCA"/>
    <w:rsid w:val="004A4CFC"/>
    <w:rsid w:val="004A4F05"/>
    <w:rsid w:val="004A52E9"/>
    <w:rsid w:val="004A5418"/>
    <w:rsid w:val="004A6040"/>
    <w:rsid w:val="004A6597"/>
    <w:rsid w:val="004A6C8F"/>
    <w:rsid w:val="004A7848"/>
    <w:rsid w:val="004A793B"/>
    <w:rsid w:val="004B042F"/>
    <w:rsid w:val="004B0EC2"/>
    <w:rsid w:val="004B0FCE"/>
    <w:rsid w:val="004B1AEA"/>
    <w:rsid w:val="004B1CB4"/>
    <w:rsid w:val="004B1EC8"/>
    <w:rsid w:val="004B1F55"/>
    <w:rsid w:val="004B21D5"/>
    <w:rsid w:val="004B24E6"/>
    <w:rsid w:val="004B2D87"/>
    <w:rsid w:val="004B2E29"/>
    <w:rsid w:val="004B2F18"/>
    <w:rsid w:val="004B332C"/>
    <w:rsid w:val="004B3DDB"/>
    <w:rsid w:val="004B405C"/>
    <w:rsid w:val="004B40DC"/>
    <w:rsid w:val="004B44C0"/>
    <w:rsid w:val="004B44FD"/>
    <w:rsid w:val="004B4832"/>
    <w:rsid w:val="004B4960"/>
    <w:rsid w:val="004B4FEC"/>
    <w:rsid w:val="004B51F7"/>
    <w:rsid w:val="004B5CFC"/>
    <w:rsid w:val="004B5ECB"/>
    <w:rsid w:val="004B6F72"/>
    <w:rsid w:val="004B6F79"/>
    <w:rsid w:val="004B73FB"/>
    <w:rsid w:val="004B774D"/>
    <w:rsid w:val="004B77F3"/>
    <w:rsid w:val="004B7C86"/>
    <w:rsid w:val="004B7F9F"/>
    <w:rsid w:val="004C05AA"/>
    <w:rsid w:val="004C0D75"/>
    <w:rsid w:val="004C0E4D"/>
    <w:rsid w:val="004C16FB"/>
    <w:rsid w:val="004C1DA7"/>
    <w:rsid w:val="004C1F2C"/>
    <w:rsid w:val="004C2216"/>
    <w:rsid w:val="004C2435"/>
    <w:rsid w:val="004C245E"/>
    <w:rsid w:val="004C2AC2"/>
    <w:rsid w:val="004C2C90"/>
    <w:rsid w:val="004C2CA6"/>
    <w:rsid w:val="004C2E7F"/>
    <w:rsid w:val="004C3B02"/>
    <w:rsid w:val="004C3C3C"/>
    <w:rsid w:val="004C418D"/>
    <w:rsid w:val="004C4AED"/>
    <w:rsid w:val="004C5875"/>
    <w:rsid w:val="004C58B2"/>
    <w:rsid w:val="004C5C9B"/>
    <w:rsid w:val="004C604C"/>
    <w:rsid w:val="004C6ACA"/>
    <w:rsid w:val="004C6AE0"/>
    <w:rsid w:val="004C704F"/>
    <w:rsid w:val="004D08C9"/>
    <w:rsid w:val="004D0A99"/>
    <w:rsid w:val="004D0FA8"/>
    <w:rsid w:val="004D16F8"/>
    <w:rsid w:val="004D1911"/>
    <w:rsid w:val="004D1A49"/>
    <w:rsid w:val="004D1AAD"/>
    <w:rsid w:val="004D1AEB"/>
    <w:rsid w:val="004D228F"/>
    <w:rsid w:val="004D233E"/>
    <w:rsid w:val="004D267F"/>
    <w:rsid w:val="004D2AB6"/>
    <w:rsid w:val="004D2C2D"/>
    <w:rsid w:val="004D2D76"/>
    <w:rsid w:val="004D36F9"/>
    <w:rsid w:val="004D3CF5"/>
    <w:rsid w:val="004D4066"/>
    <w:rsid w:val="004D4298"/>
    <w:rsid w:val="004D42F7"/>
    <w:rsid w:val="004D4369"/>
    <w:rsid w:val="004D49BE"/>
    <w:rsid w:val="004D49EB"/>
    <w:rsid w:val="004D4EC6"/>
    <w:rsid w:val="004D51E2"/>
    <w:rsid w:val="004D647A"/>
    <w:rsid w:val="004D691A"/>
    <w:rsid w:val="004D69B5"/>
    <w:rsid w:val="004D6D9E"/>
    <w:rsid w:val="004D6FC3"/>
    <w:rsid w:val="004D7227"/>
    <w:rsid w:val="004D7867"/>
    <w:rsid w:val="004D7B5E"/>
    <w:rsid w:val="004E0492"/>
    <w:rsid w:val="004E06D3"/>
    <w:rsid w:val="004E0A35"/>
    <w:rsid w:val="004E0E7F"/>
    <w:rsid w:val="004E0EB8"/>
    <w:rsid w:val="004E18E9"/>
    <w:rsid w:val="004E1BF2"/>
    <w:rsid w:val="004E1F2A"/>
    <w:rsid w:val="004E2ADC"/>
    <w:rsid w:val="004E3E07"/>
    <w:rsid w:val="004E404D"/>
    <w:rsid w:val="004E43B2"/>
    <w:rsid w:val="004E449B"/>
    <w:rsid w:val="004E62B1"/>
    <w:rsid w:val="004E650D"/>
    <w:rsid w:val="004E730A"/>
    <w:rsid w:val="004E78E4"/>
    <w:rsid w:val="004E7BD0"/>
    <w:rsid w:val="004F04CC"/>
    <w:rsid w:val="004F068F"/>
    <w:rsid w:val="004F1937"/>
    <w:rsid w:val="004F1D02"/>
    <w:rsid w:val="004F1DD4"/>
    <w:rsid w:val="004F210F"/>
    <w:rsid w:val="004F23D4"/>
    <w:rsid w:val="004F2410"/>
    <w:rsid w:val="004F2519"/>
    <w:rsid w:val="004F2679"/>
    <w:rsid w:val="004F2905"/>
    <w:rsid w:val="004F29CD"/>
    <w:rsid w:val="004F2AC2"/>
    <w:rsid w:val="004F2F21"/>
    <w:rsid w:val="004F3900"/>
    <w:rsid w:val="004F395F"/>
    <w:rsid w:val="004F3DE5"/>
    <w:rsid w:val="004F3EAB"/>
    <w:rsid w:val="004F4034"/>
    <w:rsid w:val="004F5032"/>
    <w:rsid w:val="004F5E99"/>
    <w:rsid w:val="004F63A0"/>
    <w:rsid w:val="004F6913"/>
    <w:rsid w:val="004F6931"/>
    <w:rsid w:val="004F70B9"/>
    <w:rsid w:val="004F7865"/>
    <w:rsid w:val="004F7957"/>
    <w:rsid w:val="004F7A9C"/>
    <w:rsid w:val="004F7F7D"/>
    <w:rsid w:val="00500083"/>
    <w:rsid w:val="00500B48"/>
    <w:rsid w:val="00501656"/>
    <w:rsid w:val="00501671"/>
    <w:rsid w:val="0050174E"/>
    <w:rsid w:val="00501854"/>
    <w:rsid w:val="00501E8D"/>
    <w:rsid w:val="0050219B"/>
    <w:rsid w:val="005029B9"/>
    <w:rsid w:val="00502A43"/>
    <w:rsid w:val="00502AF1"/>
    <w:rsid w:val="00502E7C"/>
    <w:rsid w:val="00503059"/>
    <w:rsid w:val="0050353A"/>
    <w:rsid w:val="00503838"/>
    <w:rsid w:val="00503F17"/>
    <w:rsid w:val="00503F3A"/>
    <w:rsid w:val="005042FE"/>
    <w:rsid w:val="0050488F"/>
    <w:rsid w:val="0050533B"/>
    <w:rsid w:val="0050583D"/>
    <w:rsid w:val="00505E2C"/>
    <w:rsid w:val="00505F46"/>
    <w:rsid w:val="005062BD"/>
    <w:rsid w:val="0050630F"/>
    <w:rsid w:val="005063D9"/>
    <w:rsid w:val="005064E1"/>
    <w:rsid w:val="00506928"/>
    <w:rsid w:val="00506961"/>
    <w:rsid w:val="005071E9"/>
    <w:rsid w:val="005077EF"/>
    <w:rsid w:val="005078DF"/>
    <w:rsid w:val="0051020C"/>
    <w:rsid w:val="00510FDF"/>
    <w:rsid w:val="00511004"/>
    <w:rsid w:val="0051151B"/>
    <w:rsid w:val="005118D1"/>
    <w:rsid w:val="00511AD5"/>
    <w:rsid w:val="00511DC7"/>
    <w:rsid w:val="00511EA0"/>
    <w:rsid w:val="00512A01"/>
    <w:rsid w:val="00512A3A"/>
    <w:rsid w:val="00512E9B"/>
    <w:rsid w:val="00513229"/>
    <w:rsid w:val="00513239"/>
    <w:rsid w:val="00513332"/>
    <w:rsid w:val="00513A87"/>
    <w:rsid w:val="00513B34"/>
    <w:rsid w:val="00514050"/>
    <w:rsid w:val="0051420F"/>
    <w:rsid w:val="005142C5"/>
    <w:rsid w:val="00514605"/>
    <w:rsid w:val="00514691"/>
    <w:rsid w:val="005146BF"/>
    <w:rsid w:val="0051501B"/>
    <w:rsid w:val="00515251"/>
    <w:rsid w:val="005152B5"/>
    <w:rsid w:val="00515607"/>
    <w:rsid w:val="00515886"/>
    <w:rsid w:val="0051675A"/>
    <w:rsid w:val="005169E1"/>
    <w:rsid w:val="00516DF5"/>
    <w:rsid w:val="005170B7"/>
    <w:rsid w:val="0051724E"/>
    <w:rsid w:val="005172FC"/>
    <w:rsid w:val="00520A22"/>
    <w:rsid w:val="0052106C"/>
    <w:rsid w:val="0052123C"/>
    <w:rsid w:val="00521319"/>
    <w:rsid w:val="005213FD"/>
    <w:rsid w:val="005216B2"/>
    <w:rsid w:val="00521A3B"/>
    <w:rsid w:val="005221AC"/>
    <w:rsid w:val="00522219"/>
    <w:rsid w:val="005225B9"/>
    <w:rsid w:val="005229BC"/>
    <w:rsid w:val="00522A19"/>
    <w:rsid w:val="00522BC8"/>
    <w:rsid w:val="00523235"/>
    <w:rsid w:val="00523C28"/>
    <w:rsid w:val="00523C76"/>
    <w:rsid w:val="00523CB9"/>
    <w:rsid w:val="00524006"/>
    <w:rsid w:val="00524187"/>
    <w:rsid w:val="00524779"/>
    <w:rsid w:val="005249F5"/>
    <w:rsid w:val="0052538E"/>
    <w:rsid w:val="0052585A"/>
    <w:rsid w:val="00525970"/>
    <w:rsid w:val="00526057"/>
    <w:rsid w:val="00526523"/>
    <w:rsid w:val="005267E3"/>
    <w:rsid w:val="00526BEF"/>
    <w:rsid w:val="00526E92"/>
    <w:rsid w:val="005277BB"/>
    <w:rsid w:val="00527C96"/>
    <w:rsid w:val="005300DE"/>
    <w:rsid w:val="005301DD"/>
    <w:rsid w:val="00530234"/>
    <w:rsid w:val="0053039D"/>
    <w:rsid w:val="005306E5"/>
    <w:rsid w:val="0053088A"/>
    <w:rsid w:val="00530CAC"/>
    <w:rsid w:val="005316F6"/>
    <w:rsid w:val="0053176B"/>
    <w:rsid w:val="00531B81"/>
    <w:rsid w:val="005321EC"/>
    <w:rsid w:val="00532E62"/>
    <w:rsid w:val="00532F08"/>
    <w:rsid w:val="0053306C"/>
    <w:rsid w:val="00533C0B"/>
    <w:rsid w:val="00533DCB"/>
    <w:rsid w:val="005341B3"/>
    <w:rsid w:val="00534686"/>
    <w:rsid w:val="00534A27"/>
    <w:rsid w:val="00534BBE"/>
    <w:rsid w:val="005350BF"/>
    <w:rsid w:val="00535D99"/>
    <w:rsid w:val="0053626C"/>
    <w:rsid w:val="00536665"/>
    <w:rsid w:val="00536F42"/>
    <w:rsid w:val="005370B7"/>
    <w:rsid w:val="00537182"/>
    <w:rsid w:val="0053731A"/>
    <w:rsid w:val="00537739"/>
    <w:rsid w:val="00537F9E"/>
    <w:rsid w:val="00540400"/>
    <w:rsid w:val="005407AB"/>
    <w:rsid w:val="005408BA"/>
    <w:rsid w:val="00540BF7"/>
    <w:rsid w:val="00540C7F"/>
    <w:rsid w:val="00540D04"/>
    <w:rsid w:val="00541273"/>
    <w:rsid w:val="005413F8"/>
    <w:rsid w:val="0054165D"/>
    <w:rsid w:val="005419C4"/>
    <w:rsid w:val="00541B3C"/>
    <w:rsid w:val="00541EDD"/>
    <w:rsid w:val="00542098"/>
    <w:rsid w:val="00542743"/>
    <w:rsid w:val="0054285F"/>
    <w:rsid w:val="00542C2D"/>
    <w:rsid w:val="00544238"/>
    <w:rsid w:val="00544B4B"/>
    <w:rsid w:val="00545D15"/>
    <w:rsid w:val="00545E5B"/>
    <w:rsid w:val="005465FC"/>
    <w:rsid w:val="005478BD"/>
    <w:rsid w:val="005479E3"/>
    <w:rsid w:val="00550C03"/>
    <w:rsid w:val="00551172"/>
    <w:rsid w:val="00551709"/>
    <w:rsid w:val="0055172C"/>
    <w:rsid w:val="00551985"/>
    <w:rsid w:val="005519FE"/>
    <w:rsid w:val="0055297D"/>
    <w:rsid w:val="00552BD3"/>
    <w:rsid w:val="00552E1D"/>
    <w:rsid w:val="005532A0"/>
    <w:rsid w:val="005536E7"/>
    <w:rsid w:val="00553975"/>
    <w:rsid w:val="00553C1E"/>
    <w:rsid w:val="00553CCD"/>
    <w:rsid w:val="00553FCA"/>
    <w:rsid w:val="005550CC"/>
    <w:rsid w:val="00555109"/>
    <w:rsid w:val="00555548"/>
    <w:rsid w:val="0055595C"/>
    <w:rsid w:val="00555B30"/>
    <w:rsid w:val="00555D29"/>
    <w:rsid w:val="00556B35"/>
    <w:rsid w:val="00556C73"/>
    <w:rsid w:val="005571B4"/>
    <w:rsid w:val="005572C4"/>
    <w:rsid w:val="0055741A"/>
    <w:rsid w:val="00557434"/>
    <w:rsid w:val="00557523"/>
    <w:rsid w:val="00557BE7"/>
    <w:rsid w:val="005603BF"/>
    <w:rsid w:val="00560C50"/>
    <w:rsid w:val="005611B7"/>
    <w:rsid w:val="005618D4"/>
    <w:rsid w:val="005626CB"/>
    <w:rsid w:val="005627DB"/>
    <w:rsid w:val="00562963"/>
    <w:rsid w:val="00562E9E"/>
    <w:rsid w:val="005633AC"/>
    <w:rsid w:val="005637C1"/>
    <w:rsid w:val="00563A4E"/>
    <w:rsid w:val="00563F9A"/>
    <w:rsid w:val="0056429F"/>
    <w:rsid w:val="0056430D"/>
    <w:rsid w:val="005645FC"/>
    <w:rsid w:val="005647FC"/>
    <w:rsid w:val="00564824"/>
    <w:rsid w:val="00564867"/>
    <w:rsid w:val="00565336"/>
    <w:rsid w:val="0056574F"/>
    <w:rsid w:val="00565C79"/>
    <w:rsid w:val="00565DEC"/>
    <w:rsid w:val="00565DF0"/>
    <w:rsid w:val="00565E8E"/>
    <w:rsid w:val="0056696F"/>
    <w:rsid w:val="00567854"/>
    <w:rsid w:val="005678E6"/>
    <w:rsid w:val="00567AAB"/>
    <w:rsid w:val="00567C71"/>
    <w:rsid w:val="00571147"/>
    <w:rsid w:val="00571266"/>
    <w:rsid w:val="00571309"/>
    <w:rsid w:val="00571527"/>
    <w:rsid w:val="005718C9"/>
    <w:rsid w:val="00572269"/>
    <w:rsid w:val="0057244A"/>
    <w:rsid w:val="00572B20"/>
    <w:rsid w:val="00572ECA"/>
    <w:rsid w:val="00572F26"/>
    <w:rsid w:val="0057400E"/>
    <w:rsid w:val="00574121"/>
    <w:rsid w:val="00574371"/>
    <w:rsid w:val="0057493B"/>
    <w:rsid w:val="00574A9B"/>
    <w:rsid w:val="005750C5"/>
    <w:rsid w:val="005752DE"/>
    <w:rsid w:val="0057571B"/>
    <w:rsid w:val="00575AC0"/>
    <w:rsid w:val="00575BE5"/>
    <w:rsid w:val="00575D60"/>
    <w:rsid w:val="00575D8D"/>
    <w:rsid w:val="00576972"/>
    <w:rsid w:val="00576B4D"/>
    <w:rsid w:val="00576BD1"/>
    <w:rsid w:val="00576E9F"/>
    <w:rsid w:val="00576FFA"/>
    <w:rsid w:val="00577248"/>
    <w:rsid w:val="005778AC"/>
    <w:rsid w:val="00577E44"/>
    <w:rsid w:val="0058004B"/>
    <w:rsid w:val="005801F9"/>
    <w:rsid w:val="00580844"/>
    <w:rsid w:val="00581FED"/>
    <w:rsid w:val="0058340F"/>
    <w:rsid w:val="00583699"/>
    <w:rsid w:val="00583C9F"/>
    <w:rsid w:val="00583F22"/>
    <w:rsid w:val="0058488B"/>
    <w:rsid w:val="0058582D"/>
    <w:rsid w:val="00585CDD"/>
    <w:rsid w:val="00586755"/>
    <w:rsid w:val="0058691C"/>
    <w:rsid w:val="0058703A"/>
    <w:rsid w:val="00587058"/>
    <w:rsid w:val="005871F1"/>
    <w:rsid w:val="00587F7B"/>
    <w:rsid w:val="005901F6"/>
    <w:rsid w:val="005903B1"/>
    <w:rsid w:val="005906AF"/>
    <w:rsid w:val="00590E8C"/>
    <w:rsid w:val="0059109C"/>
    <w:rsid w:val="00591764"/>
    <w:rsid w:val="00591957"/>
    <w:rsid w:val="00592013"/>
    <w:rsid w:val="00592AE3"/>
    <w:rsid w:val="0059314C"/>
    <w:rsid w:val="00593641"/>
    <w:rsid w:val="005937F9"/>
    <w:rsid w:val="005938D6"/>
    <w:rsid w:val="00594482"/>
    <w:rsid w:val="005946B2"/>
    <w:rsid w:val="00594BEE"/>
    <w:rsid w:val="00594F5C"/>
    <w:rsid w:val="00594F88"/>
    <w:rsid w:val="005965D9"/>
    <w:rsid w:val="005974BC"/>
    <w:rsid w:val="00597BF9"/>
    <w:rsid w:val="00597D07"/>
    <w:rsid w:val="00597F09"/>
    <w:rsid w:val="005A0849"/>
    <w:rsid w:val="005A0C11"/>
    <w:rsid w:val="005A0C61"/>
    <w:rsid w:val="005A13D0"/>
    <w:rsid w:val="005A1AA5"/>
    <w:rsid w:val="005A1BC0"/>
    <w:rsid w:val="005A2E2B"/>
    <w:rsid w:val="005A309A"/>
    <w:rsid w:val="005A322A"/>
    <w:rsid w:val="005A373D"/>
    <w:rsid w:val="005A3DE1"/>
    <w:rsid w:val="005A3FFA"/>
    <w:rsid w:val="005A4A4D"/>
    <w:rsid w:val="005A4A90"/>
    <w:rsid w:val="005A5014"/>
    <w:rsid w:val="005A5055"/>
    <w:rsid w:val="005A51F7"/>
    <w:rsid w:val="005A581C"/>
    <w:rsid w:val="005A6E2D"/>
    <w:rsid w:val="005A71A0"/>
    <w:rsid w:val="005A73B3"/>
    <w:rsid w:val="005A75A1"/>
    <w:rsid w:val="005A7774"/>
    <w:rsid w:val="005B0152"/>
    <w:rsid w:val="005B021B"/>
    <w:rsid w:val="005B02B1"/>
    <w:rsid w:val="005B0994"/>
    <w:rsid w:val="005B0B58"/>
    <w:rsid w:val="005B0C9C"/>
    <w:rsid w:val="005B0CA6"/>
    <w:rsid w:val="005B1391"/>
    <w:rsid w:val="005B1AE3"/>
    <w:rsid w:val="005B1E13"/>
    <w:rsid w:val="005B21E8"/>
    <w:rsid w:val="005B2826"/>
    <w:rsid w:val="005B2B0D"/>
    <w:rsid w:val="005B2E26"/>
    <w:rsid w:val="005B3D23"/>
    <w:rsid w:val="005B487A"/>
    <w:rsid w:val="005B4980"/>
    <w:rsid w:val="005B4B9B"/>
    <w:rsid w:val="005B4BD4"/>
    <w:rsid w:val="005B4CB1"/>
    <w:rsid w:val="005B4E53"/>
    <w:rsid w:val="005B5451"/>
    <w:rsid w:val="005B5857"/>
    <w:rsid w:val="005B5F15"/>
    <w:rsid w:val="005B610C"/>
    <w:rsid w:val="005B71C8"/>
    <w:rsid w:val="005B73EC"/>
    <w:rsid w:val="005B77A4"/>
    <w:rsid w:val="005B7D26"/>
    <w:rsid w:val="005B7E2B"/>
    <w:rsid w:val="005C00E2"/>
    <w:rsid w:val="005C045C"/>
    <w:rsid w:val="005C0551"/>
    <w:rsid w:val="005C0B2B"/>
    <w:rsid w:val="005C19C4"/>
    <w:rsid w:val="005C1B83"/>
    <w:rsid w:val="005C25FF"/>
    <w:rsid w:val="005C29DA"/>
    <w:rsid w:val="005C2CBA"/>
    <w:rsid w:val="005C2D55"/>
    <w:rsid w:val="005C3049"/>
    <w:rsid w:val="005C3350"/>
    <w:rsid w:val="005C346B"/>
    <w:rsid w:val="005C4B68"/>
    <w:rsid w:val="005C5315"/>
    <w:rsid w:val="005C5ABC"/>
    <w:rsid w:val="005C5D04"/>
    <w:rsid w:val="005C5E90"/>
    <w:rsid w:val="005C5EB2"/>
    <w:rsid w:val="005C5F9E"/>
    <w:rsid w:val="005C6CAF"/>
    <w:rsid w:val="005C6FC2"/>
    <w:rsid w:val="005C7035"/>
    <w:rsid w:val="005D044D"/>
    <w:rsid w:val="005D0848"/>
    <w:rsid w:val="005D0967"/>
    <w:rsid w:val="005D0A96"/>
    <w:rsid w:val="005D0ABD"/>
    <w:rsid w:val="005D0B25"/>
    <w:rsid w:val="005D1413"/>
    <w:rsid w:val="005D16B3"/>
    <w:rsid w:val="005D18AD"/>
    <w:rsid w:val="005D1A25"/>
    <w:rsid w:val="005D252E"/>
    <w:rsid w:val="005D26B4"/>
    <w:rsid w:val="005D2BCC"/>
    <w:rsid w:val="005D3B7C"/>
    <w:rsid w:val="005D3F59"/>
    <w:rsid w:val="005D4BB9"/>
    <w:rsid w:val="005D4C3A"/>
    <w:rsid w:val="005D4F93"/>
    <w:rsid w:val="005D5693"/>
    <w:rsid w:val="005D682A"/>
    <w:rsid w:val="005D6895"/>
    <w:rsid w:val="005D6D5F"/>
    <w:rsid w:val="005D75B3"/>
    <w:rsid w:val="005D7AC2"/>
    <w:rsid w:val="005D7C3C"/>
    <w:rsid w:val="005E0138"/>
    <w:rsid w:val="005E0433"/>
    <w:rsid w:val="005E0B49"/>
    <w:rsid w:val="005E0C21"/>
    <w:rsid w:val="005E11EB"/>
    <w:rsid w:val="005E135E"/>
    <w:rsid w:val="005E1995"/>
    <w:rsid w:val="005E19AB"/>
    <w:rsid w:val="005E2323"/>
    <w:rsid w:val="005E26AC"/>
    <w:rsid w:val="005E273B"/>
    <w:rsid w:val="005E3396"/>
    <w:rsid w:val="005E33FD"/>
    <w:rsid w:val="005E3C34"/>
    <w:rsid w:val="005E3FF1"/>
    <w:rsid w:val="005E4C0F"/>
    <w:rsid w:val="005E50F3"/>
    <w:rsid w:val="005E53CF"/>
    <w:rsid w:val="005E5FDD"/>
    <w:rsid w:val="005E6781"/>
    <w:rsid w:val="005E69B7"/>
    <w:rsid w:val="005E6AA2"/>
    <w:rsid w:val="005E6B64"/>
    <w:rsid w:val="005E6CBC"/>
    <w:rsid w:val="005E6FFD"/>
    <w:rsid w:val="005E704E"/>
    <w:rsid w:val="005E7071"/>
    <w:rsid w:val="005E72FF"/>
    <w:rsid w:val="005E73C0"/>
    <w:rsid w:val="005E78E0"/>
    <w:rsid w:val="005E7A01"/>
    <w:rsid w:val="005E7A61"/>
    <w:rsid w:val="005F07ED"/>
    <w:rsid w:val="005F08B6"/>
    <w:rsid w:val="005F1723"/>
    <w:rsid w:val="005F1E1F"/>
    <w:rsid w:val="005F1FFB"/>
    <w:rsid w:val="005F23E0"/>
    <w:rsid w:val="005F2511"/>
    <w:rsid w:val="005F2706"/>
    <w:rsid w:val="005F2C37"/>
    <w:rsid w:val="005F30E1"/>
    <w:rsid w:val="005F346B"/>
    <w:rsid w:val="005F3EF8"/>
    <w:rsid w:val="005F4B5B"/>
    <w:rsid w:val="005F505B"/>
    <w:rsid w:val="005F54B3"/>
    <w:rsid w:val="005F596C"/>
    <w:rsid w:val="005F5BAF"/>
    <w:rsid w:val="005F5E24"/>
    <w:rsid w:val="005F6146"/>
    <w:rsid w:val="005F689C"/>
    <w:rsid w:val="005F6A8F"/>
    <w:rsid w:val="005F6BB7"/>
    <w:rsid w:val="005F6C44"/>
    <w:rsid w:val="005F6C78"/>
    <w:rsid w:val="005F6E76"/>
    <w:rsid w:val="005F7588"/>
    <w:rsid w:val="005F7B51"/>
    <w:rsid w:val="006008E6"/>
    <w:rsid w:val="00600F98"/>
    <w:rsid w:val="006014FC"/>
    <w:rsid w:val="00601B3C"/>
    <w:rsid w:val="00601D3F"/>
    <w:rsid w:val="00602070"/>
    <w:rsid w:val="0060215A"/>
    <w:rsid w:val="006022CA"/>
    <w:rsid w:val="006023DA"/>
    <w:rsid w:val="006024FF"/>
    <w:rsid w:val="006028D3"/>
    <w:rsid w:val="0060317F"/>
    <w:rsid w:val="0060322F"/>
    <w:rsid w:val="00603DB9"/>
    <w:rsid w:val="00604393"/>
    <w:rsid w:val="00604543"/>
    <w:rsid w:val="00604614"/>
    <w:rsid w:val="00604890"/>
    <w:rsid w:val="006054A0"/>
    <w:rsid w:val="006054A4"/>
    <w:rsid w:val="00605509"/>
    <w:rsid w:val="006057A9"/>
    <w:rsid w:val="00605D90"/>
    <w:rsid w:val="006060BD"/>
    <w:rsid w:val="006061CB"/>
    <w:rsid w:val="00606283"/>
    <w:rsid w:val="0060660C"/>
    <w:rsid w:val="00606D4F"/>
    <w:rsid w:val="00606FBA"/>
    <w:rsid w:val="0060748B"/>
    <w:rsid w:val="006074A9"/>
    <w:rsid w:val="0060759D"/>
    <w:rsid w:val="00607669"/>
    <w:rsid w:val="006076F4"/>
    <w:rsid w:val="0060771D"/>
    <w:rsid w:val="00607AA4"/>
    <w:rsid w:val="00607AFD"/>
    <w:rsid w:val="00607B69"/>
    <w:rsid w:val="00607DAD"/>
    <w:rsid w:val="006104B2"/>
    <w:rsid w:val="00610762"/>
    <w:rsid w:val="00610A66"/>
    <w:rsid w:val="0061108E"/>
    <w:rsid w:val="0061138F"/>
    <w:rsid w:val="00611404"/>
    <w:rsid w:val="00611A03"/>
    <w:rsid w:val="00611B12"/>
    <w:rsid w:val="00612F97"/>
    <w:rsid w:val="006132DF"/>
    <w:rsid w:val="0061345D"/>
    <w:rsid w:val="006136F9"/>
    <w:rsid w:val="00613806"/>
    <w:rsid w:val="00613BA3"/>
    <w:rsid w:val="00613F4E"/>
    <w:rsid w:val="006143EA"/>
    <w:rsid w:val="00614C9C"/>
    <w:rsid w:val="0061521D"/>
    <w:rsid w:val="0061549B"/>
    <w:rsid w:val="00615FAF"/>
    <w:rsid w:val="006162D3"/>
    <w:rsid w:val="00616616"/>
    <w:rsid w:val="00616802"/>
    <w:rsid w:val="00616A43"/>
    <w:rsid w:val="00616AFC"/>
    <w:rsid w:val="00617866"/>
    <w:rsid w:val="00617910"/>
    <w:rsid w:val="00617E12"/>
    <w:rsid w:val="00617E45"/>
    <w:rsid w:val="006200A3"/>
    <w:rsid w:val="00620791"/>
    <w:rsid w:val="00620C25"/>
    <w:rsid w:val="00620D8D"/>
    <w:rsid w:val="00621477"/>
    <w:rsid w:val="0062195C"/>
    <w:rsid w:val="00621ADA"/>
    <w:rsid w:val="00622C7F"/>
    <w:rsid w:val="00622EBD"/>
    <w:rsid w:val="00623481"/>
    <w:rsid w:val="00623952"/>
    <w:rsid w:val="006239FB"/>
    <w:rsid w:val="00623F7B"/>
    <w:rsid w:val="006243D6"/>
    <w:rsid w:val="00624816"/>
    <w:rsid w:val="00624BD4"/>
    <w:rsid w:val="00624D5E"/>
    <w:rsid w:val="0062516D"/>
    <w:rsid w:val="006253D6"/>
    <w:rsid w:val="0062555F"/>
    <w:rsid w:val="00625F3D"/>
    <w:rsid w:val="006262A9"/>
    <w:rsid w:val="006262F4"/>
    <w:rsid w:val="00626644"/>
    <w:rsid w:val="006273B7"/>
    <w:rsid w:val="006277DA"/>
    <w:rsid w:val="00627EDF"/>
    <w:rsid w:val="00630300"/>
    <w:rsid w:val="0063050F"/>
    <w:rsid w:val="00630CD4"/>
    <w:rsid w:val="0063158F"/>
    <w:rsid w:val="006318CB"/>
    <w:rsid w:val="00631C3E"/>
    <w:rsid w:val="00631D6B"/>
    <w:rsid w:val="00631FD7"/>
    <w:rsid w:val="00632183"/>
    <w:rsid w:val="0063220C"/>
    <w:rsid w:val="00632438"/>
    <w:rsid w:val="0063297D"/>
    <w:rsid w:val="006330A1"/>
    <w:rsid w:val="0063376B"/>
    <w:rsid w:val="0063399E"/>
    <w:rsid w:val="006339E6"/>
    <w:rsid w:val="0063448D"/>
    <w:rsid w:val="00634617"/>
    <w:rsid w:val="0063479F"/>
    <w:rsid w:val="00634964"/>
    <w:rsid w:val="00635009"/>
    <w:rsid w:val="006353F0"/>
    <w:rsid w:val="006353F8"/>
    <w:rsid w:val="006357B5"/>
    <w:rsid w:val="00635941"/>
    <w:rsid w:val="00636245"/>
    <w:rsid w:val="006364A1"/>
    <w:rsid w:val="00636621"/>
    <w:rsid w:val="006366FC"/>
    <w:rsid w:val="0063678E"/>
    <w:rsid w:val="00636874"/>
    <w:rsid w:val="006369D7"/>
    <w:rsid w:val="00636AD9"/>
    <w:rsid w:val="0063735C"/>
    <w:rsid w:val="0063745A"/>
    <w:rsid w:val="006375AA"/>
    <w:rsid w:val="00637915"/>
    <w:rsid w:val="00637BFD"/>
    <w:rsid w:val="00637C5C"/>
    <w:rsid w:val="00637E82"/>
    <w:rsid w:val="00640278"/>
    <w:rsid w:val="006403B3"/>
    <w:rsid w:val="006412CE"/>
    <w:rsid w:val="00641347"/>
    <w:rsid w:val="00641C4E"/>
    <w:rsid w:val="00641EC8"/>
    <w:rsid w:val="00641FB3"/>
    <w:rsid w:val="006428E1"/>
    <w:rsid w:val="0064305D"/>
    <w:rsid w:val="00643393"/>
    <w:rsid w:val="006433E3"/>
    <w:rsid w:val="00643D6F"/>
    <w:rsid w:val="00643F21"/>
    <w:rsid w:val="0064434C"/>
    <w:rsid w:val="00644AF4"/>
    <w:rsid w:val="00645AD0"/>
    <w:rsid w:val="00645BB6"/>
    <w:rsid w:val="0064646F"/>
    <w:rsid w:val="00646958"/>
    <w:rsid w:val="0064695A"/>
    <w:rsid w:val="00646ADD"/>
    <w:rsid w:val="006471CC"/>
    <w:rsid w:val="006472FE"/>
    <w:rsid w:val="0064797A"/>
    <w:rsid w:val="00647A29"/>
    <w:rsid w:val="006502D7"/>
    <w:rsid w:val="00650665"/>
    <w:rsid w:val="0065079F"/>
    <w:rsid w:val="00650CBA"/>
    <w:rsid w:val="00650E1C"/>
    <w:rsid w:val="006512A0"/>
    <w:rsid w:val="00651A0F"/>
    <w:rsid w:val="0065256C"/>
    <w:rsid w:val="006527B5"/>
    <w:rsid w:val="00652A28"/>
    <w:rsid w:val="00652BEF"/>
    <w:rsid w:val="006530B8"/>
    <w:rsid w:val="0065379F"/>
    <w:rsid w:val="00653F3F"/>
    <w:rsid w:val="00654363"/>
    <w:rsid w:val="00656188"/>
    <w:rsid w:val="00656725"/>
    <w:rsid w:val="00656B89"/>
    <w:rsid w:val="00656C83"/>
    <w:rsid w:val="0065715A"/>
    <w:rsid w:val="00657406"/>
    <w:rsid w:val="00657FCF"/>
    <w:rsid w:val="006600EB"/>
    <w:rsid w:val="006605F4"/>
    <w:rsid w:val="00660783"/>
    <w:rsid w:val="006607A1"/>
    <w:rsid w:val="00660CF8"/>
    <w:rsid w:val="00660FDA"/>
    <w:rsid w:val="006610F1"/>
    <w:rsid w:val="00661C6B"/>
    <w:rsid w:val="00662D3E"/>
    <w:rsid w:val="00662EBC"/>
    <w:rsid w:val="00663139"/>
    <w:rsid w:val="0066327C"/>
    <w:rsid w:val="006634E2"/>
    <w:rsid w:val="00664072"/>
    <w:rsid w:val="006659C6"/>
    <w:rsid w:val="006659EC"/>
    <w:rsid w:val="00665BFB"/>
    <w:rsid w:val="00665DEF"/>
    <w:rsid w:val="00666069"/>
    <w:rsid w:val="0066706E"/>
    <w:rsid w:val="006671F2"/>
    <w:rsid w:val="006675EA"/>
    <w:rsid w:val="00667787"/>
    <w:rsid w:val="00667BE3"/>
    <w:rsid w:val="006708C9"/>
    <w:rsid w:val="00670E25"/>
    <w:rsid w:val="00671004"/>
    <w:rsid w:val="0067172A"/>
    <w:rsid w:val="006717EC"/>
    <w:rsid w:val="00672381"/>
    <w:rsid w:val="006725E5"/>
    <w:rsid w:val="00672646"/>
    <w:rsid w:val="00672801"/>
    <w:rsid w:val="0067312F"/>
    <w:rsid w:val="0067321A"/>
    <w:rsid w:val="0067324D"/>
    <w:rsid w:val="00673466"/>
    <w:rsid w:val="0067396C"/>
    <w:rsid w:val="00673E69"/>
    <w:rsid w:val="00673EC1"/>
    <w:rsid w:val="00674AAB"/>
    <w:rsid w:val="00674E42"/>
    <w:rsid w:val="00675021"/>
    <w:rsid w:val="006750DF"/>
    <w:rsid w:val="00675284"/>
    <w:rsid w:val="006755AC"/>
    <w:rsid w:val="00675689"/>
    <w:rsid w:val="00675E80"/>
    <w:rsid w:val="00676563"/>
    <w:rsid w:val="006767D3"/>
    <w:rsid w:val="00676C59"/>
    <w:rsid w:val="0067780B"/>
    <w:rsid w:val="00680156"/>
    <w:rsid w:val="006803CF"/>
    <w:rsid w:val="00681353"/>
    <w:rsid w:val="006813F8"/>
    <w:rsid w:val="00681815"/>
    <w:rsid w:val="00682112"/>
    <w:rsid w:val="00682312"/>
    <w:rsid w:val="00682BA6"/>
    <w:rsid w:val="00682E00"/>
    <w:rsid w:val="00683492"/>
    <w:rsid w:val="00683BF9"/>
    <w:rsid w:val="006841B5"/>
    <w:rsid w:val="0068517E"/>
    <w:rsid w:val="00685284"/>
    <w:rsid w:val="00685520"/>
    <w:rsid w:val="006856D6"/>
    <w:rsid w:val="006857C5"/>
    <w:rsid w:val="006867DB"/>
    <w:rsid w:val="00686868"/>
    <w:rsid w:val="00686957"/>
    <w:rsid w:val="00687112"/>
    <w:rsid w:val="00687136"/>
    <w:rsid w:val="006872BA"/>
    <w:rsid w:val="0068763B"/>
    <w:rsid w:val="0069020D"/>
    <w:rsid w:val="006906DD"/>
    <w:rsid w:val="00690795"/>
    <w:rsid w:val="00690F59"/>
    <w:rsid w:val="006911BF"/>
    <w:rsid w:val="006915DD"/>
    <w:rsid w:val="00691648"/>
    <w:rsid w:val="006917D7"/>
    <w:rsid w:val="00691C6F"/>
    <w:rsid w:val="00691DEE"/>
    <w:rsid w:val="00692294"/>
    <w:rsid w:val="00692BF1"/>
    <w:rsid w:val="00692C33"/>
    <w:rsid w:val="00692EA2"/>
    <w:rsid w:val="00692EDD"/>
    <w:rsid w:val="00693135"/>
    <w:rsid w:val="0069316C"/>
    <w:rsid w:val="00693ADB"/>
    <w:rsid w:val="00693B34"/>
    <w:rsid w:val="00693CCC"/>
    <w:rsid w:val="0069434C"/>
    <w:rsid w:val="00694E81"/>
    <w:rsid w:val="00694F44"/>
    <w:rsid w:val="00695027"/>
    <w:rsid w:val="006952B8"/>
    <w:rsid w:val="006952EE"/>
    <w:rsid w:val="006959BF"/>
    <w:rsid w:val="006969F7"/>
    <w:rsid w:val="00696A0D"/>
    <w:rsid w:val="00696EF9"/>
    <w:rsid w:val="00696F51"/>
    <w:rsid w:val="0069731F"/>
    <w:rsid w:val="0069782F"/>
    <w:rsid w:val="006979A5"/>
    <w:rsid w:val="00697AD4"/>
    <w:rsid w:val="00697FB1"/>
    <w:rsid w:val="006A016F"/>
    <w:rsid w:val="006A059A"/>
    <w:rsid w:val="006A0790"/>
    <w:rsid w:val="006A0DF7"/>
    <w:rsid w:val="006A1F22"/>
    <w:rsid w:val="006A275A"/>
    <w:rsid w:val="006A29FC"/>
    <w:rsid w:val="006A2A75"/>
    <w:rsid w:val="006A2CBE"/>
    <w:rsid w:val="006A2EDA"/>
    <w:rsid w:val="006A30DA"/>
    <w:rsid w:val="006A4321"/>
    <w:rsid w:val="006A43D9"/>
    <w:rsid w:val="006A4EA6"/>
    <w:rsid w:val="006A5D00"/>
    <w:rsid w:val="006A6142"/>
    <w:rsid w:val="006A6294"/>
    <w:rsid w:val="006A6AFD"/>
    <w:rsid w:val="006A6B99"/>
    <w:rsid w:val="006A6E40"/>
    <w:rsid w:val="006A7321"/>
    <w:rsid w:val="006A7762"/>
    <w:rsid w:val="006A7781"/>
    <w:rsid w:val="006A7CED"/>
    <w:rsid w:val="006A7E5F"/>
    <w:rsid w:val="006B03D6"/>
    <w:rsid w:val="006B0688"/>
    <w:rsid w:val="006B0971"/>
    <w:rsid w:val="006B0E88"/>
    <w:rsid w:val="006B1317"/>
    <w:rsid w:val="006B171F"/>
    <w:rsid w:val="006B1820"/>
    <w:rsid w:val="006B18BA"/>
    <w:rsid w:val="006B21DA"/>
    <w:rsid w:val="006B261B"/>
    <w:rsid w:val="006B26A8"/>
    <w:rsid w:val="006B2C90"/>
    <w:rsid w:val="006B30BF"/>
    <w:rsid w:val="006B31BB"/>
    <w:rsid w:val="006B329A"/>
    <w:rsid w:val="006B35E6"/>
    <w:rsid w:val="006B3AEF"/>
    <w:rsid w:val="006B3B7E"/>
    <w:rsid w:val="006B3CA1"/>
    <w:rsid w:val="006B40D7"/>
    <w:rsid w:val="006B465A"/>
    <w:rsid w:val="006B4860"/>
    <w:rsid w:val="006B4D25"/>
    <w:rsid w:val="006B5166"/>
    <w:rsid w:val="006B579D"/>
    <w:rsid w:val="006B6062"/>
    <w:rsid w:val="006B6849"/>
    <w:rsid w:val="006B6DD0"/>
    <w:rsid w:val="006B74D7"/>
    <w:rsid w:val="006B755D"/>
    <w:rsid w:val="006C0399"/>
    <w:rsid w:val="006C0872"/>
    <w:rsid w:val="006C0D67"/>
    <w:rsid w:val="006C119B"/>
    <w:rsid w:val="006C1E10"/>
    <w:rsid w:val="006C1E5D"/>
    <w:rsid w:val="006C27BE"/>
    <w:rsid w:val="006C2A8E"/>
    <w:rsid w:val="006C2AFF"/>
    <w:rsid w:val="006C3255"/>
    <w:rsid w:val="006C34AE"/>
    <w:rsid w:val="006C3623"/>
    <w:rsid w:val="006C36B4"/>
    <w:rsid w:val="006C3A49"/>
    <w:rsid w:val="006C3AC3"/>
    <w:rsid w:val="006C3E11"/>
    <w:rsid w:val="006C3F26"/>
    <w:rsid w:val="006C6105"/>
    <w:rsid w:val="006C62F4"/>
    <w:rsid w:val="006C66FD"/>
    <w:rsid w:val="006C7109"/>
    <w:rsid w:val="006C74D6"/>
    <w:rsid w:val="006C7767"/>
    <w:rsid w:val="006C7949"/>
    <w:rsid w:val="006C7ABF"/>
    <w:rsid w:val="006C7D68"/>
    <w:rsid w:val="006D090B"/>
    <w:rsid w:val="006D0D17"/>
    <w:rsid w:val="006D1991"/>
    <w:rsid w:val="006D1B21"/>
    <w:rsid w:val="006D247B"/>
    <w:rsid w:val="006D2E9C"/>
    <w:rsid w:val="006D30C9"/>
    <w:rsid w:val="006D3642"/>
    <w:rsid w:val="006D3BF1"/>
    <w:rsid w:val="006D3C7D"/>
    <w:rsid w:val="006D41BC"/>
    <w:rsid w:val="006D4659"/>
    <w:rsid w:val="006D48D3"/>
    <w:rsid w:val="006D4EA6"/>
    <w:rsid w:val="006D53F9"/>
    <w:rsid w:val="006D5742"/>
    <w:rsid w:val="006D5D5F"/>
    <w:rsid w:val="006D61F8"/>
    <w:rsid w:val="006D62BD"/>
    <w:rsid w:val="006D6664"/>
    <w:rsid w:val="006D681D"/>
    <w:rsid w:val="006D68FB"/>
    <w:rsid w:val="006D6904"/>
    <w:rsid w:val="006D7060"/>
    <w:rsid w:val="006D72A2"/>
    <w:rsid w:val="006D7D3C"/>
    <w:rsid w:val="006E04B0"/>
    <w:rsid w:val="006E0807"/>
    <w:rsid w:val="006E0FA2"/>
    <w:rsid w:val="006E124B"/>
    <w:rsid w:val="006E145D"/>
    <w:rsid w:val="006E1470"/>
    <w:rsid w:val="006E226E"/>
    <w:rsid w:val="006E251A"/>
    <w:rsid w:val="006E2868"/>
    <w:rsid w:val="006E3B3C"/>
    <w:rsid w:val="006E3D08"/>
    <w:rsid w:val="006E3FAF"/>
    <w:rsid w:val="006E5B6D"/>
    <w:rsid w:val="006E5DB8"/>
    <w:rsid w:val="006E6805"/>
    <w:rsid w:val="006E6C06"/>
    <w:rsid w:val="006E7426"/>
    <w:rsid w:val="006E7944"/>
    <w:rsid w:val="006E7F19"/>
    <w:rsid w:val="006F07D9"/>
    <w:rsid w:val="006F0C8F"/>
    <w:rsid w:val="006F0F1F"/>
    <w:rsid w:val="006F0F77"/>
    <w:rsid w:val="006F29E1"/>
    <w:rsid w:val="006F3010"/>
    <w:rsid w:val="006F306C"/>
    <w:rsid w:val="006F4424"/>
    <w:rsid w:val="006F4983"/>
    <w:rsid w:val="006F5329"/>
    <w:rsid w:val="006F607E"/>
    <w:rsid w:val="006F63A5"/>
    <w:rsid w:val="006F65D5"/>
    <w:rsid w:val="006F666B"/>
    <w:rsid w:val="006F69CE"/>
    <w:rsid w:val="006F7D9A"/>
    <w:rsid w:val="007000CE"/>
    <w:rsid w:val="0070013C"/>
    <w:rsid w:val="00700C69"/>
    <w:rsid w:val="0070142B"/>
    <w:rsid w:val="00701658"/>
    <w:rsid w:val="00701A49"/>
    <w:rsid w:val="00702674"/>
    <w:rsid w:val="0070276E"/>
    <w:rsid w:val="00702F8F"/>
    <w:rsid w:val="00703763"/>
    <w:rsid w:val="007038BC"/>
    <w:rsid w:val="00703E7F"/>
    <w:rsid w:val="00704FEB"/>
    <w:rsid w:val="00705651"/>
    <w:rsid w:val="00706231"/>
    <w:rsid w:val="007072F7"/>
    <w:rsid w:val="007079FC"/>
    <w:rsid w:val="00710360"/>
    <w:rsid w:val="007109AE"/>
    <w:rsid w:val="007111ED"/>
    <w:rsid w:val="007119D3"/>
    <w:rsid w:val="00711A1E"/>
    <w:rsid w:val="00711A36"/>
    <w:rsid w:val="00711D01"/>
    <w:rsid w:val="00712200"/>
    <w:rsid w:val="007125D3"/>
    <w:rsid w:val="00712A02"/>
    <w:rsid w:val="00712B63"/>
    <w:rsid w:val="007133B2"/>
    <w:rsid w:val="00713913"/>
    <w:rsid w:val="00713CD3"/>
    <w:rsid w:val="00714C26"/>
    <w:rsid w:val="00714CD7"/>
    <w:rsid w:val="0071529C"/>
    <w:rsid w:val="0071531C"/>
    <w:rsid w:val="00715728"/>
    <w:rsid w:val="00715BEF"/>
    <w:rsid w:val="00715DCF"/>
    <w:rsid w:val="00716613"/>
    <w:rsid w:val="0071697C"/>
    <w:rsid w:val="00716F33"/>
    <w:rsid w:val="007170DA"/>
    <w:rsid w:val="007172AD"/>
    <w:rsid w:val="00717483"/>
    <w:rsid w:val="0071752F"/>
    <w:rsid w:val="00717546"/>
    <w:rsid w:val="007176C5"/>
    <w:rsid w:val="00717900"/>
    <w:rsid w:val="00717D5E"/>
    <w:rsid w:val="00720457"/>
    <w:rsid w:val="00720590"/>
    <w:rsid w:val="00720608"/>
    <w:rsid w:val="00720801"/>
    <w:rsid w:val="007209AE"/>
    <w:rsid w:val="00720FA2"/>
    <w:rsid w:val="007216E2"/>
    <w:rsid w:val="0072174E"/>
    <w:rsid w:val="00722401"/>
    <w:rsid w:val="00722AB4"/>
    <w:rsid w:val="00722B1B"/>
    <w:rsid w:val="00722EF1"/>
    <w:rsid w:val="00723085"/>
    <w:rsid w:val="00723526"/>
    <w:rsid w:val="00723565"/>
    <w:rsid w:val="007238CD"/>
    <w:rsid w:val="00724102"/>
    <w:rsid w:val="0072416F"/>
    <w:rsid w:val="0072425D"/>
    <w:rsid w:val="0072448C"/>
    <w:rsid w:val="007247BD"/>
    <w:rsid w:val="00724A0F"/>
    <w:rsid w:val="00725341"/>
    <w:rsid w:val="00725400"/>
    <w:rsid w:val="00725607"/>
    <w:rsid w:val="0072567F"/>
    <w:rsid w:val="00725B11"/>
    <w:rsid w:val="007260D7"/>
    <w:rsid w:val="007262D6"/>
    <w:rsid w:val="007270D5"/>
    <w:rsid w:val="007274F1"/>
    <w:rsid w:val="0072792B"/>
    <w:rsid w:val="00727C94"/>
    <w:rsid w:val="00727F4E"/>
    <w:rsid w:val="00730654"/>
    <w:rsid w:val="007313EB"/>
    <w:rsid w:val="007315A0"/>
    <w:rsid w:val="007317DA"/>
    <w:rsid w:val="00731B0A"/>
    <w:rsid w:val="00731EAE"/>
    <w:rsid w:val="00731EB3"/>
    <w:rsid w:val="0073254F"/>
    <w:rsid w:val="007326D8"/>
    <w:rsid w:val="00732AD4"/>
    <w:rsid w:val="00732F96"/>
    <w:rsid w:val="00732FCF"/>
    <w:rsid w:val="00733073"/>
    <w:rsid w:val="007340C4"/>
    <w:rsid w:val="00734192"/>
    <w:rsid w:val="00734400"/>
    <w:rsid w:val="00735033"/>
    <w:rsid w:val="00735328"/>
    <w:rsid w:val="00735493"/>
    <w:rsid w:val="007358FA"/>
    <w:rsid w:val="00735963"/>
    <w:rsid w:val="00735F39"/>
    <w:rsid w:val="007361C1"/>
    <w:rsid w:val="00736551"/>
    <w:rsid w:val="00736745"/>
    <w:rsid w:val="0073685B"/>
    <w:rsid w:val="00736E2A"/>
    <w:rsid w:val="00736EF0"/>
    <w:rsid w:val="00737AC3"/>
    <w:rsid w:val="00740BB5"/>
    <w:rsid w:val="00740BFC"/>
    <w:rsid w:val="00740C88"/>
    <w:rsid w:val="00740E73"/>
    <w:rsid w:val="00741017"/>
    <w:rsid w:val="007411CF"/>
    <w:rsid w:val="007412E5"/>
    <w:rsid w:val="00741D32"/>
    <w:rsid w:val="00742194"/>
    <w:rsid w:val="00742829"/>
    <w:rsid w:val="00742A0D"/>
    <w:rsid w:val="00743E07"/>
    <w:rsid w:val="0074401A"/>
    <w:rsid w:val="007449BF"/>
    <w:rsid w:val="00745302"/>
    <w:rsid w:val="007463FE"/>
    <w:rsid w:val="00746B5E"/>
    <w:rsid w:val="00746BC0"/>
    <w:rsid w:val="00746EB0"/>
    <w:rsid w:val="007472F9"/>
    <w:rsid w:val="00747FCC"/>
    <w:rsid w:val="007508FA"/>
    <w:rsid w:val="00750F80"/>
    <w:rsid w:val="00750F8E"/>
    <w:rsid w:val="007510B4"/>
    <w:rsid w:val="00751335"/>
    <w:rsid w:val="00752142"/>
    <w:rsid w:val="007523F9"/>
    <w:rsid w:val="00752485"/>
    <w:rsid w:val="00753088"/>
    <w:rsid w:val="007532F2"/>
    <w:rsid w:val="0075357E"/>
    <w:rsid w:val="00753ADA"/>
    <w:rsid w:val="00753B29"/>
    <w:rsid w:val="007543CD"/>
    <w:rsid w:val="00754FCB"/>
    <w:rsid w:val="00756ACD"/>
    <w:rsid w:val="00756C8B"/>
    <w:rsid w:val="007573E8"/>
    <w:rsid w:val="00760246"/>
    <w:rsid w:val="00760824"/>
    <w:rsid w:val="00760C4E"/>
    <w:rsid w:val="00760F9E"/>
    <w:rsid w:val="00761085"/>
    <w:rsid w:val="0076154D"/>
    <w:rsid w:val="007616E6"/>
    <w:rsid w:val="007624CD"/>
    <w:rsid w:val="007627AE"/>
    <w:rsid w:val="007627BE"/>
    <w:rsid w:val="00762A63"/>
    <w:rsid w:val="00762AA2"/>
    <w:rsid w:val="00762B7A"/>
    <w:rsid w:val="00762C9E"/>
    <w:rsid w:val="00763213"/>
    <w:rsid w:val="00763368"/>
    <w:rsid w:val="00763D5B"/>
    <w:rsid w:val="00764294"/>
    <w:rsid w:val="00764CA4"/>
    <w:rsid w:val="00764F03"/>
    <w:rsid w:val="007650C7"/>
    <w:rsid w:val="0076599F"/>
    <w:rsid w:val="00765B1A"/>
    <w:rsid w:val="00765DC1"/>
    <w:rsid w:val="0076614C"/>
    <w:rsid w:val="00767D7C"/>
    <w:rsid w:val="00767DEF"/>
    <w:rsid w:val="007705FF"/>
    <w:rsid w:val="0077069E"/>
    <w:rsid w:val="00770979"/>
    <w:rsid w:val="007711EA"/>
    <w:rsid w:val="007724FD"/>
    <w:rsid w:val="00772542"/>
    <w:rsid w:val="00772D59"/>
    <w:rsid w:val="00773423"/>
    <w:rsid w:val="00773921"/>
    <w:rsid w:val="00773C3A"/>
    <w:rsid w:val="00773E23"/>
    <w:rsid w:val="00774AA5"/>
    <w:rsid w:val="00774B86"/>
    <w:rsid w:val="00774FA3"/>
    <w:rsid w:val="00775840"/>
    <w:rsid w:val="007758B9"/>
    <w:rsid w:val="00776216"/>
    <w:rsid w:val="007765DC"/>
    <w:rsid w:val="00776A29"/>
    <w:rsid w:val="00776B88"/>
    <w:rsid w:val="0077728D"/>
    <w:rsid w:val="00777335"/>
    <w:rsid w:val="007774E0"/>
    <w:rsid w:val="007808F2"/>
    <w:rsid w:val="00780EC6"/>
    <w:rsid w:val="00781A2D"/>
    <w:rsid w:val="00781F22"/>
    <w:rsid w:val="007821EB"/>
    <w:rsid w:val="00782B9F"/>
    <w:rsid w:val="007832B2"/>
    <w:rsid w:val="00784108"/>
    <w:rsid w:val="00784247"/>
    <w:rsid w:val="007843F2"/>
    <w:rsid w:val="007845BA"/>
    <w:rsid w:val="007846FA"/>
    <w:rsid w:val="00784974"/>
    <w:rsid w:val="00784C1D"/>
    <w:rsid w:val="007850F9"/>
    <w:rsid w:val="00785A9F"/>
    <w:rsid w:val="007863D6"/>
    <w:rsid w:val="007868B7"/>
    <w:rsid w:val="00786FF9"/>
    <w:rsid w:val="007870BF"/>
    <w:rsid w:val="00787E30"/>
    <w:rsid w:val="0079044E"/>
    <w:rsid w:val="00790BA3"/>
    <w:rsid w:val="007913A0"/>
    <w:rsid w:val="0079172B"/>
    <w:rsid w:val="00791B24"/>
    <w:rsid w:val="00791ED2"/>
    <w:rsid w:val="00792027"/>
    <w:rsid w:val="00792560"/>
    <w:rsid w:val="007925DF"/>
    <w:rsid w:val="00792877"/>
    <w:rsid w:val="00793120"/>
    <w:rsid w:val="00793711"/>
    <w:rsid w:val="00793A84"/>
    <w:rsid w:val="0079439E"/>
    <w:rsid w:val="00795412"/>
    <w:rsid w:val="00795D11"/>
    <w:rsid w:val="0079620E"/>
    <w:rsid w:val="0079688B"/>
    <w:rsid w:val="00796941"/>
    <w:rsid w:val="007970A2"/>
    <w:rsid w:val="007977A2"/>
    <w:rsid w:val="00797839"/>
    <w:rsid w:val="00797C95"/>
    <w:rsid w:val="007A08AA"/>
    <w:rsid w:val="007A0A12"/>
    <w:rsid w:val="007A0AB8"/>
    <w:rsid w:val="007A0C2B"/>
    <w:rsid w:val="007A1061"/>
    <w:rsid w:val="007A132D"/>
    <w:rsid w:val="007A1345"/>
    <w:rsid w:val="007A2273"/>
    <w:rsid w:val="007A2C5E"/>
    <w:rsid w:val="007A2DDB"/>
    <w:rsid w:val="007A311D"/>
    <w:rsid w:val="007A3FEB"/>
    <w:rsid w:val="007A5099"/>
    <w:rsid w:val="007A62C7"/>
    <w:rsid w:val="007A70BA"/>
    <w:rsid w:val="007A78E6"/>
    <w:rsid w:val="007A7CE6"/>
    <w:rsid w:val="007A7EC9"/>
    <w:rsid w:val="007B0240"/>
    <w:rsid w:val="007B055F"/>
    <w:rsid w:val="007B068F"/>
    <w:rsid w:val="007B08EB"/>
    <w:rsid w:val="007B0D68"/>
    <w:rsid w:val="007B1095"/>
    <w:rsid w:val="007B118E"/>
    <w:rsid w:val="007B11A8"/>
    <w:rsid w:val="007B1849"/>
    <w:rsid w:val="007B1909"/>
    <w:rsid w:val="007B1D12"/>
    <w:rsid w:val="007B1F68"/>
    <w:rsid w:val="007B22BE"/>
    <w:rsid w:val="007B251D"/>
    <w:rsid w:val="007B324B"/>
    <w:rsid w:val="007B3439"/>
    <w:rsid w:val="007B345D"/>
    <w:rsid w:val="007B3533"/>
    <w:rsid w:val="007B3A7E"/>
    <w:rsid w:val="007B3B49"/>
    <w:rsid w:val="007B3F90"/>
    <w:rsid w:val="007B4F58"/>
    <w:rsid w:val="007B528D"/>
    <w:rsid w:val="007B53F1"/>
    <w:rsid w:val="007B547C"/>
    <w:rsid w:val="007B5FF6"/>
    <w:rsid w:val="007B63CA"/>
    <w:rsid w:val="007B6A84"/>
    <w:rsid w:val="007B6C1D"/>
    <w:rsid w:val="007B7162"/>
    <w:rsid w:val="007B77D1"/>
    <w:rsid w:val="007B7BFE"/>
    <w:rsid w:val="007B7DC3"/>
    <w:rsid w:val="007C031F"/>
    <w:rsid w:val="007C07C7"/>
    <w:rsid w:val="007C086B"/>
    <w:rsid w:val="007C08C5"/>
    <w:rsid w:val="007C12C1"/>
    <w:rsid w:val="007C133E"/>
    <w:rsid w:val="007C1436"/>
    <w:rsid w:val="007C151B"/>
    <w:rsid w:val="007C1B9A"/>
    <w:rsid w:val="007C1CD9"/>
    <w:rsid w:val="007C1D1A"/>
    <w:rsid w:val="007C1E84"/>
    <w:rsid w:val="007C2A3D"/>
    <w:rsid w:val="007C2F73"/>
    <w:rsid w:val="007C3134"/>
    <w:rsid w:val="007C324F"/>
    <w:rsid w:val="007C32EF"/>
    <w:rsid w:val="007C361D"/>
    <w:rsid w:val="007C4040"/>
    <w:rsid w:val="007C4470"/>
    <w:rsid w:val="007C4B84"/>
    <w:rsid w:val="007C4DD5"/>
    <w:rsid w:val="007C5B55"/>
    <w:rsid w:val="007C6BE3"/>
    <w:rsid w:val="007C70FF"/>
    <w:rsid w:val="007C7C25"/>
    <w:rsid w:val="007D004F"/>
    <w:rsid w:val="007D035F"/>
    <w:rsid w:val="007D0589"/>
    <w:rsid w:val="007D060C"/>
    <w:rsid w:val="007D0648"/>
    <w:rsid w:val="007D06B2"/>
    <w:rsid w:val="007D0B38"/>
    <w:rsid w:val="007D10C7"/>
    <w:rsid w:val="007D1352"/>
    <w:rsid w:val="007D1763"/>
    <w:rsid w:val="007D1B66"/>
    <w:rsid w:val="007D21EF"/>
    <w:rsid w:val="007D273A"/>
    <w:rsid w:val="007D2E62"/>
    <w:rsid w:val="007D2F41"/>
    <w:rsid w:val="007D3785"/>
    <w:rsid w:val="007D3ECC"/>
    <w:rsid w:val="007D440B"/>
    <w:rsid w:val="007D44B5"/>
    <w:rsid w:val="007D4894"/>
    <w:rsid w:val="007D501E"/>
    <w:rsid w:val="007D50DD"/>
    <w:rsid w:val="007D5440"/>
    <w:rsid w:val="007D5ED1"/>
    <w:rsid w:val="007D5EE1"/>
    <w:rsid w:val="007D5F81"/>
    <w:rsid w:val="007D5F8D"/>
    <w:rsid w:val="007D6281"/>
    <w:rsid w:val="007D649B"/>
    <w:rsid w:val="007D651F"/>
    <w:rsid w:val="007D6863"/>
    <w:rsid w:val="007D68CE"/>
    <w:rsid w:val="007D69EB"/>
    <w:rsid w:val="007D6E6E"/>
    <w:rsid w:val="007E03CB"/>
    <w:rsid w:val="007E0617"/>
    <w:rsid w:val="007E06A7"/>
    <w:rsid w:val="007E0C34"/>
    <w:rsid w:val="007E0D8F"/>
    <w:rsid w:val="007E128F"/>
    <w:rsid w:val="007E1795"/>
    <w:rsid w:val="007E1AA7"/>
    <w:rsid w:val="007E1CA8"/>
    <w:rsid w:val="007E1DB3"/>
    <w:rsid w:val="007E230A"/>
    <w:rsid w:val="007E2795"/>
    <w:rsid w:val="007E3443"/>
    <w:rsid w:val="007E51D5"/>
    <w:rsid w:val="007E59F9"/>
    <w:rsid w:val="007E674E"/>
    <w:rsid w:val="007E709C"/>
    <w:rsid w:val="007E7DCA"/>
    <w:rsid w:val="007F072B"/>
    <w:rsid w:val="007F09FB"/>
    <w:rsid w:val="007F0E09"/>
    <w:rsid w:val="007F1017"/>
    <w:rsid w:val="007F10F6"/>
    <w:rsid w:val="007F12E1"/>
    <w:rsid w:val="007F1EEA"/>
    <w:rsid w:val="007F24CD"/>
    <w:rsid w:val="007F254D"/>
    <w:rsid w:val="007F2751"/>
    <w:rsid w:val="007F2807"/>
    <w:rsid w:val="007F2879"/>
    <w:rsid w:val="007F2FD4"/>
    <w:rsid w:val="007F33B6"/>
    <w:rsid w:val="007F3EE4"/>
    <w:rsid w:val="007F403B"/>
    <w:rsid w:val="007F4415"/>
    <w:rsid w:val="007F46D3"/>
    <w:rsid w:val="007F4A3F"/>
    <w:rsid w:val="007F4A61"/>
    <w:rsid w:val="007F51E2"/>
    <w:rsid w:val="007F5255"/>
    <w:rsid w:val="007F569C"/>
    <w:rsid w:val="007F56CC"/>
    <w:rsid w:val="007F59BF"/>
    <w:rsid w:val="007F5EB1"/>
    <w:rsid w:val="007F61C2"/>
    <w:rsid w:val="007F66A5"/>
    <w:rsid w:val="007F7112"/>
    <w:rsid w:val="007F7CE7"/>
    <w:rsid w:val="0080039A"/>
    <w:rsid w:val="0080052B"/>
    <w:rsid w:val="0080104E"/>
    <w:rsid w:val="0080191C"/>
    <w:rsid w:val="0080293A"/>
    <w:rsid w:val="008031D2"/>
    <w:rsid w:val="008033A3"/>
    <w:rsid w:val="00803AAB"/>
    <w:rsid w:val="00803D00"/>
    <w:rsid w:val="00803FEF"/>
    <w:rsid w:val="00805142"/>
    <w:rsid w:val="00805368"/>
    <w:rsid w:val="0080566B"/>
    <w:rsid w:val="008056E6"/>
    <w:rsid w:val="00805FCE"/>
    <w:rsid w:val="00806984"/>
    <w:rsid w:val="00807084"/>
    <w:rsid w:val="00807A8B"/>
    <w:rsid w:val="00811109"/>
    <w:rsid w:val="00811383"/>
    <w:rsid w:val="00812149"/>
    <w:rsid w:val="008121F2"/>
    <w:rsid w:val="00812517"/>
    <w:rsid w:val="008127C8"/>
    <w:rsid w:val="0081293B"/>
    <w:rsid w:val="00812CAC"/>
    <w:rsid w:val="008132BD"/>
    <w:rsid w:val="008133D9"/>
    <w:rsid w:val="00813A8C"/>
    <w:rsid w:val="00814207"/>
    <w:rsid w:val="00814A14"/>
    <w:rsid w:val="00814FB3"/>
    <w:rsid w:val="00815036"/>
    <w:rsid w:val="00816257"/>
    <w:rsid w:val="00816361"/>
    <w:rsid w:val="008166EF"/>
    <w:rsid w:val="00816B0A"/>
    <w:rsid w:val="00816DA5"/>
    <w:rsid w:val="00816E99"/>
    <w:rsid w:val="00816FEF"/>
    <w:rsid w:val="008174FE"/>
    <w:rsid w:val="008200A0"/>
    <w:rsid w:val="008203F6"/>
    <w:rsid w:val="00820A8C"/>
    <w:rsid w:val="00820E0D"/>
    <w:rsid w:val="00820E3E"/>
    <w:rsid w:val="008215FB"/>
    <w:rsid w:val="00821628"/>
    <w:rsid w:val="00821707"/>
    <w:rsid w:val="00821761"/>
    <w:rsid w:val="008219F6"/>
    <w:rsid w:val="008220CC"/>
    <w:rsid w:val="0082293A"/>
    <w:rsid w:val="00822AC5"/>
    <w:rsid w:val="00823174"/>
    <w:rsid w:val="00823E2D"/>
    <w:rsid w:val="00825036"/>
    <w:rsid w:val="00825751"/>
    <w:rsid w:val="00825761"/>
    <w:rsid w:val="00825933"/>
    <w:rsid w:val="00825B43"/>
    <w:rsid w:val="00825CBB"/>
    <w:rsid w:val="00826146"/>
    <w:rsid w:val="008264EB"/>
    <w:rsid w:val="00826716"/>
    <w:rsid w:val="0082672D"/>
    <w:rsid w:val="008268CE"/>
    <w:rsid w:val="00827C23"/>
    <w:rsid w:val="008303D6"/>
    <w:rsid w:val="0083088A"/>
    <w:rsid w:val="008311D8"/>
    <w:rsid w:val="008317F2"/>
    <w:rsid w:val="00831AF6"/>
    <w:rsid w:val="00831CE6"/>
    <w:rsid w:val="008323FD"/>
    <w:rsid w:val="00832568"/>
    <w:rsid w:val="00832A68"/>
    <w:rsid w:val="00832E0B"/>
    <w:rsid w:val="00832FD0"/>
    <w:rsid w:val="00833A5A"/>
    <w:rsid w:val="00833B05"/>
    <w:rsid w:val="00834047"/>
    <w:rsid w:val="0083452D"/>
    <w:rsid w:val="00834972"/>
    <w:rsid w:val="00835293"/>
    <w:rsid w:val="00835367"/>
    <w:rsid w:val="008362B4"/>
    <w:rsid w:val="008362D6"/>
    <w:rsid w:val="0083635D"/>
    <w:rsid w:val="008363C5"/>
    <w:rsid w:val="0083648B"/>
    <w:rsid w:val="00836524"/>
    <w:rsid w:val="00836712"/>
    <w:rsid w:val="0083679D"/>
    <w:rsid w:val="00836B92"/>
    <w:rsid w:val="00837C50"/>
    <w:rsid w:val="00840678"/>
    <w:rsid w:val="0084098C"/>
    <w:rsid w:val="00840A5B"/>
    <w:rsid w:val="00840CA2"/>
    <w:rsid w:val="00840FB9"/>
    <w:rsid w:val="00840FC0"/>
    <w:rsid w:val="00841092"/>
    <w:rsid w:val="00841586"/>
    <w:rsid w:val="008423F7"/>
    <w:rsid w:val="008427F9"/>
    <w:rsid w:val="00842FB1"/>
    <w:rsid w:val="0084324D"/>
    <w:rsid w:val="008436DE"/>
    <w:rsid w:val="00843740"/>
    <w:rsid w:val="0084374F"/>
    <w:rsid w:val="00844304"/>
    <w:rsid w:val="00844A18"/>
    <w:rsid w:val="00844A22"/>
    <w:rsid w:val="00844ECA"/>
    <w:rsid w:val="008457C7"/>
    <w:rsid w:val="008459CD"/>
    <w:rsid w:val="00845D1E"/>
    <w:rsid w:val="00846852"/>
    <w:rsid w:val="008469D2"/>
    <w:rsid w:val="00846A6B"/>
    <w:rsid w:val="00846CAE"/>
    <w:rsid w:val="00847703"/>
    <w:rsid w:val="0084778B"/>
    <w:rsid w:val="00847DF5"/>
    <w:rsid w:val="00847E4B"/>
    <w:rsid w:val="00847FBC"/>
    <w:rsid w:val="008508C8"/>
    <w:rsid w:val="008515AE"/>
    <w:rsid w:val="0085309D"/>
    <w:rsid w:val="00853440"/>
    <w:rsid w:val="00853994"/>
    <w:rsid w:val="008548BC"/>
    <w:rsid w:val="008558A3"/>
    <w:rsid w:val="00855CFE"/>
    <w:rsid w:val="00855D70"/>
    <w:rsid w:val="00855FE8"/>
    <w:rsid w:val="00856897"/>
    <w:rsid w:val="0085692E"/>
    <w:rsid w:val="00856E11"/>
    <w:rsid w:val="00856E9A"/>
    <w:rsid w:val="00856F0A"/>
    <w:rsid w:val="00857931"/>
    <w:rsid w:val="00857C2A"/>
    <w:rsid w:val="00857D2E"/>
    <w:rsid w:val="008602E2"/>
    <w:rsid w:val="008604B1"/>
    <w:rsid w:val="0086075D"/>
    <w:rsid w:val="008608D7"/>
    <w:rsid w:val="0086193D"/>
    <w:rsid w:val="00861B86"/>
    <w:rsid w:val="00861F2C"/>
    <w:rsid w:val="008622C3"/>
    <w:rsid w:val="00862502"/>
    <w:rsid w:val="00862794"/>
    <w:rsid w:val="0086298F"/>
    <w:rsid w:val="00862C3C"/>
    <w:rsid w:val="00862CC1"/>
    <w:rsid w:val="00862E9E"/>
    <w:rsid w:val="008631B3"/>
    <w:rsid w:val="00863E73"/>
    <w:rsid w:val="008642A7"/>
    <w:rsid w:val="0086580B"/>
    <w:rsid w:val="008658CB"/>
    <w:rsid w:val="00865B02"/>
    <w:rsid w:val="00865EF0"/>
    <w:rsid w:val="008660D4"/>
    <w:rsid w:val="008665C9"/>
    <w:rsid w:val="00866811"/>
    <w:rsid w:val="00866832"/>
    <w:rsid w:val="008668D0"/>
    <w:rsid w:val="008675AF"/>
    <w:rsid w:val="0086794E"/>
    <w:rsid w:val="00871FA9"/>
    <w:rsid w:val="00872245"/>
    <w:rsid w:val="0087247E"/>
    <w:rsid w:val="008724F2"/>
    <w:rsid w:val="008728E9"/>
    <w:rsid w:val="00872929"/>
    <w:rsid w:val="008730FA"/>
    <w:rsid w:val="008731AD"/>
    <w:rsid w:val="00873F3F"/>
    <w:rsid w:val="008742F1"/>
    <w:rsid w:val="008743A0"/>
    <w:rsid w:val="00875084"/>
    <w:rsid w:val="0087555E"/>
    <w:rsid w:val="00876258"/>
    <w:rsid w:val="00876279"/>
    <w:rsid w:val="008764B0"/>
    <w:rsid w:val="008768DF"/>
    <w:rsid w:val="00876A10"/>
    <w:rsid w:val="00877477"/>
    <w:rsid w:val="0087756D"/>
    <w:rsid w:val="00877812"/>
    <w:rsid w:val="00880031"/>
    <w:rsid w:val="00880C89"/>
    <w:rsid w:val="00881275"/>
    <w:rsid w:val="0088182A"/>
    <w:rsid w:val="00881CA4"/>
    <w:rsid w:val="00882606"/>
    <w:rsid w:val="00882874"/>
    <w:rsid w:val="008828B1"/>
    <w:rsid w:val="008829D2"/>
    <w:rsid w:val="00882E3C"/>
    <w:rsid w:val="0088308A"/>
    <w:rsid w:val="00883592"/>
    <w:rsid w:val="0088366B"/>
    <w:rsid w:val="00883787"/>
    <w:rsid w:val="00883CDA"/>
    <w:rsid w:val="00883DBB"/>
    <w:rsid w:val="00884AAA"/>
    <w:rsid w:val="008854B8"/>
    <w:rsid w:val="008855E4"/>
    <w:rsid w:val="00886BF6"/>
    <w:rsid w:val="00886C90"/>
    <w:rsid w:val="00886CD2"/>
    <w:rsid w:val="00886DC4"/>
    <w:rsid w:val="00886E9E"/>
    <w:rsid w:val="008870E9"/>
    <w:rsid w:val="008871F2"/>
    <w:rsid w:val="008873E4"/>
    <w:rsid w:val="00887B4E"/>
    <w:rsid w:val="00890565"/>
    <w:rsid w:val="0089062D"/>
    <w:rsid w:val="008915D8"/>
    <w:rsid w:val="00891AF4"/>
    <w:rsid w:val="00891CA2"/>
    <w:rsid w:val="00891E6F"/>
    <w:rsid w:val="00891F35"/>
    <w:rsid w:val="0089202F"/>
    <w:rsid w:val="008920E6"/>
    <w:rsid w:val="008925AC"/>
    <w:rsid w:val="0089275D"/>
    <w:rsid w:val="00892A36"/>
    <w:rsid w:val="00893239"/>
    <w:rsid w:val="0089355B"/>
    <w:rsid w:val="00893D7E"/>
    <w:rsid w:val="00894103"/>
    <w:rsid w:val="0089420E"/>
    <w:rsid w:val="00894489"/>
    <w:rsid w:val="008944ED"/>
    <w:rsid w:val="00894CD6"/>
    <w:rsid w:val="00895205"/>
    <w:rsid w:val="00895368"/>
    <w:rsid w:val="00895A6C"/>
    <w:rsid w:val="008963A5"/>
    <w:rsid w:val="0089667D"/>
    <w:rsid w:val="00896717"/>
    <w:rsid w:val="0089687C"/>
    <w:rsid w:val="00896C32"/>
    <w:rsid w:val="00896D5D"/>
    <w:rsid w:val="00897829"/>
    <w:rsid w:val="00897AA4"/>
    <w:rsid w:val="008A08E2"/>
    <w:rsid w:val="008A11D2"/>
    <w:rsid w:val="008A16C4"/>
    <w:rsid w:val="008A17E2"/>
    <w:rsid w:val="008A1A3E"/>
    <w:rsid w:val="008A1D2A"/>
    <w:rsid w:val="008A20B1"/>
    <w:rsid w:val="008A21BC"/>
    <w:rsid w:val="008A24B8"/>
    <w:rsid w:val="008A256A"/>
    <w:rsid w:val="008A2796"/>
    <w:rsid w:val="008A29EA"/>
    <w:rsid w:val="008A2EAF"/>
    <w:rsid w:val="008A3025"/>
    <w:rsid w:val="008A3158"/>
    <w:rsid w:val="008A3234"/>
    <w:rsid w:val="008A3363"/>
    <w:rsid w:val="008A3371"/>
    <w:rsid w:val="008A3C3E"/>
    <w:rsid w:val="008A3D89"/>
    <w:rsid w:val="008A45C4"/>
    <w:rsid w:val="008A4B59"/>
    <w:rsid w:val="008A5C45"/>
    <w:rsid w:val="008A6A8C"/>
    <w:rsid w:val="008A6AA6"/>
    <w:rsid w:val="008A6DEB"/>
    <w:rsid w:val="008A76BB"/>
    <w:rsid w:val="008A79DE"/>
    <w:rsid w:val="008A7EC7"/>
    <w:rsid w:val="008B06EE"/>
    <w:rsid w:val="008B1475"/>
    <w:rsid w:val="008B16BE"/>
    <w:rsid w:val="008B1757"/>
    <w:rsid w:val="008B1C33"/>
    <w:rsid w:val="008B1E02"/>
    <w:rsid w:val="008B242E"/>
    <w:rsid w:val="008B28B3"/>
    <w:rsid w:val="008B2F0D"/>
    <w:rsid w:val="008B3A22"/>
    <w:rsid w:val="008B3A82"/>
    <w:rsid w:val="008B3D9B"/>
    <w:rsid w:val="008B4119"/>
    <w:rsid w:val="008B43E8"/>
    <w:rsid w:val="008B43FF"/>
    <w:rsid w:val="008B4B6F"/>
    <w:rsid w:val="008B6444"/>
    <w:rsid w:val="008B7992"/>
    <w:rsid w:val="008B7BE0"/>
    <w:rsid w:val="008B7D7E"/>
    <w:rsid w:val="008C05FA"/>
    <w:rsid w:val="008C07B5"/>
    <w:rsid w:val="008C0A35"/>
    <w:rsid w:val="008C0B07"/>
    <w:rsid w:val="008C0F39"/>
    <w:rsid w:val="008C13FB"/>
    <w:rsid w:val="008C2095"/>
    <w:rsid w:val="008C3B71"/>
    <w:rsid w:val="008C3EF1"/>
    <w:rsid w:val="008C448D"/>
    <w:rsid w:val="008C4541"/>
    <w:rsid w:val="008C4DAA"/>
    <w:rsid w:val="008C4F81"/>
    <w:rsid w:val="008C5610"/>
    <w:rsid w:val="008C565A"/>
    <w:rsid w:val="008C5739"/>
    <w:rsid w:val="008C58C3"/>
    <w:rsid w:val="008C5A0C"/>
    <w:rsid w:val="008C6398"/>
    <w:rsid w:val="008C6A51"/>
    <w:rsid w:val="008C6E06"/>
    <w:rsid w:val="008C7282"/>
    <w:rsid w:val="008C7D52"/>
    <w:rsid w:val="008C7ECB"/>
    <w:rsid w:val="008C7F98"/>
    <w:rsid w:val="008D080F"/>
    <w:rsid w:val="008D081C"/>
    <w:rsid w:val="008D0855"/>
    <w:rsid w:val="008D1221"/>
    <w:rsid w:val="008D13E9"/>
    <w:rsid w:val="008D1449"/>
    <w:rsid w:val="008D2048"/>
    <w:rsid w:val="008D356F"/>
    <w:rsid w:val="008D3B86"/>
    <w:rsid w:val="008D3F63"/>
    <w:rsid w:val="008D4088"/>
    <w:rsid w:val="008D43FD"/>
    <w:rsid w:val="008D4755"/>
    <w:rsid w:val="008D485C"/>
    <w:rsid w:val="008D4C3D"/>
    <w:rsid w:val="008D4E8B"/>
    <w:rsid w:val="008D5DC5"/>
    <w:rsid w:val="008D5FB2"/>
    <w:rsid w:val="008D62E1"/>
    <w:rsid w:val="008D70AC"/>
    <w:rsid w:val="008D728D"/>
    <w:rsid w:val="008D72F3"/>
    <w:rsid w:val="008D743C"/>
    <w:rsid w:val="008D7C5F"/>
    <w:rsid w:val="008E0A4E"/>
    <w:rsid w:val="008E0D3C"/>
    <w:rsid w:val="008E1655"/>
    <w:rsid w:val="008E1B9E"/>
    <w:rsid w:val="008E28D5"/>
    <w:rsid w:val="008E3DF0"/>
    <w:rsid w:val="008E49B5"/>
    <w:rsid w:val="008E4B63"/>
    <w:rsid w:val="008E5377"/>
    <w:rsid w:val="008E55AB"/>
    <w:rsid w:val="008E6324"/>
    <w:rsid w:val="008E63C0"/>
    <w:rsid w:val="008E6902"/>
    <w:rsid w:val="008E6B25"/>
    <w:rsid w:val="008E705A"/>
    <w:rsid w:val="008E751C"/>
    <w:rsid w:val="008E7C8E"/>
    <w:rsid w:val="008F079E"/>
    <w:rsid w:val="008F0E26"/>
    <w:rsid w:val="008F0ECF"/>
    <w:rsid w:val="008F120A"/>
    <w:rsid w:val="008F120C"/>
    <w:rsid w:val="008F155C"/>
    <w:rsid w:val="008F1B01"/>
    <w:rsid w:val="008F1B8F"/>
    <w:rsid w:val="008F1D1E"/>
    <w:rsid w:val="008F1E2E"/>
    <w:rsid w:val="008F1ED8"/>
    <w:rsid w:val="008F1F15"/>
    <w:rsid w:val="008F1F59"/>
    <w:rsid w:val="008F2152"/>
    <w:rsid w:val="008F24DF"/>
    <w:rsid w:val="008F27E0"/>
    <w:rsid w:val="008F2960"/>
    <w:rsid w:val="008F31EE"/>
    <w:rsid w:val="008F4166"/>
    <w:rsid w:val="008F43FA"/>
    <w:rsid w:val="008F4657"/>
    <w:rsid w:val="008F470B"/>
    <w:rsid w:val="008F48EB"/>
    <w:rsid w:val="008F4EFB"/>
    <w:rsid w:val="008F4F0B"/>
    <w:rsid w:val="008F6461"/>
    <w:rsid w:val="008F6EB6"/>
    <w:rsid w:val="008F6FFF"/>
    <w:rsid w:val="00900516"/>
    <w:rsid w:val="00900CB5"/>
    <w:rsid w:val="00900FB3"/>
    <w:rsid w:val="009018B9"/>
    <w:rsid w:val="00902789"/>
    <w:rsid w:val="00902AEC"/>
    <w:rsid w:val="00902F42"/>
    <w:rsid w:val="009036E5"/>
    <w:rsid w:val="009036F3"/>
    <w:rsid w:val="00903B9A"/>
    <w:rsid w:val="00903C45"/>
    <w:rsid w:val="00903F05"/>
    <w:rsid w:val="009040A5"/>
    <w:rsid w:val="0090416F"/>
    <w:rsid w:val="009046C4"/>
    <w:rsid w:val="00905707"/>
    <w:rsid w:val="009059F0"/>
    <w:rsid w:val="009062A5"/>
    <w:rsid w:val="009069E6"/>
    <w:rsid w:val="00906EC9"/>
    <w:rsid w:val="00907211"/>
    <w:rsid w:val="00907699"/>
    <w:rsid w:val="009100EB"/>
    <w:rsid w:val="0091068E"/>
    <w:rsid w:val="00910886"/>
    <w:rsid w:val="00910FA7"/>
    <w:rsid w:val="00911272"/>
    <w:rsid w:val="00911339"/>
    <w:rsid w:val="009119CC"/>
    <w:rsid w:val="00912607"/>
    <w:rsid w:val="00912C51"/>
    <w:rsid w:val="00912CE2"/>
    <w:rsid w:val="009135D6"/>
    <w:rsid w:val="00913689"/>
    <w:rsid w:val="009138C2"/>
    <w:rsid w:val="00914B2E"/>
    <w:rsid w:val="00914C77"/>
    <w:rsid w:val="00916A02"/>
    <w:rsid w:val="00917475"/>
    <w:rsid w:val="00917C2B"/>
    <w:rsid w:val="00917F0E"/>
    <w:rsid w:val="009200F7"/>
    <w:rsid w:val="00920289"/>
    <w:rsid w:val="00920E7F"/>
    <w:rsid w:val="00921A63"/>
    <w:rsid w:val="00921ACB"/>
    <w:rsid w:val="00922908"/>
    <w:rsid w:val="00922979"/>
    <w:rsid w:val="00922B5D"/>
    <w:rsid w:val="0092311C"/>
    <w:rsid w:val="00923309"/>
    <w:rsid w:val="0092369B"/>
    <w:rsid w:val="00923A3F"/>
    <w:rsid w:val="00924168"/>
    <w:rsid w:val="009248F3"/>
    <w:rsid w:val="00924D58"/>
    <w:rsid w:val="009259A9"/>
    <w:rsid w:val="009262DD"/>
    <w:rsid w:val="00926525"/>
    <w:rsid w:val="00926682"/>
    <w:rsid w:val="00926A9F"/>
    <w:rsid w:val="00926EE3"/>
    <w:rsid w:val="00930281"/>
    <w:rsid w:val="00930829"/>
    <w:rsid w:val="00930E68"/>
    <w:rsid w:val="00930FCB"/>
    <w:rsid w:val="00932528"/>
    <w:rsid w:val="009325A5"/>
    <w:rsid w:val="00932D1D"/>
    <w:rsid w:val="009331D6"/>
    <w:rsid w:val="009335A3"/>
    <w:rsid w:val="009336A5"/>
    <w:rsid w:val="00933D24"/>
    <w:rsid w:val="00933E40"/>
    <w:rsid w:val="0093401B"/>
    <w:rsid w:val="00934988"/>
    <w:rsid w:val="00934E56"/>
    <w:rsid w:val="009362CB"/>
    <w:rsid w:val="009367FA"/>
    <w:rsid w:val="00937089"/>
    <w:rsid w:val="009375E6"/>
    <w:rsid w:val="00937818"/>
    <w:rsid w:val="0093796D"/>
    <w:rsid w:val="00937B7D"/>
    <w:rsid w:val="00940C41"/>
    <w:rsid w:val="00940C74"/>
    <w:rsid w:val="00940F28"/>
    <w:rsid w:val="00941126"/>
    <w:rsid w:val="009413B6"/>
    <w:rsid w:val="00942559"/>
    <w:rsid w:val="009425BF"/>
    <w:rsid w:val="0094292F"/>
    <w:rsid w:val="00942A5E"/>
    <w:rsid w:val="009431C8"/>
    <w:rsid w:val="00943796"/>
    <w:rsid w:val="009438BC"/>
    <w:rsid w:val="00943B17"/>
    <w:rsid w:val="00943C21"/>
    <w:rsid w:val="00943CBA"/>
    <w:rsid w:val="00944022"/>
    <w:rsid w:val="009446A6"/>
    <w:rsid w:val="00944F8A"/>
    <w:rsid w:val="009454A2"/>
    <w:rsid w:val="0094561F"/>
    <w:rsid w:val="0094597A"/>
    <w:rsid w:val="0094646F"/>
    <w:rsid w:val="009472B2"/>
    <w:rsid w:val="009472ED"/>
    <w:rsid w:val="0094760D"/>
    <w:rsid w:val="00947F35"/>
    <w:rsid w:val="009510A2"/>
    <w:rsid w:val="0095132E"/>
    <w:rsid w:val="00951447"/>
    <w:rsid w:val="009517C5"/>
    <w:rsid w:val="00951C59"/>
    <w:rsid w:val="0095216F"/>
    <w:rsid w:val="009524AB"/>
    <w:rsid w:val="00952E35"/>
    <w:rsid w:val="009531C5"/>
    <w:rsid w:val="00953257"/>
    <w:rsid w:val="00953442"/>
    <w:rsid w:val="0095368B"/>
    <w:rsid w:val="00953B53"/>
    <w:rsid w:val="00954709"/>
    <w:rsid w:val="0095474C"/>
    <w:rsid w:val="00954C03"/>
    <w:rsid w:val="00954C23"/>
    <w:rsid w:val="00954DD3"/>
    <w:rsid w:val="009554BA"/>
    <w:rsid w:val="00955C28"/>
    <w:rsid w:val="00955CC7"/>
    <w:rsid w:val="00955DE0"/>
    <w:rsid w:val="00956F14"/>
    <w:rsid w:val="00957527"/>
    <w:rsid w:val="00957678"/>
    <w:rsid w:val="00957764"/>
    <w:rsid w:val="00957886"/>
    <w:rsid w:val="00957B92"/>
    <w:rsid w:val="00957CDF"/>
    <w:rsid w:val="00957D92"/>
    <w:rsid w:val="009604DF"/>
    <w:rsid w:val="00960A1A"/>
    <w:rsid w:val="009611A0"/>
    <w:rsid w:val="0096266F"/>
    <w:rsid w:val="00962CB9"/>
    <w:rsid w:val="00962EEF"/>
    <w:rsid w:val="009631E3"/>
    <w:rsid w:val="009635F0"/>
    <w:rsid w:val="00964016"/>
    <w:rsid w:val="009640ED"/>
    <w:rsid w:val="009642DE"/>
    <w:rsid w:val="00964312"/>
    <w:rsid w:val="00964332"/>
    <w:rsid w:val="00964DD6"/>
    <w:rsid w:val="009655FB"/>
    <w:rsid w:val="00965B8A"/>
    <w:rsid w:val="0096665C"/>
    <w:rsid w:val="009666B7"/>
    <w:rsid w:val="00966B24"/>
    <w:rsid w:val="009677DB"/>
    <w:rsid w:val="0096787D"/>
    <w:rsid w:val="00967AA7"/>
    <w:rsid w:val="009701EF"/>
    <w:rsid w:val="00970427"/>
    <w:rsid w:val="0097053A"/>
    <w:rsid w:val="00970694"/>
    <w:rsid w:val="0097071F"/>
    <w:rsid w:val="009707EF"/>
    <w:rsid w:val="009708A0"/>
    <w:rsid w:val="009709FE"/>
    <w:rsid w:val="009717AC"/>
    <w:rsid w:val="0097211B"/>
    <w:rsid w:val="009725EA"/>
    <w:rsid w:val="00972D33"/>
    <w:rsid w:val="00973238"/>
    <w:rsid w:val="00973E68"/>
    <w:rsid w:val="009740E3"/>
    <w:rsid w:val="00974125"/>
    <w:rsid w:val="009743BE"/>
    <w:rsid w:val="00974983"/>
    <w:rsid w:val="009751C1"/>
    <w:rsid w:val="009752C3"/>
    <w:rsid w:val="00975306"/>
    <w:rsid w:val="0097534A"/>
    <w:rsid w:val="00975FC1"/>
    <w:rsid w:val="0097655F"/>
    <w:rsid w:val="0097705C"/>
    <w:rsid w:val="00977B6A"/>
    <w:rsid w:val="00980034"/>
    <w:rsid w:val="009800C0"/>
    <w:rsid w:val="00980AE6"/>
    <w:rsid w:val="009811F1"/>
    <w:rsid w:val="00981865"/>
    <w:rsid w:val="00981DB6"/>
    <w:rsid w:val="00982090"/>
    <w:rsid w:val="009821D7"/>
    <w:rsid w:val="0098246F"/>
    <w:rsid w:val="0098262F"/>
    <w:rsid w:val="00982AB7"/>
    <w:rsid w:val="00982F98"/>
    <w:rsid w:val="009830BA"/>
    <w:rsid w:val="00983872"/>
    <w:rsid w:val="00983951"/>
    <w:rsid w:val="00983B0D"/>
    <w:rsid w:val="00983E57"/>
    <w:rsid w:val="00984221"/>
    <w:rsid w:val="00984612"/>
    <w:rsid w:val="00984BAF"/>
    <w:rsid w:val="00984F35"/>
    <w:rsid w:val="00985064"/>
    <w:rsid w:val="009850A7"/>
    <w:rsid w:val="00985186"/>
    <w:rsid w:val="009852B7"/>
    <w:rsid w:val="00985575"/>
    <w:rsid w:val="00985DE2"/>
    <w:rsid w:val="00986735"/>
    <w:rsid w:val="0098675D"/>
    <w:rsid w:val="009870B9"/>
    <w:rsid w:val="00987BA4"/>
    <w:rsid w:val="00987C80"/>
    <w:rsid w:val="0099240F"/>
    <w:rsid w:val="00992532"/>
    <w:rsid w:val="009926E0"/>
    <w:rsid w:val="00992953"/>
    <w:rsid w:val="00992B9D"/>
    <w:rsid w:val="00993038"/>
    <w:rsid w:val="009932BF"/>
    <w:rsid w:val="00993B56"/>
    <w:rsid w:val="00993DC8"/>
    <w:rsid w:val="00994415"/>
    <w:rsid w:val="0099451E"/>
    <w:rsid w:val="0099474E"/>
    <w:rsid w:val="00994750"/>
    <w:rsid w:val="00994C67"/>
    <w:rsid w:val="00994D83"/>
    <w:rsid w:val="009952B1"/>
    <w:rsid w:val="00995A46"/>
    <w:rsid w:val="00995BD6"/>
    <w:rsid w:val="009965EC"/>
    <w:rsid w:val="009967BE"/>
    <w:rsid w:val="00996B1A"/>
    <w:rsid w:val="0099770D"/>
    <w:rsid w:val="00997A83"/>
    <w:rsid w:val="00997F6F"/>
    <w:rsid w:val="009A05B1"/>
    <w:rsid w:val="009A0969"/>
    <w:rsid w:val="009A0D6D"/>
    <w:rsid w:val="009A1203"/>
    <w:rsid w:val="009A1457"/>
    <w:rsid w:val="009A150F"/>
    <w:rsid w:val="009A18F6"/>
    <w:rsid w:val="009A1D36"/>
    <w:rsid w:val="009A2383"/>
    <w:rsid w:val="009A2A1E"/>
    <w:rsid w:val="009A2DCC"/>
    <w:rsid w:val="009A3A67"/>
    <w:rsid w:val="009A4144"/>
    <w:rsid w:val="009A4516"/>
    <w:rsid w:val="009A4DFA"/>
    <w:rsid w:val="009A4EE3"/>
    <w:rsid w:val="009A53B2"/>
    <w:rsid w:val="009A5ABC"/>
    <w:rsid w:val="009A5E8E"/>
    <w:rsid w:val="009A5FD2"/>
    <w:rsid w:val="009A638C"/>
    <w:rsid w:val="009A65E1"/>
    <w:rsid w:val="009A6994"/>
    <w:rsid w:val="009A6C20"/>
    <w:rsid w:val="009A7F10"/>
    <w:rsid w:val="009B01C6"/>
    <w:rsid w:val="009B0398"/>
    <w:rsid w:val="009B0636"/>
    <w:rsid w:val="009B12F1"/>
    <w:rsid w:val="009B18E9"/>
    <w:rsid w:val="009B2282"/>
    <w:rsid w:val="009B22F4"/>
    <w:rsid w:val="009B29C3"/>
    <w:rsid w:val="009B2C65"/>
    <w:rsid w:val="009B321A"/>
    <w:rsid w:val="009B3522"/>
    <w:rsid w:val="009B3E26"/>
    <w:rsid w:val="009B4406"/>
    <w:rsid w:val="009B4809"/>
    <w:rsid w:val="009B4D98"/>
    <w:rsid w:val="009B54C7"/>
    <w:rsid w:val="009B611F"/>
    <w:rsid w:val="009B6351"/>
    <w:rsid w:val="009B7751"/>
    <w:rsid w:val="009B78E7"/>
    <w:rsid w:val="009C01EA"/>
    <w:rsid w:val="009C0564"/>
    <w:rsid w:val="009C0E53"/>
    <w:rsid w:val="009C104D"/>
    <w:rsid w:val="009C1120"/>
    <w:rsid w:val="009C1271"/>
    <w:rsid w:val="009C1C9E"/>
    <w:rsid w:val="009C2290"/>
    <w:rsid w:val="009C2B1D"/>
    <w:rsid w:val="009C2BCD"/>
    <w:rsid w:val="009C3546"/>
    <w:rsid w:val="009C3706"/>
    <w:rsid w:val="009C3A3A"/>
    <w:rsid w:val="009C4012"/>
    <w:rsid w:val="009C426B"/>
    <w:rsid w:val="009C443B"/>
    <w:rsid w:val="009C452F"/>
    <w:rsid w:val="009C4E68"/>
    <w:rsid w:val="009C52D2"/>
    <w:rsid w:val="009C5CA4"/>
    <w:rsid w:val="009C5D58"/>
    <w:rsid w:val="009C6A5A"/>
    <w:rsid w:val="009C6CEA"/>
    <w:rsid w:val="009C6E4F"/>
    <w:rsid w:val="009C732D"/>
    <w:rsid w:val="009C7B85"/>
    <w:rsid w:val="009D0254"/>
    <w:rsid w:val="009D044A"/>
    <w:rsid w:val="009D0BF7"/>
    <w:rsid w:val="009D117B"/>
    <w:rsid w:val="009D1264"/>
    <w:rsid w:val="009D1721"/>
    <w:rsid w:val="009D1A64"/>
    <w:rsid w:val="009D1D53"/>
    <w:rsid w:val="009D3D3A"/>
    <w:rsid w:val="009D3E32"/>
    <w:rsid w:val="009D4474"/>
    <w:rsid w:val="009D4868"/>
    <w:rsid w:val="009D4B01"/>
    <w:rsid w:val="009D4E42"/>
    <w:rsid w:val="009D4F37"/>
    <w:rsid w:val="009D56CB"/>
    <w:rsid w:val="009D58FC"/>
    <w:rsid w:val="009D5B91"/>
    <w:rsid w:val="009D640C"/>
    <w:rsid w:val="009D705E"/>
    <w:rsid w:val="009D70A2"/>
    <w:rsid w:val="009D7159"/>
    <w:rsid w:val="009D792E"/>
    <w:rsid w:val="009E0453"/>
    <w:rsid w:val="009E0DFE"/>
    <w:rsid w:val="009E19E5"/>
    <w:rsid w:val="009E1CD8"/>
    <w:rsid w:val="009E1EA3"/>
    <w:rsid w:val="009E2221"/>
    <w:rsid w:val="009E31F6"/>
    <w:rsid w:val="009E3436"/>
    <w:rsid w:val="009E398B"/>
    <w:rsid w:val="009E39D5"/>
    <w:rsid w:val="009E3A26"/>
    <w:rsid w:val="009E44B8"/>
    <w:rsid w:val="009E4511"/>
    <w:rsid w:val="009E451D"/>
    <w:rsid w:val="009E4679"/>
    <w:rsid w:val="009E49AC"/>
    <w:rsid w:val="009E4C07"/>
    <w:rsid w:val="009E5136"/>
    <w:rsid w:val="009E586F"/>
    <w:rsid w:val="009E5A09"/>
    <w:rsid w:val="009E777F"/>
    <w:rsid w:val="009E7B30"/>
    <w:rsid w:val="009F0258"/>
    <w:rsid w:val="009F127D"/>
    <w:rsid w:val="009F135A"/>
    <w:rsid w:val="009F1A16"/>
    <w:rsid w:val="009F2913"/>
    <w:rsid w:val="009F2953"/>
    <w:rsid w:val="009F2ACF"/>
    <w:rsid w:val="009F338F"/>
    <w:rsid w:val="009F35E4"/>
    <w:rsid w:val="009F46B1"/>
    <w:rsid w:val="009F4958"/>
    <w:rsid w:val="009F4B14"/>
    <w:rsid w:val="009F57B6"/>
    <w:rsid w:val="009F5CE5"/>
    <w:rsid w:val="009F6120"/>
    <w:rsid w:val="009F6364"/>
    <w:rsid w:val="009F68D7"/>
    <w:rsid w:val="009F71A6"/>
    <w:rsid w:val="009F78A3"/>
    <w:rsid w:val="00A002CB"/>
    <w:rsid w:val="00A005EC"/>
    <w:rsid w:val="00A00D76"/>
    <w:rsid w:val="00A00E4B"/>
    <w:rsid w:val="00A01184"/>
    <w:rsid w:val="00A013E6"/>
    <w:rsid w:val="00A013F4"/>
    <w:rsid w:val="00A01449"/>
    <w:rsid w:val="00A01DCA"/>
    <w:rsid w:val="00A02109"/>
    <w:rsid w:val="00A02E41"/>
    <w:rsid w:val="00A0323C"/>
    <w:rsid w:val="00A03784"/>
    <w:rsid w:val="00A037C2"/>
    <w:rsid w:val="00A0380E"/>
    <w:rsid w:val="00A03D43"/>
    <w:rsid w:val="00A04380"/>
    <w:rsid w:val="00A04413"/>
    <w:rsid w:val="00A046EC"/>
    <w:rsid w:val="00A04786"/>
    <w:rsid w:val="00A05450"/>
    <w:rsid w:val="00A05472"/>
    <w:rsid w:val="00A05C32"/>
    <w:rsid w:val="00A06121"/>
    <w:rsid w:val="00A0653F"/>
    <w:rsid w:val="00A0692B"/>
    <w:rsid w:val="00A06E3F"/>
    <w:rsid w:val="00A06EE2"/>
    <w:rsid w:val="00A07925"/>
    <w:rsid w:val="00A10D72"/>
    <w:rsid w:val="00A10F4E"/>
    <w:rsid w:val="00A111AB"/>
    <w:rsid w:val="00A11CD0"/>
    <w:rsid w:val="00A11E1E"/>
    <w:rsid w:val="00A123FB"/>
    <w:rsid w:val="00A12833"/>
    <w:rsid w:val="00A132F4"/>
    <w:rsid w:val="00A132FB"/>
    <w:rsid w:val="00A13948"/>
    <w:rsid w:val="00A15012"/>
    <w:rsid w:val="00A15116"/>
    <w:rsid w:val="00A1528E"/>
    <w:rsid w:val="00A15422"/>
    <w:rsid w:val="00A1555B"/>
    <w:rsid w:val="00A155C5"/>
    <w:rsid w:val="00A15DBA"/>
    <w:rsid w:val="00A16411"/>
    <w:rsid w:val="00A16AD8"/>
    <w:rsid w:val="00A16C03"/>
    <w:rsid w:val="00A16E8C"/>
    <w:rsid w:val="00A16F4C"/>
    <w:rsid w:val="00A17952"/>
    <w:rsid w:val="00A20185"/>
    <w:rsid w:val="00A2021E"/>
    <w:rsid w:val="00A21C36"/>
    <w:rsid w:val="00A21C95"/>
    <w:rsid w:val="00A21CF3"/>
    <w:rsid w:val="00A22223"/>
    <w:rsid w:val="00A229EE"/>
    <w:rsid w:val="00A230BE"/>
    <w:rsid w:val="00A2327F"/>
    <w:rsid w:val="00A233F8"/>
    <w:rsid w:val="00A234D1"/>
    <w:rsid w:val="00A2385C"/>
    <w:rsid w:val="00A23F71"/>
    <w:rsid w:val="00A23FDD"/>
    <w:rsid w:val="00A24813"/>
    <w:rsid w:val="00A24868"/>
    <w:rsid w:val="00A24893"/>
    <w:rsid w:val="00A24CC4"/>
    <w:rsid w:val="00A24DA7"/>
    <w:rsid w:val="00A2536C"/>
    <w:rsid w:val="00A256BA"/>
    <w:rsid w:val="00A25F7A"/>
    <w:rsid w:val="00A26B3E"/>
    <w:rsid w:val="00A27309"/>
    <w:rsid w:val="00A279F8"/>
    <w:rsid w:val="00A27A54"/>
    <w:rsid w:val="00A27AE7"/>
    <w:rsid w:val="00A27AEC"/>
    <w:rsid w:val="00A30B24"/>
    <w:rsid w:val="00A31182"/>
    <w:rsid w:val="00A313E7"/>
    <w:rsid w:val="00A3165D"/>
    <w:rsid w:val="00A31F4D"/>
    <w:rsid w:val="00A31FF3"/>
    <w:rsid w:val="00A320DB"/>
    <w:rsid w:val="00A322DB"/>
    <w:rsid w:val="00A33B7E"/>
    <w:rsid w:val="00A33BBA"/>
    <w:rsid w:val="00A34502"/>
    <w:rsid w:val="00A3468E"/>
    <w:rsid w:val="00A34C49"/>
    <w:rsid w:val="00A3554B"/>
    <w:rsid w:val="00A3597A"/>
    <w:rsid w:val="00A35D16"/>
    <w:rsid w:val="00A3610D"/>
    <w:rsid w:val="00A36332"/>
    <w:rsid w:val="00A37125"/>
    <w:rsid w:val="00A3728C"/>
    <w:rsid w:val="00A374A9"/>
    <w:rsid w:val="00A37B65"/>
    <w:rsid w:val="00A37BCD"/>
    <w:rsid w:val="00A37C25"/>
    <w:rsid w:val="00A37C76"/>
    <w:rsid w:val="00A407FA"/>
    <w:rsid w:val="00A4096E"/>
    <w:rsid w:val="00A40B07"/>
    <w:rsid w:val="00A41689"/>
    <w:rsid w:val="00A41713"/>
    <w:rsid w:val="00A41E0C"/>
    <w:rsid w:val="00A41FF0"/>
    <w:rsid w:val="00A42222"/>
    <w:rsid w:val="00A422AD"/>
    <w:rsid w:val="00A42592"/>
    <w:rsid w:val="00A42714"/>
    <w:rsid w:val="00A4274D"/>
    <w:rsid w:val="00A42F45"/>
    <w:rsid w:val="00A42FE4"/>
    <w:rsid w:val="00A43171"/>
    <w:rsid w:val="00A43C59"/>
    <w:rsid w:val="00A43EE4"/>
    <w:rsid w:val="00A43F46"/>
    <w:rsid w:val="00A43FB0"/>
    <w:rsid w:val="00A44303"/>
    <w:rsid w:val="00A45655"/>
    <w:rsid w:val="00A45658"/>
    <w:rsid w:val="00A45F0F"/>
    <w:rsid w:val="00A464ED"/>
    <w:rsid w:val="00A46808"/>
    <w:rsid w:val="00A46F91"/>
    <w:rsid w:val="00A473B0"/>
    <w:rsid w:val="00A50D52"/>
    <w:rsid w:val="00A50ECD"/>
    <w:rsid w:val="00A518F3"/>
    <w:rsid w:val="00A51C91"/>
    <w:rsid w:val="00A52729"/>
    <w:rsid w:val="00A5273B"/>
    <w:rsid w:val="00A52C44"/>
    <w:rsid w:val="00A52FFD"/>
    <w:rsid w:val="00A53016"/>
    <w:rsid w:val="00A53675"/>
    <w:rsid w:val="00A5403A"/>
    <w:rsid w:val="00A54048"/>
    <w:rsid w:val="00A54103"/>
    <w:rsid w:val="00A54110"/>
    <w:rsid w:val="00A54C47"/>
    <w:rsid w:val="00A55681"/>
    <w:rsid w:val="00A55D82"/>
    <w:rsid w:val="00A564D7"/>
    <w:rsid w:val="00A56B6A"/>
    <w:rsid w:val="00A56CCC"/>
    <w:rsid w:val="00A578DC"/>
    <w:rsid w:val="00A6002C"/>
    <w:rsid w:val="00A60085"/>
    <w:rsid w:val="00A60517"/>
    <w:rsid w:val="00A6064A"/>
    <w:rsid w:val="00A606BB"/>
    <w:rsid w:val="00A60894"/>
    <w:rsid w:val="00A60A0A"/>
    <w:rsid w:val="00A60DD6"/>
    <w:rsid w:val="00A61E44"/>
    <w:rsid w:val="00A62002"/>
    <w:rsid w:val="00A626AA"/>
    <w:rsid w:val="00A629E7"/>
    <w:rsid w:val="00A62DC4"/>
    <w:rsid w:val="00A63431"/>
    <w:rsid w:val="00A6377C"/>
    <w:rsid w:val="00A638CC"/>
    <w:rsid w:val="00A640E2"/>
    <w:rsid w:val="00A64352"/>
    <w:rsid w:val="00A648BD"/>
    <w:rsid w:val="00A64C11"/>
    <w:rsid w:val="00A64D65"/>
    <w:rsid w:val="00A64E5D"/>
    <w:rsid w:val="00A64EE7"/>
    <w:rsid w:val="00A651B9"/>
    <w:rsid w:val="00A65CB4"/>
    <w:rsid w:val="00A66066"/>
    <w:rsid w:val="00A660F8"/>
    <w:rsid w:val="00A663C9"/>
    <w:rsid w:val="00A66DDB"/>
    <w:rsid w:val="00A670F6"/>
    <w:rsid w:val="00A6725B"/>
    <w:rsid w:val="00A677E4"/>
    <w:rsid w:val="00A67931"/>
    <w:rsid w:val="00A700A0"/>
    <w:rsid w:val="00A70519"/>
    <w:rsid w:val="00A70605"/>
    <w:rsid w:val="00A7061A"/>
    <w:rsid w:val="00A70E99"/>
    <w:rsid w:val="00A7135E"/>
    <w:rsid w:val="00A71477"/>
    <w:rsid w:val="00A72495"/>
    <w:rsid w:val="00A724A0"/>
    <w:rsid w:val="00A73134"/>
    <w:rsid w:val="00A7365A"/>
    <w:rsid w:val="00A736EC"/>
    <w:rsid w:val="00A7377E"/>
    <w:rsid w:val="00A737BC"/>
    <w:rsid w:val="00A75077"/>
    <w:rsid w:val="00A76001"/>
    <w:rsid w:val="00A76E60"/>
    <w:rsid w:val="00A7708A"/>
    <w:rsid w:val="00A77793"/>
    <w:rsid w:val="00A777B2"/>
    <w:rsid w:val="00A8012F"/>
    <w:rsid w:val="00A808AB"/>
    <w:rsid w:val="00A80B4D"/>
    <w:rsid w:val="00A813A1"/>
    <w:rsid w:val="00A81A7F"/>
    <w:rsid w:val="00A82161"/>
    <w:rsid w:val="00A825D4"/>
    <w:rsid w:val="00A828F6"/>
    <w:rsid w:val="00A82AE4"/>
    <w:rsid w:val="00A82B73"/>
    <w:rsid w:val="00A835E7"/>
    <w:rsid w:val="00A83FB4"/>
    <w:rsid w:val="00A84A72"/>
    <w:rsid w:val="00A852FB"/>
    <w:rsid w:val="00A854FF"/>
    <w:rsid w:val="00A85BA5"/>
    <w:rsid w:val="00A85D08"/>
    <w:rsid w:val="00A8649D"/>
    <w:rsid w:val="00A8651A"/>
    <w:rsid w:val="00A86B76"/>
    <w:rsid w:val="00A86E8B"/>
    <w:rsid w:val="00A87164"/>
    <w:rsid w:val="00A871A9"/>
    <w:rsid w:val="00A87434"/>
    <w:rsid w:val="00A87533"/>
    <w:rsid w:val="00A8776B"/>
    <w:rsid w:val="00A87FE4"/>
    <w:rsid w:val="00A905A2"/>
    <w:rsid w:val="00A9065D"/>
    <w:rsid w:val="00A90F5B"/>
    <w:rsid w:val="00A90FE5"/>
    <w:rsid w:val="00A912CA"/>
    <w:rsid w:val="00A91BE6"/>
    <w:rsid w:val="00A91F5E"/>
    <w:rsid w:val="00A93072"/>
    <w:rsid w:val="00A93333"/>
    <w:rsid w:val="00A938BD"/>
    <w:rsid w:val="00A93953"/>
    <w:rsid w:val="00A93CB3"/>
    <w:rsid w:val="00A93E2D"/>
    <w:rsid w:val="00A94897"/>
    <w:rsid w:val="00A94C82"/>
    <w:rsid w:val="00A94F99"/>
    <w:rsid w:val="00A959D8"/>
    <w:rsid w:val="00A962B9"/>
    <w:rsid w:val="00A96AE9"/>
    <w:rsid w:val="00A971F9"/>
    <w:rsid w:val="00AA061A"/>
    <w:rsid w:val="00AA07D8"/>
    <w:rsid w:val="00AA0FE4"/>
    <w:rsid w:val="00AA113D"/>
    <w:rsid w:val="00AA1BBA"/>
    <w:rsid w:val="00AA2935"/>
    <w:rsid w:val="00AA2ECB"/>
    <w:rsid w:val="00AA3F07"/>
    <w:rsid w:val="00AA3FEA"/>
    <w:rsid w:val="00AA40C6"/>
    <w:rsid w:val="00AA4203"/>
    <w:rsid w:val="00AA4403"/>
    <w:rsid w:val="00AA44B6"/>
    <w:rsid w:val="00AA457B"/>
    <w:rsid w:val="00AA49DB"/>
    <w:rsid w:val="00AA4CB9"/>
    <w:rsid w:val="00AA6653"/>
    <w:rsid w:val="00AA6866"/>
    <w:rsid w:val="00AA6BD5"/>
    <w:rsid w:val="00AA6BD8"/>
    <w:rsid w:val="00AA6C7D"/>
    <w:rsid w:val="00AA737D"/>
    <w:rsid w:val="00AA763F"/>
    <w:rsid w:val="00AA76DD"/>
    <w:rsid w:val="00AA7703"/>
    <w:rsid w:val="00AA7ABD"/>
    <w:rsid w:val="00AA7FD6"/>
    <w:rsid w:val="00AB042A"/>
    <w:rsid w:val="00AB06C2"/>
    <w:rsid w:val="00AB11AD"/>
    <w:rsid w:val="00AB12E6"/>
    <w:rsid w:val="00AB19EF"/>
    <w:rsid w:val="00AB1A2C"/>
    <w:rsid w:val="00AB2206"/>
    <w:rsid w:val="00AB2495"/>
    <w:rsid w:val="00AB260F"/>
    <w:rsid w:val="00AB2B24"/>
    <w:rsid w:val="00AB2B63"/>
    <w:rsid w:val="00AB2D34"/>
    <w:rsid w:val="00AB3163"/>
    <w:rsid w:val="00AB32F7"/>
    <w:rsid w:val="00AB3430"/>
    <w:rsid w:val="00AB368D"/>
    <w:rsid w:val="00AB37B9"/>
    <w:rsid w:val="00AB4AD1"/>
    <w:rsid w:val="00AB4FC4"/>
    <w:rsid w:val="00AB510C"/>
    <w:rsid w:val="00AB5410"/>
    <w:rsid w:val="00AB5E07"/>
    <w:rsid w:val="00AB618C"/>
    <w:rsid w:val="00AB6A83"/>
    <w:rsid w:val="00AB6C73"/>
    <w:rsid w:val="00AB6DB3"/>
    <w:rsid w:val="00AB72A0"/>
    <w:rsid w:val="00AB74C5"/>
    <w:rsid w:val="00AB7CE4"/>
    <w:rsid w:val="00AB7CFA"/>
    <w:rsid w:val="00AB7F5F"/>
    <w:rsid w:val="00AC0186"/>
    <w:rsid w:val="00AC01AD"/>
    <w:rsid w:val="00AC0A2B"/>
    <w:rsid w:val="00AC102F"/>
    <w:rsid w:val="00AC1036"/>
    <w:rsid w:val="00AC1A31"/>
    <w:rsid w:val="00AC1C4D"/>
    <w:rsid w:val="00AC2041"/>
    <w:rsid w:val="00AC209A"/>
    <w:rsid w:val="00AC20C4"/>
    <w:rsid w:val="00AC26C4"/>
    <w:rsid w:val="00AC2B1E"/>
    <w:rsid w:val="00AC4576"/>
    <w:rsid w:val="00AC459C"/>
    <w:rsid w:val="00AC45C8"/>
    <w:rsid w:val="00AC45FE"/>
    <w:rsid w:val="00AC467B"/>
    <w:rsid w:val="00AC4B4E"/>
    <w:rsid w:val="00AC4BDD"/>
    <w:rsid w:val="00AC4EB1"/>
    <w:rsid w:val="00AC57A0"/>
    <w:rsid w:val="00AC5B42"/>
    <w:rsid w:val="00AC5B48"/>
    <w:rsid w:val="00AC61C5"/>
    <w:rsid w:val="00AC707B"/>
    <w:rsid w:val="00AD028C"/>
    <w:rsid w:val="00AD089C"/>
    <w:rsid w:val="00AD0C31"/>
    <w:rsid w:val="00AD0CC1"/>
    <w:rsid w:val="00AD0E19"/>
    <w:rsid w:val="00AD1231"/>
    <w:rsid w:val="00AD1450"/>
    <w:rsid w:val="00AD15E8"/>
    <w:rsid w:val="00AD163F"/>
    <w:rsid w:val="00AD1CA0"/>
    <w:rsid w:val="00AD1EA2"/>
    <w:rsid w:val="00AD24C0"/>
    <w:rsid w:val="00AD268B"/>
    <w:rsid w:val="00AD32BD"/>
    <w:rsid w:val="00AD356D"/>
    <w:rsid w:val="00AD429D"/>
    <w:rsid w:val="00AD44A3"/>
    <w:rsid w:val="00AD4795"/>
    <w:rsid w:val="00AD4AA4"/>
    <w:rsid w:val="00AD4BBD"/>
    <w:rsid w:val="00AD57F7"/>
    <w:rsid w:val="00AD5A04"/>
    <w:rsid w:val="00AD5A37"/>
    <w:rsid w:val="00AD641C"/>
    <w:rsid w:val="00AD6502"/>
    <w:rsid w:val="00AD66D1"/>
    <w:rsid w:val="00AD7223"/>
    <w:rsid w:val="00AD782E"/>
    <w:rsid w:val="00AD7942"/>
    <w:rsid w:val="00AE052F"/>
    <w:rsid w:val="00AE0695"/>
    <w:rsid w:val="00AE14C2"/>
    <w:rsid w:val="00AE1A77"/>
    <w:rsid w:val="00AE2169"/>
    <w:rsid w:val="00AE29A8"/>
    <w:rsid w:val="00AE3762"/>
    <w:rsid w:val="00AE3D83"/>
    <w:rsid w:val="00AE3E7E"/>
    <w:rsid w:val="00AE3F59"/>
    <w:rsid w:val="00AE434B"/>
    <w:rsid w:val="00AE477D"/>
    <w:rsid w:val="00AE4B02"/>
    <w:rsid w:val="00AE4DCF"/>
    <w:rsid w:val="00AE5070"/>
    <w:rsid w:val="00AE51C2"/>
    <w:rsid w:val="00AE526E"/>
    <w:rsid w:val="00AE5294"/>
    <w:rsid w:val="00AE56B2"/>
    <w:rsid w:val="00AE586F"/>
    <w:rsid w:val="00AE5D8A"/>
    <w:rsid w:val="00AE6BDA"/>
    <w:rsid w:val="00AE6F66"/>
    <w:rsid w:val="00AE705E"/>
    <w:rsid w:val="00AE79E1"/>
    <w:rsid w:val="00AE7E53"/>
    <w:rsid w:val="00AE7EE0"/>
    <w:rsid w:val="00AF011F"/>
    <w:rsid w:val="00AF0269"/>
    <w:rsid w:val="00AF0395"/>
    <w:rsid w:val="00AF03AC"/>
    <w:rsid w:val="00AF0D43"/>
    <w:rsid w:val="00AF1315"/>
    <w:rsid w:val="00AF14FF"/>
    <w:rsid w:val="00AF1674"/>
    <w:rsid w:val="00AF19BF"/>
    <w:rsid w:val="00AF1B29"/>
    <w:rsid w:val="00AF1BF3"/>
    <w:rsid w:val="00AF1DA4"/>
    <w:rsid w:val="00AF205E"/>
    <w:rsid w:val="00AF2CCF"/>
    <w:rsid w:val="00AF2DC3"/>
    <w:rsid w:val="00AF5445"/>
    <w:rsid w:val="00AF572F"/>
    <w:rsid w:val="00AF71CB"/>
    <w:rsid w:val="00AF7914"/>
    <w:rsid w:val="00B0173D"/>
    <w:rsid w:val="00B01F97"/>
    <w:rsid w:val="00B02B9A"/>
    <w:rsid w:val="00B02D1C"/>
    <w:rsid w:val="00B0334C"/>
    <w:rsid w:val="00B033E5"/>
    <w:rsid w:val="00B03938"/>
    <w:rsid w:val="00B03A63"/>
    <w:rsid w:val="00B03F3D"/>
    <w:rsid w:val="00B04563"/>
    <w:rsid w:val="00B05798"/>
    <w:rsid w:val="00B05F3E"/>
    <w:rsid w:val="00B06241"/>
    <w:rsid w:val="00B06A35"/>
    <w:rsid w:val="00B06B75"/>
    <w:rsid w:val="00B06C84"/>
    <w:rsid w:val="00B0770C"/>
    <w:rsid w:val="00B078FD"/>
    <w:rsid w:val="00B07FF9"/>
    <w:rsid w:val="00B10652"/>
    <w:rsid w:val="00B10776"/>
    <w:rsid w:val="00B114B7"/>
    <w:rsid w:val="00B119B7"/>
    <w:rsid w:val="00B11DA0"/>
    <w:rsid w:val="00B120B3"/>
    <w:rsid w:val="00B129A4"/>
    <w:rsid w:val="00B1320F"/>
    <w:rsid w:val="00B13AB7"/>
    <w:rsid w:val="00B13D8C"/>
    <w:rsid w:val="00B141F2"/>
    <w:rsid w:val="00B143C9"/>
    <w:rsid w:val="00B14650"/>
    <w:rsid w:val="00B14845"/>
    <w:rsid w:val="00B14BD2"/>
    <w:rsid w:val="00B14C73"/>
    <w:rsid w:val="00B14F2A"/>
    <w:rsid w:val="00B15185"/>
    <w:rsid w:val="00B15DCD"/>
    <w:rsid w:val="00B15EF8"/>
    <w:rsid w:val="00B15F0C"/>
    <w:rsid w:val="00B16A62"/>
    <w:rsid w:val="00B16AB4"/>
    <w:rsid w:val="00B201A4"/>
    <w:rsid w:val="00B201D1"/>
    <w:rsid w:val="00B206CD"/>
    <w:rsid w:val="00B20838"/>
    <w:rsid w:val="00B20F26"/>
    <w:rsid w:val="00B211F1"/>
    <w:rsid w:val="00B213A6"/>
    <w:rsid w:val="00B213E1"/>
    <w:rsid w:val="00B21B69"/>
    <w:rsid w:val="00B2253A"/>
    <w:rsid w:val="00B22711"/>
    <w:rsid w:val="00B22F5B"/>
    <w:rsid w:val="00B22F61"/>
    <w:rsid w:val="00B231B5"/>
    <w:rsid w:val="00B233DC"/>
    <w:rsid w:val="00B235B0"/>
    <w:rsid w:val="00B23BF4"/>
    <w:rsid w:val="00B23E2F"/>
    <w:rsid w:val="00B23E8F"/>
    <w:rsid w:val="00B23EAE"/>
    <w:rsid w:val="00B24037"/>
    <w:rsid w:val="00B24DF6"/>
    <w:rsid w:val="00B25A5F"/>
    <w:rsid w:val="00B25B71"/>
    <w:rsid w:val="00B265FD"/>
    <w:rsid w:val="00B269C5"/>
    <w:rsid w:val="00B26B6F"/>
    <w:rsid w:val="00B27163"/>
    <w:rsid w:val="00B27A61"/>
    <w:rsid w:val="00B27C08"/>
    <w:rsid w:val="00B27E54"/>
    <w:rsid w:val="00B300CA"/>
    <w:rsid w:val="00B30A4E"/>
    <w:rsid w:val="00B30F7B"/>
    <w:rsid w:val="00B3106B"/>
    <w:rsid w:val="00B3107B"/>
    <w:rsid w:val="00B315D0"/>
    <w:rsid w:val="00B31E79"/>
    <w:rsid w:val="00B324E7"/>
    <w:rsid w:val="00B325AA"/>
    <w:rsid w:val="00B32C36"/>
    <w:rsid w:val="00B330BE"/>
    <w:rsid w:val="00B33ADA"/>
    <w:rsid w:val="00B33FB6"/>
    <w:rsid w:val="00B34603"/>
    <w:rsid w:val="00B34C7E"/>
    <w:rsid w:val="00B34FE2"/>
    <w:rsid w:val="00B35166"/>
    <w:rsid w:val="00B357D8"/>
    <w:rsid w:val="00B35E8C"/>
    <w:rsid w:val="00B360F4"/>
    <w:rsid w:val="00B360F6"/>
    <w:rsid w:val="00B36A00"/>
    <w:rsid w:val="00B36CFC"/>
    <w:rsid w:val="00B37015"/>
    <w:rsid w:val="00B3792B"/>
    <w:rsid w:val="00B37A75"/>
    <w:rsid w:val="00B37BFC"/>
    <w:rsid w:val="00B40358"/>
    <w:rsid w:val="00B406BE"/>
    <w:rsid w:val="00B4085B"/>
    <w:rsid w:val="00B40AAF"/>
    <w:rsid w:val="00B41158"/>
    <w:rsid w:val="00B41365"/>
    <w:rsid w:val="00B415E6"/>
    <w:rsid w:val="00B41614"/>
    <w:rsid w:val="00B41672"/>
    <w:rsid w:val="00B4204C"/>
    <w:rsid w:val="00B426D9"/>
    <w:rsid w:val="00B42851"/>
    <w:rsid w:val="00B42F80"/>
    <w:rsid w:val="00B435CB"/>
    <w:rsid w:val="00B451C8"/>
    <w:rsid w:val="00B45905"/>
    <w:rsid w:val="00B4644F"/>
    <w:rsid w:val="00B46542"/>
    <w:rsid w:val="00B465EC"/>
    <w:rsid w:val="00B46836"/>
    <w:rsid w:val="00B474E4"/>
    <w:rsid w:val="00B479A2"/>
    <w:rsid w:val="00B47AC6"/>
    <w:rsid w:val="00B501EF"/>
    <w:rsid w:val="00B50498"/>
    <w:rsid w:val="00B505C8"/>
    <w:rsid w:val="00B50783"/>
    <w:rsid w:val="00B50DB8"/>
    <w:rsid w:val="00B50F7F"/>
    <w:rsid w:val="00B51A08"/>
    <w:rsid w:val="00B5236D"/>
    <w:rsid w:val="00B5247C"/>
    <w:rsid w:val="00B52FA0"/>
    <w:rsid w:val="00B53055"/>
    <w:rsid w:val="00B535B1"/>
    <w:rsid w:val="00B53654"/>
    <w:rsid w:val="00B53905"/>
    <w:rsid w:val="00B53B4F"/>
    <w:rsid w:val="00B54316"/>
    <w:rsid w:val="00B54584"/>
    <w:rsid w:val="00B545AB"/>
    <w:rsid w:val="00B546DB"/>
    <w:rsid w:val="00B54845"/>
    <w:rsid w:val="00B54A1F"/>
    <w:rsid w:val="00B54B5B"/>
    <w:rsid w:val="00B553CB"/>
    <w:rsid w:val="00B5562E"/>
    <w:rsid w:val="00B55862"/>
    <w:rsid w:val="00B55D3B"/>
    <w:rsid w:val="00B55D65"/>
    <w:rsid w:val="00B56305"/>
    <w:rsid w:val="00B569B6"/>
    <w:rsid w:val="00B57000"/>
    <w:rsid w:val="00B57427"/>
    <w:rsid w:val="00B578D3"/>
    <w:rsid w:val="00B602EC"/>
    <w:rsid w:val="00B6059B"/>
    <w:rsid w:val="00B60939"/>
    <w:rsid w:val="00B60AFD"/>
    <w:rsid w:val="00B61019"/>
    <w:rsid w:val="00B61486"/>
    <w:rsid w:val="00B61736"/>
    <w:rsid w:val="00B61D6E"/>
    <w:rsid w:val="00B623F6"/>
    <w:rsid w:val="00B62715"/>
    <w:rsid w:val="00B627A0"/>
    <w:rsid w:val="00B62FE7"/>
    <w:rsid w:val="00B631CF"/>
    <w:rsid w:val="00B63526"/>
    <w:rsid w:val="00B6389F"/>
    <w:rsid w:val="00B646F8"/>
    <w:rsid w:val="00B64D1A"/>
    <w:rsid w:val="00B65150"/>
    <w:rsid w:val="00B65611"/>
    <w:rsid w:val="00B665F3"/>
    <w:rsid w:val="00B66836"/>
    <w:rsid w:val="00B66C21"/>
    <w:rsid w:val="00B66E87"/>
    <w:rsid w:val="00B67FB5"/>
    <w:rsid w:val="00B70E8E"/>
    <w:rsid w:val="00B713D7"/>
    <w:rsid w:val="00B72AF3"/>
    <w:rsid w:val="00B7368C"/>
    <w:rsid w:val="00B736FF"/>
    <w:rsid w:val="00B73A83"/>
    <w:rsid w:val="00B73DF2"/>
    <w:rsid w:val="00B73FA7"/>
    <w:rsid w:val="00B74FF1"/>
    <w:rsid w:val="00B75D17"/>
    <w:rsid w:val="00B75E63"/>
    <w:rsid w:val="00B76A49"/>
    <w:rsid w:val="00B76C92"/>
    <w:rsid w:val="00B76DDC"/>
    <w:rsid w:val="00B76E7F"/>
    <w:rsid w:val="00B76F80"/>
    <w:rsid w:val="00B77989"/>
    <w:rsid w:val="00B779A3"/>
    <w:rsid w:val="00B77DFD"/>
    <w:rsid w:val="00B80416"/>
    <w:rsid w:val="00B807C7"/>
    <w:rsid w:val="00B80C43"/>
    <w:rsid w:val="00B80E96"/>
    <w:rsid w:val="00B80EFD"/>
    <w:rsid w:val="00B818A4"/>
    <w:rsid w:val="00B81CAC"/>
    <w:rsid w:val="00B81E79"/>
    <w:rsid w:val="00B8201B"/>
    <w:rsid w:val="00B820B4"/>
    <w:rsid w:val="00B82117"/>
    <w:rsid w:val="00B82750"/>
    <w:rsid w:val="00B829F0"/>
    <w:rsid w:val="00B82BE4"/>
    <w:rsid w:val="00B83066"/>
    <w:rsid w:val="00B83739"/>
    <w:rsid w:val="00B84079"/>
    <w:rsid w:val="00B84117"/>
    <w:rsid w:val="00B841CE"/>
    <w:rsid w:val="00B842E6"/>
    <w:rsid w:val="00B8475E"/>
    <w:rsid w:val="00B852E5"/>
    <w:rsid w:val="00B858F0"/>
    <w:rsid w:val="00B858F5"/>
    <w:rsid w:val="00B85A85"/>
    <w:rsid w:val="00B85AA2"/>
    <w:rsid w:val="00B85BAA"/>
    <w:rsid w:val="00B85C10"/>
    <w:rsid w:val="00B860C6"/>
    <w:rsid w:val="00B8626D"/>
    <w:rsid w:val="00B8649C"/>
    <w:rsid w:val="00B8695D"/>
    <w:rsid w:val="00B87F0A"/>
    <w:rsid w:val="00B90192"/>
    <w:rsid w:val="00B907EA"/>
    <w:rsid w:val="00B90815"/>
    <w:rsid w:val="00B9084B"/>
    <w:rsid w:val="00B9094C"/>
    <w:rsid w:val="00B90C1B"/>
    <w:rsid w:val="00B91038"/>
    <w:rsid w:val="00B91B5D"/>
    <w:rsid w:val="00B91CBA"/>
    <w:rsid w:val="00B91FEE"/>
    <w:rsid w:val="00B922D7"/>
    <w:rsid w:val="00B92356"/>
    <w:rsid w:val="00B925BD"/>
    <w:rsid w:val="00B92D0B"/>
    <w:rsid w:val="00B92D20"/>
    <w:rsid w:val="00B92F97"/>
    <w:rsid w:val="00B93147"/>
    <w:rsid w:val="00B9341A"/>
    <w:rsid w:val="00B93E42"/>
    <w:rsid w:val="00B942EB"/>
    <w:rsid w:val="00B94945"/>
    <w:rsid w:val="00B94964"/>
    <w:rsid w:val="00B94B9E"/>
    <w:rsid w:val="00B94DD6"/>
    <w:rsid w:val="00B94E0E"/>
    <w:rsid w:val="00B94FC6"/>
    <w:rsid w:val="00B95799"/>
    <w:rsid w:val="00B963CF"/>
    <w:rsid w:val="00B96441"/>
    <w:rsid w:val="00B96535"/>
    <w:rsid w:val="00B96B38"/>
    <w:rsid w:val="00B96B4F"/>
    <w:rsid w:val="00B97457"/>
    <w:rsid w:val="00B97815"/>
    <w:rsid w:val="00B97E10"/>
    <w:rsid w:val="00B97F6A"/>
    <w:rsid w:val="00BA03EB"/>
    <w:rsid w:val="00BA06B8"/>
    <w:rsid w:val="00BA122F"/>
    <w:rsid w:val="00BA127C"/>
    <w:rsid w:val="00BA173A"/>
    <w:rsid w:val="00BA2C69"/>
    <w:rsid w:val="00BA2DB9"/>
    <w:rsid w:val="00BA30E5"/>
    <w:rsid w:val="00BA31DA"/>
    <w:rsid w:val="00BA322D"/>
    <w:rsid w:val="00BA32A5"/>
    <w:rsid w:val="00BA35E0"/>
    <w:rsid w:val="00BA4742"/>
    <w:rsid w:val="00BA5603"/>
    <w:rsid w:val="00BA5635"/>
    <w:rsid w:val="00BA58DA"/>
    <w:rsid w:val="00BA5F79"/>
    <w:rsid w:val="00BA612A"/>
    <w:rsid w:val="00BA63FA"/>
    <w:rsid w:val="00BA7255"/>
    <w:rsid w:val="00BA782E"/>
    <w:rsid w:val="00BA7935"/>
    <w:rsid w:val="00BA793A"/>
    <w:rsid w:val="00BB00B3"/>
    <w:rsid w:val="00BB02AA"/>
    <w:rsid w:val="00BB0861"/>
    <w:rsid w:val="00BB0BDD"/>
    <w:rsid w:val="00BB176C"/>
    <w:rsid w:val="00BB19C3"/>
    <w:rsid w:val="00BB25F5"/>
    <w:rsid w:val="00BB2785"/>
    <w:rsid w:val="00BB2A73"/>
    <w:rsid w:val="00BB3299"/>
    <w:rsid w:val="00BB3542"/>
    <w:rsid w:val="00BB361D"/>
    <w:rsid w:val="00BB3A45"/>
    <w:rsid w:val="00BB41ED"/>
    <w:rsid w:val="00BB45D2"/>
    <w:rsid w:val="00BB4ACC"/>
    <w:rsid w:val="00BB5C15"/>
    <w:rsid w:val="00BB64C4"/>
    <w:rsid w:val="00BB703E"/>
    <w:rsid w:val="00BB732D"/>
    <w:rsid w:val="00BB7405"/>
    <w:rsid w:val="00BB75E9"/>
    <w:rsid w:val="00BB760E"/>
    <w:rsid w:val="00BB784D"/>
    <w:rsid w:val="00BB7880"/>
    <w:rsid w:val="00BC01B1"/>
    <w:rsid w:val="00BC03A4"/>
    <w:rsid w:val="00BC03F8"/>
    <w:rsid w:val="00BC142B"/>
    <w:rsid w:val="00BC158D"/>
    <w:rsid w:val="00BC197D"/>
    <w:rsid w:val="00BC19D8"/>
    <w:rsid w:val="00BC235B"/>
    <w:rsid w:val="00BC3583"/>
    <w:rsid w:val="00BC3631"/>
    <w:rsid w:val="00BC365B"/>
    <w:rsid w:val="00BC3D9A"/>
    <w:rsid w:val="00BC3EE6"/>
    <w:rsid w:val="00BC3EEF"/>
    <w:rsid w:val="00BC4C2C"/>
    <w:rsid w:val="00BC54D9"/>
    <w:rsid w:val="00BC591F"/>
    <w:rsid w:val="00BC6124"/>
    <w:rsid w:val="00BC6D2E"/>
    <w:rsid w:val="00BC768B"/>
    <w:rsid w:val="00BC7816"/>
    <w:rsid w:val="00BC7D6D"/>
    <w:rsid w:val="00BC7E46"/>
    <w:rsid w:val="00BD031B"/>
    <w:rsid w:val="00BD0C16"/>
    <w:rsid w:val="00BD0F44"/>
    <w:rsid w:val="00BD102D"/>
    <w:rsid w:val="00BD1045"/>
    <w:rsid w:val="00BD207F"/>
    <w:rsid w:val="00BD2108"/>
    <w:rsid w:val="00BD3368"/>
    <w:rsid w:val="00BD3536"/>
    <w:rsid w:val="00BD36C4"/>
    <w:rsid w:val="00BD3BD5"/>
    <w:rsid w:val="00BD4797"/>
    <w:rsid w:val="00BD4F08"/>
    <w:rsid w:val="00BD5005"/>
    <w:rsid w:val="00BD5885"/>
    <w:rsid w:val="00BD5D28"/>
    <w:rsid w:val="00BD6096"/>
    <w:rsid w:val="00BD6337"/>
    <w:rsid w:val="00BD671A"/>
    <w:rsid w:val="00BD68A3"/>
    <w:rsid w:val="00BD6938"/>
    <w:rsid w:val="00BD6CF3"/>
    <w:rsid w:val="00BD6D45"/>
    <w:rsid w:val="00BD6FCA"/>
    <w:rsid w:val="00BD709F"/>
    <w:rsid w:val="00BD7F72"/>
    <w:rsid w:val="00BE0455"/>
    <w:rsid w:val="00BE076F"/>
    <w:rsid w:val="00BE0A85"/>
    <w:rsid w:val="00BE0ECA"/>
    <w:rsid w:val="00BE0F45"/>
    <w:rsid w:val="00BE1245"/>
    <w:rsid w:val="00BE1688"/>
    <w:rsid w:val="00BE16B3"/>
    <w:rsid w:val="00BE1748"/>
    <w:rsid w:val="00BE17A4"/>
    <w:rsid w:val="00BE1CD9"/>
    <w:rsid w:val="00BE1EAE"/>
    <w:rsid w:val="00BE2180"/>
    <w:rsid w:val="00BE21F2"/>
    <w:rsid w:val="00BE2539"/>
    <w:rsid w:val="00BE27B9"/>
    <w:rsid w:val="00BE302E"/>
    <w:rsid w:val="00BE31D0"/>
    <w:rsid w:val="00BE341D"/>
    <w:rsid w:val="00BE3C0B"/>
    <w:rsid w:val="00BE4275"/>
    <w:rsid w:val="00BE42BD"/>
    <w:rsid w:val="00BE437E"/>
    <w:rsid w:val="00BE43F5"/>
    <w:rsid w:val="00BE4C0D"/>
    <w:rsid w:val="00BE5276"/>
    <w:rsid w:val="00BE5B52"/>
    <w:rsid w:val="00BE5C65"/>
    <w:rsid w:val="00BE5CDC"/>
    <w:rsid w:val="00BE624B"/>
    <w:rsid w:val="00BE6BC4"/>
    <w:rsid w:val="00BE7276"/>
    <w:rsid w:val="00BE749C"/>
    <w:rsid w:val="00BE7D10"/>
    <w:rsid w:val="00BE7D57"/>
    <w:rsid w:val="00BE7F10"/>
    <w:rsid w:val="00BF0135"/>
    <w:rsid w:val="00BF050D"/>
    <w:rsid w:val="00BF06AE"/>
    <w:rsid w:val="00BF0F95"/>
    <w:rsid w:val="00BF1042"/>
    <w:rsid w:val="00BF1142"/>
    <w:rsid w:val="00BF1F4E"/>
    <w:rsid w:val="00BF202D"/>
    <w:rsid w:val="00BF21C4"/>
    <w:rsid w:val="00BF221D"/>
    <w:rsid w:val="00BF222F"/>
    <w:rsid w:val="00BF2433"/>
    <w:rsid w:val="00BF258C"/>
    <w:rsid w:val="00BF29CD"/>
    <w:rsid w:val="00BF2E6E"/>
    <w:rsid w:val="00BF3FC3"/>
    <w:rsid w:val="00BF4C77"/>
    <w:rsid w:val="00BF4F02"/>
    <w:rsid w:val="00BF501A"/>
    <w:rsid w:val="00BF5029"/>
    <w:rsid w:val="00BF61C9"/>
    <w:rsid w:val="00BF632C"/>
    <w:rsid w:val="00BF6C94"/>
    <w:rsid w:val="00BF73EA"/>
    <w:rsid w:val="00BF7512"/>
    <w:rsid w:val="00BF77E1"/>
    <w:rsid w:val="00BF7A49"/>
    <w:rsid w:val="00C00202"/>
    <w:rsid w:val="00C00294"/>
    <w:rsid w:val="00C00424"/>
    <w:rsid w:val="00C00BB0"/>
    <w:rsid w:val="00C01003"/>
    <w:rsid w:val="00C0127B"/>
    <w:rsid w:val="00C016DD"/>
    <w:rsid w:val="00C01884"/>
    <w:rsid w:val="00C01958"/>
    <w:rsid w:val="00C01AC5"/>
    <w:rsid w:val="00C01F37"/>
    <w:rsid w:val="00C02168"/>
    <w:rsid w:val="00C03610"/>
    <w:rsid w:val="00C03A55"/>
    <w:rsid w:val="00C03FA0"/>
    <w:rsid w:val="00C04528"/>
    <w:rsid w:val="00C04667"/>
    <w:rsid w:val="00C04802"/>
    <w:rsid w:val="00C05361"/>
    <w:rsid w:val="00C057EA"/>
    <w:rsid w:val="00C05AEC"/>
    <w:rsid w:val="00C05EE6"/>
    <w:rsid w:val="00C07CB0"/>
    <w:rsid w:val="00C109AD"/>
    <w:rsid w:val="00C11185"/>
    <w:rsid w:val="00C11310"/>
    <w:rsid w:val="00C115AB"/>
    <w:rsid w:val="00C1179F"/>
    <w:rsid w:val="00C11810"/>
    <w:rsid w:val="00C11F82"/>
    <w:rsid w:val="00C120CA"/>
    <w:rsid w:val="00C124C0"/>
    <w:rsid w:val="00C127B9"/>
    <w:rsid w:val="00C128FA"/>
    <w:rsid w:val="00C12C14"/>
    <w:rsid w:val="00C13806"/>
    <w:rsid w:val="00C1474E"/>
    <w:rsid w:val="00C14AF2"/>
    <w:rsid w:val="00C14D30"/>
    <w:rsid w:val="00C1518D"/>
    <w:rsid w:val="00C15518"/>
    <w:rsid w:val="00C15640"/>
    <w:rsid w:val="00C15F04"/>
    <w:rsid w:val="00C1676F"/>
    <w:rsid w:val="00C16D50"/>
    <w:rsid w:val="00C17342"/>
    <w:rsid w:val="00C1784A"/>
    <w:rsid w:val="00C179B3"/>
    <w:rsid w:val="00C17BC9"/>
    <w:rsid w:val="00C17E3F"/>
    <w:rsid w:val="00C200AA"/>
    <w:rsid w:val="00C20969"/>
    <w:rsid w:val="00C20CC3"/>
    <w:rsid w:val="00C214D4"/>
    <w:rsid w:val="00C21ABF"/>
    <w:rsid w:val="00C21C7B"/>
    <w:rsid w:val="00C237ED"/>
    <w:rsid w:val="00C2411B"/>
    <w:rsid w:val="00C241F1"/>
    <w:rsid w:val="00C24258"/>
    <w:rsid w:val="00C24632"/>
    <w:rsid w:val="00C2474C"/>
    <w:rsid w:val="00C24A50"/>
    <w:rsid w:val="00C250EE"/>
    <w:rsid w:val="00C2522C"/>
    <w:rsid w:val="00C253D2"/>
    <w:rsid w:val="00C25418"/>
    <w:rsid w:val="00C254B2"/>
    <w:rsid w:val="00C25D9C"/>
    <w:rsid w:val="00C2694F"/>
    <w:rsid w:val="00C27207"/>
    <w:rsid w:val="00C2753D"/>
    <w:rsid w:val="00C27726"/>
    <w:rsid w:val="00C2778B"/>
    <w:rsid w:val="00C278B8"/>
    <w:rsid w:val="00C27C3F"/>
    <w:rsid w:val="00C31420"/>
    <w:rsid w:val="00C31649"/>
    <w:rsid w:val="00C31C91"/>
    <w:rsid w:val="00C31FE6"/>
    <w:rsid w:val="00C33311"/>
    <w:rsid w:val="00C333D1"/>
    <w:rsid w:val="00C3434C"/>
    <w:rsid w:val="00C34609"/>
    <w:rsid w:val="00C34983"/>
    <w:rsid w:val="00C34EDF"/>
    <w:rsid w:val="00C3539D"/>
    <w:rsid w:val="00C358B4"/>
    <w:rsid w:val="00C35A31"/>
    <w:rsid w:val="00C35CE1"/>
    <w:rsid w:val="00C3650B"/>
    <w:rsid w:val="00C36786"/>
    <w:rsid w:val="00C36C53"/>
    <w:rsid w:val="00C40385"/>
    <w:rsid w:val="00C40572"/>
    <w:rsid w:val="00C409B3"/>
    <w:rsid w:val="00C40B11"/>
    <w:rsid w:val="00C4107C"/>
    <w:rsid w:val="00C41198"/>
    <w:rsid w:val="00C41768"/>
    <w:rsid w:val="00C42805"/>
    <w:rsid w:val="00C429D8"/>
    <w:rsid w:val="00C43F1C"/>
    <w:rsid w:val="00C4512D"/>
    <w:rsid w:val="00C45188"/>
    <w:rsid w:val="00C4607E"/>
    <w:rsid w:val="00C46339"/>
    <w:rsid w:val="00C474BF"/>
    <w:rsid w:val="00C475AA"/>
    <w:rsid w:val="00C47DBE"/>
    <w:rsid w:val="00C5014C"/>
    <w:rsid w:val="00C50981"/>
    <w:rsid w:val="00C50AAF"/>
    <w:rsid w:val="00C51BEE"/>
    <w:rsid w:val="00C51D47"/>
    <w:rsid w:val="00C520DF"/>
    <w:rsid w:val="00C521E7"/>
    <w:rsid w:val="00C5225F"/>
    <w:rsid w:val="00C5232E"/>
    <w:rsid w:val="00C527C7"/>
    <w:rsid w:val="00C52D23"/>
    <w:rsid w:val="00C530EE"/>
    <w:rsid w:val="00C53C98"/>
    <w:rsid w:val="00C5422D"/>
    <w:rsid w:val="00C54447"/>
    <w:rsid w:val="00C5544A"/>
    <w:rsid w:val="00C5550B"/>
    <w:rsid w:val="00C55561"/>
    <w:rsid w:val="00C55D8A"/>
    <w:rsid w:val="00C56DBE"/>
    <w:rsid w:val="00C56FCF"/>
    <w:rsid w:val="00C572F6"/>
    <w:rsid w:val="00C5749C"/>
    <w:rsid w:val="00C57514"/>
    <w:rsid w:val="00C57970"/>
    <w:rsid w:val="00C57B6C"/>
    <w:rsid w:val="00C600A1"/>
    <w:rsid w:val="00C60120"/>
    <w:rsid w:val="00C60275"/>
    <w:rsid w:val="00C602A0"/>
    <w:rsid w:val="00C60346"/>
    <w:rsid w:val="00C60509"/>
    <w:rsid w:val="00C608E4"/>
    <w:rsid w:val="00C61A59"/>
    <w:rsid w:val="00C628A6"/>
    <w:rsid w:val="00C62C17"/>
    <w:rsid w:val="00C62F07"/>
    <w:rsid w:val="00C62FCA"/>
    <w:rsid w:val="00C632C4"/>
    <w:rsid w:val="00C63C6A"/>
    <w:rsid w:val="00C64344"/>
    <w:rsid w:val="00C643B2"/>
    <w:rsid w:val="00C646DE"/>
    <w:rsid w:val="00C64CA3"/>
    <w:rsid w:val="00C65108"/>
    <w:rsid w:val="00C65576"/>
    <w:rsid w:val="00C65ACF"/>
    <w:rsid w:val="00C65B94"/>
    <w:rsid w:val="00C65BF5"/>
    <w:rsid w:val="00C66165"/>
    <w:rsid w:val="00C6638C"/>
    <w:rsid w:val="00C6678B"/>
    <w:rsid w:val="00C671D8"/>
    <w:rsid w:val="00C67331"/>
    <w:rsid w:val="00C70029"/>
    <w:rsid w:val="00C701F7"/>
    <w:rsid w:val="00C7060A"/>
    <w:rsid w:val="00C70D8E"/>
    <w:rsid w:val="00C71476"/>
    <w:rsid w:val="00C7151A"/>
    <w:rsid w:val="00C71542"/>
    <w:rsid w:val="00C7154A"/>
    <w:rsid w:val="00C717E3"/>
    <w:rsid w:val="00C71917"/>
    <w:rsid w:val="00C71C12"/>
    <w:rsid w:val="00C71D17"/>
    <w:rsid w:val="00C71F60"/>
    <w:rsid w:val="00C72241"/>
    <w:rsid w:val="00C73216"/>
    <w:rsid w:val="00C73570"/>
    <w:rsid w:val="00C74AC4"/>
    <w:rsid w:val="00C74D5B"/>
    <w:rsid w:val="00C750C8"/>
    <w:rsid w:val="00C752DD"/>
    <w:rsid w:val="00C752F8"/>
    <w:rsid w:val="00C7542F"/>
    <w:rsid w:val="00C75556"/>
    <w:rsid w:val="00C75570"/>
    <w:rsid w:val="00C7560F"/>
    <w:rsid w:val="00C75CFE"/>
    <w:rsid w:val="00C75E6D"/>
    <w:rsid w:val="00C773AA"/>
    <w:rsid w:val="00C77C9B"/>
    <w:rsid w:val="00C80A0E"/>
    <w:rsid w:val="00C80FB4"/>
    <w:rsid w:val="00C81072"/>
    <w:rsid w:val="00C8193E"/>
    <w:rsid w:val="00C819F3"/>
    <w:rsid w:val="00C81B8A"/>
    <w:rsid w:val="00C81C75"/>
    <w:rsid w:val="00C81E9A"/>
    <w:rsid w:val="00C8213F"/>
    <w:rsid w:val="00C8303F"/>
    <w:rsid w:val="00C831D7"/>
    <w:rsid w:val="00C83DD1"/>
    <w:rsid w:val="00C83FD4"/>
    <w:rsid w:val="00C8450D"/>
    <w:rsid w:val="00C84D82"/>
    <w:rsid w:val="00C85154"/>
    <w:rsid w:val="00C85976"/>
    <w:rsid w:val="00C85A70"/>
    <w:rsid w:val="00C85F6E"/>
    <w:rsid w:val="00C8797A"/>
    <w:rsid w:val="00C87B36"/>
    <w:rsid w:val="00C87DE8"/>
    <w:rsid w:val="00C87EB3"/>
    <w:rsid w:val="00C9006C"/>
    <w:rsid w:val="00C900B8"/>
    <w:rsid w:val="00C90197"/>
    <w:rsid w:val="00C902FE"/>
    <w:rsid w:val="00C90C71"/>
    <w:rsid w:val="00C91FD1"/>
    <w:rsid w:val="00C92C09"/>
    <w:rsid w:val="00C931CF"/>
    <w:rsid w:val="00C934B4"/>
    <w:rsid w:val="00C938CF"/>
    <w:rsid w:val="00C93D0E"/>
    <w:rsid w:val="00C94053"/>
    <w:rsid w:val="00C94524"/>
    <w:rsid w:val="00C95F46"/>
    <w:rsid w:val="00C9624D"/>
    <w:rsid w:val="00C969DA"/>
    <w:rsid w:val="00C96DF8"/>
    <w:rsid w:val="00C97766"/>
    <w:rsid w:val="00C97A8D"/>
    <w:rsid w:val="00C97B31"/>
    <w:rsid w:val="00CA082F"/>
    <w:rsid w:val="00CA0CD7"/>
    <w:rsid w:val="00CA1C6A"/>
    <w:rsid w:val="00CA2538"/>
    <w:rsid w:val="00CA2702"/>
    <w:rsid w:val="00CA2C77"/>
    <w:rsid w:val="00CA2CCA"/>
    <w:rsid w:val="00CA444F"/>
    <w:rsid w:val="00CA4532"/>
    <w:rsid w:val="00CA4A77"/>
    <w:rsid w:val="00CA4C4C"/>
    <w:rsid w:val="00CA4E4F"/>
    <w:rsid w:val="00CA5086"/>
    <w:rsid w:val="00CA51FB"/>
    <w:rsid w:val="00CA5245"/>
    <w:rsid w:val="00CA5352"/>
    <w:rsid w:val="00CA6081"/>
    <w:rsid w:val="00CA60CC"/>
    <w:rsid w:val="00CA6E44"/>
    <w:rsid w:val="00CA6EE5"/>
    <w:rsid w:val="00CA71F4"/>
    <w:rsid w:val="00CA7B09"/>
    <w:rsid w:val="00CA7E12"/>
    <w:rsid w:val="00CB11AB"/>
    <w:rsid w:val="00CB12A5"/>
    <w:rsid w:val="00CB1B4C"/>
    <w:rsid w:val="00CB1CAC"/>
    <w:rsid w:val="00CB1F26"/>
    <w:rsid w:val="00CB21B4"/>
    <w:rsid w:val="00CB229A"/>
    <w:rsid w:val="00CB2C0E"/>
    <w:rsid w:val="00CB2F2A"/>
    <w:rsid w:val="00CB3178"/>
    <w:rsid w:val="00CB378F"/>
    <w:rsid w:val="00CB4361"/>
    <w:rsid w:val="00CB43FF"/>
    <w:rsid w:val="00CB46BB"/>
    <w:rsid w:val="00CB4AD8"/>
    <w:rsid w:val="00CB5137"/>
    <w:rsid w:val="00CB531C"/>
    <w:rsid w:val="00CB56ED"/>
    <w:rsid w:val="00CB5ACC"/>
    <w:rsid w:val="00CB5B1A"/>
    <w:rsid w:val="00CB5CF2"/>
    <w:rsid w:val="00CB5D39"/>
    <w:rsid w:val="00CB6B0C"/>
    <w:rsid w:val="00CB6B22"/>
    <w:rsid w:val="00CB6E89"/>
    <w:rsid w:val="00CB73A9"/>
    <w:rsid w:val="00CB759D"/>
    <w:rsid w:val="00CB7A45"/>
    <w:rsid w:val="00CB7C5C"/>
    <w:rsid w:val="00CB7CA1"/>
    <w:rsid w:val="00CB7F5F"/>
    <w:rsid w:val="00CC0173"/>
    <w:rsid w:val="00CC0706"/>
    <w:rsid w:val="00CC0998"/>
    <w:rsid w:val="00CC1146"/>
    <w:rsid w:val="00CC1238"/>
    <w:rsid w:val="00CC1B39"/>
    <w:rsid w:val="00CC1BFA"/>
    <w:rsid w:val="00CC2719"/>
    <w:rsid w:val="00CC2B16"/>
    <w:rsid w:val="00CC2E93"/>
    <w:rsid w:val="00CC2E9F"/>
    <w:rsid w:val="00CC2F90"/>
    <w:rsid w:val="00CC35EA"/>
    <w:rsid w:val="00CC3848"/>
    <w:rsid w:val="00CC3C26"/>
    <w:rsid w:val="00CC4278"/>
    <w:rsid w:val="00CC429F"/>
    <w:rsid w:val="00CC432A"/>
    <w:rsid w:val="00CC457F"/>
    <w:rsid w:val="00CC4C92"/>
    <w:rsid w:val="00CC5178"/>
    <w:rsid w:val="00CC6D5E"/>
    <w:rsid w:val="00CC7100"/>
    <w:rsid w:val="00CC732E"/>
    <w:rsid w:val="00CC7460"/>
    <w:rsid w:val="00CC74DD"/>
    <w:rsid w:val="00CD0200"/>
    <w:rsid w:val="00CD0510"/>
    <w:rsid w:val="00CD058E"/>
    <w:rsid w:val="00CD07A4"/>
    <w:rsid w:val="00CD12B0"/>
    <w:rsid w:val="00CD1673"/>
    <w:rsid w:val="00CD1999"/>
    <w:rsid w:val="00CD19F3"/>
    <w:rsid w:val="00CD230C"/>
    <w:rsid w:val="00CD23B3"/>
    <w:rsid w:val="00CD24CE"/>
    <w:rsid w:val="00CD262D"/>
    <w:rsid w:val="00CD2F1B"/>
    <w:rsid w:val="00CD38C6"/>
    <w:rsid w:val="00CD3F71"/>
    <w:rsid w:val="00CD3F77"/>
    <w:rsid w:val="00CD43B2"/>
    <w:rsid w:val="00CD446B"/>
    <w:rsid w:val="00CD53D9"/>
    <w:rsid w:val="00CD54CE"/>
    <w:rsid w:val="00CD5FC9"/>
    <w:rsid w:val="00CD6ADC"/>
    <w:rsid w:val="00CD6B28"/>
    <w:rsid w:val="00CD6EE0"/>
    <w:rsid w:val="00CD7193"/>
    <w:rsid w:val="00CD7278"/>
    <w:rsid w:val="00CD76A3"/>
    <w:rsid w:val="00CD7F5C"/>
    <w:rsid w:val="00CE03B7"/>
    <w:rsid w:val="00CE1513"/>
    <w:rsid w:val="00CE1573"/>
    <w:rsid w:val="00CE17C2"/>
    <w:rsid w:val="00CE1FA5"/>
    <w:rsid w:val="00CE2940"/>
    <w:rsid w:val="00CE2ABA"/>
    <w:rsid w:val="00CE2BD7"/>
    <w:rsid w:val="00CE2D57"/>
    <w:rsid w:val="00CE2EF7"/>
    <w:rsid w:val="00CE2F09"/>
    <w:rsid w:val="00CE31DA"/>
    <w:rsid w:val="00CE36BB"/>
    <w:rsid w:val="00CE38C8"/>
    <w:rsid w:val="00CE3C6D"/>
    <w:rsid w:val="00CE4FCA"/>
    <w:rsid w:val="00CE506F"/>
    <w:rsid w:val="00CE524F"/>
    <w:rsid w:val="00CE5579"/>
    <w:rsid w:val="00CE55D0"/>
    <w:rsid w:val="00CE58CC"/>
    <w:rsid w:val="00CE599B"/>
    <w:rsid w:val="00CE6274"/>
    <w:rsid w:val="00CE6937"/>
    <w:rsid w:val="00CE69C6"/>
    <w:rsid w:val="00CE6C84"/>
    <w:rsid w:val="00CE6FD4"/>
    <w:rsid w:val="00CE77B6"/>
    <w:rsid w:val="00CE786A"/>
    <w:rsid w:val="00CF0151"/>
    <w:rsid w:val="00CF29E9"/>
    <w:rsid w:val="00CF2B8D"/>
    <w:rsid w:val="00CF3047"/>
    <w:rsid w:val="00CF3967"/>
    <w:rsid w:val="00CF3A1B"/>
    <w:rsid w:val="00CF41E5"/>
    <w:rsid w:val="00CF456B"/>
    <w:rsid w:val="00CF4698"/>
    <w:rsid w:val="00CF4CC4"/>
    <w:rsid w:val="00CF51E1"/>
    <w:rsid w:val="00CF51EF"/>
    <w:rsid w:val="00CF57A4"/>
    <w:rsid w:val="00CF5A22"/>
    <w:rsid w:val="00CF5D00"/>
    <w:rsid w:val="00CF6D1C"/>
    <w:rsid w:val="00CF6DAB"/>
    <w:rsid w:val="00CF6F3C"/>
    <w:rsid w:val="00CF7137"/>
    <w:rsid w:val="00CF7431"/>
    <w:rsid w:val="00CF756E"/>
    <w:rsid w:val="00CF764B"/>
    <w:rsid w:val="00CF7757"/>
    <w:rsid w:val="00D0125A"/>
    <w:rsid w:val="00D0137F"/>
    <w:rsid w:val="00D01A53"/>
    <w:rsid w:val="00D01BE1"/>
    <w:rsid w:val="00D02404"/>
    <w:rsid w:val="00D0262E"/>
    <w:rsid w:val="00D02984"/>
    <w:rsid w:val="00D02AE8"/>
    <w:rsid w:val="00D02C16"/>
    <w:rsid w:val="00D034EF"/>
    <w:rsid w:val="00D03679"/>
    <w:rsid w:val="00D0398C"/>
    <w:rsid w:val="00D03C8B"/>
    <w:rsid w:val="00D03CD1"/>
    <w:rsid w:val="00D047A4"/>
    <w:rsid w:val="00D04AE7"/>
    <w:rsid w:val="00D051DF"/>
    <w:rsid w:val="00D05969"/>
    <w:rsid w:val="00D05D41"/>
    <w:rsid w:val="00D05E3D"/>
    <w:rsid w:val="00D06139"/>
    <w:rsid w:val="00D07F09"/>
    <w:rsid w:val="00D106CB"/>
    <w:rsid w:val="00D10A28"/>
    <w:rsid w:val="00D10FD1"/>
    <w:rsid w:val="00D110BD"/>
    <w:rsid w:val="00D11461"/>
    <w:rsid w:val="00D1176C"/>
    <w:rsid w:val="00D117DC"/>
    <w:rsid w:val="00D11BEC"/>
    <w:rsid w:val="00D1223B"/>
    <w:rsid w:val="00D12746"/>
    <w:rsid w:val="00D13675"/>
    <w:rsid w:val="00D13B81"/>
    <w:rsid w:val="00D141E1"/>
    <w:rsid w:val="00D1476F"/>
    <w:rsid w:val="00D14B37"/>
    <w:rsid w:val="00D15314"/>
    <w:rsid w:val="00D15B48"/>
    <w:rsid w:val="00D15D24"/>
    <w:rsid w:val="00D16204"/>
    <w:rsid w:val="00D1666D"/>
    <w:rsid w:val="00D17794"/>
    <w:rsid w:val="00D17AD2"/>
    <w:rsid w:val="00D17D6C"/>
    <w:rsid w:val="00D17FC1"/>
    <w:rsid w:val="00D2013B"/>
    <w:rsid w:val="00D20143"/>
    <w:rsid w:val="00D20205"/>
    <w:rsid w:val="00D20448"/>
    <w:rsid w:val="00D2151D"/>
    <w:rsid w:val="00D2155B"/>
    <w:rsid w:val="00D21812"/>
    <w:rsid w:val="00D21AC4"/>
    <w:rsid w:val="00D21DB4"/>
    <w:rsid w:val="00D22130"/>
    <w:rsid w:val="00D22535"/>
    <w:rsid w:val="00D22568"/>
    <w:rsid w:val="00D2315A"/>
    <w:rsid w:val="00D2359B"/>
    <w:rsid w:val="00D23D11"/>
    <w:rsid w:val="00D23ECB"/>
    <w:rsid w:val="00D24232"/>
    <w:rsid w:val="00D243F1"/>
    <w:rsid w:val="00D244B6"/>
    <w:rsid w:val="00D25510"/>
    <w:rsid w:val="00D25C7C"/>
    <w:rsid w:val="00D2625D"/>
    <w:rsid w:val="00D262C2"/>
    <w:rsid w:val="00D264A1"/>
    <w:rsid w:val="00D26A37"/>
    <w:rsid w:val="00D26ED7"/>
    <w:rsid w:val="00D2754D"/>
    <w:rsid w:val="00D276F0"/>
    <w:rsid w:val="00D27B27"/>
    <w:rsid w:val="00D27F2E"/>
    <w:rsid w:val="00D30D5B"/>
    <w:rsid w:val="00D30DA9"/>
    <w:rsid w:val="00D312C8"/>
    <w:rsid w:val="00D31991"/>
    <w:rsid w:val="00D32424"/>
    <w:rsid w:val="00D332F3"/>
    <w:rsid w:val="00D33BE9"/>
    <w:rsid w:val="00D33F93"/>
    <w:rsid w:val="00D342C7"/>
    <w:rsid w:val="00D3432C"/>
    <w:rsid w:val="00D34391"/>
    <w:rsid w:val="00D34C48"/>
    <w:rsid w:val="00D35253"/>
    <w:rsid w:val="00D3556E"/>
    <w:rsid w:val="00D35577"/>
    <w:rsid w:val="00D357FF"/>
    <w:rsid w:val="00D35A2A"/>
    <w:rsid w:val="00D35C03"/>
    <w:rsid w:val="00D36007"/>
    <w:rsid w:val="00D36081"/>
    <w:rsid w:val="00D36377"/>
    <w:rsid w:val="00D366CB"/>
    <w:rsid w:val="00D36AB1"/>
    <w:rsid w:val="00D37897"/>
    <w:rsid w:val="00D40488"/>
    <w:rsid w:val="00D40519"/>
    <w:rsid w:val="00D4081F"/>
    <w:rsid w:val="00D40829"/>
    <w:rsid w:val="00D41192"/>
    <w:rsid w:val="00D41B3B"/>
    <w:rsid w:val="00D41E1B"/>
    <w:rsid w:val="00D424C7"/>
    <w:rsid w:val="00D42FAC"/>
    <w:rsid w:val="00D437C0"/>
    <w:rsid w:val="00D43B2A"/>
    <w:rsid w:val="00D43CF1"/>
    <w:rsid w:val="00D43D83"/>
    <w:rsid w:val="00D44435"/>
    <w:rsid w:val="00D445C9"/>
    <w:rsid w:val="00D45487"/>
    <w:rsid w:val="00D467CE"/>
    <w:rsid w:val="00D46D19"/>
    <w:rsid w:val="00D470D0"/>
    <w:rsid w:val="00D470F3"/>
    <w:rsid w:val="00D47356"/>
    <w:rsid w:val="00D47575"/>
    <w:rsid w:val="00D4773E"/>
    <w:rsid w:val="00D50371"/>
    <w:rsid w:val="00D50478"/>
    <w:rsid w:val="00D507CB"/>
    <w:rsid w:val="00D51171"/>
    <w:rsid w:val="00D51EB3"/>
    <w:rsid w:val="00D522B3"/>
    <w:rsid w:val="00D5243B"/>
    <w:rsid w:val="00D52992"/>
    <w:rsid w:val="00D52E17"/>
    <w:rsid w:val="00D533EC"/>
    <w:rsid w:val="00D53E8A"/>
    <w:rsid w:val="00D54473"/>
    <w:rsid w:val="00D55122"/>
    <w:rsid w:val="00D55767"/>
    <w:rsid w:val="00D56081"/>
    <w:rsid w:val="00D562AF"/>
    <w:rsid w:val="00D56A95"/>
    <w:rsid w:val="00D57130"/>
    <w:rsid w:val="00D57BAE"/>
    <w:rsid w:val="00D57BF2"/>
    <w:rsid w:val="00D57ED3"/>
    <w:rsid w:val="00D602C2"/>
    <w:rsid w:val="00D60370"/>
    <w:rsid w:val="00D6076E"/>
    <w:rsid w:val="00D61264"/>
    <w:rsid w:val="00D615E4"/>
    <w:rsid w:val="00D61ED5"/>
    <w:rsid w:val="00D62430"/>
    <w:rsid w:val="00D624ED"/>
    <w:rsid w:val="00D631A8"/>
    <w:rsid w:val="00D635F4"/>
    <w:rsid w:val="00D6405A"/>
    <w:rsid w:val="00D642E1"/>
    <w:rsid w:val="00D642F1"/>
    <w:rsid w:val="00D645B9"/>
    <w:rsid w:val="00D64766"/>
    <w:rsid w:val="00D6626A"/>
    <w:rsid w:val="00D66978"/>
    <w:rsid w:val="00D701D5"/>
    <w:rsid w:val="00D703D9"/>
    <w:rsid w:val="00D70832"/>
    <w:rsid w:val="00D70988"/>
    <w:rsid w:val="00D70F16"/>
    <w:rsid w:val="00D70F3E"/>
    <w:rsid w:val="00D7153C"/>
    <w:rsid w:val="00D71F77"/>
    <w:rsid w:val="00D7224F"/>
    <w:rsid w:val="00D724F6"/>
    <w:rsid w:val="00D72617"/>
    <w:rsid w:val="00D72F57"/>
    <w:rsid w:val="00D72FA1"/>
    <w:rsid w:val="00D730CF"/>
    <w:rsid w:val="00D73296"/>
    <w:rsid w:val="00D73302"/>
    <w:rsid w:val="00D736E4"/>
    <w:rsid w:val="00D73FA3"/>
    <w:rsid w:val="00D751F4"/>
    <w:rsid w:val="00D75352"/>
    <w:rsid w:val="00D7547A"/>
    <w:rsid w:val="00D75964"/>
    <w:rsid w:val="00D75C04"/>
    <w:rsid w:val="00D76518"/>
    <w:rsid w:val="00D76820"/>
    <w:rsid w:val="00D76A44"/>
    <w:rsid w:val="00D775B5"/>
    <w:rsid w:val="00D815EF"/>
    <w:rsid w:val="00D81949"/>
    <w:rsid w:val="00D81F26"/>
    <w:rsid w:val="00D822E2"/>
    <w:rsid w:val="00D8304B"/>
    <w:rsid w:val="00D83367"/>
    <w:rsid w:val="00D8357C"/>
    <w:rsid w:val="00D83719"/>
    <w:rsid w:val="00D8396C"/>
    <w:rsid w:val="00D83F7A"/>
    <w:rsid w:val="00D843F2"/>
    <w:rsid w:val="00D84508"/>
    <w:rsid w:val="00D84996"/>
    <w:rsid w:val="00D849C1"/>
    <w:rsid w:val="00D84C56"/>
    <w:rsid w:val="00D85228"/>
    <w:rsid w:val="00D86231"/>
    <w:rsid w:val="00D86690"/>
    <w:rsid w:val="00D87C84"/>
    <w:rsid w:val="00D87D30"/>
    <w:rsid w:val="00D9043B"/>
    <w:rsid w:val="00D904C4"/>
    <w:rsid w:val="00D90913"/>
    <w:rsid w:val="00D90E02"/>
    <w:rsid w:val="00D91115"/>
    <w:rsid w:val="00D912AB"/>
    <w:rsid w:val="00D91923"/>
    <w:rsid w:val="00D91AB3"/>
    <w:rsid w:val="00D91EB2"/>
    <w:rsid w:val="00D9214B"/>
    <w:rsid w:val="00D92205"/>
    <w:rsid w:val="00D92B02"/>
    <w:rsid w:val="00D92D9D"/>
    <w:rsid w:val="00D93022"/>
    <w:rsid w:val="00D93753"/>
    <w:rsid w:val="00D93B53"/>
    <w:rsid w:val="00D93DBA"/>
    <w:rsid w:val="00D94F51"/>
    <w:rsid w:val="00D95006"/>
    <w:rsid w:val="00D95C4B"/>
    <w:rsid w:val="00D95F42"/>
    <w:rsid w:val="00D9649D"/>
    <w:rsid w:val="00D978CC"/>
    <w:rsid w:val="00D97BDB"/>
    <w:rsid w:val="00D97C4A"/>
    <w:rsid w:val="00DA0122"/>
    <w:rsid w:val="00DA0725"/>
    <w:rsid w:val="00DA0C52"/>
    <w:rsid w:val="00DA107B"/>
    <w:rsid w:val="00DA1BDC"/>
    <w:rsid w:val="00DA1D56"/>
    <w:rsid w:val="00DA21D2"/>
    <w:rsid w:val="00DA235A"/>
    <w:rsid w:val="00DA241C"/>
    <w:rsid w:val="00DA27A3"/>
    <w:rsid w:val="00DA2A7F"/>
    <w:rsid w:val="00DA30D1"/>
    <w:rsid w:val="00DA3167"/>
    <w:rsid w:val="00DA3B53"/>
    <w:rsid w:val="00DA3CDF"/>
    <w:rsid w:val="00DA3E4A"/>
    <w:rsid w:val="00DA401D"/>
    <w:rsid w:val="00DA4385"/>
    <w:rsid w:val="00DA44F8"/>
    <w:rsid w:val="00DA4692"/>
    <w:rsid w:val="00DA4DC3"/>
    <w:rsid w:val="00DA5019"/>
    <w:rsid w:val="00DA5042"/>
    <w:rsid w:val="00DA6865"/>
    <w:rsid w:val="00DA6C0B"/>
    <w:rsid w:val="00DA6E57"/>
    <w:rsid w:val="00DA6E6D"/>
    <w:rsid w:val="00DA7173"/>
    <w:rsid w:val="00DA77A5"/>
    <w:rsid w:val="00DB0297"/>
    <w:rsid w:val="00DB02E5"/>
    <w:rsid w:val="00DB0E36"/>
    <w:rsid w:val="00DB1611"/>
    <w:rsid w:val="00DB1DFA"/>
    <w:rsid w:val="00DB2086"/>
    <w:rsid w:val="00DB2723"/>
    <w:rsid w:val="00DB2832"/>
    <w:rsid w:val="00DB2EC7"/>
    <w:rsid w:val="00DB305C"/>
    <w:rsid w:val="00DB32E7"/>
    <w:rsid w:val="00DB33DA"/>
    <w:rsid w:val="00DB355B"/>
    <w:rsid w:val="00DB3672"/>
    <w:rsid w:val="00DB3770"/>
    <w:rsid w:val="00DB3DBF"/>
    <w:rsid w:val="00DB3E7F"/>
    <w:rsid w:val="00DB46CB"/>
    <w:rsid w:val="00DB484F"/>
    <w:rsid w:val="00DB4F78"/>
    <w:rsid w:val="00DB5C65"/>
    <w:rsid w:val="00DB5F28"/>
    <w:rsid w:val="00DB5F31"/>
    <w:rsid w:val="00DB61FC"/>
    <w:rsid w:val="00DB6B21"/>
    <w:rsid w:val="00DB6E81"/>
    <w:rsid w:val="00DC0139"/>
    <w:rsid w:val="00DC0261"/>
    <w:rsid w:val="00DC04F6"/>
    <w:rsid w:val="00DC0690"/>
    <w:rsid w:val="00DC0B4A"/>
    <w:rsid w:val="00DC1BB2"/>
    <w:rsid w:val="00DC1D65"/>
    <w:rsid w:val="00DC281F"/>
    <w:rsid w:val="00DC29E8"/>
    <w:rsid w:val="00DC2B18"/>
    <w:rsid w:val="00DC302A"/>
    <w:rsid w:val="00DC351F"/>
    <w:rsid w:val="00DC3C57"/>
    <w:rsid w:val="00DC45BF"/>
    <w:rsid w:val="00DC5501"/>
    <w:rsid w:val="00DC5577"/>
    <w:rsid w:val="00DC5DE4"/>
    <w:rsid w:val="00DC6111"/>
    <w:rsid w:val="00DC61B4"/>
    <w:rsid w:val="00DC6387"/>
    <w:rsid w:val="00DC6E3D"/>
    <w:rsid w:val="00DC7154"/>
    <w:rsid w:val="00DC7E8A"/>
    <w:rsid w:val="00DD09CA"/>
    <w:rsid w:val="00DD0F78"/>
    <w:rsid w:val="00DD1756"/>
    <w:rsid w:val="00DD175D"/>
    <w:rsid w:val="00DD194B"/>
    <w:rsid w:val="00DD1967"/>
    <w:rsid w:val="00DD2182"/>
    <w:rsid w:val="00DD23B3"/>
    <w:rsid w:val="00DD273C"/>
    <w:rsid w:val="00DD29F2"/>
    <w:rsid w:val="00DD3063"/>
    <w:rsid w:val="00DD30A5"/>
    <w:rsid w:val="00DD3AC2"/>
    <w:rsid w:val="00DD3E68"/>
    <w:rsid w:val="00DD3EBA"/>
    <w:rsid w:val="00DD3F28"/>
    <w:rsid w:val="00DD41AB"/>
    <w:rsid w:val="00DD4446"/>
    <w:rsid w:val="00DD4537"/>
    <w:rsid w:val="00DD4A7C"/>
    <w:rsid w:val="00DD4E15"/>
    <w:rsid w:val="00DD5CA1"/>
    <w:rsid w:val="00DD5E57"/>
    <w:rsid w:val="00DD688B"/>
    <w:rsid w:val="00DD6AF2"/>
    <w:rsid w:val="00DD7F5C"/>
    <w:rsid w:val="00DE014F"/>
    <w:rsid w:val="00DE0594"/>
    <w:rsid w:val="00DE07DE"/>
    <w:rsid w:val="00DE08A5"/>
    <w:rsid w:val="00DE0E1E"/>
    <w:rsid w:val="00DE1216"/>
    <w:rsid w:val="00DE13AD"/>
    <w:rsid w:val="00DE2164"/>
    <w:rsid w:val="00DE229C"/>
    <w:rsid w:val="00DE2304"/>
    <w:rsid w:val="00DE2C8E"/>
    <w:rsid w:val="00DE2EC5"/>
    <w:rsid w:val="00DE3138"/>
    <w:rsid w:val="00DE331A"/>
    <w:rsid w:val="00DE33FC"/>
    <w:rsid w:val="00DE37F8"/>
    <w:rsid w:val="00DE3AEF"/>
    <w:rsid w:val="00DE3E93"/>
    <w:rsid w:val="00DE409A"/>
    <w:rsid w:val="00DE4273"/>
    <w:rsid w:val="00DE441E"/>
    <w:rsid w:val="00DE4557"/>
    <w:rsid w:val="00DE4C5A"/>
    <w:rsid w:val="00DE4FCB"/>
    <w:rsid w:val="00DE5495"/>
    <w:rsid w:val="00DE5679"/>
    <w:rsid w:val="00DE5889"/>
    <w:rsid w:val="00DE5BA0"/>
    <w:rsid w:val="00DE5D07"/>
    <w:rsid w:val="00DE5FA2"/>
    <w:rsid w:val="00DE6333"/>
    <w:rsid w:val="00DE6429"/>
    <w:rsid w:val="00DE68EF"/>
    <w:rsid w:val="00DE6E83"/>
    <w:rsid w:val="00DE6F3D"/>
    <w:rsid w:val="00DE72A7"/>
    <w:rsid w:val="00DE7832"/>
    <w:rsid w:val="00DE7D86"/>
    <w:rsid w:val="00DF080A"/>
    <w:rsid w:val="00DF18FC"/>
    <w:rsid w:val="00DF1D71"/>
    <w:rsid w:val="00DF1F4B"/>
    <w:rsid w:val="00DF2BD7"/>
    <w:rsid w:val="00DF2D70"/>
    <w:rsid w:val="00DF3356"/>
    <w:rsid w:val="00DF48B3"/>
    <w:rsid w:val="00DF49F0"/>
    <w:rsid w:val="00DF4A05"/>
    <w:rsid w:val="00DF523C"/>
    <w:rsid w:val="00DF5322"/>
    <w:rsid w:val="00DF53E3"/>
    <w:rsid w:val="00DF5D2B"/>
    <w:rsid w:val="00DF62E8"/>
    <w:rsid w:val="00DF6341"/>
    <w:rsid w:val="00DF6D26"/>
    <w:rsid w:val="00DF70D5"/>
    <w:rsid w:val="00DF7796"/>
    <w:rsid w:val="00DF7A90"/>
    <w:rsid w:val="00DF7AF7"/>
    <w:rsid w:val="00E0031F"/>
    <w:rsid w:val="00E00E8E"/>
    <w:rsid w:val="00E0170D"/>
    <w:rsid w:val="00E0195C"/>
    <w:rsid w:val="00E01D54"/>
    <w:rsid w:val="00E02298"/>
    <w:rsid w:val="00E02685"/>
    <w:rsid w:val="00E0343A"/>
    <w:rsid w:val="00E03BBD"/>
    <w:rsid w:val="00E03D22"/>
    <w:rsid w:val="00E04DFD"/>
    <w:rsid w:val="00E04F3E"/>
    <w:rsid w:val="00E04F4E"/>
    <w:rsid w:val="00E05630"/>
    <w:rsid w:val="00E05F18"/>
    <w:rsid w:val="00E0601A"/>
    <w:rsid w:val="00E06029"/>
    <w:rsid w:val="00E06099"/>
    <w:rsid w:val="00E066C6"/>
    <w:rsid w:val="00E06A6F"/>
    <w:rsid w:val="00E06A93"/>
    <w:rsid w:val="00E06DBB"/>
    <w:rsid w:val="00E0756E"/>
    <w:rsid w:val="00E076D9"/>
    <w:rsid w:val="00E07BDE"/>
    <w:rsid w:val="00E10149"/>
    <w:rsid w:val="00E105FA"/>
    <w:rsid w:val="00E1106C"/>
    <w:rsid w:val="00E11340"/>
    <w:rsid w:val="00E1135F"/>
    <w:rsid w:val="00E11634"/>
    <w:rsid w:val="00E1204E"/>
    <w:rsid w:val="00E1208C"/>
    <w:rsid w:val="00E122A1"/>
    <w:rsid w:val="00E1233A"/>
    <w:rsid w:val="00E124CD"/>
    <w:rsid w:val="00E124E7"/>
    <w:rsid w:val="00E12907"/>
    <w:rsid w:val="00E13627"/>
    <w:rsid w:val="00E13A53"/>
    <w:rsid w:val="00E13FDB"/>
    <w:rsid w:val="00E1461C"/>
    <w:rsid w:val="00E1485C"/>
    <w:rsid w:val="00E149D8"/>
    <w:rsid w:val="00E1583A"/>
    <w:rsid w:val="00E16372"/>
    <w:rsid w:val="00E16792"/>
    <w:rsid w:val="00E16AD8"/>
    <w:rsid w:val="00E16CD9"/>
    <w:rsid w:val="00E16E1B"/>
    <w:rsid w:val="00E17028"/>
    <w:rsid w:val="00E17144"/>
    <w:rsid w:val="00E1737B"/>
    <w:rsid w:val="00E17519"/>
    <w:rsid w:val="00E17CDD"/>
    <w:rsid w:val="00E17FFA"/>
    <w:rsid w:val="00E2020B"/>
    <w:rsid w:val="00E20D8B"/>
    <w:rsid w:val="00E20E4D"/>
    <w:rsid w:val="00E20ED6"/>
    <w:rsid w:val="00E21358"/>
    <w:rsid w:val="00E21426"/>
    <w:rsid w:val="00E2249B"/>
    <w:rsid w:val="00E22A0D"/>
    <w:rsid w:val="00E23C33"/>
    <w:rsid w:val="00E23D75"/>
    <w:rsid w:val="00E2418C"/>
    <w:rsid w:val="00E244F6"/>
    <w:rsid w:val="00E24E42"/>
    <w:rsid w:val="00E258DB"/>
    <w:rsid w:val="00E25D89"/>
    <w:rsid w:val="00E25E09"/>
    <w:rsid w:val="00E26350"/>
    <w:rsid w:val="00E263F2"/>
    <w:rsid w:val="00E26BF9"/>
    <w:rsid w:val="00E2702C"/>
    <w:rsid w:val="00E27124"/>
    <w:rsid w:val="00E2771E"/>
    <w:rsid w:val="00E311EF"/>
    <w:rsid w:val="00E31200"/>
    <w:rsid w:val="00E31369"/>
    <w:rsid w:val="00E3167E"/>
    <w:rsid w:val="00E31E34"/>
    <w:rsid w:val="00E31FDE"/>
    <w:rsid w:val="00E32177"/>
    <w:rsid w:val="00E32180"/>
    <w:rsid w:val="00E32317"/>
    <w:rsid w:val="00E32853"/>
    <w:rsid w:val="00E33893"/>
    <w:rsid w:val="00E3422E"/>
    <w:rsid w:val="00E3431D"/>
    <w:rsid w:val="00E343FC"/>
    <w:rsid w:val="00E34948"/>
    <w:rsid w:val="00E35280"/>
    <w:rsid w:val="00E36F1F"/>
    <w:rsid w:val="00E370AB"/>
    <w:rsid w:val="00E37418"/>
    <w:rsid w:val="00E37569"/>
    <w:rsid w:val="00E378DE"/>
    <w:rsid w:val="00E37A96"/>
    <w:rsid w:val="00E401B2"/>
    <w:rsid w:val="00E4032E"/>
    <w:rsid w:val="00E41D36"/>
    <w:rsid w:val="00E41E30"/>
    <w:rsid w:val="00E41FE0"/>
    <w:rsid w:val="00E428D4"/>
    <w:rsid w:val="00E42F73"/>
    <w:rsid w:val="00E43408"/>
    <w:rsid w:val="00E434E3"/>
    <w:rsid w:val="00E43C75"/>
    <w:rsid w:val="00E43D70"/>
    <w:rsid w:val="00E43EA4"/>
    <w:rsid w:val="00E43F72"/>
    <w:rsid w:val="00E4431A"/>
    <w:rsid w:val="00E44341"/>
    <w:rsid w:val="00E44E61"/>
    <w:rsid w:val="00E44F71"/>
    <w:rsid w:val="00E45449"/>
    <w:rsid w:val="00E4571E"/>
    <w:rsid w:val="00E46287"/>
    <w:rsid w:val="00E466BE"/>
    <w:rsid w:val="00E466F3"/>
    <w:rsid w:val="00E46B01"/>
    <w:rsid w:val="00E46C66"/>
    <w:rsid w:val="00E475F5"/>
    <w:rsid w:val="00E479FB"/>
    <w:rsid w:val="00E47B2C"/>
    <w:rsid w:val="00E509EF"/>
    <w:rsid w:val="00E51560"/>
    <w:rsid w:val="00E51585"/>
    <w:rsid w:val="00E51821"/>
    <w:rsid w:val="00E51904"/>
    <w:rsid w:val="00E51B3D"/>
    <w:rsid w:val="00E51EA5"/>
    <w:rsid w:val="00E5273B"/>
    <w:rsid w:val="00E53517"/>
    <w:rsid w:val="00E53BB6"/>
    <w:rsid w:val="00E53C49"/>
    <w:rsid w:val="00E53FC8"/>
    <w:rsid w:val="00E54347"/>
    <w:rsid w:val="00E54D74"/>
    <w:rsid w:val="00E5503D"/>
    <w:rsid w:val="00E55424"/>
    <w:rsid w:val="00E55915"/>
    <w:rsid w:val="00E55BB5"/>
    <w:rsid w:val="00E55D0A"/>
    <w:rsid w:val="00E56756"/>
    <w:rsid w:val="00E567AF"/>
    <w:rsid w:val="00E57D32"/>
    <w:rsid w:val="00E600E0"/>
    <w:rsid w:val="00E601EF"/>
    <w:rsid w:val="00E6046D"/>
    <w:rsid w:val="00E60831"/>
    <w:rsid w:val="00E60A12"/>
    <w:rsid w:val="00E60CD7"/>
    <w:rsid w:val="00E611DF"/>
    <w:rsid w:val="00E614C1"/>
    <w:rsid w:val="00E61D59"/>
    <w:rsid w:val="00E62486"/>
    <w:rsid w:val="00E6314E"/>
    <w:rsid w:val="00E63327"/>
    <w:rsid w:val="00E6347C"/>
    <w:rsid w:val="00E6383C"/>
    <w:rsid w:val="00E6444A"/>
    <w:rsid w:val="00E647B3"/>
    <w:rsid w:val="00E64AF3"/>
    <w:rsid w:val="00E65B8E"/>
    <w:rsid w:val="00E65E79"/>
    <w:rsid w:val="00E66BA2"/>
    <w:rsid w:val="00E66E77"/>
    <w:rsid w:val="00E67416"/>
    <w:rsid w:val="00E7054E"/>
    <w:rsid w:val="00E7127D"/>
    <w:rsid w:val="00E71428"/>
    <w:rsid w:val="00E71692"/>
    <w:rsid w:val="00E718B6"/>
    <w:rsid w:val="00E723BA"/>
    <w:rsid w:val="00E73491"/>
    <w:rsid w:val="00E73581"/>
    <w:rsid w:val="00E7494F"/>
    <w:rsid w:val="00E74C80"/>
    <w:rsid w:val="00E74F65"/>
    <w:rsid w:val="00E751DF"/>
    <w:rsid w:val="00E7552D"/>
    <w:rsid w:val="00E75A98"/>
    <w:rsid w:val="00E76061"/>
    <w:rsid w:val="00E7617F"/>
    <w:rsid w:val="00E761AC"/>
    <w:rsid w:val="00E76AD5"/>
    <w:rsid w:val="00E77FA1"/>
    <w:rsid w:val="00E80711"/>
    <w:rsid w:val="00E808D4"/>
    <w:rsid w:val="00E81BB6"/>
    <w:rsid w:val="00E81DBB"/>
    <w:rsid w:val="00E82089"/>
    <w:rsid w:val="00E82378"/>
    <w:rsid w:val="00E8277E"/>
    <w:rsid w:val="00E82A38"/>
    <w:rsid w:val="00E83191"/>
    <w:rsid w:val="00E83268"/>
    <w:rsid w:val="00E833F7"/>
    <w:rsid w:val="00E8350B"/>
    <w:rsid w:val="00E83A9C"/>
    <w:rsid w:val="00E83BDF"/>
    <w:rsid w:val="00E83FF6"/>
    <w:rsid w:val="00E84606"/>
    <w:rsid w:val="00E84814"/>
    <w:rsid w:val="00E84DBB"/>
    <w:rsid w:val="00E853BF"/>
    <w:rsid w:val="00E857D0"/>
    <w:rsid w:val="00E86311"/>
    <w:rsid w:val="00E86BA3"/>
    <w:rsid w:val="00E86FCC"/>
    <w:rsid w:val="00E87896"/>
    <w:rsid w:val="00E87A1D"/>
    <w:rsid w:val="00E87ACC"/>
    <w:rsid w:val="00E87F5A"/>
    <w:rsid w:val="00E902F4"/>
    <w:rsid w:val="00E9094A"/>
    <w:rsid w:val="00E91717"/>
    <w:rsid w:val="00E918E4"/>
    <w:rsid w:val="00E91D35"/>
    <w:rsid w:val="00E921F9"/>
    <w:rsid w:val="00E926A5"/>
    <w:rsid w:val="00E92C30"/>
    <w:rsid w:val="00E92CBF"/>
    <w:rsid w:val="00E92DA7"/>
    <w:rsid w:val="00E93356"/>
    <w:rsid w:val="00E93408"/>
    <w:rsid w:val="00E93737"/>
    <w:rsid w:val="00E938CD"/>
    <w:rsid w:val="00E93AAC"/>
    <w:rsid w:val="00E946AB"/>
    <w:rsid w:val="00E947DF"/>
    <w:rsid w:val="00E9562E"/>
    <w:rsid w:val="00E95C25"/>
    <w:rsid w:val="00E962CC"/>
    <w:rsid w:val="00E97910"/>
    <w:rsid w:val="00EA06DD"/>
    <w:rsid w:val="00EA0A67"/>
    <w:rsid w:val="00EA0F87"/>
    <w:rsid w:val="00EA1503"/>
    <w:rsid w:val="00EA15A4"/>
    <w:rsid w:val="00EA17C3"/>
    <w:rsid w:val="00EA197A"/>
    <w:rsid w:val="00EA22EA"/>
    <w:rsid w:val="00EA2BC0"/>
    <w:rsid w:val="00EA2CAA"/>
    <w:rsid w:val="00EA2F4F"/>
    <w:rsid w:val="00EA34A9"/>
    <w:rsid w:val="00EA35B7"/>
    <w:rsid w:val="00EA3864"/>
    <w:rsid w:val="00EA39AB"/>
    <w:rsid w:val="00EA44F7"/>
    <w:rsid w:val="00EA4B28"/>
    <w:rsid w:val="00EA571B"/>
    <w:rsid w:val="00EA5EE0"/>
    <w:rsid w:val="00EA6AF7"/>
    <w:rsid w:val="00EA6B23"/>
    <w:rsid w:val="00EA7F1C"/>
    <w:rsid w:val="00EB03CE"/>
    <w:rsid w:val="00EB057C"/>
    <w:rsid w:val="00EB0D0B"/>
    <w:rsid w:val="00EB151F"/>
    <w:rsid w:val="00EB153C"/>
    <w:rsid w:val="00EB15B6"/>
    <w:rsid w:val="00EB16F7"/>
    <w:rsid w:val="00EB1737"/>
    <w:rsid w:val="00EB18DE"/>
    <w:rsid w:val="00EB1959"/>
    <w:rsid w:val="00EB2029"/>
    <w:rsid w:val="00EB2A98"/>
    <w:rsid w:val="00EB3115"/>
    <w:rsid w:val="00EB312B"/>
    <w:rsid w:val="00EB3D06"/>
    <w:rsid w:val="00EB4916"/>
    <w:rsid w:val="00EB4A93"/>
    <w:rsid w:val="00EB5403"/>
    <w:rsid w:val="00EB5672"/>
    <w:rsid w:val="00EB5D6D"/>
    <w:rsid w:val="00EB6783"/>
    <w:rsid w:val="00EB6800"/>
    <w:rsid w:val="00EB699A"/>
    <w:rsid w:val="00EB6D0E"/>
    <w:rsid w:val="00EC00C9"/>
    <w:rsid w:val="00EC0318"/>
    <w:rsid w:val="00EC0805"/>
    <w:rsid w:val="00EC08CE"/>
    <w:rsid w:val="00EC0ACF"/>
    <w:rsid w:val="00EC0D0C"/>
    <w:rsid w:val="00EC0DD9"/>
    <w:rsid w:val="00EC11E6"/>
    <w:rsid w:val="00EC16F8"/>
    <w:rsid w:val="00EC18E4"/>
    <w:rsid w:val="00EC25E7"/>
    <w:rsid w:val="00EC2649"/>
    <w:rsid w:val="00EC31ED"/>
    <w:rsid w:val="00EC3328"/>
    <w:rsid w:val="00EC3338"/>
    <w:rsid w:val="00EC40E7"/>
    <w:rsid w:val="00EC4762"/>
    <w:rsid w:val="00EC50DC"/>
    <w:rsid w:val="00EC5414"/>
    <w:rsid w:val="00EC5836"/>
    <w:rsid w:val="00EC58A5"/>
    <w:rsid w:val="00EC5BE2"/>
    <w:rsid w:val="00EC6295"/>
    <w:rsid w:val="00EC6347"/>
    <w:rsid w:val="00EC63B5"/>
    <w:rsid w:val="00EC688C"/>
    <w:rsid w:val="00EC72A3"/>
    <w:rsid w:val="00EC791B"/>
    <w:rsid w:val="00ED0604"/>
    <w:rsid w:val="00ED0C93"/>
    <w:rsid w:val="00ED0CBB"/>
    <w:rsid w:val="00ED0F4A"/>
    <w:rsid w:val="00ED12B4"/>
    <w:rsid w:val="00ED12E3"/>
    <w:rsid w:val="00ED1A2F"/>
    <w:rsid w:val="00ED1A86"/>
    <w:rsid w:val="00ED2282"/>
    <w:rsid w:val="00ED2C14"/>
    <w:rsid w:val="00ED2F5B"/>
    <w:rsid w:val="00ED3A7F"/>
    <w:rsid w:val="00ED3BE2"/>
    <w:rsid w:val="00ED3C14"/>
    <w:rsid w:val="00ED45A6"/>
    <w:rsid w:val="00ED4B04"/>
    <w:rsid w:val="00ED57EA"/>
    <w:rsid w:val="00ED5B70"/>
    <w:rsid w:val="00ED5BD4"/>
    <w:rsid w:val="00ED681C"/>
    <w:rsid w:val="00ED6AF1"/>
    <w:rsid w:val="00ED6C85"/>
    <w:rsid w:val="00ED6FFF"/>
    <w:rsid w:val="00ED7720"/>
    <w:rsid w:val="00ED7BE8"/>
    <w:rsid w:val="00EE067F"/>
    <w:rsid w:val="00EE07D3"/>
    <w:rsid w:val="00EE0C45"/>
    <w:rsid w:val="00EE0E7C"/>
    <w:rsid w:val="00EE168D"/>
    <w:rsid w:val="00EE1996"/>
    <w:rsid w:val="00EE1C01"/>
    <w:rsid w:val="00EE2207"/>
    <w:rsid w:val="00EE22AF"/>
    <w:rsid w:val="00EE31FD"/>
    <w:rsid w:val="00EE3236"/>
    <w:rsid w:val="00EE3F12"/>
    <w:rsid w:val="00EE429A"/>
    <w:rsid w:val="00EE42E6"/>
    <w:rsid w:val="00EE45BD"/>
    <w:rsid w:val="00EE46B9"/>
    <w:rsid w:val="00EE4BDC"/>
    <w:rsid w:val="00EE4CF1"/>
    <w:rsid w:val="00EE4D42"/>
    <w:rsid w:val="00EE529C"/>
    <w:rsid w:val="00EE55AB"/>
    <w:rsid w:val="00EE5651"/>
    <w:rsid w:val="00EE5913"/>
    <w:rsid w:val="00EE5D35"/>
    <w:rsid w:val="00EE6014"/>
    <w:rsid w:val="00EE6096"/>
    <w:rsid w:val="00EE6719"/>
    <w:rsid w:val="00EE6E39"/>
    <w:rsid w:val="00EE6EC4"/>
    <w:rsid w:val="00EE7342"/>
    <w:rsid w:val="00EE7464"/>
    <w:rsid w:val="00EE79BF"/>
    <w:rsid w:val="00EE7E07"/>
    <w:rsid w:val="00EE7F56"/>
    <w:rsid w:val="00EF010C"/>
    <w:rsid w:val="00EF0171"/>
    <w:rsid w:val="00EF033D"/>
    <w:rsid w:val="00EF0D6E"/>
    <w:rsid w:val="00EF0E1E"/>
    <w:rsid w:val="00EF1741"/>
    <w:rsid w:val="00EF1886"/>
    <w:rsid w:val="00EF1B25"/>
    <w:rsid w:val="00EF1DA0"/>
    <w:rsid w:val="00EF1DDB"/>
    <w:rsid w:val="00EF27C6"/>
    <w:rsid w:val="00EF2811"/>
    <w:rsid w:val="00EF3B90"/>
    <w:rsid w:val="00EF41B1"/>
    <w:rsid w:val="00EF45FA"/>
    <w:rsid w:val="00EF4747"/>
    <w:rsid w:val="00EF4BF8"/>
    <w:rsid w:val="00EF4C07"/>
    <w:rsid w:val="00EF4CFA"/>
    <w:rsid w:val="00EF5D94"/>
    <w:rsid w:val="00EF6043"/>
    <w:rsid w:val="00EF7B21"/>
    <w:rsid w:val="00F001ED"/>
    <w:rsid w:val="00F002EA"/>
    <w:rsid w:val="00F007E7"/>
    <w:rsid w:val="00F00E28"/>
    <w:rsid w:val="00F012F4"/>
    <w:rsid w:val="00F014A6"/>
    <w:rsid w:val="00F01597"/>
    <w:rsid w:val="00F01657"/>
    <w:rsid w:val="00F02253"/>
    <w:rsid w:val="00F02994"/>
    <w:rsid w:val="00F03377"/>
    <w:rsid w:val="00F037AD"/>
    <w:rsid w:val="00F03A50"/>
    <w:rsid w:val="00F03C2E"/>
    <w:rsid w:val="00F03E32"/>
    <w:rsid w:val="00F041FC"/>
    <w:rsid w:val="00F042C2"/>
    <w:rsid w:val="00F045EB"/>
    <w:rsid w:val="00F04A66"/>
    <w:rsid w:val="00F04B4B"/>
    <w:rsid w:val="00F0516C"/>
    <w:rsid w:val="00F051F6"/>
    <w:rsid w:val="00F05305"/>
    <w:rsid w:val="00F0546C"/>
    <w:rsid w:val="00F0658D"/>
    <w:rsid w:val="00F065F9"/>
    <w:rsid w:val="00F06647"/>
    <w:rsid w:val="00F067A2"/>
    <w:rsid w:val="00F06E74"/>
    <w:rsid w:val="00F0771B"/>
    <w:rsid w:val="00F07973"/>
    <w:rsid w:val="00F07B7D"/>
    <w:rsid w:val="00F07B9E"/>
    <w:rsid w:val="00F100AD"/>
    <w:rsid w:val="00F102F0"/>
    <w:rsid w:val="00F10670"/>
    <w:rsid w:val="00F10C2B"/>
    <w:rsid w:val="00F1116F"/>
    <w:rsid w:val="00F1149F"/>
    <w:rsid w:val="00F11FF3"/>
    <w:rsid w:val="00F1263A"/>
    <w:rsid w:val="00F1316B"/>
    <w:rsid w:val="00F131D9"/>
    <w:rsid w:val="00F133BB"/>
    <w:rsid w:val="00F13412"/>
    <w:rsid w:val="00F1389A"/>
    <w:rsid w:val="00F139C5"/>
    <w:rsid w:val="00F1431A"/>
    <w:rsid w:val="00F145A8"/>
    <w:rsid w:val="00F14984"/>
    <w:rsid w:val="00F15874"/>
    <w:rsid w:val="00F15B77"/>
    <w:rsid w:val="00F15F73"/>
    <w:rsid w:val="00F15F8B"/>
    <w:rsid w:val="00F15FC8"/>
    <w:rsid w:val="00F160DA"/>
    <w:rsid w:val="00F162B6"/>
    <w:rsid w:val="00F17041"/>
    <w:rsid w:val="00F1752E"/>
    <w:rsid w:val="00F1756C"/>
    <w:rsid w:val="00F17778"/>
    <w:rsid w:val="00F17E10"/>
    <w:rsid w:val="00F20F4C"/>
    <w:rsid w:val="00F21236"/>
    <w:rsid w:val="00F21A8D"/>
    <w:rsid w:val="00F22694"/>
    <w:rsid w:val="00F22A5D"/>
    <w:rsid w:val="00F22DA7"/>
    <w:rsid w:val="00F23127"/>
    <w:rsid w:val="00F23280"/>
    <w:rsid w:val="00F23603"/>
    <w:rsid w:val="00F23787"/>
    <w:rsid w:val="00F239DF"/>
    <w:rsid w:val="00F241E2"/>
    <w:rsid w:val="00F243ED"/>
    <w:rsid w:val="00F244D0"/>
    <w:rsid w:val="00F244F7"/>
    <w:rsid w:val="00F24837"/>
    <w:rsid w:val="00F25753"/>
    <w:rsid w:val="00F2575F"/>
    <w:rsid w:val="00F25C26"/>
    <w:rsid w:val="00F26637"/>
    <w:rsid w:val="00F266B4"/>
    <w:rsid w:val="00F2697B"/>
    <w:rsid w:val="00F26A9E"/>
    <w:rsid w:val="00F27343"/>
    <w:rsid w:val="00F27565"/>
    <w:rsid w:val="00F303A4"/>
    <w:rsid w:val="00F309CE"/>
    <w:rsid w:val="00F310D4"/>
    <w:rsid w:val="00F31D5A"/>
    <w:rsid w:val="00F31F6E"/>
    <w:rsid w:val="00F3349A"/>
    <w:rsid w:val="00F3356E"/>
    <w:rsid w:val="00F33641"/>
    <w:rsid w:val="00F33804"/>
    <w:rsid w:val="00F33975"/>
    <w:rsid w:val="00F33DE9"/>
    <w:rsid w:val="00F34135"/>
    <w:rsid w:val="00F3414F"/>
    <w:rsid w:val="00F34374"/>
    <w:rsid w:val="00F343C5"/>
    <w:rsid w:val="00F349E9"/>
    <w:rsid w:val="00F34B14"/>
    <w:rsid w:val="00F35052"/>
    <w:rsid w:val="00F35305"/>
    <w:rsid w:val="00F35836"/>
    <w:rsid w:val="00F35927"/>
    <w:rsid w:val="00F35E6D"/>
    <w:rsid w:val="00F36033"/>
    <w:rsid w:val="00F3619A"/>
    <w:rsid w:val="00F3619C"/>
    <w:rsid w:val="00F364FF"/>
    <w:rsid w:val="00F3724A"/>
    <w:rsid w:val="00F379EE"/>
    <w:rsid w:val="00F37B8A"/>
    <w:rsid w:val="00F40305"/>
    <w:rsid w:val="00F40AAA"/>
    <w:rsid w:val="00F40BA7"/>
    <w:rsid w:val="00F40D41"/>
    <w:rsid w:val="00F40E6E"/>
    <w:rsid w:val="00F40F9D"/>
    <w:rsid w:val="00F41954"/>
    <w:rsid w:val="00F41A41"/>
    <w:rsid w:val="00F41ACD"/>
    <w:rsid w:val="00F41B95"/>
    <w:rsid w:val="00F44E20"/>
    <w:rsid w:val="00F44F95"/>
    <w:rsid w:val="00F450FA"/>
    <w:rsid w:val="00F461E5"/>
    <w:rsid w:val="00F462C8"/>
    <w:rsid w:val="00F4643E"/>
    <w:rsid w:val="00F4660A"/>
    <w:rsid w:val="00F46CB6"/>
    <w:rsid w:val="00F474EB"/>
    <w:rsid w:val="00F4756D"/>
    <w:rsid w:val="00F478E4"/>
    <w:rsid w:val="00F47DD1"/>
    <w:rsid w:val="00F47DE8"/>
    <w:rsid w:val="00F503DB"/>
    <w:rsid w:val="00F50785"/>
    <w:rsid w:val="00F50CDD"/>
    <w:rsid w:val="00F50EC1"/>
    <w:rsid w:val="00F51148"/>
    <w:rsid w:val="00F51359"/>
    <w:rsid w:val="00F513D5"/>
    <w:rsid w:val="00F516F9"/>
    <w:rsid w:val="00F51A15"/>
    <w:rsid w:val="00F5358F"/>
    <w:rsid w:val="00F53872"/>
    <w:rsid w:val="00F53930"/>
    <w:rsid w:val="00F53A93"/>
    <w:rsid w:val="00F542C1"/>
    <w:rsid w:val="00F550E3"/>
    <w:rsid w:val="00F55E73"/>
    <w:rsid w:val="00F55EDA"/>
    <w:rsid w:val="00F560EC"/>
    <w:rsid w:val="00F56433"/>
    <w:rsid w:val="00F56ADE"/>
    <w:rsid w:val="00F56C80"/>
    <w:rsid w:val="00F57397"/>
    <w:rsid w:val="00F577CC"/>
    <w:rsid w:val="00F57DC9"/>
    <w:rsid w:val="00F60092"/>
    <w:rsid w:val="00F6020E"/>
    <w:rsid w:val="00F61095"/>
    <w:rsid w:val="00F61254"/>
    <w:rsid w:val="00F61985"/>
    <w:rsid w:val="00F61C18"/>
    <w:rsid w:val="00F62104"/>
    <w:rsid w:val="00F62128"/>
    <w:rsid w:val="00F62737"/>
    <w:rsid w:val="00F62D3C"/>
    <w:rsid w:val="00F6385B"/>
    <w:rsid w:val="00F6427A"/>
    <w:rsid w:val="00F6438C"/>
    <w:rsid w:val="00F64562"/>
    <w:rsid w:val="00F64570"/>
    <w:rsid w:val="00F649E0"/>
    <w:rsid w:val="00F6581F"/>
    <w:rsid w:val="00F6586B"/>
    <w:rsid w:val="00F658CF"/>
    <w:rsid w:val="00F65F4B"/>
    <w:rsid w:val="00F660AA"/>
    <w:rsid w:val="00F66491"/>
    <w:rsid w:val="00F66B84"/>
    <w:rsid w:val="00F66D3D"/>
    <w:rsid w:val="00F677FA"/>
    <w:rsid w:val="00F67827"/>
    <w:rsid w:val="00F67A69"/>
    <w:rsid w:val="00F700D8"/>
    <w:rsid w:val="00F7043B"/>
    <w:rsid w:val="00F7058C"/>
    <w:rsid w:val="00F70BFF"/>
    <w:rsid w:val="00F70C9D"/>
    <w:rsid w:val="00F72358"/>
    <w:rsid w:val="00F7292E"/>
    <w:rsid w:val="00F729DC"/>
    <w:rsid w:val="00F72BCC"/>
    <w:rsid w:val="00F72E17"/>
    <w:rsid w:val="00F7337D"/>
    <w:rsid w:val="00F737CD"/>
    <w:rsid w:val="00F73E08"/>
    <w:rsid w:val="00F73E7C"/>
    <w:rsid w:val="00F74394"/>
    <w:rsid w:val="00F747F8"/>
    <w:rsid w:val="00F74CD9"/>
    <w:rsid w:val="00F75239"/>
    <w:rsid w:val="00F7560D"/>
    <w:rsid w:val="00F76AD2"/>
    <w:rsid w:val="00F773C9"/>
    <w:rsid w:val="00F80A7B"/>
    <w:rsid w:val="00F80E5D"/>
    <w:rsid w:val="00F8194F"/>
    <w:rsid w:val="00F81D3A"/>
    <w:rsid w:val="00F81E78"/>
    <w:rsid w:val="00F81EC4"/>
    <w:rsid w:val="00F82260"/>
    <w:rsid w:val="00F8297B"/>
    <w:rsid w:val="00F82CDE"/>
    <w:rsid w:val="00F82CFF"/>
    <w:rsid w:val="00F82DB6"/>
    <w:rsid w:val="00F8334D"/>
    <w:rsid w:val="00F83916"/>
    <w:rsid w:val="00F83ED7"/>
    <w:rsid w:val="00F84E40"/>
    <w:rsid w:val="00F851CE"/>
    <w:rsid w:val="00F856CC"/>
    <w:rsid w:val="00F8583E"/>
    <w:rsid w:val="00F85FB8"/>
    <w:rsid w:val="00F873AE"/>
    <w:rsid w:val="00F906F9"/>
    <w:rsid w:val="00F909A1"/>
    <w:rsid w:val="00F909FD"/>
    <w:rsid w:val="00F90F3D"/>
    <w:rsid w:val="00F91219"/>
    <w:rsid w:val="00F91F57"/>
    <w:rsid w:val="00F92444"/>
    <w:rsid w:val="00F92754"/>
    <w:rsid w:val="00F93459"/>
    <w:rsid w:val="00F9393E"/>
    <w:rsid w:val="00F93C9F"/>
    <w:rsid w:val="00F93CF2"/>
    <w:rsid w:val="00F93E5B"/>
    <w:rsid w:val="00F94280"/>
    <w:rsid w:val="00F94503"/>
    <w:rsid w:val="00F94F4F"/>
    <w:rsid w:val="00F95BE3"/>
    <w:rsid w:val="00F95BE5"/>
    <w:rsid w:val="00F96305"/>
    <w:rsid w:val="00F96371"/>
    <w:rsid w:val="00F96E33"/>
    <w:rsid w:val="00F96FD0"/>
    <w:rsid w:val="00F9753E"/>
    <w:rsid w:val="00F975F9"/>
    <w:rsid w:val="00F97A78"/>
    <w:rsid w:val="00F97BC5"/>
    <w:rsid w:val="00FA043D"/>
    <w:rsid w:val="00FA073C"/>
    <w:rsid w:val="00FA0B20"/>
    <w:rsid w:val="00FA1514"/>
    <w:rsid w:val="00FA17BB"/>
    <w:rsid w:val="00FA1B27"/>
    <w:rsid w:val="00FA1D39"/>
    <w:rsid w:val="00FA1DC4"/>
    <w:rsid w:val="00FA2110"/>
    <w:rsid w:val="00FA24E7"/>
    <w:rsid w:val="00FA253D"/>
    <w:rsid w:val="00FA296A"/>
    <w:rsid w:val="00FA2F8B"/>
    <w:rsid w:val="00FA30D4"/>
    <w:rsid w:val="00FA353D"/>
    <w:rsid w:val="00FA36A9"/>
    <w:rsid w:val="00FA3790"/>
    <w:rsid w:val="00FA39B8"/>
    <w:rsid w:val="00FA3D84"/>
    <w:rsid w:val="00FA4596"/>
    <w:rsid w:val="00FA4BFB"/>
    <w:rsid w:val="00FA4EBE"/>
    <w:rsid w:val="00FA5A64"/>
    <w:rsid w:val="00FA5B71"/>
    <w:rsid w:val="00FA5EE6"/>
    <w:rsid w:val="00FA5FF7"/>
    <w:rsid w:val="00FA644B"/>
    <w:rsid w:val="00FA6657"/>
    <w:rsid w:val="00FA679E"/>
    <w:rsid w:val="00FA686E"/>
    <w:rsid w:val="00FA7240"/>
    <w:rsid w:val="00FA77E2"/>
    <w:rsid w:val="00FA7956"/>
    <w:rsid w:val="00FB0177"/>
    <w:rsid w:val="00FB0302"/>
    <w:rsid w:val="00FB03B8"/>
    <w:rsid w:val="00FB05AB"/>
    <w:rsid w:val="00FB0824"/>
    <w:rsid w:val="00FB102F"/>
    <w:rsid w:val="00FB132B"/>
    <w:rsid w:val="00FB21A3"/>
    <w:rsid w:val="00FB264C"/>
    <w:rsid w:val="00FB283C"/>
    <w:rsid w:val="00FB2FCB"/>
    <w:rsid w:val="00FB3F35"/>
    <w:rsid w:val="00FB3FC8"/>
    <w:rsid w:val="00FB461C"/>
    <w:rsid w:val="00FB4C9C"/>
    <w:rsid w:val="00FB4E72"/>
    <w:rsid w:val="00FB6104"/>
    <w:rsid w:val="00FB6583"/>
    <w:rsid w:val="00FB684C"/>
    <w:rsid w:val="00FB7179"/>
    <w:rsid w:val="00FB720E"/>
    <w:rsid w:val="00FB7C55"/>
    <w:rsid w:val="00FB7D43"/>
    <w:rsid w:val="00FC05C4"/>
    <w:rsid w:val="00FC0BAB"/>
    <w:rsid w:val="00FC1074"/>
    <w:rsid w:val="00FC134D"/>
    <w:rsid w:val="00FC182B"/>
    <w:rsid w:val="00FC1884"/>
    <w:rsid w:val="00FC194E"/>
    <w:rsid w:val="00FC1FC6"/>
    <w:rsid w:val="00FC243A"/>
    <w:rsid w:val="00FC3666"/>
    <w:rsid w:val="00FC371D"/>
    <w:rsid w:val="00FC4849"/>
    <w:rsid w:val="00FC48FB"/>
    <w:rsid w:val="00FC52FF"/>
    <w:rsid w:val="00FC5F0B"/>
    <w:rsid w:val="00FC64B4"/>
    <w:rsid w:val="00FD03E8"/>
    <w:rsid w:val="00FD06D1"/>
    <w:rsid w:val="00FD079E"/>
    <w:rsid w:val="00FD0D01"/>
    <w:rsid w:val="00FD0E47"/>
    <w:rsid w:val="00FD0EF2"/>
    <w:rsid w:val="00FD0EF8"/>
    <w:rsid w:val="00FD0F09"/>
    <w:rsid w:val="00FD13BD"/>
    <w:rsid w:val="00FD2100"/>
    <w:rsid w:val="00FD354A"/>
    <w:rsid w:val="00FD3773"/>
    <w:rsid w:val="00FD3D1C"/>
    <w:rsid w:val="00FD436C"/>
    <w:rsid w:val="00FD4427"/>
    <w:rsid w:val="00FD446D"/>
    <w:rsid w:val="00FD4F2C"/>
    <w:rsid w:val="00FD50EE"/>
    <w:rsid w:val="00FD5856"/>
    <w:rsid w:val="00FD5AB7"/>
    <w:rsid w:val="00FD5FDF"/>
    <w:rsid w:val="00FD6394"/>
    <w:rsid w:val="00FD63E7"/>
    <w:rsid w:val="00FD6653"/>
    <w:rsid w:val="00FD6EB3"/>
    <w:rsid w:val="00FD7D96"/>
    <w:rsid w:val="00FD7E68"/>
    <w:rsid w:val="00FE04A9"/>
    <w:rsid w:val="00FE0A3E"/>
    <w:rsid w:val="00FE0E6C"/>
    <w:rsid w:val="00FE0FCD"/>
    <w:rsid w:val="00FE1671"/>
    <w:rsid w:val="00FE16F7"/>
    <w:rsid w:val="00FE1C6F"/>
    <w:rsid w:val="00FE1CDC"/>
    <w:rsid w:val="00FE1D3C"/>
    <w:rsid w:val="00FE26FB"/>
    <w:rsid w:val="00FE2D60"/>
    <w:rsid w:val="00FE2EB2"/>
    <w:rsid w:val="00FE3009"/>
    <w:rsid w:val="00FE329E"/>
    <w:rsid w:val="00FE32E5"/>
    <w:rsid w:val="00FE33E0"/>
    <w:rsid w:val="00FE3D78"/>
    <w:rsid w:val="00FE3DAD"/>
    <w:rsid w:val="00FE3E9F"/>
    <w:rsid w:val="00FE4C9A"/>
    <w:rsid w:val="00FE4D86"/>
    <w:rsid w:val="00FE4DB3"/>
    <w:rsid w:val="00FE527F"/>
    <w:rsid w:val="00FE5739"/>
    <w:rsid w:val="00FE6261"/>
    <w:rsid w:val="00FE69F1"/>
    <w:rsid w:val="00FE70C3"/>
    <w:rsid w:val="00FF027B"/>
    <w:rsid w:val="00FF05CB"/>
    <w:rsid w:val="00FF15E4"/>
    <w:rsid w:val="00FF1999"/>
    <w:rsid w:val="00FF1A8B"/>
    <w:rsid w:val="00FF2377"/>
    <w:rsid w:val="00FF2417"/>
    <w:rsid w:val="00FF27DD"/>
    <w:rsid w:val="00FF2AD9"/>
    <w:rsid w:val="00FF34E1"/>
    <w:rsid w:val="00FF359F"/>
    <w:rsid w:val="00FF3AFC"/>
    <w:rsid w:val="00FF3CCC"/>
    <w:rsid w:val="00FF3DCF"/>
    <w:rsid w:val="00FF3ECD"/>
    <w:rsid w:val="00FF492C"/>
    <w:rsid w:val="00FF4A21"/>
    <w:rsid w:val="00FF5958"/>
    <w:rsid w:val="00FF5AA3"/>
    <w:rsid w:val="00FF5AD8"/>
    <w:rsid w:val="00FF608F"/>
    <w:rsid w:val="00FF658F"/>
    <w:rsid w:val="00FF66C0"/>
    <w:rsid w:val="00FF732E"/>
    <w:rsid w:val="00FF73CE"/>
    <w:rsid w:val="3EFC9863"/>
    <w:rsid w:val="7CD342E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3B02"/>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9A6C20"/>
    <w:pPr>
      <w:keepNext/>
      <w:spacing w:after="120"/>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A6C20"/>
    <w:rPr>
      <w:rFonts w:ascii="Calibri" w:hAnsi="Calibri" w:cs="Arial"/>
      <w:b/>
      <w:i/>
      <w:sz w:val="28"/>
      <w:szCs w:val="24"/>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COMCICsubheading">
    <w:name w:val="COM CIC subheading"/>
    <w:basedOn w:val="Normal"/>
    <w:link w:val="COMCICsubheadingChar"/>
    <w:qFormat/>
    <w:rsid w:val="002C1390"/>
    <w:pPr>
      <w:keepNext/>
      <w:keepLines/>
      <w:spacing w:before="40"/>
      <w:jc w:val="center"/>
      <w:outlineLvl w:val="2"/>
    </w:pPr>
    <w:rPr>
      <w:rFonts w:asciiTheme="minorHAnsi" w:eastAsiaTheme="majorEastAsia" w:hAnsiTheme="minorHAnsi" w:cstheme="majorBidi"/>
      <w:b/>
      <w:color w:val="000000" w:themeColor="text1"/>
    </w:rPr>
  </w:style>
  <w:style w:type="character" w:customStyle="1" w:styleId="COMCICsubheadingChar">
    <w:name w:val="COM CIC subheading Char"/>
    <w:basedOn w:val="DefaultParagraphFont"/>
    <w:link w:val="COMCICsubheading"/>
    <w:rsid w:val="002C1390"/>
    <w:rPr>
      <w:rFonts w:asciiTheme="minorHAnsi" w:eastAsiaTheme="majorEastAsia" w:hAnsiTheme="minorHAnsi" w:cstheme="majorBidi"/>
      <w:b/>
      <w:color w:val="000000" w:themeColor="text1"/>
      <w:sz w:val="24"/>
      <w:szCs w:val="24"/>
    </w:rPr>
  </w:style>
  <w:style w:type="paragraph" w:styleId="Header">
    <w:name w:val="header"/>
    <w:aliases w:val="Page Header,Header title,he=header,cntr/bld"/>
    <w:basedOn w:val="Normal"/>
    <w:link w:val="HeaderChar"/>
    <w:uiPriority w:val="99"/>
    <w:qFormat/>
    <w:rsid w:val="00A51C91"/>
    <w:pPr>
      <w:keepNext/>
      <w:tabs>
        <w:tab w:val="center" w:pos="4513"/>
        <w:tab w:val="right" w:pos="9026"/>
      </w:tabs>
      <w:jc w:val="center"/>
    </w:pPr>
    <w:rPr>
      <w:i/>
      <w:iCs/>
    </w:rPr>
  </w:style>
  <w:style w:type="character" w:customStyle="1" w:styleId="HeaderChar">
    <w:name w:val="Header Char"/>
    <w:aliases w:val="Page Header Char,Header title Char,he=header Char,cntr/bld Char"/>
    <w:basedOn w:val="DefaultParagraphFont"/>
    <w:link w:val="Header"/>
    <w:uiPriority w:val="99"/>
    <w:rsid w:val="00A51C91"/>
    <w:rPr>
      <w:rFonts w:ascii="Calibri" w:hAnsi="Calibri" w:cs="Arial"/>
      <w:i/>
      <w:iCs/>
      <w:sz w:val="24"/>
      <w:szCs w:val="24"/>
    </w:rPr>
  </w:style>
  <w:style w:type="paragraph" w:customStyle="1" w:styleId="PageFooter">
    <w:name w:val="Page Footer"/>
    <w:basedOn w:val="Normal"/>
    <w:link w:val="PageFooterChar"/>
    <w:qFormat/>
    <w:rsid w:val="00AB5410"/>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AB5410"/>
    <w:rPr>
      <w:rFonts w:ascii="Calibri" w:hAnsi="Calibri" w:cs="Arial"/>
      <w:b/>
      <w:sz w:val="24"/>
      <w:szCs w:val="24"/>
    </w:rPr>
  </w:style>
  <w:style w:type="character" w:styleId="Hyperlink">
    <w:name w:val="Hyperlink"/>
    <w:basedOn w:val="DefaultParagraphFont"/>
    <w:uiPriority w:val="99"/>
    <w:unhideWhenUsed/>
    <w:rsid w:val="00B15185"/>
    <w:rPr>
      <w:color w:val="0000FF" w:themeColor="hyperlink"/>
      <w:u w:val="single"/>
    </w:rPr>
  </w:style>
  <w:style w:type="paragraph" w:customStyle="1" w:styleId="COMH2-numbered">
    <w:name w:val="COM H2 - numbered"/>
    <w:basedOn w:val="Heading2"/>
    <w:next w:val="COMBody"/>
    <w:qFormat/>
    <w:rsid w:val="001C002E"/>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FD5856"/>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customStyle="1" w:styleId="Bulletpoints">
    <w:name w:val="Bullet points"/>
    <w:basedOn w:val="Normal"/>
    <w:rsid w:val="0007519D"/>
    <w:pPr>
      <w:numPr>
        <w:numId w:val="2"/>
      </w:numPr>
      <w:spacing w:after="120"/>
      <w:contextualSpacing/>
      <w:jc w:val="left"/>
    </w:pPr>
    <w:rPr>
      <w:rFonts w:asciiTheme="minorHAnsi" w:hAnsiTheme="minorHAnsi"/>
      <w:snapToGrid w:val="0"/>
    </w:rPr>
  </w:style>
  <w:style w:type="paragraph" w:styleId="Revision">
    <w:name w:val="Revision"/>
    <w:hidden/>
    <w:uiPriority w:val="99"/>
    <w:semiHidden/>
    <w:rsid w:val="00043C37"/>
    <w:rPr>
      <w:rFonts w:ascii="Arial" w:hAnsi="Arial" w:cs="Arial"/>
      <w:snapToGrid w:val="0"/>
      <w:sz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
    <w:name w:val="Table Text"/>
    <w:link w:val="TableTextChar"/>
    <w:qFormat/>
    <w:rsid w:val="00ED3C14"/>
    <w:pPr>
      <w:keepNext/>
      <w:keepLines/>
      <w:widowControl w:val="0"/>
      <w:numPr>
        <w:numId w:val="10"/>
      </w:numPr>
    </w:pPr>
    <w:rPr>
      <w:rFonts w:ascii="Arial Narrow" w:eastAsiaTheme="majorEastAsia" w:hAnsi="Arial Narrow" w:cstheme="majorBidi"/>
      <w:bCs/>
      <w:szCs w:val="24"/>
    </w:rPr>
  </w:style>
  <w:style w:type="paragraph" w:customStyle="1" w:styleId="COMheadingnotforTOC">
    <w:name w:val="COM heading not for TOC"/>
    <w:qFormat/>
    <w:rsid w:val="004C3B02"/>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A31FF3"/>
    <w:pPr>
      <w:keepNext/>
      <w:keepLines/>
    </w:pPr>
    <w:rPr>
      <w:rFonts w:ascii="Arial Narrow" w:eastAsiaTheme="majorEastAsia" w:hAnsi="Arial Narrow"/>
      <w:b/>
      <w:szCs w:val="24"/>
      <w:lang w:val="en-US"/>
    </w:rPr>
  </w:style>
  <w:style w:type="paragraph" w:customStyle="1" w:styleId="COMH1-numbered">
    <w:name w:val="COM H1 - numbered"/>
    <w:next w:val="COMexecsummnumbered"/>
    <w:qFormat/>
    <w:rsid w:val="00292028"/>
    <w:pPr>
      <w:keepNext/>
      <w:numPr>
        <w:numId w:val="5"/>
      </w:numPr>
      <w:spacing w:before="240" w:after="120"/>
      <w:outlineLvl w:val="0"/>
    </w:pPr>
    <w:rPr>
      <w:rFonts w:asciiTheme="minorHAnsi" w:hAnsiTheme="minorHAnsi" w:cs="Arial"/>
      <w:b/>
      <w:snapToGrid w:val="0"/>
      <w:sz w:val="32"/>
      <w:szCs w:val="32"/>
    </w:rPr>
  </w:style>
  <w:style w:type="paragraph" w:customStyle="1" w:styleId="COMexecsummheadings">
    <w:name w:val="COM exec summ headings"/>
    <w:next w:val="COMH1-numbered"/>
    <w:link w:val="COMexecsummheadingsChar"/>
    <w:qFormat/>
    <w:rsid w:val="004C3B02"/>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COMexecsummheadingsChar">
    <w:name w:val="COM exec summ headings Char"/>
    <w:basedOn w:val="DefaultParagraphFont"/>
    <w:link w:val="COMexecsummheadings"/>
    <w:rsid w:val="004C3B02"/>
    <w:rPr>
      <w:rFonts w:asciiTheme="minorHAnsi" w:eastAsiaTheme="majorEastAsia" w:hAnsiTheme="minorHAnsi" w:cstheme="majorBidi"/>
      <w:b/>
      <w:spacing w:val="5"/>
      <w:kern w:val="28"/>
      <w:sz w:val="36"/>
      <w:szCs w:val="36"/>
    </w:rPr>
  </w:style>
  <w:style w:type="paragraph" w:customStyle="1" w:styleId="COMexecsummnumbered">
    <w:name w:val="COM exec summ numbered"/>
    <w:link w:val="COMexecsummnumberedChar"/>
    <w:qFormat/>
    <w:rsid w:val="008D080F"/>
    <w:pPr>
      <w:numPr>
        <w:ilvl w:val="1"/>
        <w:numId w:val="5"/>
      </w:numPr>
      <w:spacing w:before="120" w:after="120"/>
      <w:jc w:val="both"/>
    </w:pPr>
    <w:rPr>
      <w:rFonts w:asciiTheme="minorHAnsi" w:eastAsiaTheme="minorHAnsi" w:hAnsiTheme="minorHAnsi" w:cstheme="minorBidi"/>
      <w:sz w:val="24"/>
      <w:szCs w:val="22"/>
    </w:rPr>
  </w:style>
  <w:style w:type="character" w:customStyle="1" w:styleId="COMexecsummnumberedChar">
    <w:name w:val="COM exec summ numbered Char"/>
    <w:basedOn w:val="DefaultParagraphFont"/>
    <w:link w:val="COMexecsummnumbered"/>
    <w:rsid w:val="008D080F"/>
    <w:rPr>
      <w:rFonts w:asciiTheme="minorHAnsi" w:eastAsiaTheme="minorHAnsi" w:hAnsiTheme="minorHAnsi" w:cstheme="minorBidi"/>
      <w:sz w:val="24"/>
      <w:szCs w:val="22"/>
    </w:rPr>
  </w:style>
  <w:style w:type="character" w:customStyle="1" w:styleId="TableTextChar">
    <w:name w:val="Table Text Char"/>
    <w:basedOn w:val="DefaultParagraphFont"/>
    <w:link w:val="TableText"/>
    <w:rsid w:val="00ED3C14"/>
    <w:rPr>
      <w:rFonts w:ascii="Arial Narrow" w:eastAsiaTheme="majorEastAsia" w:hAnsi="Arial Narrow" w:cstheme="majorBidi"/>
      <w:bCs/>
      <w:szCs w:val="24"/>
    </w:rPr>
  </w:style>
  <w:style w:type="paragraph" w:customStyle="1" w:styleId="COMBody">
    <w:name w:val="COM Body"/>
    <w:basedOn w:val="Normal"/>
    <w:link w:val="COMBodyChar"/>
    <w:qFormat/>
    <w:rsid w:val="0079172B"/>
  </w:style>
  <w:style w:type="character" w:customStyle="1" w:styleId="COMBodyChar">
    <w:name w:val="COM Body Char"/>
    <w:basedOn w:val="DefaultParagraphFont"/>
    <w:link w:val="COMBody"/>
    <w:rsid w:val="0079172B"/>
    <w:rPr>
      <w:rFonts w:ascii="Calibri" w:hAnsi="Calibri" w:cs="Arial"/>
      <w:sz w:val="24"/>
      <w:szCs w:val="24"/>
    </w:rPr>
  </w:style>
  <w:style w:type="paragraph" w:customStyle="1" w:styleId="COMbodybulletlist">
    <w:name w:val="COM body bullet list"/>
    <w:basedOn w:val="Normal"/>
    <w:link w:val="COMbodybulletlistChar"/>
    <w:qFormat/>
    <w:rsid w:val="00832E0B"/>
    <w:pPr>
      <w:numPr>
        <w:numId w:val="13"/>
      </w:numPr>
      <w:tabs>
        <w:tab w:val="num" w:pos="360"/>
      </w:tabs>
      <w:ind w:left="357" w:hanging="357"/>
      <w:contextualSpacing/>
    </w:pPr>
  </w:style>
  <w:style w:type="character" w:customStyle="1" w:styleId="COMbodybulletlistChar">
    <w:name w:val="COM body bullet list Char"/>
    <w:basedOn w:val="DefaultParagraphFont"/>
    <w:link w:val="COMbodybulletlist"/>
    <w:rsid w:val="00832E0B"/>
    <w:rPr>
      <w:rFonts w:ascii="Calibri" w:hAnsi="Calibri" w:cs="Arial"/>
      <w:sz w:val="24"/>
      <w:szCs w:val="24"/>
    </w:rPr>
  </w:style>
  <w:style w:type="paragraph" w:customStyle="1" w:styleId="COMexecsummbulletlist">
    <w:name w:val="COM exec summ bullet list"/>
    <w:basedOn w:val="Normal"/>
    <w:link w:val="COMexecsummbulletlistChar"/>
    <w:qFormat/>
    <w:rsid w:val="0007519D"/>
    <w:pPr>
      <w:numPr>
        <w:numId w:val="6"/>
      </w:numPr>
      <w:spacing w:after="120"/>
      <w:ind w:left="1134"/>
    </w:pPr>
    <w:rPr>
      <w:rFonts w:asciiTheme="minorHAnsi" w:hAnsiTheme="minorHAnsi"/>
      <w:snapToGrid w:val="0"/>
    </w:rPr>
  </w:style>
  <w:style w:type="character" w:customStyle="1" w:styleId="COMexecsummbulletlistChar">
    <w:name w:val="COM exec summ bullet list Char"/>
    <w:basedOn w:val="DefaultParagraphFont"/>
    <w:link w:val="COMexecsummbulletlist"/>
    <w:rsid w:val="0007519D"/>
    <w:rPr>
      <w:rFonts w:asciiTheme="minorHAnsi" w:hAnsiTheme="minorHAnsi" w:cs="Arial"/>
      <w:snapToGrid w:val="0"/>
      <w:sz w:val="24"/>
      <w:szCs w:val="24"/>
    </w:rPr>
  </w:style>
  <w:style w:type="paragraph" w:customStyle="1" w:styleId="COMexecsummmainissuesbullets">
    <w:name w:val="COM exec summ main issues bullets"/>
    <w:basedOn w:val="Normal"/>
    <w:link w:val="COMexecsummmainissuesbulletsChar"/>
    <w:qFormat/>
    <w:rsid w:val="0007519D"/>
    <w:pPr>
      <w:numPr>
        <w:numId w:val="7"/>
      </w:numPr>
      <w:spacing w:after="120"/>
    </w:pPr>
    <w:rPr>
      <w:rFonts w:asciiTheme="minorHAnsi" w:hAnsiTheme="minorHAnsi"/>
      <w:snapToGrid w:val="0"/>
      <w:color w:val="0066FF"/>
    </w:rPr>
  </w:style>
  <w:style w:type="character" w:customStyle="1" w:styleId="COMexecsummmainissuesbulletsChar">
    <w:name w:val="COM exec summ main issues bullets Char"/>
    <w:basedOn w:val="DefaultParagraphFont"/>
    <w:link w:val="COMexecsummmainissuesbullets"/>
    <w:rsid w:val="0007519D"/>
    <w:rPr>
      <w:rFonts w:asciiTheme="minorHAnsi" w:hAnsiTheme="minorHAnsi" w:cs="Arial"/>
      <w:snapToGrid w:val="0"/>
      <w:color w:val="0066FF"/>
      <w:sz w:val="24"/>
      <w:szCs w:val="24"/>
    </w:rPr>
  </w:style>
  <w:style w:type="paragraph" w:customStyle="1" w:styleId="COMH1-non-numbered">
    <w:name w:val="COM H1 - non-numbered"/>
    <w:next w:val="Normal"/>
    <w:link w:val="COMH1-non-numberedChar"/>
    <w:qFormat/>
    <w:rsid w:val="0079172B"/>
    <w:pPr>
      <w:keepNext/>
      <w:spacing w:before="120" w:after="160"/>
      <w:ind w:left="720" w:hanging="720"/>
      <w:outlineLvl w:val="0"/>
    </w:pPr>
    <w:rPr>
      <w:rFonts w:asciiTheme="minorHAnsi" w:eastAsiaTheme="majorEastAsia" w:hAnsiTheme="minorHAnsi" w:cstheme="majorBidi"/>
      <w:b/>
      <w:spacing w:val="5"/>
      <w:kern w:val="28"/>
      <w:sz w:val="32"/>
      <w:szCs w:val="36"/>
    </w:rPr>
  </w:style>
  <w:style w:type="character" w:customStyle="1" w:styleId="COMH1-non-numberedChar">
    <w:name w:val="COM H1 - non-numbered Char"/>
    <w:basedOn w:val="DefaultParagraphFont"/>
    <w:link w:val="COMH1-non-numbered"/>
    <w:rsid w:val="0079172B"/>
    <w:rPr>
      <w:rFonts w:asciiTheme="minorHAnsi" w:eastAsiaTheme="majorEastAsia" w:hAnsiTheme="minorHAnsi" w:cstheme="majorBidi"/>
      <w:b/>
      <w:spacing w:val="5"/>
      <w:kern w:val="28"/>
      <w:sz w:val="32"/>
      <w:szCs w:val="36"/>
    </w:rPr>
  </w:style>
  <w:style w:type="paragraph" w:customStyle="1" w:styleId="COMH2-non-numbered">
    <w:name w:val="COM H2 - non-numbered"/>
    <w:basedOn w:val="Heading2"/>
    <w:next w:val="Normal"/>
    <w:link w:val="COMH2-non-numberedChar"/>
    <w:qFormat/>
    <w:rsid w:val="0079172B"/>
    <w:pPr>
      <w:spacing w:before="120"/>
      <w:jc w:val="left"/>
    </w:pPr>
    <w:rPr>
      <w:rFonts w:asciiTheme="minorHAnsi" w:eastAsiaTheme="majorEastAsia" w:hAnsiTheme="minorHAnsi" w:cstheme="majorBidi"/>
      <w:spacing w:val="5"/>
      <w:kern w:val="28"/>
      <w:szCs w:val="36"/>
      <w:lang w:eastAsia="en-US"/>
    </w:rPr>
  </w:style>
  <w:style w:type="character" w:customStyle="1" w:styleId="COMH2-non-numberedChar">
    <w:name w:val="COM H2 - non-numbered Char"/>
    <w:basedOn w:val="Heading2Char"/>
    <w:link w:val="COMH2-non-numbered"/>
    <w:rsid w:val="0079172B"/>
    <w:rPr>
      <w:rFonts w:asciiTheme="minorHAnsi" w:eastAsiaTheme="majorEastAsia" w:hAnsiTheme="minorHAnsi" w:cstheme="majorBidi"/>
      <w:b/>
      <w:i/>
      <w:snapToGrid w:val="0"/>
      <w:spacing w:val="5"/>
      <w:kern w:val="28"/>
      <w:sz w:val="28"/>
      <w:szCs w:val="36"/>
    </w:rPr>
  </w:style>
  <w:style w:type="paragraph" w:customStyle="1" w:styleId="COMH3">
    <w:name w:val="COM H3"/>
    <w:basedOn w:val="Normal"/>
    <w:next w:val="Normal"/>
    <w:link w:val="COMH3Char"/>
    <w:qFormat/>
    <w:rsid w:val="009A6C20"/>
    <w:pPr>
      <w:keepNext/>
      <w:spacing w:after="120"/>
    </w:pPr>
    <w:rPr>
      <w:b/>
      <w:iCs/>
      <w:sz w:val="28"/>
    </w:rPr>
  </w:style>
  <w:style w:type="character" w:customStyle="1" w:styleId="COMH3Char">
    <w:name w:val="COM H3 Char"/>
    <w:basedOn w:val="DefaultParagraphFont"/>
    <w:link w:val="COMH3"/>
    <w:rsid w:val="009A6C20"/>
    <w:rPr>
      <w:rFonts w:ascii="Calibri" w:hAnsi="Calibri" w:cs="Arial"/>
      <w:b/>
      <w:iCs/>
      <w:sz w:val="28"/>
      <w:szCs w:val="24"/>
    </w:rPr>
  </w:style>
  <w:style w:type="paragraph" w:customStyle="1" w:styleId="COMH4">
    <w:name w:val="COM H4"/>
    <w:basedOn w:val="Normal"/>
    <w:link w:val="COMH4Char"/>
    <w:qFormat/>
    <w:rsid w:val="00857D2E"/>
    <w:pPr>
      <w:keepNext/>
      <w:spacing w:after="120"/>
    </w:pPr>
    <w:rPr>
      <w:b/>
      <w:i/>
    </w:rPr>
  </w:style>
  <w:style w:type="character" w:customStyle="1" w:styleId="COMH4Char">
    <w:name w:val="COM H4 Char"/>
    <w:basedOn w:val="DefaultParagraphFont"/>
    <w:link w:val="COMH4"/>
    <w:rsid w:val="00857D2E"/>
    <w:rPr>
      <w:rFonts w:ascii="Calibri" w:hAnsi="Calibri" w:cs="Arial"/>
      <w:b/>
      <w:i/>
      <w:sz w:val="24"/>
      <w:szCs w:val="24"/>
    </w:rPr>
  </w:style>
  <w:style w:type="paragraph" w:customStyle="1" w:styleId="COMTablefooter">
    <w:name w:val="COM Table footer"/>
    <w:basedOn w:val="Normal"/>
    <w:next w:val="Normal"/>
    <w:link w:val="COMTablefooterChar"/>
    <w:qFormat/>
    <w:rsid w:val="0079172B"/>
    <w:pPr>
      <w:spacing w:after="120"/>
      <w:contextualSpacing/>
    </w:pPr>
    <w:rPr>
      <w:rFonts w:ascii="Arial Narrow" w:hAnsi="Arial Narrow"/>
      <w:snapToGrid w:val="0"/>
      <w:sz w:val="18"/>
      <w:szCs w:val="22"/>
    </w:rPr>
  </w:style>
  <w:style w:type="character" w:customStyle="1" w:styleId="COMTablefooterChar">
    <w:name w:val="COM Table footer Char"/>
    <w:link w:val="COMTablefooter"/>
    <w:rsid w:val="0079172B"/>
    <w:rPr>
      <w:rFonts w:ascii="Arial Narrow" w:hAnsi="Arial Narrow" w:cs="Arial"/>
      <w:snapToGrid w:val="0"/>
      <w:sz w:val="18"/>
      <w:szCs w:val="22"/>
    </w:rPr>
  </w:style>
  <w:style w:type="paragraph" w:customStyle="1" w:styleId="COMTableheadingrow">
    <w:name w:val="COM Table heading row"/>
    <w:qFormat/>
    <w:rsid w:val="0079172B"/>
    <w:pPr>
      <w:keepNext/>
    </w:pPr>
    <w:rPr>
      <w:rFonts w:ascii="Arial Narrow" w:eastAsiaTheme="majorEastAsia" w:hAnsi="Arial Narrow"/>
      <w:b/>
      <w:szCs w:val="24"/>
      <w:lang w:val="en-US"/>
    </w:rPr>
  </w:style>
  <w:style w:type="paragraph" w:customStyle="1" w:styleId="COMTabletext">
    <w:name w:val="COM Table text"/>
    <w:link w:val="COMTabletextChar"/>
    <w:qFormat/>
    <w:rsid w:val="0079172B"/>
    <w:pPr>
      <w:keepNext/>
    </w:pPr>
    <w:rPr>
      <w:rFonts w:ascii="Arial Narrow" w:eastAsiaTheme="majorEastAsia" w:hAnsi="Arial Narrow" w:cstheme="majorBidi"/>
      <w:bCs/>
      <w:szCs w:val="24"/>
    </w:rPr>
  </w:style>
  <w:style w:type="character" w:customStyle="1" w:styleId="COMTabletextChar">
    <w:name w:val="COM Table text Char"/>
    <w:basedOn w:val="DefaultParagraphFont"/>
    <w:link w:val="COMTabletext"/>
    <w:rsid w:val="0079172B"/>
    <w:rPr>
      <w:rFonts w:ascii="Arial Narrow" w:eastAsiaTheme="majorEastAsia" w:hAnsi="Arial Narrow" w:cstheme="majorBidi"/>
      <w:bCs/>
      <w:szCs w:val="24"/>
    </w:rPr>
  </w:style>
  <w:style w:type="paragraph" w:customStyle="1" w:styleId="COMtablefigcaption">
    <w:name w:val="COM table/fig caption"/>
    <w:next w:val="COMTableheadingrow"/>
    <w:link w:val="COMtablefigcaptionChar"/>
    <w:qFormat/>
    <w:rsid w:val="0079172B"/>
    <w:pPr>
      <w:keepNext/>
    </w:pPr>
    <w:rPr>
      <w:rFonts w:ascii="Arial Narrow" w:eastAsiaTheme="majorEastAsia" w:hAnsi="Arial Narrow" w:cstheme="majorBidi"/>
      <w:b/>
      <w:bCs/>
      <w:szCs w:val="24"/>
    </w:rPr>
  </w:style>
  <w:style w:type="character" w:customStyle="1" w:styleId="COMtablefigcaptionChar">
    <w:name w:val="COM table/fig caption Char"/>
    <w:basedOn w:val="DefaultParagraphFont"/>
    <w:link w:val="COMtablefigcaption"/>
    <w:rsid w:val="0079172B"/>
    <w:rPr>
      <w:rFonts w:ascii="Arial Narrow" w:eastAsiaTheme="majorEastAsia" w:hAnsi="Arial Narrow" w:cstheme="majorBidi"/>
      <w:b/>
      <w:bCs/>
      <w:szCs w:val="24"/>
    </w:rPr>
  </w:style>
  <w:style w:type="paragraph" w:styleId="Footer">
    <w:name w:val="footer"/>
    <w:basedOn w:val="Normal"/>
    <w:link w:val="FooterChar"/>
    <w:uiPriority w:val="99"/>
    <w:unhideWhenUsed/>
    <w:rsid w:val="00BA2DB9"/>
    <w:pPr>
      <w:tabs>
        <w:tab w:val="center" w:pos="4513"/>
        <w:tab w:val="right" w:pos="9026"/>
      </w:tabs>
    </w:pPr>
  </w:style>
  <w:style w:type="character" w:customStyle="1" w:styleId="FooterChar">
    <w:name w:val="Footer Char"/>
    <w:basedOn w:val="DefaultParagraphFont"/>
    <w:link w:val="Footer"/>
    <w:uiPriority w:val="99"/>
    <w:rsid w:val="00BA2DB9"/>
    <w:rPr>
      <w:rFonts w:ascii="Calibri" w:hAnsi="Calibri" w:cs="Arial"/>
      <w:sz w:val="24"/>
      <w:szCs w:val="24"/>
    </w:rPr>
  </w:style>
  <w:style w:type="character" w:styleId="CommentReference">
    <w:name w:val="annotation reference"/>
    <w:aliases w:val="Table Title"/>
    <w:basedOn w:val="DefaultParagraphFont"/>
    <w:uiPriority w:val="99"/>
    <w:unhideWhenUsed/>
    <w:qFormat/>
    <w:rsid w:val="00BA2DB9"/>
    <w:rPr>
      <w:sz w:val="16"/>
      <w:szCs w:val="16"/>
    </w:rPr>
  </w:style>
  <w:style w:type="paragraph" w:styleId="CommentText">
    <w:name w:val="annotation text"/>
    <w:basedOn w:val="Normal"/>
    <w:link w:val="CommentTextChar"/>
    <w:unhideWhenUsed/>
    <w:rsid w:val="00BA2DB9"/>
    <w:rPr>
      <w:sz w:val="20"/>
      <w:szCs w:val="20"/>
    </w:rPr>
  </w:style>
  <w:style w:type="character" w:customStyle="1" w:styleId="CommentTextChar">
    <w:name w:val="Comment Text Char"/>
    <w:basedOn w:val="DefaultParagraphFont"/>
    <w:link w:val="CommentText"/>
    <w:rsid w:val="00BA2DB9"/>
    <w:rPr>
      <w:rFonts w:ascii="Calibri" w:hAnsi="Calibri" w:cs="Arial"/>
    </w:rPr>
  </w:style>
  <w:style w:type="paragraph" w:styleId="CommentSubject">
    <w:name w:val="annotation subject"/>
    <w:basedOn w:val="CommentText"/>
    <w:next w:val="CommentText"/>
    <w:link w:val="CommentSubjectChar"/>
    <w:semiHidden/>
    <w:unhideWhenUsed/>
    <w:rsid w:val="00BA2DB9"/>
    <w:rPr>
      <w:b/>
      <w:bCs/>
    </w:rPr>
  </w:style>
  <w:style w:type="character" w:customStyle="1" w:styleId="CommentSubjectChar">
    <w:name w:val="Comment Subject Char"/>
    <w:basedOn w:val="CommentTextChar"/>
    <w:link w:val="CommentSubject"/>
    <w:semiHidden/>
    <w:rsid w:val="00BA2DB9"/>
    <w:rPr>
      <w:rFonts w:ascii="Calibri" w:hAnsi="Calibri" w:cs="Arial"/>
      <w:b/>
      <w:bC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L,Bullet Point,Bulletr List Paragraph"/>
    <w:basedOn w:val="Normal"/>
    <w:link w:val="ListParagraphChar"/>
    <w:uiPriority w:val="34"/>
    <w:qFormat/>
    <w:rsid w:val="008A7EC7"/>
    <w:pPr>
      <w:ind w:left="720"/>
      <w:contextualSpacing/>
    </w:pPr>
  </w:style>
  <w:style w:type="character" w:styleId="UnresolvedMention">
    <w:name w:val="Unresolved Mention"/>
    <w:basedOn w:val="DefaultParagraphFont"/>
    <w:uiPriority w:val="99"/>
    <w:semiHidden/>
    <w:unhideWhenUsed/>
    <w:rsid w:val="00A2327F"/>
    <w:rPr>
      <w:color w:val="605E5C"/>
      <w:shd w:val="clear" w:color="auto" w:fill="E1DFDD"/>
    </w:rPr>
  </w:style>
  <w:style w:type="paragraph" w:styleId="ListBullet">
    <w:name w:val="List Bullet"/>
    <w:basedOn w:val="Normal"/>
    <w:unhideWhenUsed/>
    <w:rsid w:val="0086193D"/>
    <w:pPr>
      <w:numPr>
        <w:numId w:val="3"/>
      </w:numPr>
      <w:contextualSpacing/>
    </w:pPr>
  </w:style>
  <w:style w:type="paragraph" w:customStyle="1" w:styleId="paragraph">
    <w:name w:val="paragraph"/>
    <w:basedOn w:val="Normal"/>
    <w:rsid w:val="00487C9C"/>
    <w:pPr>
      <w:spacing w:before="100" w:beforeAutospacing="1" w:after="100" w:afterAutospacing="1"/>
    </w:pPr>
    <w:rPr>
      <w:rFonts w:ascii="Times New Roman" w:hAnsi="Times New Roman" w:cs="Times New Roman"/>
      <w:szCs w:val="20"/>
      <w:lang w:val="en-GB" w:eastAsia="nl-NL"/>
    </w:rPr>
  </w:style>
  <w:style w:type="paragraph" w:styleId="Caption">
    <w:name w:val="caption"/>
    <w:aliases w:val="Quotation text,Caption Char1,Caption Char Char,Caption Char1 Char Char,Caption Char Char Char Char,Caption Char Char1,Courier New Body,Caption2,Table Caption 1,Figure caption,Figure caption1 Char Char,Figure Source,Caption Table...,- H17"/>
    <w:basedOn w:val="COMtablefigcaption"/>
    <w:next w:val="Normal"/>
    <w:link w:val="CaptionChar"/>
    <w:uiPriority w:val="35"/>
    <w:qFormat/>
    <w:rsid w:val="007340C4"/>
  </w:style>
  <w:style w:type="character" w:customStyle="1" w:styleId="CaptionChar">
    <w:name w:val="Caption Char"/>
    <w:aliases w:val="Quotation text Char,Caption Char1 Char,Caption Char Char Char,Caption Char1 Char Char Char,Caption Char Char Char Char Char,Caption Char Char1 Char,Courier New Body Char,Caption2 Char,Table Caption 1 Char,Figure caption Char,- H17 Char"/>
    <w:link w:val="Caption"/>
    <w:uiPriority w:val="35"/>
    <w:locked/>
    <w:rsid w:val="007340C4"/>
    <w:rPr>
      <w:rFonts w:ascii="Arial Narrow" w:eastAsiaTheme="majorEastAsia" w:hAnsi="Arial Narrow" w:cstheme="majorBidi"/>
      <w:b/>
      <w:bCs/>
      <w:szCs w:val="24"/>
    </w:rPr>
  </w:style>
  <w:style w:type="character" w:styleId="PlaceholderText">
    <w:name w:val="Placeholder Text"/>
    <w:basedOn w:val="DefaultParagraphFont"/>
    <w:uiPriority w:val="99"/>
    <w:semiHidden/>
    <w:rsid w:val="00611404"/>
    <w:rPr>
      <w:color w:val="666666"/>
    </w:rPr>
  </w:style>
  <w:style w:type="paragraph" w:styleId="FootnoteText">
    <w:name w:val="footnote text"/>
    <w:basedOn w:val="Normal"/>
    <w:link w:val="FootnoteTextChar"/>
    <w:semiHidden/>
    <w:unhideWhenUsed/>
    <w:rsid w:val="00917F0E"/>
    <w:rPr>
      <w:sz w:val="20"/>
      <w:szCs w:val="20"/>
    </w:rPr>
  </w:style>
  <w:style w:type="character" w:customStyle="1" w:styleId="FootnoteTextChar">
    <w:name w:val="Footnote Text Char"/>
    <w:basedOn w:val="DefaultParagraphFont"/>
    <w:link w:val="FootnoteText"/>
    <w:semiHidden/>
    <w:rsid w:val="00917F0E"/>
    <w:rPr>
      <w:rFonts w:ascii="Calibri" w:hAnsi="Calibri" w:cs="Arial"/>
    </w:rPr>
  </w:style>
  <w:style w:type="character" w:styleId="FootnoteReference">
    <w:name w:val="footnote reference"/>
    <w:basedOn w:val="DefaultParagraphFont"/>
    <w:semiHidden/>
    <w:unhideWhenUsed/>
    <w:rsid w:val="00917F0E"/>
    <w:rPr>
      <w:vertAlign w:val="superscript"/>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L Char"/>
    <w:basedOn w:val="DefaultParagraphFont"/>
    <w:link w:val="ListParagraph"/>
    <w:uiPriority w:val="34"/>
    <w:qFormat/>
    <w:locked/>
    <w:rsid w:val="00531B81"/>
    <w:rPr>
      <w:rFonts w:ascii="Calibri" w:hAnsi="Calibri" w:cs="Arial"/>
      <w:sz w:val="24"/>
      <w:szCs w:val="24"/>
    </w:rPr>
  </w:style>
  <w:style w:type="paragraph" w:customStyle="1" w:styleId="TableParagraph">
    <w:name w:val="Table Paragraph"/>
    <w:basedOn w:val="Normal"/>
    <w:uiPriority w:val="1"/>
    <w:qFormat/>
    <w:rsid w:val="0087756D"/>
    <w:pPr>
      <w:widowControl w:val="0"/>
      <w:autoSpaceDE w:val="0"/>
      <w:autoSpaceDN w:val="0"/>
      <w:adjustRightInd w:val="0"/>
      <w:jc w:val="left"/>
    </w:pPr>
    <w:rPr>
      <w:rFonts w:ascii="Arial Narrow" w:eastAsiaTheme="minorEastAsia" w:hAnsi="Arial Narrow" w:cs="Arial Narrow"/>
    </w:rPr>
  </w:style>
  <w:style w:type="paragraph" w:customStyle="1" w:styleId="3-SubsectionHeading">
    <w:name w:val="3-Subsection Heading"/>
    <w:basedOn w:val="Heading2"/>
    <w:next w:val="Normal"/>
    <w:link w:val="3-SubsectionHeadingChar"/>
    <w:qFormat/>
    <w:rsid w:val="0041761F"/>
    <w:pPr>
      <w:spacing w:before="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41761F"/>
    <w:rPr>
      <w:rFonts w:asciiTheme="minorHAnsi" w:eastAsiaTheme="majorEastAsia" w:hAnsiTheme="minorHAnsi" w:cstheme="majorBidi"/>
      <w:b/>
      <w:i/>
      <w:spacing w:val="5"/>
      <w:kern w:val="28"/>
      <w:sz w:val="28"/>
      <w:szCs w:val="36"/>
      <w:lang w:eastAsia="en-US"/>
    </w:rPr>
  </w:style>
  <w:style w:type="paragraph" w:styleId="NoSpacing">
    <w:name w:val="No Spacing"/>
    <w:uiPriority w:val="1"/>
    <w:qFormat/>
    <w:rsid w:val="00F102F0"/>
    <w:rPr>
      <w:sz w:val="24"/>
      <w:szCs w:val="24"/>
      <w:lang w:eastAsia="en-US"/>
    </w:rPr>
  </w:style>
  <w:style w:type="paragraph" w:customStyle="1" w:styleId="2-SectionHeading">
    <w:name w:val="2-Section Heading"/>
    <w:qFormat/>
    <w:rsid w:val="00F102F0"/>
    <w:pPr>
      <w:keepNext/>
      <w:spacing w:before="240" w:after="120"/>
      <w:outlineLvl w:val="1"/>
    </w:pPr>
    <w:rPr>
      <w:rFonts w:asciiTheme="minorHAnsi" w:hAnsiTheme="minorHAnsi" w:cs="Arial"/>
      <w:b/>
      <w:snapToGrid w:val="0"/>
      <w:sz w:val="32"/>
      <w:szCs w:val="32"/>
    </w:rPr>
  </w:style>
  <w:style w:type="paragraph" w:customStyle="1" w:styleId="3-BodyText">
    <w:name w:val="3-Body Text"/>
    <w:basedOn w:val="ListParagraph"/>
    <w:link w:val="3-BodyTextChar"/>
    <w:qFormat/>
    <w:rsid w:val="00BE437E"/>
    <w:pPr>
      <w:spacing w:after="120"/>
      <w:ind w:hanging="720"/>
      <w:contextualSpacing w:val="0"/>
    </w:pPr>
    <w:rPr>
      <w:rFonts w:asciiTheme="minorHAnsi" w:hAnsiTheme="minorHAnsi"/>
      <w:snapToGrid w:val="0"/>
    </w:rPr>
  </w:style>
  <w:style w:type="character" w:customStyle="1" w:styleId="3-BodyTextChar">
    <w:name w:val="3-Body Text Char"/>
    <w:basedOn w:val="DefaultParagraphFont"/>
    <w:link w:val="3-BodyText"/>
    <w:rsid w:val="00F474EB"/>
    <w:rPr>
      <w:rFonts w:asciiTheme="minorHAnsi" w:hAnsiTheme="minorHAnsi" w:cs="Arial"/>
      <w:snapToGrid w:val="0"/>
      <w:sz w:val="24"/>
      <w:szCs w:val="24"/>
    </w:rPr>
  </w:style>
  <w:style w:type="character" w:styleId="Mention">
    <w:name w:val="Mention"/>
    <w:basedOn w:val="DefaultParagraphFont"/>
    <w:uiPriority w:val="99"/>
    <w:unhideWhenUsed/>
    <w:rsid w:val="002A673C"/>
    <w:rPr>
      <w:color w:val="2B579A"/>
      <w:shd w:val="clear" w:color="auto" w:fill="E1DFDD"/>
    </w:rPr>
  </w:style>
  <w:style w:type="paragraph" w:styleId="EndnoteText">
    <w:name w:val="endnote text"/>
    <w:basedOn w:val="Normal"/>
    <w:link w:val="EndnoteTextChar"/>
    <w:semiHidden/>
    <w:unhideWhenUsed/>
    <w:rsid w:val="00EE6E39"/>
    <w:rPr>
      <w:sz w:val="20"/>
      <w:szCs w:val="20"/>
    </w:rPr>
  </w:style>
  <w:style w:type="character" w:customStyle="1" w:styleId="EndnoteTextChar">
    <w:name w:val="Endnote Text Char"/>
    <w:basedOn w:val="DefaultParagraphFont"/>
    <w:link w:val="EndnoteText"/>
    <w:semiHidden/>
    <w:rsid w:val="00EE6E39"/>
    <w:rPr>
      <w:rFonts w:ascii="Calibri" w:hAnsi="Calibri" w:cs="Arial"/>
    </w:rPr>
  </w:style>
  <w:style w:type="character" w:styleId="EndnoteReference">
    <w:name w:val="endnote reference"/>
    <w:basedOn w:val="DefaultParagraphFont"/>
    <w:semiHidden/>
    <w:unhideWhenUsed/>
    <w:rsid w:val="00EE6E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505482060">
      <w:bodyDiv w:val="1"/>
      <w:marLeft w:val="0"/>
      <w:marRight w:val="0"/>
      <w:marTop w:val="0"/>
      <w:marBottom w:val="0"/>
      <w:divBdr>
        <w:top w:val="none" w:sz="0" w:space="0" w:color="auto"/>
        <w:left w:val="none" w:sz="0" w:space="0" w:color="auto"/>
        <w:bottom w:val="none" w:sz="0" w:space="0" w:color="auto"/>
        <w:right w:val="none" w:sz="0" w:space="0" w:color="auto"/>
      </w:divBdr>
    </w:div>
    <w:div w:id="593629147">
      <w:bodyDiv w:val="1"/>
      <w:marLeft w:val="0"/>
      <w:marRight w:val="0"/>
      <w:marTop w:val="0"/>
      <w:marBottom w:val="0"/>
      <w:divBdr>
        <w:top w:val="none" w:sz="0" w:space="0" w:color="auto"/>
        <w:left w:val="none" w:sz="0" w:space="0" w:color="auto"/>
        <w:bottom w:val="none" w:sz="0" w:space="0" w:color="auto"/>
        <w:right w:val="none" w:sz="0" w:space="0" w:color="auto"/>
      </w:divBdr>
    </w:div>
    <w:div w:id="634531194">
      <w:bodyDiv w:val="1"/>
      <w:marLeft w:val="0"/>
      <w:marRight w:val="0"/>
      <w:marTop w:val="0"/>
      <w:marBottom w:val="0"/>
      <w:divBdr>
        <w:top w:val="none" w:sz="0" w:space="0" w:color="auto"/>
        <w:left w:val="none" w:sz="0" w:space="0" w:color="auto"/>
        <w:bottom w:val="none" w:sz="0" w:space="0" w:color="auto"/>
        <w:right w:val="none" w:sz="0" w:space="0" w:color="auto"/>
      </w:divBdr>
    </w:div>
    <w:div w:id="643701183">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1549819">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380399497">
      <w:bodyDiv w:val="1"/>
      <w:marLeft w:val="0"/>
      <w:marRight w:val="0"/>
      <w:marTop w:val="0"/>
      <w:marBottom w:val="0"/>
      <w:divBdr>
        <w:top w:val="none" w:sz="0" w:space="0" w:color="auto"/>
        <w:left w:val="none" w:sz="0" w:space="0" w:color="auto"/>
        <w:bottom w:val="none" w:sz="0" w:space="0" w:color="auto"/>
        <w:right w:val="none" w:sz="0" w:space="0" w:color="auto"/>
      </w:divBdr>
    </w:div>
    <w:div w:id="1523015005">
      <w:bodyDiv w:val="1"/>
      <w:marLeft w:val="0"/>
      <w:marRight w:val="0"/>
      <w:marTop w:val="0"/>
      <w:marBottom w:val="0"/>
      <w:divBdr>
        <w:top w:val="none" w:sz="0" w:space="0" w:color="auto"/>
        <w:left w:val="none" w:sz="0" w:space="0" w:color="auto"/>
        <w:bottom w:val="none" w:sz="0" w:space="0" w:color="auto"/>
        <w:right w:val="none" w:sz="0" w:space="0" w:color="auto"/>
      </w:divBdr>
    </w:div>
    <w:div w:id="1574311397">
      <w:bodyDiv w:val="1"/>
      <w:marLeft w:val="0"/>
      <w:marRight w:val="0"/>
      <w:marTop w:val="0"/>
      <w:marBottom w:val="0"/>
      <w:divBdr>
        <w:top w:val="none" w:sz="0" w:space="0" w:color="auto"/>
        <w:left w:val="none" w:sz="0" w:space="0" w:color="auto"/>
        <w:bottom w:val="none" w:sz="0" w:space="0" w:color="auto"/>
        <w:right w:val="none" w:sz="0" w:space="0" w:color="auto"/>
      </w:divBdr>
    </w:div>
    <w:div w:id="1752005737">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6255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customXml/itemProps2.xml><?xml version="1.0" encoding="utf-8"?>
<ds:datastoreItem xmlns:ds="http://schemas.openxmlformats.org/officeDocument/2006/customXml" ds:itemID="{CF9E644B-887E-4923-B52A-443D5517EACE}"/>
</file>

<file path=customXml/itemProps3.xml><?xml version="1.0" encoding="utf-8"?>
<ds:datastoreItem xmlns:ds="http://schemas.openxmlformats.org/officeDocument/2006/customXml" ds:itemID="{3E433343-5FD8-4BD7-B0E7-874FCE3B2985}"/>
</file>

<file path=customXml/itemProps4.xml><?xml version="1.0" encoding="utf-8"?>
<ds:datastoreItem xmlns:ds="http://schemas.openxmlformats.org/officeDocument/2006/customXml" ds:itemID="{A3CE13D1-F283-4F94-8808-EF85985FC2AD}"/>
</file>

<file path=docProps/app.xml><?xml version="1.0" encoding="utf-8"?>
<Properties xmlns="http://schemas.openxmlformats.org/officeDocument/2006/extended-properties" xmlns:vt="http://schemas.openxmlformats.org/officeDocument/2006/docPropsVTypes">
  <Template>Normal.dotm</Template>
  <TotalTime>0</TotalTime>
  <Pages>47</Pages>
  <Words>19166</Words>
  <Characters>109251</Characters>
  <Application>Microsoft Office Word</Application>
  <DocSecurity>0</DocSecurity>
  <Lines>910</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2025-06-27T05:50:00Z</dcterms:created>
  <dcterms:modified xsi:type="dcterms:W3CDTF">2025-06-27T05:51:00Z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0x0101007FED174C5281F747A8037A05221D6DBD</vt:lpwstr>
  </property>
</Properties>
</file>