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55A6A" w14:textId="54DEB3EC" w:rsidR="0041731E" w:rsidRPr="00436024" w:rsidRDefault="006A4B18" w:rsidP="00436024">
      <w:pPr>
        <w:pStyle w:val="1-MainHeading"/>
      </w:pPr>
      <w:r w:rsidRPr="00436024">
        <w:t>5.09</w:t>
      </w:r>
      <w:r w:rsidR="00B8521C" w:rsidRPr="00436024">
        <w:tab/>
      </w:r>
      <w:proofErr w:type="spellStart"/>
      <w:r w:rsidR="0041731E" w:rsidRPr="00436024">
        <w:t>F</w:t>
      </w:r>
      <w:r w:rsidR="0010121E" w:rsidRPr="00436024">
        <w:t>utibatinib</w:t>
      </w:r>
      <w:proofErr w:type="spellEnd"/>
      <w:r w:rsidR="00436024">
        <w:br/>
      </w:r>
      <w:r w:rsidR="0041731E" w:rsidRPr="00436024">
        <w:t xml:space="preserve">Tablet </w:t>
      </w:r>
      <w:r w:rsidR="0010121E" w:rsidRPr="00436024">
        <w:t>4</w:t>
      </w:r>
      <w:r w:rsidR="0041731E" w:rsidRPr="00436024">
        <w:t xml:space="preserve"> </w:t>
      </w:r>
      <w:r w:rsidR="0010121E" w:rsidRPr="00436024">
        <w:t>mg</w:t>
      </w:r>
      <w:r w:rsidR="00C87120" w:rsidRPr="00436024">
        <w:t>,</w:t>
      </w:r>
      <w:r w:rsidR="00436024">
        <w:br/>
      </w:r>
      <w:proofErr w:type="spellStart"/>
      <w:r w:rsidR="0010121E" w:rsidRPr="00436024">
        <w:t>Lytgobi</w:t>
      </w:r>
      <w:proofErr w:type="spellEnd"/>
      <w:r w:rsidR="0041731E" w:rsidRPr="00436024">
        <w:t>®</w:t>
      </w:r>
      <w:r w:rsidR="00436024">
        <w:br/>
      </w:r>
      <w:r w:rsidR="00BB058E" w:rsidRPr="00436024">
        <w:t>Taiho Pharma Oceania Pty Ltd</w:t>
      </w:r>
    </w:p>
    <w:p w14:paraId="10217D5D" w14:textId="1ACD33D0" w:rsidR="00C317F3" w:rsidRPr="00217EA0" w:rsidRDefault="00C317F3" w:rsidP="001D5253">
      <w:pPr>
        <w:pStyle w:val="PBACESHeading1"/>
        <w:numPr>
          <w:ilvl w:val="0"/>
          <w:numId w:val="7"/>
        </w:numPr>
      </w:pPr>
      <w:bookmarkStart w:id="0" w:name="_Toc413139271"/>
      <w:bookmarkStart w:id="1" w:name="_Toc187865654"/>
      <w:bookmarkStart w:id="2" w:name="_Ref189083052"/>
      <w:r w:rsidRPr="00217EA0">
        <w:t xml:space="preserve">Purpose of </w:t>
      </w:r>
      <w:r w:rsidR="00934564" w:rsidRPr="00217EA0">
        <w:t>submiss</w:t>
      </w:r>
      <w:r w:rsidRPr="00217EA0">
        <w:t>ion</w:t>
      </w:r>
      <w:bookmarkEnd w:id="0"/>
      <w:bookmarkEnd w:id="1"/>
      <w:bookmarkEnd w:id="2"/>
    </w:p>
    <w:p w14:paraId="6FD30D4F" w14:textId="27416580" w:rsidR="009A580E" w:rsidRPr="00217EA0" w:rsidRDefault="00236156" w:rsidP="2914E55D">
      <w:pPr>
        <w:pStyle w:val="ListParagraph"/>
        <w:rPr>
          <w:color w:val="auto"/>
        </w:rPr>
      </w:pPr>
      <w:r w:rsidRPr="00217EA0">
        <w:rPr>
          <w:color w:val="auto"/>
        </w:rPr>
        <w:t>A Category 1</w:t>
      </w:r>
      <w:r w:rsidR="00B55D14" w:rsidRPr="00217EA0">
        <w:rPr>
          <w:color w:val="auto"/>
        </w:rPr>
        <w:t xml:space="preserve"> </w:t>
      </w:r>
      <w:r w:rsidRPr="00217EA0">
        <w:rPr>
          <w:color w:val="auto"/>
        </w:rPr>
        <w:t>integrated codependent</w:t>
      </w:r>
      <w:r w:rsidR="00B55D14" w:rsidRPr="00217EA0">
        <w:rPr>
          <w:color w:val="auto"/>
        </w:rPr>
        <w:t xml:space="preserve"> </w:t>
      </w:r>
      <w:r w:rsidRPr="00217EA0">
        <w:rPr>
          <w:color w:val="auto"/>
        </w:rPr>
        <w:t>submission</w:t>
      </w:r>
      <w:r w:rsidR="00B55D14" w:rsidRPr="00217EA0">
        <w:rPr>
          <w:color w:val="auto"/>
        </w:rPr>
        <w:t xml:space="preserve"> </w:t>
      </w:r>
      <w:r w:rsidR="00287E1E" w:rsidRPr="00217EA0">
        <w:rPr>
          <w:color w:val="auto"/>
        </w:rPr>
        <w:t xml:space="preserve">requesting MBS listing of </w:t>
      </w:r>
      <w:r w:rsidR="00706A6F" w:rsidRPr="00217EA0">
        <w:rPr>
          <w:color w:val="auto"/>
        </w:rPr>
        <w:t>fibroblast growth factor receptor 2 (</w:t>
      </w:r>
      <w:r w:rsidR="003E5C46" w:rsidRPr="003E5C46">
        <w:rPr>
          <w:i/>
          <w:iCs/>
          <w:color w:val="auto"/>
        </w:rPr>
        <w:t>FGFR2</w:t>
      </w:r>
      <w:r w:rsidR="00706A6F" w:rsidRPr="00217EA0">
        <w:rPr>
          <w:color w:val="auto"/>
        </w:rPr>
        <w:t>)</w:t>
      </w:r>
      <w:r w:rsidR="00B55D14" w:rsidRPr="00217EA0">
        <w:rPr>
          <w:color w:val="auto"/>
        </w:rPr>
        <w:t xml:space="preserve"> RNA next generation sequencing (NGS) </w:t>
      </w:r>
      <w:r w:rsidR="00B446C2" w:rsidRPr="00217EA0">
        <w:rPr>
          <w:color w:val="auto"/>
        </w:rPr>
        <w:t xml:space="preserve">and </w:t>
      </w:r>
      <w:r w:rsidR="00706A6F" w:rsidRPr="00217EA0">
        <w:rPr>
          <w:color w:val="auto"/>
        </w:rPr>
        <w:t xml:space="preserve">a </w:t>
      </w:r>
      <w:r w:rsidR="00B446C2" w:rsidRPr="00217EA0">
        <w:rPr>
          <w:color w:val="auto"/>
        </w:rPr>
        <w:t xml:space="preserve">PBS </w:t>
      </w:r>
      <w:r w:rsidR="00706A6F" w:rsidRPr="00217EA0">
        <w:rPr>
          <w:color w:val="auto"/>
        </w:rPr>
        <w:t xml:space="preserve">General Schedule Authority Required (STREAMLINED) listing of </w:t>
      </w:r>
      <w:proofErr w:type="spellStart"/>
      <w:r w:rsidR="00706A6F" w:rsidRPr="00217EA0">
        <w:rPr>
          <w:color w:val="auto"/>
        </w:rPr>
        <w:t>futibatinib</w:t>
      </w:r>
      <w:proofErr w:type="spellEnd"/>
      <w:r w:rsidR="00706A6F" w:rsidRPr="00217EA0">
        <w:rPr>
          <w:color w:val="auto"/>
        </w:rPr>
        <w:t xml:space="preserve"> for the treatment of patients with locally advanced or metastatic cholangiocarcinoma </w:t>
      </w:r>
      <w:r w:rsidR="007E504D" w:rsidRPr="00217EA0">
        <w:rPr>
          <w:color w:val="auto"/>
        </w:rPr>
        <w:t xml:space="preserve">(CCA) </w:t>
      </w:r>
      <w:r w:rsidR="00706A6F" w:rsidRPr="00217EA0">
        <w:rPr>
          <w:color w:val="auto"/>
        </w:rPr>
        <w:t xml:space="preserve">who have previously progressed on systemic therapy and have a </w:t>
      </w:r>
      <w:r w:rsidR="003E5C46" w:rsidRPr="003E5C46">
        <w:rPr>
          <w:i/>
          <w:iCs/>
          <w:color w:val="auto"/>
        </w:rPr>
        <w:t>FGFR2</w:t>
      </w:r>
      <w:r w:rsidR="00706A6F" w:rsidRPr="00217EA0">
        <w:rPr>
          <w:color w:val="auto"/>
        </w:rPr>
        <w:t xml:space="preserve"> fusion or rearrangement. </w:t>
      </w:r>
      <w:r w:rsidR="00B446C2" w:rsidRPr="00217EA0">
        <w:rPr>
          <w:color w:val="auto"/>
        </w:rPr>
        <w:t xml:space="preserve"> </w:t>
      </w:r>
    </w:p>
    <w:p w14:paraId="7846BE4B" w14:textId="671EB5CE" w:rsidR="00B55D14" w:rsidRPr="00217EA0" w:rsidRDefault="00245AD9" w:rsidP="2914E55D">
      <w:pPr>
        <w:pStyle w:val="ListParagraph"/>
        <w:rPr>
          <w:color w:val="auto"/>
        </w:rPr>
      </w:pPr>
      <w:r w:rsidRPr="00217EA0">
        <w:rPr>
          <w:color w:val="auto"/>
        </w:rPr>
        <w:t xml:space="preserve">Listing was requested on the basis of a cost-effectiveness analysis versus </w:t>
      </w:r>
      <w:r w:rsidR="00B55D14" w:rsidRPr="00217EA0">
        <w:rPr>
          <w:color w:val="auto"/>
        </w:rPr>
        <w:t>Standard of Care (S</w:t>
      </w:r>
      <w:r w:rsidR="00706A6F" w:rsidRPr="00217EA0">
        <w:rPr>
          <w:color w:val="auto"/>
        </w:rPr>
        <w:t>o</w:t>
      </w:r>
      <w:r w:rsidR="00B55D14" w:rsidRPr="00217EA0">
        <w:rPr>
          <w:color w:val="auto"/>
        </w:rPr>
        <w:t>C) FOLFOX chemotherapy.</w:t>
      </w:r>
    </w:p>
    <w:p w14:paraId="0EB27634" w14:textId="5484C8DF" w:rsidR="00204D5B" w:rsidRPr="00217EA0" w:rsidRDefault="00A56861" w:rsidP="007E2F09">
      <w:pPr>
        <w:pStyle w:val="ListParagraph"/>
        <w:rPr>
          <w:color w:val="auto"/>
        </w:rPr>
      </w:pPr>
      <w:r w:rsidRPr="00217EA0">
        <w:rPr>
          <w:color w:val="auto"/>
        </w:rPr>
        <w:fldChar w:fldCharType="begin"/>
      </w:r>
      <w:r w:rsidRPr="00217EA0">
        <w:rPr>
          <w:color w:val="auto"/>
        </w:rPr>
        <w:instrText xml:space="preserve"> REF _Ref187864844 \h </w:instrText>
      </w:r>
      <w:r w:rsidR="00EC070E" w:rsidRPr="00217EA0">
        <w:rPr>
          <w:color w:val="auto"/>
        </w:rPr>
        <w:instrText xml:space="preserve"> \* MERGEFORMAT </w:instrText>
      </w:r>
      <w:r w:rsidRPr="00217EA0">
        <w:rPr>
          <w:color w:val="auto"/>
        </w:rPr>
      </w:r>
      <w:r w:rsidRPr="00217EA0">
        <w:rPr>
          <w:color w:val="auto"/>
        </w:rPr>
        <w:fldChar w:fldCharType="separate"/>
      </w:r>
      <w:r w:rsidR="008378C4" w:rsidRPr="00217EA0">
        <w:t>Table</w:t>
      </w:r>
      <w:r w:rsidR="008378C4">
        <w:t xml:space="preserve"> 1</w:t>
      </w:r>
      <w:r w:rsidRPr="00217EA0">
        <w:rPr>
          <w:color w:val="auto"/>
        </w:rPr>
        <w:fldChar w:fldCharType="end"/>
      </w:r>
      <w:r w:rsidR="00B55D14" w:rsidRPr="00217EA0">
        <w:rPr>
          <w:color w:val="auto"/>
        </w:rPr>
        <w:t xml:space="preserve"> presents the key components of the clinical issue addressed by the submission. </w:t>
      </w:r>
    </w:p>
    <w:p w14:paraId="1348F591" w14:textId="7D441E88" w:rsidR="00B55D14" w:rsidRPr="00217EA0" w:rsidRDefault="00E01D22" w:rsidP="00FA13F3">
      <w:pPr>
        <w:pStyle w:val="Caption"/>
        <w:rPr>
          <w:caps/>
        </w:rPr>
      </w:pPr>
      <w:bookmarkStart w:id="3" w:name="_Ref187864844"/>
      <w:r w:rsidRPr="00217EA0">
        <w:t>Table</w:t>
      </w:r>
      <w:r w:rsidR="005566B1">
        <w:t xml:space="preserve"> </w:t>
      </w:r>
      <w:r w:rsidR="00E600E3" w:rsidRPr="00217EA0">
        <w:fldChar w:fldCharType="begin"/>
      </w:r>
      <w:r w:rsidR="00E600E3" w:rsidRPr="00217EA0">
        <w:instrText xml:space="preserve"> SEQ Table_PBAC. \* ARABIC </w:instrText>
      </w:r>
      <w:r w:rsidR="00E600E3" w:rsidRPr="00217EA0">
        <w:fldChar w:fldCharType="separate"/>
      </w:r>
      <w:r w:rsidR="008378C4">
        <w:rPr>
          <w:noProof/>
        </w:rPr>
        <w:t>1</w:t>
      </w:r>
      <w:r w:rsidR="00E600E3" w:rsidRPr="00217EA0">
        <w:fldChar w:fldCharType="end"/>
      </w:r>
      <w:bookmarkEnd w:id="3"/>
      <w:r w:rsidR="00727A48">
        <w:t xml:space="preserve">: </w:t>
      </w:r>
      <w:r w:rsidR="00B55D14" w:rsidRPr="00217EA0">
        <w:t>Key components of the clinical issue addressed by the submission</w:t>
      </w:r>
    </w:p>
    <w:tbl>
      <w:tblPr>
        <w:tblStyle w:val="PBACTableStyle"/>
        <w:tblW w:w="0" w:type="auto"/>
        <w:tblLook w:val="04A0" w:firstRow="1" w:lastRow="0" w:firstColumn="1" w:lastColumn="0" w:noHBand="0" w:noVBand="1"/>
        <w:tblCaption w:val="Table 1: Key components of the clinical issue addressed by the submission"/>
      </w:tblPr>
      <w:tblGrid>
        <w:gridCol w:w="1184"/>
        <w:gridCol w:w="7832"/>
      </w:tblGrid>
      <w:tr w:rsidR="007900E9" w:rsidRPr="00217EA0" w14:paraId="6341A350" w14:textId="77777777" w:rsidTr="005441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dxa"/>
          </w:tcPr>
          <w:p w14:paraId="71018541" w14:textId="77777777" w:rsidR="00B55D14" w:rsidRPr="00217EA0" w:rsidRDefault="00B55D14" w:rsidP="00FE3A7F">
            <w:pPr>
              <w:pStyle w:val="TableText"/>
              <w:keepNext/>
              <w:keepLines/>
              <w:contextualSpacing w:val="0"/>
              <w:rPr>
                <w:color w:val="auto"/>
                <w:lang w:val="en-AU"/>
              </w:rPr>
            </w:pPr>
            <w:r w:rsidRPr="00217EA0">
              <w:rPr>
                <w:color w:val="auto"/>
                <w:lang w:val="en-AU"/>
              </w:rPr>
              <w:t>Component</w:t>
            </w:r>
          </w:p>
        </w:tc>
        <w:tc>
          <w:tcPr>
            <w:tcW w:w="7832" w:type="dxa"/>
          </w:tcPr>
          <w:p w14:paraId="6261F6B0" w14:textId="77777777" w:rsidR="00B55D14" w:rsidRPr="00217EA0" w:rsidRDefault="00B55D14" w:rsidP="00FE3A7F">
            <w:pPr>
              <w:pStyle w:val="TableText"/>
              <w:keepNext/>
              <w:keepLines/>
              <w:contextualSpacing w:val="0"/>
              <w:cnfStyle w:val="100000000000" w:firstRow="1" w:lastRow="0" w:firstColumn="0" w:lastColumn="0" w:oddVBand="0" w:evenVBand="0" w:oddHBand="0" w:evenHBand="0" w:firstRowFirstColumn="0" w:firstRowLastColumn="0" w:lastRowFirstColumn="0" w:lastRowLastColumn="0"/>
              <w:rPr>
                <w:color w:val="auto"/>
                <w:lang w:val="en-AU"/>
              </w:rPr>
            </w:pPr>
            <w:r w:rsidRPr="00217EA0">
              <w:rPr>
                <w:color w:val="auto"/>
                <w:lang w:val="en-AU"/>
              </w:rPr>
              <w:t>Description</w:t>
            </w:r>
          </w:p>
        </w:tc>
      </w:tr>
      <w:tr w:rsidR="007900E9" w:rsidRPr="00217EA0" w14:paraId="0E13D7FE" w14:textId="77777777" w:rsidTr="0054417C">
        <w:trPr>
          <w:trHeight w:val="636"/>
        </w:trPr>
        <w:tc>
          <w:tcPr>
            <w:cnfStyle w:val="001000000000" w:firstRow="0" w:lastRow="0" w:firstColumn="1" w:lastColumn="0" w:oddVBand="0" w:evenVBand="0" w:oddHBand="0" w:evenHBand="0" w:firstRowFirstColumn="0" w:firstRowLastColumn="0" w:lastRowFirstColumn="0" w:lastRowLastColumn="0"/>
            <w:tcW w:w="1184" w:type="dxa"/>
          </w:tcPr>
          <w:p w14:paraId="68232B0C" w14:textId="77777777" w:rsidR="00B55D14" w:rsidRPr="00217EA0" w:rsidRDefault="00B55D14" w:rsidP="00FE3A7F">
            <w:pPr>
              <w:pStyle w:val="TableText"/>
              <w:keepNext/>
              <w:keepLines/>
              <w:contextualSpacing w:val="0"/>
              <w:rPr>
                <w:color w:val="auto"/>
                <w:lang w:val="en-AU"/>
              </w:rPr>
            </w:pPr>
            <w:r w:rsidRPr="00217EA0">
              <w:rPr>
                <w:color w:val="auto"/>
                <w:lang w:val="en-AU"/>
              </w:rPr>
              <w:t>Population</w:t>
            </w:r>
          </w:p>
        </w:tc>
        <w:tc>
          <w:tcPr>
            <w:tcW w:w="7832" w:type="dxa"/>
          </w:tcPr>
          <w:p w14:paraId="28375649" w14:textId="77777777" w:rsidR="00B55D14" w:rsidRPr="00217EA0" w:rsidRDefault="00B55D14" w:rsidP="00FE3A7F">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Test: adult patients with locally advanced or metastatic CCA</w:t>
            </w:r>
          </w:p>
          <w:p w14:paraId="6DF5E9B6" w14:textId="32890456" w:rsidR="00B55D14" w:rsidRPr="00217EA0" w:rsidRDefault="00B55D14" w:rsidP="00FE3A7F">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 xml:space="preserve">Drug: adult patients with locally advanced or metastatic CCA with a </w:t>
            </w:r>
            <w:r w:rsidR="003E5C46" w:rsidRPr="003E5C46">
              <w:rPr>
                <w:i/>
                <w:iCs/>
                <w:color w:val="auto"/>
                <w:lang w:val="en-AU"/>
              </w:rPr>
              <w:t>FGFR2</w:t>
            </w:r>
            <w:r w:rsidRPr="00217EA0">
              <w:rPr>
                <w:color w:val="auto"/>
                <w:lang w:val="en-AU"/>
              </w:rPr>
              <w:t xml:space="preserve"> fusion or rearrangement that have progressed after at least one prior line of systemic therapy</w:t>
            </w:r>
          </w:p>
        </w:tc>
      </w:tr>
      <w:tr w:rsidR="007900E9" w:rsidRPr="00217EA0" w14:paraId="59EA716D" w14:textId="77777777" w:rsidTr="0054417C">
        <w:tc>
          <w:tcPr>
            <w:cnfStyle w:val="001000000000" w:firstRow="0" w:lastRow="0" w:firstColumn="1" w:lastColumn="0" w:oddVBand="0" w:evenVBand="0" w:oddHBand="0" w:evenHBand="0" w:firstRowFirstColumn="0" w:firstRowLastColumn="0" w:lastRowFirstColumn="0" w:lastRowLastColumn="0"/>
            <w:tcW w:w="1184" w:type="dxa"/>
          </w:tcPr>
          <w:p w14:paraId="2A51DBE7" w14:textId="77777777" w:rsidR="00B55D14" w:rsidRPr="00217EA0" w:rsidRDefault="00B55D14" w:rsidP="00FE3A7F">
            <w:pPr>
              <w:pStyle w:val="TableText"/>
              <w:keepNext/>
              <w:keepLines/>
              <w:contextualSpacing w:val="0"/>
              <w:rPr>
                <w:color w:val="auto"/>
                <w:lang w:val="en-AU"/>
              </w:rPr>
            </w:pPr>
            <w:r w:rsidRPr="00217EA0">
              <w:rPr>
                <w:color w:val="auto"/>
                <w:lang w:val="en-AU"/>
              </w:rPr>
              <w:t>Intervention</w:t>
            </w:r>
          </w:p>
        </w:tc>
        <w:tc>
          <w:tcPr>
            <w:tcW w:w="7832" w:type="dxa"/>
          </w:tcPr>
          <w:p w14:paraId="216E0257" w14:textId="4D782B76" w:rsidR="00B55D14" w:rsidRPr="00217EA0" w:rsidRDefault="00B55D14" w:rsidP="00FE3A7F">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 xml:space="preserve">Test: tumour tissue testing for </w:t>
            </w:r>
            <w:r w:rsidR="003E5C46" w:rsidRPr="003E5C46">
              <w:rPr>
                <w:i/>
                <w:iCs/>
                <w:color w:val="auto"/>
                <w:lang w:val="en-AU"/>
              </w:rPr>
              <w:t>FGFR2</w:t>
            </w:r>
            <w:r w:rsidRPr="00217EA0">
              <w:rPr>
                <w:color w:val="auto"/>
                <w:lang w:val="en-AU"/>
              </w:rPr>
              <w:t xml:space="preserve"> fusions or rearrangements using RNA NGS </w:t>
            </w:r>
          </w:p>
          <w:p w14:paraId="145C79C8" w14:textId="16282E01" w:rsidR="00B55D14" w:rsidRPr="00217EA0" w:rsidRDefault="00B55D14" w:rsidP="00FE3A7F">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 xml:space="preserve">Alternate test: tumour tissue testing for </w:t>
            </w:r>
            <w:r w:rsidR="003E5C46" w:rsidRPr="003E5C46">
              <w:rPr>
                <w:i/>
                <w:iCs/>
                <w:color w:val="auto"/>
                <w:lang w:val="en-AU"/>
              </w:rPr>
              <w:t>FGFR2</w:t>
            </w:r>
            <w:r w:rsidRPr="00217EA0">
              <w:rPr>
                <w:color w:val="auto"/>
                <w:lang w:val="en-AU"/>
              </w:rPr>
              <w:t xml:space="preserve"> gene fusions or rearrangements using FISH testing on DNA</w:t>
            </w:r>
          </w:p>
          <w:p w14:paraId="3AB8ADA5" w14:textId="77777777" w:rsidR="00B55D14" w:rsidRPr="00217EA0" w:rsidRDefault="00B55D14" w:rsidP="00FE3A7F">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 xml:space="preserve">Drug: </w:t>
            </w:r>
            <w:proofErr w:type="spellStart"/>
            <w:r w:rsidRPr="00217EA0">
              <w:rPr>
                <w:color w:val="auto"/>
                <w:lang w:val="en-AU"/>
              </w:rPr>
              <w:t>futibatinib</w:t>
            </w:r>
            <w:proofErr w:type="spellEnd"/>
            <w:r w:rsidRPr="00217EA0">
              <w:rPr>
                <w:color w:val="auto"/>
                <w:lang w:val="en-AU"/>
              </w:rPr>
              <w:t xml:space="preserve"> 20 mg (5*4 mg tablets) taken orally once daily until disease progression or unacceptable toxicity</w:t>
            </w:r>
          </w:p>
        </w:tc>
      </w:tr>
      <w:tr w:rsidR="007900E9" w:rsidRPr="00217EA0" w14:paraId="03F9BE5D" w14:textId="77777777" w:rsidTr="0054417C">
        <w:tc>
          <w:tcPr>
            <w:cnfStyle w:val="001000000000" w:firstRow="0" w:lastRow="0" w:firstColumn="1" w:lastColumn="0" w:oddVBand="0" w:evenVBand="0" w:oddHBand="0" w:evenHBand="0" w:firstRowFirstColumn="0" w:firstRowLastColumn="0" w:lastRowFirstColumn="0" w:lastRowLastColumn="0"/>
            <w:tcW w:w="1184" w:type="dxa"/>
          </w:tcPr>
          <w:p w14:paraId="120E3E50" w14:textId="77777777" w:rsidR="00B55D14" w:rsidRPr="00217EA0" w:rsidRDefault="00B55D14" w:rsidP="00FE3A7F">
            <w:pPr>
              <w:pStyle w:val="TableText"/>
              <w:keepNext/>
              <w:keepLines/>
              <w:contextualSpacing w:val="0"/>
              <w:rPr>
                <w:color w:val="auto"/>
                <w:lang w:val="en-AU"/>
              </w:rPr>
            </w:pPr>
            <w:r w:rsidRPr="00217EA0">
              <w:rPr>
                <w:color w:val="auto"/>
                <w:lang w:val="en-AU"/>
              </w:rPr>
              <w:t>Comparator</w:t>
            </w:r>
          </w:p>
        </w:tc>
        <w:tc>
          <w:tcPr>
            <w:tcW w:w="7832" w:type="dxa"/>
          </w:tcPr>
          <w:p w14:paraId="47794320" w14:textId="1E799191" w:rsidR="00B55D14" w:rsidRPr="00217EA0" w:rsidRDefault="00B55D14" w:rsidP="00FE3A7F">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 xml:space="preserve">Test: no testing for </w:t>
            </w:r>
            <w:r w:rsidR="003E5C46" w:rsidRPr="003E5C46">
              <w:rPr>
                <w:i/>
                <w:iCs/>
                <w:color w:val="auto"/>
                <w:lang w:val="en-AU"/>
              </w:rPr>
              <w:t>FGFR2</w:t>
            </w:r>
            <w:r w:rsidRPr="00217EA0">
              <w:rPr>
                <w:color w:val="auto"/>
                <w:lang w:val="en-AU"/>
              </w:rPr>
              <w:t xml:space="preserve"> fusions or rearrangements</w:t>
            </w:r>
          </w:p>
          <w:p w14:paraId="12110815" w14:textId="72EF14F0" w:rsidR="00B55D14" w:rsidRPr="00217EA0" w:rsidRDefault="00B55D14" w:rsidP="00FE3A7F">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Drug: primary comparator: SoC chemotherapy, represented by FOLFOX (modified FOLFOX 6 chemotherapy (oxaliplatin 85 mg/m2, calcium folinate 50 mg*, fluorouracil 400 mg/m2 bolus and 2400 mg/m2 continuous infusion over 46 hours; every 14 days for up to 12 cycles)</w:t>
            </w:r>
          </w:p>
          <w:p w14:paraId="326FBEDC" w14:textId="77777777" w:rsidR="00B55D14" w:rsidRPr="00217EA0" w:rsidRDefault="00B55D14" w:rsidP="00FE3A7F">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Secondary comparator: palliative care (with active symptom control)</w:t>
            </w:r>
          </w:p>
        </w:tc>
      </w:tr>
      <w:tr w:rsidR="007900E9" w:rsidRPr="00217EA0" w14:paraId="3FFFB7CF" w14:textId="77777777" w:rsidTr="0054417C">
        <w:tc>
          <w:tcPr>
            <w:cnfStyle w:val="001000000000" w:firstRow="0" w:lastRow="0" w:firstColumn="1" w:lastColumn="0" w:oddVBand="0" w:evenVBand="0" w:oddHBand="0" w:evenHBand="0" w:firstRowFirstColumn="0" w:firstRowLastColumn="0" w:lastRowFirstColumn="0" w:lastRowLastColumn="0"/>
            <w:tcW w:w="1184" w:type="dxa"/>
          </w:tcPr>
          <w:p w14:paraId="1F08B15B" w14:textId="77777777" w:rsidR="00B55D14" w:rsidRPr="00217EA0" w:rsidRDefault="00B55D14" w:rsidP="00FE3A7F">
            <w:pPr>
              <w:pStyle w:val="TableText"/>
              <w:keepNext/>
              <w:keepLines/>
              <w:contextualSpacing w:val="0"/>
              <w:rPr>
                <w:color w:val="auto"/>
                <w:lang w:val="en-AU"/>
              </w:rPr>
            </w:pPr>
            <w:r w:rsidRPr="00217EA0">
              <w:rPr>
                <w:color w:val="auto"/>
                <w:lang w:val="en-AU"/>
              </w:rPr>
              <w:t>Outcomes</w:t>
            </w:r>
          </w:p>
        </w:tc>
        <w:tc>
          <w:tcPr>
            <w:tcW w:w="7832" w:type="dxa"/>
          </w:tcPr>
          <w:p w14:paraId="2B88B30C" w14:textId="77777777" w:rsidR="00B55D14" w:rsidRPr="00217EA0" w:rsidRDefault="00B55D14" w:rsidP="00FE3A7F">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Test: diagnostic yield, prognostic impact, treatment effect modification, reliability of testing, concordance between proposed testing method and clinical utility standard</w:t>
            </w:r>
          </w:p>
          <w:p w14:paraId="364995AC" w14:textId="77777777" w:rsidR="00B55D14" w:rsidRPr="00217EA0" w:rsidRDefault="00B55D14" w:rsidP="00FE3A7F">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Drug: PFS, OS, ORR, HRQoL, safety</w:t>
            </w:r>
          </w:p>
        </w:tc>
      </w:tr>
      <w:tr w:rsidR="007900E9" w:rsidRPr="00217EA0" w14:paraId="7DC9B1B9" w14:textId="77777777" w:rsidTr="0054417C">
        <w:tc>
          <w:tcPr>
            <w:cnfStyle w:val="001000000000" w:firstRow="0" w:lastRow="0" w:firstColumn="1" w:lastColumn="0" w:oddVBand="0" w:evenVBand="0" w:oddHBand="0" w:evenHBand="0" w:firstRowFirstColumn="0" w:firstRowLastColumn="0" w:lastRowFirstColumn="0" w:lastRowLastColumn="0"/>
            <w:tcW w:w="1184" w:type="dxa"/>
          </w:tcPr>
          <w:p w14:paraId="503B4F3F" w14:textId="77777777" w:rsidR="00B55D14" w:rsidRPr="00217EA0" w:rsidRDefault="00B55D14" w:rsidP="00FE3A7F">
            <w:pPr>
              <w:pStyle w:val="TableText"/>
              <w:keepNext/>
              <w:keepLines/>
              <w:contextualSpacing w:val="0"/>
              <w:rPr>
                <w:color w:val="auto"/>
                <w:lang w:val="en-AU"/>
              </w:rPr>
            </w:pPr>
            <w:r w:rsidRPr="00217EA0">
              <w:rPr>
                <w:color w:val="auto"/>
                <w:lang w:val="en-AU"/>
              </w:rPr>
              <w:t>Clinical claim</w:t>
            </w:r>
          </w:p>
        </w:tc>
        <w:tc>
          <w:tcPr>
            <w:tcW w:w="7832" w:type="dxa"/>
          </w:tcPr>
          <w:p w14:paraId="0E5C15EE" w14:textId="38D219CE" w:rsidR="00B55D14" w:rsidRPr="00217EA0" w:rsidRDefault="00B55D14" w:rsidP="00FE3A7F">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 xml:space="preserve">Main claim: in patients with locally advanced or metastatic CCA with a </w:t>
            </w:r>
            <w:r w:rsidR="003E5C46" w:rsidRPr="003E5C46">
              <w:rPr>
                <w:i/>
                <w:iCs/>
                <w:color w:val="auto"/>
                <w:lang w:val="en-AU"/>
              </w:rPr>
              <w:t>FGFR2</w:t>
            </w:r>
            <w:r w:rsidRPr="00217EA0">
              <w:rPr>
                <w:color w:val="auto"/>
                <w:lang w:val="en-AU"/>
              </w:rPr>
              <w:t xml:space="preserve"> fusion or rearrangement, identified by tumour tissue testing, that have progressed after at least one prior line of systemic therapy, </w:t>
            </w:r>
            <w:proofErr w:type="spellStart"/>
            <w:r w:rsidRPr="00217EA0">
              <w:rPr>
                <w:color w:val="auto"/>
                <w:lang w:val="en-AU"/>
              </w:rPr>
              <w:t>futibatinib</w:t>
            </w:r>
            <w:proofErr w:type="spellEnd"/>
            <w:r w:rsidRPr="00217EA0">
              <w:rPr>
                <w:color w:val="auto"/>
                <w:lang w:val="en-AU"/>
              </w:rPr>
              <w:t xml:space="preserve"> is superior in terms of efficacy (OS, PFS and ORR) and safety, compared to FOLFOX.</w:t>
            </w:r>
          </w:p>
          <w:p w14:paraId="7DC21077" w14:textId="77777777" w:rsidR="00B55D14" w:rsidRPr="00217EA0" w:rsidRDefault="00B55D14" w:rsidP="00FE3A7F">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p>
          <w:p w14:paraId="18FEB09A" w14:textId="6F34BB2A" w:rsidR="00B55D14" w:rsidRPr="00217EA0" w:rsidRDefault="00B55D14" w:rsidP="00FE3A7F">
            <w:pPr>
              <w:pStyle w:val="TableText"/>
              <w:keepNext/>
              <w:keepLines/>
              <w:contextualSpacing w:val="0"/>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 xml:space="preserve">Secondary claim: In adult patients with locally advanced or metastatic CCA with </w:t>
            </w:r>
            <w:r w:rsidR="003E5C46" w:rsidRPr="003E5C46">
              <w:rPr>
                <w:i/>
                <w:iCs/>
                <w:color w:val="auto"/>
                <w:lang w:val="en-AU"/>
              </w:rPr>
              <w:t>FGFR2</w:t>
            </w:r>
            <w:r w:rsidRPr="00217EA0">
              <w:rPr>
                <w:color w:val="auto"/>
                <w:lang w:val="en-AU"/>
              </w:rPr>
              <w:t xml:space="preserve"> fusion</w:t>
            </w:r>
            <w:r w:rsidR="00061C37" w:rsidRPr="00217EA0">
              <w:rPr>
                <w:color w:val="auto"/>
                <w:lang w:val="en-AU"/>
              </w:rPr>
              <w:t>s</w:t>
            </w:r>
            <w:r w:rsidRPr="00217EA0">
              <w:rPr>
                <w:color w:val="auto"/>
                <w:lang w:val="en-AU"/>
              </w:rPr>
              <w:t xml:space="preserve"> or rearrangement</w:t>
            </w:r>
            <w:r w:rsidR="00061C37" w:rsidRPr="00217EA0">
              <w:rPr>
                <w:color w:val="auto"/>
                <w:lang w:val="en-AU"/>
              </w:rPr>
              <w:t>s</w:t>
            </w:r>
            <w:r w:rsidRPr="00217EA0">
              <w:rPr>
                <w:color w:val="auto"/>
                <w:lang w:val="en-AU"/>
              </w:rPr>
              <w:t xml:space="preserve">, identified by tumour tissue testing, that have progressed after at least one prior line of systemic therapy, </w:t>
            </w:r>
            <w:proofErr w:type="spellStart"/>
            <w:r w:rsidRPr="00217EA0">
              <w:rPr>
                <w:color w:val="auto"/>
                <w:lang w:val="en-AU"/>
              </w:rPr>
              <w:t>futibatinib</w:t>
            </w:r>
            <w:proofErr w:type="spellEnd"/>
            <w:r w:rsidRPr="00217EA0">
              <w:rPr>
                <w:color w:val="auto"/>
                <w:lang w:val="en-AU"/>
              </w:rPr>
              <w:t xml:space="preserve"> is superior in terms of efficacy (OS, PFS and ORR), compared to palliative care (with ASC), with a different safety profile that is manageable.</w:t>
            </w:r>
          </w:p>
        </w:tc>
      </w:tr>
    </w:tbl>
    <w:p w14:paraId="3DB405BC" w14:textId="77777777" w:rsidR="00B55D14" w:rsidRPr="00217EA0" w:rsidRDefault="00B55D14" w:rsidP="00B55D14">
      <w:pPr>
        <w:pStyle w:val="TableFooter"/>
        <w:keepNext/>
        <w:keepLines/>
      </w:pPr>
      <w:r w:rsidRPr="00217EA0">
        <w:t>Source: Table 1.1, p21 of the submission.</w:t>
      </w:r>
    </w:p>
    <w:p w14:paraId="5CF7DEC4" w14:textId="54FD3776" w:rsidR="00B55D14" w:rsidRPr="00217EA0" w:rsidRDefault="00B55D14" w:rsidP="00727A48">
      <w:pPr>
        <w:pStyle w:val="TableFooter"/>
        <w:keepLines/>
      </w:pPr>
      <w:r w:rsidRPr="00217EA0">
        <w:t xml:space="preserve">DNA = deoxyribonucleic acid; CCA = cholangiocarcinoma; </w:t>
      </w:r>
      <w:r w:rsidR="003E5C46" w:rsidRPr="003E5C46">
        <w:rPr>
          <w:i/>
          <w:iCs/>
        </w:rPr>
        <w:t>FGFR2</w:t>
      </w:r>
      <w:r w:rsidRPr="00217EA0">
        <w:t xml:space="preserve"> = fibroblast growth factor receptor 2; FISH = fluorescence in situ hybridisation; HRQoL= health related quality of life; NGS = with next-generation sequencing; ORR = objective response rate: OS = overall </w:t>
      </w:r>
      <w:r w:rsidR="00E64E2A" w:rsidRPr="00217EA0">
        <w:t>survival; PFS</w:t>
      </w:r>
      <w:r w:rsidRPr="00217EA0">
        <w:t xml:space="preserve"> = progression free survival; RNA = ribonucleic acid; SoC = standard of care;</w:t>
      </w:r>
    </w:p>
    <w:p w14:paraId="7E96DD96" w14:textId="1625BBA8" w:rsidR="009C4F22" w:rsidRPr="00217EA0" w:rsidRDefault="009C4F22" w:rsidP="00196B27">
      <w:pPr>
        <w:pStyle w:val="PBACESHeading1"/>
      </w:pPr>
      <w:bookmarkStart w:id="4" w:name="_Toc487029150"/>
      <w:bookmarkStart w:id="5" w:name="_Toc187865655"/>
      <w:r w:rsidRPr="00217EA0">
        <w:lastRenderedPageBreak/>
        <w:t>Background</w:t>
      </w:r>
      <w:bookmarkEnd w:id="4"/>
      <w:bookmarkEnd w:id="5"/>
    </w:p>
    <w:p w14:paraId="7CBFB7A1" w14:textId="77777777" w:rsidR="009C4F22" w:rsidRPr="00217EA0" w:rsidRDefault="008D7BF5" w:rsidP="00727A48">
      <w:pPr>
        <w:pStyle w:val="OutlineHeading2"/>
        <w:spacing w:before="120"/>
        <w:rPr>
          <w:rFonts w:ascii="Calibri" w:hAnsi="Calibri" w:cs="Calibri"/>
          <w:i w:val="0"/>
        </w:rPr>
      </w:pPr>
      <w:r w:rsidRPr="00217EA0">
        <w:rPr>
          <w:rFonts w:ascii="Calibri" w:hAnsi="Calibri" w:cs="Calibri"/>
          <w:i w:val="0"/>
        </w:rPr>
        <w:t xml:space="preserve">Registration </w:t>
      </w:r>
      <w:r w:rsidR="00854EF0" w:rsidRPr="00217EA0">
        <w:rPr>
          <w:rFonts w:ascii="Calibri" w:hAnsi="Calibri" w:cs="Calibri"/>
          <w:i w:val="0"/>
        </w:rPr>
        <w:t>st</w:t>
      </w:r>
      <w:r w:rsidRPr="00217EA0">
        <w:rPr>
          <w:rFonts w:ascii="Calibri" w:hAnsi="Calibri" w:cs="Calibri"/>
          <w:i w:val="0"/>
        </w:rPr>
        <w:t>atus</w:t>
      </w:r>
    </w:p>
    <w:p w14:paraId="5874ACE3" w14:textId="0538049A" w:rsidR="000C03F9" w:rsidRPr="00411220" w:rsidRDefault="00326971" w:rsidP="000C03F9">
      <w:pPr>
        <w:pStyle w:val="ListParagraph"/>
        <w:rPr>
          <w:color w:val="auto"/>
        </w:rPr>
      </w:pPr>
      <w:r w:rsidRPr="00411220">
        <w:rPr>
          <w:rFonts w:ascii="Calibri" w:eastAsia="Calibri" w:hAnsi="Calibri"/>
          <w:b/>
        </w:rPr>
        <w:t xml:space="preserve">TGA status at time of </w:t>
      </w:r>
      <w:r w:rsidR="00411220" w:rsidRPr="00411220">
        <w:rPr>
          <w:rFonts w:ascii="Calibri" w:eastAsia="Calibri" w:hAnsi="Calibri"/>
          <w:b/>
        </w:rPr>
        <w:t>PBAC consideration</w:t>
      </w:r>
      <w:r w:rsidRPr="00411220">
        <w:rPr>
          <w:rFonts w:ascii="Calibri" w:eastAsia="Calibri" w:hAnsi="Calibri"/>
        </w:rPr>
        <w:t xml:space="preserve">: </w:t>
      </w:r>
      <w:r w:rsidR="008D6467" w:rsidRPr="00411220">
        <w:rPr>
          <w:rFonts w:ascii="Calibri" w:eastAsia="Calibri" w:hAnsi="Calibri"/>
        </w:rPr>
        <w:t xml:space="preserve">not registered. </w:t>
      </w:r>
      <w:r w:rsidR="009E2636" w:rsidRPr="00411220">
        <w:rPr>
          <w:color w:val="auto"/>
        </w:rPr>
        <w:t xml:space="preserve">The submission was made under the TGA/PBAC Parallel Process. At the time of evaluation for PBAC consideration, </w:t>
      </w:r>
      <w:r w:rsidR="003F5EFB" w:rsidRPr="00411220">
        <w:rPr>
          <w:color w:val="auto"/>
        </w:rPr>
        <w:t xml:space="preserve">the </w:t>
      </w:r>
      <w:r w:rsidR="000C03F9" w:rsidRPr="00411220">
        <w:rPr>
          <w:color w:val="auto"/>
        </w:rPr>
        <w:t xml:space="preserve">TGA </w:t>
      </w:r>
      <w:r w:rsidR="00BB499F" w:rsidRPr="00411220">
        <w:rPr>
          <w:color w:val="auto"/>
        </w:rPr>
        <w:t>D</w:t>
      </w:r>
      <w:r w:rsidR="000C03F9" w:rsidRPr="00411220">
        <w:rPr>
          <w:color w:val="auto"/>
        </w:rPr>
        <w:t xml:space="preserve">elegate’s </w:t>
      </w:r>
      <w:r w:rsidR="00BB499F" w:rsidRPr="00411220">
        <w:rPr>
          <w:color w:val="auto"/>
        </w:rPr>
        <w:t xml:space="preserve">Overview </w:t>
      </w:r>
      <w:r w:rsidR="0009204B" w:rsidRPr="00411220">
        <w:rPr>
          <w:color w:val="auto"/>
        </w:rPr>
        <w:t xml:space="preserve">and the minutes from the Advisory Committee on Medicines (ACM) </w:t>
      </w:r>
      <w:r w:rsidR="00BB499F" w:rsidRPr="00411220">
        <w:rPr>
          <w:color w:val="auto"/>
        </w:rPr>
        <w:t>w</w:t>
      </w:r>
      <w:r w:rsidR="0009204B" w:rsidRPr="00411220">
        <w:rPr>
          <w:color w:val="auto"/>
        </w:rPr>
        <w:t>ere</w:t>
      </w:r>
      <w:r w:rsidR="00BB499F" w:rsidRPr="00411220">
        <w:rPr>
          <w:color w:val="auto"/>
        </w:rPr>
        <w:t xml:space="preserve"> </w:t>
      </w:r>
      <w:r w:rsidR="003F5EFB" w:rsidRPr="00411220">
        <w:rPr>
          <w:color w:val="auto"/>
        </w:rPr>
        <w:t>available</w:t>
      </w:r>
      <w:r w:rsidR="00BB499F" w:rsidRPr="00411220">
        <w:rPr>
          <w:color w:val="auto"/>
        </w:rPr>
        <w:t>.</w:t>
      </w:r>
    </w:p>
    <w:p w14:paraId="7015C8E1" w14:textId="49B8278F" w:rsidR="000C03F9" w:rsidRPr="00217EA0" w:rsidRDefault="000C03F9" w:rsidP="2914E55D">
      <w:pPr>
        <w:pStyle w:val="ListParagraph"/>
        <w:rPr>
          <w:color w:val="auto"/>
        </w:rPr>
      </w:pPr>
      <w:bookmarkStart w:id="6" w:name="_Ref188194664"/>
      <w:proofErr w:type="spellStart"/>
      <w:r w:rsidRPr="00217EA0">
        <w:rPr>
          <w:color w:val="auto"/>
        </w:rPr>
        <w:t>Futibatinib</w:t>
      </w:r>
      <w:proofErr w:type="spellEnd"/>
      <w:r w:rsidRPr="00217EA0">
        <w:rPr>
          <w:color w:val="auto"/>
        </w:rPr>
        <w:t xml:space="preserve"> is proposed for </w:t>
      </w:r>
      <w:r w:rsidR="00B9293C" w:rsidRPr="00217EA0">
        <w:rPr>
          <w:color w:val="auto"/>
        </w:rPr>
        <w:t xml:space="preserve">provisional registration for </w:t>
      </w:r>
      <w:r w:rsidRPr="00217EA0">
        <w:rPr>
          <w:color w:val="auto"/>
        </w:rPr>
        <w:t>the following indication:</w:t>
      </w:r>
      <w:bookmarkEnd w:id="6"/>
      <w:r w:rsidRPr="00217EA0">
        <w:rPr>
          <w:color w:val="auto"/>
        </w:rPr>
        <w:t xml:space="preserve"> </w:t>
      </w:r>
    </w:p>
    <w:p w14:paraId="1BF2CDF2" w14:textId="114597CA" w:rsidR="000C03F9" w:rsidRPr="00217EA0" w:rsidRDefault="000C03F9" w:rsidP="001D5253">
      <w:pPr>
        <w:pStyle w:val="ListParagraph"/>
        <w:numPr>
          <w:ilvl w:val="0"/>
          <w:numId w:val="11"/>
        </w:numPr>
        <w:ind w:hanging="371"/>
        <w:rPr>
          <w:color w:val="auto"/>
        </w:rPr>
      </w:pPr>
      <w:r w:rsidRPr="00217EA0">
        <w:rPr>
          <w:color w:val="auto"/>
        </w:rPr>
        <w:t>for the treatment of adult patients with locally advanced or metastatic cholangiocarcinoma with a fibroblast growth factor receptor 2 (</w:t>
      </w:r>
      <w:r w:rsidR="003E5C46" w:rsidRPr="003E5C46">
        <w:rPr>
          <w:i/>
          <w:iCs/>
          <w:color w:val="auto"/>
        </w:rPr>
        <w:t>FGFR2</w:t>
      </w:r>
      <w:r w:rsidRPr="00217EA0">
        <w:rPr>
          <w:color w:val="auto"/>
        </w:rPr>
        <w:t>) fusion or rearrangement that have progressed after at least one prior line of systemic therapy.</w:t>
      </w:r>
    </w:p>
    <w:p w14:paraId="3ACD971A" w14:textId="12109CA9" w:rsidR="001B37FE" w:rsidRPr="00217EA0" w:rsidRDefault="00BB499F" w:rsidP="2914E55D">
      <w:pPr>
        <w:pStyle w:val="ListParagraph"/>
        <w:rPr>
          <w:color w:val="auto"/>
        </w:rPr>
      </w:pPr>
      <w:r w:rsidRPr="00217EA0">
        <w:rPr>
          <w:color w:val="auto"/>
        </w:rPr>
        <w:t xml:space="preserve">The TGA Delegate </w:t>
      </w:r>
      <w:r w:rsidR="001B37FE" w:rsidRPr="00217EA0">
        <w:rPr>
          <w:color w:val="auto"/>
        </w:rPr>
        <w:t xml:space="preserve">was inclined to approve </w:t>
      </w:r>
      <w:r w:rsidR="00931C5F" w:rsidRPr="00217EA0">
        <w:rPr>
          <w:color w:val="auto"/>
        </w:rPr>
        <w:t xml:space="preserve">the </w:t>
      </w:r>
      <w:r w:rsidR="001B37FE" w:rsidRPr="00217EA0">
        <w:rPr>
          <w:color w:val="auto"/>
        </w:rPr>
        <w:t xml:space="preserve">provisional registration for </w:t>
      </w:r>
      <w:proofErr w:type="spellStart"/>
      <w:r w:rsidR="00931C5F" w:rsidRPr="00217EA0">
        <w:rPr>
          <w:color w:val="auto"/>
        </w:rPr>
        <w:t>futibatinib</w:t>
      </w:r>
      <w:proofErr w:type="spellEnd"/>
      <w:r w:rsidR="00931C5F" w:rsidRPr="00217EA0">
        <w:rPr>
          <w:color w:val="auto"/>
        </w:rPr>
        <w:t xml:space="preserve"> for </w:t>
      </w:r>
      <w:r w:rsidR="001B37FE" w:rsidRPr="00217EA0">
        <w:rPr>
          <w:color w:val="auto"/>
        </w:rPr>
        <w:t xml:space="preserve">the treatment of patients with </w:t>
      </w:r>
      <w:r w:rsidR="001B37FE" w:rsidRPr="00217EA0">
        <w:rPr>
          <w:color w:val="auto"/>
          <w:u w:val="single"/>
        </w:rPr>
        <w:t>intrahepatic</w:t>
      </w:r>
      <w:r w:rsidR="001B37FE" w:rsidRPr="00217EA0">
        <w:rPr>
          <w:color w:val="auto"/>
        </w:rPr>
        <w:t xml:space="preserve"> CAA. </w:t>
      </w:r>
      <w:r w:rsidR="003342DF" w:rsidRPr="00217EA0">
        <w:rPr>
          <w:color w:val="auto"/>
        </w:rPr>
        <w:t>The Delegate requested advi</w:t>
      </w:r>
      <w:r w:rsidR="000F7400" w:rsidRPr="00217EA0">
        <w:rPr>
          <w:color w:val="auto"/>
        </w:rPr>
        <w:t>c</w:t>
      </w:r>
      <w:r w:rsidR="003342DF" w:rsidRPr="00217EA0">
        <w:rPr>
          <w:color w:val="auto"/>
        </w:rPr>
        <w:t xml:space="preserve">e from the </w:t>
      </w:r>
      <w:r w:rsidR="00506AA9" w:rsidRPr="002B6259">
        <w:rPr>
          <w:color w:val="auto"/>
        </w:rPr>
        <w:t xml:space="preserve">ACM </w:t>
      </w:r>
      <w:r w:rsidR="003342DF" w:rsidRPr="002B6259">
        <w:rPr>
          <w:color w:val="auto"/>
        </w:rPr>
        <w:t xml:space="preserve">regarding </w:t>
      </w:r>
      <w:r w:rsidR="009F00F8" w:rsidRPr="002B6259">
        <w:rPr>
          <w:color w:val="auto"/>
        </w:rPr>
        <w:t xml:space="preserve">approval for all patients with CCA (i.e., including extrahepatic CCA). </w:t>
      </w:r>
      <w:r w:rsidR="00997144" w:rsidRPr="002B6259">
        <w:rPr>
          <w:color w:val="auto"/>
        </w:rPr>
        <w:t>Th</w:t>
      </w:r>
      <w:r w:rsidR="00506AA9" w:rsidRPr="002B6259">
        <w:rPr>
          <w:color w:val="auto"/>
        </w:rPr>
        <w:t>is was discussed at the</w:t>
      </w:r>
      <w:r w:rsidR="00997144" w:rsidRPr="002B6259">
        <w:rPr>
          <w:color w:val="auto"/>
        </w:rPr>
        <w:t xml:space="preserve"> ACM </w:t>
      </w:r>
      <w:r w:rsidR="00506AA9" w:rsidRPr="002B6259">
        <w:rPr>
          <w:color w:val="auto"/>
        </w:rPr>
        <w:t xml:space="preserve">meeting of 6 February 2025, and the </w:t>
      </w:r>
      <w:r w:rsidR="00F13EFA" w:rsidRPr="002B6259">
        <w:rPr>
          <w:color w:val="auto"/>
        </w:rPr>
        <w:t xml:space="preserve">ACM </w:t>
      </w:r>
      <w:r w:rsidR="00F9040C" w:rsidRPr="002B6259">
        <w:rPr>
          <w:color w:val="auto"/>
        </w:rPr>
        <w:t xml:space="preserve">recommended approval </w:t>
      </w:r>
      <w:r w:rsidR="00E72AF6" w:rsidRPr="002B6259">
        <w:rPr>
          <w:color w:val="auto"/>
        </w:rPr>
        <w:t xml:space="preserve">for </w:t>
      </w:r>
      <w:r w:rsidR="00F9040C" w:rsidRPr="002B6259">
        <w:rPr>
          <w:color w:val="auto"/>
        </w:rPr>
        <w:t xml:space="preserve">the provisional registration for </w:t>
      </w:r>
      <w:proofErr w:type="spellStart"/>
      <w:r w:rsidR="00F9040C" w:rsidRPr="002B6259">
        <w:rPr>
          <w:color w:val="auto"/>
        </w:rPr>
        <w:t>futibatinib</w:t>
      </w:r>
      <w:proofErr w:type="spellEnd"/>
      <w:r w:rsidR="00F9040C" w:rsidRPr="002B6259">
        <w:rPr>
          <w:color w:val="auto"/>
        </w:rPr>
        <w:t xml:space="preserve"> for the treatment of patients with </w:t>
      </w:r>
      <w:r w:rsidR="00F9040C" w:rsidRPr="002B6259">
        <w:rPr>
          <w:color w:val="auto"/>
          <w:u w:val="single"/>
        </w:rPr>
        <w:t>intrahepatic</w:t>
      </w:r>
      <w:r w:rsidR="00F9040C" w:rsidRPr="002B6259">
        <w:rPr>
          <w:color w:val="auto"/>
        </w:rPr>
        <w:t xml:space="preserve"> CAA</w:t>
      </w:r>
      <w:r w:rsidR="001C3B86">
        <w:rPr>
          <w:color w:val="auto"/>
        </w:rPr>
        <w:t xml:space="preserve"> that have progressed after at least one prior line of systemic therapy</w:t>
      </w:r>
      <w:r w:rsidR="00186F6C" w:rsidRPr="002B6259">
        <w:rPr>
          <w:color w:val="auto"/>
        </w:rPr>
        <w:t>.</w:t>
      </w:r>
      <w:r w:rsidR="00186F6C" w:rsidRPr="00217EA0">
        <w:rPr>
          <w:color w:val="auto"/>
        </w:rPr>
        <w:t xml:space="preserve"> </w:t>
      </w:r>
    </w:p>
    <w:p w14:paraId="2C349007" w14:textId="77777777" w:rsidR="00316D89" w:rsidRPr="00217EA0" w:rsidRDefault="00316D89" w:rsidP="00160758">
      <w:pPr>
        <w:ind w:firstLine="720"/>
        <w:rPr>
          <w:i/>
        </w:rPr>
      </w:pPr>
      <w:bookmarkStart w:id="7" w:name="_Hlk76375324"/>
      <w:bookmarkStart w:id="8" w:name="_Toc476306884"/>
      <w:bookmarkStart w:id="9" w:name="_Toc413139275"/>
      <w:r w:rsidRPr="00217EA0">
        <w:rPr>
          <w:i/>
        </w:rPr>
        <w:t>For more detail on PBAC’s view, see section 7 PBAC outcome.</w:t>
      </w:r>
    </w:p>
    <w:p w14:paraId="002DE983" w14:textId="585C059D" w:rsidR="00245AD9" w:rsidRDefault="00245AD9" w:rsidP="00C84FF8">
      <w:pPr>
        <w:pStyle w:val="PBACESHeading1"/>
      </w:pPr>
      <w:bookmarkStart w:id="10" w:name="_Toc187865656"/>
      <w:bookmarkEnd w:id="7"/>
      <w:r w:rsidRPr="00217EA0">
        <w:t>Requested listing</w:t>
      </w:r>
      <w:bookmarkEnd w:id="10"/>
    </w:p>
    <w:p w14:paraId="5B51739A" w14:textId="1F4A7120" w:rsidR="002A36C7" w:rsidRPr="002A36C7" w:rsidRDefault="002A36C7" w:rsidP="002A36C7">
      <w:pPr>
        <w:pStyle w:val="ListParagraph"/>
      </w:pPr>
      <w:r w:rsidRPr="00EB6ED4">
        <w:rPr>
          <w:color w:val="auto"/>
        </w:rPr>
        <w:t xml:space="preserve">Secretariat </w:t>
      </w:r>
      <w:r w:rsidR="005B7800">
        <w:rPr>
          <w:color w:val="auto"/>
        </w:rPr>
        <w:t>s</w:t>
      </w:r>
      <w:r w:rsidRPr="00EB6ED4">
        <w:rPr>
          <w:color w:val="auto"/>
        </w:rPr>
        <w:t>uggested additions are in italics and deletions are in strikethrough.</w:t>
      </w:r>
    </w:p>
    <w:p w14:paraId="42894715" w14:textId="5D601ECF" w:rsidR="00C07CC2" w:rsidRPr="00217EA0" w:rsidRDefault="00C07CC2" w:rsidP="00FA13F3">
      <w:pPr>
        <w:pStyle w:val="Caption"/>
      </w:pPr>
      <w:r w:rsidRPr="00217EA0">
        <w:t>Table</w:t>
      </w:r>
      <w:r w:rsidR="0050601E">
        <w:t xml:space="preserve"> </w:t>
      </w:r>
      <w:r w:rsidR="00E600E3" w:rsidRPr="00217EA0">
        <w:fldChar w:fldCharType="begin"/>
      </w:r>
      <w:r w:rsidR="00E600E3" w:rsidRPr="00217EA0">
        <w:instrText xml:space="preserve"> SEQ Table_PBAC. \* ARABIC </w:instrText>
      </w:r>
      <w:r w:rsidR="00E600E3" w:rsidRPr="00217EA0">
        <w:fldChar w:fldCharType="separate"/>
      </w:r>
      <w:r w:rsidR="008378C4">
        <w:rPr>
          <w:noProof/>
        </w:rPr>
        <w:t>2</w:t>
      </w:r>
      <w:r w:rsidR="00E600E3" w:rsidRPr="00217EA0">
        <w:fldChar w:fldCharType="end"/>
      </w:r>
      <w:r w:rsidR="00A8569D">
        <w:t xml:space="preserve">: </w:t>
      </w:r>
      <w:r w:rsidRPr="00217EA0">
        <w:t>Essential elements of the requested listing</w:t>
      </w:r>
    </w:p>
    <w:tbl>
      <w:tblPr>
        <w:tblStyle w:val="PBACTableStyle"/>
        <w:tblW w:w="5000" w:type="pct"/>
        <w:tblLook w:val="04A0" w:firstRow="1" w:lastRow="0" w:firstColumn="1" w:lastColumn="0" w:noHBand="0" w:noVBand="1"/>
        <w:tblCaption w:val="Table 2: Essential elements of the requested listing"/>
      </w:tblPr>
      <w:tblGrid>
        <w:gridCol w:w="2111"/>
        <w:gridCol w:w="1352"/>
        <w:gridCol w:w="1334"/>
        <w:gridCol w:w="983"/>
        <w:gridCol w:w="1645"/>
        <w:gridCol w:w="1591"/>
      </w:tblGrid>
      <w:tr w:rsidR="007900E9" w:rsidRPr="00217EA0" w14:paraId="007F11D4" w14:textId="77777777" w:rsidTr="00406E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778CC58" w14:textId="77777777" w:rsidR="00C07CC2" w:rsidRPr="00217EA0" w:rsidRDefault="00C07CC2" w:rsidP="00802A79">
            <w:pPr>
              <w:pStyle w:val="TableText"/>
              <w:keepNext/>
              <w:keepLines/>
              <w:rPr>
                <w:color w:val="auto"/>
                <w:lang w:val="en-AU"/>
              </w:rPr>
            </w:pPr>
            <w:r w:rsidRPr="00217EA0">
              <w:rPr>
                <w:color w:val="auto"/>
                <w:lang w:val="en-AU"/>
              </w:rPr>
              <w:t>Name, restriction, manner of administration, form</w:t>
            </w:r>
          </w:p>
        </w:tc>
        <w:tc>
          <w:tcPr>
            <w:tcW w:w="0" w:type="auto"/>
          </w:tcPr>
          <w:p w14:paraId="60440C08" w14:textId="77777777" w:rsidR="00C07CC2" w:rsidRPr="00217EA0" w:rsidRDefault="00C07CC2" w:rsidP="00802A79">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rPr>
            </w:pPr>
            <w:r w:rsidRPr="00217EA0">
              <w:rPr>
                <w:color w:val="auto"/>
                <w:lang w:val="en-AU"/>
              </w:rPr>
              <w:t>Maximum quantity (packs)</w:t>
            </w:r>
          </w:p>
        </w:tc>
        <w:tc>
          <w:tcPr>
            <w:tcW w:w="0" w:type="auto"/>
          </w:tcPr>
          <w:p w14:paraId="2D8E745C" w14:textId="77777777" w:rsidR="00C07CC2" w:rsidRPr="00217EA0" w:rsidRDefault="00C07CC2" w:rsidP="00802A79">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rPr>
            </w:pPr>
            <w:r w:rsidRPr="00217EA0">
              <w:rPr>
                <w:color w:val="auto"/>
                <w:lang w:val="en-AU"/>
              </w:rPr>
              <w:t>Maximum quantity (units)</w:t>
            </w:r>
          </w:p>
        </w:tc>
        <w:tc>
          <w:tcPr>
            <w:tcW w:w="0" w:type="auto"/>
          </w:tcPr>
          <w:p w14:paraId="4D12C503" w14:textId="77777777" w:rsidR="00C07CC2" w:rsidRPr="00217EA0" w:rsidRDefault="00C07CC2" w:rsidP="00802A79">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rPr>
            </w:pPr>
            <w:r w:rsidRPr="00217EA0">
              <w:rPr>
                <w:color w:val="auto"/>
                <w:lang w:val="en-AU"/>
              </w:rPr>
              <w:t>No. of repeats</w:t>
            </w:r>
          </w:p>
        </w:tc>
        <w:tc>
          <w:tcPr>
            <w:tcW w:w="0" w:type="auto"/>
          </w:tcPr>
          <w:p w14:paraId="641CEAE4" w14:textId="77777777" w:rsidR="00C07CC2" w:rsidRPr="00217EA0" w:rsidRDefault="00C07CC2" w:rsidP="00802A79">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rPr>
            </w:pPr>
            <w:r w:rsidRPr="00217EA0">
              <w:rPr>
                <w:color w:val="auto"/>
                <w:lang w:val="en-AU"/>
              </w:rPr>
              <w:t>Dispensed price for maximum quantity</w:t>
            </w:r>
          </w:p>
        </w:tc>
        <w:tc>
          <w:tcPr>
            <w:tcW w:w="1591" w:type="dxa"/>
          </w:tcPr>
          <w:p w14:paraId="446C0EC2" w14:textId="77777777" w:rsidR="00C07CC2" w:rsidRPr="00217EA0" w:rsidRDefault="00C07CC2" w:rsidP="00802A79">
            <w:pPr>
              <w:pStyle w:val="TableText"/>
              <w:keepNext/>
              <w:keepLines/>
              <w:cnfStyle w:val="100000000000" w:firstRow="1" w:lastRow="0" w:firstColumn="0" w:lastColumn="0" w:oddVBand="0" w:evenVBand="0" w:oddHBand="0" w:evenHBand="0" w:firstRowFirstColumn="0" w:firstRowLastColumn="0" w:lastRowFirstColumn="0" w:lastRowLastColumn="0"/>
              <w:rPr>
                <w:color w:val="auto"/>
                <w:lang w:val="en-AU"/>
              </w:rPr>
            </w:pPr>
            <w:r w:rsidRPr="00217EA0">
              <w:rPr>
                <w:color w:val="auto"/>
                <w:lang w:val="en-AU"/>
              </w:rPr>
              <w:t>Proprietary name and manufacturer</w:t>
            </w:r>
          </w:p>
        </w:tc>
      </w:tr>
      <w:tr w:rsidR="007900E9" w:rsidRPr="00217EA0" w14:paraId="664D2BDB" w14:textId="77777777" w:rsidTr="00406E85">
        <w:tc>
          <w:tcPr>
            <w:cnfStyle w:val="001000000000" w:firstRow="0" w:lastRow="0" w:firstColumn="1" w:lastColumn="0" w:oddVBand="0" w:evenVBand="0" w:oddHBand="0" w:evenHBand="0" w:firstRowFirstColumn="0" w:firstRowLastColumn="0" w:lastRowFirstColumn="0" w:lastRowLastColumn="0"/>
            <w:tcW w:w="0" w:type="auto"/>
          </w:tcPr>
          <w:p w14:paraId="25DBB454" w14:textId="77777777" w:rsidR="00C07CC2" w:rsidRPr="00217EA0" w:rsidRDefault="00C07CC2" w:rsidP="00802A79">
            <w:pPr>
              <w:pStyle w:val="TableText"/>
              <w:keepNext/>
              <w:keepLines/>
              <w:rPr>
                <w:color w:val="auto"/>
                <w:lang w:val="en-AU"/>
              </w:rPr>
            </w:pPr>
            <w:r w:rsidRPr="00217EA0">
              <w:rPr>
                <w:color w:val="auto"/>
                <w:lang w:val="en-AU"/>
              </w:rPr>
              <w:t>FUTIBATINIB</w:t>
            </w:r>
          </w:p>
          <w:p w14:paraId="78A1CAD6" w14:textId="77777777" w:rsidR="00C07CC2" w:rsidRPr="00217EA0" w:rsidRDefault="00C07CC2" w:rsidP="00802A79">
            <w:pPr>
              <w:pStyle w:val="TableText"/>
              <w:keepNext/>
              <w:keepLines/>
              <w:rPr>
                <w:bCs/>
                <w:color w:val="auto"/>
                <w:lang w:val="en-AU"/>
              </w:rPr>
            </w:pPr>
            <w:r w:rsidRPr="00217EA0">
              <w:rPr>
                <w:color w:val="auto"/>
                <w:lang w:val="en-AU"/>
              </w:rPr>
              <w:t>4 mg tablets, 35</w:t>
            </w:r>
          </w:p>
        </w:tc>
        <w:tc>
          <w:tcPr>
            <w:tcW w:w="0" w:type="auto"/>
          </w:tcPr>
          <w:p w14:paraId="71EF74A7" w14:textId="77777777" w:rsidR="00C07CC2" w:rsidRPr="00217EA0" w:rsidRDefault="00C07CC2" w:rsidP="00802A79">
            <w:pPr>
              <w:pStyle w:val="TableText"/>
              <w:keepNext/>
              <w:keepLines/>
              <w:cnfStyle w:val="000000000000" w:firstRow="0" w:lastRow="0" w:firstColumn="0" w:lastColumn="0" w:oddVBand="0" w:evenVBand="0" w:oddHBand="0" w:evenHBand="0" w:firstRowFirstColumn="0" w:firstRowLastColumn="0" w:lastRowFirstColumn="0" w:lastRowLastColumn="0"/>
              <w:rPr>
                <w:rFonts w:ascii="Times" w:hAnsi="Times"/>
                <w:color w:val="auto"/>
                <w:lang w:val="en-AU"/>
              </w:rPr>
            </w:pPr>
            <w:r w:rsidRPr="00217EA0">
              <w:rPr>
                <w:color w:val="auto"/>
                <w:lang w:val="en-AU"/>
              </w:rPr>
              <w:t>4</w:t>
            </w:r>
          </w:p>
        </w:tc>
        <w:tc>
          <w:tcPr>
            <w:tcW w:w="0" w:type="auto"/>
          </w:tcPr>
          <w:p w14:paraId="0A5B2B53" w14:textId="77777777" w:rsidR="00C07CC2" w:rsidRPr="00217EA0" w:rsidRDefault="00C07CC2" w:rsidP="00802A79">
            <w:pPr>
              <w:pStyle w:val="TableText"/>
              <w:keepNext/>
              <w:keepLines/>
              <w:cnfStyle w:val="000000000000" w:firstRow="0" w:lastRow="0" w:firstColumn="0" w:lastColumn="0" w:oddVBand="0" w:evenVBand="0" w:oddHBand="0" w:evenHBand="0" w:firstRowFirstColumn="0" w:firstRowLastColumn="0" w:lastRowFirstColumn="0" w:lastRowLastColumn="0"/>
              <w:rPr>
                <w:rFonts w:ascii="Times" w:hAnsi="Times"/>
                <w:color w:val="auto"/>
                <w:lang w:val="en-AU"/>
              </w:rPr>
            </w:pPr>
            <w:r w:rsidRPr="00217EA0">
              <w:rPr>
                <w:color w:val="auto"/>
                <w:lang w:val="en-AU"/>
              </w:rPr>
              <w:t>140</w:t>
            </w:r>
          </w:p>
        </w:tc>
        <w:tc>
          <w:tcPr>
            <w:tcW w:w="0" w:type="auto"/>
          </w:tcPr>
          <w:p w14:paraId="6699BDFB" w14:textId="77777777" w:rsidR="00C07CC2" w:rsidRPr="00217EA0" w:rsidRDefault="00C07CC2" w:rsidP="00802A79">
            <w:pPr>
              <w:pStyle w:val="TableText"/>
              <w:keepNext/>
              <w:keepLines/>
              <w:cnfStyle w:val="000000000000" w:firstRow="0" w:lastRow="0" w:firstColumn="0" w:lastColumn="0" w:oddVBand="0" w:evenVBand="0" w:oddHBand="0" w:evenHBand="0" w:firstRowFirstColumn="0" w:firstRowLastColumn="0" w:lastRowFirstColumn="0" w:lastRowLastColumn="0"/>
              <w:rPr>
                <w:rFonts w:ascii="Times" w:hAnsi="Times"/>
                <w:color w:val="auto"/>
                <w:lang w:val="en-AU"/>
              </w:rPr>
            </w:pPr>
            <w:r w:rsidRPr="00217EA0">
              <w:rPr>
                <w:color w:val="auto"/>
                <w:lang w:val="en-AU"/>
              </w:rPr>
              <w:t>5</w:t>
            </w:r>
          </w:p>
        </w:tc>
        <w:tc>
          <w:tcPr>
            <w:tcW w:w="0" w:type="auto"/>
          </w:tcPr>
          <w:p w14:paraId="331A342E" w14:textId="6B889C84" w:rsidR="00C07CC2" w:rsidRPr="00217EA0" w:rsidRDefault="00C07CC2" w:rsidP="00802A79">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Published: $</w:t>
            </w:r>
            <w:r w:rsidR="00F0779A">
              <w:rPr>
                <w:color w:val="000000"/>
                <w:spacing w:val="52"/>
                <w:shd w:val="solid" w:color="000000" w:fill="000000"/>
                <w:fitText w:val="330" w:id="-694415616"/>
                <w:lang w:val="en-AU"/>
                <w14:textFill>
                  <w14:solidFill>
                    <w14:srgbClr w14:val="000000">
                      <w14:alpha w14:val="100000"/>
                    </w14:srgbClr>
                  </w14:solidFill>
                </w14:textFill>
              </w:rPr>
              <w:t>|||</w:t>
            </w:r>
            <w:r w:rsidR="00F0779A">
              <w:rPr>
                <w:color w:val="000000"/>
                <w:spacing w:val="2"/>
                <w:shd w:val="solid" w:color="000000" w:fill="000000"/>
                <w:fitText w:val="330" w:id="-694415616"/>
                <w:lang w:val="en-AU"/>
                <w14:textFill>
                  <w14:solidFill>
                    <w14:srgbClr w14:val="000000">
                      <w14:alpha w14:val="100000"/>
                    </w14:srgbClr>
                  </w14:solidFill>
                </w14:textFill>
              </w:rPr>
              <w:t>|</w:t>
            </w:r>
          </w:p>
          <w:p w14:paraId="0F509511" w14:textId="1AB87033" w:rsidR="00C07CC2" w:rsidRPr="00217EA0" w:rsidRDefault="00C07CC2" w:rsidP="00802A79">
            <w:pPr>
              <w:pStyle w:val="TableText"/>
              <w:keepNext/>
              <w:keepLines/>
              <w:cnfStyle w:val="000000000000" w:firstRow="0" w:lastRow="0" w:firstColumn="0" w:lastColumn="0" w:oddVBand="0" w:evenVBand="0" w:oddHBand="0" w:evenHBand="0" w:firstRowFirstColumn="0" w:firstRowLastColumn="0" w:lastRowFirstColumn="0" w:lastRowLastColumn="0"/>
              <w:rPr>
                <w:rFonts w:ascii="Times" w:hAnsi="Times"/>
                <w:color w:val="auto"/>
                <w:lang w:val="en-AU"/>
              </w:rPr>
            </w:pPr>
            <w:r w:rsidRPr="00217EA0">
              <w:rPr>
                <w:color w:val="auto"/>
                <w:lang w:val="en-AU"/>
              </w:rPr>
              <w:t>Effective: $</w:t>
            </w:r>
            <w:r w:rsidR="00F0779A">
              <w:rPr>
                <w:color w:val="000000"/>
                <w:spacing w:val="52"/>
                <w:shd w:val="solid" w:color="000000" w:fill="000000"/>
                <w:fitText w:val="330" w:id="-694415615"/>
                <w:lang w:val="en-AU"/>
                <w14:textFill>
                  <w14:solidFill>
                    <w14:srgbClr w14:val="000000">
                      <w14:alpha w14:val="100000"/>
                    </w14:srgbClr>
                  </w14:solidFill>
                </w14:textFill>
              </w:rPr>
              <w:t>|||</w:t>
            </w:r>
            <w:r w:rsidR="00F0779A">
              <w:rPr>
                <w:color w:val="000000"/>
                <w:spacing w:val="2"/>
                <w:shd w:val="solid" w:color="000000" w:fill="000000"/>
                <w:fitText w:val="330" w:id="-694415615"/>
                <w:lang w:val="en-AU"/>
                <w14:textFill>
                  <w14:solidFill>
                    <w14:srgbClr w14:val="000000">
                      <w14:alpha w14:val="100000"/>
                    </w14:srgbClr>
                  </w14:solidFill>
                </w14:textFill>
              </w:rPr>
              <w:t>|</w:t>
            </w:r>
          </w:p>
        </w:tc>
        <w:tc>
          <w:tcPr>
            <w:tcW w:w="1591" w:type="dxa"/>
          </w:tcPr>
          <w:p w14:paraId="2173642D" w14:textId="77777777" w:rsidR="00C07CC2" w:rsidRPr="00217EA0" w:rsidRDefault="00C07CC2" w:rsidP="00802A79">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LYGTOBI</w:t>
            </w:r>
          </w:p>
          <w:p w14:paraId="62D6D242" w14:textId="77777777" w:rsidR="00C07CC2" w:rsidRPr="00217EA0" w:rsidRDefault="00C07CC2" w:rsidP="00802A79">
            <w:pPr>
              <w:pStyle w:val="TableText"/>
              <w:keepNext/>
              <w:keepLines/>
              <w:cnfStyle w:val="000000000000" w:firstRow="0" w:lastRow="0" w:firstColumn="0" w:lastColumn="0" w:oddVBand="0" w:evenVBand="0" w:oddHBand="0" w:evenHBand="0" w:firstRowFirstColumn="0" w:firstRowLastColumn="0" w:lastRowFirstColumn="0" w:lastRowLastColumn="0"/>
              <w:rPr>
                <w:rFonts w:ascii="Times" w:hAnsi="Times"/>
                <w:color w:val="auto"/>
                <w:lang w:val="en-AU"/>
              </w:rPr>
            </w:pPr>
            <w:r w:rsidRPr="00217EA0">
              <w:rPr>
                <w:color w:val="auto"/>
                <w:lang w:val="en-AU"/>
              </w:rPr>
              <w:t xml:space="preserve">Taiho Pharma Oceania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Caption w:val="Table 2: Essential elements of the requested listing"/>
      </w:tblPr>
      <w:tblGrid>
        <w:gridCol w:w="9016"/>
      </w:tblGrid>
      <w:tr w:rsidR="005B7800" w:rsidRPr="0016117D" w14:paraId="3E82B571" w14:textId="77777777" w:rsidTr="005B7800">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77FB14D" w14:textId="77777777" w:rsidR="005B7800" w:rsidRPr="0016117D" w:rsidRDefault="005B7800" w:rsidP="00802A79">
            <w:pPr>
              <w:keepNext/>
              <w:keepLines/>
              <w:spacing w:before="0" w:after="0"/>
              <w:rPr>
                <w:rFonts w:ascii="Arial Narrow" w:hAnsi="Arial Narrow" w:cs="Arial"/>
                <w:sz w:val="20"/>
                <w:szCs w:val="20"/>
              </w:rPr>
            </w:pPr>
            <w:r w:rsidRPr="0016117D">
              <w:rPr>
                <w:rFonts w:ascii="Arial Narrow" w:hAnsi="Arial Narrow" w:cs="Arial"/>
                <w:b/>
                <w:sz w:val="20"/>
                <w:szCs w:val="20"/>
              </w:rPr>
              <w:t>Category / Program:</w:t>
            </w:r>
            <w:r w:rsidRPr="0016117D">
              <w:rPr>
                <w:rFonts w:ascii="Arial Narrow" w:hAnsi="Arial Narrow" w:cs="Arial"/>
                <w:color w:val="FF0000"/>
                <w:sz w:val="20"/>
                <w:szCs w:val="20"/>
              </w:rPr>
              <w:t xml:space="preserve"> </w:t>
            </w:r>
          </w:p>
          <w:p w14:paraId="78C1D12D" w14:textId="77777777" w:rsidR="005B7800" w:rsidRPr="0016117D" w:rsidRDefault="005B7800" w:rsidP="00802A79">
            <w:pPr>
              <w:keepNext/>
              <w:keepLines/>
              <w:spacing w:before="0" w:after="0"/>
              <w:rPr>
                <w:rFonts w:ascii="Arial Narrow" w:hAnsi="Arial Narrow" w:cs="Arial"/>
                <w:sz w:val="20"/>
                <w:szCs w:val="20"/>
              </w:rPr>
            </w:pPr>
            <w:r w:rsidRPr="0016117D">
              <w:rPr>
                <w:rFonts w:ascii="Arial Narrow" w:eastAsia="Calibri" w:hAnsi="Arial Narrow" w:cs="Arial"/>
                <w:sz w:val="20"/>
                <w:szCs w:val="20"/>
              </w:rPr>
              <w:fldChar w:fldCharType="begin">
                <w:ffData>
                  <w:name w:val="Check1"/>
                  <w:enabled/>
                  <w:calcOnExit w:val="0"/>
                  <w:checkBox>
                    <w:sizeAuto/>
                    <w:default w:val="1"/>
                  </w:checkBox>
                </w:ffData>
              </w:fldChar>
            </w:r>
            <w:r w:rsidRPr="0016117D">
              <w:rPr>
                <w:rFonts w:ascii="Arial Narrow" w:eastAsia="Calibri" w:hAnsi="Arial Narrow" w:cs="Arial"/>
                <w:sz w:val="20"/>
                <w:szCs w:val="20"/>
              </w:rPr>
              <w:instrText xml:space="preserve"> FORMCHECKBOX </w:instrText>
            </w:r>
            <w:r w:rsidRPr="0016117D">
              <w:rPr>
                <w:rFonts w:ascii="Arial Narrow" w:eastAsia="Calibri" w:hAnsi="Arial Narrow" w:cs="Arial"/>
                <w:sz w:val="20"/>
                <w:szCs w:val="20"/>
              </w:rPr>
            </w:r>
            <w:r w:rsidRPr="0016117D">
              <w:rPr>
                <w:rFonts w:ascii="Arial Narrow" w:eastAsia="Calibri" w:hAnsi="Arial Narrow" w:cs="Arial"/>
                <w:sz w:val="20"/>
                <w:szCs w:val="20"/>
              </w:rPr>
              <w:fldChar w:fldCharType="separate"/>
            </w:r>
            <w:r w:rsidRPr="0016117D">
              <w:rPr>
                <w:rFonts w:ascii="Arial Narrow" w:eastAsia="Calibri" w:hAnsi="Arial Narrow" w:cs="Arial"/>
                <w:sz w:val="20"/>
                <w:szCs w:val="20"/>
              </w:rPr>
              <w:fldChar w:fldCharType="end"/>
            </w:r>
            <w:r w:rsidRPr="0016117D">
              <w:rPr>
                <w:rFonts w:ascii="Arial Narrow" w:eastAsia="Calibri" w:hAnsi="Arial Narrow" w:cs="Arial"/>
                <w:sz w:val="20"/>
                <w:szCs w:val="20"/>
              </w:rPr>
              <w:t xml:space="preserve"> GENERAL - General Schedule (Code GE) </w:t>
            </w:r>
          </w:p>
        </w:tc>
      </w:tr>
      <w:tr w:rsidR="005B7800" w:rsidRPr="0016117D" w14:paraId="47978202" w14:textId="77777777" w:rsidTr="005B7800">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377780E6" w14:textId="77777777" w:rsidR="005B7800" w:rsidRPr="0016117D" w:rsidRDefault="005B7800" w:rsidP="00802A79">
            <w:pPr>
              <w:keepNext/>
              <w:keepLines/>
              <w:spacing w:before="0" w:after="0"/>
              <w:rPr>
                <w:rFonts w:ascii="Arial Narrow" w:hAnsi="Arial Narrow" w:cs="Arial"/>
                <w:b/>
                <w:sz w:val="20"/>
                <w:szCs w:val="20"/>
              </w:rPr>
            </w:pPr>
            <w:r w:rsidRPr="0016117D">
              <w:rPr>
                <w:rFonts w:ascii="Arial Narrow" w:hAnsi="Arial Narrow" w:cs="Arial"/>
                <w:b/>
                <w:sz w:val="20"/>
                <w:szCs w:val="20"/>
              </w:rPr>
              <w:t xml:space="preserve">Prescriber type: </w:t>
            </w:r>
          </w:p>
          <w:p w14:paraId="7E98D104" w14:textId="77777777" w:rsidR="005B7800" w:rsidRPr="0016117D" w:rsidRDefault="005B7800" w:rsidP="00802A79">
            <w:pPr>
              <w:keepNext/>
              <w:keepLines/>
              <w:spacing w:before="0" w:after="0"/>
              <w:rPr>
                <w:rFonts w:ascii="Arial Narrow" w:hAnsi="Arial Narrow" w:cs="Arial"/>
                <w:b/>
                <w:sz w:val="20"/>
                <w:szCs w:val="20"/>
              </w:rPr>
            </w:pPr>
            <w:r w:rsidRPr="0016117D">
              <w:rPr>
                <w:rFonts w:ascii="Arial Narrow" w:hAnsi="Arial Narrow" w:cs="Arial"/>
                <w:sz w:val="20"/>
                <w:szCs w:val="20"/>
              </w:rPr>
              <w:fldChar w:fldCharType="begin">
                <w:ffData>
                  <w:name w:val=""/>
                  <w:enabled/>
                  <w:calcOnExit w:val="0"/>
                  <w:checkBox>
                    <w:sizeAuto/>
                    <w:default w:val="1"/>
                  </w:checkBox>
                </w:ffData>
              </w:fldChar>
            </w:r>
            <w:r w:rsidRPr="0016117D">
              <w:rPr>
                <w:rFonts w:ascii="Arial Narrow" w:hAnsi="Arial Narrow" w:cs="Arial"/>
                <w:sz w:val="20"/>
                <w:szCs w:val="20"/>
              </w:rPr>
              <w:instrText xml:space="preserve"> FORMCHECKBOX </w:instrText>
            </w:r>
            <w:r w:rsidRPr="0016117D">
              <w:rPr>
                <w:rFonts w:ascii="Arial Narrow" w:hAnsi="Arial Narrow" w:cs="Arial"/>
                <w:sz w:val="20"/>
                <w:szCs w:val="20"/>
              </w:rPr>
            </w:r>
            <w:r w:rsidRPr="0016117D">
              <w:rPr>
                <w:rFonts w:ascii="Arial Narrow" w:hAnsi="Arial Narrow" w:cs="Arial"/>
                <w:sz w:val="20"/>
                <w:szCs w:val="20"/>
              </w:rPr>
              <w:fldChar w:fldCharType="separate"/>
            </w:r>
            <w:r w:rsidRPr="0016117D">
              <w:rPr>
                <w:rFonts w:ascii="Arial Narrow" w:hAnsi="Arial Narrow" w:cs="Arial"/>
                <w:sz w:val="20"/>
                <w:szCs w:val="20"/>
              </w:rPr>
              <w:fldChar w:fldCharType="end"/>
            </w:r>
            <w:r w:rsidRPr="0016117D">
              <w:rPr>
                <w:rFonts w:ascii="Arial Narrow" w:hAnsi="Arial Narrow" w:cs="Arial"/>
                <w:sz w:val="20"/>
                <w:szCs w:val="20"/>
              </w:rPr>
              <w:t xml:space="preserve">Medical Practitioners </w:t>
            </w:r>
          </w:p>
        </w:tc>
      </w:tr>
      <w:tr w:rsidR="005B7800" w:rsidRPr="0016117D" w14:paraId="1B991A34" w14:textId="77777777" w:rsidTr="005B7800">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A6374CD" w14:textId="77777777" w:rsidR="005B7800" w:rsidRPr="0016117D" w:rsidRDefault="005B7800" w:rsidP="00802A79">
            <w:pPr>
              <w:keepNext/>
              <w:keepLines/>
              <w:spacing w:before="0" w:after="0"/>
              <w:rPr>
                <w:rFonts w:ascii="Arial Narrow" w:hAnsi="Arial Narrow" w:cs="Arial"/>
                <w:b/>
                <w:sz w:val="20"/>
                <w:szCs w:val="20"/>
              </w:rPr>
            </w:pPr>
            <w:r w:rsidRPr="0016117D">
              <w:rPr>
                <w:rFonts w:ascii="Arial Narrow" w:hAnsi="Arial Narrow" w:cs="Arial"/>
                <w:b/>
                <w:sz w:val="20"/>
                <w:szCs w:val="20"/>
              </w:rPr>
              <w:t xml:space="preserve">Restriction type: </w:t>
            </w:r>
          </w:p>
          <w:p w14:paraId="7484896D" w14:textId="77777777" w:rsidR="005B7800" w:rsidRPr="0016117D" w:rsidRDefault="005B7800" w:rsidP="00802A79">
            <w:pPr>
              <w:keepNext/>
              <w:keepLines/>
              <w:spacing w:before="0" w:after="0"/>
              <w:rPr>
                <w:rFonts w:ascii="Arial Narrow" w:eastAsia="Calibri" w:hAnsi="Arial Narrow" w:cs="Arial"/>
                <w:color w:val="FF0000"/>
                <w:sz w:val="20"/>
                <w:szCs w:val="20"/>
              </w:rPr>
            </w:pPr>
            <w:r w:rsidRPr="0016117D">
              <w:rPr>
                <w:rFonts w:ascii="Arial Narrow" w:eastAsia="Calibri" w:hAnsi="Arial Narrow" w:cs="Arial"/>
                <w:sz w:val="20"/>
                <w:szCs w:val="20"/>
              </w:rPr>
              <w:fldChar w:fldCharType="begin">
                <w:ffData>
                  <w:name w:val=""/>
                  <w:enabled/>
                  <w:calcOnExit w:val="0"/>
                  <w:checkBox>
                    <w:sizeAuto/>
                    <w:default w:val="1"/>
                  </w:checkBox>
                </w:ffData>
              </w:fldChar>
            </w:r>
            <w:r w:rsidRPr="0016117D">
              <w:rPr>
                <w:rFonts w:ascii="Arial Narrow" w:eastAsia="Calibri" w:hAnsi="Arial Narrow" w:cs="Arial"/>
                <w:sz w:val="20"/>
                <w:szCs w:val="20"/>
              </w:rPr>
              <w:instrText xml:space="preserve"> FORMCHECKBOX </w:instrText>
            </w:r>
            <w:r w:rsidRPr="0016117D">
              <w:rPr>
                <w:rFonts w:ascii="Arial Narrow" w:eastAsia="Calibri" w:hAnsi="Arial Narrow" w:cs="Arial"/>
                <w:sz w:val="20"/>
                <w:szCs w:val="20"/>
              </w:rPr>
            </w:r>
            <w:r w:rsidRPr="0016117D">
              <w:rPr>
                <w:rFonts w:ascii="Arial Narrow" w:eastAsia="Calibri" w:hAnsi="Arial Narrow" w:cs="Arial"/>
                <w:sz w:val="20"/>
                <w:szCs w:val="20"/>
              </w:rPr>
              <w:fldChar w:fldCharType="separate"/>
            </w:r>
            <w:r w:rsidRPr="0016117D">
              <w:rPr>
                <w:rFonts w:ascii="Arial Narrow" w:eastAsia="Calibri" w:hAnsi="Arial Narrow" w:cs="Arial"/>
                <w:sz w:val="20"/>
                <w:szCs w:val="20"/>
              </w:rPr>
              <w:fldChar w:fldCharType="end"/>
            </w:r>
            <w:r w:rsidRPr="0016117D">
              <w:rPr>
                <w:rFonts w:ascii="Arial Narrow" w:eastAsia="Calibri" w:hAnsi="Arial Narrow" w:cs="Arial"/>
                <w:sz w:val="20"/>
                <w:szCs w:val="20"/>
              </w:rPr>
              <w:t xml:space="preserve">Authority Required (Streamlined) [new/existing code] </w:t>
            </w:r>
          </w:p>
        </w:tc>
      </w:tr>
      <w:tr w:rsidR="006B2EC9" w:rsidRPr="00217EA0" w14:paraId="59E790A3" w14:textId="3F85A7F4" w:rsidTr="2914E55D">
        <w:tblPrEx>
          <w:tblCellMar>
            <w:left w:w="15" w:type="dxa"/>
            <w:right w:w="15" w:type="dxa"/>
          </w:tblCellMar>
        </w:tblPrEx>
        <w:tc>
          <w:tcPr>
            <w:tcW w:w="5000" w:type="pct"/>
            <w:vAlign w:val="center"/>
            <w:hideMark/>
          </w:tcPr>
          <w:p w14:paraId="5D74838D" w14:textId="57FDD29D" w:rsidR="006B2EC9" w:rsidRPr="00217EA0" w:rsidRDefault="006B2EC9" w:rsidP="00802A79">
            <w:pPr>
              <w:keepNext/>
              <w:keepLines/>
              <w:spacing w:before="0" w:after="0"/>
              <w:rPr>
                <w:rFonts w:ascii="Arial Narrow" w:eastAsia="Times New Roman" w:hAnsi="Arial Narrow"/>
                <w:sz w:val="20"/>
                <w:szCs w:val="20"/>
                <w:lang w:eastAsia="en-AU"/>
              </w:rPr>
            </w:pPr>
            <w:r w:rsidRPr="00217EA0">
              <w:rPr>
                <w:rFonts w:ascii="Arial Narrow" w:eastAsia="Times New Roman" w:hAnsi="Arial Narrow"/>
                <w:b/>
                <w:bCs/>
                <w:sz w:val="20"/>
                <w:szCs w:val="20"/>
                <w:lang w:eastAsia="en-AU"/>
              </w:rPr>
              <w:t>Indication:</w:t>
            </w:r>
            <w:r w:rsidRPr="00217EA0">
              <w:rPr>
                <w:rFonts w:ascii="Arial Narrow" w:eastAsia="Times New Roman" w:hAnsi="Arial Narrow"/>
                <w:sz w:val="20"/>
                <w:szCs w:val="20"/>
                <w:lang w:eastAsia="en-AU"/>
              </w:rPr>
              <w:t xml:space="preserve"> Locally advanced or metastatic cholangiocarcinoma</w:t>
            </w:r>
          </w:p>
        </w:tc>
      </w:tr>
      <w:tr w:rsidR="006B2EC9" w:rsidRPr="00217EA0" w14:paraId="082972C5" w14:textId="524654E6" w:rsidTr="2914E55D">
        <w:tblPrEx>
          <w:tblCellMar>
            <w:left w:w="15" w:type="dxa"/>
            <w:right w:w="15" w:type="dxa"/>
          </w:tblCellMar>
        </w:tblPrEx>
        <w:tc>
          <w:tcPr>
            <w:tcW w:w="5000" w:type="pct"/>
            <w:vAlign w:val="center"/>
            <w:hideMark/>
          </w:tcPr>
          <w:p w14:paraId="1F4DD678" w14:textId="0DB42043" w:rsidR="006B2EC9" w:rsidRPr="00217EA0" w:rsidRDefault="006B2EC9" w:rsidP="00802A79">
            <w:pPr>
              <w:keepNext/>
              <w:keepLines/>
              <w:spacing w:before="0" w:after="0"/>
              <w:rPr>
                <w:rFonts w:ascii="Arial Narrow" w:eastAsia="Times New Roman" w:hAnsi="Arial Narrow"/>
                <w:sz w:val="20"/>
                <w:szCs w:val="20"/>
                <w:lang w:eastAsia="en-AU"/>
              </w:rPr>
            </w:pPr>
            <w:r w:rsidRPr="00217EA0">
              <w:rPr>
                <w:rFonts w:ascii="Arial Narrow" w:eastAsia="Times New Roman" w:hAnsi="Arial Narrow"/>
                <w:b/>
                <w:bCs/>
                <w:sz w:val="20"/>
                <w:szCs w:val="20"/>
                <w:lang w:eastAsia="en-AU"/>
              </w:rPr>
              <w:t>Clinical criteria:</w:t>
            </w:r>
          </w:p>
        </w:tc>
      </w:tr>
      <w:tr w:rsidR="006B2EC9" w:rsidRPr="00217EA0" w14:paraId="14B03C5D" w14:textId="01A210B5" w:rsidTr="2914E55D">
        <w:tblPrEx>
          <w:tblCellMar>
            <w:left w:w="15" w:type="dxa"/>
            <w:right w:w="15" w:type="dxa"/>
          </w:tblCellMar>
        </w:tblPrEx>
        <w:tc>
          <w:tcPr>
            <w:tcW w:w="5000" w:type="pct"/>
            <w:vAlign w:val="center"/>
            <w:hideMark/>
          </w:tcPr>
          <w:p w14:paraId="4B36E9B2" w14:textId="751893D8" w:rsidR="006B2EC9" w:rsidRPr="00217EA0" w:rsidRDefault="006B2EC9" w:rsidP="00802A79">
            <w:pPr>
              <w:keepNext/>
              <w:keepLines/>
              <w:spacing w:before="0" w:after="0"/>
              <w:rPr>
                <w:rFonts w:ascii="Arial Narrow" w:eastAsia="Times New Roman" w:hAnsi="Arial Narrow"/>
                <w:sz w:val="20"/>
                <w:szCs w:val="20"/>
                <w:lang w:eastAsia="en-AU"/>
              </w:rPr>
            </w:pPr>
            <w:r w:rsidRPr="00217EA0">
              <w:rPr>
                <w:rFonts w:ascii="Arial Narrow" w:eastAsia="Times New Roman" w:hAnsi="Arial Narrow"/>
                <w:sz w:val="20"/>
                <w:szCs w:val="20"/>
                <w:lang w:eastAsia="en-AU"/>
              </w:rPr>
              <w:t>Patient must have evidence of a fibroblast growth factor receptor 2 (</w:t>
            </w:r>
            <w:r w:rsidR="003E5C46" w:rsidRPr="003E5C46">
              <w:rPr>
                <w:rFonts w:ascii="Arial Narrow" w:eastAsia="Times New Roman" w:hAnsi="Arial Narrow"/>
                <w:i/>
                <w:iCs/>
                <w:sz w:val="20"/>
                <w:szCs w:val="20"/>
                <w:lang w:eastAsia="en-AU"/>
              </w:rPr>
              <w:t>FGFR2</w:t>
            </w:r>
            <w:r w:rsidRPr="00217EA0">
              <w:rPr>
                <w:rFonts w:ascii="Arial Narrow" w:eastAsia="Times New Roman" w:hAnsi="Arial Narrow"/>
                <w:sz w:val="20"/>
                <w:szCs w:val="20"/>
                <w:lang w:eastAsia="en-AU"/>
              </w:rPr>
              <w:t xml:space="preserve">) fusion or rearrangement </w:t>
            </w:r>
          </w:p>
        </w:tc>
      </w:tr>
      <w:tr w:rsidR="006B2EC9" w:rsidRPr="00217EA0" w14:paraId="2D005ABE" w14:textId="7A745B24" w:rsidTr="2914E55D">
        <w:tblPrEx>
          <w:tblCellMar>
            <w:left w:w="15" w:type="dxa"/>
            <w:right w:w="15" w:type="dxa"/>
          </w:tblCellMar>
        </w:tblPrEx>
        <w:tc>
          <w:tcPr>
            <w:tcW w:w="5000" w:type="pct"/>
            <w:vAlign w:val="center"/>
            <w:hideMark/>
          </w:tcPr>
          <w:p w14:paraId="0A670390" w14:textId="3F780569" w:rsidR="006B2EC9" w:rsidRPr="00217EA0" w:rsidRDefault="006B2EC9" w:rsidP="00802A79">
            <w:pPr>
              <w:keepNext/>
              <w:keepLines/>
              <w:spacing w:before="0" w:after="0"/>
              <w:rPr>
                <w:rFonts w:ascii="Arial Narrow" w:eastAsia="Times New Roman" w:hAnsi="Arial Narrow"/>
                <w:sz w:val="20"/>
                <w:szCs w:val="20"/>
                <w:lang w:eastAsia="en-AU"/>
              </w:rPr>
            </w:pPr>
            <w:r w:rsidRPr="00217EA0">
              <w:rPr>
                <w:rFonts w:ascii="Arial Narrow" w:eastAsia="Times New Roman" w:hAnsi="Arial Narrow"/>
                <w:b/>
                <w:bCs/>
                <w:sz w:val="20"/>
                <w:szCs w:val="20"/>
                <w:lang w:eastAsia="en-AU"/>
              </w:rPr>
              <w:t>AND</w:t>
            </w:r>
          </w:p>
        </w:tc>
      </w:tr>
      <w:tr w:rsidR="006B2EC9" w:rsidRPr="00217EA0" w14:paraId="67A1FA98" w14:textId="53829E7C" w:rsidTr="2914E55D">
        <w:tblPrEx>
          <w:tblCellMar>
            <w:left w:w="15" w:type="dxa"/>
            <w:right w:w="15" w:type="dxa"/>
          </w:tblCellMar>
        </w:tblPrEx>
        <w:tc>
          <w:tcPr>
            <w:tcW w:w="5000" w:type="pct"/>
            <w:vAlign w:val="center"/>
            <w:hideMark/>
          </w:tcPr>
          <w:p w14:paraId="58F5C561" w14:textId="1DD01A03" w:rsidR="006B2EC9" w:rsidRPr="00217EA0" w:rsidRDefault="006B2EC9" w:rsidP="00802A79">
            <w:pPr>
              <w:keepNext/>
              <w:keepLines/>
              <w:spacing w:before="0" w:after="0"/>
              <w:rPr>
                <w:rFonts w:ascii="Arial Narrow" w:eastAsia="Times New Roman" w:hAnsi="Arial Narrow"/>
                <w:sz w:val="20"/>
                <w:szCs w:val="20"/>
                <w:lang w:eastAsia="en-AU"/>
              </w:rPr>
            </w:pPr>
            <w:r w:rsidRPr="00217EA0">
              <w:rPr>
                <w:rFonts w:ascii="Arial Narrow" w:eastAsia="Times New Roman" w:hAnsi="Arial Narrow"/>
                <w:b/>
                <w:bCs/>
                <w:sz w:val="20"/>
                <w:szCs w:val="20"/>
                <w:lang w:eastAsia="en-AU"/>
              </w:rPr>
              <w:t>Clinical criteria:</w:t>
            </w:r>
          </w:p>
        </w:tc>
      </w:tr>
      <w:tr w:rsidR="006B2EC9" w:rsidRPr="00217EA0" w14:paraId="06872AE8" w14:textId="0EFB3E74" w:rsidTr="2914E55D">
        <w:tblPrEx>
          <w:tblCellMar>
            <w:left w:w="15" w:type="dxa"/>
            <w:right w:w="15" w:type="dxa"/>
          </w:tblCellMar>
        </w:tblPrEx>
        <w:tc>
          <w:tcPr>
            <w:tcW w:w="5000" w:type="pct"/>
            <w:vAlign w:val="center"/>
            <w:hideMark/>
          </w:tcPr>
          <w:p w14:paraId="3FC1BD47" w14:textId="02EB1117" w:rsidR="006B2EC9" w:rsidRPr="00217EA0" w:rsidRDefault="006B2EC9" w:rsidP="00802A79">
            <w:pPr>
              <w:keepNext/>
              <w:keepLines/>
              <w:spacing w:before="0" w:after="0"/>
              <w:rPr>
                <w:rFonts w:ascii="Arial Narrow" w:eastAsia="Times New Roman" w:hAnsi="Arial Narrow"/>
                <w:sz w:val="20"/>
                <w:szCs w:val="20"/>
                <w:lang w:eastAsia="en-AU"/>
              </w:rPr>
            </w:pPr>
            <w:r w:rsidRPr="00217EA0">
              <w:rPr>
                <w:rFonts w:ascii="Arial Narrow" w:eastAsia="Times New Roman" w:hAnsi="Arial Narrow"/>
                <w:sz w:val="20"/>
                <w:szCs w:val="20"/>
                <w:lang w:eastAsia="en-AU"/>
              </w:rPr>
              <w:t>Patient must have received at least one prior line of systemic therapy</w:t>
            </w:r>
          </w:p>
        </w:tc>
      </w:tr>
      <w:tr w:rsidR="006B2EC9" w:rsidRPr="00217EA0" w14:paraId="38836853" w14:textId="3DB882E8" w:rsidTr="2914E55D">
        <w:tblPrEx>
          <w:tblCellMar>
            <w:left w:w="15" w:type="dxa"/>
            <w:right w:w="15" w:type="dxa"/>
          </w:tblCellMar>
        </w:tblPrEx>
        <w:tc>
          <w:tcPr>
            <w:tcW w:w="5000" w:type="pct"/>
            <w:vAlign w:val="center"/>
          </w:tcPr>
          <w:p w14:paraId="48030FD6" w14:textId="706A6BDA" w:rsidR="006B2EC9" w:rsidRPr="00217EA0" w:rsidRDefault="006B2EC9" w:rsidP="00802A79">
            <w:pPr>
              <w:keepNext/>
              <w:keepLines/>
              <w:spacing w:before="0" w:after="0"/>
              <w:rPr>
                <w:rFonts w:ascii="Arial Narrow" w:eastAsia="Times New Roman" w:hAnsi="Arial Narrow"/>
                <w:sz w:val="20"/>
                <w:szCs w:val="20"/>
                <w:lang w:eastAsia="en-AU"/>
              </w:rPr>
            </w:pPr>
            <w:r w:rsidRPr="00217EA0">
              <w:rPr>
                <w:rFonts w:ascii="Arial Narrow" w:eastAsia="Times New Roman" w:hAnsi="Arial Narrow"/>
                <w:b/>
                <w:bCs/>
                <w:sz w:val="20"/>
                <w:szCs w:val="20"/>
                <w:lang w:eastAsia="en-AU"/>
              </w:rPr>
              <w:t>AND</w:t>
            </w:r>
          </w:p>
        </w:tc>
      </w:tr>
      <w:tr w:rsidR="006B2EC9" w:rsidRPr="00217EA0" w14:paraId="303236DF" w14:textId="3570B535" w:rsidTr="2914E55D">
        <w:tblPrEx>
          <w:tblCellMar>
            <w:left w:w="15" w:type="dxa"/>
            <w:right w:w="15" w:type="dxa"/>
          </w:tblCellMar>
        </w:tblPrEx>
        <w:tc>
          <w:tcPr>
            <w:tcW w:w="5000" w:type="pct"/>
            <w:vAlign w:val="center"/>
          </w:tcPr>
          <w:p w14:paraId="2BBA96A6" w14:textId="368207C4" w:rsidR="006B2EC9" w:rsidRPr="00217EA0" w:rsidRDefault="006B2EC9" w:rsidP="00802A79">
            <w:pPr>
              <w:keepNext/>
              <w:keepLines/>
              <w:spacing w:before="0" w:after="0"/>
              <w:rPr>
                <w:rFonts w:ascii="Arial Narrow" w:eastAsia="Times New Roman" w:hAnsi="Arial Narrow"/>
                <w:sz w:val="20"/>
                <w:szCs w:val="20"/>
                <w:lang w:eastAsia="en-AU"/>
              </w:rPr>
            </w:pPr>
            <w:r w:rsidRPr="00217EA0">
              <w:rPr>
                <w:rFonts w:ascii="Arial Narrow" w:eastAsia="Times New Roman" w:hAnsi="Arial Narrow"/>
                <w:b/>
                <w:bCs/>
                <w:sz w:val="20"/>
                <w:szCs w:val="20"/>
                <w:lang w:eastAsia="en-AU"/>
              </w:rPr>
              <w:t>Clinical criteria:</w:t>
            </w:r>
          </w:p>
        </w:tc>
      </w:tr>
      <w:tr w:rsidR="006B2EC9" w:rsidRPr="00217EA0" w14:paraId="4D72E8E0" w14:textId="0EBE359F" w:rsidTr="2914E55D">
        <w:tblPrEx>
          <w:tblCellMar>
            <w:left w:w="15" w:type="dxa"/>
            <w:right w:w="15" w:type="dxa"/>
          </w:tblCellMar>
        </w:tblPrEx>
        <w:tc>
          <w:tcPr>
            <w:tcW w:w="5000" w:type="pct"/>
            <w:vAlign w:val="center"/>
          </w:tcPr>
          <w:p w14:paraId="0AA3EAC9" w14:textId="63BBF899" w:rsidR="006B2EC9" w:rsidRPr="00217EA0" w:rsidRDefault="005B7800" w:rsidP="00802A79">
            <w:pPr>
              <w:keepNext/>
              <w:keepLines/>
              <w:spacing w:before="0" w:after="0"/>
              <w:rPr>
                <w:rFonts w:ascii="Arial Narrow" w:eastAsia="Times New Roman" w:hAnsi="Arial Narrow"/>
                <w:sz w:val="20"/>
                <w:szCs w:val="20"/>
                <w:lang w:eastAsia="en-AU"/>
              </w:rPr>
            </w:pPr>
            <w:r w:rsidRPr="0016117D">
              <w:rPr>
                <w:rFonts w:ascii="Arial Narrow" w:eastAsia="Times New Roman" w:hAnsi="Arial Narrow"/>
                <w:color w:val="333333"/>
                <w:sz w:val="20"/>
                <w:szCs w:val="20"/>
                <w:lang w:eastAsia="en-AU" w:bidi="en-US"/>
              </w:rPr>
              <w:t>Patient must have a</w:t>
            </w:r>
            <w:r w:rsidRPr="0016117D">
              <w:rPr>
                <w:rFonts w:ascii="Arial Narrow" w:eastAsia="Times New Roman" w:hAnsi="Arial Narrow"/>
                <w:strike/>
                <w:color w:val="333333"/>
                <w:sz w:val="20"/>
                <w:szCs w:val="20"/>
                <w:lang w:eastAsia="en-AU" w:bidi="en-US"/>
              </w:rPr>
              <w:t>n</w:t>
            </w:r>
            <w:r w:rsidRPr="0016117D">
              <w:rPr>
                <w:rFonts w:ascii="Arial Narrow" w:eastAsia="Times New Roman" w:hAnsi="Arial Narrow"/>
                <w:color w:val="333333"/>
                <w:sz w:val="20"/>
                <w:szCs w:val="20"/>
                <w:lang w:eastAsia="en-AU" w:bidi="en-US"/>
              </w:rPr>
              <w:t xml:space="preserve"> </w:t>
            </w:r>
            <w:r w:rsidRPr="0016117D">
              <w:rPr>
                <w:rFonts w:ascii="Arial Narrow" w:eastAsia="Times New Roman" w:hAnsi="Arial Narrow"/>
                <w:i/>
                <w:iCs/>
                <w:color w:val="333333"/>
                <w:sz w:val="20"/>
                <w:szCs w:val="20"/>
                <w:lang w:eastAsia="en-AU" w:bidi="en-US"/>
              </w:rPr>
              <w:t>World Health Organisation (WHO) Eastern Cooperative Oncology Group (</w:t>
            </w:r>
            <w:r w:rsidRPr="0016117D">
              <w:rPr>
                <w:rFonts w:ascii="Arial Narrow" w:eastAsia="Times New Roman" w:hAnsi="Arial Narrow"/>
                <w:color w:val="333333"/>
                <w:sz w:val="20"/>
                <w:szCs w:val="20"/>
                <w:lang w:eastAsia="en-AU" w:bidi="en-US"/>
              </w:rPr>
              <w:t>ECOG</w:t>
            </w:r>
            <w:r w:rsidRPr="0016117D">
              <w:rPr>
                <w:rFonts w:ascii="Arial Narrow" w:eastAsia="Times New Roman" w:hAnsi="Arial Narrow"/>
                <w:i/>
                <w:iCs/>
                <w:color w:val="333333"/>
                <w:sz w:val="20"/>
                <w:szCs w:val="20"/>
                <w:lang w:eastAsia="en-AU" w:bidi="en-US"/>
              </w:rPr>
              <w:t>)</w:t>
            </w:r>
            <w:r w:rsidRPr="0016117D">
              <w:rPr>
                <w:rFonts w:ascii="Arial Narrow" w:eastAsia="Times New Roman" w:hAnsi="Arial Narrow"/>
                <w:color w:val="333333"/>
                <w:sz w:val="20"/>
                <w:szCs w:val="20"/>
                <w:lang w:eastAsia="en-AU" w:bidi="en-US"/>
              </w:rPr>
              <w:t xml:space="preserve"> performance status score</w:t>
            </w:r>
            <w:r w:rsidRPr="0016117D">
              <w:rPr>
                <w:rFonts w:ascii="Arial Narrow" w:eastAsia="Times New Roman" w:hAnsi="Arial Narrow"/>
                <w:strike/>
                <w:color w:val="333333"/>
                <w:sz w:val="20"/>
                <w:szCs w:val="20"/>
                <w:lang w:eastAsia="en-AU" w:bidi="en-US"/>
              </w:rPr>
              <w:t xml:space="preserve"> of</w:t>
            </w:r>
            <w:r w:rsidRPr="0016117D">
              <w:rPr>
                <w:rFonts w:ascii="Arial Narrow" w:eastAsia="Times New Roman" w:hAnsi="Arial Narrow"/>
                <w:color w:val="333333"/>
                <w:sz w:val="20"/>
                <w:szCs w:val="20"/>
                <w:lang w:eastAsia="en-AU" w:bidi="en-US"/>
              </w:rPr>
              <w:t xml:space="preserve"> no </w:t>
            </w:r>
            <w:r w:rsidRPr="0016117D">
              <w:rPr>
                <w:rFonts w:ascii="Arial Narrow" w:eastAsia="Times New Roman" w:hAnsi="Arial Narrow"/>
                <w:strike/>
                <w:color w:val="333333"/>
                <w:sz w:val="20"/>
                <w:szCs w:val="20"/>
                <w:lang w:eastAsia="en-AU" w:bidi="en-US"/>
              </w:rPr>
              <w:t>greater</w:t>
            </w:r>
            <w:r w:rsidRPr="0016117D">
              <w:rPr>
                <w:rFonts w:ascii="Arial Narrow" w:eastAsia="Times New Roman" w:hAnsi="Arial Narrow"/>
                <w:color w:val="333333"/>
                <w:sz w:val="20"/>
                <w:szCs w:val="20"/>
                <w:lang w:eastAsia="en-AU" w:bidi="en-US"/>
              </w:rPr>
              <w:t xml:space="preserve"> </w:t>
            </w:r>
            <w:r w:rsidRPr="0016117D">
              <w:rPr>
                <w:rFonts w:ascii="Arial Narrow" w:eastAsia="Times New Roman" w:hAnsi="Arial Narrow"/>
                <w:i/>
                <w:iCs/>
                <w:color w:val="333333"/>
                <w:sz w:val="20"/>
                <w:szCs w:val="20"/>
                <w:lang w:eastAsia="en-AU" w:bidi="en-US"/>
              </w:rPr>
              <w:t xml:space="preserve">higher </w:t>
            </w:r>
            <w:r w:rsidRPr="0016117D">
              <w:rPr>
                <w:rFonts w:ascii="Arial Narrow" w:eastAsia="Times New Roman" w:hAnsi="Arial Narrow"/>
                <w:color w:val="333333"/>
                <w:sz w:val="20"/>
                <w:szCs w:val="20"/>
                <w:lang w:eastAsia="en-AU" w:bidi="en-US"/>
              </w:rPr>
              <w:t xml:space="preserve">than 1 </w:t>
            </w:r>
            <w:r w:rsidRPr="0016117D">
              <w:rPr>
                <w:rFonts w:ascii="Arial Narrow" w:eastAsia="Times New Roman" w:hAnsi="Arial Narrow"/>
                <w:strike/>
                <w:color w:val="333333"/>
                <w:sz w:val="20"/>
                <w:szCs w:val="20"/>
                <w:lang w:eastAsia="en-AU" w:bidi="en-US"/>
              </w:rPr>
              <w:t xml:space="preserve">at </w:t>
            </w:r>
            <w:r w:rsidRPr="0016117D">
              <w:rPr>
                <w:rFonts w:ascii="Arial Narrow" w:eastAsia="Times New Roman" w:hAnsi="Arial Narrow"/>
                <w:i/>
                <w:iCs/>
                <w:color w:val="333333"/>
                <w:sz w:val="20"/>
                <w:szCs w:val="20"/>
                <w:lang w:eastAsia="en-AU" w:bidi="en-US"/>
              </w:rPr>
              <w:t xml:space="preserve">prior to </w:t>
            </w:r>
            <w:r w:rsidRPr="0016117D">
              <w:rPr>
                <w:rFonts w:ascii="Arial Narrow" w:eastAsia="Times New Roman" w:hAnsi="Arial Narrow"/>
                <w:color w:val="333333"/>
                <w:sz w:val="20"/>
                <w:szCs w:val="20"/>
                <w:lang w:eastAsia="en-AU" w:bidi="en-US"/>
              </w:rPr>
              <w:t>treatment initiation with this drug</w:t>
            </w:r>
          </w:p>
        </w:tc>
      </w:tr>
      <w:tr w:rsidR="006B2EC9" w:rsidRPr="00217EA0" w14:paraId="2930D13C" w14:textId="430FE889" w:rsidTr="2914E55D">
        <w:tblPrEx>
          <w:tblCellMar>
            <w:left w:w="15" w:type="dxa"/>
            <w:right w:w="15" w:type="dxa"/>
          </w:tblCellMar>
        </w:tblPrEx>
        <w:tc>
          <w:tcPr>
            <w:tcW w:w="5000" w:type="pct"/>
            <w:vAlign w:val="center"/>
            <w:hideMark/>
          </w:tcPr>
          <w:p w14:paraId="1C70A9DA" w14:textId="6EC97EBC" w:rsidR="006B2EC9" w:rsidRPr="00217EA0" w:rsidRDefault="006B2EC9" w:rsidP="00802A79">
            <w:pPr>
              <w:keepNext/>
              <w:keepLines/>
              <w:spacing w:before="0" w:after="0"/>
              <w:rPr>
                <w:rFonts w:ascii="Arial Narrow" w:eastAsia="Times New Roman" w:hAnsi="Arial Narrow"/>
                <w:sz w:val="20"/>
                <w:szCs w:val="20"/>
                <w:lang w:eastAsia="en-AU"/>
              </w:rPr>
            </w:pPr>
            <w:r w:rsidRPr="00217EA0">
              <w:rPr>
                <w:rFonts w:ascii="Arial Narrow" w:eastAsia="Times New Roman" w:hAnsi="Arial Narrow"/>
                <w:b/>
                <w:bCs/>
                <w:sz w:val="20"/>
                <w:szCs w:val="20"/>
                <w:lang w:eastAsia="en-AU"/>
              </w:rPr>
              <w:t>AND</w:t>
            </w:r>
          </w:p>
        </w:tc>
      </w:tr>
      <w:tr w:rsidR="006B2EC9" w:rsidRPr="00217EA0" w14:paraId="68B822A8" w14:textId="205820EA" w:rsidTr="2914E55D">
        <w:tblPrEx>
          <w:tblCellMar>
            <w:left w:w="15" w:type="dxa"/>
            <w:right w:w="15" w:type="dxa"/>
          </w:tblCellMar>
        </w:tblPrEx>
        <w:tc>
          <w:tcPr>
            <w:tcW w:w="5000" w:type="pct"/>
            <w:vAlign w:val="center"/>
            <w:hideMark/>
          </w:tcPr>
          <w:p w14:paraId="7EB10921" w14:textId="66532FA8" w:rsidR="006B2EC9" w:rsidRPr="00217EA0" w:rsidRDefault="006B2EC9" w:rsidP="00802A79">
            <w:pPr>
              <w:keepNext/>
              <w:keepLines/>
              <w:spacing w:before="0" w:after="0"/>
              <w:rPr>
                <w:rFonts w:ascii="Arial Narrow" w:eastAsia="Times New Roman" w:hAnsi="Arial Narrow"/>
                <w:sz w:val="20"/>
                <w:szCs w:val="20"/>
                <w:lang w:eastAsia="en-AU"/>
              </w:rPr>
            </w:pPr>
            <w:r w:rsidRPr="00217EA0">
              <w:rPr>
                <w:rFonts w:ascii="Arial Narrow" w:eastAsia="Times New Roman" w:hAnsi="Arial Narrow"/>
                <w:b/>
                <w:bCs/>
                <w:sz w:val="20"/>
                <w:szCs w:val="20"/>
                <w:lang w:eastAsia="en-AU"/>
              </w:rPr>
              <w:t>Clinical criteria:</w:t>
            </w:r>
          </w:p>
        </w:tc>
      </w:tr>
      <w:tr w:rsidR="006B2EC9" w:rsidRPr="00217EA0" w14:paraId="7CE029E3" w14:textId="48EE6817" w:rsidTr="2914E55D">
        <w:tblPrEx>
          <w:tblCellMar>
            <w:left w:w="15" w:type="dxa"/>
            <w:right w:w="15" w:type="dxa"/>
          </w:tblCellMar>
        </w:tblPrEx>
        <w:tc>
          <w:tcPr>
            <w:tcW w:w="5000" w:type="pct"/>
            <w:vAlign w:val="center"/>
            <w:hideMark/>
          </w:tcPr>
          <w:p w14:paraId="2A6B992D" w14:textId="6C5661AF" w:rsidR="006B2EC9" w:rsidRPr="00217EA0" w:rsidRDefault="006B2EC9" w:rsidP="00802A79">
            <w:pPr>
              <w:keepNext/>
              <w:keepLines/>
              <w:spacing w:before="0" w:after="0"/>
              <w:rPr>
                <w:rFonts w:ascii="Arial Narrow" w:eastAsia="Times New Roman" w:hAnsi="Arial Narrow"/>
                <w:sz w:val="20"/>
                <w:szCs w:val="20"/>
                <w:lang w:eastAsia="en-AU"/>
              </w:rPr>
            </w:pPr>
            <w:r w:rsidRPr="00217EA0">
              <w:rPr>
                <w:rFonts w:ascii="Arial Narrow" w:eastAsia="Times New Roman" w:hAnsi="Arial Narrow"/>
                <w:sz w:val="20"/>
                <w:szCs w:val="20"/>
                <w:lang w:eastAsia="en-AU"/>
              </w:rPr>
              <w:t>The treatment must be the sole PBS-subsidised therapy for this condition</w:t>
            </w:r>
          </w:p>
        </w:tc>
      </w:tr>
      <w:tr w:rsidR="006B2EC9" w:rsidRPr="00217EA0" w14:paraId="574DD49D" w14:textId="317F07C9" w:rsidTr="2914E55D">
        <w:tblPrEx>
          <w:tblCellMar>
            <w:left w:w="15" w:type="dxa"/>
            <w:right w:w="15" w:type="dxa"/>
          </w:tblCellMar>
        </w:tblPrEx>
        <w:tc>
          <w:tcPr>
            <w:tcW w:w="5000" w:type="pct"/>
            <w:vAlign w:val="center"/>
          </w:tcPr>
          <w:p w14:paraId="15EA4460" w14:textId="3A53876C" w:rsidR="006B2EC9" w:rsidRPr="00217EA0" w:rsidRDefault="006B2EC9" w:rsidP="00802A79">
            <w:pPr>
              <w:keepNext/>
              <w:keepLines/>
              <w:spacing w:before="0" w:after="0"/>
              <w:rPr>
                <w:rFonts w:ascii="Arial Narrow" w:eastAsia="Times New Roman" w:hAnsi="Arial Narrow"/>
                <w:b/>
                <w:bCs/>
                <w:sz w:val="20"/>
                <w:szCs w:val="20"/>
                <w:lang w:eastAsia="en-AU"/>
              </w:rPr>
            </w:pPr>
            <w:r w:rsidRPr="00217EA0">
              <w:rPr>
                <w:rFonts w:ascii="Arial Narrow" w:eastAsia="Times New Roman" w:hAnsi="Arial Narrow"/>
                <w:b/>
                <w:bCs/>
                <w:sz w:val="20"/>
                <w:szCs w:val="20"/>
                <w:lang w:eastAsia="en-AU"/>
              </w:rPr>
              <w:t>AND</w:t>
            </w:r>
          </w:p>
        </w:tc>
      </w:tr>
      <w:tr w:rsidR="006B2EC9" w:rsidRPr="00217EA0" w14:paraId="14CD6B24" w14:textId="681D16CA" w:rsidTr="2914E55D">
        <w:tblPrEx>
          <w:tblCellMar>
            <w:left w:w="15" w:type="dxa"/>
            <w:right w:w="15" w:type="dxa"/>
          </w:tblCellMar>
        </w:tblPrEx>
        <w:tc>
          <w:tcPr>
            <w:tcW w:w="5000" w:type="pct"/>
            <w:vAlign w:val="center"/>
          </w:tcPr>
          <w:p w14:paraId="0F218A90" w14:textId="387E80B9" w:rsidR="006B2EC9" w:rsidRPr="00217EA0" w:rsidRDefault="006B2EC9" w:rsidP="00802A79">
            <w:pPr>
              <w:keepNext/>
              <w:keepLines/>
              <w:spacing w:before="0" w:after="0"/>
              <w:rPr>
                <w:rFonts w:ascii="Arial Narrow" w:eastAsia="Times New Roman" w:hAnsi="Arial Narrow"/>
                <w:b/>
                <w:bCs/>
                <w:sz w:val="20"/>
                <w:szCs w:val="20"/>
                <w:lang w:eastAsia="en-AU"/>
              </w:rPr>
            </w:pPr>
            <w:r w:rsidRPr="00217EA0">
              <w:rPr>
                <w:rFonts w:ascii="Arial Narrow" w:eastAsia="Times New Roman" w:hAnsi="Arial Narrow"/>
                <w:b/>
                <w:bCs/>
                <w:sz w:val="20"/>
                <w:szCs w:val="20"/>
                <w:lang w:eastAsia="en-AU"/>
              </w:rPr>
              <w:t>Clinical criteria:</w:t>
            </w:r>
          </w:p>
        </w:tc>
      </w:tr>
      <w:tr w:rsidR="006B2EC9" w:rsidRPr="00217EA0" w14:paraId="1DB1C033" w14:textId="25A4BFF2" w:rsidTr="2914E55D">
        <w:tblPrEx>
          <w:tblCellMar>
            <w:left w:w="15" w:type="dxa"/>
            <w:right w:w="15" w:type="dxa"/>
          </w:tblCellMar>
        </w:tblPrEx>
        <w:tc>
          <w:tcPr>
            <w:tcW w:w="5000" w:type="pct"/>
            <w:vAlign w:val="center"/>
          </w:tcPr>
          <w:p w14:paraId="72E03081" w14:textId="7D6BA4F8" w:rsidR="006B2EC9" w:rsidRPr="00217EA0" w:rsidRDefault="006B2EC9" w:rsidP="00802A79">
            <w:pPr>
              <w:keepNext/>
              <w:keepLines/>
              <w:spacing w:before="0" w:after="0"/>
              <w:rPr>
                <w:rFonts w:ascii="Arial Narrow" w:eastAsia="Times New Roman" w:hAnsi="Arial Narrow"/>
                <w:b/>
                <w:bCs/>
                <w:sz w:val="20"/>
                <w:szCs w:val="20"/>
                <w:lang w:eastAsia="en-AU"/>
              </w:rPr>
            </w:pPr>
            <w:r w:rsidRPr="00217EA0">
              <w:rPr>
                <w:rFonts w:ascii="Arial Narrow" w:eastAsia="Times New Roman" w:hAnsi="Arial Narrow"/>
                <w:sz w:val="20"/>
                <w:szCs w:val="20"/>
                <w:lang w:eastAsia="en-AU"/>
              </w:rPr>
              <w:t>Patient must not have developed disease progression while being treated with this drug for this condition.</w:t>
            </w:r>
          </w:p>
        </w:tc>
      </w:tr>
      <w:tr w:rsidR="006B2EC9" w:rsidRPr="00217EA0" w14:paraId="2F3DFFC1" w14:textId="75700C02" w:rsidTr="2914E55D">
        <w:tblPrEx>
          <w:tblCellMar>
            <w:left w:w="15" w:type="dxa"/>
            <w:right w:w="15" w:type="dxa"/>
          </w:tblCellMar>
        </w:tblPrEx>
        <w:tc>
          <w:tcPr>
            <w:tcW w:w="5000" w:type="pct"/>
            <w:vAlign w:val="center"/>
          </w:tcPr>
          <w:p w14:paraId="41B3F154" w14:textId="3C647883" w:rsidR="006B2EC9" w:rsidRPr="00217EA0" w:rsidRDefault="006B2EC9" w:rsidP="00802A79">
            <w:pPr>
              <w:keepNext/>
              <w:keepLines/>
              <w:spacing w:before="0" w:after="0"/>
              <w:rPr>
                <w:rFonts w:ascii="Arial Narrow" w:eastAsia="Times New Roman" w:hAnsi="Arial Narrow"/>
                <w:sz w:val="20"/>
                <w:szCs w:val="20"/>
                <w:lang w:eastAsia="en-AU"/>
              </w:rPr>
            </w:pPr>
          </w:p>
        </w:tc>
      </w:tr>
      <w:tr w:rsidR="006B2EC9" w:rsidRPr="00217EA0" w14:paraId="2FDD4CF1" w14:textId="6B788DDC" w:rsidTr="2914E55D">
        <w:tblPrEx>
          <w:tblCellMar>
            <w:left w:w="15" w:type="dxa"/>
            <w:right w:w="15" w:type="dxa"/>
          </w:tblCellMar>
        </w:tblPrEx>
        <w:tc>
          <w:tcPr>
            <w:tcW w:w="5000" w:type="pct"/>
          </w:tcPr>
          <w:p w14:paraId="483EE4D3" w14:textId="15B5688C" w:rsidR="006B2EC9" w:rsidRPr="00217EA0" w:rsidRDefault="006B2EC9" w:rsidP="00802A79">
            <w:pPr>
              <w:keepNext/>
              <w:keepLines/>
              <w:spacing w:before="0" w:after="0"/>
              <w:rPr>
                <w:rFonts w:ascii="Arial Narrow" w:eastAsia="Times New Roman" w:hAnsi="Arial Narrow"/>
                <w:b/>
                <w:bCs/>
                <w:sz w:val="20"/>
                <w:szCs w:val="20"/>
                <w:lang w:eastAsia="en-AU"/>
              </w:rPr>
            </w:pPr>
            <w:r w:rsidRPr="00217EA0">
              <w:rPr>
                <w:rFonts w:ascii="Arial Narrow" w:hAnsi="Arial Narrow" w:cs="Open Sans"/>
                <w:b/>
                <w:bCs/>
                <w:sz w:val="20"/>
                <w:szCs w:val="20"/>
                <w:bdr w:val="none" w:sz="0" w:space="0" w:color="auto" w:frame="1"/>
              </w:rPr>
              <w:t>Administrative Advice:</w:t>
            </w:r>
            <w:r w:rsidRPr="00217EA0">
              <w:rPr>
                <w:rFonts w:ascii="Arial Narrow" w:hAnsi="Arial Narrow" w:cs="Open Sans"/>
                <w:sz w:val="20"/>
                <w:szCs w:val="20"/>
                <w:bdr w:val="none" w:sz="0" w:space="0" w:color="auto" w:frame="1"/>
              </w:rPr>
              <w:t xml:space="preserve"> No increase in the maximum amount or number of units may be authorised.</w:t>
            </w:r>
          </w:p>
        </w:tc>
      </w:tr>
      <w:tr w:rsidR="006B2EC9" w:rsidRPr="00217EA0" w14:paraId="30E60B47" w14:textId="7C51AEC5" w:rsidTr="2914E55D">
        <w:tblPrEx>
          <w:tblCellMar>
            <w:left w:w="15" w:type="dxa"/>
            <w:right w:w="15" w:type="dxa"/>
          </w:tblCellMar>
        </w:tblPrEx>
        <w:tc>
          <w:tcPr>
            <w:tcW w:w="5000" w:type="pct"/>
          </w:tcPr>
          <w:p w14:paraId="69B71D25" w14:textId="28771AF3" w:rsidR="006B2EC9" w:rsidRPr="00217EA0" w:rsidRDefault="006B2EC9" w:rsidP="00802A79">
            <w:pPr>
              <w:keepNext/>
              <w:keepLines/>
              <w:spacing w:before="0" w:after="0"/>
              <w:rPr>
                <w:rFonts w:ascii="Arial Narrow" w:eastAsia="Times New Roman" w:hAnsi="Arial Narrow"/>
                <w:b/>
                <w:bCs/>
                <w:sz w:val="20"/>
                <w:szCs w:val="20"/>
                <w:lang w:eastAsia="en-AU"/>
              </w:rPr>
            </w:pPr>
            <w:r w:rsidRPr="00217EA0">
              <w:rPr>
                <w:rFonts w:ascii="Arial Narrow" w:hAnsi="Arial Narrow" w:cs="Open Sans"/>
                <w:b/>
                <w:bCs/>
                <w:sz w:val="20"/>
                <w:szCs w:val="20"/>
              </w:rPr>
              <w:t>Administrative Advice:</w:t>
            </w:r>
            <w:r w:rsidRPr="00217EA0">
              <w:rPr>
                <w:rFonts w:ascii="Arial Narrow" w:hAnsi="Arial Narrow" w:cs="Open Sans"/>
                <w:sz w:val="20"/>
                <w:szCs w:val="20"/>
              </w:rPr>
              <w:t xml:space="preserve"> No increase in the maximum number of repeats may be authorised.</w:t>
            </w:r>
          </w:p>
        </w:tc>
      </w:tr>
      <w:tr w:rsidR="006B2EC9" w:rsidRPr="00217EA0" w14:paraId="2E88617A" w14:textId="187D9D08" w:rsidTr="2914E55D">
        <w:tblPrEx>
          <w:tblCellMar>
            <w:left w:w="15" w:type="dxa"/>
            <w:right w:w="15" w:type="dxa"/>
          </w:tblCellMar>
        </w:tblPrEx>
        <w:tc>
          <w:tcPr>
            <w:tcW w:w="5000" w:type="pct"/>
            <w:hideMark/>
          </w:tcPr>
          <w:p w14:paraId="5F71DF17" w14:textId="59908650" w:rsidR="006B2EC9" w:rsidRPr="00217EA0" w:rsidRDefault="006B2EC9" w:rsidP="00802A79">
            <w:pPr>
              <w:keepNext/>
              <w:keepLines/>
              <w:spacing w:before="0" w:after="0"/>
              <w:rPr>
                <w:rFonts w:ascii="Arial Narrow" w:eastAsia="Times New Roman" w:hAnsi="Arial Narrow"/>
                <w:sz w:val="20"/>
                <w:szCs w:val="20"/>
                <w:lang w:eastAsia="en-AU"/>
              </w:rPr>
            </w:pPr>
            <w:r w:rsidRPr="00217EA0">
              <w:rPr>
                <w:rFonts w:ascii="Arial Narrow" w:hAnsi="Arial Narrow" w:cs="Open Sans"/>
                <w:b/>
                <w:bCs/>
                <w:sz w:val="20"/>
                <w:szCs w:val="20"/>
              </w:rPr>
              <w:t>Administrative Advice:</w:t>
            </w:r>
            <w:r w:rsidRPr="00217EA0">
              <w:rPr>
                <w:rFonts w:ascii="Arial Narrow" w:hAnsi="Arial Narrow" w:cs="Open Sans"/>
                <w:sz w:val="20"/>
                <w:szCs w:val="20"/>
              </w:rPr>
              <w:t xml:space="preserve"> Special Pricing Arrangements apply.</w:t>
            </w:r>
          </w:p>
        </w:tc>
      </w:tr>
      <w:tr w:rsidR="005B7800" w:rsidRPr="00217EA0" w14:paraId="231F2039" w14:textId="77777777" w:rsidTr="2914E55D">
        <w:tblPrEx>
          <w:tblCellMar>
            <w:left w:w="15" w:type="dxa"/>
            <w:right w:w="15" w:type="dxa"/>
          </w:tblCellMar>
        </w:tblPrEx>
        <w:tc>
          <w:tcPr>
            <w:tcW w:w="5000" w:type="pct"/>
          </w:tcPr>
          <w:p w14:paraId="6B8331EC" w14:textId="12D5681D" w:rsidR="005B7800" w:rsidRPr="005B7800" w:rsidRDefault="005B7800" w:rsidP="00727A48">
            <w:pPr>
              <w:keepNext/>
              <w:keepLines/>
              <w:spacing w:before="0" w:after="0"/>
              <w:rPr>
                <w:rFonts w:ascii="Arial Narrow" w:eastAsia="Times New Roman" w:hAnsi="Arial Narrow"/>
                <w:bCs/>
                <w:i/>
                <w:iCs/>
                <w:sz w:val="20"/>
                <w:szCs w:val="20"/>
                <w:lang w:eastAsia="en-AU"/>
              </w:rPr>
            </w:pPr>
            <w:r w:rsidRPr="0016117D">
              <w:rPr>
                <w:rFonts w:ascii="Arial Narrow" w:eastAsia="Times New Roman" w:hAnsi="Arial Narrow"/>
                <w:b/>
                <w:bCs/>
                <w:i/>
                <w:iCs/>
                <w:color w:val="333333"/>
                <w:sz w:val="20"/>
                <w:szCs w:val="20"/>
                <w:lang w:eastAsia="en-AU"/>
              </w:rPr>
              <w:t xml:space="preserve">Administrative Advice: </w:t>
            </w:r>
            <w:r w:rsidRPr="0016117D">
              <w:rPr>
                <w:rFonts w:ascii="Arial Narrow" w:eastAsia="Times New Roman" w:hAnsi="Arial Narrow"/>
                <w:bCs/>
                <w:i/>
                <w:iCs/>
                <w:color w:val="333333"/>
                <w:sz w:val="20"/>
                <w:szCs w:val="20"/>
                <w:lang w:eastAsia="en-AU"/>
              </w:rPr>
              <w:t>Applications for authorisation under this restriction may be made in real time using the Online PBS Authorities system (see www.servicesaustralia.gov.au/HPOS) or by telephone by contacting Services Australia on 1800 888 333.</w:t>
            </w:r>
          </w:p>
        </w:tc>
      </w:tr>
    </w:tbl>
    <w:p w14:paraId="3A9DA9F2" w14:textId="2DD282D1" w:rsidR="000E0CF4" w:rsidRPr="00217EA0" w:rsidRDefault="00C07CC2" w:rsidP="00727A48">
      <w:pPr>
        <w:pStyle w:val="TableFigureFooter"/>
        <w:spacing w:after="120"/>
      </w:pPr>
      <w:r w:rsidRPr="00217EA0">
        <w:t>Source: Table 1.113 of the submission.</w:t>
      </w:r>
    </w:p>
    <w:p w14:paraId="77337FF1" w14:textId="77777777" w:rsidR="00C07CC2" w:rsidRPr="00217EA0" w:rsidRDefault="00C07CC2" w:rsidP="00727A48">
      <w:pPr>
        <w:numPr>
          <w:ilvl w:val="4"/>
          <w:numId w:val="4"/>
        </w:numPr>
        <w:spacing w:after="120"/>
      </w:pPr>
      <w:r w:rsidRPr="00217EA0">
        <w:t>The submission requested a special pricing arrangement (SPA).</w:t>
      </w:r>
    </w:p>
    <w:p w14:paraId="6077CAF3" w14:textId="23B97C3B" w:rsidR="00C07CC2" w:rsidRPr="00217EA0" w:rsidRDefault="00C07CC2" w:rsidP="00727A48">
      <w:pPr>
        <w:numPr>
          <w:ilvl w:val="4"/>
          <w:numId w:val="4"/>
        </w:numPr>
        <w:spacing w:after="120"/>
      </w:pPr>
      <w:r w:rsidRPr="00217EA0">
        <w:t xml:space="preserve">The submission considered that the requested maximum amount and number of repeats were consistent with the dosage recommendation in the </w:t>
      </w:r>
      <w:r w:rsidR="00A56861" w:rsidRPr="00217EA0">
        <w:t xml:space="preserve">draft </w:t>
      </w:r>
      <w:r w:rsidRPr="00217EA0">
        <w:t>TGA Product Information (</w:t>
      </w:r>
      <w:r w:rsidR="008B75BD" w:rsidRPr="00217EA0">
        <w:t xml:space="preserve">5 × 4 mg = </w:t>
      </w:r>
      <w:r w:rsidRPr="00217EA0">
        <w:t xml:space="preserve">20 mg orally once daily), the treatment duration in the key trial (median duration of 9.1 months) and the proposed listing of </w:t>
      </w:r>
      <w:proofErr w:type="spellStart"/>
      <w:r w:rsidRPr="00217EA0">
        <w:t>futibatinib</w:t>
      </w:r>
      <w:proofErr w:type="spellEnd"/>
      <w:r w:rsidRPr="00217EA0">
        <w:t xml:space="preserve"> for the treatment of CCA.</w:t>
      </w:r>
    </w:p>
    <w:p w14:paraId="6EB1C68F" w14:textId="77777777" w:rsidR="00C07CC2" w:rsidRPr="00217EA0" w:rsidRDefault="00C07CC2" w:rsidP="00727A48">
      <w:pPr>
        <w:pStyle w:val="InstructionalText"/>
        <w:numPr>
          <w:ilvl w:val="0"/>
          <w:numId w:val="12"/>
        </w:numPr>
        <w:spacing w:before="120" w:after="120"/>
        <w:ind w:left="993" w:hanging="284"/>
        <w:rPr>
          <w:color w:val="auto"/>
        </w:rPr>
      </w:pPr>
      <w:r w:rsidRPr="00217EA0">
        <w:rPr>
          <w:color w:val="auto"/>
        </w:rPr>
        <w:t>The maximum quantity is sufficient for 28 days of treatment at the recommended dose; and</w:t>
      </w:r>
    </w:p>
    <w:p w14:paraId="78CED59E" w14:textId="75FB0EED" w:rsidR="00C07CC2" w:rsidRPr="00217EA0" w:rsidRDefault="00C07CC2" w:rsidP="001D5253">
      <w:pPr>
        <w:pStyle w:val="InstructionalText"/>
        <w:numPr>
          <w:ilvl w:val="0"/>
          <w:numId w:val="12"/>
        </w:numPr>
        <w:spacing w:after="120"/>
        <w:ind w:left="993" w:hanging="284"/>
        <w:rPr>
          <w:color w:val="auto"/>
        </w:rPr>
      </w:pPr>
      <w:r w:rsidRPr="00217EA0">
        <w:rPr>
          <w:color w:val="auto"/>
        </w:rPr>
        <w:t xml:space="preserve">The number of repeats is sufficient for 6 months of treatment at the recommended dose. </w:t>
      </w:r>
    </w:p>
    <w:p w14:paraId="2AE56F9A" w14:textId="79158006" w:rsidR="00C07CC2" w:rsidRPr="00217EA0" w:rsidRDefault="00C07CC2" w:rsidP="005928A3">
      <w:pPr>
        <w:pStyle w:val="ListParagraph"/>
      </w:pPr>
      <w:r w:rsidRPr="00217EA0">
        <w:rPr>
          <w:color w:val="auto"/>
        </w:rPr>
        <w:t>The submission anticipated that less than five patients will require grandfathering to the PBS from a patient access program. The submission claimed that the eligibility criteria for the access program are aligned with the proposed PBS restriction criteria</w:t>
      </w:r>
      <w:r w:rsidR="005A040B">
        <w:rPr>
          <w:color w:val="auto"/>
        </w:rPr>
        <w:t xml:space="preserve"> and </w:t>
      </w:r>
      <w:r w:rsidRPr="00217EA0">
        <w:t xml:space="preserve">that </w:t>
      </w:r>
      <w:r w:rsidR="005A509A" w:rsidRPr="00217EA0">
        <w:t xml:space="preserve">a </w:t>
      </w:r>
      <w:r w:rsidRPr="00217EA0">
        <w:t>grandfathering restriction is not sought</w:t>
      </w:r>
      <w:r w:rsidR="00DC0975" w:rsidRPr="00217EA0">
        <w:t>,</w:t>
      </w:r>
      <w:r w:rsidRPr="00217EA0">
        <w:t xml:space="preserve"> as the proposed restriction will enable access to </w:t>
      </w:r>
      <w:proofErr w:type="spellStart"/>
      <w:r w:rsidRPr="00217EA0">
        <w:t>futibatinib</w:t>
      </w:r>
      <w:proofErr w:type="spellEnd"/>
      <w:r w:rsidRPr="00217EA0">
        <w:t xml:space="preserve"> on the PBS for these patients. </w:t>
      </w:r>
    </w:p>
    <w:p w14:paraId="6D9CDD56" w14:textId="325A9D35" w:rsidR="00847F55" w:rsidRPr="00217EA0" w:rsidRDefault="00C07CC2" w:rsidP="001E4849">
      <w:pPr>
        <w:pStyle w:val="ListParagraph"/>
      </w:pPr>
      <w:bookmarkStart w:id="11" w:name="_Ref187800171"/>
      <w:r w:rsidRPr="00217EA0">
        <w:t>The requested restriction was broader than the</w:t>
      </w:r>
      <w:r w:rsidR="009E12BF">
        <w:t xml:space="preserve"> </w:t>
      </w:r>
      <w:r w:rsidR="005E4375" w:rsidRPr="00217EA0">
        <w:t xml:space="preserve">TGA indication for </w:t>
      </w:r>
      <w:proofErr w:type="spellStart"/>
      <w:r w:rsidR="005E4375" w:rsidRPr="00217EA0">
        <w:t>futibatinib</w:t>
      </w:r>
      <w:proofErr w:type="spellEnd"/>
      <w:r w:rsidR="005E4375">
        <w:t xml:space="preserve"> recommended by the Delegate and ACM, and the</w:t>
      </w:r>
      <w:r w:rsidR="005E4375" w:rsidRPr="00217EA0">
        <w:t xml:space="preserve"> </w:t>
      </w:r>
      <w:r w:rsidRPr="00217EA0">
        <w:t>enrolment criteria for the pivotal FOENIX</w:t>
      </w:r>
      <w:r w:rsidR="007E504D" w:rsidRPr="00217EA0">
        <w:noBreakHyphen/>
      </w:r>
      <w:r w:rsidRPr="00217EA0">
        <w:t>CCA2 study</w:t>
      </w:r>
      <w:r w:rsidR="00A51450">
        <w:t>,</w:t>
      </w:r>
      <w:r w:rsidRPr="00217EA0">
        <w:t xml:space="preserve"> which only </w:t>
      </w:r>
      <w:r w:rsidR="00892887">
        <w:t xml:space="preserve">included </w:t>
      </w:r>
      <w:r w:rsidRPr="00217EA0">
        <w:t xml:space="preserve">patients with </w:t>
      </w:r>
      <w:r w:rsidR="00B37860" w:rsidRPr="00217EA0">
        <w:t>intrahepatic CCA (</w:t>
      </w:r>
      <w:proofErr w:type="spellStart"/>
      <w:r w:rsidRPr="00217EA0">
        <w:t>iCCA</w:t>
      </w:r>
      <w:proofErr w:type="spellEnd"/>
      <w:r w:rsidR="00B37860" w:rsidRPr="00217EA0">
        <w:t>)</w:t>
      </w:r>
      <w:r w:rsidR="00DC2D86" w:rsidRPr="00217EA0">
        <w:t>,</w:t>
      </w:r>
      <w:r w:rsidRPr="00217EA0">
        <w:t xml:space="preserve"> whereas patients with </w:t>
      </w:r>
      <w:r w:rsidR="00B37860" w:rsidRPr="00217EA0">
        <w:t>extrahepatic CCA (</w:t>
      </w:r>
      <w:proofErr w:type="spellStart"/>
      <w:r w:rsidRPr="00217EA0">
        <w:t>eCCA</w:t>
      </w:r>
      <w:proofErr w:type="spellEnd"/>
      <w:r w:rsidR="00B37860" w:rsidRPr="00217EA0">
        <w:t>)</w:t>
      </w:r>
      <w:r w:rsidRPr="00217EA0">
        <w:t xml:space="preserve"> would also be eligible under the requested restriction</w:t>
      </w:r>
      <w:r w:rsidR="00A51450">
        <w:t xml:space="preserve">. </w:t>
      </w:r>
      <w:r w:rsidR="00030F88" w:rsidRPr="00217EA0" w:rsidDel="001E4849">
        <w:t xml:space="preserve">Additionally, the ESCs noted that, with a broad CCA listing, clinicians may test patients with pancreatic ductal adenocarcinoma (PDAC). </w:t>
      </w:r>
      <w:r w:rsidR="00A51450">
        <w:t xml:space="preserve">Although </w:t>
      </w:r>
      <w:r w:rsidR="00613015" w:rsidRPr="00217EA0">
        <w:t xml:space="preserve">the efficacy of </w:t>
      </w:r>
      <w:proofErr w:type="spellStart"/>
      <w:r w:rsidR="00613015" w:rsidRPr="00217EA0">
        <w:t>futibatinib</w:t>
      </w:r>
      <w:proofErr w:type="spellEnd"/>
      <w:r w:rsidR="00613015" w:rsidRPr="00217EA0">
        <w:t xml:space="preserve"> in </w:t>
      </w:r>
      <w:proofErr w:type="spellStart"/>
      <w:r w:rsidR="00613015" w:rsidRPr="00217EA0">
        <w:t>eCCA</w:t>
      </w:r>
      <w:proofErr w:type="spellEnd"/>
      <w:r w:rsidR="00030F88">
        <w:t xml:space="preserve"> (or P</w:t>
      </w:r>
      <w:r w:rsidR="00B80AB0">
        <w:t>D</w:t>
      </w:r>
      <w:r w:rsidR="00030F88">
        <w:t>AC)</w:t>
      </w:r>
      <w:r w:rsidR="00613015" w:rsidRPr="00217EA0">
        <w:t xml:space="preserve"> was not informed </w:t>
      </w:r>
      <w:r w:rsidR="002A25AF" w:rsidRPr="00217EA0">
        <w:t xml:space="preserve">by </w:t>
      </w:r>
      <w:r w:rsidR="00137E74" w:rsidRPr="00217EA0">
        <w:t xml:space="preserve">the </w:t>
      </w:r>
      <w:r w:rsidR="002A25AF" w:rsidRPr="00217EA0">
        <w:t>FOENIX</w:t>
      </w:r>
      <w:r w:rsidR="00137E74" w:rsidRPr="00217EA0">
        <w:noBreakHyphen/>
      </w:r>
      <w:r w:rsidR="002A25AF" w:rsidRPr="00217EA0">
        <w:t>CCA2</w:t>
      </w:r>
      <w:r w:rsidR="00137E74" w:rsidRPr="00217EA0">
        <w:t xml:space="preserve"> study</w:t>
      </w:r>
      <w:r w:rsidR="00AF27EA">
        <w:t xml:space="preserve">, </w:t>
      </w:r>
      <w:r w:rsidR="001E4849">
        <w:t>t</w:t>
      </w:r>
      <w:r w:rsidR="00776115" w:rsidRPr="00217EA0">
        <w:t>he</w:t>
      </w:r>
      <w:r w:rsidR="00EC5EE3" w:rsidRPr="00217EA0">
        <w:t xml:space="preserve"> ESC</w:t>
      </w:r>
      <w:r w:rsidR="00847F55" w:rsidRPr="00217EA0">
        <w:t>s</w:t>
      </w:r>
      <w:r w:rsidR="00EC5EE3" w:rsidRPr="00217EA0">
        <w:t xml:space="preserve"> </w:t>
      </w:r>
      <w:r w:rsidR="00847F55" w:rsidRPr="00217EA0">
        <w:t>considered that a broader restriction for CCA may be</w:t>
      </w:r>
      <w:r w:rsidR="00746B5A" w:rsidRPr="00217EA0">
        <w:t xml:space="preserve"> reasonable</w:t>
      </w:r>
      <w:r w:rsidR="00847F55" w:rsidRPr="00217EA0">
        <w:t>, as:</w:t>
      </w:r>
    </w:p>
    <w:p w14:paraId="74E714E3" w14:textId="46DDB984" w:rsidR="00847F55" w:rsidRPr="00217EA0" w:rsidRDefault="00847F55" w:rsidP="001D5253">
      <w:pPr>
        <w:pStyle w:val="InstructionalText"/>
        <w:numPr>
          <w:ilvl w:val="0"/>
          <w:numId w:val="12"/>
        </w:numPr>
        <w:spacing w:after="120"/>
        <w:ind w:left="993" w:hanging="284"/>
        <w:rPr>
          <w:color w:val="auto"/>
        </w:rPr>
      </w:pPr>
      <w:r w:rsidRPr="00217EA0">
        <w:rPr>
          <w:color w:val="auto"/>
        </w:rPr>
        <w:t xml:space="preserve">it can be difficult to differentiate between </w:t>
      </w:r>
      <w:proofErr w:type="spellStart"/>
      <w:r w:rsidRPr="00217EA0">
        <w:rPr>
          <w:color w:val="auto"/>
        </w:rPr>
        <w:t>iCCA</w:t>
      </w:r>
      <w:proofErr w:type="spellEnd"/>
      <w:r w:rsidRPr="00217EA0">
        <w:rPr>
          <w:color w:val="auto"/>
        </w:rPr>
        <w:t xml:space="preserve"> and </w:t>
      </w:r>
      <w:proofErr w:type="spellStart"/>
      <w:r w:rsidRPr="00217EA0">
        <w:rPr>
          <w:color w:val="auto"/>
        </w:rPr>
        <w:t>eCCA</w:t>
      </w:r>
      <w:proofErr w:type="spellEnd"/>
      <w:r w:rsidRPr="00217EA0">
        <w:rPr>
          <w:color w:val="auto"/>
        </w:rPr>
        <w:t xml:space="preserve"> without performing a resection, and therefore in practice, both groups are likely to be tested regardless of the restriction; </w:t>
      </w:r>
    </w:p>
    <w:p w14:paraId="7F9543DD" w14:textId="7FF167EF" w:rsidR="00A82CAB" w:rsidRPr="00217EA0" w:rsidRDefault="00A82CAB" w:rsidP="001D5253">
      <w:pPr>
        <w:pStyle w:val="InstructionalText"/>
        <w:numPr>
          <w:ilvl w:val="0"/>
          <w:numId w:val="12"/>
        </w:numPr>
        <w:spacing w:after="120"/>
        <w:ind w:left="993" w:hanging="284"/>
        <w:rPr>
          <w:color w:val="auto"/>
        </w:rPr>
      </w:pPr>
      <w:r w:rsidRPr="00217EA0">
        <w:rPr>
          <w:color w:val="auto"/>
        </w:rPr>
        <w:t xml:space="preserve">as noted in the </w:t>
      </w:r>
      <w:r w:rsidR="00695CE8" w:rsidRPr="00695CE8">
        <w:rPr>
          <w:color w:val="auto"/>
        </w:rPr>
        <w:t xml:space="preserve">Pre-Sub-Committee Response </w:t>
      </w:r>
      <w:r w:rsidR="00695CE8">
        <w:rPr>
          <w:color w:val="auto"/>
        </w:rPr>
        <w:t>(</w:t>
      </w:r>
      <w:r w:rsidRPr="00217EA0">
        <w:rPr>
          <w:color w:val="auto"/>
        </w:rPr>
        <w:t xml:space="preserve">PSCR), </w:t>
      </w:r>
      <w:r w:rsidR="00847F55" w:rsidRPr="00217EA0">
        <w:rPr>
          <w:color w:val="auto"/>
        </w:rPr>
        <w:t xml:space="preserve">there is no biological reason that </w:t>
      </w:r>
      <w:proofErr w:type="spellStart"/>
      <w:r w:rsidR="00847F55" w:rsidRPr="00217EA0">
        <w:rPr>
          <w:color w:val="auto"/>
        </w:rPr>
        <w:t>futibatinib</w:t>
      </w:r>
      <w:proofErr w:type="spellEnd"/>
      <w:r w:rsidR="00847F55" w:rsidRPr="00217EA0">
        <w:rPr>
          <w:color w:val="auto"/>
        </w:rPr>
        <w:t xml:space="preserve"> would not provide benefit to people with non-</w:t>
      </w:r>
      <w:proofErr w:type="spellStart"/>
      <w:r w:rsidR="00847F55" w:rsidRPr="00217EA0">
        <w:rPr>
          <w:color w:val="auto"/>
        </w:rPr>
        <w:t>iCCA</w:t>
      </w:r>
      <w:proofErr w:type="spellEnd"/>
      <w:r w:rsidR="00847F55" w:rsidRPr="00217EA0">
        <w:rPr>
          <w:color w:val="auto"/>
        </w:rPr>
        <w:t xml:space="preserve"> with </w:t>
      </w:r>
      <w:r w:rsidR="003E5C46" w:rsidRPr="003E5C46">
        <w:rPr>
          <w:i/>
          <w:iCs/>
          <w:color w:val="auto"/>
        </w:rPr>
        <w:t>FGFR2</w:t>
      </w:r>
      <w:r w:rsidR="00847F55" w:rsidRPr="00217EA0">
        <w:rPr>
          <w:color w:val="auto"/>
        </w:rPr>
        <w:t xml:space="preserve"> fusions or rearrangements</w:t>
      </w:r>
      <w:r w:rsidRPr="00217EA0">
        <w:rPr>
          <w:color w:val="auto"/>
        </w:rPr>
        <w:t xml:space="preserve">, and international guidelines and local clinical practice implicitly accept that CCA tumour location is not expected to alter the activity of </w:t>
      </w:r>
      <w:proofErr w:type="spellStart"/>
      <w:r w:rsidRPr="00217EA0">
        <w:rPr>
          <w:color w:val="auto"/>
        </w:rPr>
        <w:t>futibatinib</w:t>
      </w:r>
      <w:proofErr w:type="spellEnd"/>
      <w:r w:rsidR="003F0665" w:rsidRPr="00217EA0">
        <w:rPr>
          <w:color w:val="auto"/>
        </w:rPr>
        <w:t>;</w:t>
      </w:r>
      <w:r w:rsidRPr="00217EA0">
        <w:rPr>
          <w:color w:val="auto"/>
        </w:rPr>
        <w:t xml:space="preserve"> </w:t>
      </w:r>
    </w:p>
    <w:p w14:paraId="4589D3EB" w14:textId="157EA00E" w:rsidR="00847F55" w:rsidRPr="00217EA0" w:rsidRDefault="00847F55" w:rsidP="001D5253">
      <w:pPr>
        <w:pStyle w:val="InstructionalText"/>
        <w:numPr>
          <w:ilvl w:val="0"/>
          <w:numId w:val="12"/>
        </w:numPr>
        <w:spacing w:after="120"/>
        <w:ind w:left="993" w:hanging="284"/>
        <w:rPr>
          <w:color w:val="auto"/>
        </w:rPr>
      </w:pPr>
      <w:r w:rsidRPr="00217EA0">
        <w:rPr>
          <w:color w:val="auto"/>
        </w:rPr>
        <w:t>only a very small number (&lt;1%) of non-</w:t>
      </w:r>
      <w:proofErr w:type="spellStart"/>
      <w:r w:rsidRPr="00217EA0">
        <w:rPr>
          <w:color w:val="auto"/>
        </w:rPr>
        <w:t>iCCA</w:t>
      </w:r>
      <w:proofErr w:type="spellEnd"/>
      <w:r w:rsidRPr="00217EA0">
        <w:rPr>
          <w:color w:val="auto"/>
        </w:rPr>
        <w:t xml:space="preserve"> patients (</w:t>
      </w:r>
      <w:proofErr w:type="spellStart"/>
      <w:r w:rsidRPr="00217EA0">
        <w:rPr>
          <w:color w:val="auto"/>
        </w:rPr>
        <w:t>eCCA</w:t>
      </w:r>
      <w:proofErr w:type="spellEnd"/>
      <w:r w:rsidRPr="00217EA0">
        <w:rPr>
          <w:color w:val="auto"/>
        </w:rPr>
        <w:t xml:space="preserve"> and PDAC</w:t>
      </w:r>
      <w:r w:rsidR="0093574A" w:rsidRPr="00217EA0">
        <w:rPr>
          <w:color w:val="auto"/>
        </w:rPr>
        <w:t>)</w:t>
      </w:r>
      <w:r w:rsidRPr="00217EA0">
        <w:rPr>
          <w:color w:val="auto"/>
        </w:rPr>
        <w:t xml:space="preserve"> have </w:t>
      </w:r>
      <w:r w:rsidR="003E5C46" w:rsidRPr="003E5C46">
        <w:rPr>
          <w:i/>
          <w:iCs/>
          <w:color w:val="auto"/>
        </w:rPr>
        <w:t>FGFR2</w:t>
      </w:r>
      <w:r w:rsidRPr="00217EA0">
        <w:rPr>
          <w:color w:val="auto"/>
        </w:rPr>
        <w:t xml:space="preserve"> fusions or rearrangements; </w:t>
      </w:r>
    </w:p>
    <w:p w14:paraId="274F5219" w14:textId="35CEF5B4" w:rsidR="00C45D0F" w:rsidRPr="00217EA0" w:rsidRDefault="00CC3364" w:rsidP="001D5253">
      <w:pPr>
        <w:pStyle w:val="InstructionalText"/>
        <w:numPr>
          <w:ilvl w:val="0"/>
          <w:numId w:val="12"/>
        </w:numPr>
        <w:spacing w:after="120"/>
        <w:ind w:left="993" w:hanging="284"/>
        <w:rPr>
          <w:color w:val="auto"/>
        </w:rPr>
      </w:pPr>
      <w:r w:rsidRPr="00217EA0">
        <w:rPr>
          <w:color w:val="auto"/>
        </w:rPr>
        <w:t xml:space="preserve">therefore </w:t>
      </w:r>
      <w:r w:rsidR="00260CF9" w:rsidRPr="00217EA0">
        <w:rPr>
          <w:color w:val="auto"/>
        </w:rPr>
        <w:t xml:space="preserve">inclusion </w:t>
      </w:r>
      <w:r w:rsidRPr="00217EA0">
        <w:rPr>
          <w:color w:val="auto"/>
        </w:rPr>
        <w:t xml:space="preserve">of all CCA adenocarcinoma patients with </w:t>
      </w:r>
      <w:r w:rsidR="003E5C46" w:rsidRPr="003E5C46">
        <w:rPr>
          <w:i/>
          <w:iCs/>
          <w:color w:val="auto"/>
        </w:rPr>
        <w:t>FGFR2</w:t>
      </w:r>
      <w:r w:rsidRPr="00217EA0">
        <w:rPr>
          <w:color w:val="auto"/>
        </w:rPr>
        <w:t xml:space="preserve"> fusions or rearrangements </w:t>
      </w:r>
      <w:r w:rsidR="00260CF9" w:rsidRPr="00217EA0">
        <w:rPr>
          <w:color w:val="auto"/>
        </w:rPr>
        <w:t xml:space="preserve">for </w:t>
      </w:r>
      <w:proofErr w:type="spellStart"/>
      <w:r w:rsidR="00260CF9" w:rsidRPr="00217EA0">
        <w:rPr>
          <w:color w:val="auto"/>
        </w:rPr>
        <w:t>futibatinib</w:t>
      </w:r>
      <w:proofErr w:type="spellEnd"/>
      <w:r w:rsidR="00260CF9" w:rsidRPr="00217EA0">
        <w:rPr>
          <w:color w:val="auto"/>
        </w:rPr>
        <w:t xml:space="preserve"> treatment </w:t>
      </w:r>
      <w:r w:rsidRPr="00217EA0">
        <w:rPr>
          <w:color w:val="auto"/>
        </w:rPr>
        <w:t xml:space="preserve">is unlikely to have a large impact on treatment costs (while there </w:t>
      </w:r>
      <w:r w:rsidR="00274E6B" w:rsidRPr="00217EA0">
        <w:rPr>
          <w:color w:val="auto"/>
        </w:rPr>
        <w:t xml:space="preserve">will </w:t>
      </w:r>
      <w:r w:rsidRPr="00217EA0">
        <w:rPr>
          <w:color w:val="auto"/>
        </w:rPr>
        <w:t xml:space="preserve">be additional testing costs associated with </w:t>
      </w:r>
      <w:r w:rsidR="00363374" w:rsidRPr="00217EA0">
        <w:rPr>
          <w:color w:val="auto"/>
        </w:rPr>
        <w:t xml:space="preserve">testing patients with </w:t>
      </w:r>
      <w:proofErr w:type="spellStart"/>
      <w:r w:rsidR="00274E6B" w:rsidRPr="00217EA0">
        <w:rPr>
          <w:color w:val="auto"/>
        </w:rPr>
        <w:t>eCCA</w:t>
      </w:r>
      <w:proofErr w:type="spellEnd"/>
      <w:r w:rsidR="00274E6B" w:rsidRPr="00217EA0">
        <w:rPr>
          <w:color w:val="auto"/>
        </w:rPr>
        <w:t xml:space="preserve"> and</w:t>
      </w:r>
      <w:r w:rsidR="00363374" w:rsidRPr="00217EA0">
        <w:rPr>
          <w:color w:val="auto"/>
        </w:rPr>
        <w:t xml:space="preserve"> </w:t>
      </w:r>
      <w:r w:rsidR="0093574A" w:rsidRPr="00217EA0">
        <w:rPr>
          <w:color w:val="auto"/>
        </w:rPr>
        <w:t>PDAC</w:t>
      </w:r>
      <w:r w:rsidRPr="00217EA0">
        <w:rPr>
          <w:color w:val="auto"/>
        </w:rPr>
        <w:t>)</w:t>
      </w:r>
      <w:r w:rsidR="00C45D0F" w:rsidRPr="00217EA0">
        <w:rPr>
          <w:color w:val="auto"/>
        </w:rPr>
        <w:t>;</w:t>
      </w:r>
    </w:p>
    <w:p w14:paraId="4428F0D6" w14:textId="6B2D3E1F" w:rsidR="00BC3A74" w:rsidRPr="00217EA0" w:rsidRDefault="00C45D0F" w:rsidP="001D5253">
      <w:pPr>
        <w:pStyle w:val="InstructionalText"/>
        <w:numPr>
          <w:ilvl w:val="0"/>
          <w:numId w:val="12"/>
        </w:numPr>
        <w:spacing w:after="120"/>
        <w:ind w:left="993" w:hanging="284"/>
        <w:rPr>
          <w:color w:val="auto"/>
        </w:rPr>
      </w:pPr>
      <w:r w:rsidRPr="00217EA0">
        <w:rPr>
          <w:color w:val="auto"/>
        </w:rPr>
        <w:t xml:space="preserve">further, as </w:t>
      </w:r>
      <w:r w:rsidR="005225CB" w:rsidRPr="00217EA0">
        <w:rPr>
          <w:color w:val="auto"/>
        </w:rPr>
        <w:t xml:space="preserve">noted in the PSCR the broader request may avoid an equity of access issue for the small group of patients with </w:t>
      </w:r>
      <w:proofErr w:type="spellStart"/>
      <w:r w:rsidR="005225CB" w:rsidRPr="00217EA0">
        <w:rPr>
          <w:color w:val="auto"/>
        </w:rPr>
        <w:t>eCCA</w:t>
      </w:r>
      <w:proofErr w:type="spellEnd"/>
      <w:r w:rsidR="005225CB" w:rsidRPr="00217EA0">
        <w:rPr>
          <w:color w:val="auto"/>
        </w:rPr>
        <w:t xml:space="preserve"> with </w:t>
      </w:r>
      <w:r w:rsidR="003E5C46" w:rsidRPr="003E5C46">
        <w:rPr>
          <w:i/>
          <w:iCs/>
          <w:color w:val="auto"/>
        </w:rPr>
        <w:t>FGFR2</w:t>
      </w:r>
      <w:r w:rsidR="005225CB" w:rsidRPr="00217EA0">
        <w:rPr>
          <w:color w:val="auto"/>
        </w:rPr>
        <w:t xml:space="preserve"> </w:t>
      </w:r>
      <w:r w:rsidR="00043EE0" w:rsidRPr="00217EA0">
        <w:rPr>
          <w:color w:val="auto"/>
        </w:rPr>
        <w:t xml:space="preserve">fusions or </w:t>
      </w:r>
      <w:r w:rsidR="005225CB" w:rsidRPr="00217EA0">
        <w:rPr>
          <w:color w:val="auto"/>
        </w:rPr>
        <w:t>rearrangement</w:t>
      </w:r>
      <w:r w:rsidR="00043EE0" w:rsidRPr="00217EA0">
        <w:rPr>
          <w:color w:val="auto"/>
        </w:rPr>
        <w:t>s</w:t>
      </w:r>
      <w:r w:rsidR="005225CB" w:rsidRPr="00217EA0">
        <w:rPr>
          <w:color w:val="auto"/>
        </w:rPr>
        <w:t xml:space="preserve"> who would benefit from access to </w:t>
      </w:r>
      <w:proofErr w:type="spellStart"/>
      <w:r w:rsidR="005225CB" w:rsidRPr="00217EA0">
        <w:rPr>
          <w:color w:val="auto"/>
        </w:rPr>
        <w:t>futibatinib</w:t>
      </w:r>
      <w:proofErr w:type="spellEnd"/>
      <w:r w:rsidR="005225CB" w:rsidRPr="00217EA0">
        <w:rPr>
          <w:color w:val="auto"/>
        </w:rPr>
        <w:t xml:space="preserve">.  </w:t>
      </w:r>
    </w:p>
    <w:p w14:paraId="3F8ACF69" w14:textId="5EF832B7" w:rsidR="00C07CC2" w:rsidRDefault="00900D56" w:rsidP="2914E55D">
      <w:pPr>
        <w:pStyle w:val="ListParagraph"/>
        <w:rPr>
          <w:color w:val="auto"/>
        </w:rPr>
      </w:pPr>
      <w:r w:rsidRPr="00217EA0">
        <w:rPr>
          <w:color w:val="auto"/>
        </w:rPr>
        <w:t>P</w:t>
      </w:r>
      <w:r w:rsidR="00C07CC2" w:rsidRPr="00217EA0">
        <w:rPr>
          <w:color w:val="auto"/>
        </w:rPr>
        <w:t>atients in FOENIX</w:t>
      </w:r>
      <w:r w:rsidR="007E504D" w:rsidRPr="00217EA0">
        <w:rPr>
          <w:color w:val="auto"/>
        </w:rPr>
        <w:noBreakHyphen/>
      </w:r>
      <w:r w:rsidR="00C07CC2" w:rsidRPr="00217EA0">
        <w:rPr>
          <w:color w:val="auto"/>
        </w:rPr>
        <w:t xml:space="preserve">CCA2 were allowed to continue treatment with </w:t>
      </w:r>
      <w:proofErr w:type="spellStart"/>
      <w:r w:rsidR="00C07CC2" w:rsidRPr="00217EA0">
        <w:rPr>
          <w:color w:val="auto"/>
        </w:rPr>
        <w:t>futibatinib</w:t>
      </w:r>
      <w:proofErr w:type="spellEnd"/>
      <w:r w:rsidR="00C07CC2" w:rsidRPr="00217EA0">
        <w:rPr>
          <w:color w:val="auto"/>
        </w:rPr>
        <w:t xml:space="preserve"> post progression after discussion between the investigators and the sponsor</w:t>
      </w:r>
      <w:r w:rsidR="00500B6B" w:rsidRPr="00217EA0">
        <w:rPr>
          <w:color w:val="auto"/>
        </w:rPr>
        <w:t xml:space="preserve">, with 13/103 patients (13%) </w:t>
      </w:r>
      <w:r w:rsidR="00B606F4" w:rsidRPr="00217EA0">
        <w:rPr>
          <w:color w:val="auto"/>
        </w:rPr>
        <w:t xml:space="preserve">having </w:t>
      </w:r>
      <w:r w:rsidR="00500B6B" w:rsidRPr="00217EA0">
        <w:rPr>
          <w:color w:val="auto"/>
        </w:rPr>
        <w:t xml:space="preserve">received </w:t>
      </w:r>
      <w:proofErr w:type="spellStart"/>
      <w:r w:rsidR="00500B6B" w:rsidRPr="00217EA0">
        <w:rPr>
          <w:color w:val="auto"/>
        </w:rPr>
        <w:t>futibatinib</w:t>
      </w:r>
      <w:proofErr w:type="spellEnd"/>
      <w:r w:rsidR="00500B6B" w:rsidRPr="00217EA0">
        <w:rPr>
          <w:color w:val="auto"/>
        </w:rPr>
        <w:t xml:space="preserve"> after imaging-based disease progression because of continued clinical benefit. </w:t>
      </w:r>
      <w:bookmarkEnd w:id="11"/>
      <w:r w:rsidR="00500B6B" w:rsidRPr="00217EA0">
        <w:rPr>
          <w:color w:val="auto"/>
        </w:rPr>
        <w:t xml:space="preserve">However </w:t>
      </w:r>
      <w:r w:rsidR="000B32DC" w:rsidRPr="00217EA0">
        <w:rPr>
          <w:color w:val="auto"/>
        </w:rPr>
        <w:t xml:space="preserve">the evaluation noted that </w:t>
      </w:r>
      <w:r w:rsidR="00C07CC2" w:rsidRPr="00217EA0">
        <w:rPr>
          <w:color w:val="auto"/>
        </w:rPr>
        <w:t>under the requested restriction</w:t>
      </w:r>
      <w:r w:rsidR="00C95C4E" w:rsidRPr="00217EA0">
        <w:rPr>
          <w:color w:val="auto"/>
        </w:rPr>
        <w:t>,</w:t>
      </w:r>
      <w:r w:rsidR="00C07CC2" w:rsidRPr="00217EA0">
        <w:rPr>
          <w:color w:val="auto"/>
        </w:rPr>
        <w:t xml:space="preserve"> </w:t>
      </w:r>
      <w:proofErr w:type="spellStart"/>
      <w:r w:rsidR="00500B6B" w:rsidRPr="00217EA0">
        <w:rPr>
          <w:color w:val="auto"/>
        </w:rPr>
        <w:t>futibatinib</w:t>
      </w:r>
      <w:proofErr w:type="spellEnd"/>
      <w:r w:rsidR="00C07CC2" w:rsidRPr="00217EA0">
        <w:rPr>
          <w:color w:val="auto"/>
        </w:rPr>
        <w:t xml:space="preserve"> cannot be used if disease progression developed while </w:t>
      </w:r>
      <w:r w:rsidR="00043861" w:rsidRPr="00217EA0">
        <w:rPr>
          <w:color w:val="auto"/>
        </w:rPr>
        <w:t>being</w:t>
      </w:r>
      <w:r w:rsidR="00C07CC2" w:rsidRPr="00217EA0">
        <w:rPr>
          <w:color w:val="auto"/>
        </w:rPr>
        <w:t xml:space="preserve"> treated with </w:t>
      </w:r>
      <w:proofErr w:type="spellStart"/>
      <w:r w:rsidR="00C07CC2" w:rsidRPr="00217EA0">
        <w:rPr>
          <w:color w:val="auto"/>
        </w:rPr>
        <w:t>futibatinib</w:t>
      </w:r>
      <w:proofErr w:type="spellEnd"/>
      <w:r w:rsidR="00C07CC2" w:rsidRPr="00217EA0">
        <w:rPr>
          <w:color w:val="auto"/>
        </w:rPr>
        <w:t xml:space="preserve">. </w:t>
      </w:r>
    </w:p>
    <w:p w14:paraId="6BBB6EE0" w14:textId="77777777" w:rsidR="00316D89" w:rsidRPr="00217EA0" w:rsidRDefault="00316D89" w:rsidP="00160758">
      <w:pPr>
        <w:ind w:firstLine="720"/>
        <w:rPr>
          <w:i/>
          <w:iCs/>
        </w:rPr>
      </w:pPr>
      <w:r w:rsidRPr="00217EA0">
        <w:rPr>
          <w:i/>
          <w:iCs/>
        </w:rPr>
        <w:t>For more detail on PBAC’s view, see section 7 PBAC outcome.</w:t>
      </w:r>
    </w:p>
    <w:p w14:paraId="6229A638" w14:textId="75EB00C9" w:rsidR="008D7BF5" w:rsidRPr="00217EA0" w:rsidRDefault="008D7BF5" w:rsidP="00B05E21">
      <w:pPr>
        <w:pStyle w:val="PBACESHeading1"/>
      </w:pPr>
      <w:bookmarkStart w:id="12" w:name="_Toc187865657"/>
      <w:r w:rsidRPr="00217EA0">
        <w:t>Population and disease</w:t>
      </w:r>
      <w:bookmarkEnd w:id="8"/>
      <w:bookmarkEnd w:id="12"/>
    </w:p>
    <w:p w14:paraId="474B4FCA" w14:textId="41B526AB" w:rsidR="00C07CC2" w:rsidRPr="00217EA0" w:rsidRDefault="00C07CC2" w:rsidP="2914E55D">
      <w:pPr>
        <w:pStyle w:val="ListParagraph"/>
        <w:rPr>
          <w:rStyle w:val="InstructionalTextChar"/>
          <w:rFonts w:cstheme="minorBidi"/>
          <w:color w:val="auto"/>
        </w:rPr>
      </w:pPr>
      <w:r w:rsidRPr="00217EA0">
        <w:t xml:space="preserve">CCA refers to the group of rare and aggressive malignancies that arise from epithelial cells that line the biliary tree (Banales 2020; Howlader 2020). CCA is categorised depending on the location of the tumour and includes </w:t>
      </w:r>
      <w:proofErr w:type="spellStart"/>
      <w:r w:rsidRPr="00217EA0">
        <w:t>iCCA</w:t>
      </w:r>
      <w:proofErr w:type="spellEnd"/>
      <w:r w:rsidRPr="00217EA0">
        <w:t xml:space="preserve">, which originates from the bile ducts proximal to the second-order ducts and represents approximately 20% of cases, or </w:t>
      </w:r>
      <w:proofErr w:type="spellStart"/>
      <w:r w:rsidRPr="00217EA0">
        <w:t>eCCA</w:t>
      </w:r>
      <w:proofErr w:type="spellEnd"/>
      <w:r w:rsidRPr="00217EA0">
        <w:t xml:space="preserve">, which represents the remaining 80% of cases (Banales, 2020; Valle 2021). Treatment guidelines generally recommend similar treatment pathways for both </w:t>
      </w:r>
      <w:proofErr w:type="spellStart"/>
      <w:r w:rsidRPr="00217EA0">
        <w:t>iCCA</w:t>
      </w:r>
      <w:proofErr w:type="spellEnd"/>
      <w:r w:rsidRPr="00217EA0">
        <w:t xml:space="preserve"> and </w:t>
      </w:r>
      <w:proofErr w:type="spellStart"/>
      <w:r w:rsidRPr="00217EA0">
        <w:t>eCCA</w:t>
      </w:r>
      <w:proofErr w:type="spellEnd"/>
      <w:r w:rsidR="00E81712" w:rsidRPr="00217EA0">
        <w:t>;</w:t>
      </w:r>
      <w:r w:rsidR="00E37EC0" w:rsidRPr="00217EA0">
        <w:t xml:space="preserve"> the </w:t>
      </w:r>
      <w:r w:rsidR="00C4323C" w:rsidRPr="00217EA0">
        <w:rPr>
          <w:color w:val="auto"/>
        </w:rPr>
        <w:t>PSCR not</w:t>
      </w:r>
      <w:r w:rsidR="00995A74">
        <w:rPr>
          <w:color w:val="auto"/>
        </w:rPr>
        <w:t>ed</w:t>
      </w:r>
      <w:r w:rsidR="00C4323C" w:rsidRPr="00217EA0">
        <w:rPr>
          <w:color w:val="auto"/>
        </w:rPr>
        <w:t xml:space="preserve"> that </w:t>
      </w:r>
      <w:r w:rsidR="00E37EC0" w:rsidRPr="00217EA0">
        <w:rPr>
          <w:color w:val="auto"/>
        </w:rPr>
        <w:t>NCCN and ESMO recommend molecular profiling for targetable mutations in advanced CCA regardless of tumour location.</w:t>
      </w:r>
      <w:r w:rsidR="00D20295" w:rsidRPr="00217EA0">
        <w:rPr>
          <w:color w:val="auto"/>
        </w:rPr>
        <w:t xml:space="preserve"> </w:t>
      </w:r>
    </w:p>
    <w:p w14:paraId="5AE2F46E" w14:textId="2E6DAEEF" w:rsidR="00D138D2" w:rsidRPr="00D138D2" w:rsidRDefault="00C07CC2" w:rsidP="004C6072">
      <w:pPr>
        <w:pStyle w:val="ListParagraph"/>
      </w:pPr>
      <w:r w:rsidRPr="00217EA0">
        <w:rPr>
          <w:rStyle w:val="InstructionalTextChar"/>
          <w:color w:val="auto"/>
        </w:rPr>
        <w:t xml:space="preserve">Following the availability of reimbursed </w:t>
      </w:r>
      <w:r w:rsidR="003E5C46" w:rsidRPr="003E5C46">
        <w:rPr>
          <w:rStyle w:val="InstructionalTextChar"/>
          <w:i/>
          <w:iCs/>
          <w:color w:val="auto"/>
        </w:rPr>
        <w:t>FGFR2</w:t>
      </w:r>
      <w:r w:rsidRPr="00217EA0">
        <w:rPr>
          <w:rStyle w:val="InstructionalTextChar"/>
          <w:color w:val="auto"/>
        </w:rPr>
        <w:t xml:space="preserve"> fusion or rearrangement testing and </w:t>
      </w:r>
      <w:proofErr w:type="spellStart"/>
      <w:r w:rsidRPr="00217EA0">
        <w:rPr>
          <w:rStyle w:val="InstructionalTextChar"/>
          <w:color w:val="auto"/>
        </w:rPr>
        <w:t>futibatinib</w:t>
      </w:r>
      <w:proofErr w:type="spellEnd"/>
      <w:r w:rsidRPr="00217EA0">
        <w:rPr>
          <w:rStyle w:val="InstructionalTextChar"/>
          <w:color w:val="auto"/>
        </w:rPr>
        <w:t xml:space="preserve">, the submission proposed that in patients whose tumour tissue tests positive for an </w:t>
      </w:r>
      <w:r w:rsidR="003E5C46" w:rsidRPr="003E5C46">
        <w:rPr>
          <w:rStyle w:val="InstructionalTextChar"/>
          <w:i/>
          <w:iCs/>
          <w:color w:val="auto"/>
        </w:rPr>
        <w:t>FGFR2</w:t>
      </w:r>
      <w:r w:rsidRPr="00217EA0">
        <w:rPr>
          <w:rStyle w:val="InstructionalTextChar"/>
          <w:color w:val="auto"/>
        </w:rPr>
        <w:t xml:space="preserve"> </w:t>
      </w:r>
      <w:r w:rsidR="00A43D80" w:rsidRPr="00217EA0">
        <w:rPr>
          <w:rStyle w:val="InstructionalTextChar"/>
          <w:color w:val="auto"/>
        </w:rPr>
        <w:t>alteration</w:t>
      </w:r>
      <w:r w:rsidRPr="00217EA0">
        <w:rPr>
          <w:rStyle w:val="InstructionalTextChar"/>
          <w:color w:val="auto"/>
        </w:rPr>
        <w:t xml:space="preserve">, first-line standard of care systemic treatment </w:t>
      </w:r>
      <w:r w:rsidR="000D154F" w:rsidRPr="00217EA0">
        <w:rPr>
          <w:rStyle w:val="InstructionalTextChar"/>
          <w:color w:val="auto"/>
        </w:rPr>
        <w:t xml:space="preserve">(primarily with cisplatin + gemcitabine ± durvalumab) </w:t>
      </w:r>
      <w:r w:rsidRPr="00217EA0">
        <w:rPr>
          <w:rStyle w:val="InstructionalTextChar"/>
          <w:color w:val="auto"/>
        </w:rPr>
        <w:t xml:space="preserve">will remain unchanged. In patients with disease progression, </w:t>
      </w:r>
      <w:proofErr w:type="spellStart"/>
      <w:r w:rsidRPr="00217EA0">
        <w:rPr>
          <w:rStyle w:val="InstructionalTextChar"/>
          <w:color w:val="auto"/>
        </w:rPr>
        <w:t>futibatinib</w:t>
      </w:r>
      <w:proofErr w:type="spellEnd"/>
      <w:r w:rsidRPr="00217EA0">
        <w:rPr>
          <w:rStyle w:val="InstructionalTextChar"/>
          <w:color w:val="auto"/>
        </w:rPr>
        <w:t xml:space="preserve"> or standard of care chemotherapy will be treatment options in the second and subsequent-line settings</w:t>
      </w:r>
      <w:r w:rsidR="007E504D" w:rsidRPr="00217EA0">
        <w:rPr>
          <w:rStyle w:val="InstructionalTextChar"/>
          <w:color w:val="auto"/>
        </w:rPr>
        <w:t xml:space="preserve">. </w:t>
      </w:r>
    </w:p>
    <w:p w14:paraId="0FD5166C" w14:textId="0B0F0943" w:rsidR="00971E6F" w:rsidRDefault="00C07CC2" w:rsidP="004C6072">
      <w:pPr>
        <w:pStyle w:val="ListParagraph"/>
      </w:pPr>
      <w:proofErr w:type="spellStart"/>
      <w:r w:rsidRPr="00217EA0">
        <w:t>Futibatinib</w:t>
      </w:r>
      <w:proofErr w:type="spellEnd"/>
      <w:r w:rsidRPr="00217EA0">
        <w:t xml:space="preserve"> is a highly selective FGFR1-4 inhibitor. </w:t>
      </w:r>
      <w:proofErr w:type="spellStart"/>
      <w:r w:rsidRPr="00217EA0">
        <w:t>Futibatinib</w:t>
      </w:r>
      <w:proofErr w:type="spellEnd"/>
      <w:r w:rsidRPr="00217EA0">
        <w:t xml:space="preserve"> binds covalently to a conserved cysteine residue in </w:t>
      </w:r>
      <w:r w:rsidRPr="004C6072">
        <w:rPr>
          <w:rStyle w:val="InstructionalTextChar"/>
          <w:color w:val="auto"/>
        </w:rPr>
        <w:t>the</w:t>
      </w:r>
      <w:r w:rsidRPr="00217EA0">
        <w:t xml:space="preserve"> P-loop of the kinase domain of FGFR1-4, and has demonstrated strong selectivity for FGFR1-4 against a panel of 296 human kinases (IC50 values of 1.4 to 3.7 </w:t>
      </w:r>
      <w:proofErr w:type="spellStart"/>
      <w:r w:rsidRPr="00217EA0">
        <w:t>nM</w:t>
      </w:r>
      <w:proofErr w:type="spellEnd"/>
      <w:r w:rsidRPr="00217EA0">
        <w:t>/L)</w:t>
      </w:r>
      <w:r w:rsidR="000846AE" w:rsidRPr="00217EA0">
        <w:t>.</w:t>
      </w:r>
      <w:r w:rsidRPr="00217EA0">
        <w:t xml:space="preserve"> </w:t>
      </w:r>
      <w:proofErr w:type="spellStart"/>
      <w:r w:rsidRPr="00217EA0">
        <w:t>Futibatinib</w:t>
      </w:r>
      <w:proofErr w:type="spellEnd"/>
      <w:r w:rsidRPr="00217EA0">
        <w:t xml:space="preserve"> inhibits FGFR phosphorylation and downstream signalling pathways, and reduces cell proliferation in tumour cell lines harbouring FGFR genomic aberrations/alterations</w:t>
      </w:r>
      <w:r w:rsidR="007E504D" w:rsidRPr="00217EA0">
        <w:t xml:space="preserve">. </w:t>
      </w:r>
    </w:p>
    <w:p w14:paraId="2D05DA24" w14:textId="77777777" w:rsidR="00316D89" w:rsidRPr="00217EA0" w:rsidRDefault="00316D89" w:rsidP="00854A1B">
      <w:pPr>
        <w:ind w:firstLine="720"/>
        <w:rPr>
          <w:i/>
          <w:iCs/>
        </w:rPr>
      </w:pPr>
      <w:r w:rsidRPr="00217EA0">
        <w:rPr>
          <w:i/>
          <w:iCs/>
        </w:rPr>
        <w:t>For more detail on PBAC’s view, see section 7 PBAC outcome.</w:t>
      </w:r>
    </w:p>
    <w:p w14:paraId="3E1782A8" w14:textId="77777777" w:rsidR="00C317F3" w:rsidRPr="00217EA0" w:rsidRDefault="00C317F3" w:rsidP="0068446B">
      <w:pPr>
        <w:pStyle w:val="PBACESHeading1"/>
      </w:pPr>
      <w:bookmarkStart w:id="13" w:name="_Toc187865658"/>
      <w:r w:rsidRPr="00217EA0">
        <w:t>Comparator</w:t>
      </w:r>
      <w:bookmarkEnd w:id="9"/>
      <w:bookmarkEnd w:id="13"/>
    </w:p>
    <w:p w14:paraId="6BB6DFE9" w14:textId="35DE2FE4" w:rsidR="002220AD" w:rsidRPr="00217EA0" w:rsidRDefault="002220AD" w:rsidP="2914E55D">
      <w:pPr>
        <w:pStyle w:val="ListParagraph"/>
        <w:rPr>
          <w:color w:val="auto"/>
        </w:rPr>
      </w:pPr>
      <w:bookmarkStart w:id="14" w:name="_Toc413139276"/>
      <w:r w:rsidRPr="00217EA0">
        <w:rPr>
          <w:color w:val="auto"/>
        </w:rPr>
        <w:t>The submission nominate</w:t>
      </w:r>
      <w:r w:rsidR="000D154F" w:rsidRPr="00217EA0">
        <w:rPr>
          <w:color w:val="auto"/>
        </w:rPr>
        <w:t>d</w:t>
      </w:r>
      <w:r w:rsidRPr="00217EA0">
        <w:rPr>
          <w:color w:val="auto"/>
        </w:rPr>
        <w:t xml:space="preserve"> </w:t>
      </w:r>
      <w:r w:rsidRPr="00217EA0">
        <w:rPr>
          <w:rStyle w:val="InstructionalTextChar"/>
          <w:color w:val="auto"/>
        </w:rPr>
        <w:t>S</w:t>
      </w:r>
      <w:r w:rsidR="008477D2" w:rsidRPr="00217EA0">
        <w:rPr>
          <w:rStyle w:val="InstructionalTextChar"/>
          <w:color w:val="auto"/>
        </w:rPr>
        <w:t>o</w:t>
      </w:r>
      <w:r w:rsidRPr="00217EA0">
        <w:rPr>
          <w:rStyle w:val="InstructionalTextChar"/>
          <w:color w:val="auto"/>
        </w:rPr>
        <w:t>C</w:t>
      </w:r>
      <w:r w:rsidRPr="00217EA0">
        <w:rPr>
          <w:color w:val="auto"/>
        </w:rPr>
        <w:t xml:space="preserve"> as the main comparator. Specifically, FOLFOX; as modified FOLFOX6 chemotherapy (oxaliplatin 85 mg/m</w:t>
      </w:r>
      <w:r w:rsidRPr="00217EA0">
        <w:rPr>
          <w:color w:val="auto"/>
          <w:vertAlign w:val="superscript"/>
        </w:rPr>
        <w:t>2</w:t>
      </w:r>
      <w:r w:rsidRPr="00217EA0">
        <w:rPr>
          <w:color w:val="auto"/>
        </w:rPr>
        <w:t>, calcium folinate 50</w:t>
      </w:r>
      <w:r w:rsidR="00FE60D3">
        <w:rPr>
          <w:color w:val="auto"/>
        </w:rPr>
        <w:t> </w:t>
      </w:r>
      <w:r w:rsidRPr="00217EA0">
        <w:rPr>
          <w:color w:val="auto"/>
        </w:rPr>
        <w:t>mg, fluorouracil 400</w:t>
      </w:r>
      <w:r w:rsidR="003E115E">
        <w:rPr>
          <w:color w:val="auto"/>
        </w:rPr>
        <w:t> </w:t>
      </w:r>
      <w:r w:rsidRPr="00217EA0">
        <w:rPr>
          <w:color w:val="auto"/>
        </w:rPr>
        <w:t>mg/m</w:t>
      </w:r>
      <w:r w:rsidRPr="00217EA0">
        <w:rPr>
          <w:color w:val="auto"/>
          <w:vertAlign w:val="superscript"/>
        </w:rPr>
        <w:t>2</w:t>
      </w:r>
      <w:r w:rsidR="003E115E">
        <w:rPr>
          <w:color w:val="auto"/>
        </w:rPr>
        <w:t xml:space="preserve"> </w:t>
      </w:r>
      <w:r w:rsidRPr="00217EA0">
        <w:rPr>
          <w:color w:val="auto"/>
        </w:rPr>
        <w:t xml:space="preserve">bolus and </w:t>
      </w:r>
      <w:r w:rsidR="003E115E" w:rsidRPr="00217EA0">
        <w:rPr>
          <w:color w:val="auto"/>
        </w:rPr>
        <w:t>2400</w:t>
      </w:r>
      <w:r w:rsidR="003E115E">
        <w:rPr>
          <w:color w:val="auto"/>
        </w:rPr>
        <w:t> </w:t>
      </w:r>
      <w:r w:rsidRPr="00217EA0">
        <w:rPr>
          <w:color w:val="auto"/>
        </w:rPr>
        <w:t>mg/m</w:t>
      </w:r>
      <w:r w:rsidRPr="00217EA0">
        <w:rPr>
          <w:color w:val="auto"/>
          <w:vertAlign w:val="superscript"/>
        </w:rPr>
        <w:t>2</w:t>
      </w:r>
      <w:r w:rsidR="003E115E">
        <w:rPr>
          <w:color w:val="auto"/>
        </w:rPr>
        <w:t xml:space="preserve"> </w:t>
      </w:r>
      <w:r w:rsidRPr="00217EA0">
        <w:rPr>
          <w:color w:val="auto"/>
        </w:rPr>
        <w:t>continuous infusion over 46</w:t>
      </w:r>
      <w:r w:rsidR="003E115E">
        <w:rPr>
          <w:color w:val="auto"/>
        </w:rPr>
        <w:t> </w:t>
      </w:r>
      <w:r w:rsidRPr="00217EA0">
        <w:rPr>
          <w:color w:val="auto"/>
        </w:rPr>
        <w:t>hours; given every 14 days for up to 12 cycles, as per eviQ protocol) was proposed as the S</w:t>
      </w:r>
      <w:r w:rsidR="008477D2" w:rsidRPr="00217EA0">
        <w:rPr>
          <w:color w:val="auto"/>
        </w:rPr>
        <w:t>o</w:t>
      </w:r>
      <w:r w:rsidRPr="00217EA0">
        <w:rPr>
          <w:color w:val="auto"/>
        </w:rPr>
        <w:t xml:space="preserve">C in Australian practice. </w:t>
      </w:r>
    </w:p>
    <w:p w14:paraId="26B6E3BF" w14:textId="54EE98E0" w:rsidR="002220AD" w:rsidRPr="00217EA0" w:rsidRDefault="002220AD" w:rsidP="2914E55D">
      <w:pPr>
        <w:pStyle w:val="ListParagraph"/>
        <w:rPr>
          <w:color w:val="auto"/>
        </w:rPr>
      </w:pPr>
      <w:r w:rsidRPr="00217EA0">
        <w:rPr>
          <w:color w:val="auto"/>
        </w:rPr>
        <w:t xml:space="preserve">The submission also considered palliative care with active symptom control (ASC) is generally the management in the second- and subsequent line settings for patients with poor performance status or those who elect no further treatment, likely to preserve quality of life given the limited efficacy and poor safety profile associated with chemotherapy. As such, some consideration </w:t>
      </w:r>
      <w:r w:rsidR="007B3F78" w:rsidRPr="00217EA0">
        <w:rPr>
          <w:color w:val="auto"/>
        </w:rPr>
        <w:t>wa</w:t>
      </w:r>
      <w:r w:rsidRPr="00217EA0">
        <w:rPr>
          <w:color w:val="auto"/>
        </w:rPr>
        <w:t xml:space="preserve">s also given to palliative care with ASC in this submission. </w:t>
      </w:r>
    </w:p>
    <w:p w14:paraId="42A614E0" w14:textId="744E497B" w:rsidR="002220AD" w:rsidRPr="00217EA0" w:rsidRDefault="002220AD" w:rsidP="2914E55D">
      <w:pPr>
        <w:pStyle w:val="ListParagraph"/>
        <w:rPr>
          <w:color w:val="auto"/>
        </w:rPr>
      </w:pPr>
      <w:r w:rsidRPr="00217EA0">
        <w:rPr>
          <w:color w:val="auto"/>
        </w:rPr>
        <w:t xml:space="preserve">The submission noted that advice received from local experts suggests that </w:t>
      </w:r>
      <w:proofErr w:type="spellStart"/>
      <w:r w:rsidRPr="00217EA0">
        <w:rPr>
          <w:color w:val="auto"/>
        </w:rPr>
        <w:t>futibatinib</w:t>
      </w:r>
      <w:proofErr w:type="spellEnd"/>
      <w:r w:rsidRPr="00217EA0">
        <w:rPr>
          <w:color w:val="auto"/>
        </w:rPr>
        <w:t xml:space="preserve"> may replace a proportion of palliative care with </w:t>
      </w:r>
      <w:r w:rsidR="008477D2" w:rsidRPr="00217EA0">
        <w:rPr>
          <w:color w:val="auto"/>
        </w:rPr>
        <w:t>ASC</w:t>
      </w:r>
      <w:r w:rsidRPr="00217EA0">
        <w:rPr>
          <w:color w:val="auto"/>
        </w:rPr>
        <w:t xml:space="preserve"> in some patients where clinically appropriate, however advisers </w:t>
      </w:r>
      <w:r w:rsidR="001533D7" w:rsidRPr="00217EA0">
        <w:rPr>
          <w:color w:val="auto"/>
        </w:rPr>
        <w:t xml:space="preserve">to the sponsor </w:t>
      </w:r>
      <w:r w:rsidRPr="00217EA0">
        <w:rPr>
          <w:color w:val="auto"/>
        </w:rPr>
        <w:t xml:space="preserve">confirmed that FOLFOX is the appropriate main comparator for this submission, as it is the regimen most likely to be replaced by </w:t>
      </w:r>
      <w:proofErr w:type="spellStart"/>
      <w:r w:rsidRPr="00217EA0">
        <w:rPr>
          <w:color w:val="auto"/>
        </w:rPr>
        <w:t>futibatinib</w:t>
      </w:r>
      <w:proofErr w:type="spellEnd"/>
      <w:r w:rsidRPr="00217EA0">
        <w:rPr>
          <w:color w:val="auto"/>
        </w:rPr>
        <w:t xml:space="preserve"> in practice (90-95%). </w:t>
      </w:r>
      <w:r w:rsidR="0084364D" w:rsidRPr="00217EA0">
        <w:rPr>
          <w:color w:val="auto"/>
        </w:rPr>
        <w:t>The evaluation noted that i</w:t>
      </w:r>
      <w:r w:rsidRPr="00217EA0">
        <w:rPr>
          <w:color w:val="auto"/>
        </w:rPr>
        <w:t xml:space="preserve">n the consideration of </w:t>
      </w:r>
      <w:proofErr w:type="spellStart"/>
      <w:r w:rsidRPr="00217EA0">
        <w:rPr>
          <w:color w:val="auto"/>
        </w:rPr>
        <w:t>ivosidenib</w:t>
      </w:r>
      <w:proofErr w:type="spellEnd"/>
      <w:r w:rsidRPr="00217EA0">
        <w:rPr>
          <w:color w:val="auto"/>
        </w:rPr>
        <w:t xml:space="preserve"> </w:t>
      </w:r>
      <w:r w:rsidR="00DF4278" w:rsidRPr="00217EA0">
        <w:rPr>
          <w:color w:val="auto"/>
        </w:rPr>
        <w:t>for the treatment of locally advanced or metastatic CCA in patients who have evidence of an</w:t>
      </w:r>
      <w:r w:rsidR="00E859FB" w:rsidRPr="00E859FB">
        <w:rPr>
          <w:i/>
          <w:iCs/>
          <w:color w:val="auto"/>
        </w:rPr>
        <w:t xml:space="preserve"> IDH1</w:t>
      </w:r>
      <w:r w:rsidR="00DF4278" w:rsidRPr="00217EA0">
        <w:rPr>
          <w:color w:val="auto"/>
        </w:rPr>
        <w:t xml:space="preserve"> variant and whose disease has progressed on at least one prior line of systemic therapy</w:t>
      </w:r>
      <w:r w:rsidRPr="00217EA0">
        <w:rPr>
          <w:color w:val="auto"/>
        </w:rPr>
        <w:t xml:space="preserve">, it was considered that the nomination of palliative care/BSC as the primary comparator and FOLFOX as the secondary comparator appeared reasonable (paragraph 5.3, </w:t>
      </w:r>
      <w:proofErr w:type="spellStart"/>
      <w:r w:rsidRPr="00217EA0">
        <w:rPr>
          <w:color w:val="auto"/>
        </w:rPr>
        <w:t>ivos</w:t>
      </w:r>
      <w:r w:rsidR="005A00AD" w:rsidRPr="00217EA0">
        <w:rPr>
          <w:color w:val="auto"/>
        </w:rPr>
        <w:t>ide</w:t>
      </w:r>
      <w:r w:rsidRPr="00217EA0">
        <w:rPr>
          <w:color w:val="auto"/>
        </w:rPr>
        <w:t>nib</w:t>
      </w:r>
      <w:proofErr w:type="spellEnd"/>
      <w:r w:rsidRPr="00217EA0">
        <w:rPr>
          <w:color w:val="auto"/>
        </w:rPr>
        <w:t xml:space="preserve"> </w:t>
      </w:r>
      <w:r w:rsidR="00D65C9F">
        <w:rPr>
          <w:color w:val="auto"/>
        </w:rPr>
        <w:t>(</w:t>
      </w:r>
      <w:r w:rsidR="00D65C9F" w:rsidRPr="00D65C9F">
        <w:rPr>
          <w:color w:val="auto"/>
        </w:rPr>
        <w:t xml:space="preserve">Public Summary Document </w:t>
      </w:r>
      <w:r w:rsidR="00D65C9F">
        <w:rPr>
          <w:color w:val="auto"/>
        </w:rPr>
        <w:t>(</w:t>
      </w:r>
      <w:r w:rsidRPr="00217EA0">
        <w:rPr>
          <w:color w:val="auto"/>
        </w:rPr>
        <w:t>PSD</w:t>
      </w:r>
      <w:r w:rsidR="00D65C9F">
        <w:rPr>
          <w:color w:val="auto"/>
        </w:rPr>
        <w:t>)</w:t>
      </w:r>
      <w:r w:rsidRPr="00217EA0">
        <w:rPr>
          <w:color w:val="auto"/>
        </w:rPr>
        <w:t>, July 2024</w:t>
      </w:r>
      <w:r w:rsidR="00C55C07" w:rsidRPr="00217EA0">
        <w:rPr>
          <w:color w:val="auto"/>
        </w:rPr>
        <w:t xml:space="preserve"> PBAC meeting</w:t>
      </w:r>
      <w:r w:rsidR="00512FD8" w:rsidRPr="00217EA0">
        <w:rPr>
          <w:color w:val="auto"/>
        </w:rPr>
        <w:t>)</w:t>
      </w:r>
      <w:r w:rsidR="00571465" w:rsidRPr="00217EA0">
        <w:rPr>
          <w:color w:val="auto"/>
        </w:rPr>
        <w:t>.</w:t>
      </w:r>
      <w:r w:rsidRPr="00217EA0">
        <w:rPr>
          <w:color w:val="auto"/>
        </w:rPr>
        <w:t xml:space="preserve"> </w:t>
      </w:r>
      <w:r w:rsidR="00C55C07" w:rsidRPr="00217EA0">
        <w:rPr>
          <w:color w:val="auto"/>
        </w:rPr>
        <w:t>T</w:t>
      </w:r>
      <w:r w:rsidRPr="00217EA0">
        <w:rPr>
          <w:color w:val="auto"/>
        </w:rPr>
        <w:t xml:space="preserve">he PBAC also </w:t>
      </w:r>
      <w:r w:rsidR="00E44D9B" w:rsidRPr="00217EA0">
        <w:rPr>
          <w:color w:val="auto"/>
        </w:rPr>
        <w:t xml:space="preserve">previously </w:t>
      </w:r>
      <w:r w:rsidRPr="00217EA0">
        <w:rPr>
          <w:color w:val="auto"/>
        </w:rPr>
        <w:t>considered</w:t>
      </w:r>
      <w:r w:rsidR="00E44D9B" w:rsidRPr="00217EA0">
        <w:rPr>
          <w:color w:val="auto"/>
        </w:rPr>
        <w:t xml:space="preserve"> </w:t>
      </w:r>
      <w:r w:rsidRPr="00217EA0">
        <w:rPr>
          <w:color w:val="auto"/>
        </w:rPr>
        <w:t xml:space="preserve">that FOLFOX was an important relevant comparator for a substantial proportion of patients (paragraph 7.5, </w:t>
      </w:r>
      <w:proofErr w:type="spellStart"/>
      <w:r w:rsidRPr="00217EA0">
        <w:rPr>
          <w:color w:val="auto"/>
        </w:rPr>
        <w:t>ivos</w:t>
      </w:r>
      <w:r w:rsidR="005A00AD" w:rsidRPr="00217EA0">
        <w:rPr>
          <w:color w:val="auto"/>
        </w:rPr>
        <w:t>ide</w:t>
      </w:r>
      <w:r w:rsidRPr="00217EA0">
        <w:rPr>
          <w:color w:val="auto"/>
        </w:rPr>
        <w:t>nib</w:t>
      </w:r>
      <w:proofErr w:type="spellEnd"/>
      <w:r w:rsidRPr="00217EA0">
        <w:rPr>
          <w:color w:val="auto"/>
        </w:rPr>
        <w:t xml:space="preserve"> PSD, July 2024</w:t>
      </w:r>
      <w:r w:rsidR="00C55C07" w:rsidRPr="00217EA0">
        <w:rPr>
          <w:color w:val="auto"/>
        </w:rPr>
        <w:t xml:space="preserve"> PBAC meeting</w:t>
      </w:r>
      <w:r w:rsidRPr="00217EA0">
        <w:rPr>
          <w:color w:val="auto"/>
        </w:rPr>
        <w:t>).</w:t>
      </w:r>
    </w:p>
    <w:p w14:paraId="36FD0FBD" w14:textId="0134E0B3" w:rsidR="002220AD" w:rsidRPr="00217EA0" w:rsidRDefault="00E44D9B" w:rsidP="2914E55D">
      <w:pPr>
        <w:pStyle w:val="ListParagraph"/>
        <w:rPr>
          <w:color w:val="auto"/>
        </w:rPr>
      </w:pPr>
      <w:r w:rsidRPr="00217EA0">
        <w:rPr>
          <w:color w:val="auto"/>
        </w:rPr>
        <w:t xml:space="preserve">The </w:t>
      </w:r>
      <w:r w:rsidR="00F87538" w:rsidRPr="00217EA0">
        <w:rPr>
          <w:color w:val="auto"/>
        </w:rPr>
        <w:t>evaluation</w:t>
      </w:r>
      <w:r w:rsidRPr="00217EA0">
        <w:rPr>
          <w:color w:val="auto"/>
        </w:rPr>
        <w:t xml:space="preserve"> considered it</w:t>
      </w:r>
      <w:r w:rsidR="002220AD" w:rsidRPr="00217EA0">
        <w:rPr>
          <w:color w:val="auto"/>
        </w:rPr>
        <w:t xml:space="preserve"> unlikely that </w:t>
      </w:r>
      <w:proofErr w:type="spellStart"/>
      <w:r w:rsidR="002220AD" w:rsidRPr="00217EA0">
        <w:rPr>
          <w:color w:val="auto"/>
        </w:rPr>
        <w:t>ivos</w:t>
      </w:r>
      <w:r w:rsidR="005A00AD" w:rsidRPr="00217EA0">
        <w:rPr>
          <w:color w:val="auto"/>
        </w:rPr>
        <w:t>ide</w:t>
      </w:r>
      <w:r w:rsidR="002220AD" w:rsidRPr="00217EA0">
        <w:rPr>
          <w:color w:val="auto"/>
        </w:rPr>
        <w:t>nib</w:t>
      </w:r>
      <w:proofErr w:type="spellEnd"/>
      <w:r w:rsidR="002220AD" w:rsidRPr="00217EA0">
        <w:rPr>
          <w:color w:val="auto"/>
        </w:rPr>
        <w:t xml:space="preserve"> would be a comparator for the majority of patients as</w:t>
      </w:r>
      <w:r w:rsidR="00E859FB" w:rsidRPr="00E859FB">
        <w:rPr>
          <w:i/>
          <w:iCs/>
          <w:color w:val="auto"/>
        </w:rPr>
        <w:t xml:space="preserve"> IDH1</w:t>
      </w:r>
      <w:r w:rsidR="002220AD" w:rsidRPr="00217EA0">
        <w:rPr>
          <w:color w:val="auto"/>
        </w:rPr>
        <w:t xml:space="preserve"> and </w:t>
      </w:r>
      <w:r w:rsidR="003E5C46" w:rsidRPr="003E5C46">
        <w:rPr>
          <w:i/>
          <w:iCs/>
          <w:color w:val="auto"/>
        </w:rPr>
        <w:t>FGFR2</w:t>
      </w:r>
      <w:r w:rsidR="002220AD" w:rsidRPr="00217EA0">
        <w:rPr>
          <w:color w:val="auto"/>
        </w:rPr>
        <w:t xml:space="preserve"> </w:t>
      </w:r>
      <w:r w:rsidR="00AB474D" w:rsidRPr="00217EA0">
        <w:rPr>
          <w:color w:val="auto"/>
        </w:rPr>
        <w:t>variant</w:t>
      </w:r>
      <w:r w:rsidR="002220AD" w:rsidRPr="00217EA0">
        <w:rPr>
          <w:color w:val="auto"/>
        </w:rPr>
        <w:t xml:space="preserve">s are generally considered mutually exclusive (Murugesan 2022) though 7/618 patients (1.1%) with </w:t>
      </w:r>
      <w:r w:rsidR="003E5C46" w:rsidRPr="003E5C46">
        <w:rPr>
          <w:i/>
          <w:iCs/>
          <w:color w:val="auto"/>
        </w:rPr>
        <w:t>FGFR2</w:t>
      </w:r>
      <w:r w:rsidR="002220AD" w:rsidRPr="00217EA0">
        <w:rPr>
          <w:color w:val="auto"/>
        </w:rPr>
        <w:t xml:space="preserve"> </w:t>
      </w:r>
      <w:r w:rsidR="00FA5D46" w:rsidRPr="00217EA0">
        <w:rPr>
          <w:color w:val="auto"/>
        </w:rPr>
        <w:t>alterat</w:t>
      </w:r>
      <w:r w:rsidR="00A404F2" w:rsidRPr="00217EA0">
        <w:rPr>
          <w:color w:val="auto"/>
        </w:rPr>
        <w:t>ions</w:t>
      </w:r>
      <w:r w:rsidR="002220AD" w:rsidRPr="00217EA0">
        <w:rPr>
          <w:color w:val="auto"/>
        </w:rPr>
        <w:t xml:space="preserve"> also had</w:t>
      </w:r>
      <w:r w:rsidR="00E859FB" w:rsidRPr="00E859FB">
        <w:rPr>
          <w:i/>
          <w:iCs/>
          <w:color w:val="auto"/>
        </w:rPr>
        <w:t xml:space="preserve"> IDH1</w:t>
      </w:r>
      <w:r w:rsidR="002220AD" w:rsidRPr="00217EA0">
        <w:rPr>
          <w:color w:val="auto"/>
        </w:rPr>
        <w:t xml:space="preserve"> </w:t>
      </w:r>
      <w:r w:rsidR="00AB474D" w:rsidRPr="00217EA0">
        <w:rPr>
          <w:color w:val="auto"/>
        </w:rPr>
        <w:t>variant</w:t>
      </w:r>
      <w:r w:rsidR="002220AD" w:rsidRPr="00217EA0">
        <w:rPr>
          <w:color w:val="auto"/>
        </w:rPr>
        <w:t xml:space="preserve"> in Murugesan 2022. </w:t>
      </w:r>
    </w:p>
    <w:p w14:paraId="44C0A363" w14:textId="39F1B1BE" w:rsidR="00316D89" w:rsidRPr="00217EA0" w:rsidRDefault="00D736A6" w:rsidP="00E9612B">
      <w:pPr>
        <w:pStyle w:val="ListParagraph"/>
        <w:rPr>
          <w:color w:val="auto"/>
        </w:rPr>
      </w:pPr>
      <w:r w:rsidRPr="00217EA0">
        <w:rPr>
          <w:color w:val="auto"/>
        </w:rPr>
        <w:t xml:space="preserve">The evaluation noted that </w:t>
      </w:r>
      <w:proofErr w:type="spellStart"/>
      <w:r w:rsidRPr="00217EA0">
        <w:rPr>
          <w:color w:val="auto"/>
        </w:rPr>
        <w:t>p</w:t>
      </w:r>
      <w:r w:rsidR="002220AD" w:rsidRPr="00217EA0">
        <w:rPr>
          <w:color w:val="auto"/>
        </w:rPr>
        <w:t>emigatinib</w:t>
      </w:r>
      <w:proofErr w:type="spellEnd"/>
      <w:r w:rsidR="002220AD" w:rsidRPr="00217EA0">
        <w:rPr>
          <w:color w:val="auto"/>
        </w:rPr>
        <w:t xml:space="preserve">, an inhibitor of FGFR1, 2 and 3, has provisional TGA approval for the treatment of adult patients with locally advanced or metastatic CCA with </w:t>
      </w:r>
      <w:r w:rsidR="003E5C46" w:rsidRPr="003E5C46">
        <w:rPr>
          <w:i/>
          <w:iCs/>
          <w:color w:val="auto"/>
        </w:rPr>
        <w:t>FGFR2</w:t>
      </w:r>
      <w:r w:rsidR="002220AD" w:rsidRPr="00217EA0">
        <w:rPr>
          <w:color w:val="auto"/>
        </w:rPr>
        <w:t xml:space="preserve"> fusion</w:t>
      </w:r>
      <w:r w:rsidR="0052099A" w:rsidRPr="00217EA0">
        <w:rPr>
          <w:color w:val="auto"/>
        </w:rPr>
        <w:t>s</w:t>
      </w:r>
      <w:r w:rsidR="002220AD" w:rsidRPr="00217EA0">
        <w:rPr>
          <w:color w:val="auto"/>
        </w:rPr>
        <w:t xml:space="preserve"> or rearrangement</w:t>
      </w:r>
      <w:r w:rsidR="0052099A" w:rsidRPr="00217EA0">
        <w:rPr>
          <w:color w:val="auto"/>
        </w:rPr>
        <w:t>s</w:t>
      </w:r>
      <w:r w:rsidR="002220AD" w:rsidRPr="00217EA0">
        <w:rPr>
          <w:color w:val="auto"/>
        </w:rPr>
        <w:t xml:space="preserve"> that has progressed after at least one prior line of systemic therapy. However, </w:t>
      </w:r>
      <w:proofErr w:type="spellStart"/>
      <w:r w:rsidR="002220AD" w:rsidRPr="00217EA0">
        <w:rPr>
          <w:color w:val="auto"/>
        </w:rPr>
        <w:t>pemigatinib</w:t>
      </w:r>
      <w:proofErr w:type="spellEnd"/>
      <w:r w:rsidR="002220AD" w:rsidRPr="00217EA0">
        <w:rPr>
          <w:color w:val="auto"/>
        </w:rPr>
        <w:t xml:space="preserve"> is not currently listed on the PBS and thus may be considered a near market comparator. </w:t>
      </w:r>
      <w:bookmarkEnd w:id="14"/>
    </w:p>
    <w:p w14:paraId="20805E70" w14:textId="1D1CEB90" w:rsidR="00316D89" w:rsidRPr="00217EA0" w:rsidRDefault="00316D89" w:rsidP="002503E5">
      <w:pPr>
        <w:ind w:left="720"/>
        <w:rPr>
          <w:i/>
          <w:iCs/>
        </w:rPr>
      </w:pPr>
      <w:r w:rsidRPr="00217EA0">
        <w:rPr>
          <w:i/>
          <w:iCs/>
        </w:rPr>
        <w:t>For more detail on PBAC’s view, see section 7 PBAC outcome.</w:t>
      </w:r>
    </w:p>
    <w:p w14:paraId="1D7F58E5" w14:textId="77777777" w:rsidR="00015290" w:rsidRPr="00217EA0" w:rsidRDefault="00015290" w:rsidP="00565A06">
      <w:pPr>
        <w:pStyle w:val="PBACESHeading1"/>
      </w:pPr>
      <w:bookmarkStart w:id="15" w:name="_Toc187865659"/>
      <w:r w:rsidRPr="00217EA0">
        <w:t>Consideration of the evidence</w:t>
      </w:r>
      <w:bookmarkEnd w:id="15"/>
    </w:p>
    <w:p w14:paraId="57BB0AAD" w14:textId="77777777" w:rsidR="00CD3446" w:rsidRPr="00A46375" w:rsidRDefault="00CD3446" w:rsidP="00A46375">
      <w:pPr>
        <w:pStyle w:val="4-SubsectionHeading"/>
        <w:rPr>
          <w:rFonts w:asciiTheme="minorHAnsi" w:hAnsiTheme="minorHAnsi"/>
          <w:lang w:eastAsia="en-US"/>
        </w:rPr>
      </w:pPr>
      <w:bookmarkStart w:id="16" w:name="_Hlk76375935"/>
      <w:r w:rsidRPr="00A46375">
        <w:rPr>
          <w:rFonts w:asciiTheme="minorHAnsi" w:hAnsiTheme="minorHAnsi"/>
          <w:lang w:eastAsia="en-US"/>
        </w:rPr>
        <w:t>Sponsor hearing</w:t>
      </w:r>
    </w:p>
    <w:p w14:paraId="29AB3A4F" w14:textId="1EA4BE1F" w:rsidR="005C4259" w:rsidRDefault="00CD3446" w:rsidP="00705BD3">
      <w:pPr>
        <w:pStyle w:val="ListParagraph"/>
      </w:pPr>
      <w:bookmarkStart w:id="17" w:name="_Hlk76382586"/>
      <w:r w:rsidRPr="00705BD3">
        <w:t xml:space="preserve">The sponsor requested a hearing for this item. The clinician discussed the natural history of the disease, </w:t>
      </w:r>
      <w:r w:rsidR="00EE0765">
        <w:t xml:space="preserve">the </w:t>
      </w:r>
      <w:r w:rsidR="00F97DBD" w:rsidRPr="00705BD3">
        <w:t xml:space="preserve">available </w:t>
      </w:r>
      <w:r w:rsidR="009D76B2">
        <w:t xml:space="preserve">clinical </w:t>
      </w:r>
      <w:r w:rsidR="00F97DBD" w:rsidRPr="00705BD3">
        <w:t xml:space="preserve">evidence, and </w:t>
      </w:r>
      <w:r w:rsidRPr="00705BD3">
        <w:t>how the drug would be used in practice.</w:t>
      </w:r>
      <w:r w:rsidR="00F97DBD" w:rsidRPr="00705BD3">
        <w:t xml:space="preserve"> </w:t>
      </w:r>
      <w:r w:rsidR="00F97DBD" w:rsidRPr="00437C9C">
        <w:t xml:space="preserve">The </w:t>
      </w:r>
      <w:r w:rsidR="00560A74" w:rsidRPr="00437C9C">
        <w:t xml:space="preserve">clinician acknowledged that the evidence </w:t>
      </w:r>
      <w:r w:rsidR="002B564F" w:rsidRPr="00437C9C">
        <w:t xml:space="preserve">to support </w:t>
      </w:r>
      <w:proofErr w:type="spellStart"/>
      <w:r w:rsidR="00560A74" w:rsidRPr="00437C9C">
        <w:t>futibatinib</w:t>
      </w:r>
      <w:proofErr w:type="spellEnd"/>
      <w:r w:rsidR="00560A74" w:rsidRPr="00437C9C">
        <w:t xml:space="preserve"> is </w:t>
      </w:r>
      <w:r w:rsidR="002B564F" w:rsidRPr="00437C9C">
        <w:t xml:space="preserve">limited, as it </w:t>
      </w:r>
      <w:r w:rsidR="00560A74" w:rsidRPr="00437C9C">
        <w:t xml:space="preserve">based on a single arm </w:t>
      </w:r>
      <w:r w:rsidR="00186CDE" w:rsidRPr="00437C9C">
        <w:t xml:space="preserve">trial, and </w:t>
      </w:r>
      <w:r w:rsidR="0060341D" w:rsidRPr="00437C9C">
        <w:t>a ‘poor’ cross trial</w:t>
      </w:r>
      <w:r w:rsidR="00186CDE" w:rsidRPr="00437C9C">
        <w:t xml:space="preserve"> comparator </w:t>
      </w:r>
      <w:r w:rsidR="0060341D" w:rsidRPr="00437C9C">
        <w:t>(</w:t>
      </w:r>
      <w:r w:rsidR="00186CDE" w:rsidRPr="00437C9C">
        <w:t>ABC-06</w:t>
      </w:r>
      <w:r w:rsidR="0060341D" w:rsidRPr="00437C9C">
        <w:t>)</w:t>
      </w:r>
      <w:r w:rsidR="002B564F" w:rsidRPr="00437C9C">
        <w:t xml:space="preserve">. </w:t>
      </w:r>
      <w:r w:rsidR="0014752A" w:rsidRPr="00437C9C">
        <w:t>He also noted that the 21 month</w:t>
      </w:r>
      <w:r w:rsidR="00E00620" w:rsidRPr="00437C9C">
        <w:t xml:space="preserve"> median</w:t>
      </w:r>
      <w:r w:rsidR="0014752A" w:rsidRPr="00437C9C">
        <w:t xml:space="preserve"> OS </w:t>
      </w:r>
      <w:r w:rsidR="007A6204" w:rsidRPr="00437C9C">
        <w:t>reported in NEJM may be long.</w:t>
      </w:r>
      <w:r w:rsidR="007A6204">
        <w:t xml:space="preserve"> </w:t>
      </w:r>
      <w:r w:rsidR="002B564F" w:rsidRPr="00705BD3">
        <w:t xml:space="preserve">However, he </w:t>
      </w:r>
      <w:r w:rsidR="007D013F" w:rsidRPr="00705BD3">
        <w:t>asserted t</w:t>
      </w:r>
      <w:r w:rsidR="00EA2948" w:rsidRPr="00705BD3">
        <w:t>hat it is the best evidence that will be available</w:t>
      </w:r>
      <w:r w:rsidR="007D013F" w:rsidRPr="00705BD3">
        <w:t xml:space="preserve"> due to the very low patient numbers, and the promising cross-study results for </w:t>
      </w:r>
      <w:proofErr w:type="spellStart"/>
      <w:r w:rsidR="007D013F" w:rsidRPr="00705BD3">
        <w:t>futibatinib</w:t>
      </w:r>
      <w:proofErr w:type="spellEnd"/>
      <w:r w:rsidR="007D013F" w:rsidRPr="00705BD3">
        <w:t xml:space="preserve">, meaning that it </w:t>
      </w:r>
      <w:r w:rsidR="0040593C" w:rsidRPr="00705BD3">
        <w:t xml:space="preserve">would be unfeasible and unethical to randomise patients to a chemotherapy comparator. </w:t>
      </w:r>
    </w:p>
    <w:p w14:paraId="3D957B7F" w14:textId="3B9A3C04" w:rsidR="00CD3446" w:rsidRDefault="001435DF" w:rsidP="00705BD3">
      <w:pPr>
        <w:pStyle w:val="ListParagraph"/>
      </w:pPr>
      <w:r w:rsidRPr="00705BD3">
        <w:t>Further, t</w:t>
      </w:r>
      <w:r w:rsidR="009B3F29" w:rsidRPr="00705BD3">
        <w:t xml:space="preserve">he clinician noted the high infection risk (10-20%) and peripheral </w:t>
      </w:r>
      <w:r w:rsidR="009B3F29">
        <w:t xml:space="preserve">neuropathy associated </w:t>
      </w:r>
      <w:r w:rsidR="009B3F29" w:rsidRPr="00705BD3">
        <w:t>with FOLFOX</w:t>
      </w:r>
      <w:r w:rsidR="009B3F29">
        <w:t xml:space="preserve">, which is not observed for </w:t>
      </w:r>
      <w:proofErr w:type="spellStart"/>
      <w:r w:rsidR="009B3F29">
        <w:t>futibatinib</w:t>
      </w:r>
      <w:proofErr w:type="spellEnd"/>
      <w:r>
        <w:t xml:space="preserve">, making it the more attractive </w:t>
      </w:r>
      <w:r w:rsidR="00DD3C2B">
        <w:t xml:space="preserve">treatment </w:t>
      </w:r>
      <w:r>
        <w:t xml:space="preserve">option. The clinician </w:t>
      </w:r>
      <w:r w:rsidR="00D75BA3">
        <w:t>suggested that patients may go on to have FOLFOX after relapsing post</w:t>
      </w:r>
      <w:r w:rsidR="002028C5">
        <w:t>-</w:t>
      </w:r>
      <w:proofErr w:type="spellStart"/>
      <w:r w:rsidR="00D75BA3">
        <w:t>futibatinib</w:t>
      </w:r>
      <w:proofErr w:type="spellEnd"/>
      <w:r w:rsidR="00D75BA3">
        <w:t xml:space="preserve">, but they are unlikely to opt for </w:t>
      </w:r>
      <w:r w:rsidR="00787EE4">
        <w:t>FOLFOX</w:t>
      </w:r>
      <w:r w:rsidR="00F32551">
        <w:t xml:space="preserve"> second-line</w:t>
      </w:r>
      <w:r w:rsidR="00787EE4">
        <w:t xml:space="preserve">, when </w:t>
      </w:r>
      <w:proofErr w:type="spellStart"/>
      <w:r w:rsidR="00787EE4">
        <w:t>futibatinib</w:t>
      </w:r>
      <w:proofErr w:type="spellEnd"/>
      <w:r w:rsidR="00787EE4">
        <w:t xml:space="preserve"> presents a more efficacious and </w:t>
      </w:r>
      <w:r w:rsidR="002028C5">
        <w:t>less toxic option</w:t>
      </w:r>
      <w:r w:rsidR="009B3F29">
        <w:t xml:space="preserve">. </w:t>
      </w:r>
      <w:r w:rsidR="0073469D">
        <w:t xml:space="preserve">The clinician also noted </w:t>
      </w:r>
      <w:r w:rsidR="00390FB4">
        <w:t xml:space="preserve">that </w:t>
      </w:r>
      <w:r w:rsidR="0073469D">
        <w:t xml:space="preserve">the </w:t>
      </w:r>
      <w:proofErr w:type="spellStart"/>
      <w:r w:rsidR="00A4083D">
        <w:t>futibatinib</w:t>
      </w:r>
      <w:proofErr w:type="spellEnd"/>
      <w:r w:rsidR="0073469D">
        <w:t xml:space="preserve"> oral form</w:t>
      </w:r>
      <w:r w:rsidR="00390FB4">
        <w:t xml:space="preserve"> </w:t>
      </w:r>
      <w:r w:rsidR="00A4083D">
        <w:t xml:space="preserve">does not have to be administered at a hospital, and therefore </w:t>
      </w:r>
      <w:r w:rsidR="00EF7E96">
        <w:t>promotes</w:t>
      </w:r>
      <w:r w:rsidR="00BD169C">
        <w:t xml:space="preserve"> better quality of life, and </w:t>
      </w:r>
      <w:r w:rsidR="00EF7E96">
        <w:t>lower hospital resource utilisation</w:t>
      </w:r>
      <w:r w:rsidR="00390FB4">
        <w:t xml:space="preserve"> than chemotherapy</w:t>
      </w:r>
      <w:r w:rsidR="00EF7E96">
        <w:t xml:space="preserve">. </w:t>
      </w:r>
    </w:p>
    <w:bookmarkEnd w:id="17"/>
    <w:p w14:paraId="08C469F0" w14:textId="77777777" w:rsidR="00CD3446" w:rsidRPr="00D63AA3" w:rsidRDefault="00CD3446" w:rsidP="00D63AA3">
      <w:pPr>
        <w:pStyle w:val="4-SubsectionHeading"/>
        <w:rPr>
          <w:rFonts w:asciiTheme="minorHAnsi" w:hAnsiTheme="minorHAnsi"/>
          <w:lang w:eastAsia="en-US"/>
        </w:rPr>
      </w:pPr>
      <w:r w:rsidRPr="00D63AA3">
        <w:rPr>
          <w:rFonts w:asciiTheme="minorHAnsi" w:hAnsiTheme="minorHAnsi"/>
          <w:lang w:eastAsia="en-US"/>
        </w:rPr>
        <w:t>Consumer comments</w:t>
      </w:r>
    </w:p>
    <w:p w14:paraId="2CB544BF" w14:textId="35F98B06" w:rsidR="001E44B4" w:rsidRDefault="00CD3446" w:rsidP="00231A18">
      <w:pPr>
        <w:pStyle w:val="ListParagraph"/>
        <w:rPr>
          <w:color w:val="auto"/>
        </w:rPr>
      </w:pPr>
      <w:bookmarkStart w:id="18" w:name="_Hlk76382618"/>
      <w:r w:rsidRPr="00231A18">
        <w:rPr>
          <w:color w:val="auto"/>
        </w:rPr>
        <w:t>The PBAC noted and welcomed the input from organisations (</w:t>
      </w:r>
      <w:r w:rsidR="00FF522C" w:rsidRPr="00231A18">
        <w:rPr>
          <w:color w:val="auto"/>
        </w:rPr>
        <w:t>4</w:t>
      </w:r>
      <w:r w:rsidRPr="00231A18">
        <w:rPr>
          <w:color w:val="auto"/>
        </w:rPr>
        <w:t>) via the Consumer Comments facility on the PBS website.</w:t>
      </w:r>
      <w:r w:rsidR="00DC710D" w:rsidRPr="00231A18">
        <w:rPr>
          <w:color w:val="auto"/>
        </w:rPr>
        <w:t xml:space="preserve"> </w:t>
      </w:r>
      <w:r w:rsidR="00A912E4">
        <w:rPr>
          <w:color w:val="auto"/>
        </w:rPr>
        <w:t>C</w:t>
      </w:r>
      <w:r w:rsidRPr="00231A18">
        <w:rPr>
          <w:color w:val="auto"/>
        </w:rPr>
        <w:t xml:space="preserve">omments described a range of benefits of treatment with </w:t>
      </w:r>
      <w:proofErr w:type="spellStart"/>
      <w:r w:rsidR="00EE2E61" w:rsidRPr="00231A18">
        <w:rPr>
          <w:color w:val="auto"/>
        </w:rPr>
        <w:t>futibatinib</w:t>
      </w:r>
      <w:proofErr w:type="spellEnd"/>
      <w:r w:rsidR="00EE2E61" w:rsidRPr="00231A18">
        <w:rPr>
          <w:color w:val="auto"/>
        </w:rPr>
        <w:t xml:space="preserve"> </w:t>
      </w:r>
      <w:r w:rsidRPr="00231A18">
        <w:rPr>
          <w:color w:val="auto"/>
        </w:rPr>
        <w:t xml:space="preserve">including </w:t>
      </w:r>
      <w:r w:rsidR="00E249F7" w:rsidRPr="00231A18">
        <w:rPr>
          <w:color w:val="auto"/>
        </w:rPr>
        <w:t xml:space="preserve">improvement in daily functioning, </w:t>
      </w:r>
      <w:r w:rsidR="001A648B" w:rsidRPr="00231A18">
        <w:rPr>
          <w:color w:val="auto"/>
        </w:rPr>
        <w:t xml:space="preserve">prolonged progression free survival, </w:t>
      </w:r>
      <w:r w:rsidR="00FA29E4" w:rsidRPr="00231A18">
        <w:rPr>
          <w:color w:val="auto"/>
        </w:rPr>
        <w:t xml:space="preserve">and the tablet form meaning </w:t>
      </w:r>
      <w:r w:rsidR="00E249F7" w:rsidRPr="00231A18">
        <w:rPr>
          <w:color w:val="auto"/>
        </w:rPr>
        <w:t>autonomy over administration</w:t>
      </w:r>
      <w:r w:rsidR="00FA29E4" w:rsidRPr="00231A18">
        <w:rPr>
          <w:color w:val="auto"/>
        </w:rPr>
        <w:t xml:space="preserve"> and reduced hospital visits</w:t>
      </w:r>
      <w:r w:rsidR="00B16BE0" w:rsidRPr="00231A18">
        <w:rPr>
          <w:color w:val="auto"/>
        </w:rPr>
        <w:t>, which is particularly beneficial for patients in rural and remote areas</w:t>
      </w:r>
      <w:r w:rsidR="00FA29E4" w:rsidRPr="00231A18">
        <w:rPr>
          <w:color w:val="auto"/>
        </w:rPr>
        <w:t>.</w:t>
      </w:r>
    </w:p>
    <w:p w14:paraId="5D615785" w14:textId="3833488B" w:rsidR="00784B22" w:rsidRPr="00474917" w:rsidRDefault="00784B22">
      <w:pPr>
        <w:pStyle w:val="ListParagraph"/>
        <w:rPr>
          <w:color w:val="auto"/>
        </w:rPr>
      </w:pPr>
      <w:r w:rsidRPr="00474917">
        <w:rPr>
          <w:color w:val="auto"/>
        </w:rPr>
        <w:t xml:space="preserve">The PBAC noted the advice received from </w:t>
      </w:r>
      <w:proofErr w:type="spellStart"/>
      <w:r w:rsidRPr="00474917">
        <w:rPr>
          <w:color w:val="auto"/>
        </w:rPr>
        <w:t>Pancare</w:t>
      </w:r>
      <w:proofErr w:type="spellEnd"/>
      <w:r w:rsidRPr="00474917">
        <w:rPr>
          <w:color w:val="auto"/>
        </w:rPr>
        <w:t xml:space="preserve"> Foundation, Liver Foundation and Rare Cancers Australia </w:t>
      </w:r>
      <w:r w:rsidR="009326AC" w:rsidRPr="00474917">
        <w:rPr>
          <w:color w:val="auto"/>
        </w:rPr>
        <w:t xml:space="preserve">(RCA) </w:t>
      </w:r>
      <w:r w:rsidRPr="00474917">
        <w:rPr>
          <w:color w:val="auto"/>
        </w:rPr>
        <w:t xml:space="preserve">in support of the </w:t>
      </w:r>
      <w:proofErr w:type="spellStart"/>
      <w:r w:rsidR="009326AC" w:rsidRPr="00474917">
        <w:rPr>
          <w:color w:val="auto"/>
        </w:rPr>
        <w:t>futibatinib</w:t>
      </w:r>
      <w:proofErr w:type="spellEnd"/>
      <w:r w:rsidRPr="00474917">
        <w:rPr>
          <w:color w:val="auto"/>
        </w:rPr>
        <w:t xml:space="preserve"> submission. </w:t>
      </w:r>
      <w:r w:rsidR="00525103" w:rsidRPr="00474917">
        <w:rPr>
          <w:color w:val="auto"/>
        </w:rPr>
        <w:t xml:space="preserve">These consumer organisations described </w:t>
      </w:r>
      <w:r w:rsidR="005B4B43" w:rsidRPr="00474917">
        <w:rPr>
          <w:color w:val="auto"/>
        </w:rPr>
        <w:t>the high morbidity associated with CCA</w:t>
      </w:r>
      <w:r w:rsidR="00474917" w:rsidRPr="00474917">
        <w:rPr>
          <w:color w:val="auto"/>
        </w:rPr>
        <w:t xml:space="preserve"> and its impact of </w:t>
      </w:r>
      <w:r w:rsidR="005C1F51" w:rsidRPr="00474917">
        <w:rPr>
          <w:color w:val="auto"/>
        </w:rPr>
        <w:t>patients</w:t>
      </w:r>
      <w:r w:rsidR="00474917" w:rsidRPr="00474917">
        <w:rPr>
          <w:color w:val="auto"/>
        </w:rPr>
        <w:t xml:space="preserve"> and their families, and </w:t>
      </w:r>
      <w:r w:rsidR="00474917">
        <w:rPr>
          <w:color w:val="auto"/>
        </w:rPr>
        <w:t xml:space="preserve">the </w:t>
      </w:r>
      <w:proofErr w:type="spellStart"/>
      <w:r w:rsidRPr="00474917">
        <w:rPr>
          <w:color w:val="auto"/>
        </w:rPr>
        <w:t>Pancare</w:t>
      </w:r>
      <w:proofErr w:type="spellEnd"/>
      <w:r w:rsidRPr="00474917">
        <w:rPr>
          <w:color w:val="auto"/>
        </w:rPr>
        <w:t xml:space="preserve"> Foundation also provided an in-depth report regarding the impact of upper GI cancers and the challenges of treatment. Input from both Liver Foundation and </w:t>
      </w:r>
      <w:proofErr w:type="spellStart"/>
      <w:r w:rsidRPr="00474917">
        <w:rPr>
          <w:color w:val="auto"/>
        </w:rPr>
        <w:t>Pancare</w:t>
      </w:r>
      <w:proofErr w:type="spellEnd"/>
      <w:r w:rsidRPr="00474917">
        <w:rPr>
          <w:color w:val="auto"/>
        </w:rPr>
        <w:t xml:space="preserve"> noted that patients diagnosed with cholangiocarcinoma are often diagnosed late, when chances of survival are reduced and treatment results in serious physical side effects, major impact on quality of life</w:t>
      </w:r>
      <w:r w:rsidR="00423BBB">
        <w:rPr>
          <w:color w:val="auto"/>
        </w:rPr>
        <w:t>,</w:t>
      </w:r>
      <w:r w:rsidRPr="00474917">
        <w:rPr>
          <w:color w:val="auto"/>
        </w:rPr>
        <w:t xml:space="preserve"> and high financial burden. Comments noted the PFS and OS gain</w:t>
      </w:r>
      <w:r w:rsidR="00CF0C59">
        <w:rPr>
          <w:color w:val="auto"/>
        </w:rPr>
        <w:t>s</w:t>
      </w:r>
      <w:r w:rsidRPr="00474917">
        <w:rPr>
          <w:color w:val="auto"/>
        </w:rPr>
        <w:t xml:space="preserve"> for patients treated with </w:t>
      </w:r>
      <w:proofErr w:type="spellStart"/>
      <w:r w:rsidR="009326AC" w:rsidRPr="00474917">
        <w:rPr>
          <w:color w:val="auto"/>
        </w:rPr>
        <w:t>futibatinib</w:t>
      </w:r>
      <w:proofErr w:type="spellEnd"/>
      <w:r w:rsidRPr="00474917">
        <w:rPr>
          <w:color w:val="auto"/>
        </w:rPr>
        <w:t xml:space="preserve"> was considered meaningful to patients, given the limited survival rate for CCA</w:t>
      </w:r>
      <w:r w:rsidR="00907F3D">
        <w:rPr>
          <w:color w:val="auto"/>
        </w:rPr>
        <w:t xml:space="preserve"> and lack of alternative therapies</w:t>
      </w:r>
      <w:r w:rsidRPr="00474917">
        <w:rPr>
          <w:color w:val="auto"/>
        </w:rPr>
        <w:t xml:space="preserve">. Comments from </w:t>
      </w:r>
      <w:r w:rsidR="00BD5F98">
        <w:rPr>
          <w:color w:val="auto"/>
        </w:rPr>
        <w:t>RCA and the Liver Foundation</w:t>
      </w:r>
      <w:r w:rsidRPr="00474917">
        <w:rPr>
          <w:color w:val="auto"/>
        </w:rPr>
        <w:t xml:space="preserve"> noted that </w:t>
      </w:r>
      <w:proofErr w:type="spellStart"/>
      <w:r w:rsidR="00D52626" w:rsidRPr="00474917">
        <w:rPr>
          <w:color w:val="auto"/>
        </w:rPr>
        <w:t>futibatinib</w:t>
      </w:r>
      <w:proofErr w:type="spellEnd"/>
      <w:r w:rsidRPr="00474917">
        <w:rPr>
          <w:color w:val="auto"/>
        </w:rPr>
        <w:t xml:space="preserve"> is expected to improve the daily functioning of people with cholangiocarcinoma, </w:t>
      </w:r>
      <w:r w:rsidR="00D52626" w:rsidRPr="00474917">
        <w:rPr>
          <w:color w:val="auto"/>
        </w:rPr>
        <w:t xml:space="preserve">and all </w:t>
      </w:r>
      <w:r w:rsidR="00907F3D">
        <w:rPr>
          <w:color w:val="auto"/>
        </w:rPr>
        <w:t xml:space="preserve">groups </w:t>
      </w:r>
      <w:r w:rsidR="00D52626" w:rsidRPr="00474917">
        <w:rPr>
          <w:color w:val="auto"/>
        </w:rPr>
        <w:t xml:space="preserve">anticipated that </w:t>
      </w:r>
      <w:r w:rsidRPr="00474917">
        <w:rPr>
          <w:color w:val="auto"/>
        </w:rPr>
        <w:t xml:space="preserve">PBS listing </w:t>
      </w:r>
      <w:r w:rsidR="00D52626" w:rsidRPr="00474917">
        <w:rPr>
          <w:color w:val="auto"/>
        </w:rPr>
        <w:t>would</w:t>
      </w:r>
      <w:r w:rsidRPr="00474917">
        <w:rPr>
          <w:color w:val="auto"/>
        </w:rPr>
        <w:t xml:space="preserve"> to remove the financial burden</w:t>
      </w:r>
      <w:r w:rsidR="00D52626" w:rsidRPr="00474917">
        <w:rPr>
          <w:color w:val="auto"/>
        </w:rPr>
        <w:t xml:space="preserve"> (or ‘financial toxicity’)</w:t>
      </w:r>
      <w:r w:rsidRPr="00474917">
        <w:rPr>
          <w:color w:val="auto"/>
        </w:rPr>
        <w:t xml:space="preserve"> of self-funding treatment. </w:t>
      </w:r>
      <w:r w:rsidR="005C1F51">
        <w:rPr>
          <w:color w:val="auto"/>
        </w:rPr>
        <w:t xml:space="preserve">RCA described known </w:t>
      </w:r>
      <w:proofErr w:type="spellStart"/>
      <w:r w:rsidR="005C1F51">
        <w:rPr>
          <w:color w:val="auto"/>
        </w:rPr>
        <w:t>futibatinib</w:t>
      </w:r>
      <w:proofErr w:type="spellEnd"/>
      <w:r w:rsidR="005C1F51">
        <w:rPr>
          <w:color w:val="auto"/>
        </w:rPr>
        <w:t xml:space="preserve"> side-effects of </w:t>
      </w:r>
      <w:r w:rsidR="005C1F51" w:rsidRPr="005C1F51">
        <w:rPr>
          <w:color w:val="auto"/>
        </w:rPr>
        <w:t>fatigue, decreased appetite, diarrhea, and irregular heartbeat</w:t>
      </w:r>
      <w:r w:rsidR="005C1F51">
        <w:rPr>
          <w:color w:val="auto"/>
        </w:rPr>
        <w:t xml:space="preserve"> as</w:t>
      </w:r>
      <w:r w:rsidR="005C1F51" w:rsidRPr="005C1F51">
        <w:rPr>
          <w:color w:val="auto"/>
        </w:rPr>
        <w:t xml:space="preserve"> manageable</w:t>
      </w:r>
      <w:r w:rsidR="005C1F51">
        <w:rPr>
          <w:color w:val="auto"/>
        </w:rPr>
        <w:t xml:space="preserve">. </w:t>
      </w:r>
      <w:r w:rsidRPr="00474917">
        <w:rPr>
          <w:color w:val="auto"/>
        </w:rPr>
        <w:t xml:space="preserve">Comments from the three consumer groups also noted that the oral administration for </w:t>
      </w:r>
      <w:proofErr w:type="spellStart"/>
      <w:r w:rsidR="00D52626" w:rsidRPr="00474917">
        <w:rPr>
          <w:color w:val="auto"/>
        </w:rPr>
        <w:t>futibatinib</w:t>
      </w:r>
      <w:proofErr w:type="spellEnd"/>
      <w:r w:rsidRPr="00474917">
        <w:rPr>
          <w:color w:val="auto"/>
        </w:rPr>
        <w:t xml:space="preserve"> has substantial benefits for patients compared with chemotherapy</w:t>
      </w:r>
      <w:r w:rsidR="000C6244">
        <w:rPr>
          <w:color w:val="auto"/>
        </w:rPr>
        <w:t>, especially for rural and remote patients</w:t>
      </w:r>
      <w:r w:rsidRPr="00474917">
        <w:rPr>
          <w:color w:val="auto"/>
        </w:rPr>
        <w:t xml:space="preserve">. </w:t>
      </w:r>
    </w:p>
    <w:bookmarkEnd w:id="16"/>
    <w:bookmarkEnd w:id="18"/>
    <w:p w14:paraId="33EE4ADF" w14:textId="0E404D3A" w:rsidR="00CD3446" w:rsidRDefault="00CD3446" w:rsidP="0068060C">
      <w:pPr>
        <w:pStyle w:val="ListParagraph"/>
        <w:rPr>
          <w:color w:val="auto"/>
        </w:rPr>
      </w:pPr>
      <w:r w:rsidRPr="0068060C">
        <w:rPr>
          <w:color w:val="auto"/>
        </w:rPr>
        <w:t xml:space="preserve">The Medical Oncology Group of Australia (MOGA) also expressed its support for the </w:t>
      </w:r>
      <w:proofErr w:type="spellStart"/>
      <w:r w:rsidR="00816475" w:rsidRPr="0068060C">
        <w:rPr>
          <w:color w:val="auto"/>
        </w:rPr>
        <w:t>futibatinib</w:t>
      </w:r>
      <w:proofErr w:type="spellEnd"/>
      <w:r w:rsidR="00816475" w:rsidRPr="0068060C">
        <w:rPr>
          <w:color w:val="auto"/>
        </w:rPr>
        <w:t xml:space="preserve"> </w:t>
      </w:r>
      <w:r w:rsidRPr="0068060C">
        <w:rPr>
          <w:color w:val="auto"/>
        </w:rPr>
        <w:t xml:space="preserve">submission. The PBAC noted that the MOGA presented a European Society for Medical Oncology Magnitude of Clinical Benefit Scale (ESMO-MCBS) for </w:t>
      </w:r>
      <w:proofErr w:type="spellStart"/>
      <w:r w:rsidR="008F7167" w:rsidRPr="0068060C">
        <w:rPr>
          <w:color w:val="auto"/>
        </w:rPr>
        <w:t>futibatinib</w:t>
      </w:r>
      <w:proofErr w:type="spellEnd"/>
      <w:r w:rsidRPr="0068060C">
        <w:rPr>
          <w:color w:val="auto"/>
        </w:rPr>
        <w:t xml:space="preserve">, which was limited to </w:t>
      </w:r>
      <w:r w:rsidR="008F7167" w:rsidRPr="0068060C">
        <w:rPr>
          <w:color w:val="auto"/>
        </w:rPr>
        <w:t xml:space="preserve">2 </w:t>
      </w:r>
      <w:r w:rsidRPr="0068060C">
        <w:rPr>
          <w:color w:val="auto"/>
        </w:rPr>
        <w:t>(out of a maximum of 5, where 5 and 4 represent the grades with substantial improvement)</w:t>
      </w:r>
      <w:r w:rsidR="005270CC" w:rsidRPr="0068060C" w:rsidDel="005270CC">
        <w:rPr>
          <w:color w:val="auto"/>
        </w:rPr>
        <w:t xml:space="preserve"> </w:t>
      </w:r>
      <w:r w:rsidR="00491D18" w:rsidRPr="0068060C">
        <w:rPr>
          <w:color w:val="auto"/>
        </w:rPr>
        <w:footnoteReference w:id="2"/>
      </w:r>
      <w:r w:rsidRPr="0068060C">
        <w:rPr>
          <w:color w:val="auto"/>
        </w:rPr>
        <w:t xml:space="preserve">, based on a comparison with </w:t>
      </w:r>
      <w:r w:rsidR="005270CC" w:rsidRPr="0068060C">
        <w:rPr>
          <w:color w:val="auto"/>
        </w:rPr>
        <w:t>placebo</w:t>
      </w:r>
      <w:r w:rsidRPr="0068060C">
        <w:rPr>
          <w:color w:val="auto"/>
        </w:rPr>
        <w:t xml:space="preserve">. </w:t>
      </w:r>
    </w:p>
    <w:p w14:paraId="073CD9B4" w14:textId="2BD04CC1" w:rsidR="007E3B28" w:rsidRPr="0068060C" w:rsidRDefault="007E3B28" w:rsidP="0068060C">
      <w:pPr>
        <w:pStyle w:val="ListParagraph"/>
        <w:rPr>
          <w:color w:val="auto"/>
        </w:rPr>
      </w:pPr>
      <w:r>
        <w:rPr>
          <w:color w:val="auto"/>
        </w:rPr>
        <w:t xml:space="preserve">The PBAC noted that input regarding unmet clinical need for this population was useful. </w:t>
      </w:r>
    </w:p>
    <w:p w14:paraId="39820EF3" w14:textId="319ECB69" w:rsidR="00214438" w:rsidRPr="00D63AA3" w:rsidRDefault="00214438" w:rsidP="00D63AA3">
      <w:pPr>
        <w:pStyle w:val="4-SubsectionHeading"/>
        <w:rPr>
          <w:rFonts w:asciiTheme="minorHAnsi" w:hAnsiTheme="minorHAnsi"/>
          <w:lang w:eastAsia="en-US"/>
        </w:rPr>
      </w:pPr>
      <w:r w:rsidRPr="00D63AA3">
        <w:rPr>
          <w:rFonts w:asciiTheme="minorHAnsi" w:hAnsiTheme="minorHAnsi"/>
          <w:lang w:eastAsia="en-US"/>
        </w:rPr>
        <w:t>Overview of the evidence base</w:t>
      </w:r>
    </w:p>
    <w:p w14:paraId="4D845E3D" w14:textId="5C2E57CA" w:rsidR="00DC1929" w:rsidRPr="00217EA0" w:rsidRDefault="005B61EA" w:rsidP="2914E55D">
      <w:pPr>
        <w:pStyle w:val="ListParagraph"/>
        <w:rPr>
          <w:rStyle w:val="InstructionalTextChar"/>
          <w:color w:val="auto"/>
        </w:rPr>
      </w:pPr>
      <w:r w:rsidRPr="00217EA0">
        <w:rPr>
          <w:color w:val="auto"/>
        </w:rPr>
        <w:t xml:space="preserve">The approach taken in the submission </w:t>
      </w:r>
      <w:r w:rsidR="0046155D" w:rsidRPr="00217EA0">
        <w:rPr>
          <w:color w:val="auto"/>
        </w:rPr>
        <w:t xml:space="preserve">was </w:t>
      </w:r>
      <w:r w:rsidRPr="00217EA0">
        <w:rPr>
          <w:color w:val="auto"/>
        </w:rPr>
        <w:t xml:space="preserve">to present evidence </w:t>
      </w:r>
      <w:r w:rsidR="002220AD" w:rsidRPr="00217EA0">
        <w:rPr>
          <w:color w:val="auto"/>
        </w:rPr>
        <w:t xml:space="preserve">showing that </w:t>
      </w:r>
      <w:proofErr w:type="spellStart"/>
      <w:r w:rsidR="002220AD" w:rsidRPr="00217EA0">
        <w:rPr>
          <w:color w:val="auto"/>
        </w:rPr>
        <w:t>futibatinib</w:t>
      </w:r>
      <w:proofErr w:type="spellEnd"/>
      <w:r w:rsidR="002220AD" w:rsidRPr="00217EA0">
        <w:rPr>
          <w:color w:val="auto"/>
        </w:rPr>
        <w:t xml:space="preserve"> is superior to FOLFOX in patients with </w:t>
      </w:r>
      <w:r w:rsidR="003E5C46" w:rsidRPr="003E5C46">
        <w:rPr>
          <w:i/>
          <w:iCs/>
          <w:color w:val="auto"/>
        </w:rPr>
        <w:t>FGFR2</w:t>
      </w:r>
      <w:r w:rsidR="002220AD" w:rsidRPr="00217EA0">
        <w:rPr>
          <w:color w:val="auto"/>
        </w:rPr>
        <w:t xml:space="preserve"> </w:t>
      </w:r>
      <w:r w:rsidR="00A97B23" w:rsidRPr="00217EA0">
        <w:rPr>
          <w:color w:val="auto"/>
        </w:rPr>
        <w:t>fusion</w:t>
      </w:r>
      <w:r w:rsidR="003D3EBA" w:rsidRPr="00217EA0">
        <w:rPr>
          <w:color w:val="auto"/>
        </w:rPr>
        <w:t>s</w:t>
      </w:r>
      <w:r w:rsidR="00A97B23" w:rsidRPr="00217EA0">
        <w:rPr>
          <w:color w:val="auto"/>
        </w:rPr>
        <w:t xml:space="preserve"> or rearrangement</w:t>
      </w:r>
      <w:r w:rsidR="003D3EBA" w:rsidRPr="00217EA0">
        <w:rPr>
          <w:color w:val="auto"/>
        </w:rPr>
        <w:t>s</w:t>
      </w:r>
      <w:r w:rsidR="00A97B23" w:rsidRPr="00217EA0">
        <w:rPr>
          <w:color w:val="auto"/>
        </w:rPr>
        <w:t xml:space="preserve"> </w:t>
      </w:r>
      <w:r w:rsidR="002220AD" w:rsidRPr="00217EA0">
        <w:rPr>
          <w:color w:val="auto"/>
        </w:rPr>
        <w:t>CCA. The</w:t>
      </w:r>
      <w:r w:rsidR="00461375" w:rsidRPr="00217EA0">
        <w:rPr>
          <w:color w:val="auto"/>
        </w:rPr>
        <w:t xml:space="preserve"> evaluation noted that the</w:t>
      </w:r>
      <w:r w:rsidR="002220AD" w:rsidRPr="00217EA0">
        <w:rPr>
          <w:color w:val="auto"/>
        </w:rPr>
        <w:t xml:space="preserve"> submission did not present evidence for </w:t>
      </w:r>
      <w:proofErr w:type="spellStart"/>
      <w:r w:rsidR="002220AD" w:rsidRPr="00217EA0">
        <w:rPr>
          <w:color w:val="auto"/>
        </w:rPr>
        <w:t>futibatinib</w:t>
      </w:r>
      <w:proofErr w:type="spellEnd"/>
      <w:r w:rsidR="002220AD" w:rsidRPr="00217EA0">
        <w:rPr>
          <w:color w:val="auto"/>
        </w:rPr>
        <w:t xml:space="preserve"> in biomarker negative CCA. </w:t>
      </w:r>
    </w:p>
    <w:p w14:paraId="40757306" w14:textId="5AA66CA3" w:rsidR="002220AD" w:rsidRPr="00217EA0" w:rsidRDefault="00C164A4" w:rsidP="00FA13F3">
      <w:pPr>
        <w:pStyle w:val="Caption"/>
      </w:pPr>
      <w:bookmarkStart w:id="19" w:name="_Ref490140772"/>
      <w:r w:rsidRPr="00217EA0">
        <w:t>Table</w:t>
      </w:r>
      <w:r w:rsidR="008B3F97">
        <w:t xml:space="preserve"> </w:t>
      </w:r>
      <w:r w:rsidR="00E600E3" w:rsidRPr="00217EA0">
        <w:fldChar w:fldCharType="begin"/>
      </w:r>
      <w:r w:rsidR="00E600E3" w:rsidRPr="00217EA0">
        <w:instrText xml:space="preserve"> SEQ Table_PBAC. \* ARABIC </w:instrText>
      </w:r>
      <w:r w:rsidR="00E600E3" w:rsidRPr="00217EA0">
        <w:fldChar w:fldCharType="separate"/>
      </w:r>
      <w:r w:rsidR="008378C4">
        <w:rPr>
          <w:noProof/>
        </w:rPr>
        <w:t>3</w:t>
      </w:r>
      <w:r w:rsidR="00E600E3" w:rsidRPr="00217EA0">
        <w:fldChar w:fldCharType="end"/>
      </w:r>
      <w:bookmarkEnd w:id="19"/>
      <w:r w:rsidR="00A8569D">
        <w:t xml:space="preserve">: </w:t>
      </w:r>
      <w:r w:rsidR="002220AD" w:rsidRPr="00217EA0">
        <w:t>Summary of the linked evidence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3: Summary of the linked evidence approach"/>
      </w:tblPr>
      <w:tblGrid>
        <w:gridCol w:w="1586"/>
        <w:gridCol w:w="2586"/>
        <w:gridCol w:w="2344"/>
        <w:gridCol w:w="1416"/>
        <w:gridCol w:w="1084"/>
      </w:tblGrid>
      <w:tr w:rsidR="007900E9" w:rsidRPr="00217EA0" w14:paraId="613EACBB" w14:textId="77777777" w:rsidTr="2914E55D">
        <w:trPr>
          <w:tblHeader/>
        </w:trPr>
        <w:tc>
          <w:tcPr>
            <w:tcW w:w="880" w:type="pct"/>
            <w:tcBorders>
              <w:top w:val="single" w:sz="4" w:space="0" w:color="auto"/>
              <w:left w:val="single" w:sz="4" w:space="0" w:color="auto"/>
              <w:bottom w:val="single" w:sz="4" w:space="0" w:color="auto"/>
              <w:right w:val="single" w:sz="4" w:space="0" w:color="auto"/>
            </w:tcBorders>
            <w:vAlign w:val="center"/>
          </w:tcPr>
          <w:p w14:paraId="74CA90B2" w14:textId="77777777" w:rsidR="002220AD" w:rsidRPr="00217EA0" w:rsidRDefault="002220AD" w:rsidP="008D6150">
            <w:pPr>
              <w:pStyle w:val="TableText"/>
              <w:keepNext/>
              <w:keepLines/>
              <w:jc w:val="center"/>
              <w:rPr>
                <w:b/>
              </w:rPr>
            </w:pPr>
            <w:r w:rsidRPr="00217EA0">
              <w:rPr>
                <w:b/>
              </w:rPr>
              <w:t>Criterion</w:t>
            </w:r>
          </w:p>
        </w:tc>
        <w:tc>
          <w:tcPr>
            <w:tcW w:w="1434" w:type="pct"/>
            <w:tcBorders>
              <w:top w:val="single" w:sz="4" w:space="0" w:color="auto"/>
              <w:left w:val="single" w:sz="4" w:space="0" w:color="auto"/>
              <w:bottom w:val="single" w:sz="4" w:space="0" w:color="auto"/>
              <w:right w:val="single" w:sz="4" w:space="0" w:color="auto"/>
            </w:tcBorders>
            <w:vAlign w:val="center"/>
            <w:hideMark/>
          </w:tcPr>
          <w:p w14:paraId="1A1E0423" w14:textId="77777777" w:rsidR="002220AD" w:rsidRPr="00217EA0" w:rsidRDefault="002220AD" w:rsidP="008D6150">
            <w:pPr>
              <w:pStyle w:val="TableText"/>
              <w:keepNext/>
              <w:keepLines/>
              <w:jc w:val="center"/>
              <w:rPr>
                <w:b/>
              </w:rPr>
            </w:pPr>
            <w:r w:rsidRPr="00217EA0">
              <w:rPr>
                <w:b/>
              </w:rPr>
              <w:t>Type of evidence supplied</w:t>
            </w:r>
          </w:p>
        </w:tc>
        <w:tc>
          <w:tcPr>
            <w:tcW w:w="1300" w:type="pct"/>
            <w:tcBorders>
              <w:top w:val="single" w:sz="4" w:space="0" w:color="auto"/>
              <w:left w:val="single" w:sz="4" w:space="0" w:color="auto"/>
              <w:bottom w:val="single" w:sz="4" w:space="0" w:color="auto"/>
              <w:right w:val="single" w:sz="4" w:space="0" w:color="auto"/>
            </w:tcBorders>
            <w:vAlign w:val="center"/>
            <w:hideMark/>
          </w:tcPr>
          <w:p w14:paraId="0C9175C7" w14:textId="77777777" w:rsidR="002220AD" w:rsidRPr="00217EA0" w:rsidRDefault="002220AD" w:rsidP="008D6150">
            <w:pPr>
              <w:pStyle w:val="TableText"/>
              <w:keepNext/>
              <w:keepLines/>
              <w:jc w:val="center"/>
              <w:rPr>
                <w:b/>
              </w:rPr>
            </w:pPr>
            <w:r w:rsidRPr="00217EA0">
              <w:rPr>
                <w:b/>
              </w:rPr>
              <w:t>Extent of evidence supplied</w:t>
            </w:r>
          </w:p>
        </w:tc>
        <w:tc>
          <w:tcPr>
            <w:tcW w:w="785" w:type="pct"/>
            <w:tcBorders>
              <w:top w:val="single" w:sz="4" w:space="0" w:color="auto"/>
              <w:left w:val="single" w:sz="4" w:space="0" w:color="auto"/>
              <w:bottom w:val="single" w:sz="4" w:space="0" w:color="auto"/>
              <w:right w:val="single" w:sz="4" w:space="0" w:color="auto"/>
            </w:tcBorders>
            <w:vAlign w:val="center"/>
            <w:hideMark/>
          </w:tcPr>
          <w:p w14:paraId="43601C93" w14:textId="77777777" w:rsidR="002220AD" w:rsidRPr="00217EA0" w:rsidRDefault="002220AD" w:rsidP="008D6150">
            <w:pPr>
              <w:pStyle w:val="TableText"/>
              <w:keepNext/>
              <w:keepLines/>
              <w:jc w:val="center"/>
              <w:rPr>
                <w:b/>
              </w:rPr>
            </w:pPr>
            <w:r w:rsidRPr="00217EA0">
              <w:rPr>
                <w:b/>
              </w:rPr>
              <w:t>Overall risk of bias in evidence base</w:t>
            </w:r>
          </w:p>
        </w:tc>
        <w:tc>
          <w:tcPr>
            <w:tcW w:w="601" w:type="pct"/>
            <w:tcBorders>
              <w:top w:val="single" w:sz="4" w:space="0" w:color="auto"/>
              <w:left w:val="single" w:sz="4" w:space="0" w:color="auto"/>
              <w:bottom w:val="single" w:sz="4" w:space="0" w:color="auto"/>
              <w:right w:val="single" w:sz="4" w:space="0" w:color="auto"/>
            </w:tcBorders>
            <w:vAlign w:val="center"/>
          </w:tcPr>
          <w:p w14:paraId="5934FF9A" w14:textId="77777777" w:rsidR="002220AD" w:rsidRPr="00217EA0" w:rsidRDefault="002220AD" w:rsidP="008D6150">
            <w:pPr>
              <w:pStyle w:val="TableText"/>
              <w:keepNext/>
              <w:keepLines/>
              <w:jc w:val="center"/>
              <w:rPr>
                <w:b/>
              </w:rPr>
            </w:pPr>
            <w:r w:rsidRPr="00217EA0">
              <w:rPr>
                <w:b/>
              </w:rPr>
              <w:t>Used in modelled evaluation</w:t>
            </w:r>
          </w:p>
        </w:tc>
      </w:tr>
      <w:tr w:rsidR="007900E9" w:rsidRPr="00217EA0" w14:paraId="3C635CA8" w14:textId="77777777" w:rsidTr="2914E55D">
        <w:tc>
          <w:tcPr>
            <w:tcW w:w="880" w:type="pct"/>
            <w:tcBorders>
              <w:top w:val="single" w:sz="4" w:space="0" w:color="auto"/>
              <w:left w:val="single" w:sz="4" w:space="0" w:color="auto"/>
              <w:bottom w:val="single" w:sz="4" w:space="0" w:color="auto"/>
              <w:right w:val="single" w:sz="4" w:space="0" w:color="auto"/>
            </w:tcBorders>
            <w:vAlign w:val="center"/>
            <w:hideMark/>
          </w:tcPr>
          <w:p w14:paraId="3C757074" w14:textId="77777777" w:rsidR="002220AD" w:rsidRPr="00217EA0" w:rsidRDefault="002220AD" w:rsidP="008D6150">
            <w:pPr>
              <w:pStyle w:val="TableText"/>
              <w:keepNext/>
              <w:keepLines/>
            </w:pPr>
            <w:r w:rsidRPr="00217EA0">
              <w:t>Accuracy and performance of the test (cross-sectional accuracy)</w:t>
            </w:r>
          </w:p>
        </w:tc>
        <w:tc>
          <w:tcPr>
            <w:tcW w:w="1434" w:type="pct"/>
            <w:tcBorders>
              <w:top w:val="single" w:sz="4" w:space="0" w:color="auto"/>
              <w:left w:val="single" w:sz="4" w:space="0" w:color="auto"/>
              <w:bottom w:val="single" w:sz="4" w:space="0" w:color="auto"/>
              <w:right w:val="single" w:sz="4" w:space="0" w:color="auto"/>
            </w:tcBorders>
            <w:vAlign w:val="center"/>
            <w:hideMark/>
          </w:tcPr>
          <w:p w14:paraId="0067E8E9" w14:textId="77777777" w:rsidR="002220AD" w:rsidRPr="00217EA0" w:rsidRDefault="002220AD" w:rsidP="008D6150">
            <w:pPr>
              <w:pStyle w:val="TableText"/>
              <w:keepNext/>
              <w:keepLines/>
            </w:pPr>
            <w:r w:rsidRPr="00217EA0">
              <w:t>Concordance with clinical utility standard</w:t>
            </w:r>
          </w:p>
        </w:tc>
        <w:tc>
          <w:tcPr>
            <w:tcW w:w="1300" w:type="pct"/>
            <w:tcBorders>
              <w:top w:val="single" w:sz="4" w:space="0" w:color="auto"/>
              <w:left w:val="single" w:sz="4" w:space="0" w:color="auto"/>
              <w:bottom w:val="single" w:sz="4" w:space="0" w:color="auto"/>
              <w:right w:val="single" w:sz="4" w:space="0" w:color="auto"/>
            </w:tcBorders>
            <w:vAlign w:val="center"/>
            <w:hideMark/>
          </w:tcPr>
          <w:p w14:paraId="2D5EF329" w14:textId="6CE2E20D" w:rsidR="002220AD" w:rsidRPr="00217EA0" w:rsidRDefault="002220AD" w:rsidP="008D6150">
            <w:pPr>
              <w:pStyle w:val="TableText"/>
              <w:keepNext/>
              <w:keepLines/>
            </w:pPr>
            <w:r w:rsidRPr="00217EA0">
              <w:rPr>
                <w:rFonts w:ascii="MS Gothic" w:eastAsia="MS Gothic" w:hAnsi="MS Gothic"/>
              </w:rPr>
              <w:t>☒</w:t>
            </w:r>
            <w:r w:rsidRPr="00217EA0">
              <w:tab/>
              <w:t>k=3</w:t>
            </w:r>
            <w:r w:rsidRPr="00217EA0">
              <w:tab/>
              <w:t>n=368</w:t>
            </w:r>
          </w:p>
        </w:tc>
        <w:tc>
          <w:tcPr>
            <w:tcW w:w="785" w:type="pct"/>
            <w:tcBorders>
              <w:top w:val="single" w:sz="4" w:space="0" w:color="auto"/>
              <w:left w:val="single" w:sz="4" w:space="0" w:color="auto"/>
              <w:bottom w:val="single" w:sz="4" w:space="0" w:color="auto"/>
              <w:right w:val="single" w:sz="4" w:space="0" w:color="auto"/>
            </w:tcBorders>
            <w:vAlign w:val="center"/>
            <w:hideMark/>
          </w:tcPr>
          <w:p w14:paraId="2EA32E6F" w14:textId="77777777" w:rsidR="002220AD" w:rsidRPr="00217EA0" w:rsidRDefault="002220AD" w:rsidP="008D6150">
            <w:pPr>
              <w:pStyle w:val="TableText"/>
              <w:keepNext/>
              <w:keepLines/>
            </w:pPr>
            <w:r w:rsidRPr="00217EA0">
              <w:t>Moderate - High</w:t>
            </w:r>
          </w:p>
        </w:tc>
        <w:tc>
          <w:tcPr>
            <w:tcW w:w="601" w:type="pct"/>
            <w:tcBorders>
              <w:top w:val="single" w:sz="4" w:space="0" w:color="auto"/>
              <w:left w:val="single" w:sz="4" w:space="0" w:color="auto"/>
              <w:bottom w:val="single" w:sz="4" w:space="0" w:color="auto"/>
              <w:right w:val="single" w:sz="4" w:space="0" w:color="auto"/>
            </w:tcBorders>
            <w:vAlign w:val="center"/>
          </w:tcPr>
          <w:p w14:paraId="45392593" w14:textId="77777777" w:rsidR="002220AD" w:rsidRPr="00217EA0" w:rsidRDefault="002220AD" w:rsidP="008D6150">
            <w:pPr>
              <w:pStyle w:val="TableText"/>
              <w:keepNext/>
              <w:keepLines/>
            </w:pPr>
            <w:r w:rsidRPr="00217EA0">
              <w:t>No</w:t>
            </w:r>
          </w:p>
        </w:tc>
      </w:tr>
      <w:tr w:rsidR="007900E9" w:rsidRPr="00217EA0" w14:paraId="3AD2C5C5" w14:textId="77777777" w:rsidTr="2914E55D">
        <w:tc>
          <w:tcPr>
            <w:tcW w:w="880" w:type="pct"/>
            <w:tcBorders>
              <w:top w:val="single" w:sz="4" w:space="0" w:color="auto"/>
              <w:left w:val="single" w:sz="4" w:space="0" w:color="auto"/>
              <w:bottom w:val="single" w:sz="4" w:space="0" w:color="auto"/>
              <w:right w:val="single" w:sz="4" w:space="0" w:color="auto"/>
            </w:tcBorders>
            <w:vAlign w:val="center"/>
            <w:hideMark/>
          </w:tcPr>
          <w:p w14:paraId="4AE67438" w14:textId="77777777" w:rsidR="002220AD" w:rsidRPr="00217EA0" w:rsidRDefault="002220AD" w:rsidP="008D6150">
            <w:pPr>
              <w:pStyle w:val="TableText"/>
              <w:keepNext/>
              <w:keepLines/>
            </w:pPr>
            <w:r w:rsidRPr="00217EA0">
              <w:t>Prognostic evidence (longitudinal accuracy)</w:t>
            </w:r>
          </w:p>
        </w:tc>
        <w:tc>
          <w:tcPr>
            <w:tcW w:w="1434" w:type="pct"/>
            <w:tcBorders>
              <w:top w:val="single" w:sz="4" w:space="0" w:color="auto"/>
              <w:left w:val="single" w:sz="4" w:space="0" w:color="auto"/>
              <w:bottom w:val="single" w:sz="4" w:space="0" w:color="auto"/>
              <w:right w:val="single" w:sz="4" w:space="0" w:color="auto"/>
            </w:tcBorders>
            <w:vAlign w:val="center"/>
            <w:hideMark/>
          </w:tcPr>
          <w:p w14:paraId="0605645C" w14:textId="02B61B1A" w:rsidR="002220AD" w:rsidRPr="00217EA0" w:rsidRDefault="002220AD" w:rsidP="008D6150">
            <w:pPr>
              <w:pStyle w:val="TableText"/>
              <w:keepNext/>
              <w:keepLines/>
            </w:pPr>
            <w:r w:rsidRPr="00217EA0">
              <w:t xml:space="preserve">Meta-analysis of prognostic impact of </w:t>
            </w:r>
            <w:r w:rsidR="003E5C46" w:rsidRPr="003E5C46">
              <w:rPr>
                <w:i/>
                <w:iCs/>
              </w:rPr>
              <w:t>FGFR2</w:t>
            </w:r>
            <w:r w:rsidRPr="00217EA0">
              <w:t xml:space="preserve"> alteration on overall or progression-free survival in patients with CCA </w:t>
            </w:r>
          </w:p>
        </w:tc>
        <w:tc>
          <w:tcPr>
            <w:tcW w:w="1300" w:type="pct"/>
            <w:tcBorders>
              <w:top w:val="single" w:sz="4" w:space="0" w:color="auto"/>
              <w:left w:val="single" w:sz="4" w:space="0" w:color="auto"/>
              <w:bottom w:val="single" w:sz="4" w:space="0" w:color="auto"/>
              <w:right w:val="single" w:sz="4" w:space="0" w:color="auto"/>
            </w:tcBorders>
            <w:vAlign w:val="center"/>
            <w:hideMark/>
          </w:tcPr>
          <w:p w14:paraId="17E7D300" w14:textId="2F1D5596" w:rsidR="002220AD" w:rsidRPr="00217EA0" w:rsidRDefault="002220AD" w:rsidP="008D6150">
            <w:pPr>
              <w:pStyle w:val="TableText"/>
              <w:keepNext/>
              <w:keepLines/>
            </w:pPr>
            <w:r w:rsidRPr="00217EA0">
              <w:rPr>
                <w:rFonts w:ascii="MS Gothic" w:eastAsia="MS Gothic" w:hAnsi="MS Gothic"/>
              </w:rPr>
              <w:t>☒</w:t>
            </w:r>
            <w:r w:rsidRPr="00217EA0">
              <w:tab/>
              <w:t>k=1</w:t>
            </w:r>
            <w:r w:rsidRPr="00217EA0">
              <w:rPr>
                <w:vertAlign w:val="superscript"/>
              </w:rPr>
              <w:t>b</w:t>
            </w:r>
            <w:r w:rsidRPr="00217EA0">
              <w:tab/>
              <w:t>n=1314</w:t>
            </w:r>
          </w:p>
        </w:tc>
        <w:tc>
          <w:tcPr>
            <w:tcW w:w="785" w:type="pct"/>
            <w:tcBorders>
              <w:top w:val="single" w:sz="4" w:space="0" w:color="auto"/>
              <w:left w:val="single" w:sz="4" w:space="0" w:color="auto"/>
              <w:bottom w:val="single" w:sz="4" w:space="0" w:color="auto"/>
              <w:right w:val="single" w:sz="4" w:space="0" w:color="auto"/>
            </w:tcBorders>
            <w:vAlign w:val="center"/>
            <w:hideMark/>
          </w:tcPr>
          <w:p w14:paraId="3396559B" w14:textId="77777777" w:rsidR="002220AD" w:rsidRPr="00217EA0" w:rsidRDefault="002220AD" w:rsidP="008D6150">
            <w:pPr>
              <w:pStyle w:val="TableText"/>
              <w:keepNext/>
              <w:keepLines/>
            </w:pPr>
            <w:r w:rsidRPr="00217EA0">
              <w:t>Moderate</w:t>
            </w:r>
          </w:p>
        </w:tc>
        <w:tc>
          <w:tcPr>
            <w:tcW w:w="601" w:type="pct"/>
            <w:tcBorders>
              <w:top w:val="single" w:sz="4" w:space="0" w:color="auto"/>
              <w:left w:val="single" w:sz="4" w:space="0" w:color="auto"/>
              <w:bottom w:val="single" w:sz="4" w:space="0" w:color="auto"/>
              <w:right w:val="single" w:sz="4" w:space="0" w:color="auto"/>
            </w:tcBorders>
            <w:vAlign w:val="center"/>
          </w:tcPr>
          <w:p w14:paraId="295EF466" w14:textId="77777777" w:rsidR="002220AD" w:rsidRPr="00217EA0" w:rsidRDefault="002220AD" w:rsidP="008D6150">
            <w:pPr>
              <w:pStyle w:val="TableText"/>
              <w:keepNext/>
              <w:keepLines/>
            </w:pPr>
            <w:r w:rsidRPr="00217EA0">
              <w:t>No</w:t>
            </w:r>
          </w:p>
        </w:tc>
      </w:tr>
      <w:tr w:rsidR="007900E9" w:rsidRPr="00217EA0" w14:paraId="46C4424B" w14:textId="77777777" w:rsidTr="2914E55D">
        <w:tc>
          <w:tcPr>
            <w:tcW w:w="880" w:type="pct"/>
            <w:tcBorders>
              <w:top w:val="single" w:sz="4" w:space="0" w:color="auto"/>
              <w:left w:val="single" w:sz="4" w:space="0" w:color="auto"/>
              <w:bottom w:val="single" w:sz="4" w:space="0" w:color="auto"/>
              <w:right w:val="single" w:sz="4" w:space="0" w:color="auto"/>
            </w:tcBorders>
            <w:vAlign w:val="center"/>
            <w:hideMark/>
          </w:tcPr>
          <w:p w14:paraId="42F9F2CE" w14:textId="77777777" w:rsidR="002220AD" w:rsidRPr="00217EA0" w:rsidRDefault="002220AD" w:rsidP="008D6150">
            <w:pPr>
              <w:pStyle w:val="TableText"/>
              <w:keepNext/>
              <w:keepLines/>
            </w:pPr>
            <w:r w:rsidRPr="00217EA0">
              <w:t xml:space="preserve">Change in patient management </w:t>
            </w:r>
          </w:p>
        </w:tc>
        <w:tc>
          <w:tcPr>
            <w:tcW w:w="1434" w:type="pct"/>
            <w:tcBorders>
              <w:top w:val="single" w:sz="4" w:space="0" w:color="auto"/>
              <w:left w:val="single" w:sz="4" w:space="0" w:color="auto"/>
              <w:bottom w:val="single" w:sz="4" w:space="0" w:color="auto"/>
              <w:right w:val="single" w:sz="4" w:space="0" w:color="auto"/>
            </w:tcBorders>
            <w:vAlign w:val="center"/>
            <w:hideMark/>
          </w:tcPr>
          <w:p w14:paraId="09E49351" w14:textId="2E2D73B7" w:rsidR="002220AD" w:rsidRPr="00217EA0" w:rsidRDefault="002220AD" w:rsidP="2914E55D">
            <w:pPr>
              <w:pStyle w:val="TableText"/>
              <w:keepNext/>
              <w:keepLines/>
              <w:rPr>
                <w:vertAlign w:val="superscript"/>
              </w:rPr>
            </w:pPr>
            <w:r w:rsidRPr="00217EA0">
              <w:t xml:space="preserve">None </w:t>
            </w:r>
            <w:r w:rsidRPr="00217EA0">
              <w:rPr>
                <w:vertAlign w:val="superscript"/>
              </w:rPr>
              <w:t>c</w:t>
            </w:r>
          </w:p>
        </w:tc>
        <w:tc>
          <w:tcPr>
            <w:tcW w:w="1300" w:type="pct"/>
            <w:tcBorders>
              <w:top w:val="single" w:sz="4" w:space="0" w:color="auto"/>
              <w:left w:val="single" w:sz="4" w:space="0" w:color="auto"/>
              <w:bottom w:val="single" w:sz="4" w:space="0" w:color="auto"/>
              <w:right w:val="single" w:sz="4" w:space="0" w:color="auto"/>
            </w:tcBorders>
            <w:vAlign w:val="center"/>
            <w:hideMark/>
          </w:tcPr>
          <w:p w14:paraId="20F45309" w14:textId="776AE902" w:rsidR="002220AD" w:rsidRPr="00217EA0" w:rsidRDefault="002220AD" w:rsidP="008D6150">
            <w:pPr>
              <w:pStyle w:val="TableText"/>
              <w:keepNext/>
              <w:keepLines/>
            </w:pPr>
            <w:r w:rsidRPr="00217EA0">
              <w:rPr>
                <w:rFonts w:ascii="MS Gothic" w:eastAsia="MS Gothic" w:hAnsi="MS Gothic"/>
              </w:rPr>
              <w:t>☐</w:t>
            </w:r>
            <w:r w:rsidRPr="00217EA0">
              <w:tab/>
              <w:t>k=</w:t>
            </w:r>
            <w:r w:rsidRPr="00217EA0">
              <w:tab/>
              <w:t>n=</w:t>
            </w:r>
          </w:p>
        </w:tc>
        <w:tc>
          <w:tcPr>
            <w:tcW w:w="785" w:type="pct"/>
            <w:tcBorders>
              <w:top w:val="single" w:sz="4" w:space="0" w:color="auto"/>
              <w:left w:val="single" w:sz="4" w:space="0" w:color="auto"/>
              <w:bottom w:val="single" w:sz="4" w:space="0" w:color="auto"/>
              <w:right w:val="single" w:sz="4" w:space="0" w:color="auto"/>
            </w:tcBorders>
            <w:vAlign w:val="center"/>
            <w:hideMark/>
          </w:tcPr>
          <w:p w14:paraId="5822341E" w14:textId="77777777" w:rsidR="002220AD" w:rsidRPr="00217EA0" w:rsidRDefault="002220AD" w:rsidP="008D6150">
            <w:pPr>
              <w:pStyle w:val="TableText"/>
              <w:keepNext/>
              <w:keepLines/>
            </w:pPr>
            <w:r w:rsidRPr="00217EA0">
              <w:t>-</w:t>
            </w:r>
          </w:p>
        </w:tc>
        <w:tc>
          <w:tcPr>
            <w:tcW w:w="601" w:type="pct"/>
            <w:tcBorders>
              <w:top w:val="single" w:sz="4" w:space="0" w:color="auto"/>
              <w:left w:val="single" w:sz="4" w:space="0" w:color="auto"/>
              <w:bottom w:val="single" w:sz="4" w:space="0" w:color="auto"/>
              <w:right w:val="single" w:sz="4" w:space="0" w:color="auto"/>
            </w:tcBorders>
            <w:vAlign w:val="center"/>
          </w:tcPr>
          <w:p w14:paraId="3336576A" w14:textId="77777777" w:rsidR="002220AD" w:rsidRPr="00217EA0" w:rsidRDefault="002220AD" w:rsidP="008D6150">
            <w:pPr>
              <w:pStyle w:val="TableText"/>
              <w:keepNext/>
              <w:keepLines/>
            </w:pPr>
            <w:r w:rsidRPr="00217EA0">
              <w:t>-</w:t>
            </w:r>
          </w:p>
        </w:tc>
      </w:tr>
      <w:tr w:rsidR="007900E9" w:rsidRPr="00217EA0" w14:paraId="484AFF50" w14:textId="77777777" w:rsidTr="2914E55D">
        <w:tc>
          <w:tcPr>
            <w:tcW w:w="880" w:type="pct"/>
            <w:tcBorders>
              <w:top w:val="single" w:sz="4" w:space="0" w:color="auto"/>
              <w:left w:val="single" w:sz="4" w:space="0" w:color="auto"/>
              <w:bottom w:val="single" w:sz="4" w:space="0" w:color="auto"/>
              <w:right w:val="single" w:sz="4" w:space="0" w:color="auto"/>
            </w:tcBorders>
            <w:vAlign w:val="center"/>
            <w:hideMark/>
          </w:tcPr>
          <w:p w14:paraId="72300757" w14:textId="77777777" w:rsidR="002220AD" w:rsidRPr="00217EA0" w:rsidRDefault="002220AD" w:rsidP="008D6150">
            <w:pPr>
              <w:pStyle w:val="TableText"/>
              <w:keepNext/>
              <w:keepLines/>
            </w:pPr>
            <w:r w:rsidRPr="00217EA0">
              <w:t xml:space="preserve">Health outcomes (clinical utility) </w:t>
            </w:r>
          </w:p>
        </w:tc>
        <w:tc>
          <w:tcPr>
            <w:tcW w:w="1434" w:type="pct"/>
            <w:tcBorders>
              <w:top w:val="single" w:sz="4" w:space="0" w:color="auto"/>
              <w:left w:val="single" w:sz="4" w:space="0" w:color="auto"/>
              <w:bottom w:val="single" w:sz="4" w:space="0" w:color="auto"/>
              <w:right w:val="single" w:sz="4" w:space="0" w:color="auto"/>
            </w:tcBorders>
            <w:vAlign w:val="center"/>
          </w:tcPr>
          <w:p w14:paraId="37969B7A" w14:textId="0127966A" w:rsidR="002220AD" w:rsidRPr="00217EA0" w:rsidRDefault="002220AD" w:rsidP="2914E55D">
            <w:pPr>
              <w:pStyle w:val="TableText"/>
              <w:keepNext/>
              <w:keepLines/>
              <w:rPr>
                <w:vertAlign w:val="superscript"/>
              </w:rPr>
            </w:pPr>
            <w:r w:rsidRPr="00217EA0">
              <w:t xml:space="preserve">None </w:t>
            </w:r>
            <w:r w:rsidRPr="00217EA0">
              <w:rPr>
                <w:vertAlign w:val="superscript"/>
              </w:rPr>
              <w:t>d</w:t>
            </w:r>
          </w:p>
        </w:tc>
        <w:tc>
          <w:tcPr>
            <w:tcW w:w="1300" w:type="pct"/>
            <w:tcBorders>
              <w:top w:val="single" w:sz="4" w:space="0" w:color="auto"/>
              <w:left w:val="single" w:sz="4" w:space="0" w:color="auto"/>
              <w:bottom w:val="single" w:sz="4" w:space="0" w:color="auto"/>
              <w:right w:val="single" w:sz="4" w:space="0" w:color="auto"/>
            </w:tcBorders>
            <w:vAlign w:val="center"/>
          </w:tcPr>
          <w:p w14:paraId="27D76F5D" w14:textId="1DB75D1B" w:rsidR="002220AD" w:rsidRPr="00217EA0" w:rsidRDefault="002220AD" w:rsidP="008D6150">
            <w:pPr>
              <w:pStyle w:val="TableText"/>
              <w:keepNext/>
              <w:keepLines/>
            </w:pPr>
            <w:r w:rsidRPr="00217EA0">
              <w:rPr>
                <w:rFonts w:ascii="MS Gothic" w:eastAsia="MS Gothic" w:hAnsi="MS Gothic"/>
              </w:rPr>
              <w:t>☐</w:t>
            </w:r>
            <w:r w:rsidRPr="00217EA0">
              <w:tab/>
              <w:t>k=</w:t>
            </w:r>
            <w:r w:rsidRPr="00217EA0">
              <w:tab/>
              <w:t>n=</w:t>
            </w:r>
          </w:p>
          <w:p w14:paraId="0ED806AC" w14:textId="77777777" w:rsidR="002220AD" w:rsidRPr="00217EA0" w:rsidRDefault="002220AD" w:rsidP="008D6150">
            <w:pPr>
              <w:pStyle w:val="TableText"/>
              <w:keepNext/>
              <w:keepLines/>
            </w:pPr>
          </w:p>
        </w:tc>
        <w:tc>
          <w:tcPr>
            <w:tcW w:w="785" w:type="pct"/>
            <w:tcBorders>
              <w:top w:val="single" w:sz="4" w:space="0" w:color="auto"/>
              <w:left w:val="single" w:sz="4" w:space="0" w:color="auto"/>
              <w:bottom w:val="single" w:sz="4" w:space="0" w:color="auto"/>
              <w:right w:val="single" w:sz="4" w:space="0" w:color="auto"/>
            </w:tcBorders>
            <w:vAlign w:val="center"/>
            <w:hideMark/>
          </w:tcPr>
          <w:p w14:paraId="1084BDB1" w14:textId="77777777" w:rsidR="002220AD" w:rsidRPr="00217EA0" w:rsidRDefault="002220AD" w:rsidP="008D6150">
            <w:pPr>
              <w:pStyle w:val="TableText"/>
              <w:keepNext/>
              <w:keepLines/>
            </w:pPr>
            <w:r w:rsidRPr="00217EA0">
              <w:t>-</w:t>
            </w:r>
          </w:p>
        </w:tc>
        <w:tc>
          <w:tcPr>
            <w:tcW w:w="601" w:type="pct"/>
            <w:tcBorders>
              <w:top w:val="single" w:sz="4" w:space="0" w:color="auto"/>
              <w:left w:val="single" w:sz="4" w:space="0" w:color="auto"/>
              <w:bottom w:val="single" w:sz="4" w:space="0" w:color="auto"/>
              <w:right w:val="single" w:sz="4" w:space="0" w:color="auto"/>
            </w:tcBorders>
            <w:vAlign w:val="center"/>
          </w:tcPr>
          <w:p w14:paraId="4F6DF489" w14:textId="77777777" w:rsidR="002220AD" w:rsidRPr="00217EA0" w:rsidRDefault="002220AD" w:rsidP="008D6150">
            <w:pPr>
              <w:pStyle w:val="TableText"/>
              <w:keepNext/>
              <w:keepLines/>
            </w:pPr>
            <w:r w:rsidRPr="00217EA0">
              <w:t>-</w:t>
            </w:r>
          </w:p>
        </w:tc>
      </w:tr>
      <w:tr w:rsidR="007900E9" w:rsidRPr="00217EA0" w14:paraId="17263EDD" w14:textId="77777777" w:rsidTr="2914E55D">
        <w:tc>
          <w:tcPr>
            <w:tcW w:w="880" w:type="pct"/>
            <w:tcBorders>
              <w:top w:val="single" w:sz="4" w:space="0" w:color="auto"/>
              <w:left w:val="single" w:sz="4" w:space="0" w:color="auto"/>
              <w:bottom w:val="nil"/>
              <w:right w:val="single" w:sz="4" w:space="0" w:color="auto"/>
            </w:tcBorders>
            <w:vAlign w:val="center"/>
          </w:tcPr>
          <w:p w14:paraId="00318E36" w14:textId="77777777" w:rsidR="002220AD" w:rsidRPr="00217EA0" w:rsidRDefault="002220AD" w:rsidP="008D6150">
            <w:pPr>
              <w:pStyle w:val="TableText"/>
              <w:keepNext/>
              <w:keepLines/>
            </w:pPr>
            <w:r w:rsidRPr="00217EA0">
              <w:t xml:space="preserve">Predictive effect (treatment effect variation) </w:t>
            </w:r>
          </w:p>
        </w:tc>
        <w:tc>
          <w:tcPr>
            <w:tcW w:w="1434" w:type="pct"/>
            <w:tcBorders>
              <w:top w:val="single" w:sz="4" w:space="0" w:color="auto"/>
              <w:left w:val="single" w:sz="4" w:space="0" w:color="auto"/>
              <w:bottom w:val="nil"/>
              <w:right w:val="single" w:sz="4" w:space="0" w:color="auto"/>
            </w:tcBorders>
            <w:vAlign w:val="center"/>
          </w:tcPr>
          <w:p w14:paraId="0829618C" w14:textId="7571A174" w:rsidR="002220AD" w:rsidRPr="00217EA0" w:rsidRDefault="002220AD" w:rsidP="008D6150">
            <w:pPr>
              <w:pStyle w:val="TableText"/>
              <w:keepNext/>
              <w:keepLines/>
            </w:pPr>
            <w:r w:rsidRPr="00217EA0">
              <w:t>A retrospective analysis of patients from four US centres of patients with FGFR alterations compared to those who do not</w:t>
            </w:r>
            <w:r w:rsidR="004148AF" w:rsidRPr="00217EA0">
              <w:t xml:space="preserve"> have FGFR alterations</w:t>
            </w:r>
            <w:r w:rsidRPr="00217EA0">
              <w:t xml:space="preserve"> (Jain 2018)</w:t>
            </w:r>
          </w:p>
        </w:tc>
        <w:tc>
          <w:tcPr>
            <w:tcW w:w="1300" w:type="pct"/>
            <w:tcBorders>
              <w:top w:val="single" w:sz="4" w:space="0" w:color="auto"/>
              <w:left w:val="single" w:sz="4" w:space="0" w:color="auto"/>
              <w:bottom w:val="nil"/>
              <w:right w:val="single" w:sz="4" w:space="0" w:color="auto"/>
            </w:tcBorders>
            <w:vAlign w:val="center"/>
          </w:tcPr>
          <w:p w14:paraId="368FE69E" w14:textId="7B9C00C6" w:rsidR="002220AD" w:rsidRPr="00217EA0" w:rsidRDefault="002220AD" w:rsidP="008D6150">
            <w:pPr>
              <w:pStyle w:val="TableText"/>
              <w:keepNext/>
              <w:keepLines/>
            </w:pPr>
            <w:r w:rsidRPr="00217EA0">
              <w:rPr>
                <w:rFonts w:ascii="MS Gothic" w:eastAsia="MS Gothic" w:hAnsi="MS Gothic"/>
              </w:rPr>
              <w:t>☒</w:t>
            </w:r>
            <w:r w:rsidRPr="00217EA0">
              <w:tab/>
              <w:t>k=1</w:t>
            </w:r>
            <w:r w:rsidRPr="00217EA0">
              <w:tab/>
              <w:t>n=337</w:t>
            </w:r>
          </w:p>
          <w:p w14:paraId="498F0A70" w14:textId="77777777" w:rsidR="002220AD" w:rsidRPr="00217EA0" w:rsidRDefault="002220AD" w:rsidP="008D6150">
            <w:pPr>
              <w:pStyle w:val="TableText"/>
              <w:keepNext/>
              <w:keepLines/>
            </w:pPr>
          </w:p>
        </w:tc>
        <w:tc>
          <w:tcPr>
            <w:tcW w:w="785" w:type="pct"/>
            <w:tcBorders>
              <w:top w:val="single" w:sz="4" w:space="0" w:color="auto"/>
              <w:left w:val="single" w:sz="4" w:space="0" w:color="auto"/>
              <w:bottom w:val="nil"/>
              <w:right w:val="single" w:sz="4" w:space="0" w:color="auto"/>
            </w:tcBorders>
            <w:vAlign w:val="center"/>
          </w:tcPr>
          <w:p w14:paraId="0F904D72" w14:textId="7866CC56" w:rsidR="002220AD" w:rsidRPr="00217EA0" w:rsidRDefault="004148AF" w:rsidP="008D6150">
            <w:pPr>
              <w:pStyle w:val="TableText"/>
              <w:keepNext/>
              <w:keepLines/>
            </w:pPr>
            <w:r w:rsidRPr="00217EA0">
              <w:t>M</w:t>
            </w:r>
            <w:r w:rsidR="002220AD" w:rsidRPr="00217EA0">
              <w:t xml:space="preserve">oderate - </w:t>
            </w:r>
            <w:r w:rsidRPr="00217EA0">
              <w:t>H</w:t>
            </w:r>
            <w:r w:rsidR="002220AD" w:rsidRPr="00217EA0">
              <w:t>igh</w:t>
            </w:r>
          </w:p>
        </w:tc>
        <w:tc>
          <w:tcPr>
            <w:tcW w:w="601" w:type="pct"/>
            <w:tcBorders>
              <w:top w:val="single" w:sz="4" w:space="0" w:color="auto"/>
              <w:left w:val="single" w:sz="4" w:space="0" w:color="auto"/>
              <w:bottom w:val="nil"/>
              <w:right w:val="single" w:sz="4" w:space="0" w:color="auto"/>
            </w:tcBorders>
            <w:vAlign w:val="center"/>
          </w:tcPr>
          <w:p w14:paraId="2DF7D154" w14:textId="77777777" w:rsidR="002220AD" w:rsidRPr="00217EA0" w:rsidRDefault="002220AD" w:rsidP="008D6150">
            <w:pPr>
              <w:pStyle w:val="TableText"/>
              <w:keepNext/>
              <w:keepLines/>
            </w:pPr>
            <w:r w:rsidRPr="00217EA0">
              <w:t>No</w:t>
            </w:r>
          </w:p>
        </w:tc>
      </w:tr>
      <w:tr w:rsidR="007900E9" w:rsidRPr="00217EA0" w14:paraId="04C54F73" w14:textId="77777777" w:rsidTr="2914E55D">
        <w:tc>
          <w:tcPr>
            <w:tcW w:w="880" w:type="pct"/>
            <w:tcBorders>
              <w:top w:val="nil"/>
              <w:left w:val="single" w:sz="4" w:space="0" w:color="auto"/>
              <w:bottom w:val="single" w:sz="4" w:space="0" w:color="auto"/>
              <w:right w:val="single" w:sz="4" w:space="0" w:color="auto"/>
            </w:tcBorders>
            <w:vAlign w:val="center"/>
          </w:tcPr>
          <w:p w14:paraId="3146525E" w14:textId="77777777" w:rsidR="002220AD" w:rsidRPr="00217EA0" w:rsidRDefault="002220AD" w:rsidP="008D6150">
            <w:pPr>
              <w:pStyle w:val="TableText"/>
              <w:keepNext/>
              <w:keepLines/>
            </w:pPr>
            <w:r w:rsidRPr="00217EA0">
              <w:t>Treatment effect (enriched)</w:t>
            </w:r>
          </w:p>
        </w:tc>
        <w:tc>
          <w:tcPr>
            <w:tcW w:w="1434" w:type="pct"/>
            <w:tcBorders>
              <w:top w:val="nil"/>
              <w:left w:val="single" w:sz="4" w:space="0" w:color="auto"/>
              <w:bottom w:val="single" w:sz="4" w:space="0" w:color="auto"/>
              <w:right w:val="single" w:sz="4" w:space="0" w:color="auto"/>
            </w:tcBorders>
            <w:vAlign w:val="center"/>
          </w:tcPr>
          <w:p w14:paraId="71D2AED2" w14:textId="523944C3" w:rsidR="002220AD" w:rsidRPr="00217EA0" w:rsidRDefault="002220AD" w:rsidP="008D6150">
            <w:pPr>
              <w:pStyle w:val="TableText"/>
              <w:keepNext/>
              <w:keepLines/>
            </w:pPr>
            <w:r w:rsidRPr="00217EA0">
              <w:t xml:space="preserve">None </w:t>
            </w:r>
            <w:r w:rsidRPr="00217EA0">
              <w:rPr>
                <w:vertAlign w:val="superscript"/>
              </w:rPr>
              <w:t>a</w:t>
            </w:r>
          </w:p>
        </w:tc>
        <w:tc>
          <w:tcPr>
            <w:tcW w:w="1300" w:type="pct"/>
            <w:tcBorders>
              <w:top w:val="nil"/>
              <w:left w:val="single" w:sz="4" w:space="0" w:color="auto"/>
              <w:bottom w:val="single" w:sz="4" w:space="0" w:color="auto"/>
              <w:right w:val="single" w:sz="4" w:space="0" w:color="auto"/>
            </w:tcBorders>
            <w:vAlign w:val="center"/>
          </w:tcPr>
          <w:p w14:paraId="3A89A3DA" w14:textId="4E21A630" w:rsidR="002220AD" w:rsidRPr="00217EA0" w:rsidRDefault="002220AD" w:rsidP="008D6150">
            <w:pPr>
              <w:pStyle w:val="TableText"/>
              <w:keepNext/>
              <w:keepLines/>
            </w:pPr>
            <w:r w:rsidRPr="00217EA0">
              <w:rPr>
                <w:rFonts w:ascii="MS Gothic" w:eastAsia="MS Gothic" w:hAnsi="MS Gothic"/>
              </w:rPr>
              <w:t>☐</w:t>
            </w:r>
            <w:r w:rsidRPr="00217EA0">
              <w:tab/>
              <w:t>k=</w:t>
            </w:r>
            <w:r w:rsidRPr="00217EA0">
              <w:tab/>
              <w:t>n=</w:t>
            </w:r>
          </w:p>
          <w:p w14:paraId="4D5FBBE2" w14:textId="77777777" w:rsidR="002220AD" w:rsidRPr="00217EA0" w:rsidRDefault="002220AD" w:rsidP="008D6150">
            <w:pPr>
              <w:pStyle w:val="TableText"/>
              <w:keepNext/>
              <w:keepLines/>
            </w:pPr>
          </w:p>
        </w:tc>
        <w:tc>
          <w:tcPr>
            <w:tcW w:w="785" w:type="pct"/>
            <w:tcBorders>
              <w:top w:val="nil"/>
              <w:left w:val="single" w:sz="4" w:space="0" w:color="auto"/>
              <w:bottom w:val="single" w:sz="4" w:space="0" w:color="auto"/>
              <w:right w:val="single" w:sz="4" w:space="0" w:color="auto"/>
            </w:tcBorders>
            <w:vAlign w:val="center"/>
          </w:tcPr>
          <w:p w14:paraId="6CB7B733" w14:textId="77777777" w:rsidR="002220AD" w:rsidRPr="00217EA0" w:rsidRDefault="002220AD" w:rsidP="008D6150">
            <w:pPr>
              <w:pStyle w:val="TableText"/>
              <w:keepNext/>
              <w:keepLines/>
            </w:pPr>
          </w:p>
        </w:tc>
        <w:tc>
          <w:tcPr>
            <w:tcW w:w="601" w:type="pct"/>
            <w:tcBorders>
              <w:top w:val="nil"/>
              <w:left w:val="single" w:sz="4" w:space="0" w:color="auto"/>
              <w:bottom w:val="single" w:sz="4" w:space="0" w:color="auto"/>
              <w:right w:val="single" w:sz="4" w:space="0" w:color="auto"/>
            </w:tcBorders>
            <w:vAlign w:val="center"/>
          </w:tcPr>
          <w:p w14:paraId="5EFC0128" w14:textId="77777777" w:rsidR="002220AD" w:rsidRPr="00217EA0" w:rsidRDefault="002220AD" w:rsidP="008D6150">
            <w:pPr>
              <w:pStyle w:val="TableText"/>
              <w:keepNext/>
              <w:keepLines/>
            </w:pPr>
            <w:r w:rsidRPr="00217EA0">
              <w:t>-</w:t>
            </w:r>
          </w:p>
        </w:tc>
      </w:tr>
    </w:tbl>
    <w:p w14:paraId="2085A22E" w14:textId="77777777" w:rsidR="002220AD" w:rsidRPr="00217EA0" w:rsidRDefault="002220AD" w:rsidP="008D6150">
      <w:pPr>
        <w:pStyle w:val="TableFooter"/>
        <w:keepNext/>
        <w:keepLines/>
      </w:pPr>
      <w:r w:rsidRPr="00217EA0">
        <w:t xml:space="preserve">Source: pp57-91 of the submission. </w:t>
      </w:r>
    </w:p>
    <w:p w14:paraId="41AB896A" w14:textId="70324E1B" w:rsidR="002220AD" w:rsidRPr="00217EA0" w:rsidRDefault="002220AD" w:rsidP="008D6150">
      <w:pPr>
        <w:pStyle w:val="TableFooter"/>
        <w:keepNext/>
        <w:keepLines/>
      </w:pPr>
      <w:r w:rsidRPr="00217EA0">
        <w:t>CCA = cholangiocarcinoma; FGFR = Fibroblast growth factor receptor; k=number of studies, n=number of patients; SoC = standard of Care</w:t>
      </w:r>
    </w:p>
    <w:p w14:paraId="6CC38504" w14:textId="208CF274" w:rsidR="002220AD" w:rsidRPr="00217EA0" w:rsidRDefault="002220AD" w:rsidP="008D6150">
      <w:pPr>
        <w:pStyle w:val="TableFooter"/>
        <w:keepNext/>
        <w:keepLines/>
      </w:pPr>
      <w:r w:rsidRPr="00217EA0">
        <w:rPr>
          <w:vertAlign w:val="superscript"/>
        </w:rPr>
        <w:t>a</w:t>
      </w:r>
      <w:r w:rsidRPr="00217EA0">
        <w:t xml:space="preserve"> clinical evidence based on biomarker selected patients treated with </w:t>
      </w:r>
      <w:proofErr w:type="spellStart"/>
      <w:r w:rsidRPr="00217EA0">
        <w:t>futibatinib</w:t>
      </w:r>
      <w:proofErr w:type="spellEnd"/>
      <w:r w:rsidRPr="00217EA0">
        <w:t xml:space="preserve"> compared to non</w:t>
      </w:r>
      <w:r w:rsidR="00C2681D" w:rsidRPr="00217EA0">
        <w:t>-biomarker</w:t>
      </w:r>
      <w:r w:rsidRPr="00217EA0">
        <w:t xml:space="preserve"> selected patients treated with SoC only. </w:t>
      </w:r>
    </w:p>
    <w:p w14:paraId="23D2DEAB" w14:textId="77777777" w:rsidR="002220AD" w:rsidRPr="00217EA0" w:rsidRDefault="002220AD" w:rsidP="008D6150">
      <w:pPr>
        <w:pStyle w:val="TableFooter"/>
        <w:keepNext/>
        <w:keepLines/>
      </w:pPr>
      <w:r w:rsidRPr="00217EA0">
        <w:rPr>
          <w:vertAlign w:val="superscript"/>
        </w:rPr>
        <w:t xml:space="preserve">b </w:t>
      </w:r>
      <w:r w:rsidRPr="00217EA0">
        <w:t xml:space="preserve">One meta-analysis based on 6 studies. </w:t>
      </w:r>
    </w:p>
    <w:p w14:paraId="6BB51578" w14:textId="5711FC16" w:rsidR="002220AD" w:rsidRPr="00217EA0" w:rsidRDefault="002220AD" w:rsidP="008D6150">
      <w:pPr>
        <w:pStyle w:val="TableFooter"/>
        <w:keepNext/>
        <w:keepLines/>
      </w:pPr>
      <w:r w:rsidRPr="00217EA0">
        <w:rPr>
          <w:vertAlign w:val="superscript"/>
        </w:rPr>
        <w:t xml:space="preserve">c </w:t>
      </w:r>
      <w:r w:rsidRPr="00217EA0">
        <w:t>The submission presented calculations in the financial estimates to estimate impact on use.</w:t>
      </w:r>
    </w:p>
    <w:p w14:paraId="6E75A3A1" w14:textId="519F058E" w:rsidR="002220AD" w:rsidRPr="00217EA0" w:rsidRDefault="002220AD" w:rsidP="00A8569D">
      <w:pPr>
        <w:pStyle w:val="TableFooter"/>
        <w:keepLines/>
      </w:pPr>
      <w:r w:rsidRPr="00217EA0">
        <w:rPr>
          <w:vertAlign w:val="superscript"/>
        </w:rPr>
        <w:t xml:space="preserve">d </w:t>
      </w:r>
      <w:r w:rsidRPr="00217EA0">
        <w:t xml:space="preserve">The economic model did not account for changes in patient management, as the model only followed positive </w:t>
      </w:r>
      <w:r w:rsidR="003E5C46" w:rsidRPr="003E5C46">
        <w:rPr>
          <w:i/>
          <w:iCs/>
        </w:rPr>
        <w:t>FGFR2</w:t>
      </w:r>
      <w:r w:rsidRPr="00217EA0">
        <w:t xml:space="preserve"> patients, with an adjustment for costs of all tested patients. </w:t>
      </w:r>
    </w:p>
    <w:p w14:paraId="02AC9E66" w14:textId="248649EE" w:rsidR="002220AD" w:rsidRPr="00217EA0" w:rsidRDefault="002220AD" w:rsidP="002220AD">
      <w:pPr>
        <w:pStyle w:val="ListParagraph"/>
        <w:rPr>
          <w:color w:val="auto"/>
        </w:rPr>
      </w:pPr>
      <w:r w:rsidRPr="00217EA0">
        <w:rPr>
          <w:rStyle w:val="InstructionalTextChar"/>
          <w:color w:val="auto"/>
        </w:rPr>
        <w:fldChar w:fldCharType="begin"/>
      </w:r>
      <w:r w:rsidRPr="00217EA0">
        <w:rPr>
          <w:rStyle w:val="InstructionalTextChar"/>
          <w:color w:val="auto"/>
        </w:rPr>
        <w:instrText xml:space="preserve"> REF _Ref184810052 \h </w:instrText>
      </w:r>
      <w:r w:rsidR="00EC070E" w:rsidRPr="00217EA0">
        <w:rPr>
          <w:rStyle w:val="InstructionalTextChar"/>
          <w:color w:val="auto"/>
        </w:rPr>
        <w:instrText xml:space="preserve"> \* MERGEFORMAT </w:instrText>
      </w:r>
      <w:r w:rsidRPr="00217EA0">
        <w:rPr>
          <w:rStyle w:val="InstructionalTextChar"/>
          <w:color w:val="auto"/>
        </w:rPr>
      </w:r>
      <w:r w:rsidRPr="00217EA0">
        <w:rPr>
          <w:rStyle w:val="InstructionalTextChar"/>
          <w:color w:val="auto"/>
        </w:rPr>
        <w:fldChar w:fldCharType="separate"/>
      </w:r>
      <w:r w:rsidR="008378C4" w:rsidRPr="00217EA0">
        <w:t>Table</w:t>
      </w:r>
      <w:r w:rsidR="008378C4">
        <w:t xml:space="preserve"> 4</w:t>
      </w:r>
      <w:r w:rsidRPr="00217EA0">
        <w:rPr>
          <w:rStyle w:val="InstructionalTextChar"/>
          <w:color w:val="auto"/>
        </w:rPr>
        <w:fldChar w:fldCharType="end"/>
      </w:r>
      <w:r w:rsidRPr="00217EA0">
        <w:rPr>
          <w:rStyle w:val="InstructionalTextChar"/>
          <w:color w:val="auto"/>
        </w:rPr>
        <w:t xml:space="preserve"> presents the available data to inform the testing comparisons. </w:t>
      </w:r>
    </w:p>
    <w:p w14:paraId="33455EB6" w14:textId="7AE7C2B6" w:rsidR="002220AD" w:rsidRPr="00217EA0" w:rsidRDefault="002220AD" w:rsidP="00FA13F3">
      <w:pPr>
        <w:pStyle w:val="Caption"/>
      </w:pPr>
      <w:bookmarkStart w:id="20" w:name="_Ref184810052"/>
      <w:r w:rsidRPr="00217EA0">
        <w:t>Table</w:t>
      </w:r>
      <w:r w:rsidR="008B3F97">
        <w:t xml:space="preserve"> </w:t>
      </w:r>
      <w:r w:rsidR="00E600E3" w:rsidRPr="00217EA0">
        <w:fldChar w:fldCharType="begin"/>
      </w:r>
      <w:r w:rsidR="00E600E3" w:rsidRPr="00217EA0">
        <w:instrText xml:space="preserve"> SEQ Table_PBAC. \* ARABIC </w:instrText>
      </w:r>
      <w:r w:rsidR="00E600E3" w:rsidRPr="00217EA0">
        <w:fldChar w:fldCharType="separate"/>
      </w:r>
      <w:r w:rsidR="008378C4">
        <w:rPr>
          <w:noProof/>
        </w:rPr>
        <w:t>4</w:t>
      </w:r>
      <w:r w:rsidR="00E600E3" w:rsidRPr="00217EA0">
        <w:fldChar w:fldCharType="end"/>
      </w:r>
      <w:bookmarkEnd w:id="20"/>
      <w:r w:rsidR="00A8569D">
        <w:t xml:space="preserve">: </w:t>
      </w:r>
      <w:r w:rsidRPr="00217EA0">
        <w:t>Data availability to inform comparisons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4: Data availability to inform comparisons"/>
      </w:tblPr>
      <w:tblGrid>
        <w:gridCol w:w="2829"/>
        <w:gridCol w:w="3260"/>
        <w:gridCol w:w="2927"/>
      </w:tblGrid>
      <w:tr w:rsidR="007900E9" w:rsidRPr="00217EA0" w14:paraId="7CD8E635" w14:textId="77777777" w:rsidTr="2914E55D">
        <w:tc>
          <w:tcPr>
            <w:tcW w:w="15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F33AE" w14:textId="77777777" w:rsidR="002220AD" w:rsidRPr="00217EA0" w:rsidRDefault="002220AD" w:rsidP="00FE3A7F">
            <w:pPr>
              <w:pStyle w:val="TableText"/>
            </w:pPr>
            <w:r w:rsidRPr="00217EA0">
              <w:t>Proposed test vs no test</w:t>
            </w:r>
          </w:p>
        </w:tc>
        <w:tc>
          <w:tcPr>
            <w:tcW w:w="343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7E503D" w14:textId="77777777" w:rsidR="002220AD" w:rsidRPr="00217EA0" w:rsidRDefault="002220AD" w:rsidP="00FE3A7F">
            <w:pPr>
              <w:pStyle w:val="TableText"/>
              <w:jc w:val="center"/>
              <w:rPr>
                <w:b/>
              </w:rPr>
            </w:pPr>
            <w:r w:rsidRPr="00217EA0">
              <w:t>No study</w:t>
            </w:r>
          </w:p>
        </w:tc>
      </w:tr>
      <w:tr w:rsidR="007900E9" w:rsidRPr="00217EA0" w14:paraId="0C1305CE" w14:textId="77777777" w:rsidTr="2914E55D">
        <w:tc>
          <w:tcPr>
            <w:tcW w:w="15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48C58" w14:textId="3DBA26E4" w:rsidR="002220AD" w:rsidRPr="00217EA0" w:rsidRDefault="002220AD" w:rsidP="00FE3A7F">
            <w:pPr>
              <w:pStyle w:val="TableText"/>
              <w:rPr>
                <w:vertAlign w:val="superscript"/>
              </w:rPr>
            </w:pPr>
            <w:r w:rsidRPr="00217EA0">
              <w:t>Proposed test vs alternative test</w:t>
            </w:r>
            <w:r w:rsidR="00436E93" w:rsidRPr="00217EA0">
              <w:t xml:space="preserve"> </w:t>
            </w:r>
            <w:r w:rsidR="00436E93" w:rsidRPr="00217EA0">
              <w:rPr>
                <w:vertAlign w:val="superscript"/>
              </w:rPr>
              <w:t>a</w:t>
            </w:r>
          </w:p>
        </w:tc>
        <w:tc>
          <w:tcPr>
            <w:tcW w:w="343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88E702" w14:textId="77777777" w:rsidR="002220AD" w:rsidRPr="00217EA0" w:rsidRDefault="002220AD" w:rsidP="00FE3A7F">
            <w:pPr>
              <w:pStyle w:val="TableText"/>
              <w:jc w:val="center"/>
              <w:rPr>
                <w:b/>
              </w:rPr>
            </w:pPr>
            <w:r w:rsidRPr="00217EA0">
              <w:rPr>
                <w:lang w:bidi="en-US"/>
              </w:rPr>
              <w:t>Silverman 2022 and F1CDx Technical Information, Zou 2023</w:t>
            </w:r>
          </w:p>
        </w:tc>
      </w:tr>
      <w:tr w:rsidR="007900E9" w:rsidRPr="00217EA0" w14:paraId="29F2E825" w14:textId="77777777" w:rsidTr="2914E55D">
        <w:tc>
          <w:tcPr>
            <w:tcW w:w="15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26DA7" w14:textId="77777777" w:rsidR="002220AD" w:rsidRPr="00217EA0" w:rsidRDefault="002220AD" w:rsidP="00FE3A7F">
            <w:pPr>
              <w:pStyle w:val="TableText"/>
            </w:pPr>
          </w:p>
        </w:tc>
        <w:tc>
          <w:tcPr>
            <w:tcW w:w="18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C573E3" w14:textId="24FF7135" w:rsidR="002220AD" w:rsidRPr="00217EA0" w:rsidRDefault="002220AD" w:rsidP="2914E55D">
            <w:pPr>
              <w:pStyle w:val="TableText"/>
              <w:jc w:val="center"/>
              <w:rPr>
                <w:b/>
                <w:bCs/>
              </w:rPr>
            </w:pPr>
            <w:proofErr w:type="spellStart"/>
            <w:r w:rsidRPr="00217EA0">
              <w:rPr>
                <w:b/>
                <w:bCs/>
              </w:rPr>
              <w:t>Futibatinib</w:t>
            </w:r>
            <w:proofErr w:type="spellEnd"/>
          </w:p>
        </w:tc>
        <w:tc>
          <w:tcPr>
            <w:tcW w:w="1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FBAB99" w14:textId="77777777" w:rsidR="002220AD" w:rsidRPr="00217EA0" w:rsidRDefault="002220AD" w:rsidP="00FE3A7F">
            <w:pPr>
              <w:pStyle w:val="TableText"/>
              <w:jc w:val="center"/>
              <w:rPr>
                <w:b/>
              </w:rPr>
            </w:pPr>
            <w:r w:rsidRPr="00217EA0">
              <w:rPr>
                <w:b/>
              </w:rPr>
              <w:t>SoC</w:t>
            </w:r>
          </w:p>
        </w:tc>
      </w:tr>
      <w:tr w:rsidR="007900E9" w:rsidRPr="00217EA0" w14:paraId="564B3A5B" w14:textId="77777777" w:rsidTr="2914E55D">
        <w:tc>
          <w:tcPr>
            <w:tcW w:w="15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0ABEE" w14:textId="6CC63140" w:rsidR="002220AD" w:rsidRPr="00217EA0" w:rsidRDefault="002220AD" w:rsidP="00FE3A7F">
            <w:pPr>
              <w:pStyle w:val="TableText"/>
            </w:pPr>
            <w:r w:rsidRPr="00217EA0">
              <w:t>Biomarker test positive</w:t>
            </w:r>
          </w:p>
        </w:tc>
        <w:tc>
          <w:tcPr>
            <w:tcW w:w="18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90B729" w14:textId="77777777" w:rsidR="002220AD" w:rsidRPr="00217EA0" w:rsidRDefault="002220AD" w:rsidP="00FE3A7F">
            <w:pPr>
              <w:pStyle w:val="TableText"/>
              <w:jc w:val="center"/>
            </w:pPr>
            <w:r w:rsidRPr="00217EA0">
              <w:t>FOENIX-CCA2</w:t>
            </w:r>
          </w:p>
        </w:tc>
        <w:tc>
          <w:tcPr>
            <w:tcW w:w="1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CF5060" w14:textId="77777777" w:rsidR="002220AD" w:rsidRPr="00217EA0" w:rsidRDefault="002220AD" w:rsidP="00FE3A7F">
            <w:pPr>
              <w:pStyle w:val="TableText"/>
              <w:jc w:val="center"/>
            </w:pPr>
            <w:r w:rsidRPr="00217EA0">
              <w:t>Jain 2018</w:t>
            </w:r>
          </w:p>
        </w:tc>
      </w:tr>
      <w:tr w:rsidR="007900E9" w:rsidRPr="00217EA0" w14:paraId="221D73C6" w14:textId="77777777" w:rsidTr="2914E55D">
        <w:tc>
          <w:tcPr>
            <w:tcW w:w="15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A99D7" w14:textId="474E9529" w:rsidR="002220AD" w:rsidRPr="00217EA0" w:rsidRDefault="002220AD" w:rsidP="00FE3A7F">
            <w:pPr>
              <w:pStyle w:val="TableText"/>
            </w:pPr>
            <w:r w:rsidRPr="00217EA0">
              <w:t>Biomarker test negative</w:t>
            </w:r>
            <w:r w:rsidRPr="00217EA0">
              <w:rPr>
                <w:b/>
                <w:bCs/>
              </w:rPr>
              <w:t xml:space="preserve"> </w:t>
            </w:r>
          </w:p>
        </w:tc>
        <w:tc>
          <w:tcPr>
            <w:tcW w:w="18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BC8C58" w14:textId="77777777" w:rsidR="002220AD" w:rsidRPr="00217EA0" w:rsidRDefault="002220AD" w:rsidP="00FE3A7F">
            <w:pPr>
              <w:pStyle w:val="TableText"/>
              <w:jc w:val="center"/>
            </w:pPr>
            <w:r w:rsidRPr="00217EA0">
              <w:t>No evidence presented</w:t>
            </w:r>
          </w:p>
        </w:tc>
        <w:tc>
          <w:tcPr>
            <w:tcW w:w="1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60F180" w14:textId="77777777" w:rsidR="002220AD" w:rsidRPr="00217EA0" w:rsidRDefault="002220AD" w:rsidP="00FE3A7F">
            <w:pPr>
              <w:pStyle w:val="TableText"/>
              <w:jc w:val="center"/>
            </w:pPr>
            <w:r w:rsidRPr="00217EA0">
              <w:t>Jain 2018; Niu 2024</w:t>
            </w:r>
          </w:p>
        </w:tc>
      </w:tr>
    </w:tbl>
    <w:p w14:paraId="3C27D869" w14:textId="215AC725" w:rsidR="00436E93" w:rsidRPr="00217EA0" w:rsidRDefault="002220AD" w:rsidP="00436E93">
      <w:pPr>
        <w:pStyle w:val="TableFooter"/>
      </w:pPr>
      <w:r w:rsidRPr="00217EA0">
        <w:t>Source: pp57-91 of the submission.</w:t>
      </w:r>
    </w:p>
    <w:p w14:paraId="064D12E4" w14:textId="587D1469" w:rsidR="00436E93" w:rsidRPr="00217EA0" w:rsidRDefault="00436E93" w:rsidP="002220AD">
      <w:pPr>
        <w:pStyle w:val="TableFooter"/>
      </w:pPr>
      <w:proofErr w:type="spellStart"/>
      <w:r w:rsidRPr="00217EA0">
        <w:rPr>
          <w:vertAlign w:val="superscript"/>
        </w:rPr>
        <w:t>a</w:t>
      </w:r>
      <w:proofErr w:type="spellEnd"/>
      <w:r w:rsidRPr="00217EA0">
        <w:t xml:space="preserve"> Alternative test is next generation sequencing on DNA. </w:t>
      </w:r>
    </w:p>
    <w:p w14:paraId="25D8AE55" w14:textId="4B2D225A" w:rsidR="00981467" w:rsidRPr="00217EA0" w:rsidRDefault="002220AD" w:rsidP="00C92CDC">
      <w:pPr>
        <w:pStyle w:val="TableFooter"/>
      </w:pPr>
      <w:r w:rsidRPr="00217EA0">
        <w:t xml:space="preserve">F1CDx = Foundation One </w:t>
      </w:r>
      <w:proofErr w:type="spellStart"/>
      <w:r w:rsidRPr="00217EA0">
        <w:t>CDx</w:t>
      </w:r>
      <w:proofErr w:type="spellEnd"/>
      <w:r w:rsidRPr="00217EA0">
        <w:t xml:space="preserve"> assay; SoC = standard of care</w:t>
      </w:r>
    </w:p>
    <w:p w14:paraId="04A4BAE4" w14:textId="390C1DC5" w:rsidR="00CE7A3F" w:rsidRPr="00D63AA3" w:rsidRDefault="00C6499E" w:rsidP="00D63AA3">
      <w:pPr>
        <w:pStyle w:val="4-SubsectionHeading"/>
        <w:rPr>
          <w:rFonts w:asciiTheme="minorHAnsi" w:hAnsiTheme="minorHAnsi"/>
          <w:lang w:eastAsia="en-US"/>
        </w:rPr>
      </w:pPr>
      <w:r w:rsidRPr="00D63AA3">
        <w:rPr>
          <w:rFonts w:asciiTheme="minorHAnsi" w:hAnsiTheme="minorHAnsi"/>
          <w:lang w:eastAsia="en-US"/>
        </w:rPr>
        <w:t xml:space="preserve">Clinical studies on the safety/effectiveness of </w:t>
      </w:r>
      <w:proofErr w:type="spellStart"/>
      <w:r w:rsidR="00C92CDC" w:rsidRPr="00D63AA3">
        <w:rPr>
          <w:rFonts w:asciiTheme="minorHAnsi" w:hAnsiTheme="minorHAnsi"/>
          <w:lang w:eastAsia="en-US"/>
        </w:rPr>
        <w:t>futibatinib</w:t>
      </w:r>
      <w:proofErr w:type="spellEnd"/>
      <w:r w:rsidR="00C92CDC" w:rsidRPr="00D63AA3">
        <w:rPr>
          <w:rFonts w:asciiTheme="minorHAnsi" w:hAnsiTheme="minorHAnsi"/>
          <w:lang w:eastAsia="en-US"/>
        </w:rPr>
        <w:t xml:space="preserve"> </w:t>
      </w:r>
    </w:p>
    <w:p w14:paraId="518B090D" w14:textId="1B14175B" w:rsidR="003A47EF" w:rsidRPr="00217EA0" w:rsidRDefault="003A47EF" w:rsidP="2914E55D">
      <w:pPr>
        <w:pStyle w:val="ListParagraph"/>
        <w:rPr>
          <w:color w:val="auto"/>
        </w:rPr>
      </w:pPr>
      <w:r w:rsidRPr="00217EA0">
        <w:rPr>
          <w:color w:val="auto"/>
        </w:rPr>
        <w:t>The submission was based on</w:t>
      </w:r>
      <w:r w:rsidR="000D0FFE" w:rsidRPr="00217EA0">
        <w:rPr>
          <w:color w:val="auto"/>
        </w:rPr>
        <w:t xml:space="preserve"> </w:t>
      </w:r>
      <w:r w:rsidRPr="00217EA0">
        <w:rPr>
          <w:color w:val="auto"/>
        </w:rPr>
        <w:t>FOENIX-CCA2, an open-label, single</w:t>
      </w:r>
      <w:r w:rsidR="008E220A" w:rsidRPr="00217EA0">
        <w:rPr>
          <w:color w:val="auto"/>
        </w:rPr>
        <w:t>-arm</w:t>
      </w:r>
      <w:r w:rsidRPr="00217EA0">
        <w:rPr>
          <w:color w:val="auto"/>
        </w:rPr>
        <w:t xml:space="preserve">, phase 2 trial of </w:t>
      </w:r>
      <w:proofErr w:type="spellStart"/>
      <w:r w:rsidRPr="00217EA0">
        <w:rPr>
          <w:color w:val="auto"/>
        </w:rPr>
        <w:t>futibatinib</w:t>
      </w:r>
      <w:proofErr w:type="spellEnd"/>
      <w:r w:rsidRPr="00217EA0">
        <w:rPr>
          <w:color w:val="auto"/>
        </w:rPr>
        <w:t xml:space="preserve"> in patients with unresectable or metastatic </w:t>
      </w:r>
      <w:r w:rsidR="003E5C46" w:rsidRPr="003E5C46">
        <w:rPr>
          <w:i/>
          <w:iCs/>
          <w:color w:val="auto"/>
        </w:rPr>
        <w:t>FGFR2</w:t>
      </w:r>
      <w:r w:rsidRPr="00217EA0">
        <w:rPr>
          <w:color w:val="auto"/>
        </w:rPr>
        <w:t xml:space="preserve"> fusion-positive or </w:t>
      </w:r>
      <w:r w:rsidR="003E5C46" w:rsidRPr="003E5C46">
        <w:rPr>
          <w:i/>
          <w:iCs/>
          <w:color w:val="auto"/>
        </w:rPr>
        <w:t>FGFR2</w:t>
      </w:r>
      <w:r w:rsidRPr="00217EA0">
        <w:rPr>
          <w:color w:val="auto"/>
        </w:rPr>
        <w:t xml:space="preserve"> rearrangement-positive </w:t>
      </w:r>
      <w:proofErr w:type="spellStart"/>
      <w:r w:rsidRPr="00217EA0">
        <w:rPr>
          <w:color w:val="auto"/>
        </w:rPr>
        <w:t>iCCA</w:t>
      </w:r>
      <w:proofErr w:type="spellEnd"/>
      <w:r w:rsidR="003F321B" w:rsidRPr="00217EA0">
        <w:rPr>
          <w:color w:val="auto"/>
        </w:rPr>
        <w:t>,</w:t>
      </w:r>
      <w:r w:rsidRPr="00217EA0">
        <w:rPr>
          <w:color w:val="auto"/>
        </w:rPr>
        <w:t xml:space="preserve"> and disease progression after one or more previous lines of systemic therapy; and</w:t>
      </w:r>
    </w:p>
    <w:p w14:paraId="5DE719F4" w14:textId="2AC76159" w:rsidR="003A47EF" w:rsidRPr="00217EA0" w:rsidRDefault="003A47EF" w:rsidP="001D5253">
      <w:pPr>
        <w:pStyle w:val="ListParagraph"/>
        <w:numPr>
          <w:ilvl w:val="0"/>
          <w:numId w:val="13"/>
        </w:numPr>
        <w:ind w:left="993" w:hanging="284"/>
        <w:rPr>
          <w:color w:val="auto"/>
        </w:rPr>
      </w:pPr>
      <w:r w:rsidRPr="00217EA0">
        <w:rPr>
          <w:color w:val="auto"/>
        </w:rPr>
        <w:t xml:space="preserve">ABC-06, an open-label randomised phase 3 trial of active symptom control (ASC) and FOLFOX in patients with locally advanced or metastatic biliary tract cancer (including </w:t>
      </w:r>
      <w:r w:rsidR="00DD04F5" w:rsidRPr="00217EA0">
        <w:rPr>
          <w:color w:val="auto"/>
        </w:rPr>
        <w:t>CCA</w:t>
      </w:r>
      <w:r w:rsidRPr="00217EA0">
        <w:rPr>
          <w:color w:val="auto"/>
        </w:rPr>
        <w:t xml:space="preserve"> and gallbladder or ampullary carcinoma).</w:t>
      </w:r>
    </w:p>
    <w:p w14:paraId="3D94B7C3" w14:textId="3DAD9D50" w:rsidR="003A47EF" w:rsidRPr="00217EA0" w:rsidRDefault="003A47EF" w:rsidP="2914E55D">
      <w:pPr>
        <w:pStyle w:val="ListParagraph"/>
        <w:rPr>
          <w:color w:val="auto"/>
        </w:rPr>
      </w:pPr>
      <w:r w:rsidRPr="00217EA0">
        <w:rPr>
          <w:color w:val="auto"/>
        </w:rPr>
        <w:t xml:space="preserve">FOENIX-CCA2 and ABC-06 formed the basis of an unanchored matched adjusted indirect comparison (MAIC) of </w:t>
      </w:r>
      <w:proofErr w:type="spellStart"/>
      <w:r w:rsidRPr="00217EA0">
        <w:rPr>
          <w:color w:val="auto"/>
        </w:rPr>
        <w:t>futibatinib</w:t>
      </w:r>
      <w:proofErr w:type="spellEnd"/>
      <w:r w:rsidRPr="00217EA0">
        <w:rPr>
          <w:color w:val="auto"/>
        </w:rPr>
        <w:t xml:space="preserve"> versus FOLFOX </w:t>
      </w:r>
      <w:r w:rsidR="00D063E1" w:rsidRPr="00217EA0">
        <w:rPr>
          <w:color w:val="auto"/>
        </w:rPr>
        <w:t xml:space="preserve">on the outcomes of progression free survival (PFS), overall survival (OS) and objective response rate (ORR) </w:t>
      </w:r>
      <w:r w:rsidRPr="00217EA0">
        <w:rPr>
          <w:color w:val="auto"/>
        </w:rPr>
        <w:t xml:space="preserve">in advanced CCA presented to support a claim of superior efficacy for </w:t>
      </w:r>
      <w:proofErr w:type="spellStart"/>
      <w:r w:rsidRPr="00217EA0">
        <w:rPr>
          <w:color w:val="auto"/>
        </w:rPr>
        <w:t>futibatinib</w:t>
      </w:r>
      <w:proofErr w:type="spellEnd"/>
      <w:r w:rsidRPr="00217EA0">
        <w:rPr>
          <w:color w:val="auto"/>
        </w:rPr>
        <w:t xml:space="preserve">. Additionally, a MAIC of </w:t>
      </w:r>
      <w:proofErr w:type="spellStart"/>
      <w:r w:rsidRPr="00217EA0">
        <w:rPr>
          <w:color w:val="auto"/>
        </w:rPr>
        <w:t>futibatinib</w:t>
      </w:r>
      <w:proofErr w:type="spellEnd"/>
      <w:r w:rsidRPr="00217EA0">
        <w:rPr>
          <w:color w:val="auto"/>
        </w:rPr>
        <w:t xml:space="preserve"> compared to ASC </w:t>
      </w:r>
      <w:r w:rsidR="00DD04F5" w:rsidRPr="00217EA0">
        <w:rPr>
          <w:color w:val="auto"/>
        </w:rPr>
        <w:t xml:space="preserve">for </w:t>
      </w:r>
      <w:r w:rsidR="00D063E1" w:rsidRPr="00217EA0">
        <w:rPr>
          <w:color w:val="auto"/>
        </w:rPr>
        <w:t xml:space="preserve">OS </w:t>
      </w:r>
      <w:r w:rsidRPr="00217EA0">
        <w:rPr>
          <w:color w:val="auto"/>
        </w:rPr>
        <w:t>was also presented.</w:t>
      </w:r>
    </w:p>
    <w:p w14:paraId="762EAF5D" w14:textId="4035634E" w:rsidR="00F72BF2" w:rsidRPr="00217EA0" w:rsidRDefault="00F72BF2" w:rsidP="00F72BF2">
      <w:pPr>
        <w:pStyle w:val="ListParagraph"/>
        <w:rPr>
          <w:color w:val="auto"/>
        </w:rPr>
      </w:pPr>
      <w:r w:rsidRPr="00217EA0">
        <w:rPr>
          <w:color w:val="auto"/>
        </w:rPr>
        <w:t xml:space="preserve">Details of the </w:t>
      </w:r>
      <w:r w:rsidR="003A47EF" w:rsidRPr="00217EA0">
        <w:rPr>
          <w:color w:val="auto"/>
        </w:rPr>
        <w:t>studies</w:t>
      </w:r>
      <w:r w:rsidRPr="00217EA0">
        <w:rPr>
          <w:color w:val="auto"/>
        </w:rPr>
        <w:t xml:space="preserve"> presented in the submission are provided in </w:t>
      </w:r>
      <w:r w:rsidR="003A47EF" w:rsidRPr="00217EA0">
        <w:rPr>
          <w:color w:val="auto"/>
        </w:rPr>
        <w:fldChar w:fldCharType="begin"/>
      </w:r>
      <w:r w:rsidR="003A47EF" w:rsidRPr="00217EA0">
        <w:rPr>
          <w:color w:val="auto"/>
        </w:rPr>
        <w:instrText xml:space="preserve"> REF _Ref184811437 \h </w:instrText>
      </w:r>
      <w:r w:rsidR="00EC070E" w:rsidRPr="00217EA0">
        <w:rPr>
          <w:color w:val="auto"/>
        </w:rPr>
        <w:instrText xml:space="preserve"> \* MERGEFORMAT </w:instrText>
      </w:r>
      <w:r w:rsidR="003A47EF" w:rsidRPr="00217EA0">
        <w:rPr>
          <w:color w:val="auto"/>
        </w:rPr>
      </w:r>
      <w:r w:rsidR="003A47EF" w:rsidRPr="00217EA0">
        <w:rPr>
          <w:color w:val="auto"/>
        </w:rPr>
        <w:fldChar w:fldCharType="separate"/>
      </w:r>
      <w:r w:rsidR="008378C4" w:rsidRPr="00217EA0">
        <w:t>Table</w:t>
      </w:r>
      <w:r w:rsidR="008378C4">
        <w:t xml:space="preserve"> 5</w:t>
      </w:r>
      <w:r w:rsidR="003A47EF" w:rsidRPr="00217EA0">
        <w:rPr>
          <w:color w:val="auto"/>
        </w:rPr>
        <w:fldChar w:fldCharType="end"/>
      </w:r>
      <w:r w:rsidRPr="00217EA0">
        <w:rPr>
          <w:color w:val="auto"/>
        </w:rPr>
        <w:t xml:space="preserve">. </w:t>
      </w:r>
    </w:p>
    <w:p w14:paraId="2F67E59E" w14:textId="23239F0E" w:rsidR="003A47EF" w:rsidRPr="00217EA0" w:rsidRDefault="00C164A4" w:rsidP="00FA13F3">
      <w:pPr>
        <w:pStyle w:val="Caption"/>
        <w:rPr>
          <w:rStyle w:val="CommentReference"/>
          <w:b/>
          <w:iCs w:val="0"/>
          <w:szCs w:val="18"/>
        </w:rPr>
      </w:pPr>
      <w:bookmarkStart w:id="21" w:name="_Ref184811437"/>
      <w:r w:rsidRPr="00217EA0">
        <w:t>Table</w:t>
      </w:r>
      <w:r w:rsidR="008B3F97">
        <w:t xml:space="preserve"> </w:t>
      </w:r>
      <w:r w:rsidR="00E600E3" w:rsidRPr="00217EA0">
        <w:fldChar w:fldCharType="begin"/>
      </w:r>
      <w:r w:rsidR="00E600E3" w:rsidRPr="00217EA0">
        <w:instrText xml:space="preserve"> SEQ Table_PBAC. \* ARABIC </w:instrText>
      </w:r>
      <w:r w:rsidR="00E600E3" w:rsidRPr="00217EA0">
        <w:fldChar w:fldCharType="separate"/>
      </w:r>
      <w:r w:rsidR="008378C4">
        <w:rPr>
          <w:noProof/>
        </w:rPr>
        <w:t>5</w:t>
      </w:r>
      <w:r w:rsidR="00E600E3" w:rsidRPr="00217EA0">
        <w:fldChar w:fldCharType="end"/>
      </w:r>
      <w:bookmarkEnd w:id="21"/>
      <w:r w:rsidR="00D5648A">
        <w:t xml:space="preserve">: </w:t>
      </w:r>
      <w:r w:rsidR="003A47EF" w:rsidRPr="00217EA0">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1E0" w:firstRow="1" w:lastRow="1" w:firstColumn="1" w:lastColumn="1" w:noHBand="0" w:noVBand="0"/>
        <w:tblCaption w:val="Table 5: Trials and associated reports presented in the submission"/>
      </w:tblPr>
      <w:tblGrid>
        <w:gridCol w:w="1434"/>
        <w:gridCol w:w="5054"/>
        <w:gridCol w:w="2528"/>
      </w:tblGrid>
      <w:tr w:rsidR="007900E9" w:rsidRPr="00217EA0" w14:paraId="2A4EC9C0" w14:textId="77777777" w:rsidTr="2914E55D">
        <w:trPr>
          <w:cantSplit/>
          <w:tblHeader/>
        </w:trPr>
        <w:tc>
          <w:tcPr>
            <w:tcW w:w="795" w:type="pct"/>
            <w:tcBorders>
              <w:top w:val="single" w:sz="4" w:space="0" w:color="auto"/>
              <w:bottom w:val="single" w:sz="4" w:space="0" w:color="auto"/>
            </w:tcBorders>
            <w:vAlign w:val="center"/>
          </w:tcPr>
          <w:p w14:paraId="3FE0B71D" w14:textId="77777777" w:rsidR="003A47EF" w:rsidRPr="00217EA0" w:rsidRDefault="003A47EF" w:rsidP="00FE3A7F">
            <w:pPr>
              <w:pStyle w:val="In-tableHeading"/>
              <w:jc w:val="center"/>
              <w:rPr>
                <w:lang w:val="en-AU"/>
              </w:rPr>
            </w:pPr>
            <w:r w:rsidRPr="00217EA0">
              <w:rPr>
                <w:lang w:val="en-AU"/>
              </w:rPr>
              <w:t>Trial ID</w:t>
            </w:r>
          </w:p>
        </w:tc>
        <w:tc>
          <w:tcPr>
            <w:tcW w:w="2803" w:type="pct"/>
            <w:tcBorders>
              <w:top w:val="single" w:sz="4" w:space="0" w:color="auto"/>
              <w:bottom w:val="single" w:sz="4" w:space="0" w:color="auto"/>
            </w:tcBorders>
            <w:vAlign w:val="center"/>
          </w:tcPr>
          <w:p w14:paraId="2ADDAFC6" w14:textId="77777777" w:rsidR="003A47EF" w:rsidRPr="00217EA0" w:rsidRDefault="003A47EF" w:rsidP="00FE3A7F">
            <w:pPr>
              <w:pStyle w:val="In-tableHeading"/>
              <w:rPr>
                <w:lang w:val="en-AU"/>
              </w:rPr>
            </w:pPr>
            <w:r w:rsidRPr="00217EA0">
              <w:rPr>
                <w:lang w:val="en-AU"/>
              </w:rPr>
              <w:t>Protocol title/ Publication title</w:t>
            </w:r>
          </w:p>
        </w:tc>
        <w:tc>
          <w:tcPr>
            <w:tcW w:w="1402" w:type="pct"/>
            <w:tcBorders>
              <w:top w:val="single" w:sz="4" w:space="0" w:color="auto"/>
              <w:bottom w:val="single" w:sz="4" w:space="0" w:color="auto"/>
            </w:tcBorders>
            <w:vAlign w:val="center"/>
          </w:tcPr>
          <w:p w14:paraId="15AD0969" w14:textId="77777777" w:rsidR="003A47EF" w:rsidRPr="00217EA0" w:rsidRDefault="003A47EF" w:rsidP="00FE3A7F">
            <w:pPr>
              <w:pStyle w:val="In-tableHeading"/>
              <w:rPr>
                <w:lang w:val="en-AU"/>
              </w:rPr>
            </w:pPr>
            <w:r w:rsidRPr="00217EA0">
              <w:rPr>
                <w:lang w:val="en-AU"/>
              </w:rPr>
              <w:t>Publication citation</w:t>
            </w:r>
          </w:p>
        </w:tc>
      </w:tr>
      <w:tr w:rsidR="007900E9" w:rsidRPr="00217EA0" w14:paraId="4DABAA4F" w14:textId="77777777" w:rsidTr="2914E55D">
        <w:trPr>
          <w:cantSplit/>
        </w:trPr>
        <w:tc>
          <w:tcPr>
            <w:tcW w:w="795" w:type="pct"/>
            <w:vMerge w:val="restart"/>
            <w:tcBorders>
              <w:top w:val="single" w:sz="4" w:space="0" w:color="auto"/>
            </w:tcBorders>
            <w:vAlign w:val="center"/>
          </w:tcPr>
          <w:p w14:paraId="6D76CE87" w14:textId="77777777" w:rsidR="007925DA" w:rsidRPr="00217EA0" w:rsidRDefault="007925DA" w:rsidP="007925DA">
            <w:pPr>
              <w:pStyle w:val="TableText"/>
            </w:pPr>
            <w:r w:rsidRPr="00217EA0">
              <w:t>FOENIX-CCA2</w:t>
            </w:r>
          </w:p>
          <w:p w14:paraId="01DDFAD9" w14:textId="77777777" w:rsidR="007925DA" w:rsidRPr="00217EA0" w:rsidRDefault="007925DA" w:rsidP="007925DA">
            <w:pPr>
              <w:pStyle w:val="TableText"/>
            </w:pPr>
            <w:r w:rsidRPr="00217EA0">
              <w:t>NCT02052778</w:t>
            </w:r>
          </w:p>
          <w:p w14:paraId="3BECF63A" w14:textId="77777777" w:rsidR="007925DA" w:rsidRPr="00217EA0" w:rsidRDefault="007925DA" w:rsidP="007925DA">
            <w:pPr>
              <w:pStyle w:val="TableText"/>
            </w:pPr>
            <w:r w:rsidRPr="00217EA0">
              <w:t>TAS-120-101</w:t>
            </w:r>
          </w:p>
          <w:p w14:paraId="0CAEED09" w14:textId="77777777" w:rsidR="007925DA" w:rsidRPr="00217EA0" w:rsidRDefault="007925DA" w:rsidP="007925DA">
            <w:pPr>
              <w:pStyle w:val="TableText"/>
            </w:pPr>
            <w:r w:rsidRPr="00217EA0">
              <w:t>EUCT2013-004810-16</w:t>
            </w:r>
          </w:p>
          <w:p w14:paraId="1528FC76" w14:textId="2DC83435" w:rsidR="007925DA" w:rsidRPr="00217EA0" w:rsidRDefault="007925DA" w:rsidP="007925DA">
            <w:pPr>
              <w:pStyle w:val="TableText"/>
            </w:pPr>
            <w:r w:rsidRPr="00217EA0">
              <w:t>JapicCTI-184178</w:t>
            </w:r>
          </w:p>
        </w:tc>
        <w:tc>
          <w:tcPr>
            <w:tcW w:w="2803" w:type="pct"/>
            <w:tcBorders>
              <w:top w:val="single" w:sz="4" w:space="0" w:color="auto"/>
            </w:tcBorders>
            <w:vAlign w:val="center"/>
          </w:tcPr>
          <w:p w14:paraId="6069E9FF" w14:textId="77777777" w:rsidR="007925DA" w:rsidRPr="00217EA0" w:rsidRDefault="007925DA" w:rsidP="00FE3A7F">
            <w:pPr>
              <w:pStyle w:val="TableText"/>
            </w:pPr>
            <w:r w:rsidRPr="00217EA0">
              <w:t xml:space="preserve">Clinical Study Report TAS-120-101 Part 1, Phase 1/2, dose escalation and dose expansion </w:t>
            </w:r>
          </w:p>
        </w:tc>
        <w:tc>
          <w:tcPr>
            <w:tcW w:w="1402" w:type="pct"/>
            <w:tcBorders>
              <w:top w:val="single" w:sz="4" w:space="0" w:color="auto"/>
            </w:tcBorders>
            <w:vAlign w:val="center"/>
          </w:tcPr>
          <w:p w14:paraId="5A42BF24" w14:textId="77777777" w:rsidR="007925DA" w:rsidRPr="00217EA0" w:rsidRDefault="007925DA" w:rsidP="00FE3A7F">
            <w:pPr>
              <w:pStyle w:val="TableText"/>
            </w:pPr>
            <w:r w:rsidRPr="00217EA0">
              <w:t>12 August 2021</w:t>
            </w:r>
          </w:p>
        </w:tc>
      </w:tr>
      <w:tr w:rsidR="007900E9" w:rsidRPr="00217EA0" w14:paraId="38D745E2" w14:textId="77777777" w:rsidTr="2914E55D">
        <w:trPr>
          <w:cantSplit/>
        </w:trPr>
        <w:tc>
          <w:tcPr>
            <w:tcW w:w="795" w:type="pct"/>
            <w:vMerge/>
            <w:vAlign w:val="center"/>
          </w:tcPr>
          <w:p w14:paraId="4DB1778F" w14:textId="77777777" w:rsidR="007925DA" w:rsidRPr="00217EA0" w:rsidRDefault="007925DA" w:rsidP="00FE3A7F">
            <w:pPr>
              <w:pStyle w:val="TableText"/>
            </w:pPr>
          </w:p>
        </w:tc>
        <w:tc>
          <w:tcPr>
            <w:tcW w:w="2803" w:type="pct"/>
            <w:vAlign w:val="center"/>
          </w:tcPr>
          <w:p w14:paraId="2C448124" w14:textId="77777777" w:rsidR="007925DA" w:rsidRPr="00217EA0" w:rsidRDefault="007925DA" w:rsidP="00FE3A7F">
            <w:pPr>
              <w:pStyle w:val="TableText"/>
            </w:pPr>
            <w:r w:rsidRPr="00217EA0">
              <w:t>Clinical Study Report TAS-120-101b Part 2, Phase 2 (</w:t>
            </w:r>
          </w:p>
        </w:tc>
        <w:tc>
          <w:tcPr>
            <w:tcW w:w="1402" w:type="pct"/>
            <w:vAlign w:val="center"/>
          </w:tcPr>
          <w:p w14:paraId="5B1B13E6" w14:textId="77777777" w:rsidR="007925DA" w:rsidRPr="00217EA0" w:rsidRDefault="007925DA" w:rsidP="00FE3A7F">
            <w:pPr>
              <w:pStyle w:val="TableText"/>
            </w:pPr>
            <w:r w:rsidRPr="00217EA0">
              <w:t>4 August 2021</w:t>
            </w:r>
          </w:p>
        </w:tc>
      </w:tr>
      <w:tr w:rsidR="007900E9" w:rsidRPr="00217EA0" w14:paraId="7FF16A92" w14:textId="77777777" w:rsidTr="2914E55D">
        <w:trPr>
          <w:cantSplit/>
        </w:trPr>
        <w:tc>
          <w:tcPr>
            <w:tcW w:w="795" w:type="pct"/>
            <w:vMerge/>
            <w:vAlign w:val="center"/>
          </w:tcPr>
          <w:p w14:paraId="35A0B516" w14:textId="77777777" w:rsidR="007925DA" w:rsidRPr="00217EA0" w:rsidRDefault="007925DA" w:rsidP="00FE3A7F">
            <w:pPr>
              <w:pStyle w:val="TableText"/>
            </w:pPr>
          </w:p>
        </w:tc>
        <w:tc>
          <w:tcPr>
            <w:tcW w:w="2803" w:type="pct"/>
            <w:vAlign w:val="center"/>
          </w:tcPr>
          <w:p w14:paraId="714FD97E" w14:textId="77777777" w:rsidR="007925DA" w:rsidRPr="00217EA0" w:rsidRDefault="007925DA" w:rsidP="00FE3A7F">
            <w:pPr>
              <w:pStyle w:val="TableText"/>
            </w:pPr>
            <w:r w:rsidRPr="00217EA0">
              <w:t>TAS-120-101 Clinical Study Report Addendum</w:t>
            </w:r>
          </w:p>
        </w:tc>
        <w:tc>
          <w:tcPr>
            <w:tcW w:w="1402" w:type="pct"/>
            <w:vAlign w:val="center"/>
          </w:tcPr>
          <w:p w14:paraId="1F57A213" w14:textId="77777777" w:rsidR="007925DA" w:rsidRPr="00217EA0" w:rsidRDefault="007925DA" w:rsidP="00FE3A7F">
            <w:pPr>
              <w:pStyle w:val="TableText"/>
            </w:pPr>
            <w:r w:rsidRPr="00217EA0">
              <w:t>30th October 2021</w:t>
            </w:r>
          </w:p>
        </w:tc>
      </w:tr>
      <w:tr w:rsidR="007900E9" w:rsidRPr="00217EA0" w14:paraId="3C6BE76D" w14:textId="77777777" w:rsidTr="2914E55D">
        <w:trPr>
          <w:cantSplit/>
        </w:trPr>
        <w:tc>
          <w:tcPr>
            <w:tcW w:w="795" w:type="pct"/>
            <w:vMerge/>
            <w:vAlign w:val="center"/>
          </w:tcPr>
          <w:p w14:paraId="6B9261AA" w14:textId="77777777" w:rsidR="007925DA" w:rsidRPr="00217EA0" w:rsidRDefault="007925DA" w:rsidP="00FE3A7F">
            <w:pPr>
              <w:pStyle w:val="TableText"/>
            </w:pPr>
          </w:p>
        </w:tc>
        <w:tc>
          <w:tcPr>
            <w:tcW w:w="2803" w:type="pct"/>
            <w:vAlign w:val="center"/>
          </w:tcPr>
          <w:p w14:paraId="69B9B5E9" w14:textId="6A2F9091" w:rsidR="007925DA" w:rsidRPr="00217EA0" w:rsidRDefault="007925DA" w:rsidP="00FE3A7F">
            <w:pPr>
              <w:pStyle w:val="TableText"/>
            </w:pPr>
            <w:r w:rsidRPr="00217EA0">
              <w:t xml:space="preserve">Goyal, L., Meric-Bernstam, F., </w:t>
            </w:r>
            <w:proofErr w:type="spellStart"/>
            <w:r w:rsidRPr="00217EA0">
              <w:t>Hollebecque</w:t>
            </w:r>
            <w:proofErr w:type="spellEnd"/>
            <w:r w:rsidRPr="00217EA0">
              <w:t xml:space="preserve">, A., Valle, J. W., </w:t>
            </w:r>
            <w:proofErr w:type="spellStart"/>
            <w:r w:rsidRPr="00217EA0">
              <w:t>Morizane</w:t>
            </w:r>
            <w:proofErr w:type="spellEnd"/>
            <w:r w:rsidRPr="00217EA0">
              <w:t xml:space="preserve">, C., &amp; et al. </w:t>
            </w:r>
            <w:proofErr w:type="spellStart"/>
            <w:r w:rsidRPr="00217EA0">
              <w:t>Futibatinib</w:t>
            </w:r>
            <w:proofErr w:type="spellEnd"/>
            <w:r w:rsidRPr="00217EA0">
              <w:t xml:space="preserve"> for </w:t>
            </w:r>
            <w:r w:rsidR="003E5C46" w:rsidRPr="003E5C46">
              <w:rPr>
                <w:i/>
                <w:iCs/>
              </w:rPr>
              <w:t>FGFR2</w:t>
            </w:r>
            <w:r w:rsidRPr="00217EA0">
              <w:t xml:space="preserve">-Rearranged Intrahepatic Cholangiocarcinoma. </w:t>
            </w:r>
          </w:p>
        </w:tc>
        <w:tc>
          <w:tcPr>
            <w:tcW w:w="1402" w:type="pct"/>
            <w:vAlign w:val="center"/>
          </w:tcPr>
          <w:p w14:paraId="14848EED" w14:textId="77777777" w:rsidR="007925DA" w:rsidRPr="00217EA0" w:rsidRDefault="007925DA" w:rsidP="00FE3A7F">
            <w:pPr>
              <w:pStyle w:val="TableText"/>
            </w:pPr>
            <w:r w:rsidRPr="00217EA0">
              <w:t>NEJM 2023; 388:228-39.</w:t>
            </w:r>
          </w:p>
        </w:tc>
      </w:tr>
      <w:tr w:rsidR="007900E9" w:rsidRPr="00217EA0" w14:paraId="2E405145" w14:textId="77777777" w:rsidTr="2914E55D">
        <w:trPr>
          <w:cantSplit/>
        </w:trPr>
        <w:tc>
          <w:tcPr>
            <w:tcW w:w="795" w:type="pct"/>
            <w:vMerge/>
            <w:vAlign w:val="center"/>
          </w:tcPr>
          <w:p w14:paraId="16DB64D2" w14:textId="77777777" w:rsidR="007925DA" w:rsidRPr="00217EA0" w:rsidRDefault="007925DA" w:rsidP="00FE3A7F">
            <w:pPr>
              <w:pStyle w:val="TableText"/>
            </w:pPr>
          </w:p>
        </w:tc>
        <w:tc>
          <w:tcPr>
            <w:tcW w:w="2803" w:type="pct"/>
            <w:vAlign w:val="center"/>
          </w:tcPr>
          <w:p w14:paraId="79B797E1" w14:textId="1A5A611D" w:rsidR="007925DA" w:rsidRPr="00217EA0" w:rsidRDefault="007925DA" w:rsidP="00FE3A7F">
            <w:pPr>
              <w:pStyle w:val="TableText"/>
            </w:pPr>
            <w:r w:rsidRPr="00217EA0">
              <w:t xml:space="preserve">Meric-Bernstam, F., </w:t>
            </w:r>
            <w:proofErr w:type="spellStart"/>
            <w:r w:rsidRPr="00217EA0">
              <w:t>Hollebecque</w:t>
            </w:r>
            <w:proofErr w:type="spellEnd"/>
            <w:r w:rsidRPr="00217EA0">
              <w:t xml:space="preserve">, A., Furuse, J., Oh, D., Bridgewater, J. A., Shimura M, Anderson B, Hangai N, </w:t>
            </w:r>
            <w:proofErr w:type="spellStart"/>
            <w:r w:rsidRPr="00217EA0">
              <w:t>Wacheck</w:t>
            </w:r>
            <w:proofErr w:type="spellEnd"/>
            <w:r w:rsidRPr="00217EA0">
              <w:t xml:space="preserve"> V and Goyal L. Safety Profile and Adverse Event Management for </w:t>
            </w:r>
            <w:proofErr w:type="spellStart"/>
            <w:r w:rsidRPr="00217EA0">
              <w:t>Futibatinib</w:t>
            </w:r>
            <w:proofErr w:type="spellEnd"/>
            <w:r w:rsidRPr="00217EA0">
              <w:t>, An Irreversible FGFR1-4 Inhibitor: Pooled Safety Analysis of 469 Patients.</w:t>
            </w:r>
          </w:p>
        </w:tc>
        <w:tc>
          <w:tcPr>
            <w:tcW w:w="1402" w:type="pct"/>
            <w:vAlign w:val="center"/>
          </w:tcPr>
          <w:p w14:paraId="134A8E43" w14:textId="77777777" w:rsidR="007925DA" w:rsidRPr="00217EA0" w:rsidRDefault="007925DA" w:rsidP="00FE3A7F">
            <w:pPr>
              <w:pStyle w:val="TableText"/>
            </w:pPr>
            <w:r w:rsidRPr="00217EA0">
              <w:t>Clin Cancer Res 2024; 30(8):1466-1477.</w:t>
            </w:r>
          </w:p>
        </w:tc>
      </w:tr>
      <w:tr w:rsidR="007900E9" w:rsidRPr="00217EA0" w14:paraId="5DD818A6" w14:textId="77777777" w:rsidTr="2914E55D">
        <w:trPr>
          <w:cantSplit/>
        </w:trPr>
        <w:tc>
          <w:tcPr>
            <w:tcW w:w="795" w:type="pct"/>
            <w:vMerge/>
            <w:vAlign w:val="center"/>
          </w:tcPr>
          <w:p w14:paraId="747A8EFE" w14:textId="77777777" w:rsidR="007925DA" w:rsidRPr="00217EA0" w:rsidRDefault="007925DA" w:rsidP="00FE3A7F">
            <w:pPr>
              <w:pStyle w:val="TableText"/>
            </w:pPr>
          </w:p>
        </w:tc>
        <w:tc>
          <w:tcPr>
            <w:tcW w:w="2803" w:type="pct"/>
            <w:vAlign w:val="center"/>
          </w:tcPr>
          <w:p w14:paraId="1CCC98B1" w14:textId="43A0FBC2" w:rsidR="007925DA" w:rsidRPr="00217EA0" w:rsidRDefault="007925DA" w:rsidP="00FE3A7F">
            <w:pPr>
              <w:pStyle w:val="TableText"/>
            </w:pPr>
            <w:proofErr w:type="spellStart"/>
            <w:r w:rsidRPr="00217EA0">
              <w:t>Bahleda</w:t>
            </w:r>
            <w:proofErr w:type="spellEnd"/>
            <w:r w:rsidRPr="00217EA0">
              <w:t xml:space="preserve">, R., et al. Phase I, first-in-human study of </w:t>
            </w:r>
            <w:proofErr w:type="spellStart"/>
            <w:r w:rsidRPr="00217EA0">
              <w:t>futibatinib</w:t>
            </w:r>
            <w:proofErr w:type="spellEnd"/>
            <w:r w:rsidRPr="00217EA0">
              <w:t xml:space="preserve">, a highly selective, irreversible FGFR1-4 inhibitor in patients with advanced solid </w:t>
            </w:r>
            <w:proofErr w:type="spellStart"/>
            <w:r w:rsidRPr="00217EA0">
              <w:t>tumors</w:t>
            </w:r>
            <w:proofErr w:type="spellEnd"/>
            <w:r w:rsidRPr="00217EA0">
              <w:t>.</w:t>
            </w:r>
          </w:p>
        </w:tc>
        <w:tc>
          <w:tcPr>
            <w:tcW w:w="1402" w:type="pct"/>
            <w:vAlign w:val="center"/>
          </w:tcPr>
          <w:p w14:paraId="700A7FDC" w14:textId="77777777" w:rsidR="007925DA" w:rsidRPr="00217EA0" w:rsidRDefault="007925DA" w:rsidP="00FE3A7F">
            <w:pPr>
              <w:pStyle w:val="TableText"/>
            </w:pPr>
            <w:r w:rsidRPr="00217EA0">
              <w:t>Ann Oncol 2020; 31(10): 1405-1412.</w:t>
            </w:r>
          </w:p>
        </w:tc>
      </w:tr>
      <w:tr w:rsidR="007900E9" w:rsidRPr="00217EA0" w14:paraId="30E649E6" w14:textId="77777777" w:rsidTr="2914E55D">
        <w:trPr>
          <w:cantSplit/>
        </w:trPr>
        <w:tc>
          <w:tcPr>
            <w:tcW w:w="795" w:type="pct"/>
            <w:vMerge/>
            <w:vAlign w:val="center"/>
          </w:tcPr>
          <w:p w14:paraId="76EAE183" w14:textId="77777777" w:rsidR="007925DA" w:rsidRPr="00217EA0" w:rsidRDefault="007925DA" w:rsidP="00FE3A7F">
            <w:pPr>
              <w:pStyle w:val="TableText"/>
            </w:pPr>
          </w:p>
        </w:tc>
        <w:tc>
          <w:tcPr>
            <w:tcW w:w="2803" w:type="pct"/>
            <w:vAlign w:val="center"/>
          </w:tcPr>
          <w:p w14:paraId="2BDA5787" w14:textId="3DC9F6A6" w:rsidR="007925DA" w:rsidRPr="00217EA0" w:rsidRDefault="007925DA" w:rsidP="00FE3A7F">
            <w:pPr>
              <w:pStyle w:val="TableText"/>
            </w:pPr>
            <w:proofErr w:type="spellStart"/>
            <w:r w:rsidRPr="00217EA0">
              <w:t>Möhler</w:t>
            </w:r>
            <w:proofErr w:type="spellEnd"/>
            <w:r w:rsidRPr="00217EA0">
              <w:t xml:space="preserve">, et al. Foenix-CCA2 quality of life data for </w:t>
            </w:r>
            <w:proofErr w:type="spellStart"/>
            <w:r w:rsidRPr="00217EA0">
              <w:t>Futibatinib</w:t>
            </w:r>
            <w:proofErr w:type="spellEnd"/>
            <w:r w:rsidRPr="00217EA0">
              <w:t xml:space="preserve">-treated intrahepatic cholangiocarcinoma (ICCA) patients with </w:t>
            </w:r>
            <w:r w:rsidR="003E5C46" w:rsidRPr="003E5C46">
              <w:rPr>
                <w:i/>
                <w:iCs/>
              </w:rPr>
              <w:t>FGFR2</w:t>
            </w:r>
            <w:r w:rsidRPr="00217EA0">
              <w:t xml:space="preserve"> fusions/rearrangements.</w:t>
            </w:r>
          </w:p>
          <w:p w14:paraId="725C8FF6" w14:textId="77777777" w:rsidR="007925DA" w:rsidRPr="00217EA0" w:rsidRDefault="007925DA" w:rsidP="00FE3A7F">
            <w:pPr>
              <w:pStyle w:val="TableText"/>
            </w:pPr>
          </w:p>
        </w:tc>
        <w:tc>
          <w:tcPr>
            <w:tcW w:w="1402" w:type="pct"/>
            <w:vAlign w:val="center"/>
          </w:tcPr>
          <w:p w14:paraId="640BB9DD" w14:textId="77777777" w:rsidR="007925DA" w:rsidRPr="00217EA0" w:rsidRDefault="007925DA" w:rsidP="00FE3A7F">
            <w:pPr>
              <w:pStyle w:val="TableText"/>
            </w:pPr>
            <w:r w:rsidRPr="00217EA0">
              <w:t>Oncology Research and Treatment 2021; 44(SUPPL 2), 223-224. [abstract]</w:t>
            </w:r>
          </w:p>
        </w:tc>
      </w:tr>
      <w:tr w:rsidR="007900E9" w:rsidRPr="00217EA0" w14:paraId="6B6013DB" w14:textId="77777777" w:rsidTr="7FE46B99">
        <w:trPr>
          <w:cantSplit/>
        </w:trPr>
        <w:tc>
          <w:tcPr>
            <w:tcW w:w="795" w:type="pct"/>
            <w:vMerge/>
            <w:vAlign w:val="center"/>
          </w:tcPr>
          <w:p w14:paraId="07B7ABB0" w14:textId="77777777" w:rsidR="007925DA" w:rsidRPr="00217EA0" w:rsidRDefault="007925DA" w:rsidP="00FE3A7F">
            <w:pPr>
              <w:pStyle w:val="TableText"/>
            </w:pPr>
          </w:p>
        </w:tc>
        <w:tc>
          <w:tcPr>
            <w:tcW w:w="2803" w:type="pct"/>
            <w:tcBorders>
              <w:bottom w:val="single" w:sz="4" w:space="0" w:color="auto"/>
            </w:tcBorders>
            <w:vAlign w:val="center"/>
          </w:tcPr>
          <w:p w14:paraId="2C422381" w14:textId="08080E55" w:rsidR="007925DA" w:rsidRPr="00217EA0" w:rsidRDefault="007925DA" w:rsidP="00FE3A7F">
            <w:pPr>
              <w:pStyle w:val="TableText"/>
            </w:pPr>
            <w:r w:rsidRPr="00217EA0">
              <w:t xml:space="preserve">Valle, et al. 58P Quality of life (QoL) outcomes with </w:t>
            </w:r>
            <w:proofErr w:type="spellStart"/>
            <w:r w:rsidRPr="00217EA0">
              <w:t>futibatinib</w:t>
            </w:r>
            <w:proofErr w:type="spellEnd"/>
            <w:r w:rsidRPr="00217EA0">
              <w:t xml:space="preserve"> treatment in FOENIX-CCA2 - A phase II study in patients (pts) with intrahepatic cholangiocarcinoma (</w:t>
            </w:r>
            <w:proofErr w:type="spellStart"/>
            <w:r w:rsidRPr="00217EA0">
              <w:t>iCCA</w:t>
            </w:r>
            <w:proofErr w:type="spellEnd"/>
            <w:r w:rsidRPr="00217EA0">
              <w:t xml:space="preserve">) </w:t>
            </w:r>
            <w:proofErr w:type="spellStart"/>
            <w:r w:rsidRPr="00217EA0">
              <w:t>harboring</w:t>
            </w:r>
            <w:proofErr w:type="spellEnd"/>
            <w:r w:rsidRPr="00217EA0">
              <w:t xml:space="preserve"> </w:t>
            </w:r>
            <w:r w:rsidR="003E5C46" w:rsidRPr="003E5C46">
              <w:rPr>
                <w:i/>
                <w:iCs/>
              </w:rPr>
              <w:t>FGFR2</w:t>
            </w:r>
            <w:r w:rsidRPr="00217EA0">
              <w:t xml:space="preserve"> gene fusions/rearrangements</w:t>
            </w:r>
          </w:p>
        </w:tc>
        <w:tc>
          <w:tcPr>
            <w:tcW w:w="1402" w:type="pct"/>
            <w:tcBorders>
              <w:bottom w:val="single" w:sz="4" w:space="0" w:color="auto"/>
            </w:tcBorders>
            <w:vAlign w:val="center"/>
          </w:tcPr>
          <w:p w14:paraId="0058D7EB" w14:textId="184C4F4F" w:rsidR="007925DA" w:rsidRPr="00217EA0" w:rsidRDefault="007925DA" w:rsidP="2914E55D">
            <w:pPr>
              <w:pStyle w:val="TableText"/>
            </w:pPr>
            <w:r w:rsidRPr="00217EA0">
              <w:t>Annals of Oncology 2021; Volume 31, S263 - S264. [abstract]</w:t>
            </w:r>
          </w:p>
        </w:tc>
      </w:tr>
      <w:tr w:rsidR="007900E9" w:rsidRPr="00217EA0" w14:paraId="78369409" w14:textId="77777777" w:rsidTr="00474EA6">
        <w:trPr>
          <w:cantSplit/>
        </w:trPr>
        <w:tc>
          <w:tcPr>
            <w:tcW w:w="795" w:type="pct"/>
            <w:vMerge w:val="restart"/>
            <w:tcBorders>
              <w:top w:val="single" w:sz="4" w:space="0" w:color="auto"/>
            </w:tcBorders>
            <w:shd w:val="clear" w:color="auto" w:fill="auto"/>
            <w:vAlign w:val="center"/>
          </w:tcPr>
          <w:p w14:paraId="54D347C5" w14:textId="368ACBBD" w:rsidR="007925DA" w:rsidRPr="00217EA0" w:rsidRDefault="007925DA" w:rsidP="007925DA">
            <w:pPr>
              <w:pStyle w:val="TableText"/>
            </w:pPr>
            <w:r w:rsidRPr="00217EA0">
              <w:t>ABC-06</w:t>
            </w:r>
          </w:p>
          <w:p w14:paraId="48753FD6" w14:textId="77777777" w:rsidR="007925DA" w:rsidRPr="00217EA0" w:rsidRDefault="007925DA" w:rsidP="007925DA">
            <w:pPr>
              <w:pStyle w:val="TableText"/>
            </w:pPr>
            <w:r w:rsidRPr="00217EA0">
              <w:t>NCT01926236</w:t>
            </w:r>
          </w:p>
          <w:p w14:paraId="551EC477" w14:textId="77777777" w:rsidR="007925DA" w:rsidRPr="00217EA0" w:rsidRDefault="007925DA" w:rsidP="007925DA">
            <w:pPr>
              <w:pStyle w:val="TableText"/>
            </w:pPr>
            <w:r w:rsidRPr="00217EA0">
              <w:t>CFTSp048</w:t>
            </w:r>
          </w:p>
          <w:p w14:paraId="1863ED43" w14:textId="77777777" w:rsidR="007925DA" w:rsidRPr="00217EA0" w:rsidRDefault="007925DA" w:rsidP="007925DA">
            <w:pPr>
              <w:pStyle w:val="TableText"/>
            </w:pPr>
            <w:r w:rsidRPr="00217EA0">
              <w:t>A16281</w:t>
            </w:r>
          </w:p>
          <w:p w14:paraId="743C235F" w14:textId="308A2A2D" w:rsidR="007925DA" w:rsidRPr="00217EA0" w:rsidRDefault="007925DA" w:rsidP="007925DA">
            <w:pPr>
              <w:pStyle w:val="TableText"/>
            </w:pPr>
            <w:r w:rsidRPr="00217EA0">
              <w:t>EUCT2013-001812-30</w:t>
            </w:r>
            <w:r w:rsidR="00EB3D21" w:rsidRPr="00217EA0">
              <w:rPr>
                <w:vertAlign w:val="superscript"/>
              </w:rPr>
              <w:t>1</w:t>
            </w:r>
          </w:p>
        </w:tc>
        <w:tc>
          <w:tcPr>
            <w:tcW w:w="2803" w:type="pct"/>
            <w:tcBorders>
              <w:top w:val="nil"/>
            </w:tcBorders>
            <w:shd w:val="clear" w:color="auto" w:fill="auto"/>
            <w:vAlign w:val="center"/>
          </w:tcPr>
          <w:p w14:paraId="4225EBD9" w14:textId="77777777" w:rsidR="007925DA" w:rsidRPr="00217EA0" w:rsidRDefault="007925DA" w:rsidP="00FE3A7F">
            <w:pPr>
              <w:pStyle w:val="TableText"/>
            </w:pPr>
            <w:r w:rsidRPr="00217EA0">
              <w:t>Lamarca, et al. Second-line FOLFOX chemotherapy versus active symptom control for advanced biliary tract cancer (ABC-06): a phase 3, open-label, randomised, controlled trial</w:t>
            </w:r>
          </w:p>
        </w:tc>
        <w:tc>
          <w:tcPr>
            <w:tcW w:w="1402" w:type="pct"/>
            <w:tcBorders>
              <w:top w:val="nil"/>
            </w:tcBorders>
            <w:shd w:val="clear" w:color="auto" w:fill="auto"/>
            <w:vAlign w:val="center"/>
          </w:tcPr>
          <w:p w14:paraId="43D5B2BB" w14:textId="77777777" w:rsidR="007925DA" w:rsidRPr="00217EA0" w:rsidRDefault="007925DA" w:rsidP="00FE3A7F">
            <w:pPr>
              <w:pStyle w:val="TableText"/>
            </w:pPr>
            <w:r w:rsidRPr="00217EA0">
              <w:t>Lancet Oncol 2021; 22(5):690-701.</w:t>
            </w:r>
          </w:p>
        </w:tc>
      </w:tr>
      <w:tr w:rsidR="007900E9" w:rsidRPr="00217EA0" w14:paraId="5C631ECA" w14:textId="77777777" w:rsidTr="2914E55D">
        <w:trPr>
          <w:cantSplit/>
        </w:trPr>
        <w:tc>
          <w:tcPr>
            <w:tcW w:w="795" w:type="pct"/>
            <w:vMerge/>
            <w:vAlign w:val="center"/>
          </w:tcPr>
          <w:p w14:paraId="60DA10E2" w14:textId="77777777" w:rsidR="007925DA" w:rsidRPr="00217EA0" w:rsidRDefault="007925DA" w:rsidP="00FE3A7F">
            <w:pPr>
              <w:pStyle w:val="TableText"/>
            </w:pPr>
          </w:p>
        </w:tc>
        <w:tc>
          <w:tcPr>
            <w:tcW w:w="2803" w:type="pct"/>
            <w:shd w:val="clear" w:color="auto" w:fill="auto"/>
            <w:vAlign w:val="center"/>
          </w:tcPr>
          <w:p w14:paraId="28C6926F" w14:textId="77777777" w:rsidR="007925DA" w:rsidRPr="00217EA0" w:rsidRDefault="007925DA" w:rsidP="00FE3A7F">
            <w:pPr>
              <w:pStyle w:val="TableText"/>
            </w:pPr>
            <w:r w:rsidRPr="00217EA0">
              <w:t>Lamarca, et al. 54MO Quality of life (QoL) and value of health (V-He) in advanced biliary cancers (ABC) treated with second-line active-symptom-control (ASC) alone or ASC with oxaliplatin/5-FU chemotherapy (ASC+FOLFOX) in the randomised phase III, multi-centre, open-label ABC-06 trial</w:t>
            </w:r>
          </w:p>
        </w:tc>
        <w:tc>
          <w:tcPr>
            <w:tcW w:w="1402" w:type="pct"/>
            <w:shd w:val="clear" w:color="auto" w:fill="auto"/>
            <w:vAlign w:val="center"/>
          </w:tcPr>
          <w:p w14:paraId="64EC681D" w14:textId="77777777" w:rsidR="007925DA" w:rsidRPr="00217EA0" w:rsidRDefault="007925DA" w:rsidP="00FE3A7F">
            <w:pPr>
              <w:pStyle w:val="TableText"/>
            </w:pPr>
            <w:r w:rsidRPr="00217EA0">
              <w:t>Annals of oncology 2022; 33, S564-S565 [abstract]</w:t>
            </w:r>
          </w:p>
        </w:tc>
      </w:tr>
      <w:tr w:rsidR="007900E9" w:rsidRPr="00217EA0" w14:paraId="71383467" w14:textId="77777777" w:rsidTr="2914E55D">
        <w:trPr>
          <w:cantSplit/>
        </w:trPr>
        <w:tc>
          <w:tcPr>
            <w:tcW w:w="795" w:type="pct"/>
            <w:vMerge/>
            <w:vAlign w:val="center"/>
          </w:tcPr>
          <w:p w14:paraId="61A107B1" w14:textId="77777777" w:rsidR="007925DA" w:rsidRPr="00217EA0" w:rsidRDefault="007925DA" w:rsidP="00FE3A7F">
            <w:pPr>
              <w:pStyle w:val="TableText"/>
            </w:pPr>
          </w:p>
        </w:tc>
        <w:tc>
          <w:tcPr>
            <w:tcW w:w="2803" w:type="pct"/>
            <w:shd w:val="clear" w:color="auto" w:fill="auto"/>
            <w:vAlign w:val="center"/>
          </w:tcPr>
          <w:p w14:paraId="79B1091C" w14:textId="64B98539" w:rsidR="007925DA" w:rsidRPr="00217EA0" w:rsidRDefault="007925DA" w:rsidP="00FE3A7F">
            <w:pPr>
              <w:pStyle w:val="TableText"/>
            </w:pPr>
            <w:r w:rsidRPr="00217EA0">
              <w:t>Lamarca, et al. P-88 Clinical role of tumour markers in advanced biliary cancers (ABC) treated with second-line active-symptom-control (ASC) alone or ASC with oxaliplatin/5-FU chemotherapy (</w:t>
            </w:r>
            <w:proofErr w:type="spellStart"/>
            <w:r w:rsidRPr="00217EA0">
              <w:t>ASC+mFOLFOX</w:t>
            </w:r>
            <w:proofErr w:type="spellEnd"/>
            <w:r w:rsidRPr="00217EA0">
              <w:t>) in the randomised phase III, multi-centre, open-label ABC-06 trial</w:t>
            </w:r>
          </w:p>
        </w:tc>
        <w:tc>
          <w:tcPr>
            <w:tcW w:w="1402" w:type="pct"/>
            <w:shd w:val="clear" w:color="auto" w:fill="auto"/>
            <w:vAlign w:val="center"/>
          </w:tcPr>
          <w:p w14:paraId="17B76206" w14:textId="659D3E0E" w:rsidR="007925DA" w:rsidRPr="00217EA0" w:rsidRDefault="007925DA" w:rsidP="00FE3A7F">
            <w:pPr>
              <w:pStyle w:val="TableText"/>
            </w:pPr>
            <w:r w:rsidRPr="00217EA0">
              <w:t>Annals of oncology 2022; 33, S</w:t>
            </w:r>
            <w:r w:rsidR="00E64E2A" w:rsidRPr="00217EA0">
              <w:t>280 [</w:t>
            </w:r>
            <w:r w:rsidRPr="00217EA0">
              <w:t>abstract]</w:t>
            </w:r>
          </w:p>
        </w:tc>
      </w:tr>
    </w:tbl>
    <w:p w14:paraId="2C60EFBA" w14:textId="73E7A772" w:rsidR="003A47EF" w:rsidRPr="00217EA0" w:rsidRDefault="003A47EF" w:rsidP="003A47EF">
      <w:pPr>
        <w:pStyle w:val="TableFooter"/>
      </w:pPr>
      <w:r w:rsidRPr="00217EA0">
        <w:t xml:space="preserve">Source: Table 2.30, pp106-108 of the submission. </w:t>
      </w:r>
    </w:p>
    <w:p w14:paraId="6E4C4B4F" w14:textId="03809D43" w:rsidR="006B670E" w:rsidRPr="00217EA0" w:rsidRDefault="00EB3D21" w:rsidP="003A47EF">
      <w:pPr>
        <w:pStyle w:val="TableFooter"/>
      </w:pPr>
      <w:r w:rsidRPr="00217EA0">
        <w:rPr>
          <w:vertAlign w:val="superscript"/>
        </w:rPr>
        <w:t>1</w:t>
      </w:r>
      <w:r w:rsidR="008B3D12" w:rsidRPr="00217EA0">
        <w:rPr>
          <w:vertAlign w:val="superscript"/>
        </w:rPr>
        <w:t xml:space="preserve"> </w:t>
      </w:r>
      <w:r w:rsidR="008B3D12" w:rsidRPr="00217EA0">
        <w:t>stud</w:t>
      </w:r>
      <w:r w:rsidRPr="00217EA0">
        <w:t>y</w:t>
      </w:r>
      <w:r w:rsidR="008B3D12" w:rsidRPr="00217EA0">
        <w:t xml:space="preserve"> previously considered by the PBAC as part of indirect comparison to </w:t>
      </w:r>
      <w:proofErr w:type="spellStart"/>
      <w:r w:rsidR="008B3D12" w:rsidRPr="00217EA0">
        <w:t>ivosidenib</w:t>
      </w:r>
      <w:proofErr w:type="spellEnd"/>
      <w:r w:rsidR="008B3D12" w:rsidRPr="00217EA0">
        <w:t xml:space="preserve"> at the July 2024 PBAC meeting</w:t>
      </w:r>
    </w:p>
    <w:p w14:paraId="4DDC1297" w14:textId="642F718E" w:rsidR="00A5453C" w:rsidRPr="00217EA0" w:rsidRDefault="00A5453C" w:rsidP="00565A06">
      <w:pPr>
        <w:pStyle w:val="ListParagraph"/>
        <w:rPr>
          <w:color w:val="auto"/>
        </w:rPr>
      </w:pPr>
      <w:r w:rsidRPr="00217EA0">
        <w:rPr>
          <w:color w:val="auto"/>
        </w:rPr>
        <w:t>The key features of the</w:t>
      </w:r>
      <w:r w:rsidR="003A47EF" w:rsidRPr="00217EA0">
        <w:rPr>
          <w:color w:val="auto"/>
        </w:rPr>
        <w:t xml:space="preserve"> </w:t>
      </w:r>
      <w:r w:rsidRPr="00217EA0">
        <w:rPr>
          <w:color w:val="auto"/>
        </w:rPr>
        <w:t xml:space="preserve">included evidence are summarised in </w:t>
      </w:r>
      <w:r w:rsidR="003A47EF" w:rsidRPr="00217EA0">
        <w:rPr>
          <w:color w:val="auto"/>
        </w:rPr>
        <w:fldChar w:fldCharType="begin"/>
      </w:r>
      <w:r w:rsidR="003A47EF" w:rsidRPr="00217EA0">
        <w:rPr>
          <w:color w:val="auto"/>
        </w:rPr>
        <w:instrText xml:space="preserve"> REF _Ref184811413 \h </w:instrText>
      </w:r>
      <w:r w:rsidR="00EC070E" w:rsidRPr="00217EA0">
        <w:rPr>
          <w:color w:val="auto"/>
        </w:rPr>
        <w:instrText xml:space="preserve"> \* MERGEFORMAT </w:instrText>
      </w:r>
      <w:r w:rsidR="003A47EF" w:rsidRPr="00217EA0">
        <w:rPr>
          <w:color w:val="auto"/>
        </w:rPr>
      </w:r>
      <w:r w:rsidR="003A47EF" w:rsidRPr="00217EA0">
        <w:rPr>
          <w:color w:val="auto"/>
        </w:rPr>
        <w:fldChar w:fldCharType="separate"/>
      </w:r>
      <w:r w:rsidR="008378C4" w:rsidRPr="00217EA0">
        <w:t>Table</w:t>
      </w:r>
      <w:r w:rsidR="008378C4">
        <w:t xml:space="preserve"> 6</w:t>
      </w:r>
      <w:r w:rsidR="003A47EF" w:rsidRPr="00217EA0">
        <w:rPr>
          <w:color w:val="auto"/>
        </w:rPr>
        <w:fldChar w:fldCharType="end"/>
      </w:r>
    </w:p>
    <w:p w14:paraId="31A9609F" w14:textId="40EAB864" w:rsidR="003A47EF" w:rsidRPr="00217EA0" w:rsidRDefault="00C164A4" w:rsidP="00FA13F3">
      <w:pPr>
        <w:pStyle w:val="Caption"/>
      </w:pPr>
      <w:bookmarkStart w:id="22" w:name="_Ref184811413"/>
      <w:r w:rsidRPr="00217EA0">
        <w:t>Table</w:t>
      </w:r>
      <w:r w:rsidR="008B3F97">
        <w:t xml:space="preserve"> </w:t>
      </w:r>
      <w:r w:rsidR="00E600E3" w:rsidRPr="00217EA0">
        <w:fldChar w:fldCharType="begin"/>
      </w:r>
      <w:r w:rsidR="00E600E3" w:rsidRPr="00217EA0">
        <w:instrText xml:space="preserve"> SEQ Table_PBAC. \* ARABIC </w:instrText>
      </w:r>
      <w:r w:rsidR="00E600E3" w:rsidRPr="00217EA0">
        <w:fldChar w:fldCharType="separate"/>
      </w:r>
      <w:r w:rsidR="008378C4">
        <w:rPr>
          <w:noProof/>
        </w:rPr>
        <w:t>6</w:t>
      </w:r>
      <w:r w:rsidR="00E600E3" w:rsidRPr="00217EA0">
        <w:fldChar w:fldCharType="end"/>
      </w:r>
      <w:bookmarkEnd w:id="22"/>
      <w:r w:rsidR="00D5648A">
        <w:t xml:space="preserve">: </w:t>
      </w:r>
      <w:r w:rsidR="003A47EF" w:rsidRPr="00217EA0">
        <w:t xml:space="preserve">Key features of the included evidence – indirect comparison </w:t>
      </w:r>
    </w:p>
    <w:tbl>
      <w:tblPr>
        <w:tblStyle w:val="PBACTableStyle"/>
        <w:tblW w:w="5000" w:type="pct"/>
        <w:tblLayout w:type="fixed"/>
        <w:tblLook w:val="04A0" w:firstRow="1" w:lastRow="0" w:firstColumn="1" w:lastColumn="0" w:noHBand="0" w:noVBand="1"/>
        <w:tblCaption w:val="Table 6: Key features of the included evidence – indirect comparison "/>
      </w:tblPr>
      <w:tblGrid>
        <w:gridCol w:w="881"/>
        <w:gridCol w:w="554"/>
        <w:gridCol w:w="988"/>
        <w:gridCol w:w="4409"/>
        <w:gridCol w:w="1095"/>
        <w:gridCol w:w="1089"/>
      </w:tblGrid>
      <w:tr w:rsidR="007900E9" w:rsidRPr="00217EA0" w14:paraId="5B63487C" w14:textId="77777777" w:rsidTr="00FE3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 w:type="pct"/>
            <w:tcBorders>
              <w:top w:val="single" w:sz="4" w:space="0" w:color="auto"/>
              <w:left w:val="single" w:sz="4" w:space="0" w:color="auto"/>
              <w:bottom w:val="single" w:sz="4" w:space="0" w:color="auto"/>
              <w:right w:val="single" w:sz="4" w:space="0" w:color="auto"/>
            </w:tcBorders>
            <w:hideMark/>
          </w:tcPr>
          <w:p w14:paraId="49EC9385" w14:textId="77777777" w:rsidR="003A47EF" w:rsidRPr="00217EA0" w:rsidRDefault="003A47EF" w:rsidP="00FE3A7F">
            <w:pPr>
              <w:pStyle w:val="TableText"/>
              <w:keepNext/>
              <w:keepLines/>
              <w:jc w:val="center"/>
              <w:rPr>
                <w:color w:val="auto"/>
                <w:lang w:val="en-AU"/>
              </w:rPr>
            </w:pPr>
            <w:r w:rsidRPr="00217EA0">
              <w:rPr>
                <w:color w:val="auto"/>
                <w:lang w:val="en-AU"/>
              </w:rPr>
              <w:t>Trial</w:t>
            </w:r>
          </w:p>
        </w:tc>
        <w:tc>
          <w:tcPr>
            <w:tcW w:w="307" w:type="pct"/>
            <w:tcBorders>
              <w:top w:val="single" w:sz="4" w:space="0" w:color="auto"/>
              <w:left w:val="single" w:sz="4" w:space="0" w:color="auto"/>
              <w:bottom w:val="single" w:sz="4" w:space="0" w:color="auto"/>
              <w:right w:val="single" w:sz="4" w:space="0" w:color="auto"/>
            </w:tcBorders>
            <w:hideMark/>
          </w:tcPr>
          <w:p w14:paraId="13E43467" w14:textId="77777777" w:rsidR="003A47EF" w:rsidRPr="00217EA0" w:rsidRDefault="003A47EF" w:rsidP="00FE3A7F">
            <w:pPr>
              <w:pStyle w:val="TableText"/>
              <w:keepNext/>
              <w:keepLines/>
              <w:jc w:val="center"/>
              <w:cnfStyle w:val="100000000000" w:firstRow="1" w:lastRow="0" w:firstColumn="0" w:lastColumn="0" w:oddVBand="0" w:evenVBand="0" w:oddHBand="0" w:evenHBand="0" w:firstRowFirstColumn="0" w:firstRowLastColumn="0" w:lastRowFirstColumn="0" w:lastRowLastColumn="0"/>
              <w:rPr>
                <w:b w:val="0"/>
                <w:color w:val="auto"/>
                <w:lang w:val="en-AU"/>
              </w:rPr>
            </w:pPr>
            <w:r w:rsidRPr="00217EA0">
              <w:rPr>
                <w:color w:val="auto"/>
                <w:lang w:val="en-AU"/>
              </w:rPr>
              <w:t>N</w:t>
            </w:r>
          </w:p>
        </w:tc>
        <w:tc>
          <w:tcPr>
            <w:tcW w:w="548" w:type="pct"/>
            <w:tcBorders>
              <w:top w:val="single" w:sz="4" w:space="0" w:color="auto"/>
              <w:left w:val="single" w:sz="4" w:space="0" w:color="auto"/>
              <w:bottom w:val="single" w:sz="4" w:space="0" w:color="auto"/>
              <w:right w:val="single" w:sz="4" w:space="0" w:color="auto"/>
            </w:tcBorders>
            <w:hideMark/>
          </w:tcPr>
          <w:p w14:paraId="34BB1A27" w14:textId="77777777" w:rsidR="003A47EF" w:rsidRPr="00217EA0" w:rsidRDefault="003A47EF" w:rsidP="00FE3A7F">
            <w:pPr>
              <w:pStyle w:val="TableText"/>
              <w:keepNext/>
              <w:keepLines/>
              <w:jc w:val="center"/>
              <w:cnfStyle w:val="100000000000" w:firstRow="1" w:lastRow="0" w:firstColumn="0" w:lastColumn="0" w:oddVBand="0" w:evenVBand="0" w:oddHBand="0" w:evenHBand="0" w:firstRowFirstColumn="0" w:firstRowLastColumn="0" w:lastRowFirstColumn="0" w:lastRowLastColumn="0"/>
              <w:rPr>
                <w:b w:val="0"/>
                <w:color w:val="auto"/>
                <w:lang w:val="en-AU"/>
              </w:rPr>
            </w:pPr>
            <w:r w:rsidRPr="00217EA0">
              <w:rPr>
                <w:color w:val="auto"/>
                <w:lang w:val="en-AU"/>
              </w:rPr>
              <w:t>Design/ duration</w:t>
            </w:r>
          </w:p>
        </w:tc>
        <w:tc>
          <w:tcPr>
            <w:tcW w:w="2445" w:type="pct"/>
            <w:tcBorders>
              <w:top w:val="single" w:sz="4" w:space="0" w:color="auto"/>
              <w:left w:val="single" w:sz="4" w:space="0" w:color="auto"/>
              <w:bottom w:val="single" w:sz="4" w:space="0" w:color="auto"/>
              <w:right w:val="single" w:sz="4" w:space="0" w:color="auto"/>
            </w:tcBorders>
            <w:hideMark/>
          </w:tcPr>
          <w:p w14:paraId="08E70FA1" w14:textId="77777777" w:rsidR="003A47EF" w:rsidRPr="00217EA0" w:rsidRDefault="003A47EF" w:rsidP="00FE3A7F">
            <w:pPr>
              <w:pStyle w:val="TableText"/>
              <w:keepNext/>
              <w:keepLines/>
              <w:jc w:val="center"/>
              <w:cnfStyle w:val="100000000000" w:firstRow="1" w:lastRow="0" w:firstColumn="0" w:lastColumn="0" w:oddVBand="0" w:evenVBand="0" w:oddHBand="0" w:evenHBand="0" w:firstRowFirstColumn="0" w:firstRowLastColumn="0" w:lastRowFirstColumn="0" w:lastRowLastColumn="0"/>
              <w:rPr>
                <w:b w:val="0"/>
                <w:color w:val="auto"/>
                <w:lang w:val="en-AU"/>
              </w:rPr>
            </w:pPr>
            <w:r w:rsidRPr="00217EA0">
              <w:rPr>
                <w:color w:val="auto"/>
                <w:lang w:val="en-AU"/>
              </w:rPr>
              <w:t>Patient population</w:t>
            </w:r>
          </w:p>
        </w:tc>
        <w:tc>
          <w:tcPr>
            <w:tcW w:w="607" w:type="pct"/>
            <w:tcBorders>
              <w:top w:val="single" w:sz="4" w:space="0" w:color="auto"/>
              <w:left w:val="single" w:sz="4" w:space="0" w:color="auto"/>
              <w:bottom w:val="single" w:sz="4" w:space="0" w:color="auto"/>
              <w:right w:val="single" w:sz="4" w:space="0" w:color="auto"/>
            </w:tcBorders>
            <w:hideMark/>
          </w:tcPr>
          <w:p w14:paraId="234F5594" w14:textId="77777777" w:rsidR="003A47EF" w:rsidRPr="00217EA0" w:rsidRDefault="003A47EF" w:rsidP="00FE3A7F">
            <w:pPr>
              <w:pStyle w:val="TableText"/>
              <w:keepNext/>
              <w:keepLines/>
              <w:jc w:val="center"/>
              <w:cnfStyle w:val="100000000000" w:firstRow="1" w:lastRow="0" w:firstColumn="0" w:lastColumn="0" w:oddVBand="0" w:evenVBand="0" w:oddHBand="0" w:evenHBand="0" w:firstRowFirstColumn="0" w:firstRowLastColumn="0" w:lastRowFirstColumn="0" w:lastRowLastColumn="0"/>
              <w:rPr>
                <w:b w:val="0"/>
                <w:color w:val="auto"/>
                <w:lang w:val="en-AU"/>
              </w:rPr>
            </w:pPr>
            <w:r w:rsidRPr="00217EA0">
              <w:rPr>
                <w:color w:val="auto"/>
                <w:lang w:val="en-AU"/>
              </w:rPr>
              <w:t>Outcomes</w:t>
            </w:r>
          </w:p>
        </w:tc>
        <w:tc>
          <w:tcPr>
            <w:tcW w:w="603" w:type="pct"/>
            <w:tcBorders>
              <w:top w:val="single" w:sz="4" w:space="0" w:color="auto"/>
              <w:left w:val="single" w:sz="4" w:space="0" w:color="auto"/>
              <w:bottom w:val="single" w:sz="4" w:space="0" w:color="auto"/>
              <w:right w:val="single" w:sz="4" w:space="0" w:color="auto"/>
            </w:tcBorders>
            <w:hideMark/>
          </w:tcPr>
          <w:p w14:paraId="3592CA2F" w14:textId="77777777" w:rsidR="003A47EF" w:rsidRPr="00217EA0" w:rsidRDefault="003A47EF" w:rsidP="00FE3A7F">
            <w:pPr>
              <w:pStyle w:val="TableText"/>
              <w:keepNext/>
              <w:keepLines/>
              <w:jc w:val="center"/>
              <w:cnfStyle w:val="100000000000" w:firstRow="1" w:lastRow="0" w:firstColumn="0" w:lastColumn="0" w:oddVBand="0" w:evenVBand="0" w:oddHBand="0" w:evenHBand="0" w:firstRowFirstColumn="0" w:firstRowLastColumn="0" w:lastRowFirstColumn="0" w:lastRowLastColumn="0"/>
              <w:rPr>
                <w:b w:val="0"/>
                <w:color w:val="auto"/>
                <w:lang w:val="en-AU"/>
              </w:rPr>
            </w:pPr>
            <w:r w:rsidRPr="00217EA0">
              <w:rPr>
                <w:color w:val="auto"/>
                <w:lang w:val="en-AU"/>
              </w:rPr>
              <w:t>Use in modelled evaluation</w:t>
            </w:r>
          </w:p>
        </w:tc>
      </w:tr>
      <w:tr w:rsidR="007900E9" w:rsidRPr="00217EA0" w14:paraId="687EAC4D" w14:textId="77777777" w:rsidTr="00FE3A7F">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auto"/>
              <w:left w:val="single" w:sz="4" w:space="0" w:color="auto"/>
              <w:bottom w:val="single" w:sz="4" w:space="0" w:color="auto"/>
              <w:right w:val="single" w:sz="4" w:space="0" w:color="auto"/>
            </w:tcBorders>
            <w:hideMark/>
          </w:tcPr>
          <w:p w14:paraId="0AE0ADF8" w14:textId="77777777" w:rsidR="003A47EF" w:rsidRPr="00217EA0" w:rsidRDefault="003A47EF" w:rsidP="00FE3A7F">
            <w:pPr>
              <w:pStyle w:val="TableText"/>
              <w:keepNext/>
              <w:keepLines/>
              <w:rPr>
                <w:color w:val="auto"/>
                <w:lang w:val="en-AU"/>
              </w:rPr>
            </w:pPr>
            <w:proofErr w:type="spellStart"/>
            <w:r w:rsidRPr="00217EA0">
              <w:rPr>
                <w:color w:val="auto"/>
                <w:lang w:val="en-AU"/>
              </w:rPr>
              <w:t>Futibatinib</w:t>
            </w:r>
            <w:proofErr w:type="spellEnd"/>
            <w:r w:rsidRPr="00217EA0">
              <w:rPr>
                <w:color w:val="auto"/>
                <w:lang w:val="en-AU"/>
              </w:rPr>
              <w:t xml:space="preserve"> </w:t>
            </w:r>
          </w:p>
        </w:tc>
      </w:tr>
      <w:tr w:rsidR="007900E9" w:rsidRPr="00217EA0" w14:paraId="0D9923F1" w14:textId="77777777" w:rsidTr="00FE3A7F">
        <w:tc>
          <w:tcPr>
            <w:cnfStyle w:val="001000000000" w:firstRow="0" w:lastRow="0" w:firstColumn="1" w:lastColumn="0" w:oddVBand="0" w:evenVBand="0" w:oddHBand="0" w:evenHBand="0" w:firstRowFirstColumn="0" w:firstRowLastColumn="0" w:lastRowFirstColumn="0" w:lastRowLastColumn="0"/>
            <w:tcW w:w="489" w:type="pct"/>
            <w:tcBorders>
              <w:top w:val="single" w:sz="4" w:space="0" w:color="auto"/>
              <w:left w:val="single" w:sz="4" w:space="0" w:color="auto"/>
              <w:bottom w:val="single" w:sz="4" w:space="0" w:color="auto"/>
              <w:right w:val="single" w:sz="4" w:space="0" w:color="auto"/>
            </w:tcBorders>
            <w:hideMark/>
          </w:tcPr>
          <w:p w14:paraId="5EA5026D" w14:textId="77777777" w:rsidR="003A47EF" w:rsidRPr="00217EA0" w:rsidRDefault="003A47EF" w:rsidP="00FE3A7F">
            <w:pPr>
              <w:pStyle w:val="TableText"/>
              <w:keepNext/>
              <w:keepLines/>
              <w:rPr>
                <w:color w:val="auto"/>
                <w:lang w:val="en-AU"/>
              </w:rPr>
            </w:pPr>
            <w:r w:rsidRPr="00217EA0">
              <w:rPr>
                <w:color w:val="auto"/>
                <w:lang w:val="en-AU"/>
              </w:rPr>
              <w:t>FOENIX-CCA2</w:t>
            </w:r>
          </w:p>
        </w:tc>
        <w:tc>
          <w:tcPr>
            <w:tcW w:w="307" w:type="pct"/>
            <w:tcBorders>
              <w:top w:val="single" w:sz="4" w:space="0" w:color="auto"/>
              <w:left w:val="single" w:sz="4" w:space="0" w:color="auto"/>
              <w:bottom w:val="single" w:sz="4" w:space="0" w:color="auto"/>
              <w:right w:val="single" w:sz="4" w:space="0" w:color="auto"/>
            </w:tcBorders>
          </w:tcPr>
          <w:p w14:paraId="7B5B047C" w14:textId="77777777" w:rsidR="003A47EF" w:rsidRPr="00217EA0" w:rsidRDefault="003A47EF"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103</w:t>
            </w:r>
          </w:p>
        </w:tc>
        <w:tc>
          <w:tcPr>
            <w:tcW w:w="548" w:type="pct"/>
            <w:tcBorders>
              <w:top w:val="single" w:sz="4" w:space="0" w:color="auto"/>
              <w:left w:val="single" w:sz="4" w:space="0" w:color="auto"/>
              <w:bottom w:val="single" w:sz="4" w:space="0" w:color="auto"/>
              <w:right w:val="single" w:sz="4" w:space="0" w:color="auto"/>
            </w:tcBorders>
          </w:tcPr>
          <w:p w14:paraId="6DC7F0AC" w14:textId="77777777" w:rsidR="003A47EF" w:rsidRPr="00217EA0" w:rsidRDefault="003A47EF"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MC, OL SAS</w:t>
            </w:r>
          </w:p>
        </w:tc>
        <w:tc>
          <w:tcPr>
            <w:tcW w:w="2445" w:type="pct"/>
            <w:tcBorders>
              <w:top w:val="single" w:sz="4" w:space="0" w:color="auto"/>
              <w:left w:val="single" w:sz="4" w:space="0" w:color="auto"/>
              <w:bottom w:val="single" w:sz="4" w:space="0" w:color="auto"/>
              <w:right w:val="single" w:sz="4" w:space="0" w:color="auto"/>
            </w:tcBorders>
          </w:tcPr>
          <w:p w14:paraId="2A68D86B" w14:textId="77777777" w:rsidR="003A47EF" w:rsidRPr="00217EA0" w:rsidRDefault="003A47EF"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 xml:space="preserve">Unresectable or metastatic </w:t>
            </w:r>
            <w:proofErr w:type="spellStart"/>
            <w:r w:rsidRPr="00217EA0">
              <w:rPr>
                <w:color w:val="auto"/>
                <w:lang w:val="en-AU"/>
              </w:rPr>
              <w:t>iCCA</w:t>
            </w:r>
            <w:proofErr w:type="spellEnd"/>
            <w:r w:rsidRPr="00217EA0">
              <w:rPr>
                <w:color w:val="auto"/>
                <w:lang w:val="en-AU"/>
              </w:rPr>
              <w:t>;</w:t>
            </w:r>
          </w:p>
          <w:p w14:paraId="134343EF" w14:textId="1BD466B9" w:rsidR="003A47EF" w:rsidRPr="00217EA0" w:rsidRDefault="003E5C46"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3E5C46">
              <w:rPr>
                <w:i/>
                <w:iCs/>
                <w:color w:val="auto"/>
                <w:lang w:val="en-AU"/>
              </w:rPr>
              <w:t>FGFR2</w:t>
            </w:r>
            <w:r w:rsidR="003A47EF" w:rsidRPr="00217EA0">
              <w:rPr>
                <w:color w:val="auto"/>
                <w:lang w:val="en-AU"/>
              </w:rPr>
              <w:t xml:space="preserve"> fusion or other rearrangement; Measurable disease per RECIST v1.1;</w:t>
            </w:r>
          </w:p>
          <w:p w14:paraId="1691F11B" w14:textId="77777777" w:rsidR="003A47EF" w:rsidRPr="00217EA0" w:rsidRDefault="003A47EF"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 1 prior systemic gemcitabine + platinum-based chemotherapy</w:t>
            </w:r>
          </w:p>
          <w:p w14:paraId="77DB6502" w14:textId="77777777" w:rsidR="003A47EF" w:rsidRPr="00217EA0" w:rsidRDefault="003A47EF"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Progression after ≥ 1 systemic therapy;</w:t>
            </w:r>
          </w:p>
        </w:tc>
        <w:tc>
          <w:tcPr>
            <w:tcW w:w="607" w:type="pct"/>
            <w:tcBorders>
              <w:top w:val="single" w:sz="4" w:space="0" w:color="auto"/>
              <w:left w:val="single" w:sz="4" w:space="0" w:color="auto"/>
              <w:bottom w:val="single" w:sz="4" w:space="0" w:color="auto"/>
              <w:right w:val="single" w:sz="4" w:space="0" w:color="auto"/>
            </w:tcBorders>
          </w:tcPr>
          <w:p w14:paraId="36BEF384" w14:textId="77777777" w:rsidR="003A47EF" w:rsidRPr="00217EA0" w:rsidRDefault="003A47EF"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OS, PFS ORR</w:t>
            </w:r>
          </w:p>
        </w:tc>
        <w:tc>
          <w:tcPr>
            <w:tcW w:w="603" w:type="pct"/>
            <w:tcBorders>
              <w:top w:val="single" w:sz="4" w:space="0" w:color="auto"/>
              <w:left w:val="single" w:sz="4" w:space="0" w:color="auto"/>
              <w:bottom w:val="single" w:sz="4" w:space="0" w:color="auto"/>
              <w:right w:val="single" w:sz="4" w:space="0" w:color="auto"/>
            </w:tcBorders>
          </w:tcPr>
          <w:p w14:paraId="5690D71C" w14:textId="77777777" w:rsidR="003A47EF" w:rsidRPr="00217EA0" w:rsidRDefault="003A47EF"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Yes</w:t>
            </w:r>
          </w:p>
        </w:tc>
      </w:tr>
      <w:tr w:rsidR="007900E9" w:rsidRPr="00217EA0" w14:paraId="15D76FB7" w14:textId="77777777" w:rsidTr="00FE3A7F">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auto"/>
              <w:left w:val="single" w:sz="4" w:space="0" w:color="auto"/>
              <w:bottom w:val="single" w:sz="4" w:space="0" w:color="auto"/>
              <w:right w:val="single" w:sz="4" w:space="0" w:color="auto"/>
            </w:tcBorders>
            <w:hideMark/>
          </w:tcPr>
          <w:p w14:paraId="47049510" w14:textId="77777777" w:rsidR="003A47EF" w:rsidRPr="00217EA0" w:rsidRDefault="003A47EF" w:rsidP="00FE3A7F">
            <w:pPr>
              <w:pStyle w:val="TableText"/>
              <w:keepNext/>
              <w:keepLines/>
              <w:rPr>
                <w:color w:val="auto"/>
                <w:lang w:val="en-AU"/>
              </w:rPr>
            </w:pPr>
            <w:r w:rsidRPr="00217EA0">
              <w:rPr>
                <w:color w:val="auto"/>
                <w:lang w:val="en-AU"/>
              </w:rPr>
              <w:t>FOLFOX</w:t>
            </w:r>
          </w:p>
        </w:tc>
      </w:tr>
      <w:tr w:rsidR="007900E9" w:rsidRPr="00217EA0" w14:paraId="7D127CAE" w14:textId="77777777" w:rsidTr="00FE3A7F">
        <w:tc>
          <w:tcPr>
            <w:cnfStyle w:val="001000000000" w:firstRow="0" w:lastRow="0" w:firstColumn="1" w:lastColumn="0" w:oddVBand="0" w:evenVBand="0" w:oddHBand="0" w:evenHBand="0" w:firstRowFirstColumn="0" w:firstRowLastColumn="0" w:lastRowFirstColumn="0" w:lastRowLastColumn="0"/>
            <w:tcW w:w="489" w:type="pct"/>
            <w:tcBorders>
              <w:top w:val="single" w:sz="4" w:space="0" w:color="auto"/>
              <w:left w:val="single" w:sz="4" w:space="0" w:color="auto"/>
              <w:bottom w:val="single" w:sz="4" w:space="0" w:color="auto"/>
              <w:right w:val="single" w:sz="4" w:space="0" w:color="auto"/>
            </w:tcBorders>
            <w:hideMark/>
          </w:tcPr>
          <w:p w14:paraId="04E57E59" w14:textId="77777777" w:rsidR="003A47EF" w:rsidRPr="00217EA0" w:rsidRDefault="003A47EF" w:rsidP="00FE3A7F">
            <w:pPr>
              <w:pStyle w:val="TableText"/>
              <w:keepNext/>
              <w:keepLines/>
              <w:rPr>
                <w:color w:val="auto"/>
                <w:lang w:val="en-AU"/>
              </w:rPr>
            </w:pPr>
            <w:r w:rsidRPr="00217EA0">
              <w:rPr>
                <w:color w:val="auto"/>
                <w:lang w:val="en-AU"/>
              </w:rPr>
              <w:t>ABC-06</w:t>
            </w:r>
          </w:p>
        </w:tc>
        <w:tc>
          <w:tcPr>
            <w:tcW w:w="307" w:type="pct"/>
            <w:tcBorders>
              <w:top w:val="single" w:sz="4" w:space="0" w:color="auto"/>
              <w:left w:val="single" w:sz="4" w:space="0" w:color="auto"/>
              <w:bottom w:val="single" w:sz="4" w:space="0" w:color="auto"/>
              <w:right w:val="single" w:sz="4" w:space="0" w:color="auto"/>
            </w:tcBorders>
          </w:tcPr>
          <w:p w14:paraId="732CDF04" w14:textId="77777777" w:rsidR="003A47EF" w:rsidRPr="00217EA0" w:rsidRDefault="003A47EF"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161</w:t>
            </w:r>
          </w:p>
        </w:tc>
        <w:tc>
          <w:tcPr>
            <w:tcW w:w="548" w:type="pct"/>
            <w:tcBorders>
              <w:top w:val="single" w:sz="4" w:space="0" w:color="auto"/>
              <w:left w:val="single" w:sz="4" w:space="0" w:color="auto"/>
              <w:bottom w:val="single" w:sz="4" w:space="0" w:color="auto"/>
              <w:right w:val="single" w:sz="4" w:space="0" w:color="auto"/>
            </w:tcBorders>
          </w:tcPr>
          <w:p w14:paraId="1B748F9F" w14:textId="77777777" w:rsidR="003A47EF" w:rsidRPr="00217EA0" w:rsidRDefault="003A47EF"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MC, OL, R</w:t>
            </w:r>
          </w:p>
        </w:tc>
        <w:tc>
          <w:tcPr>
            <w:tcW w:w="2445" w:type="pct"/>
            <w:tcBorders>
              <w:top w:val="single" w:sz="4" w:space="0" w:color="auto"/>
              <w:left w:val="single" w:sz="4" w:space="0" w:color="auto"/>
              <w:bottom w:val="single" w:sz="4" w:space="0" w:color="auto"/>
              <w:right w:val="single" w:sz="4" w:space="0" w:color="auto"/>
            </w:tcBorders>
          </w:tcPr>
          <w:p w14:paraId="61B68147" w14:textId="77777777" w:rsidR="003A47EF" w:rsidRPr="00217EA0" w:rsidRDefault="003A47EF"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Locally advanced or metastatic biliary tract cancer (including CCA, gallbladder carcinoma, and ampullary carcinoma)</w:t>
            </w:r>
          </w:p>
          <w:p w14:paraId="318A7BAD" w14:textId="77777777" w:rsidR="003A47EF" w:rsidRPr="00217EA0" w:rsidRDefault="003A47EF"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Documented radiological disease progression to previous first-line GP doublet chemotherapy</w:t>
            </w:r>
          </w:p>
          <w:p w14:paraId="28B7717E" w14:textId="3E75770C" w:rsidR="003A47EF" w:rsidRPr="00217EA0" w:rsidRDefault="003E5C46"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3E5C46">
              <w:rPr>
                <w:i/>
                <w:iCs/>
                <w:color w:val="auto"/>
                <w:lang w:val="en-AU"/>
              </w:rPr>
              <w:t>FGFR2</w:t>
            </w:r>
            <w:r w:rsidR="003A47EF" w:rsidRPr="00217EA0">
              <w:rPr>
                <w:color w:val="auto"/>
                <w:lang w:val="en-AU"/>
              </w:rPr>
              <w:t xml:space="preserve"> status unknown</w:t>
            </w:r>
          </w:p>
        </w:tc>
        <w:tc>
          <w:tcPr>
            <w:tcW w:w="607" w:type="pct"/>
            <w:tcBorders>
              <w:top w:val="single" w:sz="4" w:space="0" w:color="auto"/>
              <w:left w:val="single" w:sz="4" w:space="0" w:color="auto"/>
              <w:bottom w:val="single" w:sz="4" w:space="0" w:color="auto"/>
              <w:right w:val="single" w:sz="4" w:space="0" w:color="auto"/>
            </w:tcBorders>
          </w:tcPr>
          <w:p w14:paraId="2089B9DB" w14:textId="77777777" w:rsidR="003A47EF" w:rsidRPr="00217EA0" w:rsidRDefault="003A47EF"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OS, PFS, ORR</w:t>
            </w:r>
          </w:p>
        </w:tc>
        <w:tc>
          <w:tcPr>
            <w:tcW w:w="603" w:type="pct"/>
            <w:tcBorders>
              <w:top w:val="single" w:sz="4" w:space="0" w:color="auto"/>
              <w:left w:val="single" w:sz="4" w:space="0" w:color="auto"/>
              <w:bottom w:val="single" w:sz="4" w:space="0" w:color="auto"/>
              <w:right w:val="single" w:sz="4" w:space="0" w:color="auto"/>
            </w:tcBorders>
          </w:tcPr>
          <w:p w14:paraId="5EABBA2F" w14:textId="77777777" w:rsidR="003A47EF" w:rsidRPr="00217EA0" w:rsidRDefault="003A47EF" w:rsidP="00FE3A7F">
            <w:pPr>
              <w:pStyle w:val="TableText"/>
              <w:keepNext/>
              <w:keepLines/>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Yes</w:t>
            </w:r>
          </w:p>
        </w:tc>
      </w:tr>
    </w:tbl>
    <w:p w14:paraId="494616B9" w14:textId="77777777" w:rsidR="003A47EF" w:rsidRPr="00217EA0" w:rsidRDefault="003A47EF" w:rsidP="003A47EF">
      <w:pPr>
        <w:pStyle w:val="TableFooter"/>
        <w:keepNext/>
        <w:keepLines/>
      </w:pPr>
      <w:r w:rsidRPr="00217EA0">
        <w:t>Source: Table 2.29, pp104-105 of the submission.</w:t>
      </w:r>
    </w:p>
    <w:p w14:paraId="20E28642" w14:textId="7C8DC814" w:rsidR="003A47EF" w:rsidRPr="00217EA0" w:rsidRDefault="003A47EF" w:rsidP="2914E55D">
      <w:pPr>
        <w:pStyle w:val="TableFooter"/>
        <w:keepNext/>
        <w:keepLines/>
      </w:pPr>
      <w:proofErr w:type="spellStart"/>
      <w:r w:rsidRPr="00217EA0">
        <w:t>iCCA</w:t>
      </w:r>
      <w:proofErr w:type="spellEnd"/>
      <w:r w:rsidRPr="00217EA0">
        <w:t xml:space="preserve"> = intrahepatic cholangiocarcinoma; MC=multi-centre; OL=open label; ORR = objective response rate; OS=overall survival; PFS=progression-free survival; R=randomised, SAS = single arm study; </w:t>
      </w:r>
    </w:p>
    <w:p w14:paraId="566CE0A9" w14:textId="21D90D3E" w:rsidR="00344904" w:rsidRPr="00217EA0" w:rsidRDefault="00344904" w:rsidP="2914E55D">
      <w:pPr>
        <w:pStyle w:val="ListParagraph"/>
        <w:rPr>
          <w:color w:val="auto"/>
        </w:rPr>
      </w:pPr>
      <w:r w:rsidRPr="00217EA0">
        <w:rPr>
          <w:color w:val="auto"/>
        </w:rPr>
        <w:t>FOENIX-CCA2 did not include durvalumab as part of the prior therapy</w:t>
      </w:r>
      <w:r w:rsidR="00BD0479" w:rsidRPr="00217EA0">
        <w:rPr>
          <w:color w:val="auto"/>
        </w:rPr>
        <w:t xml:space="preserve">, which the PBAC ESC noted is currently PBS listed </w:t>
      </w:r>
      <w:r w:rsidR="00575174" w:rsidRPr="00217EA0">
        <w:rPr>
          <w:color w:val="auto"/>
        </w:rPr>
        <w:t xml:space="preserve">as a first line treatment </w:t>
      </w:r>
      <w:r w:rsidR="0067290D" w:rsidRPr="00217EA0">
        <w:rPr>
          <w:color w:val="auto"/>
        </w:rPr>
        <w:t>in combination with gemcitabine/cisplatin</w:t>
      </w:r>
      <w:r w:rsidRPr="00217EA0">
        <w:rPr>
          <w:color w:val="auto"/>
        </w:rPr>
        <w:t xml:space="preserve">. The submission noted advice from the Advisory Board that use of durvalumab would not </w:t>
      </w:r>
      <w:r w:rsidR="00B445D0" w:rsidRPr="00217EA0">
        <w:rPr>
          <w:color w:val="auto"/>
        </w:rPr>
        <w:t xml:space="preserve">have </w:t>
      </w:r>
      <w:r w:rsidRPr="00217EA0">
        <w:rPr>
          <w:color w:val="auto"/>
        </w:rPr>
        <w:t xml:space="preserve">impacted clinical decision making in subsequent lines of therapy. </w:t>
      </w:r>
      <w:r w:rsidR="00C41DEC" w:rsidRPr="00217EA0">
        <w:rPr>
          <w:color w:val="auto"/>
        </w:rPr>
        <w:t>The evaluation noted that n</w:t>
      </w:r>
      <w:r w:rsidRPr="00217EA0">
        <w:rPr>
          <w:color w:val="auto"/>
        </w:rPr>
        <w:t xml:space="preserve">o evidence for </w:t>
      </w:r>
      <w:proofErr w:type="spellStart"/>
      <w:r w:rsidRPr="00217EA0">
        <w:rPr>
          <w:color w:val="auto"/>
        </w:rPr>
        <w:t>futibatinib</w:t>
      </w:r>
      <w:proofErr w:type="spellEnd"/>
      <w:r w:rsidRPr="00217EA0">
        <w:rPr>
          <w:color w:val="auto"/>
        </w:rPr>
        <w:t xml:space="preserve"> in patients who progressed after durvalumab was presented</w:t>
      </w:r>
      <w:r w:rsidR="00D8696D" w:rsidRPr="00217EA0">
        <w:rPr>
          <w:color w:val="auto"/>
        </w:rPr>
        <w:t>,</w:t>
      </w:r>
      <w:r w:rsidRPr="00217EA0">
        <w:rPr>
          <w:color w:val="auto"/>
        </w:rPr>
        <w:t xml:space="preserve"> and </w:t>
      </w:r>
      <w:r w:rsidR="00C41DEC" w:rsidRPr="00217EA0">
        <w:rPr>
          <w:color w:val="auto"/>
        </w:rPr>
        <w:t xml:space="preserve">considered </w:t>
      </w:r>
      <w:r w:rsidRPr="00217EA0">
        <w:rPr>
          <w:color w:val="auto"/>
        </w:rPr>
        <w:t xml:space="preserve">whether </w:t>
      </w:r>
      <w:r w:rsidR="00313921" w:rsidRPr="00217EA0">
        <w:rPr>
          <w:color w:val="auto"/>
        </w:rPr>
        <w:t xml:space="preserve">the </w:t>
      </w:r>
      <w:r w:rsidRPr="00217EA0">
        <w:rPr>
          <w:color w:val="auto"/>
        </w:rPr>
        <w:t xml:space="preserve">efficacy of </w:t>
      </w:r>
      <w:proofErr w:type="spellStart"/>
      <w:r w:rsidRPr="00217EA0">
        <w:rPr>
          <w:color w:val="auto"/>
        </w:rPr>
        <w:t>futibatinib</w:t>
      </w:r>
      <w:proofErr w:type="spellEnd"/>
      <w:r w:rsidRPr="00217EA0">
        <w:rPr>
          <w:color w:val="auto"/>
        </w:rPr>
        <w:t xml:space="preserve"> would be the same after first</w:t>
      </w:r>
      <w:r w:rsidR="003F75CC" w:rsidRPr="00217EA0">
        <w:rPr>
          <w:color w:val="auto"/>
        </w:rPr>
        <w:t>-</w:t>
      </w:r>
      <w:r w:rsidRPr="00217EA0">
        <w:rPr>
          <w:color w:val="auto"/>
        </w:rPr>
        <w:t>line durvalumab</w:t>
      </w:r>
      <w:r w:rsidR="004C0270" w:rsidRPr="00217EA0">
        <w:rPr>
          <w:color w:val="auto"/>
        </w:rPr>
        <w:t>,</w:t>
      </w:r>
      <w:r w:rsidRPr="00217EA0">
        <w:rPr>
          <w:color w:val="auto"/>
        </w:rPr>
        <w:t xml:space="preserve"> or if prior immunotherapy may be a treatment effect modifier. </w:t>
      </w:r>
      <w:r w:rsidR="009D42B2" w:rsidRPr="00217EA0">
        <w:rPr>
          <w:color w:val="auto"/>
        </w:rPr>
        <w:t xml:space="preserve">The ESCs noted that only 5% of patients in the FOENIX-CCA2 study had received prior immunotherapy. </w:t>
      </w:r>
      <w:r w:rsidR="007108D3" w:rsidRPr="00217EA0">
        <w:rPr>
          <w:color w:val="auto"/>
        </w:rPr>
        <w:t>The evaluation noted that a</w:t>
      </w:r>
      <w:r w:rsidRPr="00217EA0">
        <w:rPr>
          <w:color w:val="auto"/>
        </w:rPr>
        <w:t xml:space="preserve"> similar issue was considered previously </w:t>
      </w:r>
      <w:r w:rsidR="00387117" w:rsidRPr="00217EA0">
        <w:rPr>
          <w:color w:val="auto"/>
        </w:rPr>
        <w:t xml:space="preserve">by </w:t>
      </w:r>
      <w:r w:rsidR="00961603" w:rsidRPr="00217EA0">
        <w:rPr>
          <w:color w:val="auto"/>
        </w:rPr>
        <w:t xml:space="preserve">the </w:t>
      </w:r>
      <w:r w:rsidR="00387117" w:rsidRPr="00217EA0">
        <w:rPr>
          <w:color w:val="auto"/>
        </w:rPr>
        <w:t>PBAC</w:t>
      </w:r>
      <w:r w:rsidR="00961603" w:rsidRPr="00217EA0">
        <w:rPr>
          <w:color w:val="auto"/>
        </w:rPr>
        <w:t xml:space="preserve"> ESC</w:t>
      </w:r>
      <w:r w:rsidR="00387117" w:rsidRPr="00217EA0">
        <w:rPr>
          <w:color w:val="auto"/>
        </w:rPr>
        <w:t xml:space="preserve"> </w:t>
      </w:r>
      <w:r w:rsidRPr="00217EA0">
        <w:rPr>
          <w:color w:val="auto"/>
        </w:rPr>
        <w:t xml:space="preserve">for </w:t>
      </w:r>
      <w:proofErr w:type="spellStart"/>
      <w:r w:rsidRPr="00217EA0">
        <w:rPr>
          <w:color w:val="auto"/>
        </w:rPr>
        <w:t>ivosidenib</w:t>
      </w:r>
      <w:proofErr w:type="spellEnd"/>
      <w:r w:rsidR="00387117" w:rsidRPr="00217EA0">
        <w:rPr>
          <w:color w:val="auto"/>
        </w:rPr>
        <w:t>,</w:t>
      </w:r>
      <w:r w:rsidRPr="00217EA0">
        <w:rPr>
          <w:color w:val="auto"/>
        </w:rPr>
        <w:t xml:space="preserve"> </w:t>
      </w:r>
      <w:r w:rsidR="00347BE1" w:rsidRPr="00217EA0">
        <w:rPr>
          <w:color w:val="auto"/>
        </w:rPr>
        <w:t>where</w:t>
      </w:r>
      <w:r w:rsidRPr="00217EA0">
        <w:rPr>
          <w:color w:val="auto"/>
        </w:rPr>
        <w:t xml:space="preserve"> no clinical evidence </w:t>
      </w:r>
      <w:r w:rsidR="00347BE1" w:rsidRPr="00217EA0">
        <w:rPr>
          <w:color w:val="auto"/>
        </w:rPr>
        <w:t>was</w:t>
      </w:r>
      <w:r w:rsidRPr="00217EA0">
        <w:rPr>
          <w:color w:val="auto"/>
        </w:rPr>
        <w:t xml:space="preserve"> presented in the submission regarding the efficacy and safety of </w:t>
      </w:r>
      <w:proofErr w:type="spellStart"/>
      <w:r w:rsidRPr="00217EA0">
        <w:rPr>
          <w:color w:val="auto"/>
        </w:rPr>
        <w:t>ivosidenib</w:t>
      </w:r>
      <w:proofErr w:type="spellEnd"/>
      <w:r w:rsidRPr="00217EA0">
        <w:rPr>
          <w:color w:val="auto"/>
        </w:rPr>
        <w:t xml:space="preserve"> in patients who have previously received durvalumab, however the </w:t>
      </w:r>
      <w:r w:rsidR="00916444" w:rsidRPr="00217EA0">
        <w:rPr>
          <w:color w:val="auto"/>
        </w:rPr>
        <w:t xml:space="preserve">PBAC </w:t>
      </w:r>
      <w:r w:rsidRPr="00217EA0">
        <w:rPr>
          <w:color w:val="auto"/>
        </w:rPr>
        <w:t xml:space="preserve">ESC </w:t>
      </w:r>
      <w:r w:rsidR="008A657C" w:rsidRPr="00217EA0">
        <w:rPr>
          <w:color w:val="auto"/>
        </w:rPr>
        <w:t xml:space="preserve">previously </w:t>
      </w:r>
      <w:r w:rsidRPr="00217EA0">
        <w:rPr>
          <w:color w:val="auto"/>
        </w:rPr>
        <w:t xml:space="preserve">considered that, given the different mechanism of action of </w:t>
      </w:r>
      <w:proofErr w:type="spellStart"/>
      <w:r w:rsidRPr="00217EA0">
        <w:rPr>
          <w:color w:val="auto"/>
        </w:rPr>
        <w:t>ivosidenib</w:t>
      </w:r>
      <w:proofErr w:type="spellEnd"/>
      <w:r w:rsidRPr="00217EA0">
        <w:rPr>
          <w:color w:val="auto"/>
        </w:rPr>
        <w:t xml:space="preserve">, efficacy and safety outcomes are unlikely to be affected by prior durvalumab (paragraph 6.12, </w:t>
      </w:r>
      <w:proofErr w:type="spellStart"/>
      <w:r w:rsidRPr="00217EA0">
        <w:rPr>
          <w:color w:val="auto"/>
        </w:rPr>
        <w:t>ivosidenib</w:t>
      </w:r>
      <w:proofErr w:type="spellEnd"/>
      <w:r w:rsidRPr="00217EA0">
        <w:rPr>
          <w:color w:val="auto"/>
        </w:rPr>
        <w:t xml:space="preserve"> PSD, July 2024)</w:t>
      </w:r>
      <w:r w:rsidR="00961603" w:rsidRPr="00217EA0">
        <w:rPr>
          <w:color w:val="auto"/>
        </w:rPr>
        <w:t>.</w:t>
      </w:r>
    </w:p>
    <w:p w14:paraId="29F38E0F" w14:textId="0A299AB0" w:rsidR="00344904" w:rsidRPr="00217EA0" w:rsidRDefault="00344904" w:rsidP="2914E55D">
      <w:pPr>
        <w:pStyle w:val="ListParagraph"/>
        <w:rPr>
          <w:color w:val="auto"/>
        </w:rPr>
      </w:pPr>
      <w:r w:rsidRPr="00217EA0">
        <w:rPr>
          <w:color w:val="auto"/>
        </w:rPr>
        <w:t xml:space="preserve">Only patients with </w:t>
      </w:r>
      <w:r w:rsidR="003E5C46" w:rsidRPr="003E5C46">
        <w:rPr>
          <w:i/>
          <w:iCs/>
          <w:color w:val="auto"/>
        </w:rPr>
        <w:t>FGFR2</w:t>
      </w:r>
      <w:r w:rsidRPr="00217EA0">
        <w:rPr>
          <w:color w:val="auto"/>
        </w:rPr>
        <w:t xml:space="preserve"> fusion</w:t>
      </w:r>
      <w:r w:rsidR="003C4C50" w:rsidRPr="00217EA0">
        <w:rPr>
          <w:color w:val="auto"/>
        </w:rPr>
        <w:t xml:space="preserve">s or </w:t>
      </w:r>
      <w:r w:rsidRPr="00217EA0">
        <w:rPr>
          <w:color w:val="auto"/>
        </w:rPr>
        <w:t xml:space="preserve">rearrangements were enrolled in FOENIX-CCA2, whereas patients enrolled in ABC-06 were not selected for </w:t>
      </w:r>
      <w:r w:rsidR="003E5C46" w:rsidRPr="003E5C46">
        <w:rPr>
          <w:i/>
          <w:iCs/>
          <w:color w:val="auto"/>
        </w:rPr>
        <w:t>FGFR2</w:t>
      </w:r>
      <w:r w:rsidRPr="00217EA0">
        <w:rPr>
          <w:color w:val="auto"/>
        </w:rPr>
        <w:t xml:space="preserve"> </w:t>
      </w:r>
      <w:r w:rsidR="003C4C50" w:rsidRPr="00217EA0">
        <w:rPr>
          <w:color w:val="auto"/>
        </w:rPr>
        <w:t xml:space="preserve">alterations </w:t>
      </w:r>
      <w:r w:rsidRPr="00217EA0">
        <w:rPr>
          <w:color w:val="auto"/>
        </w:rPr>
        <w:t xml:space="preserve">and their </w:t>
      </w:r>
      <w:r w:rsidR="003E5C46" w:rsidRPr="003E5C46">
        <w:rPr>
          <w:i/>
          <w:iCs/>
          <w:color w:val="auto"/>
        </w:rPr>
        <w:t>FGFR2</w:t>
      </w:r>
      <w:r w:rsidRPr="00217EA0">
        <w:rPr>
          <w:color w:val="auto"/>
        </w:rPr>
        <w:t xml:space="preserve"> status was unknown. </w:t>
      </w:r>
    </w:p>
    <w:p w14:paraId="6F6EB421" w14:textId="64A224AA" w:rsidR="003A47EF" w:rsidRPr="00217EA0" w:rsidRDefault="003A47EF" w:rsidP="00A5481D">
      <w:pPr>
        <w:pStyle w:val="ListParagraph"/>
        <w:keepNext/>
        <w:keepLines/>
        <w:rPr>
          <w:color w:val="auto"/>
        </w:rPr>
      </w:pPr>
      <w:bookmarkStart w:id="23" w:name="_Ref190250059"/>
      <w:r w:rsidRPr="00217EA0">
        <w:rPr>
          <w:color w:val="auto"/>
        </w:rPr>
        <w:t xml:space="preserve">The </w:t>
      </w:r>
      <w:r w:rsidR="0017210D" w:rsidRPr="00217EA0">
        <w:rPr>
          <w:color w:val="auto"/>
        </w:rPr>
        <w:t xml:space="preserve">evaluation noted that the </w:t>
      </w:r>
      <w:r w:rsidRPr="00217EA0">
        <w:rPr>
          <w:color w:val="auto"/>
        </w:rPr>
        <w:t>submission’s search failed to identify two relevant publications:</w:t>
      </w:r>
      <w:bookmarkEnd w:id="23"/>
    </w:p>
    <w:p w14:paraId="05013B4C" w14:textId="792019DE" w:rsidR="003A47EF" w:rsidRPr="00217EA0" w:rsidRDefault="003A47EF" w:rsidP="00D52D8B">
      <w:pPr>
        <w:pStyle w:val="ListParagraph"/>
        <w:numPr>
          <w:ilvl w:val="0"/>
          <w:numId w:val="0"/>
        </w:numPr>
        <w:spacing w:before="0"/>
        <w:ind w:left="720"/>
        <w:rPr>
          <w:color w:val="auto"/>
        </w:rPr>
      </w:pPr>
      <w:r w:rsidRPr="00217EA0">
        <w:rPr>
          <w:color w:val="auto"/>
        </w:rPr>
        <w:t>Paine 2022</w:t>
      </w:r>
      <w:r w:rsidRPr="00217EA0">
        <w:rPr>
          <w:rStyle w:val="FootnoteReference"/>
          <w:color w:val="auto"/>
        </w:rPr>
        <w:footnoteReference w:id="3"/>
      </w:r>
      <w:r w:rsidRPr="00217EA0">
        <w:rPr>
          <w:color w:val="auto"/>
        </w:rPr>
        <w:t xml:space="preserve">, which presented a MAIC of </w:t>
      </w:r>
      <w:proofErr w:type="spellStart"/>
      <w:r w:rsidRPr="00217EA0">
        <w:rPr>
          <w:color w:val="auto"/>
        </w:rPr>
        <w:t>futibatinib</w:t>
      </w:r>
      <w:proofErr w:type="spellEnd"/>
      <w:r w:rsidRPr="00217EA0">
        <w:rPr>
          <w:color w:val="auto"/>
        </w:rPr>
        <w:t xml:space="preserve"> versus chemotherapy and </w:t>
      </w:r>
      <w:proofErr w:type="spellStart"/>
      <w:r w:rsidRPr="00217EA0">
        <w:rPr>
          <w:color w:val="auto"/>
        </w:rPr>
        <w:t>pemigatinib</w:t>
      </w:r>
      <w:proofErr w:type="spellEnd"/>
      <w:r w:rsidRPr="00217EA0">
        <w:rPr>
          <w:color w:val="auto"/>
        </w:rPr>
        <w:t xml:space="preserve"> in CCA patients with </w:t>
      </w:r>
      <w:r w:rsidR="003E5C46" w:rsidRPr="003E5C46">
        <w:rPr>
          <w:i/>
          <w:iCs/>
          <w:color w:val="auto"/>
        </w:rPr>
        <w:t>FGFR2</w:t>
      </w:r>
      <w:r w:rsidRPr="00217EA0">
        <w:rPr>
          <w:color w:val="auto"/>
        </w:rPr>
        <w:t xml:space="preserve"> fusions</w:t>
      </w:r>
      <w:r w:rsidR="00DE616D" w:rsidRPr="00217EA0">
        <w:rPr>
          <w:color w:val="auto"/>
        </w:rPr>
        <w:t xml:space="preserve"> or </w:t>
      </w:r>
      <w:r w:rsidRPr="00217EA0">
        <w:rPr>
          <w:color w:val="auto"/>
        </w:rPr>
        <w:t>rearrangements. Paine 2022 was available as an abstract and conference poster; and</w:t>
      </w:r>
    </w:p>
    <w:p w14:paraId="1B4C75E7" w14:textId="5F8D41DF" w:rsidR="003A47EF" w:rsidRPr="00217EA0" w:rsidRDefault="003A47EF" w:rsidP="00D52D8B">
      <w:pPr>
        <w:pStyle w:val="ListParagraph"/>
        <w:numPr>
          <w:ilvl w:val="0"/>
          <w:numId w:val="0"/>
        </w:numPr>
        <w:spacing w:before="0"/>
        <w:ind w:left="720"/>
        <w:rPr>
          <w:color w:val="auto"/>
        </w:rPr>
      </w:pPr>
      <w:r w:rsidRPr="00217EA0">
        <w:rPr>
          <w:color w:val="auto"/>
        </w:rPr>
        <w:t>Borad 2022</w:t>
      </w:r>
      <w:r w:rsidRPr="00217EA0">
        <w:rPr>
          <w:rStyle w:val="FootnoteReference"/>
          <w:color w:val="auto"/>
        </w:rPr>
        <w:footnoteReference w:id="4"/>
      </w:r>
      <w:r w:rsidRPr="00217EA0">
        <w:rPr>
          <w:color w:val="auto"/>
        </w:rPr>
        <w:t xml:space="preserve">, which presented a simulated treatment comparison (STC) of </w:t>
      </w:r>
      <w:proofErr w:type="spellStart"/>
      <w:r w:rsidRPr="00217EA0">
        <w:rPr>
          <w:color w:val="auto"/>
        </w:rPr>
        <w:t>futibatinib</w:t>
      </w:r>
      <w:proofErr w:type="spellEnd"/>
      <w:r w:rsidRPr="00217EA0">
        <w:rPr>
          <w:color w:val="auto"/>
        </w:rPr>
        <w:t xml:space="preserve"> versus chemotherapy and </w:t>
      </w:r>
      <w:proofErr w:type="spellStart"/>
      <w:r w:rsidRPr="00217EA0">
        <w:rPr>
          <w:color w:val="auto"/>
        </w:rPr>
        <w:t>pemigatinib</w:t>
      </w:r>
      <w:proofErr w:type="spellEnd"/>
      <w:r w:rsidRPr="00217EA0">
        <w:rPr>
          <w:color w:val="auto"/>
        </w:rPr>
        <w:t xml:space="preserve"> in CCA patients with </w:t>
      </w:r>
      <w:r w:rsidR="003E5C46" w:rsidRPr="003E5C46">
        <w:rPr>
          <w:i/>
          <w:iCs/>
          <w:color w:val="auto"/>
        </w:rPr>
        <w:t>FGFR2</w:t>
      </w:r>
      <w:r w:rsidRPr="00217EA0">
        <w:rPr>
          <w:color w:val="auto"/>
        </w:rPr>
        <w:t xml:space="preserve"> fusions</w:t>
      </w:r>
      <w:r w:rsidR="00DE616D" w:rsidRPr="00217EA0">
        <w:rPr>
          <w:color w:val="auto"/>
        </w:rPr>
        <w:t xml:space="preserve"> or </w:t>
      </w:r>
      <w:r w:rsidRPr="00217EA0">
        <w:rPr>
          <w:color w:val="auto"/>
        </w:rPr>
        <w:t xml:space="preserve">rearrangements and was available in abstract form. Borad 2022 and Paine 2022 appear to have used the same data for </w:t>
      </w:r>
      <w:r w:rsidR="00E64E2A" w:rsidRPr="00217EA0">
        <w:rPr>
          <w:color w:val="auto"/>
        </w:rPr>
        <w:t>analysis,</w:t>
      </w:r>
      <w:r w:rsidRPr="00217EA0">
        <w:rPr>
          <w:color w:val="auto"/>
        </w:rPr>
        <w:t xml:space="preserve"> but the method of indirect comparison differed. </w:t>
      </w:r>
    </w:p>
    <w:p w14:paraId="73049004" w14:textId="3C7ED2F4" w:rsidR="00C6499E" w:rsidRPr="00217EA0" w:rsidRDefault="003A47EF" w:rsidP="002A791D">
      <w:pPr>
        <w:pStyle w:val="ListParagraph"/>
        <w:spacing w:before="0"/>
        <w:rPr>
          <w:color w:val="auto"/>
        </w:rPr>
      </w:pPr>
      <w:r w:rsidRPr="00217EA0">
        <w:rPr>
          <w:color w:val="auto"/>
        </w:rPr>
        <w:t xml:space="preserve">Importantly, </w:t>
      </w:r>
      <w:r w:rsidR="007C32DE" w:rsidRPr="00217EA0">
        <w:rPr>
          <w:color w:val="auto"/>
        </w:rPr>
        <w:t xml:space="preserve">the evaluation noted that </w:t>
      </w:r>
      <w:r w:rsidRPr="00217EA0">
        <w:rPr>
          <w:color w:val="auto"/>
        </w:rPr>
        <w:t xml:space="preserve">unlike the submission’s MAIC, Paine 2022 and Borad 2022 included only patients with </w:t>
      </w:r>
      <w:r w:rsidR="003E5C46" w:rsidRPr="003E5C46">
        <w:rPr>
          <w:i/>
          <w:iCs/>
          <w:color w:val="auto"/>
        </w:rPr>
        <w:t>FGFR2</w:t>
      </w:r>
      <w:r w:rsidRPr="00217EA0">
        <w:rPr>
          <w:color w:val="auto"/>
        </w:rPr>
        <w:t xml:space="preserve"> fusion</w:t>
      </w:r>
      <w:r w:rsidR="00094007" w:rsidRPr="00217EA0">
        <w:rPr>
          <w:color w:val="auto"/>
        </w:rPr>
        <w:t xml:space="preserve">s or </w:t>
      </w:r>
      <w:r w:rsidRPr="00217EA0">
        <w:rPr>
          <w:color w:val="auto"/>
        </w:rPr>
        <w:t xml:space="preserve">rearrangements in the chemotherapy arm. </w:t>
      </w:r>
      <w:r w:rsidR="000A7CE1" w:rsidRPr="00217EA0">
        <w:rPr>
          <w:color w:val="auto"/>
        </w:rPr>
        <w:t xml:space="preserve">Results of Paine 2022 and Borad 2022 are discussed further </w:t>
      </w:r>
      <w:r w:rsidR="00D753D4" w:rsidRPr="00217EA0">
        <w:rPr>
          <w:color w:val="auto"/>
        </w:rPr>
        <w:t>in paragraphs</w:t>
      </w:r>
      <w:r w:rsidR="00F346A6" w:rsidRPr="00217EA0">
        <w:rPr>
          <w:color w:val="auto"/>
        </w:rPr>
        <w:t xml:space="preserve"> </w:t>
      </w:r>
      <w:r w:rsidR="00094007" w:rsidRPr="00217EA0">
        <w:rPr>
          <w:color w:val="auto"/>
        </w:rPr>
        <w:fldChar w:fldCharType="begin"/>
      </w:r>
      <w:r w:rsidR="00094007" w:rsidRPr="00217EA0">
        <w:rPr>
          <w:color w:val="auto"/>
        </w:rPr>
        <w:instrText xml:space="preserve"> REF _Ref191022779 \r \h  \* MERGEFORMAT </w:instrText>
      </w:r>
      <w:r w:rsidR="00094007" w:rsidRPr="00217EA0">
        <w:rPr>
          <w:color w:val="auto"/>
        </w:rPr>
      </w:r>
      <w:r w:rsidR="00094007" w:rsidRPr="00217EA0">
        <w:rPr>
          <w:color w:val="auto"/>
        </w:rPr>
        <w:fldChar w:fldCharType="separate"/>
      </w:r>
      <w:r w:rsidR="008378C4">
        <w:rPr>
          <w:color w:val="auto"/>
        </w:rPr>
        <w:t>6.46</w:t>
      </w:r>
      <w:r w:rsidR="00094007" w:rsidRPr="00217EA0">
        <w:rPr>
          <w:color w:val="auto"/>
        </w:rPr>
        <w:fldChar w:fldCharType="end"/>
      </w:r>
      <w:r w:rsidR="00F346A6" w:rsidRPr="00217EA0">
        <w:rPr>
          <w:color w:val="auto"/>
        </w:rPr>
        <w:t xml:space="preserve"> to </w:t>
      </w:r>
      <w:r w:rsidR="00F346A6" w:rsidRPr="00217EA0">
        <w:rPr>
          <w:color w:val="auto"/>
        </w:rPr>
        <w:fldChar w:fldCharType="begin"/>
      </w:r>
      <w:r w:rsidR="00F346A6" w:rsidRPr="00217EA0">
        <w:rPr>
          <w:color w:val="auto"/>
        </w:rPr>
        <w:instrText xml:space="preserve"> REF _Ref190249935 \r \h  \* MERGEFORMAT </w:instrText>
      </w:r>
      <w:r w:rsidR="00F346A6" w:rsidRPr="00217EA0">
        <w:rPr>
          <w:color w:val="auto"/>
        </w:rPr>
      </w:r>
      <w:r w:rsidR="00F346A6" w:rsidRPr="00217EA0">
        <w:rPr>
          <w:color w:val="auto"/>
        </w:rPr>
        <w:fldChar w:fldCharType="separate"/>
      </w:r>
      <w:r w:rsidR="008378C4">
        <w:rPr>
          <w:color w:val="auto"/>
        </w:rPr>
        <w:t>6.50</w:t>
      </w:r>
      <w:r w:rsidR="00F346A6" w:rsidRPr="00217EA0">
        <w:rPr>
          <w:color w:val="auto"/>
        </w:rPr>
        <w:fldChar w:fldCharType="end"/>
      </w:r>
      <w:r w:rsidR="000A7CE1" w:rsidRPr="00217EA0">
        <w:rPr>
          <w:color w:val="auto"/>
        </w:rPr>
        <w:t xml:space="preserve">. </w:t>
      </w:r>
    </w:p>
    <w:p w14:paraId="1115D9C6" w14:textId="77777777" w:rsidR="00C6499E" w:rsidRPr="00C95CD1" w:rsidRDefault="00C6499E" w:rsidP="00C95CD1">
      <w:pPr>
        <w:pStyle w:val="4-SubsectionHeading"/>
        <w:rPr>
          <w:rFonts w:asciiTheme="minorHAnsi" w:hAnsiTheme="minorHAnsi"/>
          <w:lang w:eastAsia="en-US"/>
        </w:rPr>
      </w:pPr>
      <w:r w:rsidRPr="00C95CD1">
        <w:rPr>
          <w:rFonts w:asciiTheme="minorHAnsi" w:hAnsiTheme="minorHAnsi"/>
          <w:lang w:eastAsia="en-US"/>
        </w:rPr>
        <w:t>Comparative effectiveness</w:t>
      </w:r>
    </w:p>
    <w:p w14:paraId="62067DF3" w14:textId="49D6EBAD" w:rsidR="000A7CE1" w:rsidRPr="00217EA0" w:rsidRDefault="000A7CE1" w:rsidP="00C95CD1">
      <w:pPr>
        <w:pStyle w:val="PBACESHeading1"/>
        <w:numPr>
          <w:ilvl w:val="0"/>
          <w:numId w:val="0"/>
        </w:numPr>
        <w:ind w:left="720" w:hanging="720"/>
        <w:outlineLvl w:val="2"/>
        <w:rPr>
          <w:sz w:val="24"/>
          <w:szCs w:val="22"/>
        </w:rPr>
      </w:pPr>
      <w:bookmarkStart w:id="24" w:name="_Toc187865660"/>
      <w:r w:rsidRPr="00217EA0">
        <w:rPr>
          <w:sz w:val="24"/>
          <w:szCs w:val="22"/>
        </w:rPr>
        <w:t>FOENIX-CCA2 and ABC-06 individual study/trial results</w:t>
      </w:r>
      <w:bookmarkEnd w:id="24"/>
    </w:p>
    <w:p w14:paraId="0E503F33" w14:textId="0058EDA8" w:rsidR="00981467" w:rsidRPr="00217EA0" w:rsidRDefault="00981467" w:rsidP="00F12ED0">
      <w:pPr>
        <w:pStyle w:val="ListParagraph"/>
        <w:rPr>
          <w:color w:val="auto"/>
        </w:rPr>
      </w:pPr>
      <w:r w:rsidRPr="00217EA0">
        <w:rPr>
          <w:color w:val="auto"/>
        </w:rPr>
        <w:t>A summary of the</w:t>
      </w:r>
      <w:r w:rsidR="00C84FF8" w:rsidRPr="00217EA0">
        <w:rPr>
          <w:color w:val="auto"/>
        </w:rPr>
        <w:t xml:space="preserve"> FOENIX</w:t>
      </w:r>
      <w:r w:rsidR="000A7CE1" w:rsidRPr="00217EA0">
        <w:rPr>
          <w:color w:val="auto"/>
        </w:rPr>
        <w:t>-</w:t>
      </w:r>
      <w:r w:rsidR="00C84FF8" w:rsidRPr="00217EA0">
        <w:rPr>
          <w:color w:val="auto"/>
        </w:rPr>
        <w:t>CCA2 PFS</w:t>
      </w:r>
      <w:r w:rsidRPr="00217EA0">
        <w:rPr>
          <w:color w:val="auto"/>
        </w:rPr>
        <w:t xml:space="preserve"> </w:t>
      </w:r>
      <w:r w:rsidR="000A7CE1" w:rsidRPr="00217EA0">
        <w:rPr>
          <w:color w:val="auto"/>
        </w:rPr>
        <w:t xml:space="preserve">by independent review </w:t>
      </w:r>
      <w:r w:rsidR="002A391F" w:rsidRPr="00217EA0">
        <w:rPr>
          <w:color w:val="auto"/>
        </w:rPr>
        <w:t xml:space="preserve">is </w:t>
      </w:r>
      <w:r w:rsidRPr="00217EA0">
        <w:rPr>
          <w:color w:val="auto"/>
        </w:rPr>
        <w:t xml:space="preserve">provided in </w:t>
      </w:r>
      <w:r w:rsidR="003D62A1" w:rsidRPr="00217EA0">
        <w:rPr>
          <w:color w:val="auto"/>
        </w:rPr>
        <w:fldChar w:fldCharType="begin"/>
      </w:r>
      <w:r w:rsidR="003D62A1" w:rsidRPr="00217EA0">
        <w:rPr>
          <w:color w:val="auto"/>
        </w:rPr>
        <w:instrText xml:space="preserve"> REF _Ref497116463 \h </w:instrText>
      </w:r>
      <w:r w:rsidR="00EC070E" w:rsidRPr="00217EA0">
        <w:rPr>
          <w:color w:val="auto"/>
        </w:rPr>
        <w:instrText xml:space="preserve"> \* MERGEFORMAT </w:instrText>
      </w:r>
      <w:r w:rsidR="003D62A1" w:rsidRPr="00217EA0">
        <w:rPr>
          <w:color w:val="auto"/>
        </w:rPr>
      </w:r>
      <w:r w:rsidR="003D62A1" w:rsidRPr="00217EA0">
        <w:rPr>
          <w:color w:val="auto"/>
        </w:rPr>
        <w:fldChar w:fldCharType="separate"/>
      </w:r>
      <w:r w:rsidR="008378C4" w:rsidRPr="00217EA0">
        <w:t>Table</w:t>
      </w:r>
      <w:r w:rsidR="008378C4">
        <w:t xml:space="preserve"> 7</w:t>
      </w:r>
      <w:r w:rsidR="003D62A1" w:rsidRPr="00217EA0">
        <w:rPr>
          <w:color w:val="auto"/>
        </w:rPr>
        <w:fldChar w:fldCharType="end"/>
      </w:r>
      <w:r w:rsidRPr="00217EA0">
        <w:rPr>
          <w:color w:val="auto"/>
        </w:rPr>
        <w:t>.</w:t>
      </w:r>
    </w:p>
    <w:p w14:paraId="70915DF2" w14:textId="2ABCDA01" w:rsidR="00A24664" w:rsidRPr="00217EA0" w:rsidRDefault="00C164A4" w:rsidP="00A24664">
      <w:pPr>
        <w:pStyle w:val="TableFigureHeading"/>
        <w:keepLines/>
      </w:pPr>
      <w:bookmarkStart w:id="25" w:name="_Ref497116463"/>
      <w:bookmarkStart w:id="26" w:name="Table_PBAC_7"/>
      <w:bookmarkStart w:id="27" w:name="_Toc487029168"/>
      <w:bookmarkStart w:id="28" w:name="_Toc433202796"/>
      <w:r w:rsidRPr="00217EA0">
        <w:t>Table</w:t>
      </w:r>
      <w:r w:rsidR="007A1523">
        <w:t xml:space="preserve"> </w:t>
      </w:r>
      <w:r w:rsidR="006A66A8">
        <w:fldChar w:fldCharType="begin"/>
      </w:r>
      <w:r w:rsidR="006A66A8">
        <w:instrText xml:space="preserve"> SEQ Table_PBAC. \* ARABIC </w:instrText>
      </w:r>
      <w:r w:rsidR="006A66A8">
        <w:fldChar w:fldCharType="separate"/>
      </w:r>
      <w:r w:rsidR="008378C4">
        <w:rPr>
          <w:noProof/>
        </w:rPr>
        <w:t>7</w:t>
      </w:r>
      <w:r w:rsidR="006A66A8">
        <w:rPr>
          <w:noProof/>
        </w:rPr>
        <w:fldChar w:fldCharType="end"/>
      </w:r>
      <w:bookmarkEnd w:id="25"/>
      <w:bookmarkEnd w:id="26"/>
      <w:r w:rsidR="00A5481D">
        <w:rPr>
          <w:noProof/>
        </w:rPr>
        <w:t xml:space="preserve">: </w:t>
      </w:r>
      <w:r w:rsidR="00A24664" w:rsidRPr="00217EA0">
        <w:t xml:space="preserve">Summary of Progression-free Survival by Independent Review – FOENIX-CCA2 </w:t>
      </w:r>
    </w:p>
    <w:tbl>
      <w:tblPr>
        <w:tblStyle w:val="PBACTableStyle"/>
        <w:tblW w:w="0" w:type="auto"/>
        <w:tblLook w:val="04A0" w:firstRow="1" w:lastRow="0" w:firstColumn="1" w:lastColumn="0" w:noHBand="0" w:noVBand="1"/>
        <w:tblCaption w:val="Table 7: Summary of Progression-free Survival by Independent Review – FOENIX-CCA2 "/>
      </w:tblPr>
      <w:tblGrid>
        <w:gridCol w:w="3964"/>
        <w:gridCol w:w="2552"/>
        <w:gridCol w:w="2500"/>
      </w:tblGrid>
      <w:tr w:rsidR="007900E9" w:rsidRPr="00217EA0" w14:paraId="60A572AE" w14:textId="77777777" w:rsidTr="00FE3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vMerge w:val="restart"/>
          </w:tcPr>
          <w:p w14:paraId="13CE0D92" w14:textId="77777777" w:rsidR="00A24664" w:rsidRPr="00217EA0" w:rsidRDefault="00A24664" w:rsidP="00FE3A7F">
            <w:pPr>
              <w:pStyle w:val="TableText"/>
              <w:keepNext/>
              <w:keepLines/>
              <w:rPr>
                <w:color w:val="auto"/>
                <w:lang w:val="en-AU"/>
              </w:rPr>
            </w:pPr>
          </w:p>
        </w:tc>
        <w:tc>
          <w:tcPr>
            <w:tcW w:w="5052" w:type="dxa"/>
            <w:gridSpan w:val="2"/>
          </w:tcPr>
          <w:p w14:paraId="62EB48DE" w14:textId="77777777" w:rsidR="00A24664" w:rsidRPr="00217EA0" w:rsidRDefault="00A24664" w:rsidP="00FE3A7F">
            <w:pPr>
              <w:pStyle w:val="TableText"/>
              <w:keepNext/>
              <w:keepLines/>
              <w:jc w:val="center"/>
              <w:cnfStyle w:val="100000000000" w:firstRow="1" w:lastRow="0" w:firstColumn="0" w:lastColumn="0" w:oddVBand="0" w:evenVBand="0" w:oddHBand="0" w:evenHBand="0" w:firstRowFirstColumn="0" w:firstRowLastColumn="0" w:lastRowFirstColumn="0" w:lastRowLastColumn="0"/>
              <w:rPr>
                <w:color w:val="auto"/>
                <w:lang w:val="en-AU"/>
              </w:rPr>
            </w:pPr>
            <w:r w:rsidRPr="00217EA0">
              <w:rPr>
                <w:color w:val="auto"/>
                <w:lang w:val="en-AU"/>
              </w:rPr>
              <w:t>All Treated Patients</w:t>
            </w:r>
          </w:p>
          <w:p w14:paraId="77575AA4" w14:textId="77777777" w:rsidR="00A24664" w:rsidRPr="00217EA0" w:rsidRDefault="00A24664" w:rsidP="00FE3A7F">
            <w:pPr>
              <w:pStyle w:val="TableText"/>
              <w:keepNext/>
              <w:keepLines/>
              <w:jc w:val="center"/>
              <w:cnfStyle w:val="100000000000" w:firstRow="1" w:lastRow="0" w:firstColumn="0" w:lastColumn="0" w:oddVBand="0" w:evenVBand="0" w:oddHBand="0" w:evenHBand="0" w:firstRowFirstColumn="0" w:firstRowLastColumn="0" w:lastRowFirstColumn="0" w:lastRowLastColumn="0"/>
              <w:rPr>
                <w:color w:val="auto"/>
                <w:lang w:val="en-AU"/>
              </w:rPr>
            </w:pPr>
            <w:r w:rsidRPr="00217EA0">
              <w:rPr>
                <w:color w:val="auto"/>
                <w:lang w:val="en-AU"/>
              </w:rPr>
              <w:t>(N=103)</w:t>
            </w:r>
          </w:p>
          <w:p w14:paraId="6D3D384A" w14:textId="77777777" w:rsidR="00A24664" w:rsidRPr="00217EA0" w:rsidRDefault="00A24664" w:rsidP="00FE3A7F">
            <w:pPr>
              <w:pStyle w:val="TableText"/>
              <w:keepNext/>
              <w:keepLines/>
              <w:jc w:val="center"/>
              <w:cnfStyle w:val="100000000000" w:firstRow="1" w:lastRow="0" w:firstColumn="0" w:lastColumn="0" w:oddVBand="0" w:evenVBand="0" w:oddHBand="0" w:evenHBand="0" w:firstRowFirstColumn="0" w:firstRowLastColumn="0" w:lastRowFirstColumn="0" w:lastRowLastColumn="0"/>
              <w:rPr>
                <w:color w:val="auto"/>
                <w:lang w:val="en-AU"/>
              </w:rPr>
            </w:pPr>
            <w:r w:rsidRPr="00217EA0">
              <w:rPr>
                <w:color w:val="auto"/>
                <w:lang w:val="en-AU"/>
              </w:rPr>
              <w:t>n (%)</w:t>
            </w:r>
          </w:p>
        </w:tc>
      </w:tr>
      <w:tr w:rsidR="007900E9" w:rsidRPr="00217EA0" w14:paraId="20F50BB7" w14:textId="77777777" w:rsidTr="00FE3A7F">
        <w:tc>
          <w:tcPr>
            <w:cnfStyle w:val="001000000000" w:firstRow="0" w:lastRow="0" w:firstColumn="1" w:lastColumn="0" w:oddVBand="0" w:evenVBand="0" w:oddHBand="0" w:evenHBand="0" w:firstRowFirstColumn="0" w:firstRowLastColumn="0" w:lastRowFirstColumn="0" w:lastRowLastColumn="0"/>
            <w:tcW w:w="3964" w:type="dxa"/>
            <w:vMerge/>
          </w:tcPr>
          <w:p w14:paraId="462D6A88" w14:textId="77777777" w:rsidR="00A24664" w:rsidRPr="00217EA0" w:rsidRDefault="00A24664" w:rsidP="00FE3A7F">
            <w:pPr>
              <w:pStyle w:val="TableText"/>
              <w:keepNext/>
              <w:keepLines/>
              <w:rPr>
                <w:color w:val="auto"/>
                <w:lang w:val="en-AU"/>
              </w:rPr>
            </w:pPr>
          </w:p>
        </w:tc>
        <w:tc>
          <w:tcPr>
            <w:tcW w:w="2552" w:type="dxa"/>
          </w:tcPr>
          <w:p w14:paraId="575CBDC5"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b/>
                <w:bCs/>
                <w:color w:val="auto"/>
                <w:lang w:val="en-AU"/>
              </w:rPr>
            </w:pPr>
            <w:r w:rsidRPr="00217EA0">
              <w:rPr>
                <w:b/>
                <w:bCs/>
                <w:color w:val="auto"/>
                <w:lang w:val="en-AU"/>
              </w:rPr>
              <w:t xml:space="preserve">October 2020 cut-off </w:t>
            </w:r>
          </w:p>
          <w:p w14:paraId="1BE90AA8"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b/>
                <w:bCs/>
                <w:color w:val="auto"/>
                <w:lang w:val="en-AU"/>
              </w:rPr>
            </w:pPr>
            <w:r w:rsidRPr="00217EA0">
              <w:rPr>
                <w:b/>
                <w:bCs/>
                <w:color w:val="auto"/>
                <w:lang w:val="en-AU"/>
              </w:rPr>
              <w:t>(Median follow-up 17.1 months)</w:t>
            </w:r>
          </w:p>
        </w:tc>
        <w:tc>
          <w:tcPr>
            <w:tcW w:w="2500" w:type="dxa"/>
          </w:tcPr>
          <w:p w14:paraId="564A8B93"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b/>
                <w:bCs/>
                <w:color w:val="auto"/>
                <w:lang w:val="en-AU"/>
              </w:rPr>
            </w:pPr>
            <w:r w:rsidRPr="00217EA0">
              <w:rPr>
                <w:b/>
                <w:bCs/>
                <w:color w:val="auto"/>
                <w:lang w:val="en-AU"/>
              </w:rPr>
              <w:t>May 2021 cut-off</w:t>
            </w:r>
          </w:p>
          <w:p w14:paraId="04D95741"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b/>
                <w:bCs/>
                <w:color w:val="auto"/>
                <w:lang w:val="en-AU"/>
              </w:rPr>
            </w:pPr>
            <w:r w:rsidRPr="00217EA0">
              <w:rPr>
                <w:b/>
                <w:bCs/>
                <w:color w:val="auto"/>
                <w:lang w:val="en-AU"/>
              </w:rPr>
              <w:t>(Median follow-up 25 months)</w:t>
            </w:r>
          </w:p>
        </w:tc>
      </w:tr>
      <w:tr w:rsidR="007900E9" w:rsidRPr="00217EA0" w14:paraId="357C39B5" w14:textId="77777777" w:rsidTr="00FE3A7F">
        <w:tc>
          <w:tcPr>
            <w:cnfStyle w:val="001000000000" w:firstRow="0" w:lastRow="0" w:firstColumn="1" w:lastColumn="0" w:oddVBand="0" w:evenVBand="0" w:oddHBand="0" w:evenHBand="0" w:firstRowFirstColumn="0" w:firstRowLastColumn="0" w:lastRowFirstColumn="0" w:lastRowLastColumn="0"/>
            <w:tcW w:w="3964" w:type="dxa"/>
          </w:tcPr>
          <w:p w14:paraId="73CF40AC" w14:textId="77777777" w:rsidR="00A24664" w:rsidRPr="00217EA0" w:rsidRDefault="00A24664" w:rsidP="00FE3A7F">
            <w:pPr>
              <w:pStyle w:val="TableText"/>
              <w:keepNext/>
              <w:keepLines/>
              <w:rPr>
                <w:color w:val="auto"/>
                <w:lang w:val="en-AU"/>
              </w:rPr>
            </w:pPr>
            <w:r w:rsidRPr="00217EA0">
              <w:rPr>
                <w:color w:val="auto"/>
                <w:lang w:val="en-AU"/>
              </w:rPr>
              <w:t xml:space="preserve">Disease progression or deaths, n (%) </w:t>
            </w:r>
          </w:p>
        </w:tc>
        <w:tc>
          <w:tcPr>
            <w:tcW w:w="2552" w:type="dxa"/>
          </w:tcPr>
          <w:p w14:paraId="70F0F47A"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64 (62.1)</w:t>
            </w:r>
          </w:p>
        </w:tc>
        <w:tc>
          <w:tcPr>
            <w:tcW w:w="2500" w:type="dxa"/>
          </w:tcPr>
          <w:p w14:paraId="66DFDF09"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78 (75.7)</w:t>
            </w:r>
          </w:p>
        </w:tc>
      </w:tr>
      <w:tr w:rsidR="007900E9" w:rsidRPr="00217EA0" w14:paraId="742D0123" w14:textId="77777777" w:rsidTr="00FE3A7F">
        <w:tc>
          <w:tcPr>
            <w:cnfStyle w:val="001000000000" w:firstRow="0" w:lastRow="0" w:firstColumn="1" w:lastColumn="0" w:oddVBand="0" w:evenVBand="0" w:oddHBand="0" w:evenHBand="0" w:firstRowFirstColumn="0" w:firstRowLastColumn="0" w:lastRowFirstColumn="0" w:lastRowLastColumn="0"/>
            <w:tcW w:w="3964" w:type="dxa"/>
          </w:tcPr>
          <w:p w14:paraId="79BE9BA2" w14:textId="77777777" w:rsidR="00A24664" w:rsidRPr="00217EA0" w:rsidRDefault="00A24664" w:rsidP="00FE3A7F">
            <w:pPr>
              <w:pStyle w:val="TableText"/>
              <w:keepNext/>
              <w:keepLines/>
              <w:rPr>
                <w:color w:val="auto"/>
                <w:lang w:val="en-AU"/>
              </w:rPr>
            </w:pPr>
            <w:r w:rsidRPr="00217EA0">
              <w:rPr>
                <w:color w:val="auto"/>
                <w:lang w:val="en-AU"/>
              </w:rPr>
              <w:t xml:space="preserve">Censored patients, n (%) </w:t>
            </w:r>
          </w:p>
        </w:tc>
        <w:tc>
          <w:tcPr>
            <w:tcW w:w="2552" w:type="dxa"/>
          </w:tcPr>
          <w:p w14:paraId="20658F9D"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39 (37.9)</w:t>
            </w:r>
          </w:p>
        </w:tc>
        <w:tc>
          <w:tcPr>
            <w:tcW w:w="2500" w:type="dxa"/>
          </w:tcPr>
          <w:p w14:paraId="734333F4"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25 (24.3)</w:t>
            </w:r>
          </w:p>
        </w:tc>
      </w:tr>
      <w:tr w:rsidR="007900E9" w:rsidRPr="00217EA0" w14:paraId="5AA70EFF" w14:textId="77777777" w:rsidTr="00FE3A7F">
        <w:tc>
          <w:tcPr>
            <w:cnfStyle w:val="001000000000" w:firstRow="0" w:lastRow="0" w:firstColumn="1" w:lastColumn="0" w:oddVBand="0" w:evenVBand="0" w:oddHBand="0" w:evenHBand="0" w:firstRowFirstColumn="0" w:firstRowLastColumn="0" w:lastRowFirstColumn="0" w:lastRowLastColumn="0"/>
            <w:tcW w:w="3964" w:type="dxa"/>
          </w:tcPr>
          <w:p w14:paraId="7D919253" w14:textId="77777777" w:rsidR="00A24664" w:rsidRPr="00217EA0" w:rsidRDefault="00A24664" w:rsidP="00FE3A7F">
            <w:pPr>
              <w:pStyle w:val="TableText"/>
              <w:keepNext/>
              <w:keepLines/>
              <w:rPr>
                <w:color w:val="auto"/>
                <w:lang w:val="en-AU"/>
              </w:rPr>
            </w:pPr>
            <w:r w:rsidRPr="00217EA0">
              <w:rPr>
                <w:color w:val="auto"/>
                <w:lang w:val="en-AU"/>
              </w:rPr>
              <w:t xml:space="preserve">No baseline assessment </w:t>
            </w:r>
          </w:p>
        </w:tc>
        <w:tc>
          <w:tcPr>
            <w:tcW w:w="2552" w:type="dxa"/>
          </w:tcPr>
          <w:p w14:paraId="54A768AC"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0</w:t>
            </w:r>
          </w:p>
        </w:tc>
        <w:tc>
          <w:tcPr>
            <w:tcW w:w="2500" w:type="dxa"/>
          </w:tcPr>
          <w:p w14:paraId="35676554"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0</w:t>
            </w:r>
          </w:p>
        </w:tc>
      </w:tr>
      <w:tr w:rsidR="007900E9" w:rsidRPr="00217EA0" w14:paraId="6A240996" w14:textId="77777777" w:rsidTr="00FE3A7F">
        <w:tc>
          <w:tcPr>
            <w:cnfStyle w:val="001000000000" w:firstRow="0" w:lastRow="0" w:firstColumn="1" w:lastColumn="0" w:oddVBand="0" w:evenVBand="0" w:oddHBand="0" w:evenHBand="0" w:firstRowFirstColumn="0" w:firstRowLastColumn="0" w:lastRowFirstColumn="0" w:lastRowLastColumn="0"/>
            <w:tcW w:w="3964" w:type="dxa"/>
          </w:tcPr>
          <w:p w14:paraId="55F7316A" w14:textId="77777777" w:rsidR="00A24664" w:rsidRPr="00217EA0" w:rsidRDefault="00A24664" w:rsidP="00FE3A7F">
            <w:pPr>
              <w:pStyle w:val="TableText"/>
              <w:keepNext/>
              <w:keepLines/>
              <w:rPr>
                <w:color w:val="auto"/>
                <w:lang w:val="en-AU"/>
              </w:rPr>
            </w:pPr>
            <w:r w:rsidRPr="00217EA0">
              <w:rPr>
                <w:color w:val="auto"/>
                <w:lang w:val="en-AU"/>
              </w:rPr>
              <w:t xml:space="preserve">No post-baseline assessment </w:t>
            </w:r>
          </w:p>
        </w:tc>
        <w:tc>
          <w:tcPr>
            <w:tcW w:w="2552" w:type="dxa"/>
          </w:tcPr>
          <w:p w14:paraId="072F951D"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1 (1.0)</w:t>
            </w:r>
          </w:p>
        </w:tc>
        <w:tc>
          <w:tcPr>
            <w:tcW w:w="2500" w:type="dxa"/>
          </w:tcPr>
          <w:p w14:paraId="477838B3"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1 (1.0)</w:t>
            </w:r>
          </w:p>
        </w:tc>
      </w:tr>
      <w:tr w:rsidR="007900E9" w:rsidRPr="00217EA0" w14:paraId="42069A30" w14:textId="77777777" w:rsidTr="00FE3A7F">
        <w:tc>
          <w:tcPr>
            <w:cnfStyle w:val="001000000000" w:firstRow="0" w:lastRow="0" w:firstColumn="1" w:lastColumn="0" w:oddVBand="0" w:evenVBand="0" w:oddHBand="0" w:evenHBand="0" w:firstRowFirstColumn="0" w:firstRowLastColumn="0" w:lastRowFirstColumn="0" w:lastRowLastColumn="0"/>
            <w:tcW w:w="3964" w:type="dxa"/>
          </w:tcPr>
          <w:p w14:paraId="0390A22D" w14:textId="77777777" w:rsidR="00A24664" w:rsidRPr="00217EA0" w:rsidRDefault="00A24664" w:rsidP="00FE3A7F">
            <w:pPr>
              <w:pStyle w:val="TableText"/>
              <w:keepNext/>
              <w:keepLines/>
              <w:rPr>
                <w:color w:val="auto"/>
                <w:lang w:val="en-AU"/>
              </w:rPr>
            </w:pPr>
            <w:r w:rsidRPr="00217EA0">
              <w:rPr>
                <w:color w:val="auto"/>
                <w:lang w:val="en-AU"/>
              </w:rPr>
              <w:t xml:space="preserve">New anticancer treatment </w:t>
            </w:r>
          </w:p>
        </w:tc>
        <w:tc>
          <w:tcPr>
            <w:tcW w:w="2552" w:type="dxa"/>
          </w:tcPr>
          <w:p w14:paraId="5EAA544A"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3 (2.9)</w:t>
            </w:r>
          </w:p>
        </w:tc>
        <w:tc>
          <w:tcPr>
            <w:tcW w:w="2500" w:type="dxa"/>
          </w:tcPr>
          <w:p w14:paraId="477080B6"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4 (3.9)</w:t>
            </w:r>
          </w:p>
        </w:tc>
      </w:tr>
      <w:tr w:rsidR="007900E9" w:rsidRPr="00217EA0" w14:paraId="7E680E13" w14:textId="77777777" w:rsidTr="00FE3A7F">
        <w:tc>
          <w:tcPr>
            <w:cnfStyle w:val="001000000000" w:firstRow="0" w:lastRow="0" w:firstColumn="1" w:lastColumn="0" w:oddVBand="0" w:evenVBand="0" w:oddHBand="0" w:evenHBand="0" w:firstRowFirstColumn="0" w:firstRowLastColumn="0" w:lastRowFirstColumn="0" w:lastRowLastColumn="0"/>
            <w:tcW w:w="3964" w:type="dxa"/>
          </w:tcPr>
          <w:p w14:paraId="01B9D707" w14:textId="77777777" w:rsidR="00A24664" w:rsidRPr="00217EA0" w:rsidRDefault="00A24664" w:rsidP="00FE3A7F">
            <w:pPr>
              <w:pStyle w:val="TableText"/>
              <w:keepNext/>
              <w:keepLines/>
              <w:rPr>
                <w:color w:val="auto"/>
                <w:lang w:val="en-AU"/>
              </w:rPr>
            </w:pPr>
            <w:r w:rsidRPr="00217EA0">
              <w:rPr>
                <w:color w:val="auto"/>
                <w:lang w:val="en-AU"/>
              </w:rPr>
              <w:t xml:space="preserve">Treatment discontinued without PD/death </w:t>
            </w:r>
          </w:p>
        </w:tc>
        <w:tc>
          <w:tcPr>
            <w:tcW w:w="2552" w:type="dxa"/>
          </w:tcPr>
          <w:p w14:paraId="517AEB47"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5 (4.9)</w:t>
            </w:r>
          </w:p>
        </w:tc>
        <w:tc>
          <w:tcPr>
            <w:tcW w:w="2500" w:type="dxa"/>
          </w:tcPr>
          <w:p w14:paraId="73A0E46D"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9 (8.7)</w:t>
            </w:r>
          </w:p>
        </w:tc>
      </w:tr>
      <w:tr w:rsidR="007900E9" w:rsidRPr="00217EA0" w14:paraId="716E3D7E" w14:textId="77777777" w:rsidTr="00FE3A7F">
        <w:tc>
          <w:tcPr>
            <w:cnfStyle w:val="001000000000" w:firstRow="0" w:lastRow="0" w:firstColumn="1" w:lastColumn="0" w:oddVBand="0" w:evenVBand="0" w:oddHBand="0" w:evenHBand="0" w:firstRowFirstColumn="0" w:firstRowLastColumn="0" w:lastRowFirstColumn="0" w:lastRowLastColumn="0"/>
            <w:tcW w:w="3964" w:type="dxa"/>
          </w:tcPr>
          <w:p w14:paraId="78F0DF11" w14:textId="77777777" w:rsidR="00A24664" w:rsidRPr="00217EA0" w:rsidRDefault="00A24664" w:rsidP="00FE3A7F">
            <w:pPr>
              <w:pStyle w:val="TableText"/>
              <w:keepNext/>
              <w:keepLines/>
              <w:rPr>
                <w:color w:val="auto"/>
                <w:lang w:val="en-AU"/>
              </w:rPr>
            </w:pPr>
            <w:r w:rsidRPr="00217EA0">
              <w:rPr>
                <w:color w:val="auto"/>
                <w:lang w:val="en-AU"/>
              </w:rPr>
              <w:t xml:space="preserve">PD/Death greater than 21 days after the last dose </w:t>
            </w:r>
          </w:p>
        </w:tc>
        <w:tc>
          <w:tcPr>
            <w:tcW w:w="2552" w:type="dxa"/>
          </w:tcPr>
          <w:p w14:paraId="4BAA8C3B"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10 (9.7)</w:t>
            </w:r>
          </w:p>
        </w:tc>
        <w:tc>
          <w:tcPr>
            <w:tcW w:w="2500" w:type="dxa"/>
          </w:tcPr>
          <w:p w14:paraId="68D2936A"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11 (10.7)</w:t>
            </w:r>
          </w:p>
        </w:tc>
      </w:tr>
      <w:tr w:rsidR="007900E9" w:rsidRPr="00217EA0" w14:paraId="72A3FF06" w14:textId="77777777" w:rsidTr="00FE3A7F">
        <w:tc>
          <w:tcPr>
            <w:cnfStyle w:val="001000000000" w:firstRow="0" w:lastRow="0" w:firstColumn="1" w:lastColumn="0" w:oddVBand="0" w:evenVBand="0" w:oddHBand="0" w:evenHBand="0" w:firstRowFirstColumn="0" w:firstRowLastColumn="0" w:lastRowFirstColumn="0" w:lastRowLastColumn="0"/>
            <w:tcW w:w="3964" w:type="dxa"/>
          </w:tcPr>
          <w:p w14:paraId="2D3A11DF" w14:textId="77777777" w:rsidR="00A24664" w:rsidRPr="00217EA0" w:rsidRDefault="00A24664" w:rsidP="00FE3A7F">
            <w:pPr>
              <w:pStyle w:val="TableText"/>
              <w:keepNext/>
              <w:keepLines/>
              <w:rPr>
                <w:color w:val="auto"/>
                <w:lang w:val="en-AU"/>
              </w:rPr>
            </w:pPr>
            <w:r w:rsidRPr="00217EA0">
              <w:rPr>
                <w:color w:val="auto"/>
                <w:lang w:val="en-AU"/>
              </w:rPr>
              <w:t xml:space="preserve">Patient still on treatment without PD </w:t>
            </w:r>
          </w:p>
        </w:tc>
        <w:tc>
          <w:tcPr>
            <w:tcW w:w="2552" w:type="dxa"/>
          </w:tcPr>
          <w:p w14:paraId="27CC5EAC"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20 (19.4)</w:t>
            </w:r>
          </w:p>
        </w:tc>
        <w:tc>
          <w:tcPr>
            <w:tcW w:w="2500" w:type="dxa"/>
          </w:tcPr>
          <w:p w14:paraId="6658AAF9" w14:textId="3DB98BB1"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0</w:t>
            </w:r>
          </w:p>
        </w:tc>
      </w:tr>
      <w:tr w:rsidR="007900E9" w:rsidRPr="00217EA0" w14:paraId="74CD1EFE" w14:textId="77777777" w:rsidTr="00FE3A7F">
        <w:tc>
          <w:tcPr>
            <w:cnfStyle w:val="001000000000" w:firstRow="0" w:lastRow="0" w:firstColumn="1" w:lastColumn="0" w:oddVBand="0" w:evenVBand="0" w:oddHBand="0" w:evenHBand="0" w:firstRowFirstColumn="0" w:firstRowLastColumn="0" w:lastRowFirstColumn="0" w:lastRowLastColumn="0"/>
            <w:tcW w:w="3964" w:type="dxa"/>
          </w:tcPr>
          <w:p w14:paraId="187B90F4" w14:textId="77777777" w:rsidR="00A24664" w:rsidRPr="00217EA0" w:rsidRDefault="00A24664" w:rsidP="00FE3A7F">
            <w:pPr>
              <w:pStyle w:val="TableText"/>
              <w:keepNext/>
              <w:keepLines/>
              <w:rPr>
                <w:b/>
                <w:bCs/>
                <w:color w:val="auto"/>
                <w:lang w:val="en-AU"/>
              </w:rPr>
            </w:pPr>
            <w:r w:rsidRPr="00217EA0">
              <w:rPr>
                <w:b/>
                <w:bCs/>
                <w:color w:val="auto"/>
                <w:lang w:val="en-AU"/>
              </w:rPr>
              <w:t>PFS (months)</w:t>
            </w:r>
          </w:p>
        </w:tc>
        <w:tc>
          <w:tcPr>
            <w:tcW w:w="2552" w:type="dxa"/>
          </w:tcPr>
          <w:p w14:paraId="57749936"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2500" w:type="dxa"/>
          </w:tcPr>
          <w:p w14:paraId="2F268BC7"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p>
        </w:tc>
      </w:tr>
      <w:tr w:rsidR="007900E9" w:rsidRPr="00217EA0" w14:paraId="7BA9C98C" w14:textId="77777777" w:rsidTr="00FE3A7F">
        <w:tc>
          <w:tcPr>
            <w:cnfStyle w:val="001000000000" w:firstRow="0" w:lastRow="0" w:firstColumn="1" w:lastColumn="0" w:oddVBand="0" w:evenVBand="0" w:oddHBand="0" w:evenHBand="0" w:firstRowFirstColumn="0" w:firstRowLastColumn="0" w:lastRowFirstColumn="0" w:lastRowLastColumn="0"/>
            <w:tcW w:w="3964" w:type="dxa"/>
          </w:tcPr>
          <w:p w14:paraId="7C2ADDF9" w14:textId="77777777" w:rsidR="00A24664" w:rsidRPr="00217EA0" w:rsidRDefault="00A24664" w:rsidP="00FE3A7F">
            <w:pPr>
              <w:pStyle w:val="TableText"/>
              <w:keepNext/>
              <w:keepLines/>
              <w:rPr>
                <w:color w:val="auto"/>
                <w:lang w:val="en-AU"/>
              </w:rPr>
            </w:pPr>
            <w:r w:rsidRPr="00217EA0">
              <w:rPr>
                <w:color w:val="auto"/>
                <w:lang w:val="en-AU"/>
              </w:rPr>
              <w:t xml:space="preserve">Median (95% CI) </w:t>
            </w:r>
          </w:p>
        </w:tc>
        <w:tc>
          <w:tcPr>
            <w:tcW w:w="2552" w:type="dxa"/>
          </w:tcPr>
          <w:p w14:paraId="13928249"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9.0 (6.9, 13.1)</w:t>
            </w:r>
          </w:p>
        </w:tc>
        <w:tc>
          <w:tcPr>
            <w:tcW w:w="2500" w:type="dxa"/>
          </w:tcPr>
          <w:p w14:paraId="769CE27D"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8.9 (6.7, 11.0)</w:t>
            </w:r>
          </w:p>
        </w:tc>
      </w:tr>
      <w:tr w:rsidR="007900E9" w:rsidRPr="00217EA0" w14:paraId="682CD65B" w14:textId="77777777" w:rsidTr="00FE3A7F">
        <w:tc>
          <w:tcPr>
            <w:cnfStyle w:val="001000000000" w:firstRow="0" w:lastRow="0" w:firstColumn="1" w:lastColumn="0" w:oddVBand="0" w:evenVBand="0" w:oddHBand="0" w:evenHBand="0" w:firstRowFirstColumn="0" w:firstRowLastColumn="0" w:lastRowFirstColumn="0" w:lastRowLastColumn="0"/>
            <w:tcW w:w="3964" w:type="dxa"/>
          </w:tcPr>
          <w:p w14:paraId="3BA5EE87" w14:textId="77777777" w:rsidR="00A24664" w:rsidRPr="00217EA0" w:rsidRDefault="00A24664" w:rsidP="00FE3A7F">
            <w:pPr>
              <w:pStyle w:val="TableText"/>
              <w:keepNext/>
              <w:keepLines/>
              <w:rPr>
                <w:color w:val="auto"/>
                <w:lang w:val="en-AU"/>
              </w:rPr>
            </w:pPr>
            <w:r w:rsidRPr="00217EA0">
              <w:rPr>
                <w:color w:val="auto"/>
                <w:lang w:val="en-AU"/>
              </w:rPr>
              <w:t xml:space="preserve">1st quartile (95% CI) </w:t>
            </w:r>
          </w:p>
        </w:tc>
        <w:tc>
          <w:tcPr>
            <w:tcW w:w="2552" w:type="dxa"/>
          </w:tcPr>
          <w:p w14:paraId="67BC95D2"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4.8 (2.9, 6.0)</w:t>
            </w:r>
          </w:p>
        </w:tc>
        <w:tc>
          <w:tcPr>
            <w:tcW w:w="2500" w:type="dxa"/>
          </w:tcPr>
          <w:p w14:paraId="48CC7EE4"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4.8 (2.9, 5.1)</w:t>
            </w:r>
          </w:p>
        </w:tc>
      </w:tr>
      <w:tr w:rsidR="007900E9" w:rsidRPr="00217EA0" w14:paraId="6F53CEDD" w14:textId="77777777" w:rsidTr="00FE3A7F">
        <w:tc>
          <w:tcPr>
            <w:cnfStyle w:val="001000000000" w:firstRow="0" w:lastRow="0" w:firstColumn="1" w:lastColumn="0" w:oddVBand="0" w:evenVBand="0" w:oddHBand="0" w:evenHBand="0" w:firstRowFirstColumn="0" w:firstRowLastColumn="0" w:lastRowFirstColumn="0" w:lastRowLastColumn="0"/>
            <w:tcW w:w="3964" w:type="dxa"/>
          </w:tcPr>
          <w:p w14:paraId="1B283F9F" w14:textId="77777777" w:rsidR="00A24664" w:rsidRPr="00217EA0" w:rsidRDefault="00A24664" w:rsidP="00FE3A7F">
            <w:pPr>
              <w:pStyle w:val="TableText"/>
              <w:keepNext/>
              <w:keepLines/>
              <w:rPr>
                <w:color w:val="auto"/>
                <w:lang w:val="en-AU"/>
              </w:rPr>
            </w:pPr>
            <w:r w:rsidRPr="00217EA0">
              <w:rPr>
                <w:color w:val="auto"/>
                <w:lang w:val="en-AU"/>
              </w:rPr>
              <w:t xml:space="preserve">3rd quartile (95% CI) </w:t>
            </w:r>
          </w:p>
        </w:tc>
        <w:tc>
          <w:tcPr>
            <w:tcW w:w="2552" w:type="dxa"/>
          </w:tcPr>
          <w:p w14:paraId="721D7314"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15.6 (13.3, 19.1)</w:t>
            </w:r>
          </w:p>
        </w:tc>
        <w:tc>
          <w:tcPr>
            <w:tcW w:w="2500" w:type="dxa"/>
          </w:tcPr>
          <w:p w14:paraId="6ED4A892"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15.0 (12.5, 16.7)</w:t>
            </w:r>
          </w:p>
        </w:tc>
      </w:tr>
      <w:tr w:rsidR="007900E9" w:rsidRPr="00217EA0" w14:paraId="31DB2465" w14:textId="77777777" w:rsidTr="00FE3A7F">
        <w:tc>
          <w:tcPr>
            <w:cnfStyle w:val="001000000000" w:firstRow="0" w:lastRow="0" w:firstColumn="1" w:lastColumn="0" w:oddVBand="0" w:evenVBand="0" w:oddHBand="0" w:evenHBand="0" w:firstRowFirstColumn="0" w:firstRowLastColumn="0" w:lastRowFirstColumn="0" w:lastRowLastColumn="0"/>
            <w:tcW w:w="3964" w:type="dxa"/>
          </w:tcPr>
          <w:p w14:paraId="7D33EECA" w14:textId="77777777" w:rsidR="00A24664" w:rsidRPr="00217EA0" w:rsidRDefault="00A24664" w:rsidP="00FE3A7F">
            <w:pPr>
              <w:pStyle w:val="TableText"/>
              <w:keepNext/>
              <w:keepLines/>
              <w:rPr>
                <w:color w:val="auto"/>
                <w:lang w:val="en-AU"/>
              </w:rPr>
            </w:pPr>
            <w:r w:rsidRPr="00217EA0">
              <w:rPr>
                <w:color w:val="auto"/>
                <w:lang w:val="en-AU"/>
              </w:rPr>
              <w:t>PFS Rate (%) (95% CI)</w:t>
            </w:r>
          </w:p>
        </w:tc>
        <w:tc>
          <w:tcPr>
            <w:tcW w:w="2552" w:type="dxa"/>
          </w:tcPr>
          <w:p w14:paraId="4C5CBAFC"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2500" w:type="dxa"/>
          </w:tcPr>
          <w:p w14:paraId="1C7E3C47"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p>
        </w:tc>
      </w:tr>
      <w:tr w:rsidR="007900E9" w:rsidRPr="00217EA0" w14:paraId="65F97B90" w14:textId="77777777" w:rsidTr="00FE3A7F">
        <w:tc>
          <w:tcPr>
            <w:cnfStyle w:val="001000000000" w:firstRow="0" w:lastRow="0" w:firstColumn="1" w:lastColumn="0" w:oddVBand="0" w:evenVBand="0" w:oddHBand="0" w:evenHBand="0" w:firstRowFirstColumn="0" w:firstRowLastColumn="0" w:lastRowFirstColumn="0" w:lastRowLastColumn="0"/>
            <w:tcW w:w="3964" w:type="dxa"/>
          </w:tcPr>
          <w:p w14:paraId="3F0FFDCC" w14:textId="77777777" w:rsidR="00A24664" w:rsidRPr="00217EA0" w:rsidRDefault="00A24664" w:rsidP="00FE3A7F">
            <w:pPr>
              <w:pStyle w:val="TableText"/>
              <w:keepNext/>
              <w:keepLines/>
              <w:rPr>
                <w:color w:val="auto"/>
                <w:lang w:val="en-AU"/>
              </w:rPr>
            </w:pPr>
            <w:r w:rsidRPr="00217EA0">
              <w:rPr>
                <w:color w:val="auto"/>
                <w:lang w:val="en-AU"/>
              </w:rPr>
              <w:t xml:space="preserve">At 3 months </w:t>
            </w:r>
          </w:p>
        </w:tc>
        <w:tc>
          <w:tcPr>
            <w:tcW w:w="2552" w:type="dxa"/>
          </w:tcPr>
          <w:p w14:paraId="63886368"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82.9 (73.9, 89.0)</w:t>
            </w:r>
          </w:p>
        </w:tc>
        <w:tc>
          <w:tcPr>
            <w:tcW w:w="2500" w:type="dxa"/>
          </w:tcPr>
          <w:p w14:paraId="025A86FE"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82.9 (73.9, 89.0)</w:t>
            </w:r>
          </w:p>
        </w:tc>
      </w:tr>
      <w:tr w:rsidR="007900E9" w:rsidRPr="00217EA0" w14:paraId="787D9E37" w14:textId="77777777" w:rsidTr="00FE3A7F">
        <w:tc>
          <w:tcPr>
            <w:cnfStyle w:val="001000000000" w:firstRow="0" w:lastRow="0" w:firstColumn="1" w:lastColumn="0" w:oddVBand="0" w:evenVBand="0" w:oddHBand="0" w:evenHBand="0" w:firstRowFirstColumn="0" w:firstRowLastColumn="0" w:lastRowFirstColumn="0" w:lastRowLastColumn="0"/>
            <w:tcW w:w="3964" w:type="dxa"/>
          </w:tcPr>
          <w:p w14:paraId="2F06337C" w14:textId="77777777" w:rsidR="00A24664" w:rsidRPr="00217EA0" w:rsidRDefault="00A24664" w:rsidP="00FE3A7F">
            <w:pPr>
              <w:pStyle w:val="TableText"/>
              <w:keepNext/>
              <w:keepLines/>
              <w:rPr>
                <w:color w:val="auto"/>
                <w:lang w:val="en-AU"/>
              </w:rPr>
            </w:pPr>
            <w:r w:rsidRPr="00217EA0">
              <w:rPr>
                <w:color w:val="auto"/>
                <w:lang w:val="en-AU"/>
              </w:rPr>
              <w:t xml:space="preserve">At 6 months </w:t>
            </w:r>
          </w:p>
        </w:tc>
        <w:tc>
          <w:tcPr>
            <w:tcW w:w="2552" w:type="dxa"/>
          </w:tcPr>
          <w:p w14:paraId="1BF1E34E"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66.1 (55.7, 74.6)</w:t>
            </w:r>
          </w:p>
        </w:tc>
        <w:tc>
          <w:tcPr>
            <w:tcW w:w="2500" w:type="dxa"/>
          </w:tcPr>
          <w:p w14:paraId="29A9F736"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65.0 (54.6, 73.6)</w:t>
            </w:r>
          </w:p>
        </w:tc>
      </w:tr>
      <w:tr w:rsidR="007900E9" w:rsidRPr="00217EA0" w14:paraId="6511551B" w14:textId="77777777" w:rsidTr="00FE3A7F">
        <w:tc>
          <w:tcPr>
            <w:cnfStyle w:val="001000000000" w:firstRow="0" w:lastRow="0" w:firstColumn="1" w:lastColumn="0" w:oddVBand="0" w:evenVBand="0" w:oddHBand="0" w:evenHBand="0" w:firstRowFirstColumn="0" w:firstRowLastColumn="0" w:lastRowFirstColumn="0" w:lastRowLastColumn="0"/>
            <w:tcW w:w="3964" w:type="dxa"/>
          </w:tcPr>
          <w:p w14:paraId="062BAEC0" w14:textId="77777777" w:rsidR="00A24664" w:rsidRPr="00217EA0" w:rsidRDefault="00A24664" w:rsidP="00FE3A7F">
            <w:pPr>
              <w:pStyle w:val="TableText"/>
              <w:keepNext/>
              <w:keepLines/>
              <w:rPr>
                <w:color w:val="auto"/>
                <w:lang w:val="en-AU"/>
              </w:rPr>
            </w:pPr>
            <w:r w:rsidRPr="00217EA0">
              <w:rPr>
                <w:color w:val="auto"/>
                <w:lang w:val="en-AU"/>
              </w:rPr>
              <w:t xml:space="preserve">At 9 months </w:t>
            </w:r>
          </w:p>
        </w:tc>
        <w:tc>
          <w:tcPr>
            <w:tcW w:w="2552" w:type="dxa"/>
          </w:tcPr>
          <w:p w14:paraId="54DBBE83"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50.0 (39.4, 59.8)</w:t>
            </w:r>
          </w:p>
        </w:tc>
        <w:tc>
          <w:tcPr>
            <w:tcW w:w="2500" w:type="dxa"/>
          </w:tcPr>
          <w:p w14:paraId="0D287B5D"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48.1 (37.6, 57.9)</w:t>
            </w:r>
          </w:p>
        </w:tc>
      </w:tr>
      <w:tr w:rsidR="007900E9" w:rsidRPr="00217EA0" w14:paraId="4951646B" w14:textId="77777777" w:rsidTr="00FE3A7F">
        <w:tc>
          <w:tcPr>
            <w:cnfStyle w:val="001000000000" w:firstRow="0" w:lastRow="0" w:firstColumn="1" w:lastColumn="0" w:oddVBand="0" w:evenVBand="0" w:oddHBand="0" w:evenHBand="0" w:firstRowFirstColumn="0" w:firstRowLastColumn="0" w:lastRowFirstColumn="0" w:lastRowLastColumn="0"/>
            <w:tcW w:w="3964" w:type="dxa"/>
          </w:tcPr>
          <w:p w14:paraId="64FAE118" w14:textId="77777777" w:rsidR="00A24664" w:rsidRPr="00217EA0" w:rsidRDefault="00A24664" w:rsidP="00FE3A7F">
            <w:pPr>
              <w:pStyle w:val="TableText"/>
              <w:keepNext/>
              <w:keepLines/>
              <w:rPr>
                <w:color w:val="auto"/>
                <w:lang w:val="en-AU"/>
              </w:rPr>
            </w:pPr>
            <w:r w:rsidRPr="00217EA0">
              <w:rPr>
                <w:color w:val="auto"/>
                <w:lang w:val="en-AU"/>
              </w:rPr>
              <w:t xml:space="preserve">At 12 months </w:t>
            </w:r>
          </w:p>
        </w:tc>
        <w:tc>
          <w:tcPr>
            <w:tcW w:w="2552" w:type="dxa"/>
          </w:tcPr>
          <w:p w14:paraId="079A5254"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40.0 (29.1, 50.7)</w:t>
            </w:r>
          </w:p>
        </w:tc>
        <w:tc>
          <w:tcPr>
            <w:tcW w:w="2500" w:type="dxa"/>
          </w:tcPr>
          <w:p w14:paraId="4655169D"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35.4 (25.5, 45.4)</w:t>
            </w:r>
          </w:p>
        </w:tc>
      </w:tr>
    </w:tbl>
    <w:p w14:paraId="52863F7A" w14:textId="428B3EE6" w:rsidR="00A24664" w:rsidRPr="00217EA0" w:rsidRDefault="00A24664" w:rsidP="00A24664">
      <w:pPr>
        <w:pStyle w:val="TableFooter"/>
        <w:keepNext/>
        <w:keepLines/>
      </w:pPr>
      <w:r w:rsidRPr="00217EA0">
        <w:t>Source: Table 2.45, p135 of the submission. CI = confidence interval; PD = progressive disease; PFS = progression-free survival</w:t>
      </w:r>
    </w:p>
    <w:p w14:paraId="689B6E5C" w14:textId="316D62FE" w:rsidR="005A7CBB" w:rsidRPr="00217EA0" w:rsidRDefault="00C84FF8" w:rsidP="00C84FF8">
      <w:pPr>
        <w:pStyle w:val="ListParagraph"/>
        <w:rPr>
          <w:color w:val="auto"/>
        </w:rPr>
      </w:pPr>
      <w:r w:rsidRPr="00217EA0">
        <w:rPr>
          <w:color w:val="auto"/>
        </w:rPr>
        <w:fldChar w:fldCharType="begin"/>
      </w:r>
      <w:r w:rsidRPr="00217EA0">
        <w:rPr>
          <w:color w:val="auto"/>
        </w:rPr>
        <w:instrText xml:space="preserve"> REF _Ref184843691 \h </w:instrText>
      </w:r>
      <w:r w:rsidR="00EC070E" w:rsidRPr="00217EA0">
        <w:rPr>
          <w:color w:val="auto"/>
        </w:rPr>
        <w:instrText xml:space="preserve"> \* MERGEFORMAT </w:instrText>
      </w:r>
      <w:r w:rsidRPr="00217EA0">
        <w:rPr>
          <w:color w:val="auto"/>
        </w:rPr>
      </w:r>
      <w:r w:rsidRPr="00217EA0">
        <w:rPr>
          <w:color w:val="auto"/>
        </w:rPr>
        <w:fldChar w:fldCharType="separate"/>
      </w:r>
      <w:r w:rsidR="008378C4" w:rsidRPr="00217EA0">
        <w:t>Table</w:t>
      </w:r>
      <w:r w:rsidR="008378C4">
        <w:t xml:space="preserve"> 8</w:t>
      </w:r>
      <w:r w:rsidRPr="00217EA0">
        <w:rPr>
          <w:color w:val="auto"/>
        </w:rPr>
        <w:fldChar w:fldCharType="end"/>
      </w:r>
      <w:r w:rsidRPr="00217EA0">
        <w:rPr>
          <w:color w:val="auto"/>
        </w:rPr>
        <w:t xml:space="preserve"> presents a summary of OS results for FOENIX-CCA2</w:t>
      </w:r>
      <w:r w:rsidR="007967CE" w:rsidRPr="00217EA0">
        <w:rPr>
          <w:color w:val="auto"/>
        </w:rPr>
        <w:t>.</w:t>
      </w:r>
    </w:p>
    <w:p w14:paraId="1C14E515" w14:textId="0B739F37" w:rsidR="00A24664" w:rsidRPr="00217EA0" w:rsidRDefault="00A24664" w:rsidP="00A24664">
      <w:pPr>
        <w:pStyle w:val="TableFigureHeading"/>
      </w:pPr>
      <w:bookmarkStart w:id="29" w:name="_Ref184843691"/>
      <w:bookmarkStart w:id="30" w:name="Table_PBAC_8"/>
      <w:r w:rsidRPr="00217EA0">
        <w:t>Table</w:t>
      </w:r>
      <w:r w:rsidR="007A1523">
        <w:t xml:space="preserve"> </w:t>
      </w:r>
      <w:r w:rsidR="006A66A8">
        <w:fldChar w:fldCharType="begin"/>
      </w:r>
      <w:r w:rsidR="006A66A8">
        <w:instrText xml:space="preserve"> SEQ Table_PBAC. \* ARABIC </w:instrText>
      </w:r>
      <w:r w:rsidR="006A66A8">
        <w:fldChar w:fldCharType="separate"/>
      </w:r>
      <w:r w:rsidR="008378C4">
        <w:rPr>
          <w:noProof/>
        </w:rPr>
        <w:t>8</w:t>
      </w:r>
      <w:r w:rsidR="006A66A8">
        <w:rPr>
          <w:noProof/>
        </w:rPr>
        <w:fldChar w:fldCharType="end"/>
      </w:r>
      <w:bookmarkEnd w:id="29"/>
      <w:bookmarkEnd w:id="30"/>
      <w:r w:rsidR="00751F71">
        <w:rPr>
          <w:noProof/>
        </w:rPr>
        <w:t xml:space="preserve">: </w:t>
      </w:r>
      <w:r w:rsidRPr="00217EA0">
        <w:t>Summary of OS results – FOENIX-CCA2</w:t>
      </w:r>
    </w:p>
    <w:tbl>
      <w:tblPr>
        <w:tblStyle w:val="PBACTableStyle"/>
        <w:tblW w:w="0" w:type="auto"/>
        <w:tblLook w:val="04A0" w:firstRow="1" w:lastRow="0" w:firstColumn="1" w:lastColumn="0" w:noHBand="0" w:noVBand="1"/>
        <w:tblCaption w:val="Table 8: Summary of OS results – FOENIX-CCA2"/>
      </w:tblPr>
      <w:tblGrid>
        <w:gridCol w:w="3201"/>
        <w:gridCol w:w="3040"/>
        <w:gridCol w:w="2775"/>
      </w:tblGrid>
      <w:tr w:rsidR="007900E9" w:rsidRPr="00217EA0" w14:paraId="55A3431C" w14:textId="77777777" w:rsidTr="00FE3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1" w:type="dxa"/>
          </w:tcPr>
          <w:p w14:paraId="68A50A2D" w14:textId="77777777" w:rsidR="00A24664" w:rsidRPr="00217EA0" w:rsidRDefault="00A24664" w:rsidP="00FE3A7F">
            <w:pPr>
              <w:pStyle w:val="TableText"/>
              <w:rPr>
                <w:color w:val="auto"/>
                <w:lang w:val="en-AU"/>
              </w:rPr>
            </w:pPr>
          </w:p>
        </w:tc>
        <w:tc>
          <w:tcPr>
            <w:tcW w:w="5815" w:type="dxa"/>
            <w:gridSpan w:val="2"/>
          </w:tcPr>
          <w:p w14:paraId="1E845F5A" w14:textId="77777777" w:rsidR="00A24664" w:rsidRPr="00217EA0" w:rsidRDefault="00A24664" w:rsidP="00FE3A7F">
            <w:pPr>
              <w:pStyle w:val="TableText"/>
              <w:jc w:val="center"/>
              <w:cnfStyle w:val="100000000000" w:firstRow="1" w:lastRow="0" w:firstColumn="0" w:lastColumn="0" w:oddVBand="0" w:evenVBand="0" w:oddHBand="0" w:evenHBand="0" w:firstRowFirstColumn="0" w:firstRowLastColumn="0" w:lastRowFirstColumn="0" w:lastRowLastColumn="0"/>
              <w:rPr>
                <w:color w:val="auto"/>
                <w:lang w:val="en-AU"/>
              </w:rPr>
            </w:pPr>
            <w:r w:rsidRPr="00217EA0">
              <w:rPr>
                <w:color w:val="auto"/>
                <w:lang w:val="en-AU"/>
              </w:rPr>
              <w:t>All Treated Subjects</w:t>
            </w:r>
          </w:p>
          <w:p w14:paraId="574AD4F6" w14:textId="77777777" w:rsidR="00A24664" w:rsidRPr="00217EA0" w:rsidRDefault="00A24664" w:rsidP="00FE3A7F">
            <w:pPr>
              <w:pStyle w:val="TableText"/>
              <w:jc w:val="center"/>
              <w:cnfStyle w:val="100000000000" w:firstRow="1" w:lastRow="0" w:firstColumn="0" w:lastColumn="0" w:oddVBand="0" w:evenVBand="0" w:oddHBand="0" w:evenHBand="0" w:firstRowFirstColumn="0" w:firstRowLastColumn="0" w:lastRowFirstColumn="0" w:lastRowLastColumn="0"/>
              <w:rPr>
                <w:color w:val="auto"/>
                <w:lang w:val="en-AU"/>
              </w:rPr>
            </w:pPr>
            <w:r w:rsidRPr="00217EA0">
              <w:rPr>
                <w:color w:val="auto"/>
                <w:lang w:val="en-AU"/>
              </w:rPr>
              <w:t>(N=103)</w:t>
            </w:r>
          </w:p>
          <w:p w14:paraId="6CD8D654" w14:textId="77777777" w:rsidR="00A24664" w:rsidRPr="00217EA0" w:rsidRDefault="00A24664" w:rsidP="00FE3A7F">
            <w:pPr>
              <w:pStyle w:val="TableText"/>
              <w:jc w:val="center"/>
              <w:cnfStyle w:val="100000000000" w:firstRow="1" w:lastRow="0" w:firstColumn="0" w:lastColumn="0" w:oddVBand="0" w:evenVBand="0" w:oddHBand="0" w:evenHBand="0" w:firstRowFirstColumn="0" w:firstRowLastColumn="0" w:lastRowFirstColumn="0" w:lastRowLastColumn="0"/>
              <w:rPr>
                <w:color w:val="auto"/>
                <w:lang w:val="en-AU"/>
              </w:rPr>
            </w:pPr>
            <w:r w:rsidRPr="00217EA0">
              <w:rPr>
                <w:color w:val="auto"/>
                <w:lang w:val="en-AU"/>
              </w:rPr>
              <w:t>n (%)</w:t>
            </w:r>
          </w:p>
        </w:tc>
      </w:tr>
      <w:tr w:rsidR="007900E9" w:rsidRPr="00217EA0" w14:paraId="652769EA" w14:textId="77777777" w:rsidTr="00FE3A7F">
        <w:tc>
          <w:tcPr>
            <w:cnfStyle w:val="001000000000" w:firstRow="0" w:lastRow="0" w:firstColumn="1" w:lastColumn="0" w:oddVBand="0" w:evenVBand="0" w:oddHBand="0" w:evenHBand="0" w:firstRowFirstColumn="0" w:firstRowLastColumn="0" w:lastRowFirstColumn="0" w:lastRowLastColumn="0"/>
            <w:tcW w:w="3201" w:type="dxa"/>
          </w:tcPr>
          <w:p w14:paraId="735266E8" w14:textId="77777777" w:rsidR="00A24664" w:rsidRPr="00217EA0" w:rsidRDefault="00A24664" w:rsidP="00FE3A7F">
            <w:pPr>
              <w:pStyle w:val="TableText"/>
              <w:rPr>
                <w:bCs/>
                <w:color w:val="auto"/>
                <w:lang w:val="en-AU"/>
              </w:rPr>
            </w:pPr>
          </w:p>
        </w:tc>
        <w:tc>
          <w:tcPr>
            <w:tcW w:w="3040" w:type="dxa"/>
          </w:tcPr>
          <w:p w14:paraId="3B42B50A"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b/>
                <w:bCs/>
                <w:color w:val="auto"/>
                <w:lang w:val="en-AU"/>
              </w:rPr>
            </w:pPr>
            <w:r w:rsidRPr="00217EA0">
              <w:rPr>
                <w:b/>
                <w:bCs/>
                <w:color w:val="auto"/>
                <w:lang w:val="en-AU"/>
              </w:rPr>
              <w:t xml:space="preserve">October 2020 cut-off </w:t>
            </w:r>
          </w:p>
          <w:p w14:paraId="0928038C" w14:textId="77777777" w:rsidR="00A24664" w:rsidRPr="00217EA0" w:rsidRDefault="00A24664" w:rsidP="00FE3A7F">
            <w:pPr>
              <w:pStyle w:val="TableText"/>
              <w:jc w:val="center"/>
              <w:cnfStyle w:val="000000000000" w:firstRow="0" w:lastRow="0" w:firstColumn="0" w:lastColumn="0" w:oddVBand="0" w:evenVBand="0" w:oddHBand="0" w:evenHBand="0" w:firstRowFirstColumn="0" w:firstRowLastColumn="0" w:lastRowFirstColumn="0" w:lastRowLastColumn="0"/>
              <w:rPr>
                <w:bCs/>
                <w:color w:val="auto"/>
                <w:lang w:val="en-AU"/>
              </w:rPr>
            </w:pPr>
            <w:r w:rsidRPr="00217EA0">
              <w:rPr>
                <w:b/>
                <w:bCs/>
                <w:color w:val="auto"/>
                <w:lang w:val="en-AU"/>
              </w:rPr>
              <w:t>(Median follow-up 17.1 months)</w:t>
            </w:r>
          </w:p>
        </w:tc>
        <w:tc>
          <w:tcPr>
            <w:tcW w:w="2775" w:type="dxa"/>
          </w:tcPr>
          <w:p w14:paraId="5F1CCD33" w14:textId="77777777" w:rsidR="00A24664" w:rsidRPr="00217EA0" w:rsidRDefault="00A24664"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b/>
                <w:bCs/>
                <w:color w:val="auto"/>
                <w:lang w:val="en-AU"/>
              </w:rPr>
            </w:pPr>
            <w:r w:rsidRPr="00217EA0">
              <w:rPr>
                <w:b/>
                <w:bCs/>
                <w:color w:val="auto"/>
                <w:lang w:val="en-AU"/>
              </w:rPr>
              <w:t>May 2021 cut-off</w:t>
            </w:r>
          </w:p>
          <w:p w14:paraId="6EF91855" w14:textId="77777777" w:rsidR="00A24664" w:rsidRPr="00217EA0" w:rsidRDefault="00A24664" w:rsidP="00FE3A7F">
            <w:pPr>
              <w:pStyle w:val="TableText"/>
              <w:jc w:val="center"/>
              <w:cnfStyle w:val="000000000000" w:firstRow="0" w:lastRow="0" w:firstColumn="0" w:lastColumn="0" w:oddVBand="0" w:evenVBand="0" w:oddHBand="0" w:evenHBand="0" w:firstRowFirstColumn="0" w:firstRowLastColumn="0" w:lastRowFirstColumn="0" w:lastRowLastColumn="0"/>
              <w:rPr>
                <w:bCs/>
                <w:color w:val="auto"/>
                <w:lang w:val="en-AU"/>
              </w:rPr>
            </w:pPr>
            <w:r w:rsidRPr="00217EA0">
              <w:rPr>
                <w:b/>
                <w:bCs/>
                <w:color w:val="auto"/>
                <w:lang w:val="en-AU"/>
              </w:rPr>
              <w:t>(Median follow-up 25 months)</w:t>
            </w:r>
          </w:p>
        </w:tc>
      </w:tr>
      <w:tr w:rsidR="007900E9" w:rsidRPr="00217EA0" w14:paraId="5F28FDEF" w14:textId="77777777" w:rsidTr="00FE3A7F">
        <w:tc>
          <w:tcPr>
            <w:cnfStyle w:val="001000000000" w:firstRow="0" w:lastRow="0" w:firstColumn="1" w:lastColumn="0" w:oddVBand="0" w:evenVBand="0" w:oddHBand="0" w:evenHBand="0" w:firstRowFirstColumn="0" w:firstRowLastColumn="0" w:lastRowFirstColumn="0" w:lastRowLastColumn="0"/>
            <w:tcW w:w="3201" w:type="dxa"/>
          </w:tcPr>
          <w:p w14:paraId="34172B92" w14:textId="77777777" w:rsidR="00A24664" w:rsidRPr="00217EA0" w:rsidRDefault="00A24664" w:rsidP="00FE3A7F">
            <w:pPr>
              <w:pStyle w:val="TableText"/>
              <w:rPr>
                <w:color w:val="auto"/>
                <w:lang w:val="en-AU"/>
              </w:rPr>
            </w:pPr>
            <w:r w:rsidRPr="00217EA0">
              <w:rPr>
                <w:color w:val="auto"/>
                <w:lang w:val="en-AU"/>
              </w:rPr>
              <w:t xml:space="preserve">Deaths, n (%) </w:t>
            </w:r>
          </w:p>
        </w:tc>
        <w:tc>
          <w:tcPr>
            <w:tcW w:w="3040" w:type="dxa"/>
          </w:tcPr>
          <w:p w14:paraId="77EF59A6" w14:textId="77777777" w:rsidR="00A24664" w:rsidRPr="00217EA0" w:rsidRDefault="00A24664" w:rsidP="00FE3A7F">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40 (38.8)</w:t>
            </w:r>
          </w:p>
        </w:tc>
        <w:tc>
          <w:tcPr>
            <w:tcW w:w="2775" w:type="dxa"/>
          </w:tcPr>
          <w:p w14:paraId="344F3ECD" w14:textId="77777777" w:rsidR="00A24664" w:rsidRPr="00217EA0" w:rsidRDefault="00A24664" w:rsidP="00FE3A7F">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58 (56.3)</w:t>
            </w:r>
          </w:p>
        </w:tc>
      </w:tr>
      <w:tr w:rsidR="007900E9" w:rsidRPr="00217EA0" w14:paraId="6E81361F" w14:textId="77777777" w:rsidTr="00FE3A7F">
        <w:tc>
          <w:tcPr>
            <w:cnfStyle w:val="001000000000" w:firstRow="0" w:lastRow="0" w:firstColumn="1" w:lastColumn="0" w:oddVBand="0" w:evenVBand="0" w:oddHBand="0" w:evenHBand="0" w:firstRowFirstColumn="0" w:firstRowLastColumn="0" w:lastRowFirstColumn="0" w:lastRowLastColumn="0"/>
            <w:tcW w:w="3201" w:type="dxa"/>
          </w:tcPr>
          <w:p w14:paraId="42A2B442" w14:textId="77777777" w:rsidR="00A24664" w:rsidRPr="00217EA0" w:rsidRDefault="00A24664" w:rsidP="00FE3A7F">
            <w:pPr>
              <w:pStyle w:val="TableText"/>
              <w:rPr>
                <w:color w:val="auto"/>
                <w:lang w:val="en-AU"/>
              </w:rPr>
            </w:pPr>
            <w:r w:rsidRPr="00217EA0">
              <w:rPr>
                <w:color w:val="auto"/>
                <w:lang w:val="en-AU"/>
              </w:rPr>
              <w:t xml:space="preserve">Censored subjects, n (%) </w:t>
            </w:r>
          </w:p>
        </w:tc>
        <w:tc>
          <w:tcPr>
            <w:tcW w:w="3040" w:type="dxa"/>
          </w:tcPr>
          <w:p w14:paraId="76EA1A2B" w14:textId="77777777" w:rsidR="00A24664" w:rsidRPr="00217EA0" w:rsidRDefault="00A24664" w:rsidP="00FE3A7F">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63 (61.2)</w:t>
            </w:r>
          </w:p>
        </w:tc>
        <w:tc>
          <w:tcPr>
            <w:tcW w:w="2775" w:type="dxa"/>
          </w:tcPr>
          <w:p w14:paraId="0DFAEDCB" w14:textId="77777777" w:rsidR="00A24664" w:rsidRPr="00217EA0" w:rsidRDefault="00A24664" w:rsidP="00FE3A7F">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45 (43.7)</w:t>
            </w:r>
          </w:p>
        </w:tc>
      </w:tr>
      <w:tr w:rsidR="007900E9" w:rsidRPr="00217EA0" w14:paraId="177D75D9" w14:textId="77777777" w:rsidTr="00FE3A7F">
        <w:tc>
          <w:tcPr>
            <w:cnfStyle w:val="001000000000" w:firstRow="0" w:lastRow="0" w:firstColumn="1" w:lastColumn="0" w:oddVBand="0" w:evenVBand="0" w:oddHBand="0" w:evenHBand="0" w:firstRowFirstColumn="0" w:firstRowLastColumn="0" w:lastRowFirstColumn="0" w:lastRowLastColumn="0"/>
            <w:tcW w:w="3201" w:type="dxa"/>
          </w:tcPr>
          <w:p w14:paraId="6E0637FF" w14:textId="77777777" w:rsidR="00A24664" w:rsidRPr="00217EA0" w:rsidRDefault="00A24664" w:rsidP="00FE3A7F">
            <w:pPr>
              <w:pStyle w:val="TableText"/>
              <w:rPr>
                <w:color w:val="auto"/>
                <w:lang w:val="en-AU"/>
              </w:rPr>
            </w:pPr>
            <w:r w:rsidRPr="00217EA0">
              <w:rPr>
                <w:color w:val="auto"/>
                <w:lang w:val="en-AU"/>
              </w:rPr>
              <w:t xml:space="preserve">Patient discontinued treatment due to any reason before data cut-off </w:t>
            </w:r>
          </w:p>
        </w:tc>
        <w:tc>
          <w:tcPr>
            <w:tcW w:w="3040" w:type="dxa"/>
          </w:tcPr>
          <w:p w14:paraId="7F9F31B0" w14:textId="77777777" w:rsidR="00A24664" w:rsidRPr="00217EA0" w:rsidRDefault="00A24664" w:rsidP="00FE3A7F">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32 (31.1)</w:t>
            </w:r>
          </w:p>
        </w:tc>
        <w:tc>
          <w:tcPr>
            <w:tcW w:w="2775" w:type="dxa"/>
          </w:tcPr>
          <w:p w14:paraId="1942171D" w14:textId="77777777" w:rsidR="00A24664" w:rsidRPr="00217EA0" w:rsidRDefault="00A24664" w:rsidP="00FE3A7F">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45 (43.7)</w:t>
            </w:r>
          </w:p>
        </w:tc>
      </w:tr>
      <w:tr w:rsidR="007900E9" w:rsidRPr="00217EA0" w14:paraId="0C6E3036" w14:textId="77777777" w:rsidTr="00FE3A7F">
        <w:tc>
          <w:tcPr>
            <w:cnfStyle w:val="001000000000" w:firstRow="0" w:lastRow="0" w:firstColumn="1" w:lastColumn="0" w:oddVBand="0" w:evenVBand="0" w:oddHBand="0" w:evenHBand="0" w:firstRowFirstColumn="0" w:firstRowLastColumn="0" w:lastRowFirstColumn="0" w:lastRowLastColumn="0"/>
            <w:tcW w:w="3201" w:type="dxa"/>
          </w:tcPr>
          <w:p w14:paraId="431ED628" w14:textId="77777777" w:rsidR="00A24664" w:rsidRPr="00217EA0" w:rsidRDefault="00A24664" w:rsidP="00FE3A7F">
            <w:pPr>
              <w:pStyle w:val="TableText"/>
              <w:rPr>
                <w:color w:val="auto"/>
                <w:lang w:val="en-AU"/>
              </w:rPr>
            </w:pPr>
            <w:r w:rsidRPr="00217EA0">
              <w:rPr>
                <w:color w:val="auto"/>
                <w:lang w:val="en-AU"/>
              </w:rPr>
              <w:t xml:space="preserve">Patient still alive at data cut-off </w:t>
            </w:r>
          </w:p>
        </w:tc>
        <w:tc>
          <w:tcPr>
            <w:tcW w:w="3040" w:type="dxa"/>
          </w:tcPr>
          <w:p w14:paraId="110A8B95" w14:textId="77777777" w:rsidR="00A24664" w:rsidRPr="00217EA0" w:rsidRDefault="00A24664" w:rsidP="00FE3A7F">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31 (30.1)</w:t>
            </w:r>
          </w:p>
        </w:tc>
        <w:tc>
          <w:tcPr>
            <w:tcW w:w="2775" w:type="dxa"/>
          </w:tcPr>
          <w:p w14:paraId="5C999ECE" w14:textId="77777777" w:rsidR="00A24664" w:rsidRPr="00217EA0" w:rsidRDefault="00A24664" w:rsidP="00FE3A7F">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NR</w:t>
            </w:r>
          </w:p>
        </w:tc>
      </w:tr>
      <w:tr w:rsidR="007900E9" w:rsidRPr="00217EA0" w14:paraId="07BAB13B" w14:textId="77777777" w:rsidTr="00FE3A7F">
        <w:tc>
          <w:tcPr>
            <w:cnfStyle w:val="001000000000" w:firstRow="0" w:lastRow="0" w:firstColumn="1" w:lastColumn="0" w:oddVBand="0" w:evenVBand="0" w:oddHBand="0" w:evenHBand="0" w:firstRowFirstColumn="0" w:firstRowLastColumn="0" w:lastRowFirstColumn="0" w:lastRowLastColumn="0"/>
            <w:tcW w:w="3201" w:type="dxa"/>
          </w:tcPr>
          <w:p w14:paraId="7A3C4641" w14:textId="77777777" w:rsidR="00A24664" w:rsidRPr="00217EA0" w:rsidRDefault="00A24664" w:rsidP="00FE3A7F">
            <w:pPr>
              <w:pStyle w:val="TableText"/>
              <w:rPr>
                <w:color w:val="auto"/>
                <w:lang w:val="en-AU"/>
              </w:rPr>
            </w:pPr>
            <w:r w:rsidRPr="00217EA0">
              <w:rPr>
                <w:color w:val="auto"/>
                <w:lang w:val="en-AU"/>
              </w:rPr>
              <w:t>Overall survival (months)</w:t>
            </w:r>
          </w:p>
        </w:tc>
        <w:tc>
          <w:tcPr>
            <w:tcW w:w="3040" w:type="dxa"/>
          </w:tcPr>
          <w:p w14:paraId="7560261E" w14:textId="77777777" w:rsidR="00A24664" w:rsidRPr="00217EA0" w:rsidRDefault="00A24664" w:rsidP="00FE3A7F">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2775" w:type="dxa"/>
          </w:tcPr>
          <w:p w14:paraId="04A34C81" w14:textId="77777777" w:rsidR="00A24664" w:rsidRPr="00217EA0" w:rsidRDefault="00A24664" w:rsidP="00FE3A7F">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p>
        </w:tc>
      </w:tr>
      <w:tr w:rsidR="007900E9" w:rsidRPr="00217EA0" w14:paraId="5A442E31" w14:textId="77777777" w:rsidTr="00FE3A7F">
        <w:tc>
          <w:tcPr>
            <w:cnfStyle w:val="001000000000" w:firstRow="0" w:lastRow="0" w:firstColumn="1" w:lastColumn="0" w:oddVBand="0" w:evenVBand="0" w:oddHBand="0" w:evenHBand="0" w:firstRowFirstColumn="0" w:firstRowLastColumn="0" w:lastRowFirstColumn="0" w:lastRowLastColumn="0"/>
            <w:tcW w:w="3201" w:type="dxa"/>
          </w:tcPr>
          <w:p w14:paraId="202DD909" w14:textId="77777777" w:rsidR="00A24664" w:rsidRPr="00217EA0" w:rsidRDefault="00A24664" w:rsidP="00FE3A7F">
            <w:pPr>
              <w:pStyle w:val="TableText"/>
              <w:rPr>
                <w:color w:val="auto"/>
                <w:lang w:val="en-AU"/>
              </w:rPr>
            </w:pPr>
            <w:r w:rsidRPr="00217EA0">
              <w:rPr>
                <w:color w:val="auto"/>
                <w:lang w:val="en-AU"/>
              </w:rPr>
              <w:t xml:space="preserve">Median (95% CI) </w:t>
            </w:r>
          </w:p>
        </w:tc>
        <w:tc>
          <w:tcPr>
            <w:tcW w:w="3040" w:type="dxa"/>
          </w:tcPr>
          <w:p w14:paraId="19EBF561" w14:textId="77777777" w:rsidR="00A24664" w:rsidRPr="00217EA0" w:rsidRDefault="00A24664" w:rsidP="00FE3A7F">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21.7 (14.5, NE)</w:t>
            </w:r>
          </w:p>
        </w:tc>
        <w:tc>
          <w:tcPr>
            <w:tcW w:w="2775" w:type="dxa"/>
          </w:tcPr>
          <w:p w14:paraId="0C314C2E" w14:textId="77777777" w:rsidR="00A24664" w:rsidRPr="00217EA0" w:rsidRDefault="00A24664" w:rsidP="00FE3A7F">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 xml:space="preserve">20.0 </w:t>
            </w:r>
            <w:bookmarkStart w:id="31" w:name="_Hlk176777692"/>
            <w:r w:rsidRPr="00217EA0">
              <w:rPr>
                <w:color w:val="auto"/>
                <w:lang w:val="en-AU"/>
              </w:rPr>
              <w:t>(16.4, 24.6)</w:t>
            </w:r>
            <w:bookmarkEnd w:id="31"/>
          </w:p>
        </w:tc>
      </w:tr>
      <w:tr w:rsidR="007900E9" w:rsidRPr="00217EA0" w14:paraId="4EBEEC5D" w14:textId="77777777" w:rsidTr="00FE3A7F">
        <w:tc>
          <w:tcPr>
            <w:cnfStyle w:val="001000000000" w:firstRow="0" w:lastRow="0" w:firstColumn="1" w:lastColumn="0" w:oddVBand="0" w:evenVBand="0" w:oddHBand="0" w:evenHBand="0" w:firstRowFirstColumn="0" w:firstRowLastColumn="0" w:lastRowFirstColumn="0" w:lastRowLastColumn="0"/>
            <w:tcW w:w="3201" w:type="dxa"/>
          </w:tcPr>
          <w:p w14:paraId="04ACF176" w14:textId="77777777" w:rsidR="00A24664" w:rsidRPr="00217EA0" w:rsidRDefault="00A24664" w:rsidP="00FE3A7F">
            <w:pPr>
              <w:pStyle w:val="TableText"/>
              <w:rPr>
                <w:color w:val="auto"/>
                <w:lang w:val="en-AU"/>
              </w:rPr>
            </w:pPr>
            <w:r w:rsidRPr="00217EA0">
              <w:rPr>
                <w:color w:val="auto"/>
                <w:lang w:val="en-AU"/>
              </w:rPr>
              <w:t>Overall survival rate (%) (95% CI)</w:t>
            </w:r>
          </w:p>
        </w:tc>
        <w:tc>
          <w:tcPr>
            <w:tcW w:w="3040" w:type="dxa"/>
          </w:tcPr>
          <w:p w14:paraId="79B7DF4E" w14:textId="77777777" w:rsidR="00A24664" w:rsidRPr="00217EA0" w:rsidRDefault="00A24664" w:rsidP="00FE3A7F">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2775" w:type="dxa"/>
          </w:tcPr>
          <w:p w14:paraId="1DFEB052" w14:textId="77777777" w:rsidR="00A24664" w:rsidRPr="00217EA0" w:rsidRDefault="00A24664" w:rsidP="00FE3A7F">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p>
        </w:tc>
      </w:tr>
      <w:tr w:rsidR="007900E9" w:rsidRPr="00217EA0" w14:paraId="16A046CA" w14:textId="77777777" w:rsidTr="00FE3A7F">
        <w:tc>
          <w:tcPr>
            <w:cnfStyle w:val="001000000000" w:firstRow="0" w:lastRow="0" w:firstColumn="1" w:lastColumn="0" w:oddVBand="0" w:evenVBand="0" w:oddHBand="0" w:evenHBand="0" w:firstRowFirstColumn="0" w:firstRowLastColumn="0" w:lastRowFirstColumn="0" w:lastRowLastColumn="0"/>
            <w:tcW w:w="3201" w:type="dxa"/>
          </w:tcPr>
          <w:p w14:paraId="0D7E9CEE" w14:textId="77777777" w:rsidR="00A24664" w:rsidRPr="00217EA0" w:rsidRDefault="00A24664" w:rsidP="00FE3A7F">
            <w:pPr>
              <w:pStyle w:val="TableText"/>
              <w:rPr>
                <w:color w:val="auto"/>
                <w:lang w:val="en-AU"/>
              </w:rPr>
            </w:pPr>
            <w:r w:rsidRPr="00217EA0">
              <w:rPr>
                <w:color w:val="auto"/>
                <w:lang w:val="en-AU"/>
              </w:rPr>
              <w:t xml:space="preserve">At 3 months </w:t>
            </w:r>
          </w:p>
        </w:tc>
        <w:tc>
          <w:tcPr>
            <w:tcW w:w="3040" w:type="dxa"/>
          </w:tcPr>
          <w:p w14:paraId="4D571493" w14:textId="77777777" w:rsidR="00A24664" w:rsidRPr="00217EA0" w:rsidRDefault="00A24664" w:rsidP="00FE3A7F">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97.1 (91.2, 99.0)</w:t>
            </w:r>
          </w:p>
        </w:tc>
        <w:tc>
          <w:tcPr>
            <w:tcW w:w="2775" w:type="dxa"/>
          </w:tcPr>
          <w:p w14:paraId="20BD3B7F" w14:textId="77777777" w:rsidR="00A24664" w:rsidRPr="00217EA0" w:rsidRDefault="00A24664" w:rsidP="00FE3A7F">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97.1 (91.2, 99.0)</w:t>
            </w:r>
          </w:p>
        </w:tc>
      </w:tr>
      <w:tr w:rsidR="007900E9" w:rsidRPr="00217EA0" w14:paraId="2098969E" w14:textId="77777777" w:rsidTr="00FE3A7F">
        <w:tc>
          <w:tcPr>
            <w:cnfStyle w:val="001000000000" w:firstRow="0" w:lastRow="0" w:firstColumn="1" w:lastColumn="0" w:oddVBand="0" w:evenVBand="0" w:oddHBand="0" w:evenHBand="0" w:firstRowFirstColumn="0" w:firstRowLastColumn="0" w:lastRowFirstColumn="0" w:lastRowLastColumn="0"/>
            <w:tcW w:w="3201" w:type="dxa"/>
          </w:tcPr>
          <w:p w14:paraId="1DC86A15" w14:textId="77777777" w:rsidR="00A24664" w:rsidRPr="00217EA0" w:rsidRDefault="00A24664" w:rsidP="00FE3A7F">
            <w:pPr>
              <w:pStyle w:val="TableText"/>
              <w:rPr>
                <w:color w:val="auto"/>
                <w:lang w:val="en-AU"/>
              </w:rPr>
            </w:pPr>
            <w:r w:rsidRPr="00217EA0">
              <w:rPr>
                <w:color w:val="auto"/>
                <w:lang w:val="en-AU"/>
              </w:rPr>
              <w:t xml:space="preserve">At 6 months </w:t>
            </w:r>
          </w:p>
        </w:tc>
        <w:tc>
          <w:tcPr>
            <w:tcW w:w="3040" w:type="dxa"/>
          </w:tcPr>
          <w:p w14:paraId="2C9A7209" w14:textId="77777777" w:rsidR="00A24664" w:rsidRPr="00217EA0" w:rsidRDefault="00A24664" w:rsidP="00FE3A7F">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88.1 (80.0, 93.1)</w:t>
            </w:r>
          </w:p>
        </w:tc>
        <w:tc>
          <w:tcPr>
            <w:tcW w:w="2775" w:type="dxa"/>
          </w:tcPr>
          <w:p w14:paraId="3C1584E8" w14:textId="77777777" w:rsidR="00A24664" w:rsidRPr="00217EA0" w:rsidRDefault="00A24664" w:rsidP="00FE3A7F">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88.1 (80.0, 93.1)</w:t>
            </w:r>
          </w:p>
        </w:tc>
      </w:tr>
      <w:tr w:rsidR="007900E9" w:rsidRPr="00217EA0" w14:paraId="68C08D25" w14:textId="77777777" w:rsidTr="00FE3A7F">
        <w:tc>
          <w:tcPr>
            <w:cnfStyle w:val="001000000000" w:firstRow="0" w:lastRow="0" w:firstColumn="1" w:lastColumn="0" w:oddVBand="0" w:evenVBand="0" w:oddHBand="0" w:evenHBand="0" w:firstRowFirstColumn="0" w:firstRowLastColumn="0" w:lastRowFirstColumn="0" w:lastRowLastColumn="0"/>
            <w:tcW w:w="3201" w:type="dxa"/>
          </w:tcPr>
          <w:p w14:paraId="18D6F92D" w14:textId="77777777" w:rsidR="00A24664" w:rsidRPr="00217EA0" w:rsidRDefault="00A24664" w:rsidP="00FE3A7F">
            <w:pPr>
              <w:pStyle w:val="TableText"/>
              <w:rPr>
                <w:color w:val="auto"/>
                <w:lang w:val="en-AU"/>
              </w:rPr>
            </w:pPr>
            <w:r w:rsidRPr="00217EA0">
              <w:rPr>
                <w:color w:val="auto"/>
                <w:lang w:val="en-AU"/>
              </w:rPr>
              <w:t xml:space="preserve">At 9 months </w:t>
            </w:r>
          </w:p>
        </w:tc>
        <w:tc>
          <w:tcPr>
            <w:tcW w:w="3040" w:type="dxa"/>
          </w:tcPr>
          <w:p w14:paraId="0A21FBA8" w14:textId="77777777" w:rsidR="00A24664" w:rsidRPr="00217EA0" w:rsidRDefault="00A24664" w:rsidP="00FE3A7F">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81.1 (72.0, 87.5)</w:t>
            </w:r>
          </w:p>
        </w:tc>
        <w:tc>
          <w:tcPr>
            <w:tcW w:w="2775" w:type="dxa"/>
          </w:tcPr>
          <w:p w14:paraId="54C01A5F" w14:textId="77777777" w:rsidR="00A24664" w:rsidRPr="00217EA0" w:rsidRDefault="00A24664" w:rsidP="00FE3A7F">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81.1 (72.0, 87.5)</w:t>
            </w:r>
          </w:p>
        </w:tc>
      </w:tr>
      <w:tr w:rsidR="007900E9" w:rsidRPr="00217EA0" w14:paraId="6CD5ADCA" w14:textId="77777777" w:rsidTr="00FE3A7F">
        <w:tc>
          <w:tcPr>
            <w:cnfStyle w:val="001000000000" w:firstRow="0" w:lastRow="0" w:firstColumn="1" w:lastColumn="0" w:oddVBand="0" w:evenVBand="0" w:oddHBand="0" w:evenHBand="0" w:firstRowFirstColumn="0" w:firstRowLastColumn="0" w:lastRowFirstColumn="0" w:lastRowLastColumn="0"/>
            <w:tcW w:w="3201" w:type="dxa"/>
          </w:tcPr>
          <w:p w14:paraId="3DF3AE17" w14:textId="77777777" w:rsidR="00A24664" w:rsidRPr="00217EA0" w:rsidRDefault="00A24664" w:rsidP="00FE3A7F">
            <w:pPr>
              <w:pStyle w:val="TableText"/>
              <w:rPr>
                <w:color w:val="auto"/>
                <w:lang w:val="en-AU"/>
              </w:rPr>
            </w:pPr>
            <w:r w:rsidRPr="00217EA0">
              <w:rPr>
                <w:color w:val="auto"/>
                <w:lang w:val="en-AU"/>
              </w:rPr>
              <w:t xml:space="preserve">At 12 months </w:t>
            </w:r>
          </w:p>
        </w:tc>
        <w:tc>
          <w:tcPr>
            <w:tcW w:w="3040" w:type="dxa"/>
          </w:tcPr>
          <w:p w14:paraId="486A868A" w14:textId="77777777" w:rsidR="00A24664" w:rsidRPr="00217EA0" w:rsidRDefault="00A24664" w:rsidP="00FE3A7F">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72.2 (62.0, 80.1)</w:t>
            </w:r>
          </w:p>
        </w:tc>
        <w:tc>
          <w:tcPr>
            <w:tcW w:w="2775" w:type="dxa"/>
          </w:tcPr>
          <w:p w14:paraId="39B84256" w14:textId="77777777" w:rsidR="00A24664" w:rsidRPr="00217EA0" w:rsidRDefault="00A24664" w:rsidP="00FE3A7F">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73.1 (63.2, 80.7)</w:t>
            </w:r>
          </w:p>
        </w:tc>
      </w:tr>
    </w:tbl>
    <w:p w14:paraId="5C790256" w14:textId="77777777" w:rsidR="00A24664" w:rsidRPr="00217EA0" w:rsidRDefault="00A24664" w:rsidP="00A24664">
      <w:pPr>
        <w:pStyle w:val="TableFooter"/>
      </w:pPr>
      <w:r w:rsidRPr="00217EA0">
        <w:t>Source: Table 2.46, p137 of the submission.</w:t>
      </w:r>
    </w:p>
    <w:p w14:paraId="295B82EC" w14:textId="77777777" w:rsidR="00A24664" w:rsidRPr="00217EA0" w:rsidRDefault="00A24664" w:rsidP="00A24664">
      <w:pPr>
        <w:pStyle w:val="TableFooter"/>
      </w:pPr>
      <w:r w:rsidRPr="00217EA0">
        <w:t xml:space="preserve"> CI = confidence interval; NE = not estimable</w:t>
      </w:r>
    </w:p>
    <w:p w14:paraId="6B591DFE" w14:textId="0DABFF65" w:rsidR="00A24664" w:rsidRPr="00217EA0" w:rsidRDefault="00A24664" w:rsidP="00C84FF8">
      <w:pPr>
        <w:pStyle w:val="TableFooter"/>
      </w:pPr>
      <w:r w:rsidRPr="00217EA0">
        <w:t>Note: Point estimates of overall survival rate are based on Kaplan-Meier method and 95% confidence intervals are based on the Greenwood Formula</w:t>
      </w:r>
    </w:p>
    <w:bookmarkEnd w:id="27"/>
    <w:bookmarkEnd w:id="28"/>
    <w:p w14:paraId="37905983" w14:textId="364BE8F6" w:rsidR="00065DE6" w:rsidRPr="00217EA0" w:rsidRDefault="00065DE6" w:rsidP="000A7CE1">
      <w:pPr>
        <w:pStyle w:val="ListParagraph"/>
        <w:rPr>
          <w:color w:val="auto"/>
        </w:rPr>
      </w:pPr>
      <w:r w:rsidRPr="00217EA0">
        <w:rPr>
          <w:color w:val="auto"/>
        </w:rPr>
        <w:t>In the primary analysis by independent review, confirmed complete response (CR) or partial response (PR) was recorded for 43 of the 103 patients in the efficacy population, resulting in a confirmed ORR of 41.7% (95% confidence interval [CI]: 32.1, 51.9). The ORR rate was unchanged at the May 2021 cut-off point.</w:t>
      </w:r>
      <w:r w:rsidR="008E34AB" w:rsidRPr="00217EA0">
        <w:rPr>
          <w:color w:val="auto"/>
        </w:rPr>
        <w:t xml:space="preserve"> </w:t>
      </w:r>
    </w:p>
    <w:p w14:paraId="37C6DAC5" w14:textId="48DDB15E" w:rsidR="00065DE6" w:rsidRPr="00217EA0" w:rsidRDefault="00065DE6" w:rsidP="2914E55D">
      <w:pPr>
        <w:pStyle w:val="ListParagraph"/>
        <w:rPr>
          <w:color w:val="auto"/>
        </w:rPr>
      </w:pPr>
      <w:r w:rsidRPr="00217EA0">
        <w:rPr>
          <w:color w:val="auto"/>
        </w:rPr>
        <w:t>As a sensitivity analysis, ORR was also assessed by the local investigator or radiologist. The confirmed ORR per local assessment was 36.9% (95% CI: 27.6, 47.0) including 37 patients with PR and one patient with CR. The submission considered that this ORR was overall consistent with the ORR by the Independent Review Committee (IRC), in particular when considering the largely overlapping 95% CIs of both independent assessments.</w:t>
      </w:r>
    </w:p>
    <w:p w14:paraId="7059BC79" w14:textId="4A857266" w:rsidR="00C75C91" w:rsidRPr="00217EA0" w:rsidRDefault="00C75C91" w:rsidP="2914E55D">
      <w:pPr>
        <w:pStyle w:val="ListParagraph"/>
        <w:rPr>
          <w:color w:val="auto"/>
        </w:rPr>
      </w:pPr>
      <w:r w:rsidRPr="00217EA0">
        <w:rPr>
          <w:color w:val="auto"/>
        </w:rPr>
        <w:t xml:space="preserve">In FOENIX-CCA2, </w:t>
      </w:r>
      <w:r w:rsidR="00A11138" w:rsidRPr="00217EA0">
        <w:rPr>
          <w:color w:val="auto"/>
        </w:rPr>
        <w:t>health related quality of life (</w:t>
      </w:r>
      <w:r w:rsidRPr="00217EA0">
        <w:rPr>
          <w:color w:val="auto"/>
        </w:rPr>
        <w:t>HRQoL</w:t>
      </w:r>
      <w:r w:rsidR="00A11138" w:rsidRPr="00217EA0">
        <w:rPr>
          <w:color w:val="auto"/>
        </w:rPr>
        <w:t>)</w:t>
      </w:r>
      <w:r w:rsidRPr="00217EA0">
        <w:rPr>
          <w:color w:val="auto"/>
        </w:rPr>
        <w:t xml:space="preserve"> outcomes included </w:t>
      </w:r>
      <w:r w:rsidR="00A11138" w:rsidRPr="00217EA0">
        <w:rPr>
          <w:color w:val="auto"/>
        </w:rPr>
        <w:t>European Organization for Research and Treatment of Cancer Quality of Life Questionnaire (</w:t>
      </w:r>
      <w:r w:rsidRPr="00217EA0">
        <w:rPr>
          <w:color w:val="auto"/>
        </w:rPr>
        <w:t>EORTC QLQ-C30</w:t>
      </w:r>
      <w:r w:rsidR="00A11138" w:rsidRPr="00217EA0">
        <w:rPr>
          <w:color w:val="auto"/>
        </w:rPr>
        <w:t xml:space="preserve">) </w:t>
      </w:r>
      <w:r w:rsidRPr="00217EA0">
        <w:rPr>
          <w:color w:val="auto"/>
        </w:rPr>
        <w:t xml:space="preserve">and the </w:t>
      </w:r>
      <w:r w:rsidR="00A11138" w:rsidRPr="00217EA0">
        <w:rPr>
          <w:color w:val="auto"/>
        </w:rPr>
        <w:t>EuroQo</w:t>
      </w:r>
      <w:r w:rsidR="002E0513" w:rsidRPr="00217EA0">
        <w:rPr>
          <w:color w:val="auto"/>
        </w:rPr>
        <w:t>L</w:t>
      </w:r>
      <w:r w:rsidR="00A11138" w:rsidRPr="00217EA0">
        <w:rPr>
          <w:color w:val="auto"/>
        </w:rPr>
        <w:t xml:space="preserve"> </w:t>
      </w:r>
      <w:r w:rsidR="00E64E2A" w:rsidRPr="00217EA0">
        <w:rPr>
          <w:color w:val="auto"/>
        </w:rPr>
        <w:t>5-dimension</w:t>
      </w:r>
      <w:r w:rsidR="00A11138" w:rsidRPr="00217EA0">
        <w:rPr>
          <w:color w:val="auto"/>
        </w:rPr>
        <w:t xml:space="preserve"> survey (</w:t>
      </w:r>
      <w:r w:rsidRPr="00217EA0">
        <w:rPr>
          <w:color w:val="auto"/>
        </w:rPr>
        <w:t>EQ-5D-3L</w:t>
      </w:r>
      <w:r w:rsidR="00A11138" w:rsidRPr="00217EA0">
        <w:rPr>
          <w:color w:val="auto"/>
        </w:rPr>
        <w:t>)</w:t>
      </w:r>
      <w:r w:rsidRPr="00217EA0">
        <w:rPr>
          <w:color w:val="auto"/>
        </w:rPr>
        <w:t xml:space="preserve">. </w:t>
      </w:r>
      <w:r w:rsidR="00A11138" w:rsidRPr="00217EA0">
        <w:rPr>
          <w:color w:val="auto"/>
        </w:rPr>
        <w:t>T</w:t>
      </w:r>
      <w:r w:rsidRPr="00217EA0">
        <w:rPr>
          <w:color w:val="auto"/>
        </w:rPr>
        <w:t>hese outcomes were collected at screening, Cycles 2 and 4, every 3 cycles after Cycle 4, and at the end of treatment.</w:t>
      </w:r>
    </w:p>
    <w:p w14:paraId="4B2AD03D" w14:textId="29177CCA" w:rsidR="00C75C91" w:rsidRPr="00217EA0" w:rsidRDefault="00C75C91" w:rsidP="2914E55D">
      <w:pPr>
        <w:pStyle w:val="ListParagraph"/>
        <w:rPr>
          <w:color w:val="auto"/>
        </w:rPr>
      </w:pPr>
      <w:r w:rsidRPr="00217EA0">
        <w:rPr>
          <w:color w:val="auto"/>
        </w:rPr>
        <w:t xml:space="preserve">Baseline mean (SD) EORTC QLQ-C30 global health status score was 70.1 (19.4) and </w:t>
      </w:r>
      <w:proofErr w:type="spellStart"/>
      <w:r w:rsidRPr="00217EA0">
        <w:rPr>
          <w:color w:val="auto"/>
        </w:rPr>
        <w:t>EurQol</w:t>
      </w:r>
      <w:proofErr w:type="spellEnd"/>
      <w:r w:rsidRPr="00217EA0">
        <w:rPr>
          <w:color w:val="auto"/>
        </w:rPr>
        <w:t xml:space="preserve"> Visual Analog Scale (EQ VAS) score was 71.7 (20.3). The submission stated that </w:t>
      </w:r>
      <w:r w:rsidR="00A11138" w:rsidRPr="00217EA0">
        <w:rPr>
          <w:color w:val="auto"/>
        </w:rPr>
        <w:t xml:space="preserve">patient reported outcomes (PRO) </w:t>
      </w:r>
      <w:r w:rsidRPr="00217EA0">
        <w:rPr>
          <w:color w:val="auto"/>
        </w:rPr>
        <w:t xml:space="preserve">data were evaluated through to cycle 13 because this was the last visit before data were missing for more than 50% of the patients in the patient-reported outcome population. </w:t>
      </w:r>
      <w:r w:rsidR="00F50F71" w:rsidRPr="00217EA0">
        <w:rPr>
          <w:color w:val="auto"/>
        </w:rPr>
        <w:t>The evaluation considered that t</w:t>
      </w:r>
      <w:r w:rsidRPr="00217EA0">
        <w:rPr>
          <w:color w:val="auto"/>
        </w:rPr>
        <w:t xml:space="preserve">his suggested that the methodology for assessment of the HRQoL outcomes was not pre-specified and that these outcomes likely had a high risk of attrition bias. </w:t>
      </w:r>
      <w:r w:rsidR="00F50F71" w:rsidRPr="00217EA0">
        <w:rPr>
          <w:color w:val="auto"/>
        </w:rPr>
        <w:t>The evaluation considered that it</w:t>
      </w:r>
      <w:r w:rsidRPr="00217EA0">
        <w:rPr>
          <w:color w:val="auto"/>
        </w:rPr>
        <w:t xml:space="preserve"> </w:t>
      </w:r>
      <w:r w:rsidR="00A11138" w:rsidRPr="00217EA0">
        <w:rPr>
          <w:color w:val="auto"/>
        </w:rPr>
        <w:t xml:space="preserve">was </w:t>
      </w:r>
      <w:r w:rsidRPr="00217EA0">
        <w:rPr>
          <w:color w:val="auto"/>
        </w:rPr>
        <w:t xml:space="preserve">possible that loss to follow-up could be correlated with generally worse </w:t>
      </w:r>
      <w:r w:rsidR="00372382" w:rsidRPr="00217EA0">
        <w:rPr>
          <w:color w:val="auto"/>
        </w:rPr>
        <w:t>health and</w:t>
      </w:r>
      <w:r w:rsidRPr="00217EA0">
        <w:rPr>
          <w:color w:val="auto"/>
        </w:rPr>
        <w:t xml:space="preserve"> given the natural history of advanced or metastatic CCA, HRQo</w:t>
      </w:r>
      <w:r w:rsidR="00FF4F0C" w:rsidRPr="00217EA0">
        <w:rPr>
          <w:color w:val="auto"/>
        </w:rPr>
        <w:t>L</w:t>
      </w:r>
      <w:r w:rsidRPr="00217EA0">
        <w:rPr>
          <w:color w:val="auto"/>
        </w:rPr>
        <w:t xml:space="preserve"> outcomes would be expected to be worse with time. </w:t>
      </w:r>
      <w:r w:rsidR="00372382" w:rsidRPr="00217EA0">
        <w:rPr>
          <w:color w:val="auto"/>
        </w:rPr>
        <w:t>Consequently,</w:t>
      </w:r>
      <w:r w:rsidRPr="00217EA0">
        <w:rPr>
          <w:color w:val="auto"/>
        </w:rPr>
        <w:t xml:space="preserve"> it </w:t>
      </w:r>
      <w:r w:rsidR="00A11138" w:rsidRPr="00217EA0">
        <w:rPr>
          <w:color w:val="auto"/>
        </w:rPr>
        <w:t>was</w:t>
      </w:r>
      <w:r w:rsidRPr="00217EA0">
        <w:rPr>
          <w:color w:val="auto"/>
        </w:rPr>
        <w:t xml:space="preserve"> possible that HRQoL outcomes were overestimated in the trial. </w:t>
      </w:r>
    </w:p>
    <w:p w14:paraId="1F45ED8B" w14:textId="745687AF" w:rsidR="00C75C91" w:rsidRPr="00217EA0" w:rsidRDefault="00C75C91" w:rsidP="00C75C91">
      <w:pPr>
        <w:pStyle w:val="ListParagraph"/>
        <w:rPr>
          <w:color w:val="auto"/>
        </w:rPr>
      </w:pPr>
      <w:r w:rsidRPr="00217EA0">
        <w:rPr>
          <w:color w:val="auto"/>
        </w:rPr>
        <w:t xml:space="preserve">In the October 2020 analysis, 92 (89%) enrolled patients had PRO data at baseline and at least </w:t>
      </w:r>
      <w:r w:rsidR="00A11138" w:rsidRPr="00217EA0">
        <w:rPr>
          <w:color w:val="auto"/>
        </w:rPr>
        <w:t>one</w:t>
      </w:r>
      <w:r w:rsidRPr="00217EA0">
        <w:rPr>
          <w:color w:val="auto"/>
        </w:rPr>
        <w:t xml:space="preserve"> follow-up assessment; 48 patients had PRO data at Cycle 13. </w:t>
      </w:r>
    </w:p>
    <w:p w14:paraId="03CAEC23" w14:textId="58D55582" w:rsidR="000A7CE1" w:rsidRPr="00217EA0" w:rsidRDefault="00E359FD" w:rsidP="2914E55D">
      <w:pPr>
        <w:pStyle w:val="ListParagraph"/>
        <w:rPr>
          <w:color w:val="auto"/>
        </w:rPr>
      </w:pPr>
      <w:r w:rsidRPr="00217EA0">
        <w:rPr>
          <w:color w:val="auto"/>
        </w:rPr>
        <w:fldChar w:fldCharType="begin"/>
      </w:r>
      <w:r w:rsidRPr="00217EA0">
        <w:rPr>
          <w:color w:val="auto"/>
        </w:rPr>
        <w:instrText xml:space="preserve"> REF _Ref188359877 \h </w:instrText>
      </w:r>
      <w:r w:rsidR="00EC070E" w:rsidRPr="00217EA0">
        <w:rPr>
          <w:color w:val="auto"/>
        </w:rPr>
        <w:instrText xml:space="preserve"> \* MERGEFORMAT </w:instrText>
      </w:r>
      <w:r w:rsidRPr="00217EA0">
        <w:rPr>
          <w:color w:val="auto"/>
        </w:rPr>
      </w:r>
      <w:r w:rsidRPr="00217EA0">
        <w:rPr>
          <w:color w:val="auto"/>
        </w:rPr>
        <w:fldChar w:fldCharType="separate"/>
      </w:r>
      <w:r w:rsidR="008378C4" w:rsidRPr="00217EA0">
        <w:t xml:space="preserve">Table </w:t>
      </w:r>
      <w:r w:rsidR="008378C4">
        <w:t>9</w:t>
      </w:r>
      <w:r w:rsidRPr="00217EA0">
        <w:rPr>
          <w:color w:val="auto"/>
        </w:rPr>
        <w:fldChar w:fldCharType="end"/>
      </w:r>
      <w:r w:rsidR="005B67C8" w:rsidRPr="00217EA0">
        <w:rPr>
          <w:color w:val="auto"/>
        </w:rPr>
        <w:t xml:space="preserve"> </w:t>
      </w:r>
      <w:r w:rsidR="000A7CE1" w:rsidRPr="00217EA0">
        <w:rPr>
          <w:color w:val="auto"/>
        </w:rPr>
        <w:t xml:space="preserve">presents the ABC-06 PFS </w:t>
      </w:r>
      <w:r w:rsidR="00A11138" w:rsidRPr="00217EA0">
        <w:rPr>
          <w:color w:val="auto"/>
        </w:rPr>
        <w:t xml:space="preserve">by investigator </w:t>
      </w:r>
      <w:r w:rsidR="000A7CE1" w:rsidRPr="00217EA0">
        <w:rPr>
          <w:color w:val="auto"/>
        </w:rPr>
        <w:t xml:space="preserve">results in the </w:t>
      </w:r>
      <w:proofErr w:type="spellStart"/>
      <w:r w:rsidR="000A7CE1" w:rsidRPr="00217EA0">
        <w:rPr>
          <w:color w:val="auto"/>
        </w:rPr>
        <w:t>eCCA</w:t>
      </w:r>
      <w:proofErr w:type="spellEnd"/>
      <w:r w:rsidR="000A7CE1" w:rsidRPr="00217EA0">
        <w:rPr>
          <w:color w:val="auto"/>
        </w:rPr>
        <w:t xml:space="preserve">, </w:t>
      </w:r>
      <w:proofErr w:type="spellStart"/>
      <w:r w:rsidR="000A7CE1" w:rsidRPr="00217EA0">
        <w:rPr>
          <w:color w:val="auto"/>
        </w:rPr>
        <w:t>iCCA</w:t>
      </w:r>
      <w:proofErr w:type="spellEnd"/>
      <w:r w:rsidR="0065704D" w:rsidRPr="00217EA0">
        <w:rPr>
          <w:color w:val="auto"/>
        </w:rPr>
        <w:t>,</w:t>
      </w:r>
      <w:r w:rsidR="000A7CE1" w:rsidRPr="00217EA0">
        <w:rPr>
          <w:color w:val="auto"/>
        </w:rPr>
        <w:t xml:space="preserve"> and whole trial population.</w:t>
      </w:r>
    </w:p>
    <w:p w14:paraId="1AD1BEC1" w14:textId="476C064E" w:rsidR="000A7CE1" w:rsidRPr="00217EA0" w:rsidRDefault="00904F7D" w:rsidP="00FA13F3">
      <w:pPr>
        <w:pStyle w:val="Caption"/>
      </w:pPr>
      <w:bookmarkStart w:id="32" w:name="_Ref188359877"/>
      <w:bookmarkStart w:id="33" w:name="Table_PBAC_10"/>
      <w:r w:rsidRPr="00217EA0">
        <w:t xml:space="preserve">Table </w:t>
      </w:r>
      <w:r w:rsidR="00E600E3" w:rsidRPr="00217EA0">
        <w:fldChar w:fldCharType="begin"/>
      </w:r>
      <w:r w:rsidR="00E600E3" w:rsidRPr="00217EA0">
        <w:instrText xml:space="preserve"> SEQ Table_PBAC. \* ARABIC </w:instrText>
      </w:r>
      <w:r w:rsidR="00E600E3" w:rsidRPr="00217EA0">
        <w:fldChar w:fldCharType="separate"/>
      </w:r>
      <w:r w:rsidR="008378C4">
        <w:rPr>
          <w:noProof/>
        </w:rPr>
        <w:t>9</w:t>
      </w:r>
      <w:r w:rsidR="00E600E3" w:rsidRPr="00217EA0">
        <w:fldChar w:fldCharType="end"/>
      </w:r>
      <w:bookmarkEnd w:id="32"/>
      <w:r w:rsidRPr="00217EA0">
        <w:t xml:space="preserve">: PFS </w:t>
      </w:r>
      <w:bookmarkEnd w:id="33"/>
      <w:r w:rsidR="000A7CE1" w:rsidRPr="00217EA0">
        <w:t>outcomes for patients with primary cholangiocarcinoma – ABC-06 trial, subgroup analysis</w:t>
      </w:r>
    </w:p>
    <w:tbl>
      <w:tblPr>
        <w:tblStyle w:val="ASDTable1"/>
        <w:tblW w:w="0" w:type="auto"/>
        <w:tblLook w:val="04A0" w:firstRow="1" w:lastRow="0" w:firstColumn="1" w:lastColumn="0" w:noHBand="0" w:noVBand="1"/>
        <w:tblCaption w:val="Table 9: PFS outcomes for patients with primary cholangiocarcinoma – ABC-06 trial, subgroup analysis"/>
      </w:tblPr>
      <w:tblGrid>
        <w:gridCol w:w="3823"/>
        <w:gridCol w:w="1731"/>
        <w:gridCol w:w="1731"/>
        <w:gridCol w:w="1731"/>
      </w:tblGrid>
      <w:tr w:rsidR="007900E9" w:rsidRPr="00217EA0" w14:paraId="6088CA79" w14:textId="77777777" w:rsidTr="2914E55D">
        <w:tc>
          <w:tcPr>
            <w:tcW w:w="3823" w:type="dxa"/>
          </w:tcPr>
          <w:p w14:paraId="7B8FA2E3" w14:textId="77777777" w:rsidR="000A7CE1" w:rsidRPr="00217EA0" w:rsidRDefault="000A7CE1" w:rsidP="00FE3A7F">
            <w:pPr>
              <w:pStyle w:val="TableText"/>
              <w:keepNext/>
              <w:keepLines/>
              <w:rPr>
                <w:b/>
                <w:bCs/>
              </w:rPr>
            </w:pPr>
          </w:p>
        </w:tc>
        <w:tc>
          <w:tcPr>
            <w:tcW w:w="1731" w:type="dxa"/>
            <w:vAlign w:val="center"/>
          </w:tcPr>
          <w:p w14:paraId="5068E82F" w14:textId="77777777" w:rsidR="000A7CE1" w:rsidRPr="00217EA0" w:rsidRDefault="000A7CE1" w:rsidP="00FE3A7F">
            <w:pPr>
              <w:pStyle w:val="TableText"/>
              <w:keepNext/>
              <w:keepLines/>
              <w:jc w:val="center"/>
              <w:rPr>
                <w:b/>
                <w:bCs/>
              </w:rPr>
            </w:pPr>
            <w:r w:rsidRPr="00217EA0">
              <w:rPr>
                <w:b/>
                <w:bCs/>
              </w:rPr>
              <w:t>All patients</w:t>
            </w:r>
          </w:p>
        </w:tc>
        <w:tc>
          <w:tcPr>
            <w:tcW w:w="1731" w:type="dxa"/>
            <w:vAlign w:val="center"/>
          </w:tcPr>
          <w:p w14:paraId="63A02784" w14:textId="4FC21BA2" w:rsidR="000A7CE1" w:rsidRPr="00217EA0" w:rsidRDefault="000A7CE1" w:rsidP="2914E55D">
            <w:pPr>
              <w:pStyle w:val="TableText"/>
              <w:keepNext/>
              <w:keepLines/>
              <w:jc w:val="center"/>
              <w:rPr>
                <w:b/>
                <w:bCs/>
              </w:rPr>
            </w:pPr>
            <w:proofErr w:type="spellStart"/>
            <w:r w:rsidRPr="00217EA0">
              <w:rPr>
                <w:b/>
                <w:bCs/>
              </w:rPr>
              <w:t>iCCA</w:t>
            </w:r>
            <w:proofErr w:type="spellEnd"/>
          </w:p>
        </w:tc>
        <w:tc>
          <w:tcPr>
            <w:tcW w:w="1731" w:type="dxa"/>
            <w:vAlign w:val="center"/>
          </w:tcPr>
          <w:p w14:paraId="1218E7FF" w14:textId="11D59BD3" w:rsidR="000A7CE1" w:rsidRPr="00217EA0" w:rsidRDefault="000A7CE1" w:rsidP="2914E55D">
            <w:pPr>
              <w:pStyle w:val="TableText"/>
              <w:keepNext/>
              <w:keepLines/>
              <w:jc w:val="center"/>
              <w:rPr>
                <w:b/>
                <w:bCs/>
              </w:rPr>
            </w:pPr>
            <w:proofErr w:type="spellStart"/>
            <w:r w:rsidRPr="00217EA0">
              <w:rPr>
                <w:b/>
                <w:bCs/>
              </w:rPr>
              <w:t>eCCA</w:t>
            </w:r>
            <w:proofErr w:type="spellEnd"/>
          </w:p>
        </w:tc>
      </w:tr>
      <w:tr w:rsidR="007900E9" w:rsidRPr="00217EA0" w14:paraId="34CDDA08" w14:textId="77777777" w:rsidTr="2914E55D">
        <w:tc>
          <w:tcPr>
            <w:tcW w:w="3823" w:type="dxa"/>
          </w:tcPr>
          <w:p w14:paraId="7ACC5D91" w14:textId="77777777" w:rsidR="000A7CE1" w:rsidRPr="00217EA0" w:rsidRDefault="000A7CE1" w:rsidP="00FE3A7F">
            <w:pPr>
              <w:pStyle w:val="TableText"/>
              <w:keepNext/>
              <w:keepLines/>
            </w:pPr>
            <w:r w:rsidRPr="00217EA0">
              <w:t>N (ASC alone)</w:t>
            </w:r>
          </w:p>
        </w:tc>
        <w:tc>
          <w:tcPr>
            <w:tcW w:w="1731" w:type="dxa"/>
            <w:vAlign w:val="center"/>
          </w:tcPr>
          <w:p w14:paraId="0D2E8D2C" w14:textId="77777777" w:rsidR="000A7CE1" w:rsidRPr="00217EA0" w:rsidRDefault="000A7CE1" w:rsidP="00FE3A7F">
            <w:pPr>
              <w:pStyle w:val="TableText"/>
              <w:keepNext/>
              <w:keepLines/>
              <w:jc w:val="center"/>
            </w:pPr>
            <w:r w:rsidRPr="00217EA0">
              <w:t>81</w:t>
            </w:r>
          </w:p>
        </w:tc>
        <w:tc>
          <w:tcPr>
            <w:tcW w:w="1731" w:type="dxa"/>
            <w:vAlign w:val="center"/>
          </w:tcPr>
          <w:p w14:paraId="4DEA9073" w14:textId="77777777" w:rsidR="000A7CE1" w:rsidRPr="00217EA0" w:rsidRDefault="000A7CE1" w:rsidP="00FE3A7F">
            <w:pPr>
              <w:pStyle w:val="TableText"/>
              <w:keepNext/>
              <w:keepLines/>
              <w:jc w:val="center"/>
            </w:pPr>
            <w:r w:rsidRPr="00217EA0">
              <w:t>38</w:t>
            </w:r>
          </w:p>
        </w:tc>
        <w:tc>
          <w:tcPr>
            <w:tcW w:w="1731" w:type="dxa"/>
            <w:vAlign w:val="center"/>
          </w:tcPr>
          <w:p w14:paraId="3AB45FD9" w14:textId="77777777" w:rsidR="000A7CE1" w:rsidRPr="00217EA0" w:rsidRDefault="000A7CE1" w:rsidP="00FE3A7F">
            <w:pPr>
              <w:pStyle w:val="TableText"/>
              <w:keepNext/>
              <w:keepLines/>
              <w:jc w:val="center"/>
            </w:pPr>
            <w:r w:rsidRPr="00217EA0">
              <w:t>19</w:t>
            </w:r>
          </w:p>
        </w:tc>
      </w:tr>
      <w:tr w:rsidR="007900E9" w:rsidRPr="00217EA0" w14:paraId="27D988DC" w14:textId="77777777" w:rsidTr="2914E55D">
        <w:tc>
          <w:tcPr>
            <w:tcW w:w="3823" w:type="dxa"/>
          </w:tcPr>
          <w:p w14:paraId="58322259" w14:textId="77777777" w:rsidR="000A7CE1" w:rsidRPr="00217EA0" w:rsidRDefault="000A7CE1" w:rsidP="00FE3A7F">
            <w:pPr>
              <w:pStyle w:val="TableText"/>
              <w:keepNext/>
              <w:keepLines/>
            </w:pPr>
            <w:r w:rsidRPr="00217EA0">
              <w:t>N (ASC+FOLFOX)</w:t>
            </w:r>
          </w:p>
        </w:tc>
        <w:tc>
          <w:tcPr>
            <w:tcW w:w="1731" w:type="dxa"/>
            <w:vAlign w:val="center"/>
          </w:tcPr>
          <w:p w14:paraId="165C8813" w14:textId="77777777" w:rsidR="000A7CE1" w:rsidRPr="00217EA0" w:rsidRDefault="000A7CE1" w:rsidP="00FE3A7F">
            <w:pPr>
              <w:pStyle w:val="TableText"/>
              <w:keepNext/>
              <w:keepLines/>
              <w:jc w:val="center"/>
            </w:pPr>
            <w:r w:rsidRPr="00217EA0">
              <w:t>81</w:t>
            </w:r>
          </w:p>
        </w:tc>
        <w:tc>
          <w:tcPr>
            <w:tcW w:w="1731" w:type="dxa"/>
            <w:vAlign w:val="center"/>
          </w:tcPr>
          <w:p w14:paraId="76DD0F46" w14:textId="77777777" w:rsidR="000A7CE1" w:rsidRPr="00217EA0" w:rsidRDefault="000A7CE1" w:rsidP="00FE3A7F">
            <w:pPr>
              <w:pStyle w:val="TableText"/>
              <w:keepNext/>
              <w:keepLines/>
              <w:jc w:val="center"/>
            </w:pPr>
            <w:r w:rsidRPr="00217EA0">
              <w:t>34</w:t>
            </w:r>
          </w:p>
        </w:tc>
        <w:tc>
          <w:tcPr>
            <w:tcW w:w="1731" w:type="dxa"/>
            <w:vAlign w:val="center"/>
          </w:tcPr>
          <w:p w14:paraId="199FF07C" w14:textId="77777777" w:rsidR="000A7CE1" w:rsidRPr="00217EA0" w:rsidRDefault="000A7CE1" w:rsidP="00FE3A7F">
            <w:pPr>
              <w:pStyle w:val="TableText"/>
              <w:keepNext/>
              <w:keepLines/>
              <w:jc w:val="center"/>
            </w:pPr>
            <w:r w:rsidRPr="00217EA0">
              <w:t>26</w:t>
            </w:r>
          </w:p>
        </w:tc>
      </w:tr>
      <w:tr w:rsidR="007900E9" w:rsidRPr="00217EA0" w14:paraId="0E5BEABE" w14:textId="77777777" w:rsidTr="2914E55D">
        <w:tc>
          <w:tcPr>
            <w:tcW w:w="3823" w:type="dxa"/>
          </w:tcPr>
          <w:p w14:paraId="5F642228" w14:textId="77777777" w:rsidR="000A7CE1" w:rsidRPr="00217EA0" w:rsidRDefault="000A7CE1" w:rsidP="00FE3A7F">
            <w:pPr>
              <w:pStyle w:val="TableText"/>
              <w:keepNext/>
              <w:keepLines/>
              <w:rPr>
                <w:b/>
              </w:rPr>
            </w:pPr>
            <w:r w:rsidRPr="00217EA0">
              <w:rPr>
                <w:b/>
              </w:rPr>
              <w:t>Progression-free survival</w:t>
            </w:r>
          </w:p>
        </w:tc>
        <w:tc>
          <w:tcPr>
            <w:tcW w:w="1731" w:type="dxa"/>
            <w:vAlign w:val="center"/>
          </w:tcPr>
          <w:p w14:paraId="1F7F4840" w14:textId="77777777" w:rsidR="000A7CE1" w:rsidRPr="00217EA0" w:rsidRDefault="000A7CE1" w:rsidP="00FE3A7F">
            <w:pPr>
              <w:pStyle w:val="TableText"/>
              <w:keepNext/>
              <w:keepLines/>
              <w:jc w:val="center"/>
            </w:pPr>
          </w:p>
        </w:tc>
        <w:tc>
          <w:tcPr>
            <w:tcW w:w="1731" w:type="dxa"/>
            <w:vAlign w:val="center"/>
          </w:tcPr>
          <w:p w14:paraId="7103926B" w14:textId="77777777" w:rsidR="000A7CE1" w:rsidRPr="00217EA0" w:rsidRDefault="000A7CE1" w:rsidP="00FE3A7F">
            <w:pPr>
              <w:pStyle w:val="TableText"/>
              <w:keepNext/>
              <w:keepLines/>
              <w:jc w:val="center"/>
            </w:pPr>
          </w:p>
        </w:tc>
        <w:tc>
          <w:tcPr>
            <w:tcW w:w="1731" w:type="dxa"/>
            <w:vAlign w:val="center"/>
          </w:tcPr>
          <w:p w14:paraId="3115048A" w14:textId="77777777" w:rsidR="000A7CE1" w:rsidRPr="00217EA0" w:rsidRDefault="000A7CE1" w:rsidP="00FE3A7F">
            <w:pPr>
              <w:pStyle w:val="TableText"/>
              <w:keepNext/>
              <w:keepLines/>
              <w:jc w:val="center"/>
            </w:pPr>
          </w:p>
        </w:tc>
      </w:tr>
      <w:tr w:rsidR="007900E9" w:rsidRPr="00217EA0" w14:paraId="143363F0" w14:textId="77777777" w:rsidTr="2914E55D">
        <w:tc>
          <w:tcPr>
            <w:tcW w:w="3823" w:type="dxa"/>
          </w:tcPr>
          <w:p w14:paraId="77492EDF" w14:textId="77777777" w:rsidR="000A7CE1" w:rsidRPr="00217EA0" w:rsidRDefault="000A7CE1" w:rsidP="00FE3A7F">
            <w:pPr>
              <w:pStyle w:val="TableText"/>
              <w:keepNext/>
              <w:keepLines/>
            </w:pPr>
            <w:r w:rsidRPr="00217EA0">
              <w:t xml:space="preserve">Median PFS (ASC+FOLFOX); months (95% CI) </w:t>
            </w:r>
          </w:p>
        </w:tc>
        <w:tc>
          <w:tcPr>
            <w:tcW w:w="1731" w:type="dxa"/>
            <w:vAlign w:val="center"/>
          </w:tcPr>
          <w:p w14:paraId="4D981586" w14:textId="77777777" w:rsidR="000A7CE1" w:rsidRPr="00217EA0" w:rsidRDefault="000A7CE1" w:rsidP="00FE3A7F">
            <w:pPr>
              <w:pStyle w:val="TableText"/>
              <w:keepNext/>
              <w:keepLines/>
              <w:jc w:val="center"/>
            </w:pPr>
            <w:r w:rsidRPr="00217EA0">
              <w:t>4.0 (3.2-5.0)</w:t>
            </w:r>
          </w:p>
        </w:tc>
        <w:tc>
          <w:tcPr>
            <w:tcW w:w="1731" w:type="dxa"/>
            <w:vAlign w:val="center"/>
          </w:tcPr>
          <w:p w14:paraId="5E7EA0E7" w14:textId="77777777" w:rsidR="000A7CE1" w:rsidRPr="00217EA0" w:rsidRDefault="000A7CE1" w:rsidP="00FE3A7F">
            <w:pPr>
              <w:pStyle w:val="TableText"/>
              <w:keepNext/>
              <w:keepLines/>
              <w:jc w:val="center"/>
            </w:pPr>
            <w:r w:rsidRPr="00217EA0">
              <w:t>3.3 (2.5-5.2)</w:t>
            </w:r>
          </w:p>
        </w:tc>
        <w:tc>
          <w:tcPr>
            <w:tcW w:w="1731" w:type="dxa"/>
            <w:vAlign w:val="center"/>
          </w:tcPr>
          <w:p w14:paraId="3AEF94FC" w14:textId="77777777" w:rsidR="000A7CE1" w:rsidRPr="00217EA0" w:rsidRDefault="000A7CE1" w:rsidP="00FE3A7F">
            <w:pPr>
              <w:pStyle w:val="TableText"/>
              <w:keepNext/>
              <w:keepLines/>
              <w:jc w:val="center"/>
            </w:pPr>
            <w:r w:rsidRPr="00217EA0">
              <w:t>4.0 (2.9-5.9)</w:t>
            </w:r>
          </w:p>
        </w:tc>
      </w:tr>
      <w:tr w:rsidR="007900E9" w:rsidRPr="00217EA0" w14:paraId="3E50B47A" w14:textId="77777777" w:rsidTr="2914E55D">
        <w:tc>
          <w:tcPr>
            <w:tcW w:w="3823" w:type="dxa"/>
          </w:tcPr>
          <w:p w14:paraId="128DA03E" w14:textId="3EB53945" w:rsidR="000A7CE1" w:rsidRPr="00217EA0" w:rsidRDefault="000A7CE1" w:rsidP="00FE3A7F">
            <w:pPr>
              <w:pStyle w:val="TableText"/>
              <w:keepNext/>
              <w:keepLines/>
            </w:pPr>
            <w:r w:rsidRPr="00217EA0">
              <w:t>3</w:t>
            </w:r>
            <w:r w:rsidR="00454B9F" w:rsidRPr="00217EA0">
              <w:t xml:space="preserve"> </w:t>
            </w:r>
            <w:r w:rsidRPr="00217EA0">
              <w:t>m</w:t>
            </w:r>
            <w:r w:rsidR="00454B9F" w:rsidRPr="00217EA0">
              <w:t>onth</w:t>
            </w:r>
            <w:r w:rsidRPr="00217EA0">
              <w:t xml:space="preserve"> PFS rate (ASC+FOLFOX) (%) </w:t>
            </w:r>
          </w:p>
        </w:tc>
        <w:tc>
          <w:tcPr>
            <w:tcW w:w="1731" w:type="dxa"/>
            <w:vAlign w:val="center"/>
          </w:tcPr>
          <w:p w14:paraId="5E492AE3" w14:textId="77777777" w:rsidR="000A7CE1" w:rsidRPr="00217EA0" w:rsidRDefault="000A7CE1" w:rsidP="00FE3A7F">
            <w:pPr>
              <w:pStyle w:val="TableText"/>
              <w:keepNext/>
              <w:keepLines/>
              <w:jc w:val="center"/>
            </w:pPr>
            <w:r w:rsidRPr="00217EA0">
              <w:t>66.7%</w:t>
            </w:r>
          </w:p>
        </w:tc>
        <w:tc>
          <w:tcPr>
            <w:tcW w:w="1731" w:type="dxa"/>
            <w:vAlign w:val="center"/>
          </w:tcPr>
          <w:p w14:paraId="37FF216E" w14:textId="77777777" w:rsidR="000A7CE1" w:rsidRPr="00217EA0" w:rsidRDefault="000A7CE1" w:rsidP="00FE3A7F">
            <w:pPr>
              <w:pStyle w:val="TableText"/>
              <w:keepNext/>
              <w:keepLines/>
              <w:jc w:val="center"/>
            </w:pPr>
            <w:r w:rsidRPr="00217EA0">
              <w:t>64.7%</w:t>
            </w:r>
          </w:p>
        </w:tc>
        <w:tc>
          <w:tcPr>
            <w:tcW w:w="1731" w:type="dxa"/>
            <w:vAlign w:val="center"/>
          </w:tcPr>
          <w:p w14:paraId="51B24011" w14:textId="77777777" w:rsidR="000A7CE1" w:rsidRPr="00217EA0" w:rsidRDefault="000A7CE1" w:rsidP="00FE3A7F">
            <w:pPr>
              <w:pStyle w:val="TableText"/>
              <w:keepNext/>
              <w:keepLines/>
              <w:jc w:val="center"/>
            </w:pPr>
            <w:r w:rsidRPr="00217EA0">
              <w:t>65.4%</w:t>
            </w:r>
          </w:p>
        </w:tc>
      </w:tr>
      <w:tr w:rsidR="007900E9" w:rsidRPr="00217EA0" w14:paraId="37C107A7" w14:textId="77777777" w:rsidTr="2914E55D">
        <w:tc>
          <w:tcPr>
            <w:tcW w:w="3823" w:type="dxa"/>
          </w:tcPr>
          <w:p w14:paraId="3928802A" w14:textId="277BF5F1" w:rsidR="000A7CE1" w:rsidRPr="00217EA0" w:rsidRDefault="000A7CE1" w:rsidP="00FE3A7F">
            <w:pPr>
              <w:pStyle w:val="TableText"/>
              <w:keepNext/>
              <w:keepLines/>
            </w:pPr>
            <w:r w:rsidRPr="00217EA0">
              <w:t>6</w:t>
            </w:r>
            <w:r w:rsidR="00454B9F" w:rsidRPr="00217EA0">
              <w:t xml:space="preserve"> </w:t>
            </w:r>
            <w:r w:rsidRPr="00217EA0">
              <w:t>m</w:t>
            </w:r>
            <w:r w:rsidR="00454B9F" w:rsidRPr="00217EA0">
              <w:t>onth</w:t>
            </w:r>
            <w:r w:rsidRPr="00217EA0">
              <w:t xml:space="preserve"> PFS rate (ASC+FOLFOX) (%) </w:t>
            </w:r>
          </w:p>
        </w:tc>
        <w:tc>
          <w:tcPr>
            <w:tcW w:w="1731" w:type="dxa"/>
            <w:vAlign w:val="center"/>
          </w:tcPr>
          <w:p w14:paraId="61C9AEE9" w14:textId="77777777" w:rsidR="000A7CE1" w:rsidRPr="00217EA0" w:rsidRDefault="000A7CE1" w:rsidP="00FE3A7F">
            <w:pPr>
              <w:pStyle w:val="TableText"/>
              <w:keepNext/>
              <w:keepLines/>
              <w:jc w:val="center"/>
            </w:pPr>
            <w:r w:rsidRPr="00217EA0">
              <w:t>32.1%</w:t>
            </w:r>
          </w:p>
        </w:tc>
        <w:tc>
          <w:tcPr>
            <w:tcW w:w="1731" w:type="dxa"/>
            <w:vAlign w:val="center"/>
          </w:tcPr>
          <w:p w14:paraId="114810D1" w14:textId="77777777" w:rsidR="000A7CE1" w:rsidRPr="00217EA0" w:rsidRDefault="000A7CE1" w:rsidP="00FE3A7F">
            <w:pPr>
              <w:pStyle w:val="TableText"/>
              <w:keepNext/>
              <w:keepLines/>
              <w:jc w:val="center"/>
            </w:pPr>
            <w:r w:rsidRPr="00217EA0">
              <w:t>29.4%</w:t>
            </w:r>
          </w:p>
        </w:tc>
        <w:tc>
          <w:tcPr>
            <w:tcW w:w="1731" w:type="dxa"/>
            <w:vAlign w:val="center"/>
          </w:tcPr>
          <w:p w14:paraId="14B9D22F" w14:textId="77777777" w:rsidR="000A7CE1" w:rsidRPr="00217EA0" w:rsidRDefault="000A7CE1" w:rsidP="00FE3A7F">
            <w:pPr>
              <w:pStyle w:val="TableText"/>
              <w:keepNext/>
              <w:keepLines/>
              <w:jc w:val="center"/>
            </w:pPr>
            <w:r w:rsidRPr="00217EA0">
              <w:t>30.8%</w:t>
            </w:r>
          </w:p>
        </w:tc>
      </w:tr>
      <w:tr w:rsidR="007900E9" w:rsidRPr="00217EA0" w14:paraId="78D5C0F5" w14:textId="77777777" w:rsidTr="2914E55D">
        <w:tc>
          <w:tcPr>
            <w:tcW w:w="3823" w:type="dxa"/>
          </w:tcPr>
          <w:p w14:paraId="034F5C73" w14:textId="40539EC2" w:rsidR="000A7CE1" w:rsidRPr="00217EA0" w:rsidRDefault="000A7CE1" w:rsidP="00FE3A7F">
            <w:pPr>
              <w:pStyle w:val="TableText"/>
              <w:keepNext/>
              <w:keepLines/>
            </w:pPr>
            <w:r w:rsidRPr="00217EA0">
              <w:t>12</w:t>
            </w:r>
            <w:r w:rsidR="00454B9F" w:rsidRPr="00217EA0">
              <w:t xml:space="preserve"> </w:t>
            </w:r>
            <w:r w:rsidRPr="00217EA0">
              <w:t>m</w:t>
            </w:r>
            <w:r w:rsidR="00454B9F" w:rsidRPr="00217EA0">
              <w:t>onth</w:t>
            </w:r>
            <w:r w:rsidRPr="00217EA0">
              <w:t xml:space="preserve"> PFS rate (ASC+FOLFOX) (%) </w:t>
            </w:r>
          </w:p>
        </w:tc>
        <w:tc>
          <w:tcPr>
            <w:tcW w:w="1731" w:type="dxa"/>
            <w:vAlign w:val="center"/>
          </w:tcPr>
          <w:p w14:paraId="169A65E5" w14:textId="77777777" w:rsidR="000A7CE1" w:rsidRPr="00217EA0" w:rsidRDefault="000A7CE1" w:rsidP="00FE3A7F">
            <w:pPr>
              <w:pStyle w:val="TableText"/>
              <w:keepNext/>
              <w:keepLines/>
              <w:jc w:val="center"/>
            </w:pPr>
            <w:r w:rsidRPr="00217EA0">
              <w:t>8.6%</w:t>
            </w:r>
          </w:p>
        </w:tc>
        <w:tc>
          <w:tcPr>
            <w:tcW w:w="1731" w:type="dxa"/>
            <w:vAlign w:val="center"/>
          </w:tcPr>
          <w:p w14:paraId="3C43CBEC" w14:textId="77777777" w:rsidR="000A7CE1" w:rsidRPr="00217EA0" w:rsidRDefault="000A7CE1" w:rsidP="00FE3A7F">
            <w:pPr>
              <w:pStyle w:val="TableText"/>
              <w:keepNext/>
              <w:keepLines/>
              <w:jc w:val="center"/>
            </w:pPr>
            <w:r w:rsidRPr="00217EA0">
              <w:t>11.8%</w:t>
            </w:r>
          </w:p>
        </w:tc>
        <w:tc>
          <w:tcPr>
            <w:tcW w:w="1731" w:type="dxa"/>
            <w:vAlign w:val="center"/>
          </w:tcPr>
          <w:p w14:paraId="0FF30364" w14:textId="77777777" w:rsidR="000A7CE1" w:rsidRPr="00217EA0" w:rsidRDefault="000A7CE1" w:rsidP="00FE3A7F">
            <w:pPr>
              <w:pStyle w:val="TableText"/>
              <w:keepNext/>
              <w:keepLines/>
              <w:jc w:val="center"/>
            </w:pPr>
            <w:r w:rsidRPr="00217EA0">
              <w:t>3.9%</w:t>
            </w:r>
          </w:p>
        </w:tc>
      </w:tr>
    </w:tbl>
    <w:p w14:paraId="3B586899" w14:textId="77777777" w:rsidR="000A7CE1" w:rsidRPr="00217EA0" w:rsidRDefault="000A7CE1" w:rsidP="000A7CE1">
      <w:pPr>
        <w:pStyle w:val="TableFooter"/>
        <w:keepNext/>
        <w:keepLines/>
      </w:pPr>
      <w:r w:rsidRPr="00217EA0">
        <w:t xml:space="preserve">Source: Table 2.49, p143 of the submission. </w:t>
      </w:r>
    </w:p>
    <w:p w14:paraId="49B17725" w14:textId="6453752E" w:rsidR="000A7CE1" w:rsidRPr="00217EA0" w:rsidRDefault="000A7CE1" w:rsidP="000A7CE1">
      <w:pPr>
        <w:pStyle w:val="TableFooter"/>
        <w:keepNext/>
        <w:keepLines/>
      </w:pPr>
      <w:r w:rsidRPr="00217EA0">
        <w:t xml:space="preserve">PFS = progression free survival; </w:t>
      </w:r>
      <w:proofErr w:type="spellStart"/>
      <w:r w:rsidRPr="00217EA0">
        <w:t>iCCA</w:t>
      </w:r>
      <w:proofErr w:type="spellEnd"/>
      <w:r w:rsidRPr="00217EA0">
        <w:t xml:space="preserve"> = intrahepatic cholangiocarcinoma; </w:t>
      </w:r>
      <w:proofErr w:type="spellStart"/>
      <w:r w:rsidRPr="00217EA0">
        <w:t>eCCA</w:t>
      </w:r>
      <w:proofErr w:type="spellEnd"/>
      <w:r w:rsidRPr="00217EA0">
        <w:t xml:space="preserve"> = extrahepatic cholangiocarcinoma; OS = overall survival; CI = confidence interval; HR = hazard ratio; ASC = active symptom control; </w:t>
      </w:r>
      <w:r w:rsidR="00454B9F" w:rsidRPr="00217EA0">
        <w:t>N</w:t>
      </w:r>
      <w:r w:rsidRPr="00217EA0">
        <w:t xml:space="preserve"> = number of patients </w:t>
      </w:r>
    </w:p>
    <w:p w14:paraId="65944467" w14:textId="22484498" w:rsidR="005E52F4" w:rsidRPr="00217EA0" w:rsidRDefault="000A7CE1" w:rsidP="008A41AD">
      <w:pPr>
        <w:pStyle w:val="TableFooter"/>
        <w:keepNext/>
        <w:keepLines/>
      </w:pPr>
      <w:r w:rsidRPr="00217EA0">
        <w:t>* HRs adjusted for stratification factors are provided.</w:t>
      </w:r>
    </w:p>
    <w:p w14:paraId="5596E018" w14:textId="1562E1F7" w:rsidR="000A7CE1" w:rsidRPr="00217EA0" w:rsidRDefault="007E6180" w:rsidP="000A7CE1">
      <w:pPr>
        <w:pStyle w:val="ListParagraph"/>
      </w:pPr>
      <w:r w:rsidRPr="00217EA0">
        <w:fldChar w:fldCharType="begin"/>
      </w:r>
      <w:r w:rsidRPr="00217EA0">
        <w:instrText xml:space="preserve"> REF _Ref188359935 \h  \* MERGEFORMAT </w:instrText>
      </w:r>
      <w:r w:rsidRPr="00217EA0">
        <w:fldChar w:fldCharType="separate"/>
      </w:r>
      <w:r w:rsidR="008378C4" w:rsidRPr="00217EA0">
        <w:t>Table</w:t>
      </w:r>
      <w:r w:rsidR="008378C4">
        <w:t xml:space="preserve"> 10</w:t>
      </w:r>
      <w:r w:rsidRPr="00217EA0">
        <w:fldChar w:fldCharType="end"/>
      </w:r>
      <w:r w:rsidR="004C7726" w:rsidRPr="00217EA0">
        <w:t xml:space="preserve"> </w:t>
      </w:r>
      <w:r w:rsidR="000A7CE1" w:rsidRPr="00217EA0">
        <w:t xml:space="preserve">presents a summary of the OS outcomes in ABC-06 in the whole study population, which included </w:t>
      </w:r>
      <w:proofErr w:type="spellStart"/>
      <w:r w:rsidR="000A7CE1" w:rsidRPr="00217EA0">
        <w:t>iCCA</w:t>
      </w:r>
      <w:proofErr w:type="spellEnd"/>
      <w:r w:rsidR="000A7CE1" w:rsidRPr="00217EA0">
        <w:t xml:space="preserve">, </w:t>
      </w:r>
      <w:proofErr w:type="spellStart"/>
      <w:r w:rsidR="000A7CE1" w:rsidRPr="00217EA0">
        <w:t>eCCA</w:t>
      </w:r>
      <w:proofErr w:type="spellEnd"/>
      <w:r w:rsidR="000A7CE1" w:rsidRPr="00217EA0">
        <w:t xml:space="preserve"> and gall bladder cancer, and not selected for </w:t>
      </w:r>
      <w:r w:rsidR="003E5C46" w:rsidRPr="003E5C46">
        <w:rPr>
          <w:i/>
          <w:iCs/>
        </w:rPr>
        <w:t>FGFR2</w:t>
      </w:r>
      <w:r w:rsidR="000A7CE1" w:rsidRPr="00217EA0">
        <w:t xml:space="preserve"> </w:t>
      </w:r>
      <w:r w:rsidR="002E0889" w:rsidRPr="00217EA0">
        <w:t>alterations</w:t>
      </w:r>
      <w:r w:rsidR="00454B9F" w:rsidRPr="00217EA0">
        <w:t xml:space="preserve"> and </w:t>
      </w:r>
      <w:r w:rsidR="003E5C46" w:rsidRPr="003E5C46">
        <w:rPr>
          <w:i/>
          <w:iCs/>
        </w:rPr>
        <w:t>FGFR2</w:t>
      </w:r>
      <w:r w:rsidR="00454B9F" w:rsidRPr="00217EA0">
        <w:t xml:space="preserve"> status was unknown</w:t>
      </w:r>
      <w:r w:rsidR="000A7CE1" w:rsidRPr="00217EA0">
        <w:t xml:space="preserve">. Median </w:t>
      </w:r>
      <w:r w:rsidR="00111D80" w:rsidRPr="00217EA0">
        <w:t>OS</w:t>
      </w:r>
      <w:r w:rsidR="000A7CE1" w:rsidRPr="00217EA0">
        <w:t xml:space="preserve"> was 6.2 months (95% CI 5·4–7·6) in the ASC plus FOLFOX group versus 5·3 months (4·1–5·8) in the ASC alone group (adjusted OS HR 0.69 [95% CI 0·50–0·97]).</w:t>
      </w:r>
    </w:p>
    <w:p w14:paraId="181FE704" w14:textId="65B48C62" w:rsidR="000A7CE1" w:rsidRPr="00217EA0" w:rsidRDefault="004F74E6" w:rsidP="00B85CC9">
      <w:pPr>
        <w:pStyle w:val="TableFigureHeading"/>
        <w:keepLines/>
      </w:pPr>
      <w:bookmarkStart w:id="34" w:name="_Ref188359935"/>
      <w:bookmarkStart w:id="35" w:name="Table_PBAC_11"/>
      <w:r w:rsidRPr="00217EA0">
        <w:t>Table</w:t>
      </w:r>
      <w:r w:rsidR="00B433BA">
        <w:t xml:space="preserve"> </w:t>
      </w:r>
      <w:r w:rsidR="006A66A8">
        <w:fldChar w:fldCharType="begin"/>
      </w:r>
      <w:r w:rsidR="006A66A8">
        <w:instrText xml:space="preserve"> SEQ Table_PBAC. \* ARABIC </w:instrText>
      </w:r>
      <w:r w:rsidR="006A66A8">
        <w:fldChar w:fldCharType="separate"/>
      </w:r>
      <w:r w:rsidR="008378C4">
        <w:rPr>
          <w:noProof/>
        </w:rPr>
        <w:t>10</w:t>
      </w:r>
      <w:r w:rsidR="006A66A8">
        <w:rPr>
          <w:noProof/>
        </w:rPr>
        <w:fldChar w:fldCharType="end"/>
      </w:r>
      <w:bookmarkEnd w:id="34"/>
      <w:r w:rsidR="00751F71">
        <w:rPr>
          <w:noProof/>
        </w:rPr>
        <w:t>:</w:t>
      </w:r>
      <w:bookmarkEnd w:id="35"/>
      <w:r w:rsidR="00751F71">
        <w:t xml:space="preserve"> </w:t>
      </w:r>
      <w:r w:rsidR="000A7CE1" w:rsidRPr="00217EA0">
        <w:t>OS outcomes for patients with primary cholangiocarcinoma – ABC-06 trial, subgroup analysis</w:t>
      </w:r>
    </w:p>
    <w:tbl>
      <w:tblPr>
        <w:tblStyle w:val="PBACTableStyle"/>
        <w:tblW w:w="0" w:type="auto"/>
        <w:tblLook w:val="04A0" w:firstRow="1" w:lastRow="0" w:firstColumn="1" w:lastColumn="0" w:noHBand="0" w:noVBand="1"/>
        <w:tblCaption w:val="Table 10: OS outcomes for patients with primary cholangiocarcinoma – ABC-06 trial, subgroup analysis"/>
      </w:tblPr>
      <w:tblGrid>
        <w:gridCol w:w="4328"/>
        <w:gridCol w:w="1641"/>
        <w:gridCol w:w="1574"/>
        <w:gridCol w:w="1473"/>
      </w:tblGrid>
      <w:tr w:rsidR="007900E9" w:rsidRPr="00217EA0" w14:paraId="32B240DA" w14:textId="77777777" w:rsidTr="00FE3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2" w:type="dxa"/>
          </w:tcPr>
          <w:p w14:paraId="1AEE4651" w14:textId="77777777" w:rsidR="000A7CE1" w:rsidRPr="00217EA0" w:rsidRDefault="000A7CE1" w:rsidP="00B85CC9">
            <w:pPr>
              <w:pStyle w:val="TableText"/>
              <w:keepNext/>
              <w:keepLines/>
              <w:rPr>
                <w:color w:val="auto"/>
                <w:lang w:val="en-AU"/>
              </w:rPr>
            </w:pPr>
          </w:p>
        </w:tc>
        <w:tc>
          <w:tcPr>
            <w:tcW w:w="1727" w:type="dxa"/>
          </w:tcPr>
          <w:p w14:paraId="420C5E4D" w14:textId="77777777" w:rsidR="000A7CE1" w:rsidRPr="00217EA0" w:rsidRDefault="000A7CE1" w:rsidP="00B85CC9">
            <w:pPr>
              <w:pStyle w:val="TableText"/>
              <w:keepNext/>
              <w:keepLines/>
              <w:jc w:val="center"/>
              <w:cnfStyle w:val="100000000000" w:firstRow="1" w:lastRow="0" w:firstColumn="0" w:lastColumn="0" w:oddVBand="0" w:evenVBand="0" w:oddHBand="0" w:evenHBand="0" w:firstRowFirstColumn="0" w:firstRowLastColumn="0" w:lastRowFirstColumn="0" w:lastRowLastColumn="0"/>
              <w:rPr>
                <w:color w:val="auto"/>
                <w:lang w:val="en-AU"/>
              </w:rPr>
            </w:pPr>
            <w:r w:rsidRPr="00217EA0">
              <w:rPr>
                <w:color w:val="auto"/>
                <w:lang w:val="en-AU"/>
              </w:rPr>
              <w:t>All patients</w:t>
            </w:r>
          </w:p>
        </w:tc>
        <w:tc>
          <w:tcPr>
            <w:tcW w:w="1678" w:type="dxa"/>
          </w:tcPr>
          <w:p w14:paraId="6F8A97BF" w14:textId="77777777" w:rsidR="000A7CE1" w:rsidRPr="00217EA0" w:rsidRDefault="000A7CE1" w:rsidP="00B85CC9">
            <w:pPr>
              <w:pStyle w:val="TableText"/>
              <w:keepNext/>
              <w:keepLines/>
              <w:jc w:val="center"/>
              <w:cnfStyle w:val="100000000000" w:firstRow="1" w:lastRow="0" w:firstColumn="0" w:lastColumn="0" w:oddVBand="0" w:evenVBand="0" w:oddHBand="0" w:evenHBand="0" w:firstRowFirstColumn="0" w:firstRowLastColumn="0" w:lastRowFirstColumn="0" w:lastRowLastColumn="0"/>
              <w:rPr>
                <w:color w:val="auto"/>
                <w:lang w:val="en-AU"/>
              </w:rPr>
            </w:pPr>
            <w:proofErr w:type="spellStart"/>
            <w:r w:rsidRPr="00217EA0">
              <w:rPr>
                <w:color w:val="auto"/>
                <w:lang w:val="en-AU"/>
              </w:rPr>
              <w:t>iCCA</w:t>
            </w:r>
            <w:proofErr w:type="spellEnd"/>
          </w:p>
        </w:tc>
        <w:tc>
          <w:tcPr>
            <w:tcW w:w="1561" w:type="dxa"/>
          </w:tcPr>
          <w:p w14:paraId="32EC6A2E" w14:textId="77777777" w:rsidR="000A7CE1" w:rsidRPr="00217EA0" w:rsidRDefault="000A7CE1" w:rsidP="00B85CC9">
            <w:pPr>
              <w:pStyle w:val="TableText"/>
              <w:keepNext/>
              <w:keepLines/>
              <w:jc w:val="center"/>
              <w:cnfStyle w:val="100000000000" w:firstRow="1" w:lastRow="0" w:firstColumn="0" w:lastColumn="0" w:oddVBand="0" w:evenVBand="0" w:oddHBand="0" w:evenHBand="0" w:firstRowFirstColumn="0" w:firstRowLastColumn="0" w:lastRowFirstColumn="0" w:lastRowLastColumn="0"/>
              <w:rPr>
                <w:color w:val="auto"/>
                <w:lang w:val="en-AU"/>
              </w:rPr>
            </w:pPr>
            <w:proofErr w:type="spellStart"/>
            <w:r w:rsidRPr="00217EA0">
              <w:rPr>
                <w:color w:val="auto"/>
                <w:lang w:val="en-AU"/>
              </w:rPr>
              <w:t>eCCA</w:t>
            </w:r>
            <w:proofErr w:type="spellEnd"/>
          </w:p>
        </w:tc>
      </w:tr>
      <w:tr w:rsidR="007900E9" w:rsidRPr="00217EA0" w14:paraId="707EB90E" w14:textId="77777777" w:rsidTr="00FE3A7F">
        <w:tc>
          <w:tcPr>
            <w:cnfStyle w:val="001000000000" w:firstRow="0" w:lastRow="0" w:firstColumn="1" w:lastColumn="0" w:oddVBand="0" w:evenVBand="0" w:oddHBand="0" w:evenHBand="0" w:firstRowFirstColumn="0" w:firstRowLastColumn="0" w:lastRowFirstColumn="0" w:lastRowLastColumn="0"/>
            <w:tcW w:w="4662" w:type="dxa"/>
          </w:tcPr>
          <w:p w14:paraId="7B6EB260" w14:textId="77777777" w:rsidR="000A7CE1" w:rsidRPr="00217EA0" w:rsidRDefault="000A7CE1" w:rsidP="00B85CC9">
            <w:pPr>
              <w:pStyle w:val="TableText"/>
              <w:keepNext/>
              <w:keepLines/>
              <w:rPr>
                <w:color w:val="auto"/>
                <w:lang w:val="en-AU"/>
              </w:rPr>
            </w:pPr>
            <w:r w:rsidRPr="00217EA0">
              <w:rPr>
                <w:color w:val="auto"/>
                <w:lang w:val="en-AU"/>
              </w:rPr>
              <w:t>N (ASC alone)</w:t>
            </w:r>
          </w:p>
        </w:tc>
        <w:tc>
          <w:tcPr>
            <w:tcW w:w="1727" w:type="dxa"/>
          </w:tcPr>
          <w:p w14:paraId="60BDFC24"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81</w:t>
            </w:r>
          </w:p>
        </w:tc>
        <w:tc>
          <w:tcPr>
            <w:tcW w:w="1678" w:type="dxa"/>
          </w:tcPr>
          <w:p w14:paraId="737EE73D"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38</w:t>
            </w:r>
          </w:p>
        </w:tc>
        <w:tc>
          <w:tcPr>
            <w:tcW w:w="1561" w:type="dxa"/>
          </w:tcPr>
          <w:p w14:paraId="6679FA28"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19</w:t>
            </w:r>
          </w:p>
        </w:tc>
      </w:tr>
      <w:tr w:rsidR="007900E9" w:rsidRPr="00217EA0" w14:paraId="68334D05" w14:textId="77777777" w:rsidTr="00FE3A7F">
        <w:tc>
          <w:tcPr>
            <w:cnfStyle w:val="001000000000" w:firstRow="0" w:lastRow="0" w:firstColumn="1" w:lastColumn="0" w:oddVBand="0" w:evenVBand="0" w:oddHBand="0" w:evenHBand="0" w:firstRowFirstColumn="0" w:firstRowLastColumn="0" w:lastRowFirstColumn="0" w:lastRowLastColumn="0"/>
            <w:tcW w:w="4662" w:type="dxa"/>
          </w:tcPr>
          <w:p w14:paraId="488E36D6" w14:textId="77777777" w:rsidR="000A7CE1" w:rsidRPr="00217EA0" w:rsidRDefault="000A7CE1" w:rsidP="00B85CC9">
            <w:pPr>
              <w:pStyle w:val="TableText"/>
              <w:keepNext/>
              <w:keepLines/>
              <w:rPr>
                <w:color w:val="auto"/>
                <w:lang w:val="en-AU"/>
              </w:rPr>
            </w:pPr>
            <w:r w:rsidRPr="00217EA0">
              <w:rPr>
                <w:color w:val="auto"/>
                <w:lang w:val="en-AU"/>
              </w:rPr>
              <w:t>N (ASC+FOLFOX)</w:t>
            </w:r>
          </w:p>
        </w:tc>
        <w:tc>
          <w:tcPr>
            <w:tcW w:w="1727" w:type="dxa"/>
          </w:tcPr>
          <w:p w14:paraId="12DA8730"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81</w:t>
            </w:r>
          </w:p>
        </w:tc>
        <w:tc>
          <w:tcPr>
            <w:tcW w:w="1678" w:type="dxa"/>
          </w:tcPr>
          <w:p w14:paraId="6480EEF0"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34</w:t>
            </w:r>
          </w:p>
        </w:tc>
        <w:tc>
          <w:tcPr>
            <w:tcW w:w="1561" w:type="dxa"/>
          </w:tcPr>
          <w:p w14:paraId="415B575C"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26</w:t>
            </w:r>
          </w:p>
        </w:tc>
      </w:tr>
      <w:tr w:rsidR="007900E9" w:rsidRPr="00217EA0" w14:paraId="01C1499B" w14:textId="77777777" w:rsidTr="00FE3A7F">
        <w:tc>
          <w:tcPr>
            <w:cnfStyle w:val="001000000000" w:firstRow="0" w:lastRow="0" w:firstColumn="1" w:lastColumn="0" w:oddVBand="0" w:evenVBand="0" w:oddHBand="0" w:evenHBand="0" w:firstRowFirstColumn="0" w:firstRowLastColumn="0" w:lastRowFirstColumn="0" w:lastRowLastColumn="0"/>
            <w:tcW w:w="4662" w:type="dxa"/>
          </w:tcPr>
          <w:p w14:paraId="131EA88A" w14:textId="77777777" w:rsidR="000A7CE1" w:rsidRPr="00217EA0" w:rsidRDefault="000A7CE1" w:rsidP="00B85CC9">
            <w:pPr>
              <w:pStyle w:val="TableText"/>
              <w:keepNext/>
              <w:keepLines/>
              <w:rPr>
                <w:b/>
                <w:color w:val="auto"/>
                <w:lang w:val="en-AU"/>
              </w:rPr>
            </w:pPr>
            <w:r w:rsidRPr="00217EA0">
              <w:rPr>
                <w:b/>
                <w:color w:val="auto"/>
                <w:lang w:val="en-AU"/>
              </w:rPr>
              <w:t>Overall survival</w:t>
            </w:r>
          </w:p>
        </w:tc>
        <w:tc>
          <w:tcPr>
            <w:tcW w:w="1727" w:type="dxa"/>
          </w:tcPr>
          <w:p w14:paraId="1A3462F1"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1678" w:type="dxa"/>
          </w:tcPr>
          <w:p w14:paraId="66C482DA"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1561" w:type="dxa"/>
          </w:tcPr>
          <w:p w14:paraId="1BDCD417"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p>
        </w:tc>
      </w:tr>
      <w:tr w:rsidR="007900E9" w:rsidRPr="00217EA0" w14:paraId="037DE7F7" w14:textId="77777777" w:rsidTr="00FE3A7F">
        <w:tc>
          <w:tcPr>
            <w:cnfStyle w:val="001000000000" w:firstRow="0" w:lastRow="0" w:firstColumn="1" w:lastColumn="0" w:oddVBand="0" w:evenVBand="0" w:oddHBand="0" w:evenHBand="0" w:firstRowFirstColumn="0" w:firstRowLastColumn="0" w:lastRowFirstColumn="0" w:lastRowLastColumn="0"/>
            <w:tcW w:w="4662" w:type="dxa"/>
          </w:tcPr>
          <w:p w14:paraId="6F316B37" w14:textId="77777777" w:rsidR="000A7CE1" w:rsidRPr="00217EA0" w:rsidRDefault="000A7CE1" w:rsidP="00B85CC9">
            <w:pPr>
              <w:pStyle w:val="TableText"/>
              <w:keepNext/>
              <w:keepLines/>
              <w:rPr>
                <w:color w:val="auto"/>
                <w:lang w:val="en-AU"/>
              </w:rPr>
            </w:pPr>
            <w:r w:rsidRPr="00217EA0">
              <w:rPr>
                <w:color w:val="auto"/>
                <w:lang w:val="en-AU"/>
              </w:rPr>
              <w:t>Adjusted* HR (95% CI) OS</w:t>
            </w:r>
          </w:p>
        </w:tc>
        <w:tc>
          <w:tcPr>
            <w:tcW w:w="1727" w:type="dxa"/>
          </w:tcPr>
          <w:p w14:paraId="55EB07C1"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0.69 (0.50 – 0.97)</w:t>
            </w:r>
          </w:p>
        </w:tc>
        <w:tc>
          <w:tcPr>
            <w:tcW w:w="1678" w:type="dxa"/>
          </w:tcPr>
          <w:p w14:paraId="349561BD"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0.64 (0.38, 1.06)</w:t>
            </w:r>
          </w:p>
        </w:tc>
        <w:tc>
          <w:tcPr>
            <w:tcW w:w="1561" w:type="dxa"/>
          </w:tcPr>
          <w:p w14:paraId="61D35557"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0.84 (0.45-1.57)</w:t>
            </w:r>
          </w:p>
        </w:tc>
      </w:tr>
      <w:tr w:rsidR="007900E9" w:rsidRPr="00217EA0" w14:paraId="79E26C32" w14:textId="77777777" w:rsidTr="00FE3A7F">
        <w:tc>
          <w:tcPr>
            <w:cnfStyle w:val="001000000000" w:firstRow="0" w:lastRow="0" w:firstColumn="1" w:lastColumn="0" w:oddVBand="0" w:evenVBand="0" w:oddHBand="0" w:evenHBand="0" w:firstRowFirstColumn="0" w:firstRowLastColumn="0" w:lastRowFirstColumn="0" w:lastRowLastColumn="0"/>
            <w:tcW w:w="4662" w:type="dxa"/>
          </w:tcPr>
          <w:p w14:paraId="10389DCA" w14:textId="77777777" w:rsidR="000A7CE1" w:rsidRPr="00217EA0" w:rsidRDefault="000A7CE1" w:rsidP="00B85CC9">
            <w:pPr>
              <w:pStyle w:val="TableText"/>
              <w:keepNext/>
              <w:keepLines/>
              <w:rPr>
                <w:color w:val="auto"/>
                <w:lang w:val="en-AU"/>
              </w:rPr>
            </w:pPr>
            <w:r w:rsidRPr="00217EA0">
              <w:rPr>
                <w:color w:val="auto"/>
                <w:lang w:val="en-AU"/>
              </w:rPr>
              <w:t>Median OS months (ASC-alone); months (95% CI)</w:t>
            </w:r>
          </w:p>
        </w:tc>
        <w:tc>
          <w:tcPr>
            <w:tcW w:w="1727" w:type="dxa"/>
          </w:tcPr>
          <w:p w14:paraId="670A048E"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5.3 (4.1, 5.8)</w:t>
            </w:r>
          </w:p>
        </w:tc>
        <w:tc>
          <w:tcPr>
            <w:tcW w:w="1678" w:type="dxa"/>
          </w:tcPr>
          <w:p w14:paraId="065DA1F1"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5.2 (3.7, 5.8)</w:t>
            </w:r>
          </w:p>
        </w:tc>
        <w:tc>
          <w:tcPr>
            <w:tcW w:w="1561" w:type="dxa"/>
          </w:tcPr>
          <w:p w14:paraId="511A52AC"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5.4 (3.9-6.4)</w:t>
            </w:r>
          </w:p>
        </w:tc>
      </w:tr>
      <w:tr w:rsidR="007900E9" w:rsidRPr="00217EA0" w14:paraId="55069ABF" w14:textId="77777777" w:rsidTr="00FE3A7F">
        <w:tc>
          <w:tcPr>
            <w:cnfStyle w:val="001000000000" w:firstRow="0" w:lastRow="0" w:firstColumn="1" w:lastColumn="0" w:oddVBand="0" w:evenVBand="0" w:oddHBand="0" w:evenHBand="0" w:firstRowFirstColumn="0" w:firstRowLastColumn="0" w:lastRowFirstColumn="0" w:lastRowLastColumn="0"/>
            <w:tcW w:w="4662" w:type="dxa"/>
          </w:tcPr>
          <w:p w14:paraId="7E5DA096" w14:textId="77777777" w:rsidR="000A7CE1" w:rsidRPr="00217EA0" w:rsidRDefault="000A7CE1" w:rsidP="00B85CC9">
            <w:pPr>
              <w:pStyle w:val="TableText"/>
              <w:keepNext/>
              <w:keepLines/>
              <w:rPr>
                <w:color w:val="auto"/>
                <w:lang w:val="en-AU"/>
              </w:rPr>
            </w:pPr>
            <w:r w:rsidRPr="00217EA0">
              <w:rPr>
                <w:color w:val="auto"/>
                <w:lang w:val="en-AU"/>
              </w:rPr>
              <w:t>Median OS months (ASC+FOLFOX); months (95% CI)</w:t>
            </w:r>
          </w:p>
        </w:tc>
        <w:tc>
          <w:tcPr>
            <w:tcW w:w="1727" w:type="dxa"/>
          </w:tcPr>
          <w:p w14:paraId="68E6A662"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6.2 (5.4, 7.6)</w:t>
            </w:r>
          </w:p>
        </w:tc>
        <w:tc>
          <w:tcPr>
            <w:tcW w:w="1678" w:type="dxa"/>
          </w:tcPr>
          <w:p w14:paraId="7389DC3C"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5.7 (4.1, 7.4)</w:t>
            </w:r>
          </w:p>
        </w:tc>
        <w:tc>
          <w:tcPr>
            <w:tcW w:w="1561" w:type="dxa"/>
          </w:tcPr>
          <w:p w14:paraId="0AD2D373"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6.2 (4.0-7.9)</w:t>
            </w:r>
          </w:p>
        </w:tc>
      </w:tr>
      <w:tr w:rsidR="007900E9" w:rsidRPr="00217EA0" w14:paraId="7238E374" w14:textId="77777777" w:rsidTr="00FE3A7F">
        <w:tc>
          <w:tcPr>
            <w:cnfStyle w:val="001000000000" w:firstRow="0" w:lastRow="0" w:firstColumn="1" w:lastColumn="0" w:oddVBand="0" w:evenVBand="0" w:oddHBand="0" w:evenHBand="0" w:firstRowFirstColumn="0" w:firstRowLastColumn="0" w:lastRowFirstColumn="0" w:lastRowLastColumn="0"/>
            <w:tcW w:w="4662" w:type="dxa"/>
          </w:tcPr>
          <w:p w14:paraId="796B8586" w14:textId="77777777" w:rsidR="000A7CE1" w:rsidRPr="00217EA0" w:rsidRDefault="000A7CE1" w:rsidP="00B85CC9">
            <w:pPr>
              <w:pStyle w:val="TableText"/>
              <w:keepNext/>
              <w:keepLines/>
              <w:rPr>
                <w:color w:val="auto"/>
                <w:lang w:val="en-AU"/>
              </w:rPr>
            </w:pPr>
            <w:r w:rsidRPr="00217EA0">
              <w:rPr>
                <w:color w:val="auto"/>
                <w:lang w:val="en-AU"/>
              </w:rPr>
              <w:t xml:space="preserve">6m OS rate (ASC-alone) (%) </w:t>
            </w:r>
          </w:p>
        </w:tc>
        <w:tc>
          <w:tcPr>
            <w:tcW w:w="1727" w:type="dxa"/>
          </w:tcPr>
          <w:p w14:paraId="2CEE545A"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35.5%</w:t>
            </w:r>
          </w:p>
        </w:tc>
        <w:tc>
          <w:tcPr>
            <w:tcW w:w="1678" w:type="dxa"/>
          </w:tcPr>
          <w:p w14:paraId="4E26BF1C"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30.8%</w:t>
            </w:r>
          </w:p>
        </w:tc>
        <w:tc>
          <w:tcPr>
            <w:tcW w:w="1561" w:type="dxa"/>
          </w:tcPr>
          <w:p w14:paraId="3F7E7AC6"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36.8%</w:t>
            </w:r>
          </w:p>
        </w:tc>
      </w:tr>
      <w:tr w:rsidR="007900E9" w:rsidRPr="00217EA0" w14:paraId="2C3FC832" w14:textId="77777777" w:rsidTr="00FE3A7F">
        <w:tc>
          <w:tcPr>
            <w:cnfStyle w:val="001000000000" w:firstRow="0" w:lastRow="0" w:firstColumn="1" w:lastColumn="0" w:oddVBand="0" w:evenVBand="0" w:oddHBand="0" w:evenHBand="0" w:firstRowFirstColumn="0" w:firstRowLastColumn="0" w:lastRowFirstColumn="0" w:lastRowLastColumn="0"/>
            <w:tcW w:w="4662" w:type="dxa"/>
          </w:tcPr>
          <w:p w14:paraId="0B7ADE11" w14:textId="77777777" w:rsidR="000A7CE1" w:rsidRPr="00217EA0" w:rsidRDefault="000A7CE1" w:rsidP="00B85CC9">
            <w:pPr>
              <w:pStyle w:val="TableText"/>
              <w:keepNext/>
              <w:keepLines/>
              <w:rPr>
                <w:color w:val="auto"/>
                <w:lang w:val="en-AU"/>
              </w:rPr>
            </w:pPr>
            <w:r w:rsidRPr="00217EA0">
              <w:rPr>
                <w:color w:val="auto"/>
                <w:lang w:val="en-AU"/>
              </w:rPr>
              <w:t xml:space="preserve">6m OS rate (ASC+FOLFOX) (%) </w:t>
            </w:r>
          </w:p>
        </w:tc>
        <w:tc>
          <w:tcPr>
            <w:tcW w:w="1727" w:type="dxa"/>
          </w:tcPr>
          <w:p w14:paraId="03A5EEA6"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50.6%</w:t>
            </w:r>
          </w:p>
        </w:tc>
        <w:tc>
          <w:tcPr>
            <w:tcW w:w="1678" w:type="dxa"/>
          </w:tcPr>
          <w:p w14:paraId="0FC0F9D3"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44.1%</w:t>
            </w:r>
          </w:p>
        </w:tc>
        <w:tc>
          <w:tcPr>
            <w:tcW w:w="1561" w:type="dxa"/>
          </w:tcPr>
          <w:p w14:paraId="793CCADF"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53.9%</w:t>
            </w:r>
          </w:p>
        </w:tc>
      </w:tr>
      <w:tr w:rsidR="007900E9" w:rsidRPr="00217EA0" w14:paraId="2EBFDDA8" w14:textId="77777777" w:rsidTr="00FE3A7F">
        <w:tc>
          <w:tcPr>
            <w:cnfStyle w:val="001000000000" w:firstRow="0" w:lastRow="0" w:firstColumn="1" w:lastColumn="0" w:oddVBand="0" w:evenVBand="0" w:oddHBand="0" w:evenHBand="0" w:firstRowFirstColumn="0" w:firstRowLastColumn="0" w:lastRowFirstColumn="0" w:lastRowLastColumn="0"/>
            <w:tcW w:w="4662" w:type="dxa"/>
          </w:tcPr>
          <w:p w14:paraId="25EFF152" w14:textId="77777777" w:rsidR="000A7CE1" w:rsidRPr="00217EA0" w:rsidRDefault="000A7CE1" w:rsidP="00B85CC9">
            <w:pPr>
              <w:pStyle w:val="TableText"/>
              <w:keepNext/>
              <w:keepLines/>
              <w:rPr>
                <w:color w:val="auto"/>
                <w:lang w:val="en-AU"/>
              </w:rPr>
            </w:pPr>
            <w:r w:rsidRPr="00217EA0">
              <w:rPr>
                <w:color w:val="auto"/>
                <w:lang w:val="en-AU"/>
              </w:rPr>
              <w:t xml:space="preserve">12m OS rate (ASC-alone) (%) </w:t>
            </w:r>
          </w:p>
        </w:tc>
        <w:tc>
          <w:tcPr>
            <w:tcW w:w="1727" w:type="dxa"/>
          </w:tcPr>
          <w:p w14:paraId="01099163"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11.4%</w:t>
            </w:r>
          </w:p>
        </w:tc>
        <w:tc>
          <w:tcPr>
            <w:tcW w:w="1678" w:type="dxa"/>
          </w:tcPr>
          <w:p w14:paraId="671B3816"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11.2%</w:t>
            </w:r>
          </w:p>
        </w:tc>
        <w:tc>
          <w:tcPr>
            <w:tcW w:w="1561" w:type="dxa"/>
          </w:tcPr>
          <w:p w14:paraId="1A439BE2"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10.5%</w:t>
            </w:r>
          </w:p>
        </w:tc>
      </w:tr>
      <w:tr w:rsidR="007900E9" w:rsidRPr="00217EA0" w14:paraId="3EEF5CAB" w14:textId="77777777" w:rsidTr="00FE3A7F">
        <w:tc>
          <w:tcPr>
            <w:cnfStyle w:val="001000000000" w:firstRow="0" w:lastRow="0" w:firstColumn="1" w:lastColumn="0" w:oddVBand="0" w:evenVBand="0" w:oddHBand="0" w:evenHBand="0" w:firstRowFirstColumn="0" w:firstRowLastColumn="0" w:lastRowFirstColumn="0" w:lastRowLastColumn="0"/>
            <w:tcW w:w="4662" w:type="dxa"/>
          </w:tcPr>
          <w:p w14:paraId="11A7447C" w14:textId="77777777" w:rsidR="000A7CE1" w:rsidRPr="00217EA0" w:rsidRDefault="000A7CE1" w:rsidP="00B85CC9">
            <w:pPr>
              <w:pStyle w:val="TableText"/>
              <w:keepNext/>
              <w:keepLines/>
              <w:rPr>
                <w:color w:val="auto"/>
                <w:lang w:val="en-AU"/>
              </w:rPr>
            </w:pPr>
            <w:r w:rsidRPr="00217EA0">
              <w:rPr>
                <w:color w:val="auto"/>
                <w:lang w:val="en-AU"/>
              </w:rPr>
              <w:t xml:space="preserve">12m OS rate (ASC+FOLFOX) (%) </w:t>
            </w:r>
          </w:p>
        </w:tc>
        <w:tc>
          <w:tcPr>
            <w:tcW w:w="1727" w:type="dxa"/>
          </w:tcPr>
          <w:p w14:paraId="58FB0357"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25.9%</w:t>
            </w:r>
          </w:p>
        </w:tc>
        <w:tc>
          <w:tcPr>
            <w:tcW w:w="1678" w:type="dxa"/>
          </w:tcPr>
          <w:p w14:paraId="30BC0696"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26.5%</w:t>
            </w:r>
          </w:p>
        </w:tc>
        <w:tc>
          <w:tcPr>
            <w:tcW w:w="1561" w:type="dxa"/>
          </w:tcPr>
          <w:p w14:paraId="38556423" w14:textId="77777777" w:rsidR="000A7CE1" w:rsidRPr="00217EA0" w:rsidRDefault="000A7CE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15.4%</w:t>
            </w:r>
          </w:p>
        </w:tc>
      </w:tr>
    </w:tbl>
    <w:p w14:paraId="7FC2F0AC" w14:textId="77777777" w:rsidR="000A7CE1" w:rsidRPr="00217EA0" w:rsidRDefault="000A7CE1" w:rsidP="00B85CC9">
      <w:pPr>
        <w:pStyle w:val="TableFooter"/>
        <w:keepNext/>
        <w:keepLines/>
      </w:pPr>
      <w:r w:rsidRPr="00217EA0">
        <w:t>Source: Table 2.48, p142 of the submission.</w:t>
      </w:r>
    </w:p>
    <w:p w14:paraId="7497ED8B" w14:textId="12BFBCA6" w:rsidR="000A7CE1" w:rsidRPr="00217EA0" w:rsidRDefault="000A7CE1" w:rsidP="00B85CC9">
      <w:pPr>
        <w:pStyle w:val="TableFooter"/>
        <w:keepNext/>
        <w:keepLines/>
      </w:pPr>
      <w:r w:rsidRPr="00217EA0">
        <w:t xml:space="preserve">PFS= progression free survival; </w:t>
      </w:r>
      <w:proofErr w:type="spellStart"/>
      <w:r w:rsidRPr="00217EA0">
        <w:t>iCCA</w:t>
      </w:r>
      <w:proofErr w:type="spellEnd"/>
      <w:r w:rsidRPr="00217EA0">
        <w:t xml:space="preserve"> = intrahepatic cholangiocarcinoma; </w:t>
      </w:r>
      <w:proofErr w:type="spellStart"/>
      <w:r w:rsidRPr="00217EA0">
        <w:t>eCCA</w:t>
      </w:r>
      <w:proofErr w:type="spellEnd"/>
      <w:r w:rsidRPr="00217EA0">
        <w:t xml:space="preserve"> = extrahepatic cholangiocarcinoma; OS = overall survival; CI = confidence interval; HR = hazard ratio; ASC = active symptom control; n = number of patients; ne = not estimable. </w:t>
      </w:r>
    </w:p>
    <w:p w14:paraId="0380DF77" w14:textId="77777777" w:rsidR="000A7CE1" w:rsidRPr="00217EA0" w:rsidRDefault="000A7CE1" w:rsidP="00B85CC9">
      <w:pPr>
        <w:pStyle w:val="TableFooter"/>
        <w:keepNext/>
        <w:keepLines/>
      </w:pPr>
      <w:r w:rsidRPr="00217EA0">
        <w:t>* HRs adjusted for stratification factors are provided.</w:t>
      </w:r>
    </w:p>
    <w:p w14:paraId="05C188DC" w14:textId="4B6F4AFF" w:rsidR="00A11138" w:rsidRPr="00217EA0" w:rsidRDefault="00A11138" w:rsidP="2914E55D">
      <w:pPr>
        <w:pStyle w:val="ListParagraph"/>
        <w:rPr>
          <w:color w:val="auto"/>
        </w:rPr>
      </w:pPr>
      <w:r w:rsidRPr="00217EA0">
        <w:rPr>
          <w:color w:val="auto"/>
        </w:rPr>
        <w:t xml:space="preserve">The submission noted that no HRQoL outcomes were reported with the main published trial results of ABC-06 in Lamarca 2021. The submission identified a conference abstract from ESMO 2022, reporting descriptive analyses of the quality of life (QoL) measures from baseline and 4-month follow-up for ABC-06 (Lamarca 2022). The submission presented “available case analysis” of 138/162 patients with evaluable results. </w:t>
      </w:r>
      <w:r w:rsidR="007D157B" w:rsidRPr="00217EA0">
        <w:rPr>
          <w:color w:val="auto"/>
        </w:rPr>
        <w:t xml:space="preserve">The </w:t>
      </w:r>
      <w:r w:rsidR="005000D4" w:rsidRPr="00217EA0">
        <w:rPr>
          <w:color w:val="auto"/>
        </w:rPr>
        <w:t>evaluation</w:t>
      </w:r>
      <w:r w:rsidR="007D157B" w:rsidRPr="00217EA0">
        <w:rPr>
          <w:color w:val="auto"/>
        </w:rPr>
        <w:t xml:space="preserve"> </w:t>
      </w:r>
      <w:r w:rsidR="005000D4" w:rsidRPr="00217EA0">
        <w:rPr>
          <w:color w:val="auto"/>
        </w:rPr>
        <w:t>noted</w:t>
      </w:r>
      <w:r w:rsidR="007D157B" w:rsidRPr="00217EA0">
        <w:rPr>
          <w:color w:val="auto"/>
        </w:rPr>
        <w:t xml:space="preserve"> that it </w:t>
      </w:r>
      <w:r w:rsidRPr="00217EA0">
        <w:rPr>
          <w:color w:val="auto"/>
        </w:rPr>
        <w:t>was unclear what this population signified or what was the criteria for inclusion into this population.</w:t>
      </w:r>
    </w:p>
    <w:p w14:paraId="5154FBF5" w14:textId="276852E2" w:rsidR="00A11138" w:rsidRPr="00217EA0" w:rsidRDefault="00A11138" w:rsidP="000A7CE1">
      <w:pPr>
        <w:pStyle w:val="ListParagraph"/>
      </w:pPr>
      <w:r w:rsidRPr="00217EA0">
        <w:rPr>
          <w:color w:val="auto"/>
        </w:rPr>
        <w:t>The submission noted that the interpretation of the data is limited given the data are sourced from a conference abstract. Based on this analysis, the addition of FOLFOX to ASC did not appear to induce worsening of the QoL parameters assessed. In contrast, patients in the ASC-alone arm appeared to experience worsening of the EQ-5D utility values and most of the QLQ-30 scales (including global, physical, social and role scales). There also appeared to be worsening of nausea and pain</w:t>
      </w:r>
      <w:r w:rsidR="00C966CD" w:rsidRPr="00217EA0">
        <w:rPr>
          <w:color w:val="auto"/>
        </w:rPr>
        <w:t>,</w:t>
      </w:r>
      <w:r w:rsidRPr="00217EA0">
        <w:rPr>
          <w:color w:val="auto"/>
        </w:rPr>
        <w:t xml:space="preserve"> which remained stable in the ASC+FOLFOX arm. </w:t>
      </w:r>
    </w:p>
    <w:p w14:paraId="1B802ED8" w14:textId="0494F37A" w:rsidR="00C75C91" w:rsidRPr="00217EA0" w:rsidRDefault="00C75C91" w:rsidP="006D2D94">
      <w:pPr>
        <w:pStyle w:val="PBACESHeading1"/>
        <w:numPr>
          <w:ilvl w:val="0"/>
          <w:numId w:val="0"/>
        </w:numPr>
        <w:outlineLvl w:val="2"/>
        <w:rPr>
          <w:sz w:val="24"/>
          <w:szCs w:val="24"/>
        </w:rPr>
      </w:pPr>
      <w:bookmarkStart w:id="36" w:name="_Toc187865661"/>
      <w:r w:rsidRPr="00217EA0">
        <w:rPr>
          <w:sz w:val="24"/>
          <w:szCs w:val="24"/>
        </w:rPr>
        <w:t xml:space="preserve">MAIC of </w:t>
      </w:r>
      <w:proofErr w:type="spellStart"/>
      <w:r w:rsidRPr="00217EA0">
        <w:rPr>
          <w:sz w:val="24"/>
          <w:szCs w:val="24"/>
        </w:rPr>
        <w:t>futibatinib</w:t>
      </w:r>
      <w:proofErr w:type="spellEnd"/>
      <w:r w:rsidRPr="00217EA0">
        <w:rPr>
          <w:sz w:val="24"/>
          <w:szCs w:val="24"/>
        </w:rPr>
        <w:t xml:space="preserve"> versus FOLFOX and ASC</w:t>
      </w:r>
      <w:bookmarkEnd w:id="36"/>
    </w:p>
    <w:p w14:paraId="740F0C2D" w14:textId="02B10769" w:rsidR="00C75C91" w:rsidRPr="00217EA0" w:rsidRDefault="00C75C91" w:rsidP="2914E55D">
      <w:pPr>
        <w:pStyle w:val="ListParagraph"/>
        <w:rPr>
          <w:color w:val="auto"/>
        </w:rPr>
      </w:pPr>
      <w:r w:rsidRPr="00217EA0">
        <w:rPr>
          <w:color w:val="auto"/>
        </w:rPr>
        <w:t xml:space="preserve">The submission identified the following differences in baseline characteristics between FOENIX-CCA2 and the ASC+FOLFOX arm of ABC-06: median age, and the proportion </w:t>
      </w:r>
      <w:r w:rsidRPr="00217EA0">
        <w:t>of</w:t>
      </w:r>
      <w:r w:rsidRPr="00217EA0">
        <w:rPr>
          <w:color w:val="auto"/>
        </w:rPr>
        <w:t xml:space="preserve"> patients with CCA (ABC-06 enrolled patients with CCA and bile duct cancer, with </w:t>
      </w:r>
      <w:proofErr w:type="spellStart"/>
      <w:r w:rsidRPr="00217EA0">
        <w:rPr>
          <w:color w:val="auto"/>
        </w:rPr>
        <w:t>iCCA</w:t>
      </w:r>
      <w:proofErr w:type="spellEnd"/>
      <w:r w:rsidRPr="00217EA0">
        <w:rPr>
          <w:color w:val="auto"/>
        </w:rPr>
        <w:t xml:space="preserve"> representing 47% of the sample compared to 100% of patients with </w:t>
      </w:r>
      <w:proofErr w:type="spellStart"/>
      <w:r w:rsidRPr="00217EA0">
        <w:rPr>
          <w:color w:val="auto"/>
        </w:rPr>
        <w:t>iCCA</w:t>
      </w:r>
      <w:proofErr w:type="spellEnd"/>
      <w:r w:rsidRPr="00217EA0">
        <w:rPr>
          <w:color w:val="auto"/>
        </w:rPr>
        <w:t xml:space="preserve"> in FOENIX-CCA2).</w:t>
      </w:r>
      <w:r w:rsidR="007A2CC7" w:rsidRPr="00217EA0">
        <w:rPr>
          <w:color w:val="auto"/>
        </w:rPr>
        <w:t xml:space="preserve"> </w:t>
      </w:r>
      <w:r w:rsidRPr="00217EA0">
        <w:rPr>
          <w:color w:val="auto"/>
        </w:rPr>
        <w:fldChar w:fldCharType="begin"/>
      </w:r>
      <w:r w:rsidRPr="00217EA0">
        <w:rPr>
          <w:color w:val="auto"/>
        </w:rPr>
        <w:instrText xml:space="preserve"> REF _Ref184819926 \h </w:instrText>
      </w:r>
      <w:r w:rsidR="00EC070E" w:rsidRPr="00217EA0">
        <w:rPr>
          <w:color w:val="auto"/>
        </w:rPr>
        <w:instrText xml:space="preserve"> \* MERGEFORMAT </w:instrText>
      </w:r>
      <w:r w:rsidRPr="00217EA0">
        <w:rPr>
          <w:color w:val="auto"/>
        </w:rPr>
      </w:r>
      <w:r w:rsidRPr="00217EA0">
        <w:rPr>
          <w:color w:val="auto"/>
        </w:rPr>
        <w:fldChar w:fldCharType="separate"/>
      </w:r>
      <w:r w:rsidR="008378C4" w:rsidRPr="00217EA0">
        <w:t>Table</w:t>
      </w:r>
      <w:r w:rsidR="008378C4">
        <w:t xml:space="preserve"> 11</w:t>
      </w:r>
      <w:r w:rsidRPr="00217EA0">
        <w:rPr>
          <w:color w:val="auto"/>
        </w:rPr>
        <w:fldChar w:fldCharType="end"/>
      </w:r>
      <w:r w:rsidR="007878AD" w:rsidRPr="00217EA0">
        <w:rPr>
          <w:color w:val="auto"/>
        </w:rPr>
        <w:t xml:space="preserve"> </w:t>
      </w:r>
      <w:r w:rsidRPr="00217EA0">
        <w:rPr>
          <w:color w:val="auto"/>
        </w:rPr>
        <w:t>presents the potential cofounders</w:t>
      </w:r>
      <w:r w:rsidR="00A11138" w:rsidRPr="00217EA0">
        <w:rPr>
          <w:color w:val="auto"/>
        </w:rPr>
        <w:t xml:space="preserve"> in baseline characteristics</w:t>
      </w:r>
      <w:r w:rsidRPr="00217EA0">
        <w:rPr>
          <w:color w:val="auto"/>
        </w:rPr>
        <w:t xml:space="preserve"> identified in the submission.</w:t>
      </w:r>
      <w:bookmarkStart w:id="37" w:name="_Ref200966291"/>
      <w:r w:rsidR="00F6190C">
        <w:rPr>
          <w:rStyle w:val="FootnoteReference"/>
          <w:color w:val="auto"/>
        </w:rPr>
        <w:footnoteReference w:id="5"/>
      </w:r>
      <w:bookmarkEnd w:id="37"/>
      <w:r w:rsidRPr="00217EA0">
        <w:rPr>
          <w:color w:val="auto"/>
        </w:rPr>
        <w:t xml:space="preserve"> </w:t>
      </w:r>
    </w:p>
    <w:p w14:paraId="00531B31" w14:textId="0EAA43B9" w:rsidR="00C75C91" w:rsidRPr="00217EA0" w:rsidRDefault="00C75C91" w:rsidP="00B85CC9">
      <w:pPr>
        <w:pStyle w:val="TableFigureHeading"/>
        <w:keepLines/>
      </w:pPr>
      <w:bookmarkStart w:id="38" w:name="_Ref184819926"/>
      <w:r w:rsidRPr="00217EA0">
        <w:t>Table</w:t>
      </w:r>
      <w:r w:rsidR="00E5144F">
        <w:t xml:space="preserve"> </w:t>
      </w:r>
      <w:r w:rsidR="006A66A8">
        <w:fldChar w:fldCharType="begin"/>
      </w:r>
      <w:r w:rsidR="006A66A8">
        <w:instrText xml:space="preserve"> SEQ Table_PBAC. \* ARABIC </w:instrText>
      </w:r>
      <w:r w:rsidR="006A66A8">
        <w:fldChar w:fldCharType="separate"/>
      </w:r>
      <w:r w:rsidR="008378C4">
        <w:rPr>
          <w:noProof/>
        </w:rPr>
        <w:t>11</w:t>
      </w:r>
      <w:r w:rsidR="006A66A8">
        <w:rPr>
          <w:noProof/>
        </w:rPr>
        <w:fldChar w:fldCharType="end"/>
      </w:r>
      <w:bookmarkEnd w:id="38"/>
      <w:r w:rsidR="00751F71">
        <w:rPr>
          <w:noProof/>
        </w:rPr>
        <w:t xml:space="preserve">: </w:t>
      </w:r>
      <w:r w:rsidRPr="00217EA0">
        <w:t>Across trial comparison of potential confounding variables in the ITC</w:t>
      </w:r>
    </w:p>
    <w:tbl>
      <w:tblPr>
        <w:tblStyle w:val="PBACTableStyle"/>
        <w:tblW w:w="8926" w:type="dxa"/>
        <w:tblLook w:val="04A0" w:firstRow="1" w:lastRow="0" w:firstColumn="1" w:lastColumn="0" w:noHBand="0" w:noVBand="1"/>
        <w:tblCaption w:val="Table 11: Across trial comparison of potential confounding variables in the ITC"/>
      </w:tblPr>
      <w:tblGrid>
        <w:gridCol w:w="2102"/>
        <w:gridCol w:w="2855"/>
        <w:gridCol w:w="1984"/>
        <w:gridCol w:w="1985"/>
      </w:tblGrid>
      <w:tr w:rsidR="00195C01" w:rsidRPr="00217EA0" w14:paraId="202034C6" w14:textId="77777777" w:rsidTr="00195C01">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2102" w:type="dxa"/>
            <w:vMerge w:val="restart"/>
          </w:tcPr>
          <w:p w14:paraId="0F46D3D6" w14:textId="77777777" w:rsidR="00195C01" w:rsidRPr="00217EA0" w:rsidRDefault="00195C01" w:rsidP="00B85CC9">
            <w:pPr>
              <w:pStyle w:val="TableText"/>
              <w:keepNext/>
              <w:keepLines/>
              <w:rPr>
                <w:color w:val="auto"/>
                <w:lang w:val="en-AU"/>
              </w:rPr>
            </w:pPr>
            <w:r w:rsidRPr="00217EA0">
              <w:rPr>
                <w:color w:val="auto"/>
                <w:lang w:val="en-AU"/>
              </w:rPr>
              <w:t>Trial ID</w:t>
            </w:r>
          </w:p>
        </w:tc>
        <w:tc>
          <w:tcPr>
            <w:tcW w:w="2855" w:type="dxa"/>
          </w:tcPr>
          <w:p w14:paraId="16435FAF" w14:textId="77777777" w:rsidR="00195C01" w:rsidRPr="00217EA0" w:rsidRDefault="00195C01" w:rsidP="00B85CC9">
            <w:pPr>
              <w:pStyle w:val="TableText"/>
              <w:keepNext/>
              <w:keepLines/>
              <w:jc w:val="center"/>
              <w:cnfStyle w:val="100000000000" w:firstRow="1" w:lastRow="0" w:firstColumn="0" w:lastColumn="0" w:oddVBand="0" w:evenVBand="0" w:oddHBand="0" w:evenHBand="0" w:firstRowFirstColumn="0" w:firstRowLastColumn="0" w:lastRowFirstColumn="0" w:lastRowLastColumn="0"/>
              <w:rPr>
                <w:b w:val="0"/>
                <w:lang w:val="en-AU"/>
              </w:rPr>
            </w:pPr>
            <w:r w:rsidRPr="00217EA0">
              <w:rPr>
                <w:color w:val="auto"/>
                <w:lang w:val="en-AU"/>
              </w:rPr>
              <w:t>FOENIX-CCA2</w:t>
            </w:r>
          </w:p>
        </w:tc>
        <w:tc>
          <w:tcPr>
            <w:tcW w:w="3969" w:type="dxa"/>
            <w:gridSpan w:val="2"/>
          </w:tcPr>
          <w:p w14:paraId="55EDD564" w14:textId="77777777" w:rsidR="00195C01" w:rsidRPr="00217EA0" w:rsidRDefault="00195C01" w:rsidP="00B85CC9">
            <w:pPr>
              <w:pStyle w:val="TableText"/>
              <w:keepNext/>
              <w:keepLines/>
              <w:jc w:val="center"/>
              <w:cnfStyle w:val="100000000000" w:firstRow="1" w:lastRow="0" w:firstColumn="0" w:lastColumn="0" w:oddVBand="0" w:evenVBand="0" w:oddHBand="0" w:evenHBand="0" w:firstRowFirstColumn="0" w:firstRowLastColumn="0" w:lastRowFirstColumn="0" w:lastRowLastColumn="0"/>
              <w:rPr>
                <w:color w:val="auto"/>
                <w:lang w:val="en-AU"/>
              </w:rPr>
            </w:pPr>
            <w:r w:rsidRPr="00217EA0">
              <w:rPr>
                <w:color w:val="auto"/>
                <w:lang w:val="en-AU"/>
              </w:rPr>
              <w:t>ABC-06;</w:t>
            </w:r>
          </w:p>
        </w:tc>
      </w:tr>
      <w:tr w:rsidR="00195C01" w:rsidRPr="00217EA0" w14:paraId="068A5682" w14:textId="77777777" w:rsidTr="00195C01">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2102" w:type="dxa"/>
            <w:vMerge/>
            <w:hideMark/>
          </w:tcPr>
          <w:p w14:paraId="0E95426F" w14:textId="77777777" w:rsidR="00195C01" w:rsidRPr="00217EA0" w:rsidRDefault="00195C01" w:rsidP="00B85CC9">
            <w:pPr>
              <w:pStyle w:val="TableText"/>
              <w:keepNext/>
              <w:keepLines/>
              <w:rPr>
                <w:color w:val="auto"/>
                <w:lang w:val="en-AU"/>
              </w:rPr>
            </w:pPr>
          </w:p>
        </w:tc>
        <w:tc>
          <w:tcPr>
            <w:tcW w:w="2855" w:type="dxa"/>
            <w:hideMark/>
          </w:tcPr>
          <w:p w14:paraId="0F226023" w14:textId="77777777" w:rsidR="00195C01" w:rsidRPr="00217EA0" w:rsidRDefault="00195C01" w:rsidP="00B85CC9">
            <w:pPr>
              <w:pStyle w:val="TableText"/>
              <w:keepNext/>
              <w:keepLines/>
              <w:jc w:val="center"/>
              <w:cnfStyle w:val="100000000000" w:firstRow="1" w:lastRow="0" w:firstColumn="0" w:lastColumn="0" w:oddVBand="0" w:evenVBand="0" w:oddHBand="0" w:evenHBand="0" w:firstRowFirstColumn="0" w:firstRowLastColumn="0" w:lastRowFirstColumn="0" w:lastRowLastColumn="0"/>
              <w:rPr>
                <w:b w:val="0"/>
                <w:color w:val="auto"/>
                <w:lang w:val="en-AU"/>
              </w:rPr>
            </w:pPr>
            <w:r w:rsidRPr="00217EA0">
              <w:rPr>
                <w:color w:val="auto"/>
                <w:lang w:val="en-AU"/>
              </w:rPr>
              <w:t>Whole trial population</w:t>
            </w:r>
          </w:p>
        </w:tc>
        <w:tc>
          <w:tcPr>
            <w:tcW w:w="1984" w:type="dxa"/>
            <w:hideMark/>
          </w:tcPr>
          <w:p w14:paraId="7F98B9FE" w14:textId="77777777" w:rsidR="00195C01" w:rsidRPr="00217EA0" w:rsidRDefault="00195C01" w:rsidP="00B85CC9">
            <w:pPr>
              <w:pStyle w:val="TableText"/>
              <w:keepNext/>
              <w:keepLines/>
              <w:jc w:val="center"/>
              <w:cnfStyle w:val="100000000000" w:firstRow="1" w:lastRow="0" w:firstColumn="0" w:lastColumn="0" w:oddVBand="0" w:evenVBand="0" w:oddHBand="0" w:evenHBand="0" w:firstRowFirstColumn="0" w:firstRowLastColumn="0" w:lastRowFirstColumn="0" w:lastRowLastColumn="0"/>
              <w:rPr>
                <w:b w:val="0"/>
                <w:color w:val="auto"/>
                <w:lang w:val="en-AU"/>
              </w:rPr>
            </w:pPr>
            <w:r w:rsidRPr="00217EA0">
              <w:rPr>
                <w:color w:val="auto"/>
                <w:lang w:val="en-AU"/>
              </w:rPr>
              <w:t>FOLFOX+ASC</w:t>
            </w:r>
          </w:p>
        </w:tc>
        <w:tc>
          <w:tcPr>
            <w:tcW w:w="1985" w:type="dxa"/>
            <w:noWrap/>
            <w:hideMark/>
          </w:tcPr>
          <w:p w14:paraId="21243ECF" w14:textId="287166CB" w:rsidR="00195C01" w:rsidRPr="00217EA0" w:rsidRDefault="00195C01" w:rsidP="00B85CC9">
            <w:pPr>
              <w:pStyle w:val="TableText"/>
              <w:keepNext/>
              <w:keepLines/>
              <w:jc w:val="center"/>
              <w:cnfStyle w:val="100000000000" w:firstRow="1" w:lastRow="0" w:firstColumn="0" w:lastColumn="0" w:oddVBand="0" w:evenVBand="0" w:oddHBand="0" w:evenHBand="0" w:firstRowFirstColumn="0" w:firstRowLastColumn="0" w:lastRowFirstColumn="0" w:lastRowLastColumn="0"/>
              <w:rPr>
                <w:b w:val="0"/>
                <w:color w:val="auto"/>
                <w:lang w:val="en-AU"/>
              </w:rPr>
            </w:pPr>
            <w:r w:rsidRPr="00217EA0">
              <w:rPr>
                <w:color w:val="auto"/>
                <w:lang w:val="en-AU"/>
              </w:rPr>
              <w:t>ASC</w:t>
            </w:r>
          </w:p>
        </w:tc>
      </w:tr>
      <w:tr w:rsidR="00195C01" w:rsidRPr="00217EA0" w14:paraId="30689AF0" w14:textId="77777777" w:rsidTr="00195C01">
        <w:trPr>
          <w:cantSplit/>
          <w:trHeight w:val="20"/>
        </w:trPr>
        <w:tc>
          <w:tcPr>
            <w:cnfStyle w:val="001000000000" w:firstRow="0" w:lastRow="0" w:firstColumn="1" w:lastColumn="0" w:oddVBand="0" w:evenVBand="0" w:oddHBand="0" w:evenHBand="0" w:firstRowFirstColumn="0" w:firstRowLastColumn="0" w:lastRowFirstColumn="0" w:lastRowLastColumn="0"/>
            <w:tcW w:w="2102" w:type="dxa"/>
            <w:hideMark/>
          </w:tcPr>
          <w:p w14:paraId="04255B66" w14:textId="75E41E29" w:rsidR="00195C01" w:rsidRPr="00217EA0" w:rsidRDefault="00195C01" w:rsidP="00B85CC9">
            <w:pPr>
              <w:pStyle w:val="TableText"/>
              <w:keepNext/>
              <w:keepLines/>
              <w:rPr>
                <w:color w:val="auto"/>
                <w:lang w:val="en-AU"/>
              </w:rPr>
            </w:pPr>
            <w:r w:rsidRPr="00217EA0">
              <w:rPr>
                <w:color w:val="auto"/>
                <w:lang w:val="en-AU"/>
              </w:rPr>
              <w:t>Age, median (range)</w:t>
            </w:r>
          </w:p>
        </w:tc>
        <w:tc>
          <w:tcPr>
            <w:tcW w:w="2855" w:type="dxa"/>
            <w:hideMark/>
          </w:tcPr>
          <w:p w14:paraId="283004F0"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58 (22–79)</w:t>
            </w:r>
          </w:p>
          <w:p w14:paraId="553A3D75"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Mean 55.7 (SD 12.2)</w:t>
            </w:r>
          </w:p>
        </w:tc>
        <w:tc>
          <w:tcPr>
            <w:tcW w:w="1984" w:type="dxa"/>
            <w:noWrap/>
            <w:hideMark/>
          </w:tcPr>
          <w:p w14:paraId="71E76841"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65 (26–84)</w:t>
            </w:r>
          </w:p>
        </w:tc>
        <w:tc>
          <w:tcPr>
            <w:tcW w:w="1985" w:type="dxa"/>
            <w:noWrap/>
            <w:hideMark/>
          </w:tcPr>
          <w:p w14:paraId="55978225"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65 (26–81)</w:t>
            </w:r>
          </w:p>
        </w:tc>
      </w:tr>
      <w:tr w:rsidR="00195C01" w:rsidRPr="00217EA0" w14:paraId="252C6D31" w14:textId="77777777" w:rsidTr="00195C01">
        <w:trPr>
          <w:cantSplit/>
          <w:trHeight w:val="20"/>
        </w:trPr>
        <w:tc>
          <w:tcPr>
            <w:cnfStyle w:val="001000000000" w:firstRow="0" w:lastRow="0" w:firstColumn="1" w:lastColumn="0" w:oddVBand="0" w:evenVBand="0" w:oddHBand="0" w:evenHBand="0" w:firstRowFirstColumn="0" w:firstRowLastColumn="0" w:lastRowFirstColumn="0" w:lastRowLastColumn="0"/>
            <w:tcW w:w="2102" w:type="dxa"/>
            <w:hideMark/>
          </w:tcPr>
          <w:p w14:paraId="380CA654" w14:textId="77777777" w:rsidR="00195C01" w:rsidRPr="00217EA0" w:rsidRDefault="00195C01" w:rsidP="00B85CC9">
            <w:pPr>
              <w:pStyle w:val="TableText"/>
              <w:keepNext/>
              <w:keepLines/>
              <w:rPr>
                <w:color w:val="auto"/>
                <w:lang w:val="en-AU"/>
              </w:rPr>
            </w:pPr>
            <w:r w:rsidRPr="00217EA0">
              <w:rPr>
                <w:color w:val="auto"/>
                <w:lang w:val="en-AU"/>
              </w:rPr>
              <w:t>Gender male, n (%)</w:t>
            </w:r>
          </w:p>
        </w:tc>
        <w:tc>
          <w:tcPr>
            <w:tcW w:w="2855" w:type="dxa"/>
            <w:noWrap/>
            <w:hideMark/>
          </w:tcPr>
          <w:p w14:paraId="5855C6BF"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45 (43.7)</w:t>
            </w:r>
          </w:p>
        </w:tc>
        <w:tc>
          <w:tcPr>
            <w:tcW w:w="1984" w:type="dxa"/>
            <w:noWrap/>
            <w:hideMark/>
          </w:tcPr>
          <w:p w14:paraId="0A638515"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43 (53)</w:t>
            </w:r>
          </w:p>
        </w:tc>
        <w:tc>
          <w:tcPr>
            <w:tcW w:w="1985" w:type="dxa"/>
            <w:noWrap/>
            <w:hideMark/>
          </w:tcPr>
          <w:p w14:paraId="26F5222A"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37 (46)</w:t>
            </w:r>
          </w:p>
        </w:tc>
      </w:tr>
      <w:tr w:rsidR="00195C01" w:rsidRPr="00217EA0" w14:paraId="000D5CDA" w14:textId="77777777" w:rsidTr="00195C01">
        <w:trPr>
          <w:cantSplit/>
          <w:trHeight w:val="20"/>
        </w:trPr>
        <w:tc>
          <w:tcPr>
            <w:cnfStyle w:val="001000000000" w:firstRow="0" w:lastRow="0" w:firstColumn="1" w:lastColumn="0" w:oddVBand="0" w:evenVBand="0" w:oddHBand="0" w:evenHBand="0" w:firstRowFirstColumn="0" w:firstRowLastColumn="0" w:lastRowFirstColumn="0" w:lastRowLastColumn="0"/>
            <w:tcW w:w="2102" w:type="dxa"/>
            <w:hideMark/>
          </w:tcPr>
          <w:p w14:paraId="3465B2AA" w14:textId="77777777" w:rsidR="00195C01" w:rsidRPr="00217EA0" w:rsidRDefault="00195C01" w:rsidP="00B85CC9">
            <w:pPr>
              <w:pStyle w:val="TableText"/>
              <w:keepNext/>
              <w:keepLines/>
              <w:rPr>
                <w:color w:val="auto"/>
                <w:lang w:val="en-AU"/>
              </w:rPr>
            </w:pPr>
            <w:proofErr w:type="spellStart"/>
            <w:r w:rsidRPr="00217EA0">
              <w:rPr>
                <w:color w:val="auto"/>
                <w:lang w:val="en-AU"/>
              </w:rPr>
              <w:t>iCCA</w:t>
            </w:r>
            <w:proofErr w:type="spellEnd"/>
            <w:r w:rsidRPr="00217EA0">
              <w:rPr>
                <w:color w:val="auto"/>
                <w:lang w:val="en-AU"/>
              </w:rPr>
              <w:t>, n (%)</w:t>
            </w:r>
          </w:p>
        </w:tc>
        <w:tc>
          <w:tcPr>
            <w:tcW w:w="2855" w:type="dxa"/>
            <w:hideMark/>
          </w:tcPr>
          <w:p w14:paraId="3C83F0A3"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103 (100)</w:t>
            </w:r>
          </w:p>
        </w:tc>
        <w:tc>
          <w:tcPr>
            <w:tcW w:w="1984" w:type="dxa"/>
            <w:noWrap/>
            <w:hideMark/>
          </w:tcPr>
          <w:p w14:paraId="78420FEA"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34 (42)</w:t>
            </w:r>
          </w:p>
        </w:tc>
        <w:tc>
          <w:tcPr>
            <w:tcW w:w="1985" w:type="dxa"/>
            <w:noWrap/>
            <w:hideMark/>
          </w:tcPr>
          <w:p w14:paraId="19698483"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38 (47)</w:t>
            </w:r>
          </w:p>
        </w:tc>
      </w:tr>
      <w:tr w:rsidR="00195C01" w:rsidRPr="00217EA0" w14:paraId="7C416711" w14:textId="77777777" w:rsidTr="00195C01">
        <w:trPr>
          <w:cantSplit/>
          <w:trHeight w:val="20"/>
        </w:trPr>
        <w:tc>
          <w:tcPr>
            <w:cnfStyle w:val="001000000000" w:firstRow="0" w:lastRow="0" w:firstColumn="1" w:lastColumn="0" w:oddVBand="0" w:evenVBand="0" w:oddHBand="0" w:evenHBand="0" w:firstRowFirstColumn="0" w:firstRowLastColumn="0" w:lastRowFirstColumn="0" w:lastRowLastColumn="0"/>
            <w:tcW w:w="2102" w:type="dxa"/>
            <w:hideMark/>
          </w:tcPr>
          <w:p w14:paraId="1BAFC0B5" w14:textId="77777777" w:rsidR="00195C01" w:rsidRPr="00217EA0" w:rsidRDefault="00195C01" w:rsidP="00B85CC9">
            <w:pPr>
              <w:pStyle w:val="TableText"/>
              <w:keepNext/>
              <w:keepLines/>
              <w:rPr>
                <w:color w:val="auto"/>
                <w:lang w:val="en-AU"/>
              </w:rPr>
            </w:pPr>
            <w:r w:rsidRPr="00217EA0">
              <w:rPr>
                <w:color w:val="auto"/>
                <w:lang w:val="en-AU"/>
              </w:rPr>
              <w:t>Baseline ECOG PS, n (%) </w:t>
            </w:r>
          </w:p>
        </w:tc>
        <w:tc>
          <w:tcPr>
            <w:tcW w:w="2855" w:type="dxa"/>
            <w:hideMark/>
          </w:tcPr>
          <w:p w14:paraId="4080AB5C"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0: 48 (46.6)</w:t>
            </w:r>
          </w:p>
          <w:p w14:paraId="233AB41A"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≥1: 55 (53.4)</w:t>
            </w:r>
          </w:p>
          <w:p w14:paraId="1E1C0E75"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1984" w:type="dxa"/>
            <w:hideMark/>
          </w:tcPr>
          <w:p w14:paraId="3A759BB7"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0: 25 (31)</w:t>
            </w:r>
          </w:p>
          <w:p w14:paraId="4CE39398"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≥1: 55 (68)</w:t>
            </w:r>
          </w:p>
          <w:p w14:paraId="51A21F6F"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Missing: 1 (1)</w:t>
            </w:r>
          </w:p>
        </w:tc>
        <w:tc>
          <w:tcPr>
            <w:tcW w:w="1985" w:type="dxa"/>
            <w:hideMark/>
          </w:tcPr>
          <w:p w14:paraId="539CD0C5"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0: 28 (35)</w:t>
            </w:r>
          </w:p>
          <w:p w14:paraId="4202018A"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≥1: 52 (64)</w:t>
            </w:r>
          </w:p>
          <w:p w14:paraId="6201DB28"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Missing: 1 (1)</w:t>
            </w:r>
          </w:p>
        </w:tc>
      </w:tr>
      <w:tr w:rsidR="00195C01" w:rsidRPr="00217EA0" w14:paraId="23BB29C3" w14:textId="77777777" w:rsidTr="00195C01">
        <w:trPr>
          <w:cantSplit/>
          <w:trHeight w:val="20"/>
        </w:trPr>
        <w:tc>
          <w:tcPr>
            <w:cnfStyle w:val="001000000000" w:firstRow="0" w:lastRow="0" w:firstColumn="1" w:lastColumn="0" w:oddVBand="0" w:evenVBand="0" w:oddHBand="0" w:evenHBand="0" w:firstRowFirstColumn="0" w:firstRowLastColumn="0" w:lastRowFirstColumn="0" w:lastRowLastColumn="0"/>
            <w:tcW w:w="2102" w:type="dxa"/>
            <w:hideMark/>
          </w:tcPr>
          <w:p w14:paraId="741BF9B3" w14:textId="77777777" w:rsidR="00195C01" w:rsidRPr="00217EA0" w:rsidRDefault="00195C01" w:rsidP="00B85CC9">
            <w:pPr>
              <w:pStyle w:val="TableText"/>
              <w:keepNext/>
              <w:keepLines/>
              <w:rPr>
                <w:color w:val="auto"/>
                <w:lang w:val="en-AU"/>
              </w:rPr>
            </w:pPr>
            <w:r w:rsidRPr="00217EA0">
              <w:rPr>
                <w:color w:val="auto"/>
                <w:lang w:val="en-AU"/>
              </w:rPr>
              <w:t>Baseline albumin, n (%)</w:t>
            </w:r>
          </w:p>
        </w:tc>
        <w:tc>
          <w:tcPr>
            <w:tcW w:w="2855" w:type="dxa"/>
            <w:hideMark/>
          </w:tcPr>
          <w:p w14:paraId="704731E6"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20 (19.4)</w:t>
            </w:r>
          </w:p>
          <w:p w14:paraId="765237B7"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≥35 83 (80.6)</w:t>
            </w:r>
          </w:p>
        </w:tc>
        <w:tc>
          <w:tcPr>
            <w:tcW w:w="1984" w:type="dxa"/>
            <w:hideMark/>
          </w:tcPr>
          <w:p w14:paraId="5FD0E9DE"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&lt;35:19 (23)</w:t>
            </w:r>
          </w:p>
          <w:p w14:paraId="6CA8D6F7"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≥35: 62 (77)</w:t>
            </w:r>
          </w:p>
        </w:tc>
        <w:tc>
          <w:tcPr>
            <w:tcW w:w="1985" w:type="dxa"/>
            <w:hideMark/>
          </w:tcPr>
          <w:p w14:paraId="244BC276"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&lt;35:21 (26)</w:t>
            </w:r>
          </w:p>
          <w:p w14:paraId="096FDE98"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≥35: 60 (74)</w:t>
            </w:r>
          </w:p>
        </w:tc>
      </w:tr>
      <w:tr w:rsidR="00195C01" w:rsidRPr="00217EA0" w14:paraId="3A1B2D69" w14:textId="77777777" w:rsidTr="00195C01">
        <w:trPr>
          <w:cantSplit/>
          <w:trHeight w:val="20"/>
        </w:trPr>
        <w:tc>
          <w:tcPr>
            <w:cnfStyle w:val="001000000000" w:firstRow="0" w:lastRow="0" w:firstColumn="1" w:lastColumn="0" w:oddVBand="0" w:evenVBand="0" w:oddHBand="0" w:evenHBand="0" w:firstRowFirstColumn="0" w:firstRowLastColumn="0" w:lastRowFirstColumn="0" w:lastRowLastColumn="0"/>
            <w:tcW w:w="2102" w:type="dxa"/>
            <w:hideMark/>
          </w:tcPr>
          <w:p w14:paraId="5E3DEEB0" w14:textId="0284D6D1" w:rsidR="00195C01" w:rsidRPr="00217EA0" w:rsidRDefault="00195C01" w:rsidP="00B85CC9">
            <w:pPr>
              <w:pStyle w:val="TableText"/>
              <w:keepNext/>
              <w:keepLines/>
              <w:rPr>
                <w:color w:val="auto"/>
                <w:lang w:val="en-AU"/>
              </w:rPr>
            </w:pPr>
            <w:r w:rsidRPr="00217EA0">
              <w:rPr>
                <w:color w:val="auto"/>
                <w:lang w:val="en-AU"/>
              </w:rPr>
              <w:t xml:space="preserve">Prior systemic </w:t>
            </w:r>
            <w:r w:rsidR="004D5539">
              <w:rPr>
                <w:color w:val="auto"/>
                <w:lang w:val="en-AU"/>
              </w:rPr>
              <w:t>T</w:t>
            </w:r>
            <w:r w:rsidRPr="00217EA0">
              <w:rPr>
                <w:color w:val="auto"/>
                <w:lang w:val="en-AU"/>
              </w:rPr>
              <w:t>x lines for adv/meta disease, n (%)</w:t>
            </w:r>
          </w:p>
        </w:tc>
        <w:tc>
          <w:tcPr>
            <w:tcW w:w="2855" w:type="dxa"/>
            <w:hideMark/>
          </w:tcPr>
          <w:p w14:paraId="08FAAF68"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1: 48 (46.6)</w:t>
            </w:r>
          </w:p>
          <w:p w14:paraId="1427D79D" w14:textId="483CB3E3" w:rsidR="00195C01" w:rsidRPr="00217EA0" w:rsidRDefault="00BF109F"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&gt;</w:t>
            </w:r>
            <w:r w:rsidR="00195C01" w:rsidRPr="00217EA0">
              <w:rPr>
                <w:color w:val="auto"/>
                <w:lang w:val="en-AU"/>
              </w:rPr>
              <w:t>1: 55 (53.4)</w:t>
            </w:r>
          </w:p>
        </w:tc>
        <w:tc>
          <w:tcPr>
            <w:tcW w:w="1984" w:type="dxa"/>
            <w:noWrap/>
            <w:hideMark/>
          </w:tcPr>
          <w:p w14:paraId="34F2AC52"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1: 81 (100)</w:t>
            </w:r>
          </w:p>
        </w:tc>
        <w:tc>
          <w:tcPr>
            <w:tcW w:w="1985" w:type="dxa"/>
            <w:noWrap/>
            <w:hideMark/>
          </w:tcPr>
          <w:p w14:paraId="5CC985B4"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1: 81 (100)</w:t>
            </w:r>
          </w:p>
        </w:tc>
      </w:tr>
      <w:tr w:rsidR="00195C01" w:rsidRPr="00217EA0" w14:paraId="31CDF998" w14:textId="77777777" w:rsidTr="00195C01">
        <w:trPr>
          <w:cantSplit/>
          <w:trHeight w:val="20"/>
        </w:trPr>
        <w:tc>
          <w:tcPr>
            <w:cnfStyle w:val="001000000000" w:firstRow="0" w:lastRow="0" w:firstColumn="1" w:lastColumn="0" w:oddVBand="0" w:evenVBand="0" w:oddHBand="0" w:evenHBand="0" w:firstRowFirstColumn="0" w:firstRowLastColumn="0" w:lastRowFirstColumn="0" w:lastRowLastColumn="0"/>
            <w:tcW w:w="2102" w:type="dxa"/>
            <w:hideMark/>
          </w:tcPr>
          <w:p w14:paraId="3FA9DD4D" w14:textId="6BD5A4F3" w:rsidR="00195C01" w:rsidRPr="00217EA0" w:rsidRDefault="00195C01" w:rsidP="00B85CC9">
            <w:pPr>
              <w:pStyle w:val="TableText"/>
              <w:keepNext/>
              <w:keepLines/>
              <w:rPr>
                <w:color w:val="auto"/>
                <w:lang w:val="en-AU"/>
              </w:rPr>
            </w:pPr>
            <w:r w:rsidRPr="00217EA0">
              <w:rPr>
                <w:color w:val="auto"/>
                <w:lang w:val="en-AU"/>
              </w:rPr>
              <w:t>Prior surgical resection of primary tumour, n (%)</w:t>
            </w:r>
          </w:p>
        </w:tc>
        <w:tc>
          <w:tcPr>
            <w:tcW w:w="2855" w:type="dxa"/>
            <w:hideMark/>
          </w:tcPr>
          <w:p w14:paraId="729BA9BD" w14:textId="7E25FF60"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Primary tumour resection: 21 (20.4)</w:t>
            </w:r>
          </w:p>
          <w:p w14:paraId="58CB9E89"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Any prior cancer surgery: 41 (39.8)</w:t>
            </w:r>
          </w:p>
        </w:tc>
        <w:tc>
          <w:tcPr>
            <w:tcW w:w="1984" w:type="dxa"/>
            <w:noWrap/>
            <w:hideMark/>
          </w:tcPr>
          <w:p w14:paraId="34780046"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34 (42)</w:t>
            </w:r>
          </w:p>
        </w:tc>
        <w:tc>
          <w:tcPr>
            <w:tcW w:w="1985" w:type="dxa"/>
            <w:noWrap/>
            <w:hideMark/>
          </w:tcPr>
          <w:p w14:paraId="7AAF4A9A"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38 (47)</w:t>
            </w:r>
          </w:p>
        </w:tc>
      </w:tr>
      <w:tr w:rsidR="00195C01" w:rsidRPr="00217EA0" w14:paraId="70CDBBF7" w14:textId="77777777" w:rsidTr="00195C01">
        <w:trPr>
          <w:cantSplit/>
          <w:trHeight w:val="20"/>
        </w:trPr>
        <w:tc>
          <w:tcPr>
            <w:cnfStyle w:val="001000000000" w:firstRow="0" w:lastRow="0" w:firstColumn="1" w:lastColumn="0" w:oddVBand="0" w:evenVBand="0" w:oddHBand="0" w:evenHBand="0" w:firstRowFirstColumn="0" w:firstRowLastColumn="0" w:lastRowFirstColumn="0" w:lastRowLastColumn="0"/>
            <w:tcW w:w="2102" w:type="dxa"/>
            <w:hideMark/>
          </w:tcPr>
          <w:p w14:paraId="45ED1B9A" w14:textId="77777777" w:rsidR="00195C01" w:rsidRPr="00217EA0" w:rsidRDefault="00195C01" w:rsidP="00B85CC9">
            <w:pPr>
              <w:pStyle w:val="TableText"/>
              <w:keepNext/>
              <w:keepLines/>
              <w:rPr>
                <w:color w:val="auto"/>
                <w:lang w:val="en-AU"/>
              </w:rPr>
            </w:pPr>
            <w:r w:rsidRPr="00217EA0">
              <w:rPr>
                <w:color w:val="auto"/>
                <w:lang w:val="en-AU"/>
              </w:rPr>
              <w:t>Race</w:t>
            </w:r>
          </w:p>
        </w:tc>
        <w:tc>
          <w:tcPr>
            <w:tcW w:w="2855" w:type="dxa"/>
            <w:hideMark/>
          </w:tcPr>
          <w:p w14:paraId="3448C58D"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Caucasian/White: 51 (49.5)</w:t>
            </w:r>
          </w:p>
        </w:tc>
        <w:tc>
          <w:tcPr>
            <w:tcW w:w="1984" w:type="dxa"/>
            <w:noWrap/>
            <w:hideMark/>
          </w:tcPr>
          <w:p w14:paraId="437690E6"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NR</w:t>
            </w:r>
          </w:p>
        </w:tc>
        <w:tc>
          <w:tcPr>
            <w:tcW w:w="1985" w:type="dxa"/>
            <w:noWrap/>
            <w:hideMark/>
          </w:tcPr>
          <w:p w14:paraId="36A19B40"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NR</w:t>
            </w:r>
          </w:p>
        </w:tc>
      </w:tr>
      <w:tr w:rsidR="00195C01" w:rsidRPr="00217EA0" w14:paraId="111EE93D" w14:textId="77777777" w:rsidTr="00195C01">
        <w:trPr>
          <w:cantSplit/>
          <w:trHeight w:val="20"/>
        </w:trPr>
        <w:tc>
          <w:tcPr>
            <w:cnfStyle w:val="001000000000" w:firstRow="0" w:lastRow="0" w:firstColumn="1" w:lastColumn="0" w:oddVBand="0" w:evenVBand="0" w:oddHBand="0" w:evenHBand="0" w:firstRowFirstColumn="0" w:firstRowLastColumn="0" w:lastRowFirstColumn="0" w:lastRowLastColumn="0"/>
            <w:tcW w:w="2102" w:type="dxa"/>
            <w:hideMark/>
          </w:tcPr>
          <w:p w14:paraId="1FB0EB24" w14:textId="77777777" w:rsidR="00195C01" w:rsidRPr="00217EA0" w:rsidRDefault="00195C01" w:rsidP="00B85CC9">
            <w:pPr>
              <w:pStyle w:val="TableText"/>
              <w:keepNext/>
              <w:keepLines/>
              <w:rPr>
                <w:color w:val="auto"/>
                <w:lang w:val="en-AU"/>
              </w:rPr>
            </w:pPr>
            <w:r w:rsidRPr="00217EA0">
              <w:rPr>
                <w:color w:val="auto"/>
                <w:lang w:val="en-AU"/>
              </w:rPr>
              <w:t>% TP53 alteration (unaltered or unknown)</w:t>
            </w:r>
          </w:p>
        </w:tc>
        <w:tc>
          <w:tcPr>
            <w:tcW w:w="2855" w:type="dxa"/>
            <w:noWrap/>
            <w:hideMark/>
          </w:tcPr>
          <w:p w14:paraId="61399A05"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12.6 (87.4)</w:t>
            </w:r>
          </w:p>
        </w:tc>
        <w:tc>
          <w:tcPr>
            <w:tcW w:w="1984" w:type="dxa"/>
            <w:noWrap/>
            <w:hideMark/>
          </w:tcPr>
          <w:p w14:paraId="38AF8712"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NR</w:t>
            </w:r>
          </w:p>
        </w:tc>
        <w:tc>
          <w:tcPr>
            <w:tcW w:w="1985" w:type="dxa"/>
            <w:noWrap/>
            <w:hideMark/>
          </w:tcPr>
          <w:p w14:paraId="40DD9EB9" w14:textId="77777777" w:rsidR="00195C01" w:rsidRPr="00217EA0" w:rsidRDefault="00195C01"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NR</w:t>
            </w:r>
          </w:p>
        </w:tc>
      </w:tr>
      <w:tr w:rsidR="0031413C" w:rsidRPr="00217EA0" w14:paraId="74FED90D" w14:textId="77777777" w:rsidTr="0031413C">
        <w:trPr>
          <w:cantSplit/>
          <w:trHeight w:val="20"/>
        </w:trPr>
        <w:tc>
          <w:tcPr>
            <w:cnfStyle w:val="001000000000" w:firstRow="0" w:lastRow="0" w:firstColumn="1" w:lastColumn="0" w:oddVBand="0" w:evenVBand="0" w:oddHBand="0" w:evenHBand="0" w:firstRowFirstColumn="0" w:firstRowLastColumn="0" w:lastRowFirstColumn="0" w:lastRowLastColumn="0"/>
            <w:tcW w:w="2102" w:type="dxa"/>
          </w:tcPr>
          <w:p w14:paraId="1BCC4C7A" w14:textId="3D31AF79" w:rsidR="0031413C" w:rsidRPr="00217EA0" w:rsidRDefault="003E5C46" w:rsidP="00B85CC9">
            <w:pPr>
              <w:pStyle w:val="TableText"/>
              <w:keepNext/>
              <w:keepLines/>
              <w:rPr>
                <w:lang w:val="en-AU"/>
              </w:rPr>
            </w:pPr>
            <w:r w:rsidRPr="003E5C46">
              <w:rPr>
                <w:i/>
                <w:iCs/>
                <w:lang w:val="en-AU"/>
              </w:rPr>
              <w:t>FGFR2</w:t>
            </w:r>
            <w:r w:rsidR="0031413C" w:rsidRPr="00217EA0">
              <w:rPr>
                <w:lang w:val="en-AU"/>
              </w:rPr>
              <w:t xml:space="preserve"> fusion or rearrangement positive</w:t>
            </w:r>
          </w:p>
        </w:tc>
        <w:tc>
          <w:tcPr>
            <w:tcW w:w="2855" w:type="dxa"/>
            <w:noWrap/>
          </w:tcPr>
          <w:p w14:paraId="079E9447" w14:textId="53D18F9C" w:rsidR="0031413C" w:rsidRPr="00217EA0" w:rsidRDefault="0031413C"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val="en-AU"/>
              </w:rPr>
            </w:pPr>
            <w:r w:rsidRPr="00217EA0">
              <w:rPr>
                <w:lang w:val="en-AU"/>
              </w:rPr>
              <w:t>100%</w:t>
            </w:r>
          </w:p>
        </w:tc>
        <w:tc>
          <w:tcPr>
            <w:tcW w:w="1984" w:type="dxa"/>
            <w:noWrap/>
          </w:tcPr>
          <w:p w14:paraId="69AB24DB" w14:textId="3AD7B18D" w:rsidR="0031413C" w:rsidRPr="00217EA0" w:rsidRDefault="0031413C"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val="en-AU"/>
              </w:rPr>
            </w:pPr>
            <w:r w:rsidRPr="00217EA0">
              <w:rPr>
                <w:lang w:val="en-AU"/>
              </w:rPr>
              <w:t>NR</w:t>
            </w:r>
          </w:p>
        </w:tc>
        <w:tc>
          <w:tcPr>
            <w:tcW w:w="1985" w:type="dxa"/>
            <w:noWrap/>
          </w:tcPr>
          <w:p w14:paraId="65B1E72F" w14:textId="5A54B2C6" w:rsidR="0031413C" w:rsidRPr="00217EA0" w:rsidRDefault="0031413C" w:rsidP="00B85CC9">
            <w:pPr>
              <w:pStyle w:val="TableText"/>
              <w:keepNext/>
              <w:keepLines/>
              <w:jc w:val="center"/>
              <w:cnfStyle w:val="000000000000" w:firstRow="0" w:lastRow="0" w:firstColumn="0" w:lastColumn="0" w:oddVBand="0" w:evenVBand="0" w:oddHBand="0" w:evenHBand="0" w:firstRowFirstColumn="0" w:firstRowLastColumn="0" w:lastRowFirstColumn="0" w:lastRowLastColumn="0"/>
              <w:rPr>
                <w:lang w:val="en-AU"/>
              </w:rPr>
            </w:pPr>
            <w:r w:rsidRPr="00217EA0">
              <w:rPr>
                <w:lang w:val="en-AU"/>
              </w:rPr>
              <w:t>NR</w:t>
            </w:r>
          </w:p>
        </w:tc>
      </w:tr>
    </w:tbl>
    <w:p w14:paraId="69E68E51" w14:textId="77777777" w:rsidR="00C75C91" w:rsidRPr="00217EA0" w:rsidRDefault="00C75C91" w:rsidP="00B85CC9">
      <w:pPr>
        <w:pStyle w:val="TableFooter"/>
        <w:keepNext/>
        <w:keepLines/>
      </w:pPr>
      <w:r w:rsidRPr="00217EA0">
        <w:t xml:space="preserve">Source: Table 2.60, p158 </w:t>
      </w:r>
    </w:p>
    <w:p w14:paraId="7B575E0C" w14:textId="3992CBD9" w:rsidR="00C75C91" w:rsidRPr="00217EA0" w:rsidRDefault="00C75C91" w:rsidP="00B85CC9">
      <w:pPr>
        <w:pStyle w:val="TableFooter"/>
        <w:keepNext/>
        <w:keepLines/>
      </w:pPr>
      <w:r w:rsidRPr="00217EA0">
        <w:t xml:space="preserve">ASC = active symptom control; CCA = cholangiocarcinoma; ECOG PS = Eastern Cooperative </w:t>
      </w:r>
      <w:r w:rsidR="00E36769" w:rsidRPr="00217EA0">
        <w:t>Oncology</w:t>
      </w:r>
      <w:r w:rsidRPr="00217EA0">
        <w:t xml:space="preserve"> Group Performance </w:t>
      </w:r>
      <w:r w:rsidR="002E0513" w:rsidRPr="00217EA0">
        <w:t>Score;</w:t>
      </w:r>
      <w:r w:rsidRPr="00217EA0">
        <w:t xml:space="preserve"> FOLFOX = folinic acid, fluorouracil, and </w:t>
      </w:r>
      <w:r w:rsidR="005B5698" w:rsidRPr="00217EA0">
        <w:t>oxaliplatin;</w:t>
      </w:r>
      <w:r w:rsidRPr="00217EA0">
        <w:t xml:space="preserve"> </w:t>
      </w:r>
      <w:r w:rsidR="0031413C" w:rsidRPr="00217EA0">
        <w:t xml:space="preserve">NR = not reported </w:t>
      </w:r>
      <w:r w:rsidRPr="00217EA0">
        <w:t>SD = standard deviation;</w:t>
      </w:r>
      <w:r w:rsidR="004D5539">
        <w:t xml:space="preserve"> Tx = treatment. </w:t>
      </w:r>
    </w:p>
    <w:p w14:paraId="378CFAE1" w14:textId="0A887205" w:rsidR="0031413C" w:rsidRDefault="0031413C" w:rsidP="00B85CC9">
      <w:pPr>
        <w:pStyle w:val="TableFooter"/>
        <w:keepNext/>
        <w:keepLines/>
      </w:pPr>
      <w:r w:rsidRPr="00217EA0">
        <w:t xml:space="preserve">Text in italics indicate </w:t>
      </w:r>
      <w:r w:rsidR="005D6F2D" w:rsidRPr="00217EA0">
        <w:t>values added during evaluation</w:t>
      </w:r>
    </w:p>
    <w:p w14:paraId="4CEDD9B9" w14:textId="1D48D2FD" w:rsidR="00F6190C" w:rsidRPr="00F6190C" w:rsidRDefault="00F6190C" w:rsidP="00B85CC9">
      <w:pPr>
        <w:pStyle w:val="TableFooter"/>
        <w:keepNext/>
        <w:keepLines/>
        <w:rPr>
          <w:i/>
          <w:iCs/>
        </w:rPr>
      </w:pPr>
      <w:r w:rsidRPr="00F6190C">
        <w:rPr>
          <w:i/>
          <w:iCs/>
        </w:rPr>
        <w:t>Note that the results presented in Table 11 are derived from analyses conducted by the applicant for the purposes of informing the PBAC and MSAC consideration. Interpretation of the results and their application should therefore be limited to seeking to understand the basis for the PBAC and MSAC outcome and should not be used for any other purpose.</w:t>
      </w:r>
    </w:p>
    <w:p w14:paraId="34E98B3C" w14:textId="1137E757" w:rsidR="00DB0ADD" w:rsidRPr="00217EA0" w:rsidRDefault="00C75C91" w:rsidP="2914E55D">
      <w:pPr>
        <w:pStyle w:val="ListParagraph"/>
        <w:rPr>
          <w:color w:val="auto"/>
        </w:rPr>
      </w:pPr>
      <w:bookmarkStart w:id="39" w:name="_Ref187795363"/>
      <w:bookmarkStart w:id="40" w:name="_Ref191024785"/>
      <w:r w:rsidRPr="00217EA0">
        <w:rPr>
          <w:color w:val="auto"/>
        </w:rPr>
        <w:t xml:space="preserve">The submission’s MAIC controlled for age, gender, ECOG status, prior surgery, and baseline hypoalbuminemia status in the ITC of </w:t>
      </w:r>
      <w:proofErr w:type="spellStart"/>
      <w:r w:rsidRPr="00217EA0">
        <w:rPr>
          <w:color w:val="auto"/>
        </w:rPr>
        <w:t>futibatinib</w:t>
      </w:r>
      <w:proofErr w:type="spellEnd"/>
      <w:r w:rsidRPr="00217EA0">
        <w:rPr>
          <w:color w:val="auto"/>
        </w:rPr>
        <w:t xml:space="preserve"> and FOLFOX+ASC.</w:t>
      </w:r>
      <w:r w:rsidR="00A11138" w:rsidRPr="00217EA0">
        <w:rPr>
          <w:color w:val="auto"/>
        </w:rPr>
        <w:t xml:space="preserve"> </w:t>
      </w:r>
      <w:r w:rsidR="00A63E61" w:rsidRPr="00217EA0">
        <w:rPr>
          <w:color w:val="auto"/>
        </w:rPr>
        <w:t xml:space="preserve">The evaluation considered </w:t>
      </w:r>
      <w:r w:rsidR="005B79C5" w:rsidRPr="00217EA0">
        <w:rPr>
          <w:color w:val="auto"/>
        </w:rPr>
        <w:t>it i</w:t>
      </w:r>
      <w:r w:rsidR="00A11138" w:rsidRPr="00217EA0">
        <w:rPr>
          <w:color w:val="auto"/>
        </w:rPr>
        <w:t>nappropriate</w:t>
      </w:r>
      <w:r w:rsidR="005B79C5" w:rsidRPr="00217EA0">
        <w:rPr>
          <w:color w:val="auto"/>
        </w:rPr>
        <w:t xml:space="preserve"> that</w:t>
      </w:r>
      <w:r w:rsidR="00A11138" w:rsidRPr="00217EA0">
        <w:rPr>
          <w:color w:val="auto"/>
        </w:rPr>
        <w:t xml:space="preserve"> the submission </w:t>
      </w:r>
      <w:r w:rsidR="00AE2703" w:rsidRPr="00217EA0">
        <w:rPr>
          <w:color w:val="auto"/>
        </w:rPr>
        <w:t xml:space="preserve">did not </w:t>
      </w:r>
      <w:r w:rsidR="00A11138" w:rsidRPr="00217EA0">
        <w:rPr>
          <w:color w:val="auto"/>
        </w:rPr>
        <w:t>provide post matched characteristics.</w:t>
      </w:r>
      <w:bookmarkEnd w:id="39"/>
      <w:r w:rsidR="00A20493" w:rsidRPr="00217EA0">
        <w:rPr>
          <w:color w:val="auto"/>
        </w:rPr>
        <w:t xml:space="preserve"> The </w:t>
      </w:r>
      <w:r w:rsidR="00AE2703" w:rsidRPr="00217EA0">
        <w:rPr>
          <w:color w:val="auto"/>
        </w:rPr>
        <w:t>ESC</w:t>
      </w:r>
      <w:r w:rsidR="00A056DC" w:rsidRPr="00217EA0">
        <w:rPr>
          <w:color w:val="auto"/>
        </w:rPr>
        <w:t>s</w:t>
      </w:r>
      <w:r w:rsidR="00AE2703" w:rsidRPr="00217EA0">
        <w:rPr>
          <w:color w:val="auto"/>
        </w:rPr>
        <w:t xml:space="preserve"> noted the</w:t>
      </w:r>
      <w:r w:rsidR="00A20493" w:rsidRPr="00217EA0">
        <w:rPr>
          <w:color w:val="auto"/>
        </w:rPr>
        <w:t xml:space="preserve"> post matched characteristics of the included MAICs</w:t>
      </w:r>
      <w:r w:rsidR="005F4DAC" w:rsidRPr="00217EA0">
        <w:rPr>
          <w:color w:val="auto"/>
        </w:rPr>
        <w:t xml:space="preserve"> provided in the PSCR</w:t>
      </w:r>
      <w:r w:rsidR="00697AB8" w:rsidRPr="00217EA0">
        <w:rPr>
          <w:color w:val="auto"/>
        </w:rPr>
        <w:t xml:space="preserve"> </w:t>
      </w:r>
      <w:r w:rsidR="002D7CCA" w:rsidRPr="00217EA0">
        <w:rPr>
          <w:color w:val="auto"/>
        </w:rPr>
        <w:t xml:space="preserve">appear to be well </w:t>
      </w:r>
      <w:r w:rsidR="005730D5" w:rsidRPr="00217EA0">
        <w:rPr>
          <w:color w:val="auto"/>
        </w:rPr>
        <w:t>balanced</w:t>
      </w:r>
      <w:r w:rsidR="002D7CCA" w:rsidRPr="00217EA0" w:rsidDel="005730D5">
        <w:rPr>
          <w:color w:val="auto"/>
        </w:rPr>
        <w:t xml:space="preserve"> </w:t>
      </w:r>
      <w:r w:rsidR="002D7CCA" w:rsidRPr="00217EA0">
        <w:rPr>
          <w:color w:val="auto"/>
        </w:rPr>
        <w:t>after matching</w:t>
      </w:r>
      <w:r w:rsidR="00025E5A" w:rsidRPr="00217EA0">
        <w:rPr>
          <w:color w:val="auto"/>
        </w:rPr>
        <w:t xml:space="preserve">, but do not explain </w:t>
      </w:r>
      <w:r w:rsidR="002D7CCA" w:rsidRPr="00217EA0">
        <w:rPr>
          <w:color w:val="auto"/>
        </w:rPr>
        <w:t xml:space="preserve">why the population adjusted </w:t>
      </w:r>
      <w:proofErr w:type="spellStart"/>
      <w:r w:rsidR="002D7CCA" w:rsidRPr="00217EA0">
        <w:rPr>
          <w:color w:val="auto"/>
        </w:rPr>
        <w:t>futibatinib</w:t>
      </w:r>
      <w:proofErr w:type="spellEnd"/>
      <w:r w:rsidR="002D7CCA" w:rsidRPr="00217EA0">
        <w:rPr>
          <w:color w:val="auto"/>
        </w:rPr>
        <w:t xml:space="preserve"> arm would have better OS and PFS outcomes than the unadjusted </w:t>
      </w:r>
      <w:proofErr w:type="spellStart"/>
      <w:r w:rsidR="002D7CCA" w:rsidRPr="00217EA0">
        <w:rPr>
          <w:color w:val="auto"/>
        </w:rPr>
        <w:t>futibatinib</w:t>
      </w:r>
      <w:proofErr w:type="spellEnd"/>
      <w:r w:rsidR="002D7CCA" w:rsidRPr="00217EA0">
        <w:rPr>
          <w:color w:val="auto"/>
        </w:rPr>
        <w:t xml:space="preserve"> arm</w:t>
      </w:r>
      <w:r w:rsidR="00025E5A" w:rsidRPr="00217EA0">
        <w:rPr>
          <w:color w:val="auto"/>
        </w:rPr>
        <w:t xml:space="preserve"> (discussed in paragraph</w:t>
      </w:r>
      <w:r w:rsidR="00AC41DC" w:rsidRPr="00217EA0">
        <w:rPr>
          <w:color w:val="auto"/>
        </w:rPr>
        <w:t xml:space="preserve"> </w:t>
      </w:r>
      <w:r w:rsidR="00F63B04" w:rsidRPr="00217EA0">
        <w:rPr>
          <w:color w:val="auto"/>
        </w:rPr>
        <w:fldChar w:fldCharType="begin"/>
      </w:r>
      <w:r w:rsidR="00F63B04" w:rsidRPr="00217EA0">
        <w:rPr>
          <w:color w:val="auto"/>
        </w:rPr>
        <w:instrText xml:space="preserve"> REF _Ref191023855 \r \h  \* MERGEFORMAT </w:instrText>
      </w:r>
      <w:r w:rsidR="00F63B04" w:rsidRPr="00217EA0">
        <w:rPr>
          <w:color w:val="auto"/>
        </w:rPr>
      </w:r>
      <w:r w:rsidR="00F63B04" w:rsidRPr="00217EA0">
        <w:rPr>
          <w:color w:val="auto"/>
        </w:rPr>
        <w:fldChar w:fldCharType="separate"/>
      </w:r>
      <w:r w:rsidR="008378C4">
        <w:rPr>
          <w:color w:val="auto"/>
        </w:rPr>
        <w:t>6.39</w:t>
      </w:r>
      <w:r w:rsidR="00F63B04" w:rsidRPr="00217EA0">
        <w:rPr>
          <w:color w:val="auto"/>
        </w:rPr>
        <w:fldChar w:fldCharType="end"/>
      </w:r>
      <w:r w:rsidR="0094436C" w:rsidRPr="00217EA0">
        <w:rPr>
          <w:color w:val="auto"/>
        </w:rPr>
        <w:t>).</w:t>
      </w:r>
      <w:r w:rsidR="00AC41DC" w:rsidRPr="00217EA0">
        <w:rPr>
          <w:color w:val="auto"/>
        </w:rPr>
        <w:t xml:space="preserve"> The ESCs considered that this </w:t>
      </w:r>
      <w:r w:rsidR="00451B3D" w:rsidRPr="00217EA0">
        <w:rPr>
          <w:color w:val="auto"/>
        </w:rPr>
        <w:t xml:space="preserve">raises </w:t>
      </w:r>
      <w:r w:rsidR="002A5A7B" w:rsidRPr="00217EA0">
        <w:rPr>
          <w:color w:val="auto"/>
        </w:rPr>
        <w:t>question</w:t>
      </w:r>
      <w:r w:rsidR="00FD50E1" w:rsidRPr="00217EA0">
        <w:rPr>
          <w:color w:val="auto"/>
        </w:rPr>
        <w:t>s around</w:t>
      </w:r>
      <w:r w:rsidR="002A5A7B" w:rsidRPr="00217EA0">
        <w:rPr>
          <w:color w:val="auto"/>
        </w:rPr>
        <w:t xml:space="preserve"> the </w:t>
      </w:r>
      <w:r w:rsidR="002D7CCA" w:rsidRPr="00217EA0">
        <w:rPr>
          <w:color w:val="auto"/>
        </w:rPr>
        <w:t>reliability of the match adjustments given the unexpected direction of PFS and OS shift post adjustment</w:t>
      </w:r>
      <w:r w:rsidR="00861F6B" w:rsidRPr="00217EA0">
        <w:rPr>
          <w:color w:val="auto"/>
        </w:rPr>
        <w:t>.</w:t>
      </w:r>
      <w:bookmarkStart w:id="41" w:name="_Ref200966116"/>
      <w:bookmarkEnd w:id="40"/>
      <w:r w:rsidR="00422BA1" w:rsidRPr="00422BA1">
        <w:rPr>
          <w:color w:val="auto"/>
          <w:vertAlign w:val="superscript"/>
        </w:rPr>
        <w:fldChar w:fldCharType="begin"/>
      </w:r>
      <w:r w:rsidR="00422BA1" w:rsidRPr="00422BA1">
        <w:rPr>
          <w:color w:val="auto"/>
          <w:vertAlign w:val="superscript"/>
        </w:rPr>
        <w:instrText xml:space="preserve"> NOTEREF _Ref200966291 \h </w:instrText>
      </w:r>
      <w:r w:rsidR="00422BA1">
        <w:rPr>
          <w:color w:val="auto"/>
          <w:vertAlign w:val="superscript"/>
        </w:rPr>
        <w:instrText xml:space="preserve"> \* MERGEFORMAT </w:instrText>
      </w:r>
      <w:r w:rsidR="00422BA1" w:rsidRPr="00422BA1">
        <w:rPr>
          <w:color w:val="auto"/>
          <w:vertAlign w:val="superscript"/>
        </w:rPr>
      </w:r>
      <w:r w:rsidR="00422BA1" w:rsidRPr="00422BA1">
        <w:rPr>
          <w:color w:val="auto"/>
          <w:vertAlign w:val="superscript"/>
        </w:rPr>
        <w:fldChar w:fldCharType="separate"/>
      </w:r>
      <w:r w:rsidR="008378C4">
        <w:rPr>
          <w:color w:val="auto"/>
          <w:vertAlign w:val="superscript"/>
        </w:rPr>
        <w:t>4</w:t>
      </w:r>
      <w:r w:rsidR="00422BA1" w:rsidRPr="00422BA1">
        <w:rPr>
          <w:color w:val="auto"/>
          <w:vertAlign w:val="superscript"/>
        </w:rPr>
        <w:fldChar w:fldCharType="end"/>
      </w:r>
      <w:bookmarkEnd w:id="41"/>
    </w:p>
    <w:p w14:paraId="4DDBB692" w14:textId="691994D6" w:rsidR="00AE7332" w:rsidRPr="00217EA0" w:rsidRDefault="005E284C" w:rsidP="2914E55D">
      <w:pPr>
        <w:pStyle w:val="ListParagraph"/>
        <w:rPr>
          <w:color w:val="auto"/>
        </w:rPr>
      </w:pPr>
      <w:bookmarkStart w:id="42" w:name="_Ref190287057"/>
      <w:r w:rsidRPr="00217EA0">
        <w:rPr>
          <w:color w:val="auto"/>
        </w:rPr>
        <w:t>T</w:t>
      </w:r>
      <w:r w:rsidR="00C75C91" w:rsidRPr="00217EA0">
        <w:rPr>
          <w:color w:val="auto"/>
        </w:rPr>
        <w:t xml:space="preserve">he submission identified the following potential confounders that the submission did not account for in the MAIC: </w:t>
      </w:r>
      <w:r w:rsidR="003E5C46" w:rsidRPr="003E5C46">
        <w:rPr>
          <w:i/>
          <w:iCs/>
          <w:color w:val="auto"/>
        </w:rPr>
        <w:t>FGFR2</w:t>
      </w:r>
      <w:r w:rsidR="00C75C91" w:rsidRPr="00217EA0">
        <w:rPr>
          <w:color w:val="auto"/>
        </w:rPr>
        <w:t xml:space="preserve"> </w:t>
      </w:r>
      <w:r w:rsidR="00EE3C5F" w:rsidRPr="00217EA0">
        <w:rPr>
          <w:color w:val="auto"/>
        </w:rPr>
        <w:t xml:space="preserve">alteration </w:t>
      </w:r>
      <w:r w:rsidR="00C75C91" w:rsidRPr="00217EA0">
        <w:rPr>
          <w:color w:val="auto"/>
        </w:rPr>
        <w:t>status, ethnicity, % of patients with TP53 alteration</w:t>
      </w:r>
      <w:r w:rsidR="000E546D" w:rsidRPr="00217EA0">
        <w:rPr>
          <w:color w:val="auto"/>
        </w:rPr>
        <w:t xml:space="preserve"> status</w:t>
      </w:r>
      <w:r w:rsidR="00C75C91" w:rsidRPr="00217EA0">
        <w:rPr>
          <w:color w:val="auto"/>
        </w:rPr>
        <w:t xml:space="preserve">, and proportion of patients with </w:t>
      </w:r>
      <w:proofErr w:type="spellStart"/>
      <w:r w:rsidR="00C75C91" w:rsidRPr="00217EA0">
        <w:rPr>
          <w:color w:val="auto"/>
        </w:rPr>
        <w:t>iCCA</w:t>
      </w:r>
      <w:proofErr w:type="spellEnd"/>
      <w:r w:rsidR="00C75C91" w:rsidRPr="00217EA0">
        <w:rPr>
          <w:color w:val="auto"/>
        </w:rPr>
        <w:t>.</w:t>
      </w:r>
      <w:r w:rsidR="00DB0ADD" w:rsidRPr="00217EA0">
        <w:rPr>
          <w:color w:val="auto"/>
        </w:rPr>
        <w:t xml:space="preserve"> </w:t>
      </w:r>
      <w:r w:rsidR="003D51E8" w:rsidRPr="00217EA0">
        <w:rPr>
          <w:color w:val="auto"/>
        </w:rPr>
        <w:t xml:space="preserve">The </w:t>
      </w:r>
      <w:r w:rsidR="009B0445" w:rsidRPr="00217EA0">
        <w:rPr>
          <w:color w:val="auto"/>
        </w:rPr>
        <w:t xml:space="preserve">ESCs noted that </w:t>
      </w:r>
      <w:r w:rsidR="007367A4" w:rsidRPr="00217EA0">
        <w:rPr>
          <w:color w:val="auto"/>
        </w:rPr>
        <w:t>matching for</w:t>
      </w:r>
      <w:r w:rsidR="009B0445" w:rsidRPr="00217EA0">
        <w:rPr>
          <w:color w:val="auto"/>
        </w:rPr>
        <w:t xml:space="preserve"> </w:t>
      </w:r>
      <w:r w:rsidR="003E5C46" w:rsidRPr="003E5C46">
        <w:rPr>
          <w:i/>
          <w:iCs/>
          <w:color w:val="auto"/>
        </w:rPr>
        <w:t>FGFR2</w:t>
      </w:r>
      <w:r w:rsidR="005C1CE7" w:rsidRPr="00217EA0">
        <w:rPr>
          <w:color w:val="auto"/>
        </w:rPr>
        <w:t xml:space="preserve"> and P53 </w:t>
      </w:r>
      <w:r w:rsidR="000E546D" w:rsidRPr="00217EA0">
        <w:rPr>
          <w:color w:val="auto"/>
        </w:rPr>
        <w:t xml:space="preserve">alteration </w:t>
      </w:r>
      <w:r w:rsidR="005C1CE7" w:rsidRPr="00217EA0">
        <w:rPr>
          <w:color w:val="auto"/>
        </w:rPr>
        <w:t xml:space="preserve">status </w:t>
      </w:r>
      <w:r w:rsidR="007367A4" w:rsidRPr="00217EA0">
        <w:rPr>
          <w:color w:val="auto"/>
        </w:rPr>
        <w:t>was not possible as data was</w:t>
      </w:r>
      <w:r w:rsidR="00722C57" w:rsidRPr="00217EA0">
        <w:rPr>
          <w:color w:val="auto"/>
        </w:rPr>
        <w:t xml:space="preserve"> </w:t>
      </w:r>
      <w:r w:rsidR="000478C7" w:rsidRPr="00217EA0">
        <w:rPr>
          <w:color w:val="auto"/>
        </w:rPr>
        <w:t>not available for the ABC</w:t>
      </w:r>
      <w:r w:rsidR="00367C42" w:rsidRPr="00217EA0">
        <w:rPr>
          <w:color w:val="auto"/>
        </w:rPr>
        <w:t>-</w:t>
      </w:r>
      <w:r w:rsidR="000478C7" w:rsidRPr="00217EA0">
        <w:rPr>
          <w:color w:val="auto"/>
        </w:rPr>
        <w:t>06 study</w:t>
      </w:r>
      <w:bookmarkEnd w:id="42"/>
      <w:r w:rsidR="009E48E6" w:rsidRPr="00217EA0">
        <w:rPr>
          <w:color w:val="auto"/>
        </w:rPr>
        <w:t>.</w:t>
      </w:r>
      <w:bookmarkStart w:id="43" w:name="_Ref200966342"/>
      <w:r w:rsidR="00422BA1">
        <w:rPr>
          <w:rStyle w:val="FootnoteReference"/>
          <w:color w:val="auto"/>
        </w:rPr>
        <w:footnoteReference w:id="6"/>
      </w:r>
      <w:bookmarkEnd w:id="43"/>
      <w:r w:rsidR="00422BA1" w:rsidRPr="00531703" w:rsidDel="00422BA1">
        <w:rPr>
          <w:color w:val="auto"/>
          <w:vertAlign w:val="superscript"/>
        </w:rPr>
        <w:t xml:space="preserve"> </w:t>
      </w:r>
    </w:p>
    <w:p w14:paraId="4447A163" w14:textId="6737D2B3" w:rsidR="00E80060" w:rsidRPr="00217EA0" w:rsidRDefault="00C75C91" w:rsidP="00C048AC">
      <w:pPr>
        <w:pStyle w:val="ListParagraph"/>
      </w:pPr>
      <w:r w:rsidRPr="00217EA0">
        <w:t xml:space="preserve">The </w:t>
      </w:r>
      <w:r w:rsidRPr="00217EA0">
        <w:rPr>
          <w:lang w:bidi="en-US"/>
        </w:rPr>
        <w:t>submission</w:t>
      </w:r>
      <w:r w:rsidRPr="00217EA0">
        <w:t xml:space="preserve"> considered that the prognostic value of </w:t>
      </w:r>
      <w:r w:rsidR="003E5C46" w:rsidRPr="003E5C46">
        <w:rPr>
          <w:i/>
          <w:iCs/>
        </w:rPr>
        <w:t>FGFR2</w:t>
      </w:r>
      <w:r w:rsidRPr="00217EA0">
        <w:t xml:space="preserve"> </w:t>
      </w:r>
      <w:r w:rsidR="00367C42" w:rsidRPr="00217EA0">
        <w:t>fusions or rearrangements</w:t>
      </w:r>
      <w:r w:rsidRPr="00217EA0">
        <w:t xml:space="preserve"> for chemotherapy is uncertain. </w:t>
      </w:r>
      <w:r w:rsidR="00332FC8" w:rsidRPr="00217EA0">
        <w:t xml:space="preserve">Noting </w:t>
      </w:r>
      <w:r w:rsidR="00D06241" w:rsidRPr="00217EA0">
        <w:t>that</w:t>
      </w:r>
      <w:r w:rsidR="00332FC8" w:rsidRPr="00217EA0">
        <w:t xml:space="preserve"> the </w:t>
      </w:r>
      <w:r w:rsidR="003B137D" w:rsidRPr="00217EA0">
        <w:t xml:space="preserve">evaluation considered </w:t>
      </w:r>
      <w:r w:rsidR="003D7BFD" w:rsidRPr="00217EA0">
        <w:t xml:space="preserve">the available evidence suggests that presence of </w:t>
      </w:r>
      <w:r w:rsidR="003E5C46" w:rsidRPr="003E5C46">
        <w:rPr>
          <w:i/>
          <w:iCs/>
        </w:rPr>
        <w:t>FGFR2</w:t>
      </w:r>
      <w:r w:rsidR="003D7BFD" w:rsidRPr="00217EA0">
        <w:t xml:space="preserve"> alterations may improve </w:t>
      </w:r>
      <w:r w:rsidR="003D7BFD" w:rsidRPr="00517AC3">
        <w:t xml:space="preserve">prognosis (see </w:t>
      </w:r>
      <w:r w:rsidR="00265BDC" w:rsidRPr="00517AC3">
        <w:t xml:space="preserve">Claim of </w:t>
      </w:r>
      <w:proofErr w:type="spellStart"/>
      <w:r w:rsidR="00265BDC" w:rsidRPr="00517AC3">
        <w:t>codependence</w:t>
      </w:r>
      <w:proofErr w:type="spellEnd"/>
      <w:r w:rsidR="00517AC3" w:rsidRPr="00517AC3">
        <w:t xml:space="preserve"> section</w:t>
      </w:r>
      <w:r w:rsidR="00265BDC" w:rsidRPr="00517AC3">
        <w:t>)</w:t>
      </w:r>
      <w:r w:rsidR="0080133A" w:rsidRPr="00517AC3">
        <w:t>,</w:t>
      </w:r>
      <w:r w:rsidR="003D7BFD" w:rsidRPr="00217EA0">
        <w:t xml:space="preserve"> t</w:t>
      </w:r>
      <w:r w:rsidR="0041317F" w:rsidRPr="00217EA0">
        <w:t xml:space="preserve">he ESCs considered it probable that adjusting for </w:t>
      </w:r>
      <w:r w:rsidR="003E5C46" w:rsidRPr="003E5C46">
        <w:rPr>
          <w:i/>
          <w:iCs/>
        </w:rPr>
        <w:t>FGFR2</w:t>
      </w:r>
      <w:r w:rsidR="0041317F" w:rsidRPr="00217EA0">
        <w:t xml:space="preserve"> </w:t>
      </w:r>
      <w:r w:rsidR="00BC307F" w:rsidRPr="00217EA0">
        <w:t>alterations</w:t>
      </w:r>
      <w:r w:rsidR="0041317F" w:rsidRPr="00217EA0">
        <w:t xml:space="preserve"> would decrease the incremental benefit of futibatinib.</w:t>
      </w:r>
      <w:r w:rsidR="00B0440C" w:rsidRPr="00B0440C">
        <w:rPr>
          <w:vertAlign w:val="superscript"/>
        </w:rPr>
        <w:fldChar w:fldCharType="begin"/>
      </w:r>
      <w:r w:rsidR="00B0440C" w:rsidRPr="00B0440C">
        <w:rPr>
          <w:vertAlign w:val="superscript"/>
        </w:rPr>
        <w:instrText xml:space="preserve"> NOTEREF _Ref200966342 \h </w:instrText>
      </w:r>
      <w:r w:rsidR="00B0440C">
        <w:rPr>
          <w:vertAlign w:val="superscript"/>
        </w:rPr>
        <w:instrText xml:space="preserve"> \* MERGEFORMAT </w:instrText>
      </w:r>
      <w:r w:rsidR="00B0440C" w:rsidRPr="00B0440C">
        <w:rPr>
          <w:vertAlign w:val="superscript"/>
        </w:rPr>
      </w:r>
      <w:r w:rsidR="00B0440C" w:rsidRPr="00B0440C">
        <w:rPr>
          <w:vertAlign w:val="superscript"/>
        </w:rPr>
        <w:fldChar w:fldCharType="separate"/>
      </w:r>
      <w:r w:rsidR="008378C4">
        <w:rPr>
          <w:vertAlign w:val="superscript"/>
        </w:rPr>
        <w:t>5</w:t>
      </w:r>
      <w:r w:rsidR="00B0440C" w:rsidRPr="00B0440C">
        <w:rPr>
          <w:vertAlign w:val="superscript"/>
        </w:rPr>
        <w:fldChar w:fldCharType="end"/>
      </w:r>
    </w:p>
    <w:p w14:paraId="16DC15C9" w14:textId="658BC87A" w:rsidR="00696D25" w:rsidRPr="00217EA0" w:rsidRDefault="00C75C91" w:rsidP="00C048AC">
      <w:pPr>
        <w:pStyle w:val="ListParagraph"/>
        <w:rPr>
          <w:color w:val="auto"/>
        </w:rPr>
      </w:pPr>
      <w:r w:rsidRPr="00217EA0">
        <w:t xml:space="preserve">Moreover, </w:t>
      </w:r>
      <w:r w:rsidR="004F5D64" w:rsidRPr="00217EA0">
        <w:t>as previously noted</w:t>
      </w:r>
      <w:r w:rsidRPr="00217EA0">
        <w:t xml:space="preserve"> </w:t>
      </w:r>
      <w:r w:rsidR="001B6161" w:rsidRPr="00217EA0">
        <w:t xml:space="preserve">(paragraph </w:t>
      </w:r>
      <w:r w:rsidR="007F4503" w:rsidRPr="00217EA0">
        <w:fldChar w:fldCharType="begin"/>
      </w:r>
      <w:r w:rsidR="007F4503" w:rsidRPr="00217EA0">
        <w:instrText xml:space="preserve"> REF _Ref190250059 \r \h  \* MERGEFORMAT </w:instrText>
      </w:r>
      <w:r w:rsidR="007F4503" w:rsidRPr="00217EA0">
        <w:fldChar w:fldCharType="separate"/>
      </w:r>
      <w:r w:rsidR="008378C4">
        <w:t>6.15</w:t>
      </w:r>
      <w:r w:rsidR="007F4503" w:rsidRPr="00217EA0">
        <w:fldChar w:fldCharType="end"/>
      </w:r>
      <w:r w:rsidR="001B6161" w:rsidRPr="00217EA0">
        <w:t>)</w:t>
      </w:r>
      <w:r w:rsidR="007F4503" w:rsidRPr="00217EA0">
        <w:t xml:space="preserve"> </w:t>
      </w:r>
      <w:r w:rsidRPr="00217EA0">
        <w:t xml:space="preserve">there were two published studies which presented results from a MAIC (Paine 2022) and an STC (Borad 2022) which included an </w:t>
      </w:r>
      <w:r w:rsidR="003E5C46" w:rsidRPr="003E5C46">
        <w:rPr>
          <w:i/>
          <w:iCs/>
        </w:rPr>
        <w:t>FGFR2</w:t>
      </w:r>
      <w:r w:rsidRPr="00217EA0">
        <w:t xml:space="preserve"> fusion/rearrangement population in both </w:t>
      </w:r>
      <w:proofErr w:type="spellStart"/>
      <w:r w:rsidRPr="00217EA0">
        <w:t>futibatinib</w:t>
      </w:r>
      <w:proofErr w:type="spellEnd"/>
      <w:r w:rsidRPr="00217EA0">
        <w:t xml:space="preserve"> and chemotherapy arms</w:t>
      </w:r>
      <w:r w:rsidR="004F67EE" w:rsidRPr="00217EA0">
        <w:t xml:space="preserve">, which the ESCs considered </w:t>
      </w:r>
      <w:r w:rsidR="00862289" w:rsidRPr="00217EA0">
        <w:t xml:space="preserve">further </w:t>
      </w:r>
      <w:r w:rsidR="004F67EE" w:rsidRPr="00217EA0">
        <w:t xml:space="preserve">supported the theory that </w:t>
      </w:r>
      <w:r w:rsidR="00576115" w:rsidRPr="00217EA0">
        <w:t>the presence of</w:t>
      </w:r>
      <w:r w:rsidR="004F67EE" w:rsidRPr="00217EA0">
        <w:t xml:space="preserve"> </w:t>
      </w:r>
      <w:r w:rsidR="003E5C46" w:rsidRPr="003E5C46">
        <w:rPr>
          <w:i/>
          <w:iCs/>
        </w:rPr>
        <w:t>FGFR2</w:t>
      </w:r>
      <w:r w:rsidR="004F67EE" w:rsidRPr="00217EA0">
        <w:t xml:space="preserve"> </w:t>
      </w:r>
      <w:r w:rsidR="00D3315E" w:rsidRPr="00217EA0">
        <w:t>alterations</w:t>
      </w:r>
      <w:r w:rsidR="004F67EE" w:rsidRPr="00217EA0">
        <w:t xml:space="preserve"> </w:t>
      </w:r>
      <w:r w:rsidR="00EE665C" w:rsidRPr="00217EA0">
        <w:t xml:space="preserve">improved </w:t>
      </w:r>
      <w:r w:rsidR="004F67EE" w:rsidRPr="00217EA0">
        <w:t>prognosi</w:t>
      </w:r>
      <w:r w:rsidR="00EE665C" w:rsidRPr="00217EA0">
        <w:t>s.</w:t>
      </w:r>
      <w:r w:rsidR="00B0440C" w:rsidRPr="00B0440C">
        <w:rPr>
          <w:vertAlign w:val="superscript"/>
        </w:rPr>
        <w:t xml:space="preserve"> </w:t>
      </w:r>
      <w:r w:rsidR="00B0440C" w:rsidRPr="00B0440C">
        <w:rPr>
          <w:vertAlign w:val="superscript"/>
        </w:rPr>
        <w:fldChar w:fldCharType="begin"/>
      </w:r>
      <w:r w:rsidR="00B0440C" w:rsidRPr="00B0440C">
        <w:rPr>
          <w:vertAlign w:val="superscript"/>
        </w:rPr>
        <w:instrText xml:space="preserve"> NOTEREF _Ref200966342 \h </w:instrText>
      </w:r>
      <w:r w:rsidR="00B0440C">
        <w:rPr>
          <w:vertAlign w:val="superscript"/>
        </w:rPr>
        <w:instrText xml:space="preserve"> \* MERGEFORMAT </w:instrText>
      </w:r>
      <w:r w:rsidR="00B0440C" w:rsidRPr="00B0440C">
        <w:rPr>
          <w:vertAlign w:val="superscript"/>
        </w:rPr>
      </w:r>
      <w:r w:rsidR="00B0440C" w:rsidRPr="00B0440C">
        <w:rPr>
          <w:vertAlign w:val="superscript"/>
        </w:rPr>
        <w:fldChar w:fldCharType="separate"/>
      </w:r>
      <w:r w:rsidR="008378C4">
        <w:rPr>
          <w:vertAlign w:val="superscript"/>
        </w:rPr>
        <w:t>5</w:t>
      </w:r>
      <w:r w:rsidR="00B0440C" w:rsidRPr="00B0440C">
        <w:rPr>
          <w:vertAlign w:val="superscript"/>
        </w:rPr>
        <w:fldChar w:fldCharType="end"/>
      </w:r>
    </w:p>
    <w:p w14:paraId="4A615762" w14:textId="3EC71FAA" w:rsidR="007F21A2" w:rsidRPr="00217EA0" w:rsidRDefault="00C75C91" w:rsidP="2914E55D">
      <w:pPr>
        <w:pStyle w:val="ListParagraph"/>
        <w:rPr>
          <w:color w:val="auto"/>
        </w:rPr>
      </w:pPr>
      <w:r w:rsidRPr="00217EA0">
        <w:t xml:space="preserve">The submission considered that despite the limitation of not adjusting these variables in </w:t>
      </w:r>
      <w:r w:rsidR="008C68FF" w:rsidRPr="00217EA0">
        <w:t>the</w:t>
      </w:r>
      <w:r w:rsidRPr="00217EA0">
        <w:t xml:space="preserve"> MAIC, the comparative efficacy data from ABC-06 were the most appropriate evidence for </w:t>
      </w:r>
      <w:r w:rsidRPr="00217EA0">
        <w:rPr>
          <w:color w:val="auto"/>
        </w:rPr>
        <w:t>decision</w:t>
      </w:r>
      <w:r w:rsidRPr="00217EA0">
        <w:t xml:space="preserve"> making</w:t>
      </w:r>
      <w:r w:rsidR="0038306E" w:rsidRPr="00217EA0">
        <w:t>.</w:t>
      </w:r>
      <w:r w:rsidRPr="00217EA0">
        <w:rPr>
          <w:color w:val="auto"/>
        </w:rPr>
        <w:t xml:space="preserve"> Overall, </w:t>
      </w:r>
      <w:r w:rsidR="000B1D8C" w:rsidRPr="00217EA0">
        <w:rPr>
          <w:color w:val="auto"/>
        </w:rPr>
        <w:t xml:space="preserve">the evaluation considered that </w:t>
      </w:r>
      <w:r w:rsidRPr="00217EA0">
        <w:rPr>
          <w:color w:val="auto"/>
        </w:rPr>
        <w:t xml:space="preserve">given the differences in the two studies and the lack of adjustment for </w:t>
      </w:r>
      <w:r w:rsidR="003E5C46" w:rsidRPr="003E5C46">
        <w:rPr>
          <w:i/>
          <w:iCs/>
          <w:color w:val="auto"/>
        </w:rPr>
        <w:t>FGFR2</w:t>
      </w:r>
      <w:r w:rsidRPr="00217EA0">
        <w:rPr>
          <w:color w:val="auto"/>
        </w:rPr>
        <w:t xml:space="preserve"> </w:t>
      </w:r>
      <w:r w:rsidR="001C45A5" w:rsidRPr="00217EA0">
        <w:rPr>
          <w:color w:val="auto"/>
        </w:rPr>
        <w:t xml:space="preserve">alteration </w:t>
      </w:r>
      <w:r w:rsidRPr="00217EA0">
        <w:rPr>
          <w:color w:val="auto"/>
        </w:rPr>
        <w:t xml:space="preserve">status, any estimated magnitude of benefit in the MAIC presented in the submission is highly uncertain. </w:t>
      </w:r>
      <w:r w:rsidR="00EC21EE" w:rsidRPr="00217EA0">
        <w:rPr>
          <w:color w:val="auto"/>
        </w:rPr>
        <w:t>Moreover,</w:t>
      </w:r>
      <w:r w:rsidR="000B1D8C" w:rsidRPr="00217EA0">
        <w:rPr>
          <w:color w:val="auto"/>
        </w:rPr>
        <w:t xml:space="preserve"> the evaluation considered that</w:t>
      </w:r>
      <w:r w:rsidR="00EC21EE" w:rsidRPr="00217EA0">
        <w:rPr>
          <w:color w:val="auto"/>
        </w:rPr>
        <w:t xml:space="preserve"> </w:t>
      </w:r>
      <w:r w:rsidR="0085015C" w:rsidRPr="00217EA0">
        <w:rPr>
          <w:color w:val="auto"/>
        </w:rPr>
        <w:t xml:space="preserve">it was unclear if this was the </w:t>
      </w:r>
      <w:r w:rsidR="00F83119" w:rsidRPr="00217EA0">
        <w:rPr>
          <w:color w:val="auto"/>
        </w:rPr>
        <w:t>most appropriate</w:t>
      </w:r>
      <w:r w:rsidR="0085015C" w:rsidRPr="00217EA0">
        <w:rPr>
          <w:color w:val="auto"/>
        </w:rPr>
        <w:t xml:space="preserve"> evidence</w:t>
      </w:r>
      <w:r w:rsidR="00074C82" w:rsidRPr="00217EA0">
        <w:rPr>
          <w:color w:val="auto"/>
        </w:rPr>
        <w:t>, because,</w:t>
      </w:r>
      <w:r w:rsidR="0085015C" w:rsidRPr="00217EA0">
        <w:rPr>
          <w:color w:val="auto"/>
        </w:rPr>
        <w:t xml:space="preserve"> </w:t>
      </w:r>
      <w:r w:rsidR="00EC21EE" w:rsidRPr="00217EA0">
        <w:rPr>
          <w:color w:val="auto"/>
        </w:rPr>
        <w:t xml:space="preserve">as discussed above, Paine 2022 and Borad 2022 </w:t>
      </w:r>
      <w:r w:rsidR="000809BC" w:rsidRPr="00217EA0">
        <w:rPr>
          <w:color w:val="auto"/>
        </w:rPr>
        <w:t>were able to adjust</w:t>
      </w:r>
      <w:r w:rsidR="00EC21EE" w:rsidRPr="00217EA0">
        <w:rPr>
          <w:color w:val="auto"/>
        </w:rPr>
        <w:t xml:space="preserve"> for </w:t>
      </w:r>
      <w:r w:rsidR="003E5C46" w:rsidRPr="003E5C46">
        <w:rPr>
          <w:i/>
          <w:iCs/>
          <w:color w:val="auto"/>
        </w:rPr>
        <w:t>FGFR2</w:t>
      </w:r>
      <w:r w:rsidR="00EC21EE" w:rsidRPr="00217EA0">
        <w:rPr>
          <w:color w:val="auto"/>
        </w:rPr>
        <w:t xml:space="preserve"> status</w:t>
      </w:r>
      <w:r w:rsidR="000809BC" w:rsidRPr="00217EA0">
        <w:rPr>
          <w:color w:val="auto"/>
        </w:rPr>
        <w:t xml:space="preserve"> in the FOLFOX arm</w:t>
      </w:r>
      <w:r w:rsidR="00EC21EE" w:rsidRPr="00217EA0">
        <w:rPr>
          <w:color w:val="auto"/>
        </w:rPr>
        <w:t>.</w:t>
      </w:r>
      <w:r w:rsidR="00531703" w:rsidRPr="00531703">
        <w:rPr>
          <w:color w:val="auto"/>
          <w:vertAlign w:val="superscript"/>
        </w:rPr>
        <w:t xml:space="preserve"> </w:t>
      </w:r>
      <w:r w:rsidR="00B0440C" w:rsidRPr="00B0440C">
        <w:rPr>
          <w:vertAlign w:val="superscript"/>
        </w:rPr>
        <w:fldChar w:fldCharType="begin"/>
      </w:r>
      <w:r w:rsidR="00B0440C" w:rsidRPr="00B0440C">
        <w:rPr>
          <w:vertAlign w:val="superscript"/>
        </w:rPr>
        <w:instrText xml:space="preserve"> NOTEREF _Ref200966342 \h </w:instrText>
      </w:r>
      <w:r w:rsidR="00B0440C">
        <w:rPr>
          <w:vertAlign w:val="superscript"/>
        </w:rPr>
        <w:instrText xml:space="preserve"> \* MERGEFORMAT </w:instrText>
      </w:r>
      <w:r w:rsidR="00B0440C" w:rsidRPr="00B0440C">
        <w:rPr>
          <w:vertAlign w:val="superscript"/>
        </w:rPr>
      </w:r>
      <w:r w:rsidR="00B0440C" w:rsidRPr="00B0440C">
        <w:rPr>
          <w:vertAlign w:val="superscript"/>
        </w:rPr>
        <w:fldChar w:fldCharType="separate"/>
      </w:r>
      <w:r w:rsidR="008378C4">
        <w:rPr>
          <w:vertAlign w:val="superscript"/>
        </w:rPr>
        <w:t>5</w:t>
      </w:r>
      <w:r w:rsidR="00B0440C" w:rsidRPr="00B0440C">
        <w:rPr>
          <w:vertAlign w:val="superscript"/>
        </w:rPr>
        <w:fldChar w:fldCharType="end"/>
      </w:r>
    </w:p>
    <w:p w14:paraId="6830D46A" w14:textId="14040F9F" w:rsidR="007878AD" w:rsidRPr="00217EA0" w:rsidRDefault="00C75C91" w:rsidP="2914E55D">
      <w:pPr>
        <w:pStyle w:val="ListParagraph"/>
        <w:rPr>
          <w:color w:val="auto"/>
        </w:rPr>
      </w:pPr>
      <w:bookmarkStart w:id="44" w:name="_Ref187795105"/>
      <w:bookmarkStart w:id="45" w:name="_Ref190265002"/>
      <w:r w:rsidRPr="00217EA0">
        <w:rPr>
          <w:color w:val="auto"/>
        </w:rPr>
        <w:t xml:space="preserve">The submission also stated that the effective sample size (ESS) for </w:t>
      </w:r>
      <w:proofErr w:type="spellStart"/>
      <w:r w:rsidRPr="00217EA0">
        <w:rPr>
          <w:color w:val="auto"/>
        </w:rPr>
        <w:t>futibatinib</w:t>
      </w:r>
      <w:proofErr w:type="spellEnd"/>
      <w:r w:rsidRPr="00217EA0">
        <w:rPr>
          <w:color w:val="auto"/>
        </w:rPr>
        <w:t xml:space="preserve"> in the base case of the comparison with FOLFOX was 53 for PFS and OS, which was approximately 50% reduction from the trial sample size. The submission further claimed that this suggested moderate to good overlap in baseline characteristics between studies. </w:t>
      </w:r>
      <w:r w:rsidR="004761C3" w:rsidRPr="00217EA0">
        <w:rPr>
          <w:color w:val="auto"/>
        </w:rPr>
        <w:t>T</w:t>
      </w:r>
      <w:r w:rsidR="008C5D6B" w:rsidRPr="00217EA0">
        <w:rPr>
          <w:color w:val="auto"/>
        </w:rPr>
        <w:t>he evaluation considered that t</w:t>
      </w:r>
      <w:r w:rsidRPr="00217EA0">
        <w:rPr>
          <w:color w:val="auto"/>
        </w:rPr>
        <w:t>his may not be reasonable, as rescale</w:t>
      </w:r>
      <w:r w:rsidR="00F07F84" w:rsidRPr="00217EA0">
        <w:rPr>
          <w:color w:val="auto"/>
        </w:rPr>
        <w:t>d</w:t>
      </w:r>
      <w:r w:rsidRPr="00217EA0">
        <w:rPr>
          <w:color w:val="auto"/>
        </w:rPr>
        <w:t xml:space="preserve"> patient weights show that the majority of patients had poor matches and subsequently heavily reduced weights. Rescaled patient weights showed a few patients received a large weighting. </w:t>
      </w:r>
      <w:r w:rsidR="007506EE" w:rsidRPr="00217EA0">
        <w:rPr>
          <w:color w:val="auto"/>
        </w:rPr>
        <w:t>The evaluation noted that i</w:t>
      </w:r>
      <w:r w:rsidRPr="00217EA0">
        <w:rPr>
          <w:color w:val="auto"/>
        </w:rPr>
        <w:t xml:space="preserve">t appears that two patients had weighting of greater than </w:t>
      </w:r>
      <w:r w:rsidR="00B66CD0" w:rsidRPr="00217EA0">
        <w:rPr>
          <w:color w:val="auto"/>
        </w:rPr>
        <w:t>four</w:t>
      </w:r>
      <w:r w:rsidR="00EC21EE" w:rsidRPr="00217EA0">
        <w:rPr>
          <w:color w:val="auto"/>
        </w:rPr>
        <w:t xml:space="preserve"> and </w:t>
      </w:r>
      <w:r w:rsidR="00B66CD0" w:rsidRPr="00217EA0">
        <w:rPr>
          <w:color w:val="auto"/>
        </w:rPr>
        <w:t>five</w:t>
      </w:r>
      <w:r w:rsidR="00EC21EE" w:rsidRPr="00217EA0">
        <w:rPr>
          <w:color w:val="auto"/>
        </w:rPr>
        <w:t>, respectively</w:t>
      </w:r>
      <w:r w:rsidRPr="00217EA0">
        <w:rPr>
          <w:color w:val="auto"/>
        </w:rPr>
        <w:t xml:space="preserve">. </w:t>
      </w:r>
      <w:r w:rsidR="00AB32FD" w:rsidRPr="00217EA0">
        <w:rPr>
          <w:color w:val="auto"/>
        </w:rPr>
        <w:t>The evaluation considered that g</w:t>
      </w:r>
      <w:r w:rsidRPr="00217EA0">
        <w:rPr>
          <w:color w:val="auto"/>
        </w:rPr>
        <w:t xml:space="preserve">iven that the ESS </w:t>
      </w:r>
      <w:r w:rsidR="00AB32FD" w:rsidRPr="00217EA0">
        <w:rPr>
          <w:color w:val="auto"/>
        </w:rPr>
        <w:t xml:space="preserve">was </w:t>
      </w:r>
      <w:r w:rsidRPr="00217EA0">
        <w:rPr>
          <w:color w:val="auto"/>
        </w:rPr>
        <w:t xml:space="preserve">53, this suggests that these two patients likely represented </w:t>
      </w:r>
      <w:r w:rsidR="00A11138" w:rsidRPr="00217EA0">
        <w:rPr>
          <w:color w:val="auto"/>
        </w:rPr>
        <w:t xml:space="preserve">almost </w:t>
      </w:r>
      <w:r w:rsidRPr="00217EA0">
        <w:rPr>
          <w:color w:val="auto"/>
        </w:rPr>
        <w:t>20% of the entire population after adjustment. The</w:t>
      </w:r>
      <w:r w:rsidR="00AB32FD" w:rsidRPr="00217EA0">
        <w:rPr>
          <w:color w:val="auto"/>
        </w:rPr>
        <w:t xml:space="preserve"> evaluation </w:t>
      </w:r>
      <w:r w:rsidR="00892FA7" w:rsidRPr="00217EA0">
        <w:rPr>
          <w:color w:val="auto"/>
        </w:rPr>
        <w:t>and the ESC</w:t>
      </w:r>
      <w:r w:rsidR="009868BB" w:rsidRPr="00217EA0">
        <w:rPr>
          <w:color w:val="auto"/>
        </w:rPr>
        <w:t>s</w:t>
      </w:r>
      <w:r w:rsidR="00892FA7" w:rsidRPr="00217EA0">
        <w:rPr>
          <w:color w:val="auto"/>
        </w:rPr>
        <w:t xml:space="preserve"> </w:t>
      </w:r>
      <w:r w:rsidR="00AB32FD" w:rsidRPr="00217EA0">
        <w:rPr>
          <w:color w:val="auto"/>
        </w:rPr>
        <w:t>consider</w:t>
      </w:r>
      <w:r w:rsidR="00892FA7" w:rsidRPr="00217EA0">
        <w:rPr>
          <w:color w:val="auto"/>
        </w:rPr>
        <w:t>ed</w:t>
      </w:r>
      <w:r w:rsidR="00AB32FD" w:rsidRPr="00217EA0">
        <w:rPr>
          <w:color w:val="auto"/>
        </w:rPr>
        <w:t xml:space="preserve"> that</w:t>
      </w:r>
      <w:r w:rsidRPr="00217EA0">
        <w:rPr>
          <w:color w:val="auto"/>
        </w:rPr>
        <w:t xml:space="preserve"> results are therefore heavily influenced by the performance of these two patients.</w:t>
      </w:r>
      <w:bookmarkEnd w:id="44"/>
      <w:r w:rsidRPr="00217EA0">
        <w:rPr>
          <w:color w:val="auto"/>
        </w:rPr>
        <w:t xml:space="preserve"> </w:t>
      </w:r>
      <w:bookmarkEnd w:id="45"/>
      <w:r w:rsidR="00B0440C" w:rsidRPr="00B0440C">
        <w:rPr>
          <w:vertAlign w:val="superscript"/>
        </w:rPr>
        <w:fldChar w:fldCharType="begin"/>
      </w:r>
      <w:r w:rsidR="00B0440C" w:rsidRPr="00B0440C">
        <w:rPr>
          <w:vertAlign w:val="superscript"/>
        </w:rPr>
        <w:instrText xml:space="preserve"> NOTEREF _Ref200966342 \h </w:instrText>
      </w:r>
      <w:r w:rsidR="00B0440C">
        <w:rPr>
          <w:vertAlign w:val="superscript"/>
        </w:rPr>
        <w:instrText xml:space="preserve"> \* MERGEFORMAT </w:instrText>
      </w:r>
      <w:r w:rsidR="00B0440C" w:rsidRPr="00B0440C">
        <w:rPr>
          <w:vertAlign w:val="superscript"/>
        </w:rPr>
      </w:r>
      <w:r w:rsidR="00B0440C" w:rsidRPr="00B0440C">
        <w:rPr>
          <w:vertAlign w:val="superscript"/>
        </w:rPr>
        <w:fldChar w:fldCharType="separate"/>
      </w:r>
      <w:r w:rsidR="008378C4">
        <w:rPr>
          <w:vertAlign w:val="superscript"/>
        </w:rPr>
        <w:t>5</w:t>
      </w:r>
      <w:r w:rsidR="00B0440C" w:rsidRPr="00B0440C">
        <w:rPr>
          <w:vertAlign w:val="superscript"/>
        </w:rPr>
        <w:fldChar w:fldCharType="end"/>
      </w:r>
    </w:p>
    <w:p w14:paraId="4C8B8AF2" w14:textId="29B8B830" w:rsidR="00A11138" w:rsidRPr="00217EA0" w:rsidRDefault="007878AD" w:rsidP="2914E55D">
      <w:pPr>
        <w:pStyle w:val="ListParagraph"/>
        <w:rPr>
          <w:color w:val="auto"/>
        </w:rPr>
      </w:pPr>
      <w:bookmarkStart w:id="46" w:name="_Ref187795106"/>
      <w:r w:rsidRPr="00217EA0">
        <w:rPr>
          <w:color w:val="auto"/>
        </w:rPr>
        <w:t xml:space="preserve">The submission stated that the ESS for </w:t>
      </w:r>
      <w:proofErr w:type="spellStart"/>
      <w:r w:rsidRPr="00217EA0">
        <w:rPr>
          <w:color w:val="auto"/>
        </w:rPr>
        <w:t>futibatinib</w:t>
      </w:r>
      <w:proofErr w:type="spellEnd"/>
      <w:r w:rsidRPr="00217EA0">
        <w:rPr>
          <w:color w:val="auto"/>
        </w:rPr>
        <w:t xml:space="preserve"> in the base case of the comparison with ASC was 52 for OS. Similar to the MAIC between </w:t>
      </w:r>
      <w:proofErr w:type="spellStart"/>
      <w:r w:rsidRPr="00217EA0">
        <w:rPr>
          <w:color w:val="auto"/>
        </w:rPr>
        <w:t>futibatinib</w:t>
      </w:r>
      <w:proofErr w:type="spellEnd"/>
      <w:r w:rsidRPr="00217EA0">
        <w:rPr>
          <w:color w:val="auto"/>
        </w:rPr>
        <w:t xml:space="preserve"> and FOLFOX, three patients had weights above four, </w:t>
      </w:r>
      <w:r w:rsidR="005E6821" w:rsidRPr="00217EA0">
        <w:rPr>
          <w:color w:val="auto"/>
        </w:rPr>
        <w:t xml:space="preserve">which the evaluation considered </w:t>
      </w:r>
      <w:r w:rsidRPr="00217EA0">
        <w:rPr>
          <w:color w:val="auto"/>
        </w:rPr>
        <w:t xml:space="preserve">suggest that these three patients alone represented </w:t>
      </w:r>
      <w:r w:rsidR="00A11138" w:rsidRPr="00217EA0">
        <w:rPr>
          <w:color w:val="auto"/>
        </w:rPr>
        <w:t>almost</w:t>
      </w:r>
      <w:r w:rsidRPr="00217EA0">
        <w:rPr>
          <w:color w:val="auto"/>
        </w:rPr>
        <w:t xml:space="preserve"> 25% of the total population of </w:t>
      </w:r>
      <w:proofErr w:type="spellStart"/>
      <w:r w:rsidRPr="00217EA0">
        <w:rPr>
          <w:color w:val="auto"/>
        </w:rPr>
        <w:t>futibatinib</w:t>
      </w:r>
      <w:proofErr w:type="spellEnd"/>
      <w:r w:rsidRPr="00217EA0">
        <w:rPr>
          <w:color w:val="auto"/>
        </w:rPr>
        <w:t xml:space="preserve"> patients, with the majority of patients having significantly reduced weights. The </w:t>
      </w:r>
      <w:r w:rsidR="000003F7" w:rsidRPr="00217EA0">
        <w:rPr>
          <w:color w:val="auto"/>
        </w:rPr>
        <w:t xml:space="preserve">evaluation </w:t>
      </w:r>
      <w:r w:rsidR="00D4446D" w:rsidRPr="00217EA0">
        <w:rPr>
          <w:color w:val="auto"/>
        </w:rPr>
        <w:t>and the ESCs</w:t>
      </w:r>
      <w:r w:rsidR="000003F7" w:rsidRPr="00217EA0">
        <w:rPr>
          <w:color w:val="auto"/>
        </w:rPr>
        <w:t xml:space="preserve"> considered that </w:t>
      </w:r>
      <w:r w:rsidRPr="00217EA0">
        <w:rPr>
          <w:color w:val="auto"/>
        </w:rPr>
        <w:t>results would be heavily influenced by the results of the three patients receiving high weights.</w:t>
      </w:r>
      <w:bookmarkStart w:id="47" w:name="_Ref200966453"/>
      <w:bookmarkEnd w:id="46"/>
      <w:r w:rsidR="00832CC4">
        <w:rPr>
          <w:rStyle w:val="FootnoteReference"/>
          <w:color w:val="auto"/>
        </w:rPr>
        <w:footnoteReference w:id="7"/>
      </w:r>
      <w:bookmarkEnd w:id="47"/>
      <w:r w:rsidRPr="00217EA0">
        <w:rPr>
          <w:color w:val="auto"/>
        </w:rPr>
        <w:t xml:space="preserve"> </w:t>
      </w:r>
    </w:p>
    <w:p w14:paraId="627F4A23" w14:textId="4C0C37CC" w:rsidR="007878AD" w:rsidRPr="00217EA0" w:rsidRDefault="000003F7" w:rsidP="007878AD">
      <w:pPr>
        <w:pStyle w:val="ListParagraph"/>
        <w:rPr>
          <w:color w:val="auto"/>
        </w:rPr>
      </w:pPr>
      <w:r w:rsidRPr="00217EA0">
        <w:rPr>
          <w:color w:val="auto"/>
        </w:rPr>
        <w:t>The evaluation considered it i</w:t>
      </w:r>
      <w:r w:rsidR="007878AD" w:rsidRPr="00217EA0">
        <w:rPr>
          <w:color w:val="auto"/>
        </w:rPr>
        <w:t>nappropriate</w:t>
      </w:r>
      <w:r w:rsidRPr="00217EA0">
        <w:rPr>
          <w:color w:val="auto"/>
        </w:rPr>
        <w:t xml:space="preserve"> that</w:t>
      </w:r>
      <w:r w:rsidR="007878AD" w:rsidRPr="00217EA0">
        <w:rPr>
          <w:color w:val="auto"/>
        </w:rPr>
        <w:t xml:space="preserve"> no ESS for ORR was reported.</w:t>
      </w:r>
      <w:r w:rsidR="00832CC4" w:rsidRPr="00832CC4">
        <w:rPr>
          <w:color w:val="auto"/>
          <w:vertAlign w:val="superscript"/>
        </w:rPr>
        <w:fldChar w:fldCharType="begin"/>
      </w:r>
      <w:r w:rsidR="00832CC4" w:rsidRPr="00832CC4">
        <w:rPr>
          <w:color w:val="auto"/>
          <w:vertAlign w:val="superscript"/>
        </w:rPr>
        <w:instrText xml:space="preserve"> NOTEREF _Ref200966453 \h </w:instrText>
      </w:r>
      <w:r w:rsidR="00832CC4">
        <w:rPr>
          <w:color w:val="auto"/>
          <w:vertAlign w:val="superscript"/>
        </w:rPr>
        <w:instrText xml:space="preserve"> \* MERGEFORMAT </w:instrText>
      </w:r>
      <w:r w:rsidR="00832CC4" w:rsidRPr="00832CC4">
        <w:rPr>
          <w:color w:val="auto"/>
          <w:vertAlign w:val="superscript"/>
        </w:rPr>
      </w:r>
      <w:r w:rsidR="00832CC4" w:rsidRPr="00832CC4">
        <w:rPr>
          <w:color w:val="auto"/>
          <w:vertAlign w:val="superscript"/>
        </w:rPr>
        <w:fldChar w:fldCharType="separate"/>
      </w:r>
      <w:r w:rsidR="008378C4">
        <w:rPr>
          <w:color w:val="auto"/>
          <w:vertAlign w:val="superscript"/>
        </w:rPr>
        <w:t>6</w:t>
      </w:r>
      <w:r w:rsidR="00832CC4" w:rsidRPr="00832CC4">
        <w:rPr>
          <w:color w:val="auto"/>
          <w:vertAlign w:val="superscript"/>
        </w:rPr>
        <w:fldChar w:fldCharType="end"/>
      </w:r>
    </w:p>
    <w:p w14:paraId="2620CD1F" w14:textId="78A79886" w:rsidR="00AE6F3B" w:rsidRPr="00217EA0" w:rsidRDefault="00AE6F3B" w:rsidP="2914E55D">
      <w:pPr>
        <w:pStyle w:val="ListParagraph"/>
        <w:rPr>
          <w:color w:val="auto"/>
        </w:rPr>
      </w:pPr>
      <w:r w:rsidRPr="00217EA0">
        <w:rPr>
          <w:color w:val="auto"/>
        </w:rPr>
        <w:fldChar w:fldCharType="begin"/>
      </w:r>
      <w:r w:rsidRPr="00217EA0">
        <w:rPr>
          <w:color w:val="auto"/>
        </w:rPr>
        <w:instrText xml:space="preserve"> REF _Ref184820377 \h </w:instrText>
      </w:r>
      <w:r w:rsidR="00A11138" w:rsidRPr="00217EA0">
        <w:rPr>
          <w:color w:val="auto"/>
        </w:rPr>
        <w:instrText xml:space="preserve"> \* MERGEFORMAT </w:instrText>
      </w:r>
      <w:r w:rsidRPr="00217EA0">
        <w:rPr>
          <w:color w:val="auto"/>
        </w:rPr>
      </w:r>
      <w:r w:rsidRPr="00217EA0">
        <w:rPr>
          <w:color w:val="auto"/>
        </w:rPr>
        <w:fldChar w:fldCharType="separate"/>
      </w:r>
      <w:r w:rsidR="008378C4" w:rsidRPr="008378C4">
        <w:rPr>
          <w:color w:val="auto"/>
        </w:rPr>
        <w:t>Table 12</w:t>
      </w:r>
      <w:r w:rsidRPr="00217EA0">
        <w:rPr>
          <w:color w:val="auto"/>
        </w:rPr>
        <w:fldChar w:fldCharType="end"/>
      </w:r>
      <w:r w:rsidRPr="00217EA0">
        <w:rPr>
          <w:color w:val="auto"/>
        </w:rPr>
        <w:t xml:space="preserve"> presents the adjusted and unadjusted results of the MAIC </w:t>
      </w:r>
      <w:r w:rsidR="00D063E1" w:rsidRPr="00217EA0">
        <w:rPr>
          <w:color w:val="auto"/>
        </w:rPr>
        <w:t xml:space="preserve">comparing </w:t>
      </w:r>
      <w:proofErr w:type="spellStart"/>
      <w:r w:rsidR="00D063E1" w:rsidRPr="00217EA0">
        <w:rPr>
          <w:color w:val="auto"/>
        </w:rPr>
        <w:t>futibatinib</w:t>
      </w:r>
      <w:proofErr w:type="spellEnd"/>
      <w:r w:rsidR="00D063E1" w:rsidRPr="00217EA0">
        <w:rPr>
          <w:color w:val="auto"/>
        </w:rPr>
        <w:t xml:space="preserve"> to FOLFOX </w:t>
      </w:r>
      <w:r w:rsidRPr="00217EA0">
        <w:rPr>
          <w:color w:val="auto"/>
        </w:rPr>
        <w:t xml:space="preserve">for PFS. </w:t>
      </w:r>
      <w:r w:rsidR="00F44DA6" w:rsidRPr="00217EA0">
        <w:rPr>
          <w:color w:val="auto"/>
        </w:rPr>
        <w:t xml:space="preserve">The </w:t>
      </w:r>
      <w:r w:rsidR="00296A5F" w:rsidRPr="00217EA0">
        <w:rPr>
          <w:color w:val="auto"/>
        </w:rPr>
        <w:t>evaluation</w:t>
      </w:r>
      <w:r w:rsidR="00F44DA6" w:rsidRPr="00217EA0">
        <w:rPr>
          <w:color w:val="auto"/>
        </w:rPr>
        <w:t xml:space="preserve"> noted that</w:t>
      </w:r>
      <w:r w:rsidR="00A11138" w:rsidRPr="00217EA0">
        <w:rPr>
          <w:color w:val="auto"/>
        </w:rPr>
        <w:t xml:space="preserve">, only PFS by investigator was reported in ABC-06, therefore the base case comparison was PFS by independent </w:t>
      </w:r>
      <w:r w:rsidR="00D063E1" w:rsidRPr="00217EA0">
        <w:rPr>
          <w:color w:val="auto"/>
        </w:rPr>
        <w:t xml:space="preserve">review committee in FOENIX-CCA2 compared to PFS by investigator in ABC-06. </w:t>
      </w:r>
      <w:r w:rsidR="00F44DA6" w:rsidRPr="00217EA0">
        <w:rPr>
          <w:color w:val="auto"/>
        </w:rPr>
        <w:t>The evaluation presented</w:t>
      </w:r>
      <w:r w:rsidR="005D21CD" w:rsidRPr="00217EA0">
        <w:rPr>
          <w:color w:val="auto"/>
        </w:rPr>
        <w:t xml:space="preserve"> a</w:t>
      </w:r>
      <w:r w:rsidR="00296A5F" w:rsidRPr="00217EA0">
        <w:rPr>
          <w:color w:val="auto"/>
        </w:rPr>
        <w:t xml:space="preserve"> </w:t>
      </w:r>
      <w:r w:rsidR="000D2576" w:rsidRPr="00217EA0">
        <w:rPr>
          <w:color w:val="auto"/>
        </w:rPr>
        <w:t xml:space="preserve">comparison using </w:t>
      </w:r>
      <w:proofErr w:type="spellStart"/>
      <w:r w:rsidR="000D2576" w:rsidRPr="00217EA0">
        <w:rPr>
          <w:color w:val="auto"/>
        </w:rPr>
        <w:t>fut</w:t>
      </w:r>
      <w:r w:rsidR="00417FEA" w:rsidRPr="00217EA0">
        <w:rPr>
          <w:color w:val="auto"/>
        </w:rPr>
        <w:t>ib</w:t>
      </w:r>
      <w:r w:rsidR="000D2576" w:rsidRPr="00217EA0">
        <w:rPr>
          <w:color w:val="auto"/>
        </w:rPr>
        <w:t>atinib</w:t>
      </w:r>
      <w:proofErr w:type="spellEnd"/>
      <w:r w:rsidR="000D2576" w:rsidRPr="00217EA0">
        <w:rPr>
          <w:color w:val="auto"/>
        </w:rPr>
        <w:t xml:space="preserve"> results for PFS by investigator as a sensitivity analysis. </w:t>
      </w:r>
      <w:r w:rsidR="00832CC4" w:rsidRPr="00832CC4">
        <w:rPr>
          <w:color w:val="auto"/>
          <w:vertAlign w:val="superscript"/>
        </w:rPr>
        <w:fldChar w:fldCharType="begin"/>
      </w:r>
      <w:r w:rsidR="00832CC4" w:rsidRPr="00832CC4">
        <w:rPr>
          <w:color w:val="auto"/>
          <w:vertAlign w:val="superscript"/>
        </w:rPr>
        <w:instrText xml:space="preserve"> NOTEREF _Ref200966453 \h </w:instrText>
      </w:r>
      <w:r w:rsidR="00832CC4">
        <w:rPr>
          <w:color w:val="auto"/>
          <w:vertAlign w:val="superscript"/>
        </w:rPr>
        <w:instrText xml:space="preserve"> \* MERGEFORMAT </w:instrText>
      </w:r>
      <w:r w:rsidR="00832CC4" w:rsidRPr="00832CC4">
        <w:rPr>
          <w:color w:val="auto"/>
          <w:vertAlign w:val="superscript"/>
        </w:rPr>
      </w:r>
      <w:r w:rsidR="00832CC4" w:rsidRPr="00832CC4">
        <w:rPr>
          <w:color w:val="auto"/>
          <w:vertAlign w:val="superscript"/>
        </w:rPr>
        <w:fldChar w:fldCharType="separate"/>
      </w:r>
      <w:r w:rsidR="008378C4">
        <w:rPr>
          <w:color w:val="auto"/>
          <w:vertAlign w:val="superscript"/>
        </w:rPr>
        <w:t>6</w:t>
      </w:r>
      <w:r w:rsidR="00832CC4" w:rsidRPr="00832CC4">
        <w:rPr>
          <w:color w:val="auto"/>
          <w:vertAlign w:val="superscript"/>
        </w:rPr>
        <w:fldChar w:fldCharType="end"/>
      </w:r>
    </w:p>
    <w:p w14:paraId="5369F63A" w14:textId="5DAA7448" w:rsidR="00AE6F3B" w:rsidRPr="00217EA0" w:rsidRDefault="004F74E6" w:rsidP="00AE6F3B">
      <w:pPr>
        <w:pStyle w:val="TableFigureHeading"/>
        <w:keepLines/>
      </w:pPr>
      <w:bookmarkStart w:id="48" w:name="_Ref184820377"/>
      <w:r w:rsidRPr="00217EA0">
        <w:t>Table</w:t>
      </w:r>
      <w:r w:rsidR="00E5144F">
        <w:t xml:space="preserve"> </w:t>
      </w:r>
      <w:r w:rsidR="006A66A8">
        <w:fldChar w:fldCharType="begin"/>
      </w:r>
      <w:r w:rsidR="006A66A8">
        <w:instrText xml:space="preserve"> SEQ Table_PBAC. \* ARABIC </w:instrText>
      </w:r>
      <w:r w:rsidR="006A66A8">
        <w:fldChar w:fldCharType="separate"/>
      </w:r>
      <w:r w:rsidR="008378C4">
        <w:rPr>
          <w:noProof/>
        </w:rPr>
        <w:t>12</w:t>
      </w:r>
      <w:r w:rsidR="006A66A8">
        <w:rPr>
          <w:noProof/>
        </w:rPr>
        <w:fldChar w:fldCharType="end"/>
      </w:r>
      <w:bookmarkEnd w:id="48"/>
      <w:r w:rsidR="00751F71">
        <w:rPr>
          <w:noProof/>
        </w:rPr>
        <w:t xml:space="preserve">: </w:t>
      </w:r>
      <w:r w:rsidR="00AE6F3B" w:rsidRPr="00217EA0">
        <w:t xml:space="preserve">Unadjusted and adjusted PFS model results: </w:t>
      </w:r>
      <w:proofErr w:type="spellStart"/>
      <w:r w:rsidR="00AE6F3B" w:rsidRPr="00217EA0">
        <w:t>Futibatinib</w:t>
      </w:r>
      <w:proofErr w:type="spellEnd"/>
      <w:r w:rsidR="00AE6F3B" w:rsidRPr="00217EA0">
        <w:t xml:space="preserve"> vs FOLFOX+ASC </w:t>
      </w:r>
    </w:p>
    <w:tbl>
      <w:tblPr>
        <w:tblStyle w:val="PBACTableStyle"/>
        <w:tblW w:w="5000" w:type="pct"/>
        <w:tblCellMar>
          <w:left w:w="29" w:type="dxa"/>
          <w:right w:w="29" w:type="dxa"/>
        </w:tblCellMar>
        <w:tblLook w:val="04A0" w:firstRow="1" w:lastRow="0" w:firstColumn="1" w:lastColumn="0" w:noHBand="0" w:noVBand="1"/>
        <w:tblCaption w:val="Table 12: Unadjusted and adjusted PFS model results: Futibatinib vs FOLFOX+ASC "/>
      </w:tblPr>
      <w:tblGrid>
        <w:gridCol w:w="1579"/>
        <w:gridCol w:w="709"/>
        <w:gridCol w:w="934"/>
        <w:gridCol w:w="1663"/>
        <w:gridCol w:w="1697"/>
        <w:gridCol w:w="2434"/>
      </w:tblGrid>
      <w:tr w:rsidR="007900E9" w:rsidRPr="00217EA0" w14:paraId="5A53087D" w14:textId="77777777" w:rsidTr="00FE3A7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6" w:type="pct"/>
          </w:tcPr>
          <w:p w14:paraId="2317F25A" w14:textId="77777777" w:rsidR="00AE6F3B" w:rsidRPr="00217EA0" w:rsidRDefault="00AE6F3B" w:rsidP="00FE3A7F">
            <w:pPr>
              <w:pStyle w:val="TableText"/>
              <w:keepNext/>
              <w:keepLines/>
              <w:rPr>
                <w:color w:val="auto"/>
                <w:lang w:val="en-AU" w:bidi="en-US"/>
              </w:rPr>
            </w:pPr>
            <w:r w:rsidRPr="00217EA0">
              <w:rPr>
                <w:color w:val="auto"/>
                <w:lang w:val="en-AU" w:bidi="en-US"/>
              </w:rPr>
              <w:t>Model</w:t>
            </w:r>
          </w:p>
        </w:tc>
        <w:tc>
          <w:tcPr>
            <w:tcW w:w="393" w:type="pct"/>
          </w:tcPr>
          <w:p w14:paraId="68B93405" w14:textId="77777777" w:rsidR="00AE6F3B" w:rsidRPr="00217EA0" w:rsidRDefault="00AE6F3B" w:rsidP="00FE3A7F">
            <w:pPr>
              <w:pStyle w:val="TableText"/>
              <w:keepNext/>
              <w:keepLines/>
              <w:jc w:val="center"/>
              <w:cnfStyle w:val="100000000000" w:firstRow="1" w:lastRow="0" w:firstColumn="0" w:lastColumn="0" w:oddVBand="0" w:evenVBand="0" w:oddHBand="0" w:evenHBand="0" w:firstRowFirstColumn="0" w:firstRowLastColumn="0" w:lastRowFirstColumn="0" w:lastRowLastColumn="0"/>
              <w:rPr>
                <w:color w:val="auto"/>
                <w:lang w:val="en-AU" w:bidi="en-US"/>
              </w:rPr>
            </w:pPr>
            <w:r w:rsidRPr="00217EA0">
              <w:rPr>
                <w:color w:val="auto"/>
                <w:lang w:val="en-AU" w:bidi="en-US"/>
              </w:rPr>
              <w:t>HR for PFS</w:t>
            </w:r>
          </w:p>
        </w:tc>
        <w:tc>
          <w:tcPr>
            <w:tcW w:w="518" w:type="pct"/>
          </w:tcPr>
          <w:p w14:paraId="240D8F0A" w14:textId="77777777" w:rsidR="00AE6F3B" w:rsidRPr="00217EA0" w:rsidRDefault="00AE6F3B" w:rsidP="00FE3A7F">
            <w:pPr>
              <w:pStyle w:val="TableText"/>
              <w:keepNext/>
              <w:keepLines/>
              <w:jc w:val="center"/>
              <w:cnfStyle w:val="100000000000" w:firstRow="1" w:lastRow="0" w:firstColumn="0" w:lastColumn="0" w:oddVBand="0" w:evenVBand="0" w:oddHBand="0" w:evenHBand="0" w:firstRowFirstColumn="0" w:firstRowLastColumn="0" w:lastRowFirstColumn="0" w:lastRowLastColumn="0"/>
              <w:rPr>
                <w:color w:val="auto"/>
                <w:lang w:val="en-AU" w:bidi="en-US"/>
              </w:rPr>
            </w:pPr>
            <w:r w:rsidRPr="00217EA0">
              <w:rPr>
                <w:color w:val="auto"/>
                <w:lang w:val="en-AU" w:bidi="en-US"/>
              </w:rPr>
              <w:t>95% CI; p value</w:t>
            </w:r>
          </w:p>
        </w:tc>
        <w:tc>
          <w:tcPr>
            <w:tcW w:w="922" w:type="pct"/>
          </w:tcPr>
          <w:p w14:paraId="373549B3" w14:textId="77777777" w:rsidR="00AE6F3B" w:rsidRPr="00217EA0" w:rsidRDefault="00AE6F3B" w:rsidP="00FE3A7F">
            <w:pPr>
              <w:pStyle w:val="TableText"/>
              <w:keepNext/>
              <w:keepLines/>
              <w:jc w:val="center"/>
              <w:cnfStyle w:val="100000000000" w:firstRow="1" w:lastRow="0" w:firstColumn="0" w:lastColumn="0" w:oddVBand="0" w:evenVBand="0" w:oddHBand="0" w:evenHBand="0" w:firstRowFirstColumn="0" w:firstRowLastColumn="0" w:lastRowFirstColumn="0" w:lastRowLastColumn="0"/>
              <w:rPr>
                <w:color w:val="auto"/>
                <w:lang w:val="en-AU" w:bidi="en-US"/>
              </w:rPr>
            </w:pPr>
            <w:r w:rsidRPr="00217EA0">
              <w:rPr>
                <w:color w:val="auto"/>
                <w:lang w:val="en-AU" w:bidi="en-US"/>
              </w:rPr>
              <w:t>RMST (months) for PFS</w:t>
            </w:r>
          </w:p>
          <w:p w14:paraId="1259346B" w14:textId="77777777" w:rsidR="00AE6F3B" w:rsidRPr="00217EA0" w:rsidRDefault="00AE6F3B" w:rsidP="00FE3A7F">
            <w:pPr>
              <w:pStyle w:val="TableText"/>
              <w:keepNext/>
              <w:keepLines/>
              <w:jc w:val="center"/>
              <w:cnfStyle w:val="100000000000" w:firstRow="1" w:lastRow="0" w:firstColumn="0" w:lastColumn="0" w:oddVBand="0" w:evenVBand="0" w:oddHBand="0" w:evenHBand="0" w:firstRowFirstColumn="0" w:firstRowLastColumn="0" w:lastRowFirstColumn="0" w:lastRowLastColumn="0"/>
              <w:rPr>
                <w:color w:val="auto"/>
                <w:lang w:val="en-AU" w:bidi="en-US"/>
              </w:rPr>
            </w:pPr>
            <w:r w:rsidRPr="00217EA0">
              <w:rPr>
                <w:color w:val="auto"/>
                <w:lang w:val="en-AU" w:bidi="en-US"/>
              </w:rPr>
              <w:t>tau=14.79 months</w:t>
            </w:r>
          </w:p>
        </w:tc>
        <w:tc>
          <w:tcPr>
            <w:tcW w:w="941" w:type="pct"/>
          </w:tcPr>
          <w:p w14:paraId="033C9EED" w14:textId="77777777" w:rsidR="00AE6F3B" w:rsidRPr="00217EA0" w:rsidRDefault="00AE6F3B" w:rsidP="00FE3A7F">
            <w:pPr>
              <w:pStyle w:val="TableText"/>
              <w:keepNext/>
              <w:keepLines/>
              <w:jc w:val="center"/>
              <w:cnfStyle w:val="100000000000" w:firstRow="1" w:lastRow="0" w:firstColumn="0" w:lastColumn="0" w:oddVBand="0" w:evenVBand="0" w:oddHBand="0" w:evenHBand="0" w:firstRowFirstColumn="0" w:firstRowLastColumn="0" w:lastRowFirstColumn="0" w:lastRowLastColumn="0"/>
              <w:rPr>
                <w:color w:val="auto"/>
                <w:lang w:val="en-AU" w:bidi="en-US"/>
              </w:rPr>
            </w:pPr>
            <w:r w:rsidRPr="00217EA0">
              <w:rPr>
                <w:color w:val="auto"/>
                <w:lang w:val="en-AU" w:bidi="en-US"/>
              </w:rPr>
              <w:t>RMST difference (months) for PFS</w:t>
            </w:r>
          </w:p>
          <w:p w14:paraId="47A9AA76" w14:textId="77777777" w:rsidR="00AE6F3B" w:rsidRPr="00217EA0" w:rsidRDefault="00AE6F3B" w:rsidP="00FE3A7F">
            <w:pPr>
              <w:pStyle w:val="TableText"/>
              <w:keepNext/>
              <w:keepLines/>
              <w:jc w:val="center"/>
              <w:cnfStyle w:val="100000000000" w:firstRow="1" w:lastRow="0" w:firstColumn="0" w:lastColumn="0" w:oddVBand="0" w:evenVBand="0" w:oddHBand="0" w:evenHBand="0" w:firstRowFirstColumn="0" w:firstRowLastColumn="0" w:lastRowFirstColumn="0" w:lastRowLastColumn="0"/>
              <w:rPr>
                <w:color w:val="auto"/>
                <w:lang w:val="en-AU" w:bidi="en-US"/>
              </w:rPr>
            </w:pPr>
            <w:r w:rsidRPr="00217EA0">
              <w:rPr>
                <w:color w:val="auto"/>
                <w:lang w:val="en-AU" w:bidi="en-US"/>
              </w:rPr>
              <w:t>(95% CI; p value)</w:t>
            </w:r>
          </w:p>
        </w:tc>
        <w:tc>
          <w:tcPr>
            <w:tcW w:w="1350" w:type="pct"/>
          </w:tcPr>
          <w:p w14:paraId="52FD4BD5" w14:textId="77777777" w:rsidR="00AE6F3B" w:rsidRPr="00217EA0" w:rsidRDefault="00AE6F3B" w:rsidP="00FE3A7F">
            <w:pPr>
              <w:pStyle w:val="TableText"/>
              <w:keepNext/>
              <w:keepLines/>
              <w:jc w:val="center"/>
              <w:cnfStyle w:val="100000000000" w:firstRow="1" w:lastRow="0" w:firstColumn="0" w:lastColumn="0" w:oddVBand="0" w:evenVBand="0" w:oddHBand="0" w:evenHBand="0" w:firstRowFirstColumn="0" w:firstRowLastColumn="0" w:lastRowFirstColumn="0" w:lastRowLastColumn="0"/>
              <w:rPr>
                <w:color w:val="auto"/>
                <w:lang w:val="en-AU" w:bidi="en-US"/>
              </w:rPr>
            </w:pPr>
            <w:r w:rsidRPr="00217EA0">
              <w:rPr>
                <w:color w:val="auto"/>
                <w:lang w:val="en-AU" w:bidi="en-US"/>
              </w:rPr>
              <w:t>Notes</w:t>
            </w:r>
          </w:p>
        </w:tc>
      </w:tr>
      <w:tr w:rsidR="007900E9" w:rsidRPr="00217EA0" w14:paraId="2B8A4E9E" w14:textId="77777777" w:rsidTr="00FE3A7F">
        <w:trPr>
          <w:trHeight w:val="20"/>
        </w:trPr>
        <w:tc>
          <w:tcPr>
            <w:cnfStyle w:val="001000000000" w:firstRow="0" w:lastRow="0" w:firstColumn="1" w:lastColumn="0" w:oddVBand="0" w:evenVBand="0" w:oddHBand="0" w:evenHBand="0" w:firstRowFirstColumn="0" w:firstRowLastColumn="0" w:lastRowFirstColumn="0" w:lastRowLastColumn="0"/>
            <w:tcW w:w="876" w:type="pct"/>
          </w:tcPr>
          <w:p w14:paraId="3E7982A5" w14:textId="77777777" w:rsidR="00AE6F3B" w:rsidRPr="00217EA0" w:rsidRDefault="00AE6F3B" w:rsidP="00FE3A7F">
            <w:pPr>
              <w:pStyle w:val="TableText"/>
              <w:keepNext/>
              <w:keepLines/>
              <w:rPr>
                <w:color w:val="auto"/>
                <w:lang w:val="en-AU"/>
              </w:rPr>
            </w:pPr>
            <w:r w:rsidRPr="00217EA0">
              <w:rPr>
                <w:color w:val="auto"/>
                <w:lang w:val="en-AU" w:bidi="en-US"/>
              </w:rPr>
              <w:t>Cox-naïve/unadjusted (</w:t>
            </w:r>
            <w:r w:rsidRPr="00217EA0">
              <w:rPr>
                <w:color w:val="auto"/>
                <w:lang w:val="en-AU"/>
              </w:rPr>
              <w:t>PFS-IRC)</w:t>
            </w:r>
          </w:p>
        </w:tc>
        <w:tc>
          <w:tcPr>
            <w:tcW w:w="393" w:type="pct"/>
          </w:tcPr>
          <w:p w14:paraId="5695C89C" w14:textId="77777777" w:rsidR="00AE6F3B" w:rsidRPr="00217EA0" w:rsidRDefault="00AE6F3B"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bidi="en-US"/>
              </w:rPr>
            </w:pPr>
            <w:r w:rsidRPr="00217EA0">
              <w:rPr>
                <w:color w:val="auto"/>
                <w:lang w:val="en-AU" w:bidi="en-US"/>
              </w:rPr>
              <w:t>0.43</w:t>
            </w:r>
          </w:p>
        </w:tc>
        <w:tc>
          <w:tcPr>
            <w:tcW w:w="518" w:type="pct"/>
          </w:tcPr>
          <w:p w14:paraId="4B3DEC40" w14:textId="77777777" w:rsidR="00AE6F3B" w:rsidRPr="00217EA0" w:rsidRDefault="00AE6F3B"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bidi="en-US"/>
              </w:rPr>
            </w:pPr>
            <w:r w:rsidRPr="00217EA0">
              <w:rPr>
                <w:color w:val="auto"/>
                <w:lang w:val="en-AU" w:bidi="en-US"/>
              </w:rPr>
              <w:t>0.31–0.59; p&lt;0.0001</w:t>
            </w:r>
          </w:p>
        </w:tc>
        <w:tc>
          <w:tcPr>
            <w:tcW w:w="922" w:type="pct"/>
          </w:tcPr>
          <w:p w14:paraId="219D3C74" w14:textId="29CDC895" w:rsidR="00AE6F3B" w:rsidRPr="00217EA0" w:rsidRDefault="00AE6F3B"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proofErr w:type="spellStart"/>
            <w:r w:rsidRPr="00217EA0">
              <w:rPr>
                <w:color w:val="auto"/>
                <w:lang w:val="en-AU"/>
              </w:rPr>
              <w:t>Futibatinib</w:t>
            </w:r>
            <w:proofErr w:type="spellEnd"/>
            <w:r w:rsidRPr="00217EA0">
              <w:rPr>
                <w:color w:val="auto"/>
                <w:lang w:val="en-AU"/>
              </w:rPr>
              <w:t xml:space="preserve"> unadjusted (PFS-IRC): 8.88</w:t>
            </w:r>
            <w:r w:rsidR="008C0457" w:rsidRPr="00217EA0">
              <w:rPr>
                <w:color w:val="auto"/>
                <w:lang w:val="en-AU"/>
              </w:rPr>
              <w:t xml:space="preserve"> </w:t>
            </w:r>
            <w:r w:rsidRPr="00217EA0">
              <w:rPr>
                <w:color w:val="auto"/>
                <w:lang w:val="en-AU"/>
              </w:rPr>
              <w:t>FOLFOX+ASC: 5.32</w:t>
            </w:r>
          </w:p>
        </w:tc>
        <w:tc>
          <w:tcPr>
            <w:tcW w:w="941" w:type="pct"/>
          </w:tcPr>
          <w:p w14:paraId="2824E284" w14:textId="77777777" w:rsidR="00AE6F3B" w:rsidRPr="00217EA0" w:rsidRDefault="00AE6F3B"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bidi="en-US"/>
              </w:rPr>
            </w:pPr>
            <w:r w:rsidRPr="00217EA0">
              <w:rPr>
                <w:color w:val="auto"/>
                <w:lang w:val="en-AU"/>
              </w:rPr>
              <w:t>3.56 (2.28–4.84); p&lt;0.0001</w:t>
            </w:r>
          </w:p>
        </w:tc>
        <w:tc>
          <w:tcPr>
            <w:tcW w:w="1350" w:type="pct"/>
            <w:vMerge w:val="restart"/>
          </w:tcPr>
          <w:p w14:paraId="2A12BA85" w14:textId="77777777" w:rsidR="00AE6F3B" w:rsidRPr="00217EA0" w:rsidRDefault="00AE6F3B"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bidi="en-US"/>
              </w:rPr>
            </w:pPr>
            <w:r w:rsidRPr="00217EA0">
              <w:rPr>
                <w:color w:val="auto"/>
                <w:lang w:val="en-AU" w:bidi="en-US"/>
              </w:rPr>
              <w:t>No covariate adjustment</w:t>
            </w:r>
          </w:p>
        </w:tc>
      </w:tr>
      <w:tr w:rsidR="007900E9" w:rsidRPr="00217EA0" w14:paraId="4AD1A783" w14:textId="77777777" w:rsidTr="00FE3A7F">
        <w:trPr>
          <w:trHeight w:val="20"/>
        </w:trPr>
        <w:tc>
          <w:tcPr>
            <w:cnfStyle w:val="001000000000" w:firstRow="0" w:lastRow="0" w:firstColumn="1" w:lastColumn="0" w:oddVBand="0" w:evenVBand="0" w:oddHBand="0" w:evenHBand="0" w:firstRowFirstColumn="0" w:firstRowLastColumn="0" w:lastRowFirstColumn="0" w:lastRowLastColumn="0"/>
            <w:tcW w:w="876" w:type="pct"/>
          </w:tcPr>
          <w:p w14:paraId="73F6D61E" w14:textId="77777777" w:rsidR="00AE6F3B" w:rsidRPr="00217EA0" w:rsidRDefault="00AE6F3B" w:rsidP="00FE3A7F">
            <w:pPr>
              <w:pStyle w:val="TableText"/>
              <w:keepNext/>
              <w:keepLines/>
              <w:rPr>
                <w:color w:val="auto"/>
                <w:lang w:val="en-AU" w:bidi="en-US"/>
              </w:rPr>
            </w:pPr>
            <w:r w:rsidRPr="00217EA0">
              <w:rPr>
                <w:color w:val="auto"/>
                <w:lang w:val="en-AU" w:bidi="en-US"/>
              </w:rPr>
              <w:t>Cox-naïve/unadjusted (</w:t>
            </w:r>
            <w:r w:rsidRPr="00217EA0">
              <w:rPr>
                <w:color w:val="auto"/>
                <w:lang w:val="en-AU"/>
              </w:rPr>
              <w:t>PFS-INV)</w:t>
            </w:r>
          </w:p>
        </w:tc>
        <w:tc>
          <w:tcPr>
            <w:tcW w:w="393" w:type="pct"/>
          </w:tcPr>
          <w:p w14:paraId="5F812B1E" w14:textId="77777777" w:rsidR="00AE6F3B" w:rsidRPr="00217EA0" w:rsidRDefault="00AE6F3B"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bidi="en-US"/>
              </w:rPr>
            </w:pPr>
            <w:r w:rsidRPr="00217EA0">
              <w:rPr>
                <w:color w:val="auto"/>
                <w:lang w:val="en-AU" w:bidi="en-US"/>
              </w:rPr>
              <w:t>0.38</w:t>
            </w:r>
          </w:p>
        </w:tc>
        <w:tc>
          <w:tcPr>
            <w:tcW w:w="518" w:type="pct"/>
          </w:tcPr>
          <w:p w14:paraId="795FFF3A" w14:textId="77777777" w:rsidR="00AE6F3B" w:rsidRPr="00217EA0" w:rsidRDefault="00AE6F3B"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bidi="en-US"/>
              </w:rPr>
            </w:pPr>
            <w:r w:rsidRPr="00217EA0">
              <w:rPr>
                <w:color w:val="auto"/>
                <w:lang w:val="en-AU" w:bidi="en-US"/>
              </w:rPr>
              <w:t>0.27–0.52; p&lt;0.0001</w:t>
            </w:r>
          </w:p>
        </w:tc>
        <w:tc>
          <w:tcPr>
            <w:tcW w:w="922" w:type="pct"/>
          </w:tcPr>
          <w:p w14:paraId="72CF5266" w14:textId="77777777" w:rsidR="00AE6F3B" w:rsidRPr="00217EA0" w:rsidRDefault="00AE6F3B"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proofErr w:type="spellStart"/>
            <w:r w:rsidRPr="00217EA0">
              <w:rPr>
                <w:color w:val="auto"/>
                <w:lang w:val="en-AU"/>
              </w:rPr>
              <w:t>Futibatinib</w:t>
            </w:r>
            <w:proofErr w:type="spellEnd"/>
            <w:r w:rsidRPr="00217EA0">
              <w:rPr>
                <w:color w:val="auto"/>
                <w:lang w:val="en-AU"/>
              </w:rPr>
              <w:t xml:space="preserve"> unadjusted (PFS-INV): 9.45</w:t>
            </w:r>
          </w:p>
          <w:p w14:paraId="1698F656" w14:textId="77777777" w:rsidR="00AE6F3B" w:rsidRPr="00217EA0" w:rsidRDefault="00AE6F3B"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FOLFOX+ASC: 5.32</w:t>
            </w:r>
          </w:p>
        </w:tc>
        <w:tc>
          <w:tcPr>
            <w:tcW w:w="941" w:type="pct"/>
          </w:tcPr>
          <w:p w14:paraId="052F0EA6" w14:textId="77777777" w:rsidR="00AE6F3B" w:rsidRPr="00217EA0" w:rsidRDefault="00AE6F3B"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4.14 (2.92–5.35); p&lt;0.0001</w:t>
            </w:r>
          </w:p>
        </w:tc>
        <w:tc>
          <w:tcPr>
            <w:tcW w:w="1350" w:type="pct"/>
            <w:vMerge/>
          </w:tcPr>
          <w:p w14:paraId="79519BC4" w14:textId="77777777" w:rsidR="00AE6F3B" w:rsidRPr="00217EA0" w:rsidRDefault="00AE6F3B"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bidi="en-US"/>
              </w:rPr>
            </w:pPr>
          </w:p>
        </w:tc>
      </w:tr>
      <w:tr w:rsidR="007900E9" w:rsidRPr="00217EA0" w14:paraId="7B187ADD" w14:textId="77777777" w:rsidTr="00FE3A7F">
        <w:trPr>
          <w:trHeight w:val="20"/>
        </w:trPr>
        <w:tc>
          <w:tcPr>
            <w:cnfStyle w:val="001000000000" w:firstRow="0" w:lastRow="0" w:firstColumn="1" w:lastColumn="0" w:oddVBand="0" w:evenVBand="0" w:oddHBand="0" w:evenHBand="0" w:firstRowFirstColumn="0" w:firstRowLastColumn="0" w:lastRowFirstColumn="0" w:lastRowLastColumn="0"/>
            <w:tcW w:w="1787" w:type="pct"/>
            <w:gridSpan w:val="3"/>
          </w:tcPr>
          <w:p w14:paraId="6814296D" w14:textId="77777777" w:rsidR="00AE6F3B" w:rsidRPr="00217EA0" w:rsidRDefault="00AE6F3B" w:rsidP="00FE3A7F">
            <w:pPr>
              <w:pStyle w:val="TableText"/>
              <w:keepNext/>
              <w:keepLines/>
              <w:rPr>
                <w:color w:val="auto"/>
                <w:lang w:val="en-AU" w:bidi="en-US"/>
              </w:rPr>
            </w:pPr>
            <w:r w:rsidRPr="00217EA0">
              <w:rPr>
                <w:color w:val="auto"/>
                <w:lang w:val="en-AU" w:bidi="en-US"/>
              </w:rPr>
              <w:t>Adjusted Cox MAIC model analyses</w:t>
            </w:r>
          </w:p>
        </w:tc>
        <w:tc>
          <w:tcPr>
            <w:tcW w:w="3213" w:type="pct"/>
            <w:gridSpan w:val="3"/>
          </w:tcPr>
          <w:p w14:paraId="68861675" w14:textId="77777777" w:rsidR="00AE6F3B" w:rsidRPr="00217EA0" w:rsidRDefault="00AE6F3B"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bidi="en-US"/>
              </w:rPr>
            </w:pPr>
          </w:p>
        </w:tc>
      </w:tr>
      <w:tr w:rsidR="007900E9" w:rsidRPr="00217EA0" w14:paraId="0EF932C7" w14:textId="77777777" w:rsidTr="00FE3A7F">
        <w:trPr>
          <w:trHeight w:val="20"/>
        </w:trPr>
        <w:tc>
          <w:tcPr>
            <w:cnfStyle w:val="001000000000" w:firstRow="0" w:lastRow="0" w:firstColumn="1" w:lastColumn="0" w:oddVBand="0" w:evenVBand="0" w:oddHBand="0" w:evenHBand="0" w:firstRowFirstColumn="0" w:firstRowLastColumn="0" w:lastRowFirstColumn="0" w:lastRowLastColumn="0"/>
            <w:tcW w:w="876" w:type="pct"/>
          </w:tcPr>
          <w:p w14:paraId="752E73DB" w14:textId="77777777" w:rsidR="00AE6F3B" w:rsidRPr="00217EA0" w:rsidRDefault="00AE6F3B" w:rsidP="00FE3A7F">
            <w:pPr>
              <w:pStyle w:val="TableText"/>
              <w:keepNext/>
              <w:keepLines/>
              <w:rPr>
                <w:color w:val="auto"/>
                <w:lang w:val="en-AU" w:bidi="en-US"/>
              </w:rPr>
            </w:pPr>
            <w:r w:rsidRPr="00217EA0">
              <w:rPr>
                <w:color w:val="auto"/>
                <w:lang w:val="en-AU" w:bidi="en-US"/>
              </w:rPr>
              <w:t>Base-case covariates (</w:t>
            </w:r>
            <w:r w:rsidRPr="00217EA0">
              <w:rPr>
                <w:color w:val="auto"/>
                <w:lang w:val="en-AU"/>
              </w:rPr>
              <w:t>PFS-IRC)</w:t>
            </w:r>
          </w:p>
        </w:tc>
        <w:tc>
          <w:tcPr>
            <w:tcW w:w="393" w:type="pct"/>
          </w:tcPr>
          <w:p w14:paraId="121F9744" w14:textId="77777777" w:rsidR="00AE6F3B" w:rsidRPr="00217EA0" w:rsidRDefault="00AE6F3B"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bidi="en-US"/>
              </w:rPr>
            </w:pPr>
            <w:r w:rsidRPr="00217EA0">
              <w:rPr>
                <w:color w:val="auto"/>
                <w:lang w:val="en-AU" w:bidi="en-US"/>
              </w:rPr>
              <w:t>0.30</w:t>
            </w:r>
          </w:p>
        </w:tc>
        <w:tc>
          <w:tcPr>
            <w:tcW w:w="518" w:type="pct"/>
          </w:tcPr>
          <w:p w14:paraId="60FAC52C" w14:textId="77777777" w:rsidR="00AE6F3B" w:rsidRPr="00217EA0" w:rsidRDefault="00AE6F3B"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bidi="en-US"/>
              </w:rPr>
            </w:pPr>
            <w:r w:rsidRPr="00217EA0">
              <w:rPr>
                <w:color w:val="auto"/>
                <w:lang w:val="en-AU" w:bidi="en-US"/>
              </w:rPr>
              <w:t>0.22–0.41; p&lt;0.0001</w:t>
            </w:r>
          </w:p>
        </w:tc>
        <w:tc>
          <w:tcPr>
            <w:tcW w:w="922" w:type="pct"/>
          </w:tcPr>
          <w:p w14:paraId="0F6B0F0A" w14:textId="77777777" w:rsidR="00AE6F3B" w:rsidRPr="00217EA0" w:rsidRDefault="00AE6F3B"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bidi="en-US"/>
              </w:rPr>
            </w:pPr>
            <w:proofErr w:type="spellStart"/>
            <w:r w:rsidRPr="00217EA0">
              <w:rPr>
                <w:color w:val="auto"/>
                <w:lang w:val="en-AU"/>
              </w:rPr>
              <w:t>Futibatinib</w:t>
            </w:r>
            <w:proofErr w:type="spellEnd"/>
            <w:r w:rsidRPr="00217EA0">
              <w:rPr>
                <w:color w:val="auto"/>
                <w:lang w:val="en-AU"/>
              </w:rPr>
              <w:t xml:space="preserve"> adjusted (PFS-IRC): 10.46</w:t>
            </w:r>
          </w:p>
        </w:tc>
        <w:tc>
          <w:tcPr>
            <w:tcW w:w="941" w:type="pct"/>
          </w:tcPr>
          <w:p w14:paraId="192CB53F" w14:textId="77777777" w:rsidR="00AE6F3B" w:rsidRPr="00217EA0" w:rsidRDefault="00AE6F3B"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bidi="en-US"/>
              </w:rPr>
            </w:pPr>
            <w:r w:rsidRPr="00217EA0">
              <w:rPr>
                <w:color w:val="auto"/>
                <w:lang w:val="en-AU"/>
              </w:rPr>
              <w:t>3.57 (2.55–4.64); p&lt;0.0001</w:t>
            </w:r>
          </w:p>
        </w:tc>
        <w:tc>
          <w:tcPr>
            <w:tcW w:w="1350" w:type="pct"/>
          </w:tcPr>
          <w:p w14:paraId="6331F7B8" w14:textId="77777777" w:rsidR="00AE6F3B" w:rsidRPr="00217EA0" w:rsidRDefault="00AE6F3B"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bidi="en-US"/>
              </w:rPr>
            </w:pPr>
            <w:r w:rsidRPr="00217EA0">
              <w:rPr>
                <w:color w:val="auto"/>
                <w:lang w:val="en-AU" w:bidi="en-US"/>
              </w:rPr>
              <w:t>Adjusted for age, gender, ECOG status, prior surgery, baseline hypoalbuminemia status</w:t>
            </w:r>
          </w:p>
        </w:tc>
      </w:tr>
      <w:tr w:rsidR="007900E9" w:rsidRPr="00217EA0" w14:paraId="3B2F6875" w14:textId="77777777" w:rsidTr="00FE3A7F">
        <w:trPr>
          <w:trHeight w:val="20"/>
        </w:trPr>
        <w:tc>
          <w:tcPr>
            <w:cnfStyle w:val="001000000000" w:firstRow="0" w:lastRow="0" w:firstColumn="1" w:lastColumn="0" w:oddVBand="0" w:evenVBand="0" w:oddHBand="0" w:evenHBand="0" w:firstRowFirstColumn="0" w:firstRowLastColumn="0" w:lastRowFirstColumn="0" w:lastRowLastColumn="0"/>
            <w:tcW w:w="876" w:type="pct"/>
          </w:tcPr>
          <w:p w14:paraId="091DA31C" w14:textId="77777777" w:rsidR="00AE6F3B" w:rsidRPr="00217EA0" w:rsidRDefault="00AE6F3B" w:rsidP="00FE3A7F">
            <w:pPr>
              <w:pStyle w:val="TableText"/>
              <w:keepNext/>
              <w:keepLines/>
              <w:rPr>
                <w:color w:val="auto"/>
                <w:lang w:val="en-AU" w:bidi="en-US"/>
              </w:rPr>
            </w:pPr>
            <w:r w:rsidRPr="00217EA0">
              <w:rPr>
                <w:color w:val="auto"/>
                <w:lang w:val="en-AU" w:bidi="en-US"/>
              </w:rPr>
              <w:t>Sensitivity covariates (</w:t>
            </w:r>
            <w:r w:rsidRPr="00217EA0">
              <w:rPr>
                <w:color w:val="auto"/>
                <w:lang w:val="en-AU"/>
              </w:rPr>
              <w:t>PFS-INV)</w:t>
            </w:r>
          </w:p>
        </w:tc>
        <w:tc>
          <w:tcPr>
            <w:tcW w:w="393" w:type="pct"/>
          </w:tcPr>
          <w:p w14:paraId="51072018" w14:textId="77777777" w:rsidR="00AE6F3B" w:rsidRPr="00217EA0" w:rsidRDefault="00AE6F3B"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bidi="en-US"/>
              </w:rPr>
            </w:pPr>
            <w:r w:rsidRPr="00217EA0">
              <w:rPr>
                <w:color w:val="auto"/>
                <w:lang w:val="en-AU" w:bidi="en-US"/>
              </w:rPr>
              <w:t>0.31</w:t>
            </w:r>
          </w:p>
        </w:tc>
        <w:tc>
          <w:tcPr>
            <w:tcW w:w="518" w:type="pct"/>
          </w:tcPr>
          <w:p w14:paraId="19671808" w14:textId="77777777" w:rsidR="00AE6F3B" w:rsidRPr="00217EA0" w:rsidRDefault="00AE6F3B"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bidi="en-US"/>
              </w:rPr>
            </w:pPr>
            <w:r w:rsidRPr="00217EA0">
              <w:rPr>
                <w:color w:val="auto"/>
                <w:lang w:val="en-AU" w:bidi="en-US"/>
              </w:rPr>
              <w:t>0.23–0.41; p&lt;0.0001</w:t>
            </w:r>
          </w:p>
        </w:tc>
        <w:tc>
          <w:tcPr>
            <w:tcW w:w="922" w:type="pct"/>
          </w:tcPr>
          <w:p w14:paraId="2311A02F" w14:textId="77777777" w:rsidR="00AE6F3B" w:rsidRPr="00217EA0" w:rsidRDefault="00AE6F3B"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bidi="en-US"/>
              </w:rPr>
            </w:pPr>
            <w:proofErr w:type="spellStart"/>
            <w:r w:rsidRPr="00217EA0">
              <w:rPr>
                <w:color w:val="auto"/>
                <w:lang w:val="en-AU"/>
              </w:rPr>
              <w:t>Futibatinib</w:t>
            </w:r>
            <w:proofErr w:type="spellEnd"/>
            <w:r w:rsidRPr="00217EA0">
              <w:rPr>
                <w:color w:val="auto"/>
                <w:lang w:val="en-AU"/>
              </w:rPr>
              <w:t xml:space="preserve"> adjusted (PFS-INV): 10.34</w:t>
            </w:r>
          </w:p>
        </w:tc>
        <w:tc>
          <w:tcPr>
            <w:tcW w:w="941" w:type="pct"/>
          </w:tcPr>
          <w:p w14:paraId="763AE42B" w14:textId="77777777" w:rsidR="00AE6F3B" w:rsidRPr="00217EA0" w:rsidRDefault="00AE6F3B"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bidi="en-US"/>
              </w:rPr>
            </w:pPr>
            <w:r w:rsidRPr="00217EA0">
              <w:rPr>
                <w:color w:val="auto"/>
                <w:lang w:val="en-AU"/>
              </w:rPr>
              <w:t>4.14 (3.27–5.08); p&lt;0.0001</w:t>
            </w:r>
          </w:p>
        </w:tc>
        <w:tc>
          <w:tcPr>
            <w:tcW w:w="1350" w:type="pct"/>
          </w:tcPr>
          <w:p w14:paraId="4C502F32" w14:textId="77777777" w:rsidR="00AE6F3B" w:rsidRPr="00217EA0" w:rsidRDefault="00AE6F3B" w:rsidP="00FE3A7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bidi="en-US"/>
              </w:rPr>
            </w:pPr>
            <w:r w:rsidRPr="00217EA0">
              <w:rPr>
                <w:color w:val="auto"/>
                <w:lang w:val="en-AU" w:bidi="en-US"/>
              </w:rPr>
              <w:t>Adjusted for age, gender, ECOG status, prior surgery, baseline hypoalbuminemia status</w:t>
            </w:r>
          </w:p>
        </w:tc>
      </w:tr>
    </w:tbl>
    <w:p w14:paraId="24C71B6F" w14:textId="77777777" w:rsidR="00AE6F3B" w:rsidRPr="00217EA0" w:rsidRDefault="00AE6F3B" w:rsidP="00AE6F3B">
      <w:pPr>
        <w:pStyle w:val="TableFooter"/>
        <w:keepNext/>
        <w:keepLines/>
      </w:pPr>
      <w:r w:rsidRPr="00217EA0">
        <w:t>Source: Table 2.62, p161 of the submission.</w:t>
      </w:r>
    </w:p>
    <w:p w14:paraId="05743D61" w14:textId="510CBCE9" w:rsidR="00AE6F3B" w:rsidRDefault="00AE6F3B" w:rsidP="00AE6F3B">
      <w:pPr>
        <w:pStyle w:val="TableFooter"/>
        <w:keepNext/>
        <w:keepLines/>
      </w:pPr>
      <w:r w:rsidRPr="00217EA0">
        <w:t xml:space="preserve">ASC = active symptom control; CI = confidence interval; ECOG = Eastern Cooperative Oncology Group; HR = hazard ratio; </w:t>
      </w:r>
      <w:r w:rsidR="00D063E1" w:rsidRPr="00217EA0">
        <w:t xml:space="preserve">INV = by investigator; IRC = by independent review committee; </w:t>
      </w:r>
      <w:r w:rsidRPr="00217EA0">
        <w:t xml:space="preserve">MAIC = matching-adjusted indirect comparison; PFS = progression-free survival; RMST = restricted mean survival time. </w:t>
      </w:r>
    </w:p>
    <w:p w14:paraId="3AECA601" w14:textId="6C9B0E1E" w:rsidR="00832CC4" w:rsidRPr="00832CC4" w:rsidRDefault="00832CC4" w:rsidP="00AE6F3B">
      <w:pPr>
        <w:pStyle w:val="TableFooter"/>
        <w:keepNext/>
        <w:keepLines/>
        <w:rPr>
          <w:rFonts w:eastAsiaTheme="minorEastAsia"/>
          <w:i/>
          <w:iCs/>
        </w:rPr>
      </w:pPr>
      <w:r w:rsidRPr="00832CC4">
        <w:rPr>
          <w:i/>
          <w:iCs/>
        </w:rPr>
        <w:t>Note that the results presented in Table 12 are derived from analyses conducted by the applicant for the purposes of informing the PBAC and MSAC consideration. Interpretation of the results and their application should therefore be limited to seeking to understand the basis for the PBAC and MSAC outcome and should not be used for any other purpose.</w:t>
      </w:r>
    </w:p>
    <w:p w14:paraId="576373B9" w14:textId="2C8F4A20" w:rsidR="00AE6F3B" w:rsidRPr="00217EA0" w:rsidRDefault="00AE6F3B" w:rsidP="00AE6F3B">
      <w:pPr>
        <w:pStyle w:val="ListParagraph"/>
        <w:rPr>
          <w:color w:val="auto"/>
        </w:rPr>
      </w:pPr>
      <w:r w:rsidRPr="00217EA0">
        <w:rPr>
          <w:color w:val="auto"/>
        </w:rPr>
        <w:fldChar w:fldCharType="begin"/>
      </w:r>
      <w:r w:rsidRPr="00217EA0">
        <w:rPr>
          <w:color w:val="auto"/>
        </w:rPr>
        <w:instrText xml:space="preserve"> REF _Ref184820461 \h </w:instrText>
      </w:r>
      <w:r w:rsidR="00EC070E" w:rsidRPr="00217EA0">
        <w:rPr>
          <w:color w:val="auto"/>
        </w:rPr>
        <w:instrText xml:space="preserve"> \* MERGEFORMAT </w:instrText>
      </w:r>
      <w:r w:rsidRPr="00217EA0">
        <w:rPr>
          <w:color w:val="auto"/>
        </w:rPr>
      </w:r>
      <w:r w:rsidRPr="00217EA0">
        <w:rPr>
          <w:color w:val="auto"/>
        </w:rPr>
        <w:fldChar w:fldCharType="separate"/>
      </w:r>
      <w:r w:rsidR="008378C4" w:rsidRPr="00217EA0">
        <w:t>Figure</w:t>
      </w:r>
      <w:r w:rsidR="008378C4">
        <w:t xml:space="preserve"> </w:t>
      </w:r>
      <w:r w:rsidR="008378C4">
        <w:rPr>
          <w:noProof/>
        </w:rPr>
        <w:t>1</w:t>
      </w:r>
      <w:r w:rsidRPr="00217EA0">
        <w:rPr>
          <w:color w:val="auto"/>
        </w:rPr>
        <w:fldChar w:fldCharType="end"/>
      </w:r>
      <w:r w:rsidRPr="00217EA0">
        <w:rPr>
          <w:color w:val="auto"/>
        </w:rPr>
        <w:t xml:space="preserve"> show</w:t>
      </w:r>
      <w:r w:rsidR="00C91080" w:rsidRPr="00217EA0">
        <w:rPr>
          <w:color w:val="auto"/>
        </w:rPr>
        <w:t>s</w:t>
      </w:r>
      <w:r w:rsidRPr="00217EA0">
        <w:rPr>
          <w:color w:val="auto"/>
        </w:rPr>
        <w:t xml:space="preserve"> the </w:t>
      </w:r>
      <w:r w:rsidR="000C70DD" w:rsidRPr="00217EA0">
        <w:rPr>
          <w:color w:val="auto"/>
        </w:rPr>
        <w:t>Kaplan-Mei</w:t>
      </w:r>
      <w:r w:rsidR="002C664A" w:rsidRPr="00217EA0">
        <w:rPr>
          <w:color w:val="auto"/>
        </w:rPr>
        <w:t>e</w:t>
      </w:r>
      <w:r w:rsidR="000C70DD" w:rsidRPr="00217EA0">
        <w:rPr>
          <w:color w:val="auto"/>
        </w:rPr>
        <w:t>r (</w:t>
      </w:r>
      <w:r w:rsidRPr="00217EA0">
        <w:rPr>
          <w:color w:val="auto"/>
        </w:rPr>
        <w:t>KM</w:t>
      </w:r>
      <w:r w:rsidR="000C70DD" w:rsidRPr="00217EA0">
        <w:rPr>
          <w:color w:val="auto"/>
        </w:rPr>
        <w:t>)</w:t>
      </w:r>
      <w:r w:rsidRPr="00217EA0">
        <w:rPr>
          <w:color w:val="auto"/>
        </w:rPr>
        <w:t xml:space="preserve"> plot </w:t>
      </w:r>
      <w:r w:rsidR="00D063E1" w:rsidRPr="00217EA0">
        <w:rPr>
          <w:color w:val="auto"/>
        </w:rPr>
        <w:t xml:space="preserve">of the MAIC </w:t>
      </w:r>
      <w:r w:rsidRPr="00217EA0">
        <w:rPr>
          <w:color w:val="auto"/>
        </w:rPr>
        <w:t xml:space="preserve">for adjusted and unadjusted PFS based on </w:t>
      </w:r>
      <w:r w:rsidR="00D063E1" w:rsidRPr="00217EA0">
        <w:rPr>
          <w:color w:val="auto"/>
        </w:rPr>
        <w:t xml:space="preserve">independent </w:t>
      </w:r>
      <w:r w:rsidRPr="00217EA0">
        <w:rPr>
          <w:color w:val="auto"/>
        </w:rPr>
        <w:t>review</w:t>
      </w:r>
      <w:r w:rsidR="00C91080" w:rsidRPr="00217EA0">
        <w:rPr>
          <w:color w:val="auto"/>
        </w:rPr>
        <w:t>.</w:t>
      </w:r>
      <w:r w:rsidRPr="00217EA0">
        <w:rPr>
          <w:color w:val="auto"/>
        </w:rPr>
        <w:t xml:space="preserve"> </w:t>
      </w:r>
      <w:bookmarkStart w:id="49" w:name="_Toc179153524"/>
      <w:bookmarkStart w:id="50" w:name="_Toc117781391"/>
      <w:r w:rsidR="00832CC4" w:rsidRPr="00832CC4">
        <w:rPr>
          <w:color w:val="auto"/>
          <w:vertAlign w:val="superscript"/>
        </w:rPr>
        <w:fldChar w:fldCharType="begin"/>
      </w:r>
      <w:r w:rsidR="00832CC4" w:rsidRPr="00832CC4">
        <w:rPr>
          <w:color w:val="auto"/>
          <w:vertAlign w:val="superscript"/>
        </w:rPr>
        <w:instrText xml:space="preserve"> NOTEREF _Ref200966453 \h </w:instrText>
      </w:r>
      <w:r w:rsidR="00832CC4">
        <w:rPr>
          <w:color w:val="auto"/>
          <w:vertAlign w:val="superscript"/>
        </w:rPr>
        <w:instrText xml:space="preserve"> \* MERGEFORMAT </w:instrText>
      </w:r>
      <w:r w:rsidR="00832CC4" w:rsidRPr="00832CC4">
        <w:rPr>
          <w:color w:val="auto"/>
          <w:vertAlign w:val="superscript"/>
        </w:rPr>
      </w:r>
      <w:r w:rsidR="00832CC4" w:rsidRPr="00832CC4">
        <w:rPr>
          <w:color w:val="auto"/>
          <w:vertAlign w:val="superscript"/>
        </w:rPr>
        <w:fldChar w:fldCharType="separate"/>
      </w:r>
      <w:r w:rsidR="008378C4">
        <w:rPr>
          <w:color w:val="auto"/>
          <w:vertAlign w:val="superscript"/>
        </w:rPr>
        <w:t>6</w:t>
      </w:r>
      <w:r w:rsidR="00832CC4" w:rsidRPr="00832CC4">
        <w:rPr>
          <w:color w:val="auto"/>
          <w:vertAlign w:val="superscript"/>
        </w:rPr>
        <w:fldChar w:fldCharType="end"/>
      </w:r>
    </w:p>
    <w:p w14:paraId="1D5B76F9" w14:textId="704C09EA" w:rsidR="00AE6F3B" w:rsidRPr="00217EA0" w:rsidRDefault="00AE6F3B" w:rsidP="00D063E1">
      <w:pPr>
        <w:pStyle w:val="TableFigureHeading"/>
        <w:keepLines/>
      </w:pPr>
      <w:bookmarkStart w:id="51" w:name="_Ref184820461"/>
      <w:r w:rsidRPr="00217EA0">
        <w:t>Figure</w:t>
      </w:r>
      <w:r w:rsidR="000D015C">
        <w:t xml:space="preserve"> </w:t>
      </w:r>
      <w:r w:rsidR="006A66A8">
        <w:fldChar w:fldCharType="begin"/>
      </w:r>
      <w:r w:rsidR="006A66A8">
        <w:instrText xml:space="preserve"> SEQ Figure_PBAC. \* ARABIC </w:instrText>
      </w:r>
      <w:r w:rsidR="006A66A8">
        <w:fldChar w:fldCharType="separate"/>
      </w:r>
      <w:r w:rsidR="008378C4">
        <w:rPr>
          <w:noProof/>
        </w:rPr>
        <w:t>1</w:t>
      </w:r>
      <w:r w:rsidR="006A66A8">
        <w:rPr>
          <w:noProof/>
        </w:rPr>
        <w:fldChar w:fldCharType="end"/>
      </w:r>
      <w:bookmarkEnd w:id="51"/>
      <w:r w:rsidRPr="00217EA0">
        <w:t xml:space="preserve">: KM plot of unadjusted and adjusted PFS-IRC for </w:t>
      </w:r>
      <w:proofErr w:type="spellStart"/>
      <w:r w:rsidRPr="00217EA0">
        <w:t>futibatinib</w:t>
      </w:r>
      <w:proofErr w:type="spellEnd"/>
      <w:r w:rsidRPr="00217EA0">
        <w:t xml:space="preserve"> and FOLFOX+ASC</w:t>
      </w:r>
      <w:bookmarkEnd w:id="49"/>
      <w:r w:rsidRPr="00217EA0">
        <w:t xml:space="preserve"> </w:t>
      </w:r>
      <w:bookmarkEnd w:id="50"/>
    </w:p>
    <w:p w14:paraId="58EFDE1C" w14:textId="77777777" w:rsidR="00AE6F3B" w:rsidRPr="00217EA0" w:rsidRDefault="00AE6F3B" w:rsidP="00751F71">
      <w:pPr>
        <w:keepNext/>
        <w:keepLines/>
        <w:spacing w:before="0" w:after="0"/>
      </w:pPr>
      <w:r w:rsidRPr="00217EA0">
        <w:rPr>
          <w:noProof/>
        </w:rPr>
        <w:drawing>
          <wp:inline distT="0" distB="0" distL="0" distR="0" wp14:anchorId="13A47D68" wp14:editId="6BABCBB6">
            <wp:extent cx="4371117" cy="2926080"/>
            <wp:effectExtent l="0" t="0" r="0" b="7620"/>
            <wp:docPr id="38" name="Picture 38" descr="Figure 1: KM plot of unadjusted and adjusted PFS-IRC for futibatinib and FOLFOX+AS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Figure 1: KM plot of unadjusted and adjusted PFS-IRC for futibatinib and FOLFOX+ASC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5297" cy="2948961"/>
                    </a:xfrm>
                    <a:prstGeom prst="rect">
                      <a:avLst/>
                    </a:prstGeom>
                    <a:noFill/>
                  </pic:spPr>
                </pic:pic>
              </a:graphicData>
            </a:graphic>
          </wp:inline>
        </w:drawing>
      </w:r>
    </w:p>
    <w:p w14:paraId="0528C618" w14:textId="77777777" w:rsidR="00AE6F3B" w:rsidRPr="00217EA0" w:rsidRDefault="00AE6F3B" w:rsidP="00D063E1">
      <w:pPr>
        <w:pStyle w:val="TableFooter"/>
        <w:keepNext/>
        <w:keepLines/>
      </w:pPr>
      <w:r w:rsidRPr="00217EA0">
        <w:t>Source: Figure 2.21, p160 of the submission.</w:t>
      </w:r>
    </w:p>
    <w:p w14:paraId="08444C1B" w14:textId="77777777" w:rsidR="00AE6F3B" w:rsidRPr="00217EA0" w:rsidRDefault="00AE6F3B" w:rsidP="00D063E1">
      <w:pPr>
        <w:pStyle w:val="TableFooter"/>
        <w:keepNext/>
        <w:keepLines/>
      </w:pPr>
      <w:r w:rsidRPr="00217EA0">
        <w:t>ASC = active symptom control; IRC = independent review committee assessed; KM = Kaplan–Meier; MAIC = matching-adjusted indirect comparison; FOLFOX = modified FOLFOX; PFS = progression-free survival.</w:t>
      </w:r>
    </w:p>
    <w:p w14:paraId="6A80FA62" w14:textId="6889BC16" w:rsidR="00832CC4" w:rsidRDefault="0071081B" w:rsidP="00751F71">
      <w:pPr>
        <w:pStyle w:val="TableFooter"/>
        <w:keepLines/>
      </w:pPr>
      <w:r w:rsidRPr="00217EA0">
        <w:t xml:space="preserve">Note: for a weighted estimate, the </w:t>
      </w:r>
      <w:r w:rsidR="007751B6" w:rsidRPr="00217EA0">
        <w:t>effective sample size (</w:t>
      </w:r>
      <w:r w:rsidRPr="00217EA0">
        <w:t>ESS</w:t>
      </w:r>
      <w:r w:rsidR="007751B6" w:rsidRPr="00217EA0">
        <w:t>)</w:t>
      </w:r>
      <w:r w:rsidRPr="00217EA0">
        <w:t xml:space="preserve"> is the number of independent non-weighted individuals that would be required to give an estimate with the same precision as the weighted sample estimate. The ESS is different to the number at risk at the start of a weighted KM plot for time-to-event outcomes, as the weighted number at risk is simply the sum of the weights.</w:t>
      </w:r>
    </w:p>
    <w:p w14:paraId="68DE0EF7" w14:textId="7A62413A" w:rsidR="0071081B" w:rsidRPr="00832CC4" w:rsidRDefault="00832CC4" w:rsidP="00832CC4">
      <w:pPr>
        <w:pStyle w:val="TableFooter"/>
        <w:keepNext/>
        <w:keepLines/>
        <w:rPr>
          <w:rFonts w:eastAsiaTheme="minorEastAsia"/>
          <w:i/>
          <w:iCs/>
        </w:rPr>
      </w:pPr>
      <w:r w:rsidRPr="00832CC4">
        <w:rPr>
          <w:i/>
          <w:iCs/>
        </w:rPr>
        <w:t xml:space="preserve">Note that the results presented in </w:t>
      </w:r>
      <w:r>
        <w:rPr>
          <w:i/>
          <w:iCs/>
        </w:rPr>
        <w:t>Figure 1</w:t>
      </w:r>
      <w:r w:rsidRPr="00832CC4">
        <w:rPr>
          <w:i/>
          <w:iCs/>
        </w:rPr>
        <w:t xml:space="preserve"> are derived from analyses conducted by the applicant for the purposes of informing the PBAC and MSAC consideration. Interpretation of the results and their application should therefore be limited to seeking to understand the basis for the PBAC and MSAC outcome and should not be used for any other purpose.</w:t>
      </w:r>
    </w:p>
    <w:p w14:paraId="661EBC0B" w14:textId="6156843F" w:rsidR="00AE6F3B" w:rsidRPr="00217EA0" w:rsidRDefault="0025112D" w:rsidP="2914E55D">
      <w:pPr>
        <w:pStyle w:val="ListParagraph"/>
        <w:rPr>
          <w:color w:val="auto"/>
        </w:rPr>
      </w:pPr>
      <w:bookmarkStart w:id="52" w:name="_Ref187795368"/>
      <w:bookmarkStart w:id="53" w:name="_Ref191023855"/>
      <w:r w:rsidRPr="00217EA0">
        <w:rPr>
          <w:color w:val="auto"/>
        </w:rPr>
        <w:t>The evaluation considered it</w:t>
      </w:r>
      <w:r w:rsidR="00AE6F3B" w:rsidRPr="00217EA0">
        <w:rPr>
          <w:color w:val="auto"/>
        </w:rPr>
        <w:t xml:space="preserve"> unclear why the </w:t>
      </w:r>
      <w:r w:rsidR="007124E6" w:rsidRPr="00217EA0">
        <w:rPr>
          <w:color w:val="auto"/>
        </w:rPr>
        <w:t xml:space="preserve">population </w:t>
      </w:r>
      <w:r w:rsidR="00AE6F3B" w:rsidRPr="00217EA0">
        <w:rPr>
          <w:color w:val="auto"/>
        </w:rPr>
        <w:t xml:space="preserve">adjusted </w:t>
      </w:r>
      <w:proofErr w:type="spellStart"/>
      <w:r w:rsidR="00AE6F3B" w:rsidRPr="00217EA0">
        <w:rPr>
          <w:color w:val="auto"/>
        </w:rPr>
        <w:t>futibatinib</w:t>
      </w:r>
      <w:proofErr w:type="spellEnd"/>
      <w:r w:rsidR="00AE6F3B" w:rsidRPr="00217EA0">
        <w:rPr>
          <w:color w:val="auto"/>
        </w:rPr>
        <w:t xml:space="preserve"> arm </w:t>
      </w:r>
      <w:r w:rsidR="007124E6" w:rsidRPr="00217EA0">
        <w:rPr>
          <w:color w:val="auto"/>
        </w:rPr>
        <w:t>(30.86% ECOG 0, mean/median age 65 years</w:t>
      </w:r>
      <w:r w:rsidR="0017383E" w:rsidRPr="00217EA0">
        <w:rPr>
          <w:color w:val="auto"/>
        </w:rPr>
        <w:t>, from Table 1 in PSCR</w:t>
      </w:r>
      <w:r w:rsidR="007124E6" w:rsidRPr="00217EA0">
        <w:rPr>
          <w:color w:val="auto"/>
        </w:rPr>
        <w:t xml:space="preserve">) </w:t>
      </w:r>
      <w:r w:rsidR="00D063E1" w:rsidRPr="00217EA0">
        <w:rPr>
          <w:color w:val="auto"/>
        </w:rPr>
        <w:t>had</w:t>
      </w:r>
      <w:r w:rsidR="00AE6F3B" w:rsidRPr="00217EA0">
        <w:rPr>
          <w:color w:val="auto"/>
        </w:rPr>
        <w:t xml:space="preserve"> better PFS </w:t>
      </w:r>
      <w:r w:rsidR="00D70D50" w:rsidRPr="00217EA0">
        <w:rPr>
          <w:color w:val="auto"/>
        </w:rPr>
        <w:t xml:space="preserve">and OS </w:t>
      </w:r>
      <w:r w:rsidR="00042255" w:rsidRPr="00217EA0">
        <w:rPr>
          <w:color w:val="auto"/>
        </w:rPr>
        <w:t xml:space="preserve">outcomes </w:t>
      </w:r>
      <w:r w:rsidR="00AE6F3B" w:rsidRPr="00217EA0">
        <w:rPr>
          <w:color w:val="auto"/>
        </w:rPr>
        <w:t xml:space="preserve">than the unadjusted </w:t>
      </w:r>
      <w:proofErr w:type="spellStart"/>
      <w:r w:rsidR="00AE6F3B" w:rsidRPr="00217EA0">
        <w:rPr>
          <w:color w:val="auto"/>
        </w:rPr>
        <w:t>futibatinib</w:t>
      </w:r>
      <w:proofErr w:type="spellEnd"/>
      <w:r w:rsidR="00AE6F3B" w:rsidRPr="00217EA0">
        <w:rPr>
          <w:color w:val="auto"/>
        </w:rPr>
        <w:t xml:space="preserve"> arm</w:t>
      </w:r>
      <w:r w:rsidR="00042255" w:rsidRPr="00217EA0">
        <w:rPr>
          <w:color w:val="auto"/>
        </w:rPr>
        <w:t xml:space="preserve"> (46.6% ECOG 0, mean/median age 55.7 years</w:t>
      </w:r>
      <w:r w:rsidR="002B3BFB" w:rsidRPr="00217EA0">
        <w:rPr>
          <w:color w:val="auto"/>
        </w:rPr>
        <w:t>, from Table 1 in PSCR</w:t>
      </w:r>
      <w:r w:rsidR="00042255" w:rsidRPr="00217EA0">
        <w:rPr>
          <w:color w:val="auto"/>
        </w:rPr>
        <w:t>)</w:t>
      </w:r>
      <w:r w:rsidR="00B25A99" w:rsidRPr="00217EA0">
        <w:rPr>
          <w:color w:val="auto"/>
        </w:rPr>
        <w:t>, given the poo</w:t>
      </w:r>
      <w:r w:rsidR="003B479A" w:rsidRPr="00217EA0">
        <w:rPr>
          <w:color w:val="auto"/>
        </w:rPr>
        <w:t>r</w:t>
      </w:r>
      <w:r w:rsidR="00033373" w:rsidRPr="00217EA0">
        <w:rPr>
          <w:color w:val="auto"/>
        </w:rPr>
        <w:t>e</w:t>
      </w:r>
      <w:r w:rsidR="00B25A99" w:rsidRPr="00217EA0">
        <w:rPr>
          <w:color w:val="auto"/>
        </w:rPr>
        <w:t xml:space="preserve">r </w:t>
      </w:r>
      <w:r w:rsidR="00033373" w:rsidRPr="00217EA0">
        <w:rPr>
          <w:color w:val="auto"/>
        </w:rPr>
        <w:t>performance status and older age in the adjusted population</w:t>
      </w:r>
      <w:r w:rsidR="009D07CA" w:rsidRPr="00217EA0">
        <w:rPr>
          <w:color w:val="auto"/>
        </w:rPr>
        <w:t>.</w:t>
      </w:r>
      <w:r w:rsidR="00DA7388" w:rsidRPr="00217EA0">
        <w:rPr>
          <w:color w:val="auto"/>
        </w:rPr>
        <w:t xml:space="preserve"> </w:t>
      </w:r>
      <w:r w:rsidR="00DD0BC4" w:rsidRPr="00217EA0">
        <w:rPr>
          <w:color w:val="auto"/>
        </w:rPr>
        <w:t xml:space="preserve">The ESC </w:t>
      </w:r>
      <w:r w:rsidR="007D1542" w:rsidRPr="00217EA0">
        <w:rPr>
          <w:color w:val="auto"/>
        </w:rPr>
        <w:t xml:space="preserve">agreed with the evaluation that it was unclear why </w:t>
      </w:r>
      <w:r w:rsidR="00816829" w:rsidRPr="00217EA0">
        <w:rPr>
          <w:color w:val="auto"/>
        </w:rPr>
        <w:t xml:space="preserve">the </w:t>
      </w:r>
      <w:r w:rsidR="007D1542" w:rsidRPr="00217EA0">
        <w:rPr>
          <w:color w:val="auto"/>
        </w:rPr>
        <w:t>adjustment</w:t>
      </w:r>
      <w:r w:rsidR="00816829" w:rsidRPr="00217EA0">
        <w:rPr>
          <w:color w:val="auto"/>
        </w:rPr>
        <w:t>s</w:t>
      </w:r>
      <w:r w:rsidR="007D1542" w:rsidRPr="00217EA0">
        <w:rPr>
          <w:color w:val="auto"/>
        </w:rPr>
        <w:t xml:space="preserve"> improved PFS and OS but</w:t>
      </w:r>
      <w:r w:rsidR="00DD0BC4" w:rsidRPr="00217EA0">
        <w:rPr>
          <w:color w:val="auto"/>
        </w:rPr>
        <w:t xml:space="preserve"> considered it possible that </w:t>
      </w:r>
      <w:r w:rsidR="003E5C46" w:rsidRPr="003E5C46">
        <w:rPr>
          <w:i/>
          <w:iCs/>
          <w:color w:val="auto"/>
        </w:rPr>
        <w:t>FGFR2</w:t>
      </w:r>
      <w:r w:rsidR="00DD0BC4" w:rsidRPr="00217EA0">
        <w:rPr>
          <w:color w:val="auto"/>
        </w:rPr>
        <w:t xml:space="preserve"> fusions or rearrangements may confer improved prognosis</w:t>
      </w:r>
      <w:r w:rsidR="007D1542" w:rsidRPr="00217EA0">
        <w:rPr>
          <w:color w:val="auto"/>
        </w:rPr>
        <w:t xml:space="preserve">. </w:t>
      </w:r>
      <w:bookmarkEnd w:id="52"/>
      <w:r w:rsidR="0095274B" w:rsidRPr="00217EA0">
        <w:rPr>
          <w:color w:val="auto"/>
        </w:rPr>
        <w:t>Th</w:t>
      </w:r>
      <w:r w:rsidR="00CC2E63" w:rsidRPr="00217EA0">
        <w:rPr>
          <w:color w:val="auto"/>
        </w:rPr>
        <w:t>e ESC</w:t>
      </w:r>
      <w:r w:rsidR="001156F5" w:rsidRPr="00217EA0">
        <w:rPr>
          <w:color w:val="auto"/>
        </w:rPr>
        <w:t>s</w:t>
      </w:r>
      <w:r w:rsidR="00CC2E63" w:rsidRPr="00217EA0">
        <w:rPr>
          <w:color w:val="auto"/>
        </w:rPr>
        <w:t xml:space="preserve"> also considered </w:t>
      </w:r>
      <w:r w:rsidR="00597A6D" w:rsidRPr="00217EA0">
        <w:rPr>
          <w:color w:val="auto"/>
        </w:rPr>
        <w:t>it</w:t>
      </w:r>
      <w:r w:rsidR="0095274B" w:rsidRPr="00217EA0">
        <w:rPr>
          <w:color w:val="auto"/>
        </w:rPr>
        <w:t xml:space="preserve"> may </w:t>
      </w:r>
      <w:r w:rsidR="00597A6D" w:rsidRPr="00217EA0">
        <w:rPr>
          <w:color w:val="auto"/>
        </w:rPr>
        <w:t>also</w:t>
      </w:r>
      <w:r w:rsidR="0095274B" w:rsidRPr="00217EA0">
        <w:rPr>
          <w:color w:val="auto"/>
        </w:rPr>
        <w:t xml:space="preserve"> be related to the high weights applied to a few patients in the MAIC (see paragraph </w:t>
      </w:r>
      <w:r w:rsidR="0095274B" w:rsidRPr="00217EA0">
        <w:rPr>
          <w:color w:val="auto"/>
        </w:rPr>
        <w:fldChar w:fldCharType="begin"/>
      </w:r>
      <w:r w:rsidR="0095274B" w:rsidRPr="00217EA0">
        <w:rPr>
          <w:color w:val="auto"/>
        </w:rPr>
        <w:instrText xml:space="preserve"> REF _Ref190265002 \r \h  \* MERGEFORMAT </w:instrText>
      </w:r>
      <w:r w:rsidR="0095274B" w:rsidRPr="00217EA0">
        <w:rPr>
          <w:color w:val="auto"/>
        </w:rPr>
      </w:r>
      <w:r w:rsidR="0095274B" w:rsidRPr="00217EA0">
        <w:rPr>
          <w:color w:val="auto"/>
        </w:rPr>
        <w:fldChar w:fldCharType="separate"/>
      </w:r>
      <w:r w:rsidR="008378C4">
        <w:rPr>
          <w:color w:val="auto"/>
        </w:rPr>
        <w:t>6.34</w:t>
      </w:r>
      <w:r w:rsidR="0095274B" w:rsidRPr="00217EA0">
        <w:rPr>
          <w:color w:val="auto"/>
        </w:rPr>
        <w:fldChar w:fldCharType="end"/>
      </w:r>
      <w:r w:rsidR="0095274B" w:rsidRPr="00217EA0">
        <w:rPr>
          <w:color w:val="auto"/>
        </w:rPr>
        <w:t>), and the reliability of the match</w:t>
      </w:r>
      <w:r w:rsidR="00B25A99" w:rsidRPr="00217EA0">
        <w:rPr>
          <w:color w:val="auto"/>
        </w:rPr>
        <w:t>ed</w:t>
      </w:r>
      <w:r w:rsidR="0095274B" w:rsidRPr="00217EA0">
        <w:rPr>
          <w:color w:val="auto"/>
        </w:rPr>
        <w:t xml:space="preserve"> adjustments may be questionable given the unexpected direction of PFS and OS shift post adjustment.</w:t>
      </w:r>
      <w:bookmarkEnd w:id="53"/>
      <w:r w:rsidR="0032564F">
        <w:rPr>
          <w:rStyle w:val="FootnoteReference"/>
          <w:color w:val="auto"/>
        </w:rPr>
        <w:footnoteReference w:id="8"/>
      </w:r>
    </w:p>
    <w:p w14:paraId="3A2A178D" w14:textId="5C1B46E3" w:rsidR="00AE6F3B" w:rsidRPr="00217EA0" w:rsidRDefault="00AE6F3B" w:rsidP="2914E55D">
      <w:pPr>
        <w:pStyle w:val="ListParagraph"/>
        <w:rPr>
          <w:color w:val="auto"/>
          <w:lang w:bidi="en-US"/>
        </w:rPr>
      </w:pPr>
      <w:r w:rsidRPr="00217EA0">
        <w:rPr>
          <w:color w:val="auto"/>
        </w:rPr>
        <w:fldChar w:fldCharType="begin"/>
      </w:r>
      <w:r w:rsidRPr="00217EA0">
        <w:rPr>
          <w:color w:val="auto"/>
        </w:rPr>
        <w:instrText xml:space="preserve"> REF _Ref184820643 \h </w:instrText>
      </w:r>
      <w:r w:rsidR="00D063E1" w:rsidRPr="00217EA0">
        <w:rPr>
          <w:color w:val="auto"/>
        </w:rPr>
        <w:instrText xml:space="preserve"> \* MERGEFORMAT </w:instrText>
      </w:r>
      <w:r w:rsidRPr="00217EA0">
        <w:rPr>
          <w:color w:val="auto"/>
        </w:rPr>
      </w:r>
      <w:r w:rsidRPr="00217EA0">
        <w:rPr>
          <w:color w:val="auto"/>
        </w:rPr>
        <w:fldChar w:fldCharType="separate"/>
      </w:r>
      <w:r w:rsidR="008378C4" w:rsidRPr="008378C4">
        <w:rPr>
          <w:color w:val="auto"/>
        </w:rPr>
        <w:t>Table 13</w:t>
      </w:r>
      <w:r w:rsidRPr="00217EA0">
        <w:rPr>
          <w:color w:val="auto"/>
        </w:rPr>
        <w:fldChar w:fldCharType="end"/>
      </w:r>
      <w:r w:rsidRPr="00217EA0">
        <w:rPr>
          <w:color w:val="auto"/>
        </w:rPr>
        <w:t xml:space="preserve"> presents the OS results of </w:t>
      </w:r>
      <w:proofErr w:type="spellStart"/>
      <w:r w:rsidRPr="00217EA0">
        <w:rPr>
          <w:color w:val="auto"/>
        </w:rPr>
        <w:t>futibatinib</w:t>
      </w:r>
      <w:proofErr w:type="spellEnd"/>
      <w:r w:rsidRPr="00217EA0">
        <w:rPr>
          <w:color w:val="auto"/>
        </w:rPr>
        <w:t xml:space="preserve"> versus FOLFOX</w:t>
      </w:r>
      <w:r w:rsidR="003935EA" w:rsidRPr="00217EA0">
        <w:rPr>
          <w:color w:val="auto"/>
        </w:rPr>
        <w:t>+ASC</w:t>
      </w:r>
      <w:r w:rsidRPr="00217EA0">
        <w:rPr>
          <w:color w:val="auto"/>
        </w:rPr>
        <w:t xml:space="preserve"> and </w:t>
      </w:r>
      <w:proofErr w:type="spellStart"/>
      <w:r w:rsidRPr="00217EA0">
        <w:rPr>
          <w:color w:val="auto"/>
        </w:rPr>
        <w:t>futibatinib</w:t>
      </w:r>
      <w:proofErr w:type="spellEnd"/>
      <w:r w:rsidRPr="00217EA0">
        <w:rPr>
          <w:color w:val="auto"/>
        </w:rPr>
        <w:t xml:space="preserve"> versus ASC from the unadjusted Cox model and covariate-adjusted MAIC analyses</w:t>
      </w:r>
      <w:r w:rsidR="0036367E" w:rsidRPr="00217EA0">
        <w:rPr>
          <w:color w:val="auto"/>
        </w:rPr>
        <w:t xml:space="preserve"> (adjusted</w:t>
      </w:r>
      <w:r w:rsidRPr="00217EA0">
        <w:rPr>
          <w:color w:val="auto"/>
        </w:rPr>
        <w:t xml:space="preserve"> for </w:t>
      </w:r>
      <w:r w:rsidR="0036367E" w:rsidRPr="00217EA0">
        <w:rPr>
          <w:color w:val="auto"/>
        </w:rPr>
        <w:t>covariates outlined</w:t>
      </w:r>
      <w:r w:rsidRPr="00217EA0">
        <w:rPr>
          <w:color w:val="auto"/>
        </w:rPr>
        <w:t xml:space="preserve"> in </w:t>
      </w:r>
      <w:r w:rsidR="0036367E" w:rsidRPr="00217EA0">
        <w:rPr>
          <w:color w:val="auto"/>
        </w:rPr>
        <w:t xml:space="preserve">paragraph </w:t>
      </w:r>
      <w:r w:rsidR="0036367E" w:rsidRPr="00217EA0">
        <w:rPr>
          <w:color w:val="auto"/>
        </w:rPr>
        <w:fldChar w:fldCharType="begin"/>
      </w:r>
      <w:r w:rsidR="0036367E" w:rsidRPr="00217EA0">
        <w:rPr>
          <w:color w:val="auto"/>
        </w:rPr>
        <w:instrText xml:space="preserve"> REF _Ref191024785 \r \h </w:instrText>
      </w:r>
      <w:r w:rsidR="00EC070E" w:rsidRPr="00217EA0">
        <w:rPr>
          <w:color w:val="auto"/>
        </w:rPr>
        <w:instrText xml:space="preserve"> \* MERGEFORMAT </w:instrText>
      </w:r>
      <w:r w:rsidR="0036367E" w:rsidRPr="00217EA0">
        <w:rPr>
          <w:color w:val="auto"/>
        </w:rPr>
      </w:r>
      <w:r w:rsidR="0036367E" w:rsidRPr="00217EA0">
        <w:rPr>
          <w:color w:val="auto"/>
        </w:rPr>
        <w:fldChar w:fldCharType="separate"/>
      </w:r>
      <w:r w:rsidR="008378C4">
        <w:rPr>
          <w:color w:val="auto"/>
        </w:rPr>
        <w:t>6.29</w:t>
      </w:r>
      <w:r w:rsidR="0036367E" w:rsidRPr="00217EA0">
        <w:rPr>
          <w:color w:val="auto"/>
        </w:rPr>
        <w:fldChar w:fldCharType="end"/>
      </w:r>
      <w:r w:rsidR="0036367E" w:rsidRPr="00217EA0">
        <w:rPr>
          <w:color w:val="auto"/>
        </w:rPr>
        <w:t>)</w:t>
      </w:r>
      <w:r w:rsidRPr="00217EA0">
        <w:rPr>
          <w:color w:val="auto"/>
        </w:rPr>
        <w:t>.</w:t>
      </w:r>
      <w:r w:rsidRPr="00217EA0">
        <w:rPr>
          <w:color w:val="auto"/>
          <w:lang w:bidi="en-US"/>
        </w:rPr>
        <w:t xml:space="preserve"> The submission considered that the MAIC base-case HR estimate shows a significantly reduced risk of death for </w:t>
      </w:r>
      <w:proofErr w:type="spellStart"/>
      <w:r w:rsidRPr="00217EA0">
        <w:rPr>
          <w:color w:val="auto"/>
          <w:lang w:bidi="en-US"/>
        </w:rPr>
        <w:t>futibatinib</w:t>
      </w:r>
      <w:proofErr w:type="spellEnd"/>
      <w:r w:rsidRPr="00217EA0">
        <w:rPr>
          <w:color w:val="auto"/>
          <w:lang w:bidi="en-US"/>
        </w:rPr>
        <w:t xml:space="preserve"> patients (HR: 0.24; 95% CI: 0.18–0.32). </w:t>
      </w:r>
      <w:bookmarkStart w:id="54" w:name="_Hlk177037361"/>
      <w:r w:rsidRPr="00217EA0">
        <w:rPr>
          <w:color w:val="auto"/>
          <w:lang w:bidi="en-US"/>
        </w:rPr>
        <w:t xml:space="preserve">The MAIC base-case HR estimate also indicated a significantly reduced risk of death for </w:t>
      </w:r>
      <w:proofErr w:type="spellStart"/>
      <w:r w:rsidRPr="00217EA0">
        <w:rPr>
          <w:color w:val="auto"/>
          <w:lang w:bidi="en-US"/>
        </w:rPr>
        <w:t>futibatinib</w:t>
      </w:r>
      <w:proofErr w:type="spellEnd"/>
      <w:r w:rsidRPr="00217EA0">
        <w:rPr>
          <w:color w:val="auto"/>
          <w:lang w:bidi="en-US"/>
        </w:rPr>
        <w:t xml:space="preserve"> patients versus ASC (HR: 0.18; 95% CI: 0.14–0.24, p&lt;0.0001).</w:t>
      </w:r>
      <w:bookmarkStart w:id="55" w:name="_Ref200966972"/>
      <w:r w:rsidR="0032564F">
        <w:rPr>
          <w:rStyle w:val="FootnoteReference"/>
          <w:color w:val="auto"/>
          <w:lang w:bidi="en-US"/>
        </w:rPr>
        <w:footnoteReference w:id="9"/>
      </w:r>
      <w:bookmarkEnd w:id="55"/>
      <w:r w:rsidRPr="00217EA0">
        <w:rPr>
          <w:color w:val="auto"/>
          <w:lang w:bidi="en-US"/>
        </w:rPr>
        <w:t xml:space="preserve"> </w:t>
      </w:r>
    </w:p>
    <w:bookmarkEnd w:id="54"/>
    <w:p w14:paraId="7BD654B6" w14:textId="1EB237EF" w:rsidR="00AE6F3B" w:rsidRPr="00217EA0" w:rsidRDefault="00AE6F3B" w:rsidP="2914E55D">
      <w:pPr>
        <w:pStyle w:val="ListParagraph"/>
        <w:rPr>
          <w:color w:val="auto"/>
          <w:lang w:bidi="en-US"/>
        </w:rPr>
      </w:pPr>
      <w:r w:rsidRPr="00217EA0">
        <w:rPr>
          <w:color w:val="auto"/>
          <w:lang w:bidi="en-US"/>
        </w:rPr>
        <w:t xml:space="preserve">Based on a visual assessment of the log-cumulative hazard plot and the Schoenfeld residuals, the </w:t>
      </w:r>
      <w:r w:rsidR="008629BA" w:rsidRPr="00217EA0">
        <w:rPr>
          <w:color w:val="auto"/>
          <w:lang w:bidi="en-US"/>
        </w:rPr>
        <w:t>submission stated that the proportional hazards</w:t>
      </w:r>
      <w:r w:rsidRPr="00217EA0">
        <w:rPr>
          <w:color w:val="auto"/>
          <w:lang w:bidi="en-US"/>
        </w:rPr>
        <w:t xml:space="preserve"> assumption holds in both comparisons. However, the decline in hazard with chemotherapy was quite steep and could be indicative of non-proportional hazard. Therefore, </w:t>
      </w:r>
      <w:r w:rsidR="009D06B2" w:rsidRPr="00217EA0">
        <w:rPr>
          <w:color w:val="auto"/>
        </w:rPr>
        <w:t>restricted mean survival time</w:t>
      </w:r>
      <w:r w:rsidR="009D06B2" w:rsidRPr="00217EA0">
        <w:rPr>
          <w:color w:val="auto"/>
          <w:lang w:bidi="en-US"/>
        </w:rPr>
        <w:t xml:space="preserve"> (RMST)</w:t>
      </w:r>
      <w:r w:rsidRPr="00217EA0">
        <w:rPr>
          <w:color w:val="auto"/>
          <w:lang w:bidi="en-US"/>
        </w:rPr>
        <w:t xml:space="preserve"> analyses were also conducted. Based on RMST calculation, </w:t>
      </w:r>
      <w:proofErr w:type="spellStart"/>
      <w:r w:rsidRPr="00217EA0">
        <w:rPr>
          <w:color w:val="auto"/>
          <w:lang w:bidi="en-US"/>
        </w:rPr>
        <w:t>futibatinib</w:t>
      </w:r>
      <w:proofErr w:type="spellEnd"/>
      <w:r w:rsidRPr="00217EA0">
        <w:rPr>
          <w:color w:val="auto"/>
          <w:lang w:bidi="en-US"/>
        </w:rPr>
        <w:t xml:space="preserve"> showed an incremental benefit in OS of </w:t>
      </w:r>
      <w:r w:rsidR="00656D9F" w:rsidRPr="00217EA0">
        <w:rPr>
          <w:color w:val="auto"/>
          <w:lang w:bidi="en-US"/>
        </w:rPr>
        <w:t>approximately</w:t>
      </w:r>
      <w:r w:rsidRPr="00217EA0">
        <w:rPr>
          <w:color w:val="auto"/>
          <w:lang w:bidi="en-US"/>
        </w:rPr>
        <w:t xml:space="preserve"> 10 months over chemotherapy in both adjusted and unadjusted analysis at up to 27.24 months </w:t>
      </w:r>
      <w:r w:rsidR="00A1754E" w:rsidRPr="00217EA0">
        <w:rPr>
          <w:color w:val="auto"/>
          <w:lang w:bidi="en-US"/>
        </w:rPr>
        <w:t xml:space="preserve">(the truncation time point of the RMST analysis) </w:t>
      </w:r>
      <w:r w:rsidRPr="00217EA0">
        <w:rPr>
          <w:color w:val="auto"/>
          <w:lang w:bidi="en-US"/>
        </w:rPr>
        <w:t xml:space="preserve">(p&lt;0.0001). </w:t>
      </w:r>
      <w:r w:rsidR="00C54BFA" w:rsidRPr="00C54BFA">
        <w:rPr>
          <w:color w:val="auto"/>
          <w:vertAlign w:val="superscript"/>
          <w:lang w:bidi="en-US"/>
        </w:rPr>
        <w:fldChar w:fldCharType="begin"/>
      </w:r>
      <w:r w:rsidR="00C54BFA" w:rsidRPr="00C54BFA">
        <w:rPr>
          <w:color w:val="auto"/>
          <w:vertAlign w:val="superscript"/>
          <w:lang w:bidi="en-US"/>
        </w:rPr>
        <w:instrText xml:space="preserve"> NOTEREF _Ref200966972 \h </w:instrText>
      </w:r>
      <w:r w:rsidR="00C54BFA">
        <w:rPr>
          <w:color w:val="auto"/>
          <w:vertAlign w:val="superscript"/>
          <w:lang w:bidi="en-US"/>
        </w:rPr>
        <w:instrText xml:space="preserve"> \* MERGEFORMAT </w:instrText>
      </w:r>
      <w:r w:rsidR="00C54BFA" w:rsidRPr="00C54BFA">
        <w:rPr>
          <w:color w:val="auto"/>
          <w:vertAlign w:val="superscript"/>
          <w:lang w:bidi="en-US"/>
        </w:rPr>
      </w:r>
      <w:r w:rsidR="00C54BFA" w:rsidRPr="00C54BFA">
        <w:rPr>
          <w:color w:val="auto"/>
          <w:vertAlign w:val="superscript"/>
          <w:lang w:bidi="en-US"/>
        </w:rPr>
        <w:fldChar w:fldCharType="separate"/>
      </w:r>
      <w:r w:rsidR="008378C4">
        <w:rPr>
          <w:color w:val="auto"/>
          <w:vertAlign w:val="superscript"/>
          <w:lang w:bidi="en-US"/>
        </w:rPr>
        <w:t>8</w:t>
      </w:r>
      <w:r w:rsidR="00C54BFA" w:rsidRPr="00C54BFA">
        <w:rPr>
          <w:color w:val="auto"/>
          <w:vertAlign w:val="superscript"/>
          <w:lang w:bidi="en-US"/>
        </w:rPr>
        <w:fldChar w:fldCharType="end"/>
      </w:r>
    </w:p>
    <w:p w14:paraId="6F936DEC" w14:textId="647F62A7" w:rsidR="00AE6F3B" w:rsidRPr="00217EA0" w:rsidRDefault="00AE6F3B" w:rsidP="2914E55D">
      <w:pPr>
        <w:pStyle w:val="ListParagraph"/>
        <w:rPr>
          <w:color w:val="auto"/>
          <w:lang w:bidi="en-US"/>
        </w:rPr>
      </w:pPr>
      <w:r w:rsidRPr="00217EA0">
        <w:rPr>
          <w:color w:val="auto"/>
          <w:lang w:bidi="en-US"/>
        </w:rPr>
        <w:t>In the submission’s RMST</w:t>
      </w:r>
      <w:r w:rsidR="009D06B2" w:rsidRPr="00217EA0">
        <w:rPr>
          <w:color w:val="auto"/>
          <w:lang w:bidi="en-US"/>
        </w:rPr>
        <w:t xml:space="preserve"> analysis</w:t>
      </w:r>
      <w:r w:rsidRPr="00217EA0">
        <w:rPr>
          <w:color w:val="auto"/>
          <w:lang w:bidi="en-US"/>
        </w:rPr>
        <w:t xml:space="preserve">, </w:t>
      </w:r>
      <w:proofErr w:type="spellStart"/>
      <w:r w:rsidRPr="00217EA0">
        <w:rPr>
          <w:color w:val="auto"/>
          <w:lang w:bidi="en-US"/>
        </w:rPr>
        <w:t>futibatinib</w:t>
      </w:r>
      <w:proofErr w:type="spellEnd"/>
      <w:r w:rsidRPr="00217EA0">
        <w:rPr>
          <w:color w:val="auto"/>
          <w:lang w:bidi="en-US"/>
        </w:rPr>
        <w:t xml:space="preserve"> showed an incremental benefit in OS of </w:t>
      </w:r>
      <w:r w:rsidR="00656D9F" w:rsidRPr="00217EA0">
        <w:rPr>
          <w:color w:val="auto"/>
          <w:lang w:bidi="en-US"/>
        </w:rPr>
        <w:t>approximately</w:t>
      </w:r>
      <w:r w:rsidRPr="00217EA0">
        <w:rPr>
          <w:color w:val="auto"/>
          <w:lang w:bidi="en-US"/>
        </w:rPr>
        <w:t xml:space="preserve"> 10 months over ASC in both adjusted and unadjusted analysis at up to 23.66 months</w:t>
      </w:r>
      <w:r w:rsidR="00940FBD" w:rsidRPr="00217EA0">
        <w:rPr>
          <w:color w:val="auto"/>
          <w:lang w:bidi="en-US"/>
        </w:rPr>
        <w:t xml:space="preserve"> (the truncation time point of the RMST analysis)</w:t>
      </w:r>
      <w:r w:rsidRPr="00217EA0">
        <w:rPr>
          <w:color w:val="auto"/>
          <w:lang w:bidi="en-US"/>
        </w:rPr>
        <w:t>,</w:t>
      </w:r>
      <w:r w:rsidR="00D063E1" w:rsidRPr="00217EA0">
        <w:rPr>
          <w:color w:val="auto"/>
          <w:lang w:bidi="en-US"/>
        </w:rPr>
        <w:t xml:space="preserve"> with a </w:t>
      </w:r>
      <w:r w:rsidRPr="00217EA0">
        <w:rPr>
          <w:color w:val="auto"/>
          <w:lang w:bidi="en-US"/>
        </w:rPr>
        <w:t>p</w:t>
      </w:r>
      <w:r w:rsidR="00D063E1" w:rsidRPr="00217EA0">
        <w:rPr>
          <w:color w:val="auto"/>
          <w:lang w:bidi="en-US"/>
        </w:rPr>
        <w:t xml:space="preserve"> value of </w:t>
      </w:r>
      <w:r w:rsidRPr="00217EA0">
        <w:rPr>
          <w:color w:val="auto"/>
          <w:lang w:bidi="en-US"/>
        </w:rPr>
        <w:t xml:space="preserve">&lt;0.0001. </w:t>
      </w:r>
      <w:r w:rsidR="00C54BFA" w:rsidRPr="00C54BFA">
        <w:rPr>
          <w:color w:val="auto"/>
          <w:vertAlign w:val="superscript"/>
          <w:lang w:bidi="en-US"/>
        </w:rPr>
        <w:fldChar w:fldCharType="begin"/>
      </w:r>
      <w:r w:rsidR="00C54BFA" w:rsidRPr="00C54BFA">
        <w:rPr>
          <w:color w:val="auto"/>
          <w:vertAlign w:val="superscript"/>
          <w:lang w:bidi="en-US"/>
        </w:rPr>
        <w:instrText xml:space="preserve"> NOTEREF _Ref200966972 \h </w:instrText>
      </w:r>
      <w:r w:rsidR="00C54BFA">
        <w:rPr>
          <w:color w:val="auto"/>
          <w:vertAlign w:val="superscript"/>
          <w:lang w:bidi="en-US"/>
        </w:rPr>
        <w:instrText xml:space="preserve"> \* MERGEFORMAT </w:instrText>
      </w:r>
      <w:r w:rsidR="00C54BFA" w:rsidRPr="00C54BFA">
        <w:rPr>
          <w:color w:val="auto"/>
          <w:vertAlign w:val="superscript"/>
          <w:lang w:bidi="en-US"/>
        </w:rPr>
      </w:r>
      <w:r w:rsidR="00C54BFA" w:rsidRPr="00C54BFA">
        <w:rPr>
          <w:color w:val="auto"/>
          <w:vertAlign w:val="superscript"/>
          <w:lang w:bidi="en-US"/>
        </w:rPr>
        <w:fldChar w:fldCharType="separate"/>
      </w:r>
      <w:r w:rsidR="008378C4">
        <w:rPr>
          <w:color w:val="auto"/>
          <w:vertAlign w:val="superscript"/>
          <w:lang w:bidi="en-US"/>
        </w:rPr>
        <w:t>8</w:t>
      </w:r>
      <w:r w:rsidR="00C54BFA" w:rsidRPr="00C54BFA">
        <w:rPr>
          <w:color w:val="auto"/>
          <w:vertAlign w:val="superscript"/>
          <w:lang w:bidi="en-US"/>
        </w:rPr>
        <w:fldChar w:fldCharType="end"/>
      </w:r>
    </w:p>
    <w:p w14:paraId="1D1E64BB" w14:textId="37F49A71" w:rsidR="007878AD" w:rsidRPr="00217EA0" w:rsidRDefault="004F74E6" w:rsidP="00C54BFA">
      <w:pPr>
        <w:pStyle w:val="TableFigureHeading"/>
        <w:keepLines/>
      </w:pPr>
      <w:bookmarkStart w:id="56" w:name="_Ref184820643"/>
      <w:r w:rsidRPr="00217EA0">
        <w:t>Table</w:t>
      </w:r>
      <w:r w:rsidR="00DD4998">
        <w:t xml:space="preserve"> </w:t>
      </w:r>
      <w:r w:rsidR="006A66A8">
        <w:fldChar w:fldCharType="begin"/>
      </w:r>
      <w:r w:rsidR="006A66A8">
        <w:instrText xml:space="preserve"> SEQ Table_PBAC. \* ARABIC </w:instrText>
      </w:r>
      <w:r w:rsidR="006A66A8">
        <w:fldChar w:fldCharType="separate"/>
      </w:r>
      <w:r w:rsidR="008378C4">
        <w:rPr>
          <w:noProof/>
        </w:rPr>
        <w:t>13</w:t>
      </w:r>
      <w:r w:rsidR="006A66A8">
        <w:rPr>
          <w:noProof/>
        </w:rPr>
        <w:fldChar w:fldCharType="end"/>
      </w:r>
      <w:bookmarkEnd w:id="56"/>
      <w:r w:rsidR="000D015C">
        <w:rPr>
          <w:noProof/>
        </w:rPr>
        <w:t xml:space="preserve">: </w:t>
      </w:r>
      <w:r w:rsidR="007878AD" w:rsidRPr="00217EA0">
        <w:t xml:space="preserve">Unadjusted and adjusted OS model results: </w:t>
      </w:r>
      <w:proofErr w:type="spellStart"/>
      <w:r w:rsidR="007878AD" w:rsidRPr="00217EA0">
        <w:t>Futibatinib</w:t>
      </w:r>
      <w:proofErr w:type="spellEnd"/>
      <w:r w:rsidR="007878AD" w:rsidRPr="00217EA0">
        <w:t xml:space="preserve"> vs FOLFOX+ASC </w:t>
      </w:r>
    </w:p>
    <w:tbl>
      <w:tblPr>
        <w:tblStyle w:val="ASDTable1"/>
        <w:tblW w:w="5000" w:type="pct"/>
        <w:tblCellMar>
          <w:left w:w="29" w:type="dxa"/>
          <w:right w:w="29" w:type="dxa"/>
        </w:tblCellMar>
        <w:tblLook w:val="04A0" w:firstRow="1" w:lastRow="0" w:firstColumn="1" w:lastColumn="0" w:noHBand="0" w:noVBand="1"/>
        <w:tblCaption w:val="Table 13: Unadjusted and adjusted OS model results: Futibatinib vs FOLFOX+ASC "/>
      </w:tblPr>
      <w:tblGrid>
        <w:gridCol w:w="1308"/>
        <w:gridCol w:w="733"/>
        <w:gridCol w:w="785"/>
        <w:gridCol w:w="2438"/>
        <w:gridCol w:w="1414"/>
        <w:gridCol w:w="2338"/>
      </w:tblGrid>
      <w:tr w:rsidR="007900E9" w:rsidRPr="00217EA0" w14:paraId="4D762B8D" w14:textId="77777777" w:rsidTr="2914E55D">
        <w:trPr>
          <w:trHeight w:val="588"/>
        </w:trPr>
        <w:tc>
          <w:tcPr>
            <w:tcW w:w="725" w:type="pct"/>
            <w:vAlign w:val="center"/>
          </w:tcPr>
          <w:p w14:paraId="320B2C6E" w14:textId="77777777" w:rsidR="007878AD" w:rsidRPr="00217EA0" w:rsidRDefault="007878AD" w:rsidP="00C54BFA">
            <w:pPr>
              <w:pStyle w:val="TableText"/>
              <w:keepNext/>
              <w:keepLines/>
              <w:rPr>
                <w:b/>
                <w:bCs/>
                <w:lang w:bidi="en-US"/>
              </w:rPr>
            </w:pPr>
            <w:r w:rsidRPr="00217EA0">
              <w:rPr>
                <w:b/>
                <w:bCs/>
                <w:lang w:bidi="en-US"/>
              </w:rPr>
              <w:t>Model</w:t>
            </w:r>
          </w:p>
        </w:tc>
        <w:tc>
          <w:tcPr>
            <w:tcW w:w="470" w:type="pct"/>
            <w:vAlign w:val="center"/>
          </w:tcPr>
          <w:p w14:paraId="71B45146" w14:textId="77777777" w:rsidR="007878AD" w:rsidRPr="00217EA0" w:rsidRDefault="007878AD" w:rsidP="00C54BFA">
            <w:pPr>
              <w:pStyle w:val="TableText"/>
              <w:keepNext/>
              <w:keepLines/>
              <w:jc w:val="center"/>
              <w:rPr>
                <w:b/>
                <w:bCs/>
                <w:lang w:bidi="en-US"/>
              </w:rPr>
            </w:pPr>
            <w:r w:rsidRPr="00217EA0">
              <w:rPr>
                <w:b/>
                <w:bCs/>
                <w:lang w:bidi="en-US"/>
              </w:rPr>
              <w:t>HR for OS</w:t>
            </w:r>
          </w:p>
        </w:tc>
        <w:tc>
          <w:tcPr>
            <w:tcW w:w="499" w:type="pct"/>
            <w:vAlign w:val="center"/>
          </w:tcPr>
          <w:p w14:paraId="2D9ED80D" w14:textId="77777777" w:rsidR="007878AD" w:rsidRPr="00217EA0" w:rsidRDefault="007878AD" w:rsidP="00C54BFA">
            <w:pPr>
              <w:pStyle w:val="TableText"/>
              <w:keepNext/>
              <w:keepLines/>
              <w:jc w:val="center"/>
              <w:rPr>
                <w:b/>
                <w:bCs/>
                <w:lang w:bidi="en-US"/>
              </w:rPr>
            </w:pPr>
            <w:r w:rsidRPr="00217EA0">
              <w:rPr>
                <w:b/>
                <w:bCs/>
                <w:lang w:bidi="en-US"/>
              </w:rPr>
              <w:t xml:space="preserve">95% CI; </w:t>
            </w:r>
            <w:r w:rsidRPr="00217EA0">
              <w:rPr>
                <w:b/>
                <w:bCs/>
                <w:lang w:bidi="en-US"/>
              </w:rPr>
              <w:br/>
              <w:t>p value</w:t>
            </w:r>
          </w:p>
        </w:tc>
        <w:tc>
          <w:tcPr>
            <w:tcW w:w="1098" w:type="pct"/>
            <w:vAlign w:val="center"/>
          </w:tcPr>
          <w:p w14:paraId="41D33AAC" w14:textId="77777777" w:rsidR="007878AD" w:rsidRPr="00217EA0" w:rsidRDefault="007878AD" w:rsidP="00C54BFA">
            <w:pPr>
              <w:pStyle w:val="TableText"/>
              <w:keepNext/>
              <w:keepLines/>
              <w:jc w:val="center"/>
              <w:rPr>
                <w:b/>
                <w:bCs/>
                <w:lang w:bidi="en-US"/>
              </w:rPr>
            </w:pPr>
            <w:r w:rsidRPr="00217EA0">
              <w:rPr>
                <w:b/>
                <w:bCs/>
                <w:lang w:bidi="en-US"/>
              </w:rPr>
              <w:t>RMST (months) for OS</w:t>
            </w:r>
          </w:p>
        </w:tc>
        <w:tc>
          <w:tcPr>
            <w:tcW w:w="848" w:type="pct"/>
            <w:vAlign w:val="center"/>
          </w:tcPr>
          <w:p w14:paraId="5F7EAB0E" w14:textId="77777777" w:rsidR="007878AD" w:rsidRPr="00217EA0" w:rsidRDefault="007878AD" w:rsidP="00C54BFA">
            <w:pPr>
              <w:pStyle w:val="TableText"/>
              <w:keepNext/>
              <w:keepLines/>
              <w:jc w:val="center"/>
              <w:rPr>
                <w:b/>
                <w:bCs/>
              </w:rPr>
            </w:pPr>
            <w:r w:rsidRPr="00217EA0">
              <w:rPr>
                <w:b/>
                <w:bCs/>
              </w:rPr>
              <w:t>RMST difference (months) for OS</w:t>
            </w:r>
          </w:p>
          <w:p w14:paraId="1975185F" w14:textId="77777777" w:rsidR="007878AD" w:rsidRPr="00217EA0" w:rsidRDefault="007878AD" w:rsidP="00C54BFA">
            <w:pPr>
              <w:pStyle w:val="TableText"/>
              <w:keepNext/>
              <w:keepLines/>
              <w:jc w:val="center"/>
              <w:rPr>
                <w:b/>
                <w:bCs/>
              </w:rPr>
            </w:pPr>
            <w:r w:rsidRPr="00217EA0">
              <w:rPr>
                <w:b/>
                <w:bCs/>
              </w:rPr>
              <w:t>(95% CI; p value)</w:t>
            </w:r>
          </w:p>
        </w:tc>
        <w:tc>
          <w:tcPr>
            <w:tcW w:w="1359" w:type="pct"/>
            <w:vAlign w:val="center"/>
          </w:tcPr>
          <w:p w14:paraId="3C34B7A6" w14:textId="77777777" w:rsidR="007878AD" w:rsidRPr="00217EA0" w:rsidRDefault="007878AD" w:rsidP="00C54BFA">
            <w:pPr>
              <w:pStyle w:val="TableText"/>
              <w:keepNext/>
              <w:keepLines/>
              <w:jc w:val="center"/>
              <w:rPr>
                <w:b/>
                <w:bCs/>
                <w:lang w:bidi="en-US"/>
              </w:rPr>
            </w:pPr>
            <w:r w:rsidRPr="00217EA0">
              <w:rPr>
                <w:b/>
                <w:bCs/>
                <w:lang w:bidi="en-US"/>
              </w:rPr>
              <w:t>Notes</w:t>
            </w:r>
          </w:p>
        </w:tc>
      </w:tr>
      <w:tr w:rsidR="007900E9" w:rsidRPr="00217EA0" w14:paraId="2946A5EC" w14:textId="77777777" w:rsidTr="2914E55D">
        <w:trPr>
          <w:trHeight w:val="90"/>
        </w:trPr>
        <w:tc>
          <w:tcPr>
            <w:tcW w:w="5000" w:type="pct"/>
            <w:gridSpan w:val="6"/>
            <w:vAlign w:val="center"/>
          </w:tcPr>
          <w:p w14:paraId="4971AEAB" w14:textId="2012A621" w:rsidR="007878AD" w:rsidRPr="00217EA0" w:rsidRDefault="007878AD" w:rsidP="00C54BFA">
            <w:pPr>
              <w:pStyle w:val="TableText"/>
              <w:keepNext/>
              <w:keepLines/>
              <w:rPr>
                <w:b/>
                <w:bCs/>
                <w:lang w:bidi="en-US"/>
              </w:rPr>
            </w:pPr>
            <w:proofErr w:type="spellStart"/>
            <w:r w:rsidRPr="00217EA0">
              <w:rPr>
                <w:b/>
                <w:bCs/>
                <w:lang w:bidi="en-US"/>
              </w:rPr>
              <w:t>Futibatinib</w:t>
            </w:r>
            <w:proofErr w:type="spellEnd"/>
            <w:r w:rsidRPr="00217EA0">
              <w:rPr>
                <w:b/>
                <w:bCs/>
                <w:lang w:bidi="en-US"/>
              </w:rPr>
              <w:t xml:space="preserve"> versus ASC+FOLFOX</w:t>
            </w:r>
          </w:p>
        </w:tc>
      </w:tr>
      <w:tr w:rsidR="007900E9" w:rsidRPr="00217EA0" w14:paraId="3DDCB53A" w14:textId="77777777" w:rsidTr="2914E55D">
        <w:trPr>
          <w:trHeight w:val="588"/>
        </w:trPr>
        <w:tc>
          <w:tcPr>
            <w:tcW w:w="725" w:type="pct"/>
            <w:vAlign w:val="center"/>
          </w:tcPr>
          <w:p w14:paraId="1658135F" w14:textId="77777777" w:rsidR="007878AD" w:rsidRPr="00217EA0" w:rsidRDefault="007878AD" w:rsidP="00C54BFA">
            <w:pPr>
              <w:pStyle w:val="TableText"/>
              <w:keepNext/>
              <w:keepLines/>
              <w:rPr>
                <w:lang w:bidi="en-US"/>
              </w:rPr>
            </w:pPr>
            <w:r w:rsidRPr="00217EA0">
              <w:rPr>
                <w:lang w:bidi="en-US"/>
              </w:rPr>
              <w:t xml:space="preserve">Cox-naïve/unadjusted </w:t>
            </w:r>
          </w:p>
        </w:tc>
        <w:tc>
          <w:tcPr>
            <w:tcW w:w="470" w:type="pct"/>
            <w:vAlign w:val="center"/>
          </w:tcPr>
          <w:p w14:paraId="4BEBE5AC" w14:textId="77777777" w:rsidR="007878AD" w:rsidRPr="00217EA0" w:rsidRDefault="007878AD" w:rsidP="00C54BFA">
            <w:pPr>
              <w:pStyle w:val="TableText"/>
              <w:keepNext/>
              <w:keepLines/>
              <w:jc w:val="center"/>
              <w:rPr>
                <w:lang w:bidi="en-US"/>
              </w:rPr>
            </w:pPr>
            <w:r w:rsidRPr="00217EA0">
              <w:rPr>
                <w:lang w:bidi="en-US"/>
              </w:rPr>
              <w:t>0.26</w:t>
            </w:r>
          </w:p>
        </w:tc>
        <w:tc>
          <w:tcPr>
            <w:tcW w:w="499" w:type="pct"/>
            <w:vAlign w:val="center"/>
          </w:tcPr>
          <w:p w14:paraId="33D6E03C" w14:textId="77777777" w:rsidR="007878AD" w:rsidRPr="00217EA0" w:rsidRDefault="007878AD" w:rsidP="00C54BFA">
            <w:pPr>
              <w:pStyle w:val="TableText"/>
              <w:keepNext/>
              <w:keepLines/>
              <w:jc w:val="center"/>
              <w:rPr>
                <w:lang w:bidi="en-US"/>
              </w:rPr>
            </w:pPr>
            <w:r w:rsidRPr="00217EA0">
              <w:rPr>
                <w:lang w:bidi="en-US"/>
              </w:rPr>
              <w:t>0.18–0.37; p&lt;0.0001</w:t>
            </w:r>
          </w:p>
        </w:tc>
        <w:tc>
          <w:tcPr>
            <w:tcW w:w="1098" w:type="pct"/>
            <w:vAlign w:val="center"/>
          </w:tcPr>
          <w:p w14:paraId="55653516" w14:textId="02D62BDD" w:rsidR="007878AD" w:rsidRPr="00217EA0" w:rsidRDefault="007878AD" w:rsidP="00C54BFA">
            <w:pPr>
              <w:pStyle w:val="TableText"/>
              <w:keepNext/>
              <w:keepLines/>
              <w:jc w:val="center"/>
            </w:pPr>
            <w:proofErr w:type="spellStart"/>
            <w:r w:rsidRPr="00217EA0">
              <w:t>Futibatinib</w:t>
            </w:r>
            <w:proofErr w:type="spellEnd"/>
            <w:r w:rsidRPr="00217EA0">
              <w:t xml:space="preserve"> unadjusted:18.41</w:t>
            </w:r>
          </w:p>
          <w:p w14:paraId="26B27E49" w14:textId="77777777" w:rsidR="007878AD" w:rsidRPr="00217EA0" w:rsidRDefault="007878AD" w:rsidP="00C54BFA">
            <w:pPr>
              <w:pStyle w:val="TableText"/>
              <w:keepNext/>
              <w:keepLines/>
              <w:jc w:val="center"/>
            </w:pPr>
            <w:r w:rsidRPr="00217EA0">
              <w:t>FOLFOX+ASC: 8.46</w:t>
            </w:r>
          </w:p>
        </w:tc>
        <w:tc>
          <w:tcPr>
            <w:tcW w:w="848" w:type="pct"/>
            <w:vAlign w:val="center"/>
          </w:tcPr>
          <w:p w14:paraId="28A38293" w14:textId="77777777" w:rsidR="007878AD" w:rsidRPr="00217EA0" w:rsidRDefault="007878AD" w:rsidP="00C54BFA">
            <w:pPr>
              <w:pStyle w:val="TableText"/>
              <w:keepNext/>
              <w:keepLines/>
              <w:jc w:val="center"/>
            </w:pPr>
            <w:r w:rsidRPr="00217EA0">
              <w:t>9.95 (7.70, 12.20); p&lt;0.0001</w:t>
            </w:r>
          </w:p>
        </w:tc>
        <w:tc>
          <w:tcPr>
            <w:tcW w:w="1359" w:type="pct"/>
            <w:vAlign w:val="center"/>
          </w:tcPr>
          <w:p w14:paraId="23D502E4" w14:textId="77777777" w:rsidR="007878AD" w:rsidRPr="00217EA0" w:rsidRDefault="007878AD" w:rsidP="00C54BFA">
            <w:pPr>
              <w:pStyle w:val="TableText"/>
              <w:keepNext/>
              <w:keepLines/>
              <w:jc w:val="center"/>
              <w:rPr>
                <w:lang w:bidi="en-US"/>
              </w:rPr>
            </w:pPr>
            <w:r w:rsidRPr="00217EA0">
              <w:rPr>
                <w:lang w:bidi="en-US"/>
              </w:rPr>
              <w:t>No covariate adjustment</w:t>
            </w:r>
          </w:p>
        </w:tc>
      </w:tr>
      <w:tr w:rsidR="007900E9" w:rsidRPr="00217EA0" w14:paraId="32D761EA" w14:textId="77777777" w:rsidTr="2914E55D">
        <w:trPr>
          <w:trHeight w:val="90"/>
        </w:trPr>
        <w:tc>
          <w:tcPr>
            <w:tcW w:w="5000" w:type="pct"/>
            <w:gridSpan w:val="6"/>
            <w:vAlign w:val="center"/>
          </w:tcPr>
          <w:p w14:paraId="57214816" w14:textId="77777777" w:rsidR="007878AD" w:rsidRPr="00217EA0" w:rsidRDefault="007878AD" w:rsidP="00C54BFA">
            <w:pPr>
              <w:pStyle w:val="TableText"/>
              <w:keepNext/>
              <w:keepLines/>
              <w:rPr>
                <w:lang w:bidi="en-US"/>
              </w:rPr>
            </w:pPr>
            <w:r w:rsidRPr="00217EA0">
              <w:rPr>
                <w:lang w:bidi="en-US"/>
              </w:rPr>
              <w:t>Adjusted Cox MAIC model analyses</w:t>
            </w:r>
          </w:p>
        </w:tc>
      </w:tr>
      <w:tr w:rsidR="007900E9" w:rsidRPr="00217EA0" w14:paraId="12875246" w14:textId="77777777" w:rsidTr="2914E55D">
        <w:trPr>
          <w:trHeight w:val="588"/>
        </w:trPr>
        <w:tc>
          <w:tcPr>
            <w:tcW w:w="725" w:type="pct"/>
            <w:vAlign w:val="center"/>
          </w:tcPr>
          <w:p w14:paraId="0BD41365" w14:textId="77777777" w:rsidR="007878AD" w:rsidRPr="00217EA0" w:rsidRDefault="007878AD" w:rsidP="00C54BFA">
            <w:pPr>
              <w:pStyle w:val="TableText"/>
              <w:keepNext/>
              <w:keepLines/>
              <w:rPr>
                <w:lang w:bidi="en-US"/>
              </w:rPr>
            </w:pPr>
            <w:r w:rsidRPr="00217EA0">
              <w:rPr>
                <w:lang w:bidi="en-US"/>
              </w:rPr>
              <w:t>Base-case covariates</w:t>
            </w:r>
          </w:p>
        </w:tc>
        <w:tc>
          <w:tcPr>
            <w:tcW w:w="470" w:type="pct"/>
            <w:vAlign w:val="center"/>
          </w:tcPr>
          <w:p w14:paraId="61F8C4CF" w14:textId="77777777" w:rsidR="007878AD" w:rsidRPr="00217EA0" w:rsidRDefault="007878AD" w:rsidP="00C54BFA">
            <w:pPr>
              <w:pStyle w:val="TableText"/>
              <w:keepNext/>
              <w:keepLines/>
              <w:jc w:val="center"/>
              <w:rPr>
                <w:lang w:bidi="en-US"/>
              </w:rPr>
            </w:pPr>
            <w:r w:rsidRPr="00217EA0">
              <w:rPr>
                <w:lang w:bidi="en-US"/>
              </w:rPr>
              <w:t>0.24</w:t>
            </w:r>
          </w:p>
        </w:tc>
        <w:tc>
          <w:tcPr>
            <w:tcW w:w="499" w:type="pct"/>
            <w:vAlign w:val="center"/>
          </w:tcPr>
          <w:p w14:paraId="1FA31F1B" w14:textId="77777777" w:rsidR="007878AD" w:rsidRPr="00217EA0" w:rsidRDefault="007878AD" w:rsidP="00C54BFA">
            <w:pPr>
              <w:pStyle w:val="TableText"/>
              <w:keepNext/>
              <w:keepLines/>
              <w:jc w:val="center"/>
              <w:rPr>
                <w:lang w:bidi="en-US"/>
              </w:rPr>
            </w:pPr>
            <w:r w:rsidRPr="00217EA0">
              <w:rPr>
                <w:lang w:bidi="en-US"/>
              </w:rPr>
              <w:t>0.18–0.32; p&lt;0.0001</w:t>
            </w:r>
          </w:p>
        </w:tc>
        <w:tc>
          <w:tcPr>
            <w:tcW w:w="1098" w:type="pct"/>
            <w:vAlign w:val="center"/>
          </w:tcPr>
          <w:p w14:paraId="4FED037C" w14:textId="17B715B1" w:rsidR="007878AD" w:rsidRPr="00217EA0" w:rsidRDefault="007878AD" w:rsidP="00C54BFA">
            <w:pPr>
              <w:pStyle w:val="TableText"/>
              <w:keepNext/>
              <w:keepLines/>
              <w:jc w:val="center"/>
            </w:pPr>
            <w:proofErr w:type="spellStart"/>
            <w:r w:rsidRPr="00217EA0">
              <w:t>Futibatinib</w:t>
            </w:r>
            <w:proofErr w:type="spellEnd"/>
            <w:r w:rsidRPr="00217EA0">
              <w:t xml:space="preserve"> adjusted:19.33</w:t>
            </w:r>
          </w:p>
        </w:tc>
        <w:tc>
          <w:tcPr>
            <w:tcW w:w="848" w:type="pct"/>
            <w:vAlign w:val="center"/>
          </w:tcPr>
          <w:p w14:paraId="52AB7A1F" w14:textId="77777777" w:rsidR="007878AD" w:rsidRPr="00217EA0" w:rsidRDefault="007878AD" w:rsidP="00C54BFA">
            <w:pPr>
              <w:pStyle w:val="TableText"/>
              <w:keepNext/>
              <w:keepLines/>
              <w:jc w:val="center"/>
            </w:pPr>
            <w:r w:rsidRPr="00217EA0">
              <w:t>9.85 (8.12, 11.54); p&lt;0.0001</w:t>
            </w:r>
          </w:p>
        </w:tc>
        <w:tc>
          <w:tcPr>
            <w:tcW w:w="1359" w:type="pct"/>
            <w:vAlign w:val="center"/>
          </w:tcPr>
          <w:p w14:paraId="1778DB72" w14:textId="77777777" w:rsidR="007878AD" w:rsidRPr="00217EA0" w:rsidRDefault="007878AD" w:rsidP="00C54BFA">
            <w:pPr>
              <w:pStyle w:val="TableText"/>
              <w:keepNext/>
              <w:keepLines/>
              <w:jc w:val="center"/>
              <w:rPr>
                <w:lang w:bidi="en-US"/>
              </w:rPr>
            </w:pPr>
            <w:r w:rsidRPr="00217EA0">
              <w:rPr>
                <w:lang w:bidi="en-US"/>
              </w:rPr>
              <w:t>Adjusted for age, gender, ECOG status, prior surgery, baseline hypoalbuminemia status</w:t>
            </w:r>
          </w:p>
        </w:tc>
      </w:tr>
      <w:tr w:rsidR="007900E9" w:rsidRPr="00217EA0" w14:paraId="0676DD18" w14:textId="77777777" w:rsidTr="2914E55D">
        <w:trPr>
          <w:trHeight w:val="90"/>
        </w:trPr>
        <w:tc>
          <w:tcPr>
            <w:tcW w:w="5000" w:type="pct"/>
            <w:gridSpan w:val="6"/>
            <w:vAlign w:val="center"/>
          </w:tcPr>
          <w:p w14:paraId="6C6C0132" w14:textId="67F2C86E" w:rsidR="007878AD" w:rsidRPr="00217EA0" w:rsidRDefault="007878AD" w:rsidP="00C54BFA">
            <w:pPr>
              <w:pStyle w:val="TableText"/>
              <w:keepNext/>
              <w:keepLines/>
              <w:rPr>
                <w:b/>
                <w:bCs/>
              </w:rPr>
            </w:pPr>
            <w:proofErr w:type="spellStart"/>
            <w:r w:rsidRPr="00217EA0">
              <w:rPr>
                <w:b/>
                <w:bCs/>
              </w:rPr>
              <w:t>Futibatinib</w:t>
            </w:r>
            <w:proofErr w:type="spellEnd"/>
            <w:r w:rsidRPr="00217EA0">
              <w:rPr>
                <w:b/>
                <w:bCs/>
              </w:rPr>
              <w:t xml:space="preserve"> versus ASC</w:t>
            </w:r>
          </w:p>
        </w:tc>
      </w:tr>
      <w:tr w:rsidR="007900E9" w:rsidRPr="00217EA0" w14:paraId="0ACAB75A" w14:textId="77777777" w:rsidTr="2914E55D">
        <w:trPr>
          <w:trHeight w:val="588"/>
        </w:trPr>
        <w:tc>
          <w:tcPr>
            <w:tcW w:w="725" w:type="pct"/>
            <w:vAlign w:val="center"/>
          </w:tcPr>
          <w:p w14:paraId="190C93D9" w14:textId="77777777" w:rsidR="007878AD" w:rsidRPr="00217EA0" w:rsidRDefault="007878AD" w:rsidP="00C54BFA">
            <w:pPr>
              <w:pStyle w:val="TableText"/>
              <w:keepNext/>
              <w:keepLines/>
              <w:rPr>
                <w:lang w:bidi="en-US"/>
              </w:rPr>
            </w:pPr>
            <w:r w:rsidRPr="00217EA0">
              <w:t xml:space="preserve">Cox-naïve/unadjusted </w:t>
            </w:r>
          </w:p>
        </w:tc>
        <w:tc>
          <w:tcPr>
            <w:tcW w:w="470" w:type="pct"/>
            <w:vAlign w:val="center"/>
          </w:tcPr>
          <w:p w14:paraId="1290B32B" w14:textId="77777777" w:rsidR="007878AD" w:rsidRPr="00217EA0" w:rsidRDefault="007878AD" w:rsidP="00C54BFA">
            <w:pPr>
              <w:pStyle w:val="TableText"/>
              <w:keepNext/>
              <w:keepLines/>
              <w:jc w:val="center"/>
              <w:rPr>
                <w:lang w:bidi="en-US"/>
              </w:rPr>
            </w:pPr>
            <w:r w:rsidRPr="00217EA0">
              <w:rPr>
                <w:lang w:eastAsia="en-GB"/>
              </w:rPr>
              <w:t>0.20</w:t>
            </w:r>
          </w:p>
        </w:tc>
        <w:tc>
          <w:tcPr>
            <w:tcW w:w="499" w:type="pct"/>
            <w:vAlign w:val="center"/>
          </w:tcPr>
          <w:p w14:paraId="54362919" w14:textId="77777777" w:rsidR="007878AD" w:rsidRPr="00217EA0" w:rsidRDefault="007878AD" w:rsidP="00C54BFA">
            <w:pPr>
              <w:pStyle w:val="TableText"/>
              <w:keepNext/>
              <w:keepLines/>
              <w:jc w:val="center"/>
              <w:rPr>
                <w:lang w:bidi="en-US"/>
              </w:rPr>
            </w:pPr>
            <w:r w:rsidRPr="00217EA0">
              <w:rPr>
                <w:lang w:eastAsia="en-GB"/>
              </w:rPr>
              <w:t>0.14–0.29; p&lt;0.0001</w:t>
            </w:r>
          </w:p>
        </w:tc>
        <w:tc>
          <w:tcPr>
            <w:tcW w:w="1098" w:type="pct"/>
            <w:vAlign w:val="center"/>
          </w:tcPr>
          <w:p w14:paraId="3CD391ED" w14:textId="5933BD96" w:rsidR="007878AD" w:rsidRPr="00217EA0" w:rsidRDefault="007878AD" w:rsidP="00C54BFA">
            <w:pPr>
              <w:pStyle w:val="TableText"/>
              <w:keepNext/>
              <w:keepLines/>
              <w:jc w:val="center"/>
              <w:rPr>
                <w:lang w:eastAsia="en-GB"/>
              </w:rPr>
            </w:pPr>
            <w:proofErr w:type="spellStart"/>
            <w:r w:rsidRPr="00217EA0">
              <w:rPr>
                <w:lang w:eastAsia="en-GB"/>
              </w:rPr>
              <w:t>Futibatinib</w:t>
            </w:r>
            <w:proofErr w:type="spellEnd"/>
            <w:r w:rsidRPr="00217EA0">
              <w:rPr>
                <w:lang w:eastAsia="en-GB"/>
              </w:rPr>
              <w:t xml:space="preserve"> unadjusted:18.41Chemotherapy: 8.46</w:t>
            </w:r>
          </w:p>
        </w:tc>
        <w:tc>
          <w:tcPr>
            <w:tcW w:w="848" w:type="pct"/>
            <w:vAlign w:val="center"/>
          </w:tcPr>
          <w:p w14:paraId="1B9215E1" w14:textId="77777777" w:rsidR="007878AD" w:rsidRPr="00217EA0" w:rsidRDefault="007878AD" w:rsidP="00C54BFA">
            <w:pPr>
              <w:pStyle w:val="TableText"/>
              <w:keepNext/>
              <w:keepLines/>
              <w:jc w:val="center"/>
            </w:pPr>
            <w:r w:rsidRPr="00217EA0">
              <w:rPr>
                <w:lang w:eastAsia="en-GB"/>
              </w:rPr>
              <w:t>10.38 (8.50–12.27); p&lt;0.0001</w:t>
            </w:r>
          </w:p>
        </w:tc>
        <w:tc>
          <w:tcPr>
            <w:tcW w:w="1359" w:type="pct"/>
            <w:vAlign w:val="center"/>
          </w:tcPr>
          <w:p w14:paraId="4E5E17FA" w14:textId="77777777" w:rsidR="007878AD" w:rsidRPr="00217EA0" w:rsidRDefault="007878AD" w:rsidP="00C54BFA">
            <w:pPr>
              <w:pStyle w:val="TableText"/>
              <w:keepNext/>
              <w:keepLines/>
              <w:jc w:val="center"/>
              <w:rPr>
                <w:lang w:bidi="en-US"/>
              </w:rPr>
            </w:pPr>
            <w:r w:rsidRPr="00217EA0">
              <w:rPr>
                <w:lang w:eastAsia="en-GB"/>
              </w:rPr>
              <w:t>No covariate adjustment</w:t>
            </w:r>
          </w:p>
        </w:tc>
      </w:tr>
      <w:tr w:rsidR="007900E9" w:rsidRPr="00217EA0" w14:paraId="02B0A083" w14:textId="77777777" w:rsidTr="2914E55D">
        <w:trPr>
          <w:trHeight w:val="90"/>
        </w:trPr>
        <w:tc>
          <w:tcPr>
            <w:tcW w:w="5000" w:type="pct"/>
            <w:gridSpan w:val="6"/>
            <w:vAlign w:val="center"/>
          </w:tcPr>
          <w:p w14:paraId="1DE8AFE5" w14:textId="77777777" w:rsidR="007878AD" w:rsidRPr="00217EA0" w:rsidRDefault="007878AD" w:rsidP="00C54BFA">
            <w:pPr>
              <w:pStyle w:val="TableText"/>
              <w:keepNext/>
              <w:keepLines/>
              <w:rPr>
                <w:lang w:bidi="en-US"/>
              </w:rPr>
            </w:pPr>
            <w:r w:rsidRPr="00217EA0">
              <w:t>Adjusted Cox MAIC model analyses</w:t>
            </w:r>
          </w:p>
        </w:tc>
      </w:tr>
      <w:tr w:rsidR="007900E9" w:rsidRPr="00217EA0" w14:paraId="55D65EA4" w14:textId="77777777" w:rsidTr="2914E55D">
        <w:trPr>
          <w:trHeight w:val="588"/>
        </w:trPr>
        <w:tc>
          <w:tcPr>
            <w:tcW w:w="725" w:type="pct"/>
            <w:vAlign w:val="center"/>
          </w:tcPr>
          <w:p w14:paraId="4D0A7D88" w14:textId="77777777" w:rsidR="007878AD" w:rsidRPr="00217EA0" w:rsidRDefault="007878AD" w:rsidP="00C54BFA">
            <w:pPr>
              <w:pStyle w:val="TableText"/>
              <w:keepNext/>
              <w:keepLines/>
              <w:rPr>
                <w:lang w:bidi="en-US"/>
              </w:rPr>
            </w:pPr>
            <w:r w:rsidRPr="00217EA0">
              <w:rPr>
                <w:rFonts w:hAnsi="Arial" w:cs="Arial"/>
                <w:kern w:val="24"/>
              </w:rPr>
              <w:t>Base-case covariates</w:t>
            </w:r>
          </w:p>
        </w:tc>
        <w:tc>
          <w:tcPr>
            <w:tcW w:w="470" w:type="pct"/>
            <w:vAlign w:val="center"/>
          </w:tcPr>
          <w:p w14:paraId="267EB03D" w14:textId="77777777" w:rsidR="007878AD" w:rsidRPr="00217EA0" w:rsidRDefault="007878AD" w:rsidP="00C54BFA">
            <w:pPr>
              <w:pStyle w:val="TableText"/>
              <w:keepNext/>
              <w:keepLines/>
              <w:jc w:val="center"/>
              <w:rPr>
                <w:lang w:bidi="en-US"/>
              </w:rPr>
            </w:pPr>
            <w:r w:rsidRPr="00217EA0">
              <w:rPr>
                <w:rFonts w:hAnsi="Arial" w:cs="Arial"/>
                <w:kern w:val="24"/>
              </w:rPr>
              <w:t>0.18</w:t>
            </w:r>
          </w:p>
        </w:tc>
        <w:tc>
          <w:tcPr>
            <w:tcW w:w="499" w:type="pct"/>
            <w:vAlign w:val="center"/>
          </w:tcPr>
          <w:p w14:paraId="653BD8DE" w14:textId="77777777" w:rsidR="007878AD" w:rsidRPr="00217EA0" w:rsidRDefault="007878AD" w:rsidP="00C54BFA">
            <w:pPr>
              <w:pStyle w:val="TableText"/>
              <w:keepNext/>
              <w:keepLines/>
              <w:jc w:val="center"/>
              <w:rPr>
                <w:lang w:bidi="en-US"/>
              </w:rPr>
            </w:pPr>
            <w:r w:rsidRPr="00217EA0">
              <w:rPr>
                <w:rFonts w:hAnsi="Arial" w:cs="Arial"/>
                <w:kern w:val="24"/>
              </w:rPr>
              <w:t>0.14</w:t>
            </w:r>
            <w:r w:rsidRPr="00217EA0">
              <w:rPr>
                <w:lang w:eastAsia="en-GB"/>
              </w:rPr>
              <w:t>–0.24; p&lt;0.0001</w:t>
            </w:r>
          </w:p>
        </w:tc>
        <w:tc>
          <w:tcPr>
            <w:tcW w:w="1098" w:type="pct"/>
            <w:vAlign w:val="center"/>
          </w:tcPr>
          <w:p w14:paraId="43FBAC24" w14:textId="411B4B1B" w:rsidR="007878AD" w:rsidRPr="00217EA0" w:rsidRDefault="007878AD" w:rsidP="00C54BFA">
            <w:pPr>
              <w:pStyle w:val="TableText"/>
              <w:keepNext/>
              <w:keepLines/>
              <w:jc w:val="center"/>
            </w:pPr>
            <w:proofErr w:type="spellStart"/>
            <w:r w:rsidRPr="00217EA0">
              <w:t>Futibatinib</w:t>
            </w:r>
            <w:proofErr w:type="spellEnd"/>
            <w:r w:rsidRPr="00217EA0">
              <w:t xml:space="preserve"> adjusted:19.33</w:t>
            </w:r>
          </w:p>
        </w:tc>
        <w:tc>
          <w:tcPr>
            <w:tcW w:w="848" w:type="pct"/>
            <w:vAlign w:val="center"/>
          </w:tcPr>
          <w:p w14:paraId="2907C5B5" w14:textId="77777777" w:rsidR="007878AD" w:rsidRPr="00217EA0" w:rsidRDefault="007878AD" w:rsidP="00C54BFA">
            <w:pPr>
              <w:pStyle w:val="TableText"/>
              <w:keepNext/>
              <w:keepLines/>
              <w:jc w:val="center"/>
            </w:pPr>
            <w:r w:rsidRPr="00217EA0">
              <w:t>10.39 (8.90–11.74); p&lt;0.0001</w:t>
            </w:r>
          </w:p>
        </w:tc>
        <w:tc>
          <w:tcPr>
            <w:tcW w:w="1359" w:type="pct"/>
            <w:vAlign w:val="center"/>
          </w:tcPr>
          <w:p w14:paraId="2A38886C" w14:textId="77777777" w:rsidR="007878AD" w:rsidRPr="00217EA0" w:rsidRDefault="007878AD" w:rsidP="00C54BFA">
            <w:pPr>
              <w:pStyle w:val="TableText"/>
              <w:keepNext/>
              <w:keepLines/>
              <w:jc w:val="center"/>
              <w:rPr>
                <w:lang w:bidi="en-US"/>
              </w:rPr>
            </w:pPr>
            <w:r w:rsidRPr="00217EA0">
              <w:t>Adjusted for age, gender, ECOG status, prior lines, prior surgery, baseline hypoalbuminemia status</w:t>
            </w:r>
          </w:p>
        </w:tc>
      </w:tr>
    </w:tbl>
    <w:p w14:paraId="1BF99764" w14:textId="77777777" w:rsidR="007878AD" w:rsidRPr="00217EA0" w:rsidRDefault="007878AD" w:rsidP="00C54BFA">
      <w:pPr>
        <w:pStyle w:val="TableFooter"/>
        <w:keepNext/>
        <w:keepLines/>
      </w:pPr>
      <w:r w:rsidRPr="00217EA0">
        <w:t>Source: Table 2.64, p163 of the submission.</w:t>
      </w:r>
    </w:p>
    <w:p w14:paraId="51319AB0" w14:textId="6980488D" w:rsidR="007878AD" w:rsidRDefault="007878AD" w:rsidP="00C54BFA">
      <w:pPr>
        <w:pStyle w:val="TableFooter"/>
        <w:keepNext/>
        <w:keepLines/>
      </w:pPr>
      <w:r w:rsidRPr="00217EA0">
        <w:t>ASC = active symptom control; CI = confidence interval; ECOG = Eastern Cooperative Oncology Group; HR = hazard ratio; IPD = individual patient data; MAIC = matching-adjusted indirect comparison; FOLFOX = modified FOLFOX; OS = overall survival; RMST = restricted mean survival time</w:t>
      </w:r>
    </w:p>
    <w:p w14:paraId="586186C2" w14:textId="231C85F9" w:rsidR="00832CC4" w:rsidRPr="00217EA0" w:rsidRDefault="00832CC4" w:rsidP="000D015C">
      <w:pPr>
        <w:pStyle w:val="TableFooter"/>
        <w:keepLines/>
        <w:rPr>
          <w:rFonts w:eastAsiaTheme="minorEastAsia"/>
        </w:rPr>
      </w:pPr>
      <w:r w:rsidRPr="00832CC4">
        <w:rPr>
          <w:i/>
          <w:iCs/>
        </w:rPr>
        <w:t xml:space="preserve">Note that the results presented in </w:t>
      </w:r>
      <w:r>
        <w:rPr>
          <w:i/>
          <w:iCs/>
        </w:rPr>
        <w:t>Table 13</w:t>
      </w:r>
      <w:r w:rsidRPr="00832CC4">
        <w:rPr>
          <w:i/>
          <w:iCs/>
        </w:rPr>
        <w:t xml:space="preserve"> are derived from analyses conducted by the applicant for the purposes of informing the PBAC and MSAC consideration. Interpretation of the results and their application should therefore be limited to seeking to understand the basis for the PBAC and MSAC outcome and should not be used for any other purpose</w:t>
      </w:r>
    </w:p>
    <w:p w14:paraId="77083716" w14:textId="1CD61308" w:rsidR="007878AD" w:rsidRPr="00217EA0" w:rsidRDefault="00AE6F3B" w:rsidP="2914E55D">
      <w:pPr>
        <w:pStyle w:val="ListParagraph"/>
        <w:rPr>
          <w:color w:val="auto"/>
        </w:rPr>
      </w:pPr>
      <w:r w:rsidRPr="00217EA0">
        <w:rPr>
          <w:color w:val="auto"/>
          <w:lang w:bidi="en-US"/>
        </w:rPr>
        <w:fldChar w:fldCharType="begin"/>
      </w:r>
      <w:r w:rsidRPr="00217EA0">
        <w:rPr>
          <w:color w:val="auto"/>
          <w:lang w:bidi="en-US"/>
        </w:rPr>
        <w:instrText xml:space="preserve"> REF _Ref184324010 \h </w:instrText>
      </w:r>
      <w:r w:rsidR="00D063E1" w:rsidRPr="00217EA0">
        <w:rPr>
          <w:color w:val="auto"/>
          <w:lang w:bidi="en-US"/>
        </w:rPr>
        <w:instrText xml:space="preserve"> \* MERGEFORMAT </w:instrText>
      </w:r>
      <w:r w:rsidRPr="00217EA0">
        <w:rPr>
          <w:color w:val="auto"/>
          <w:lang w:bidi="en-US"/>
        </w:rPr>
      </w:r>
      <w:r w:rsidRPr="00217EA0">
        <w:rPr>
          <w:color w:val="auto"/>
          <w:lang w:bidi="en-US"/>
        </w:rPr>
        <w:fldChar w:fldCharType="separate"/>
      </w:r>
      <w:r w:rsidR="008378C4" w:rsidRPr="008378C4">
        <w:rPr>
          <w:color w:val="auto"/>
          <w:lang w:bidi="en-US"/>
        </w:rPr>
        <w:t>Figure</w:t>
      </w:r>
      <w:r w:rsidR="008378C4">
        <w:t xml:space="preserve"> </w:t>
      </w:r>
      <w:r w:rsidR="008378C4">
        <w:rPr>
          <w:noProof/>
        </w:rPr>
        <w:t>2</w:t>
      </w:r>
      <w:r w:rsidRPr="00217EA0">
        <w:rPr>
          <w:color w:val="auto"/>
        </w:rPr>
        <w:fldChar w:fldCharType="end"/>
      </w:r>
      <w:r w:rsidRPr="00217EA0">
        <w:rPr>
          <w:color w:val="auto"/>
        </w:rPr>
        <w:t xml:space="preserve"> and </w:t>
      </w:r>
      <w:r w:rsidRPr="00217EA0">
        <w:rPr>
          <w:color w:val="auto"/>
        </w:rPr>
        <w:fldChar w:fldCharType="begin"/>
      </w:r>
      <w:r w:rsidRPr="00217EA0">
        <w:rPr>
          <w:color w:val="auto"/>
        </w:rPr>
        <w:instrText xml:space="preserve"> REF _Ref184820515 \h </w:instrText>
      </w:r>
      <w:r w:rsidR="00EC070E" w:rsidRPr="00217EA0">
        <w:rPr>
          <w:color w:val="auto"/>
        </w:rPr>
        <w:instrText xml:space="preserve"> \* MERGEFORMAT </w:instrText>
      </w:r>
      <w:r w:rsidRPr="00217EA0">
        <w:rPr>
          <w:color w:val="auto"/>
        </w:rPr>
      </w:r>
      <w:r w:rsidRPr="00217EA0">
        <w:rPr>
          <w:color w:val="auto"/>
        </w:rPr>
        <w:fldChar w:fldCharType="separate"/>
      </w:r>
      <w:r w:rsidR="008378C4" w:rsidRPr="00217EA0">
        <w:t xml:space="preserve">Figure </w:t>
      </w:r>
      <w:r w:rsidR="008378C4">
        <w:t>3</w:t>
      </w:r>
      <w:r w:rsidRPr="00217EA0">
        <w:rPr>
          <w:color w:val="auto"/>
        </w:rPr>
        <w:fldChar w:fldCharType="end"/>
      </w:r>
      <w:r w:rsidRPr="00217EA0">
        <w:rPr>
          <w:color w:val="auto"/>
        </w:rPr>
        <w:t xml:space="preserve"> </w:t>
      </w:r>
      <w:r w:rsidR="007878AD" w:rsidRPr="00217EA0">
        <w:rPr>
          <w:color w:val="auto"/>
        </w:rPr>
        <w:t xml:space="preserve">present the KM plots for OS of </w:t>
      </w:r>
      <w:proofErr w:type="spellStart"/>
      <w:r w:rsidR="007878AD" w:rsidRPr="00217EA0">
        <w:rPr>
          <w:color w:val="auto"/>
        </w:rPr>
        <w:t>futibatinib</w:t>
      </w:r>
      <w:proofErr w:type="spellEnd"/>
      <w:r w:rsidR="007878AD" w:rsidRPr="00217EA0">
        <w:rPr>
          <w:color w:val="auto"/>
        </w:rPr>
        <w:t xml:space="preserve"> versus FOLFOX+ASC and ASC</w:t>
      </w:r>
      <w:r w:rsidR="00D063E1" w:rsidRPr="00217EA0">
        <w:rPr>
          <w:color w:val="auto"/>
        </w:rPr>
        <w:t xml:space="preserve"> in the MAIC</w:t>
      </w:r>
      <w:r w:rsidR="007878AD" w:rsidRPr="00217EA0">
        <w:rPr>
          <w:color w:val="auto"/>
        </w:rPr>
        <w:t>, respectively.</w:t>
      </w:r>
      <w:r w:rsidR="00C54BFA">
        <w:rPr>
          <w:rStyle w:val="FootnoteReference"/>
          <w:color w:val="auto"/>
        </w:rPr>
        <w:footnoteReference w:id="10"/>
      </w:r>
    </w:p>
    <w:p w14:paraId="11364F71" w14:textId="28DC640C" w:rsidR="007878AD" w:rsidRPr="00217EA0" w:rsidRDefault="007878AD" w:rsidP="00D063E1">
      <w:pPr>
        <w:pStyle w:val="TableFigureHeading"/>
        <w:keepLines/>
      </w:pPr>
      <w:bookmarkStart w:id="57" w:name="_Ref184324010"/>
      <w:r w:rsidRPr="00217EA0">
        <w:t>Figure</w:t>
      </w:r>
      <w:r w:rsidR="000D015C">
        <w:t xml:space="preserve"> </w:t>
      </w:r>
      <w:r w:rsidR="006A66A8">
        <w:fldChar w:fldCharType="begin"/>
      </w:r>
      <w:r w:rsidR="006A66A8">
        <w:instrText xml:space="preserve"> SEQ Figure_PBAC. \* ARABIC </w:instrText>
      </w:r>
      <w:r w:rsidR="006A66A8">
        <w:fldChar w:fldCharType="separate"/>
      </w:r>
      <w:r w:rsidR="008378C4">
        <w:rPr>
          <w:noProof/>
        </w:rPr>
        <w:t>2</w:t>
      </w:r>
      <w:r w:rsidR="006A66A8">
        <w:rPr>
          <w:noProof/>
        </w:rPr>
        <w:fldChar w:fldCharType="end"/>
      </w:r>
      <w:bookmarkEnd w:id="57"/>
      <w:r w:rsidRPr="00217EA0">
        <w:t xml:space="preserve">: KM plot of unadjusted and adjusted OS for </w:t>
      </w:r>
      <w:proofErr w:type="spellStart"/>
      <w:r w:rsidRPr="00217EA0">
        <w:t>futibatinib</w:t>
      </w:r>
      <w:proofErr w:type="spellEnd"/>
      <w:r w:rsidRPr="00217EA0">
        <w:t xml:space="preserve"> and FOLFOX+ASC </w:t>
      </w:r>
    </w:p>
    <w:p w14:paraId="6B924CAF" w14:textId="77777777" w:rsidR="007878AD" w:rsidRPr="00217EA0" w:rsidRDefault="007878AD" w:rsidP="000D015C">
      <w:pPr>
        <w:keepNext/>
        <w:keepLines/>
        <w:spacing w:before="0" w:after="0"/>
        <w:rPr>
          <w:lang w:bidi="en-US"/>
        </w:rPr>
      </w:pPr>
      <w:r w:rsidRPr="00217EA0">
        <w:rPr>
          <w:noProof/>
        </w:rPr>
        <w:drawing>
          <wp:inline distT="0" distB="0" distL="0" distR="0" wp14:anchorId="5F5D6962" wp14:editId="18026373">
            <wp:extent cx="4533900" cy="3122295"/>
            <wp:effectExtent l="0" t="0" r="0" b="1905"/>
            <wp:docPr id="48" name="Picture 4" descr="Figure 2: KM plot of unadjusted and adjusted OS for futibatinib and FOLFOX+ASC ">
              <a:extLst xmlns:a="http://schemas.openxmlformats.org/drawingml/2006/main">
                <a:ext uri="{FF2B5EF4-FFF2-40B4-BE49-F238E27FC236}">
                  <a16:creationId xmlns:a16="http://schemas.microsoft.com/office/drawing/2014/main" id="{6C507F46-9A65-85AE-6F63-117231FFBF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 descr="Figure 2: KM plot of unadjusted and adjusted OS for futibatinib and FOLFOX+ASC ">
                      <a:extLst>
                        <a:ext uri="{FF2B5EF4-FFF2-40B4-BE49-F238E27FC236}">
                          <a16:creationId xmlns:a16="http://schemas.microsoft.com/office/drawing/2014/main" id="{6C507F46-9A65-85AE-6F63-117231FFBF48}"/>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554730" cy="3136640"/>
                    </a:xfrm>
                    <a:prstGeom prst="rect">
                      <a:avLst/>
                    </a:prstGeom>
                  </pic:spPr>
                </pic:pic>
              </a:graphicData>
            </a:graphic>
          </wp:inline>
        </w:drawing>
      </w:r>
    </w:p>
    <w:p w14:paraId="6694BCF9" w14:textId="77777777" w:rsidR="007878AD" w:rsidRPr="00217EA0" w:rsidRDefault="007878AD" w:rsidP="00D063E1">
      <w:pPr>
        <w:pStyle w:val="TableFooter"/>
        <w:keepNext/>
        <w:keepLines/>
      </w:pPr>
      <w:r w:rsidRPr="00217EA0">
        <w:t>Source: Figure 2.23, p162 of the submission.</w:t>
      </w:r>
    </w:p>
    <w:p w14:paraId="73228FC5" w14:textId="77777777" w:rsidR="007878AD" w:rsidRPr="00217EA0" w:rsidRDefault="007878AD" w:rsidP="00D063E1">
      <w:pPr>
        <w:pStyle w:val="TableFooter"/>
        <w:keepNext/>
        <w:keepLines/>
      </w:pPr>
      <w:r w:rsidRPr="00217EA0">
        <w:t>ASC = active symptom control; KM = Kaplan–Meier; MAIC = matching-adjusted indirect comparison; FOLFOX = modified FOLFOX; OS = overall survival</w:t>
      </w:r>
    </w:p>
    <w:p w14:paraId="50A7CBF4" w14:textId="615FCA14" w:rsidR="0071081B" w:rsidRDefault="0071081B" w:rsidP="000D015C">
      <w:pPr>
        <w:pStyle w:val="TableFooter"/>
        <w:keepLines/>
        <w:spacing w:after="120"/>
      </w:pPr>
      <w:r w:rsidRPr="00217EA0">
        <w:t>Note: for a weighted estimate, the ESS is the number of independent non-weighted individuals that would be required to give an estimate with the same precision as the weighted sample estimate. The ESS is different to the number at risk at the start of a weighted KM plot for time-to-event outcomes, as the weighted number at risk is simply the sum of the weights.</w:t>
      </w:r>
    </w:p>
    <w:p w14:paraId="4B92C297" w14:textId="60157EA7" w:rsidR="00832CC4" w:rsidRPr="00217EA0" w:rsidRDefault="00832CC4" w:rsidP="000D015C">
      <w:pPr>
        <w:pStyle w:val="TableFooter"/>
        <w:keepLines/>
        <w:spacing w:after="120"/>
      </w:pPr>
      <w:r w:rsidRPr="00832CC4">
        <w:rPr>
          <w:i/>
          <w:iCs/>
        </w:rPr>
        <w:t xml:space="preserve">Note that the results presented in </w:t>
      </w:r>
      <w:r>
        <w:rPr>
          <w:i/>
          <w:iCs/>
        </w:rPr>
        <w:t>Figure 2</w:t>
      </w:r>
      <w:r w:rsidRPr="00832CC4">
        <w:rPr>
          <w:i/>
          <w:iCs/>
        </w:rPr>
        <w:t xml:space="preserve"> are derived from analyses conducted by the applicant for the purposes of informing the PBAC and MSAC consideration. Interpretation of the results and their application should therefore be limited to seeking to understand the basis for the PBAC and MSAC outcome and should not be used for any other purpose</w:t>
      </w:r>
    </w:p>
    <w:p w14:paraId="0FF26750" w14:textId="620A55EC" w:rsidR="007878AD" w:rsidRPr="00217EA0" w:rsidRDefault="007878AD" w:rsidP="00FA13F3">
      <w:pPr>
        <w:pStyle w:val="Caption"/>
      </w:pPr>
      <w:bookmarkStart w:id="58" w:name="_Ref184820515"/>
      <w:r w:rsidRPr="00217EA0">
        <w:t xml:space="preserve">Figure </w:t>
      </w:r>
      <w:r w:rsidRPr="00217EA0">
        <w:fldChar w:fldCharType="begin"/>
      </w:r>
      <w:r w:rsidRPr="00217EA0">
        <w:instrText xml:space="preserve"> SEQ Figure_PBAC. \* ARABIC </w:instrText>
      </w:r>
      <w:r w:rsidRPr="00217EA0">
        <w:fldChar w:fldCharType="separate"/>
      </w:r>
      <w:r w:rsidR="008378C4">
        <w:rPr>
          <w:noProof/>
        </w:rPr>
        <w:t>3</w:t>
      </w:r>
      <w:r w:rsidRPr="00217EA0">
        <w:fldChar w:fldCharType="end"/>
      </w:r>
      <w:bookmarkEnd w:id="58"/>
      <w:r w:rsidRPr="00217EA0">
        <w:t>:</w:t>
      </w:r>
      <w:r w:rsidR="0014627C">
        <w:t xml:space="preserve"> </w:t>
      </w:r>
      <w:r w:rsidRPr="00217EA0">
        <w:t xml:space="preserve">KM plot of unadjusted and MAIC-weighted OS for </w:t>
      </w:r>
      <w:proofErr w:type="spellStart"/>
      <w:r w:rsidRPr="00217EA0">
        <w:t>futibatinib</w:t>
      </w:r>
      <w:proofErr w:type="spellEnd"/>
      <w:r w:rsidRPr="00217EA0">
        <w:t xml:space="preserve"> and ASC</w:t>
      </w:r>
    </w:p>
    <w:p w14:paraId="61722D5F" w14:textId="77777777" w:rsidR="007878AD" w:rsidRPr="00217EA0" w:rsidRDefault="007878AD" w:rsidP="0014627C">
      <w:pPr>
        <w:keepNext/>
        <w:keepLines/>
        <w:spacing w:before="0" w:after="0"/>
      </w:pPr>
      <w:r w:rsidRPr="00217EA0">
        <w:rPr>
          <w:noProof/>
        </w:rPr>
        <w:drawing>
          <wp:inline distT="0" distB="0" distL="0" distR="0" wp14:anchorId="3CFFA0CB" wp14:editId="3033565B">
            <wp:extent cx="4511040" cy="3437890"/>
            <wp:effectExtent l="0" t="0" r="3810" b="0"/>
            <wp:docPr id="637589841" name="Picture 56" descr="Figure 3: KM plot of unadjusted and MAIC-weighted OS for futibatinib and A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589841" name="Picture 56" descr="Figure 3: KM plot of unadjusted and MAIC-weighted OS for futibatinib and AS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5787" cy="3449129"/>
                    </a:xfrm>
                    <a:prstGeom prst="rect">
                      <a:avLst/>
                    </a:prstGeom>
                    <a:noFill/>
                    <a:ln>
                      <a:noFill/>
                    </a:ln>
                  </pic:spPr>
                </pic:pic>
              </a:graphicData>
            </a:graphic>
          </wp:inline>
        </w:drawing>
      </w:r>
    </w:p>
    <w:p w14:paraId="74437006" w14:textId="77777777" w:rsidR="007878AD" w:rsidRPr="00217EA0" w:rsidRDefault="007878AD" w:rsidP="0014627C">
      <w:pPr>
        <w:pStyle w:val="TableFooter"/>
        <w:keepNext/>
        <w:keepLines/>
        <w:widowControl/>
      </w:pPr>
      <w:r w:rsidRPr="00217EA0">
        <w:t>Source: Figure 2.24, p165 of the submission.</w:t>
      </w:r>
    </w:p>
    <w:p w14:paraId="5A2D8034" w14:textId="29C5F657" w:rsidR="007878AD" w:rsidRPr="00217EA0" w:rsidRDefault="007878AD" w:rsidP="0014627C">
      <w:pPr>
        <w:pStyle w:val="TableFooter"/>
        <w:keepNext/>
        <w:keepLines/>
        <w:widowControl/>
      </w:pPr>
      <w:r w:rsidRPr="00217EA0">
        <w:t>ASC = active symptom control; KM = Kaplan–Meier; MAIC = matching-adjusted indirect comparison; OS = overall survival</w:t>
      </w:r>
    </w:p>
    <w:p w14:paraId="0FEB069E" w14:textId="5EC00713" w:rsidR="0071081B" w:rsidRDefault="0071081B" w:rsidP="0014627C">
      <w:pPr>
        <w:pStyle w:val="TableFooter"/>
        <w:keepLines/>
        <w:widowControl/>
        <w:spacing w:after="120"/>
      </w:pPr>
      <w:r w:rsidRPr="00217EA0">
        <w:t>Note: for a weighted estimate, the ESS is the number of independent non-weighted individuals that would be required to give an estimate with the same precision as the weighted sample estimate. The ESS is different to the number at risk at the start of a weighted KM plot for time-to-event outcomes, as the weighted number at risk is simply the sum of the weights.</w:t>
      </w:r>
    </w:p>
    <w:p w14:paraId="73FF7019" w14:textId="3044AD41" w:rsidR="00832CC4" w:rsidRPr="00217EA0" w:rsidRDefault="00832CC4" w:rsidP="0014627C">
      <w:pPr>
        <w:pStyle w:val="TableFooter"/>
        <w:keepLines/>
        <w:widowControl/>
        <w:spacing w:after="120"/>
      </w:pPr>
      <w:r w:rsidRPr="00832CC4">
        <w:rPr>
          <w:i/>
          <w:iCs/>
        </w:rPr>
        <w:t xml:space="preserve">Note that the results presented in </w:t>
      </w:r>
      <w:r>
        <w:rPr>
          <w:i/>
          <w:iCs/>
        </w:rPr>
        <w:t>Figure 3</w:t>
      </w:r>
      <w:r w:rsidRPr="00832CC4">
        <w:rPr>
          <w:i/>
          <w:iCs/>
        </w:rPr>
        <w:t xml:space="preserve"> are derived from analyses conducted by the applicant for the purposes of informing the PBAC and MSAC consideration. Interpretation of the results and their application should therefore be limited to seeking to understand the basis for the PBAC and MSAC outcome and should not be used for any other purpose</w:t>
      </w:r>
    </w:p>
    <w:p w14:paraId="1E9C25A2" w14:textId="3A370239" w:rsidR="007878AD" w:rsidRPr="00217EA0" w:rsidRDefault="007878AD" w:rsidP="2914E55D">
      <w:pPr>
        <w:pStyle w:val="ListParagraph"/>
        <w:rPr>
          <w:color w:val="auto"/>
        </w:rPr>
      </w:pPr>
      <w:r w:rsidRPr="00217EA0">
        <w:rPr>
          <w:color w:val="auto"/>
        </w:rPr>
        <w:t xml:space="preserve">As for PFS, </w:t>
      </w:r>
      <w:r w:rsidR="00223152" w:rsidRPr="00217EA0">
        <w:rPr>
          <w:color w:val="auto"/>
        </w:rPr>
        <w:t xml:space="preserve">the evaluation considered </w:t>
      </w:r>
      <w:r w:rsidRPr="00217EA0">
        <w:rPr>
          <w:color w:val="auto"/>
        </w:rPr>
        <w:t xml:space="preserve">it unclear why the adjusted </w:t>
      </w:r>
      <w:proofErr w:type="spellStart"/>
      <w:r w:rsidRPr="00217EA0">
        <w:rPr>
          <w:color w:val="auto"/>
        </w:rPr>
        <w:t>futibatinib</w:t>
      </w:r>
      <w:proofErr w:type="spellEnd"/>
      <w:r w:rsidRPr="00217EA0">
        <w:rPr>
          <w:color w:val="auto"/>
        </w:rPr>
        <w:t xml:space="preserve"> arm would have a better OS than the unadjusted </w:t>
      </w:r>
      <w:proofErr w:type="spellStart"/>
      <w:r w:rsidRPr="00217EA0">
        <w:rPr>
          <w:color w:val="auto"/>
        </w:rPr>
        <w:t>futibatinib</w:t>
      </w:r>
      <w:proofErr w:type="spellEnd"/>
      <w:r w:rsidRPr="00217EA0">
        <w:rPr>
          <w:color w:val="auto"/>
        </w:rPr>
        <w:t xml:space="preserve"> arm, given that patients enrolled in FOENIX-CCA2 had better ECOG and were younger than patients enrolled in ABC-06.</w:t>
      </w:r>
      <w:bookmarkStart w:id="59" w:name="_Ref200967085"/>
      <w:r w:rsidR="00C54BFA">
        <w:rPr>
          <w:rStyle w:val="FootnoteReference"/>
          <w:color w:val="auto"/>
        </w:rPr>
        <w:footnoteReference w:id="11"/>
      </w:r>
      <w:bookmarkEnd w:id="59"/>
    </w:p>
    <w:p w14:paraId="675C6A0D" w14:textId="0949534F" w:rsidR="007878AD" w:rsidRPr="00217EA0" w:rsidRDefault="00AE6F3B" w:rsidP="2914E55D">
      <w:pPr>
        <w:pStyle w:val="ListParagraph"/>
        <w:rPr>
          <w:color w:val="auto"/>
          <w:lang w:bidi="en-US"/>
        </w:rPr>
      </w:pPr>
      <w:r w:rsidRPr="00217EA0">
        <w:rPr>
          <w:color w:val="auto"/>
        </w:rPr>
        <w:fldChar w:fldCharType="begin"/>
      </w:r>
      <w:r w:rsidRPr="00217EA0">
        <w:rPr>
          <w:color w:val="auto"/>
        </w:rPr>
        <w:instrText xml:space="preserve"> REF _Ref184820871 \h </w:instrText>
      </w:r>
      <w:r w:rsidR="00EC070E" w:rsidRPr="00217EA0">
        <w:rPr>
          <w:color w:val="auto"/>
        </w:rPr>
        <w:instrText xml:space="preserve"> \* MERGEFORMAT </w:instrText>
      </w:r>
      <w:r w:rsidRPr="00217EA0">
        <w:rPr>
          <w:color w:val="auto"/>
        </w:rPr>
      </w:r>
      <w:r w:rsidRPr="00217EA0">
        <w:rPr>
          <w:color w:val="auto"/>
        </w:rPr>
        <w:fldChar w:fldCharType="separate"/>
      </w:r>
      <w:r w:rsidR="008378C4" w:rsidRPr="00217EA0">
        <w:t>Table</w:t>
      </w:r>
      <w:r w:rsidR="008378C4">
        <w:t xml:space="preserve"> 14</w:t>
      </w:r>
      <w:r w:rsidRPr="00217EA0">
        <w:rPr>
          <w:color w:val="auto"/>
        </w:rPr>
        <w:fldChar w:fldCharType="end"/>
      </w:r>
      <w:r w:rsidRPr="00217EA0">
        <w:rPr>
          <w:color w:val="auto"/>
        </w:rPr>
        <w:t xml:space="preserve"> </w:t>
      </w:r>
      <w:r w:rsidR="007878AD" w:rsidRPr="00217EA0">
        <w:rPr>
          <w:color w:val="auto"/>
        </w:rPr>
        <w:t xml:space="preserve">presents the ORR </w:t>
      </w:r>
      <w:r w:rsidR="007878AD" w:rsidRPr="00217EA0">
        <w:rPr>
          <w:color w:val="auto"/>
          <w:lang w:bidi="en-US"/>
        </w:rPr>
        <w:t xml:space="preserve">results from the unadjusted binomial model and covariate-adjusted MAIC analyses. As with the survival outcomes, five base-case prognostic factors were included in the base-case adjusted model (age, gender, ECOG status, prior surgery, and baseline hypoalbuminemia status). In the base case, the odds ratio (OR) estimate shows an increased rate of ORR for </w:t>
      </w:r>
      <w:proofErr w:type="spellStart"/>
      <w:r w:rsidR="007878AD" w:rsidRPr="00217EA0">
        <w:rPr>
          <w:color w:val="auto"/>
          <w:lang w:bidi="en-US"/>
        </w:rPr>
        <w:t>futibatinib</w:t>
      </w:r>
      <w:proofErr w:type="spellEnd"/>
      <w:r w:rsidR="007878AD" w:rsidRPr="00217EA0">
        <w:rPr>
          <w:color w:val="auto"/>
          <w:lang w:bidi="en-US"/>
        </w:rPr>
        <w:t xml:space="preserve"> compared with </w:t>
      </w:r>
      <w:r w:rsidR="007878AD" w:rsidRPr="00217EA0">
        <w:rPr>
          <w:color w:val="auto"/>
        </w:rPr>
        <w:t xml:space="preserve">FOLFOX+ASC </w:t>
      </w:r>
      <w:r w:rsidR="007878AD" w:rsidRPr="00217EA0">
        <w:rPr>
          <w:color w:val="auto"/>
          <w:lang w:bidi="en-US"/>
        </w:rPr>
        <w:t>patients (OR: 18.74; 95% CI: 7.20–61.31). This effect remained statistically significant when a comparison was made using ORR</w:t>
      </w:r>
      <w:r w:rsidR="00D063E1" w:rsidRPr="00217EA0">
        <w:rPr>
          <w:color w:val="auto"/>
          <w:lang w:bidi="en-US"/>
        </w:rPr>
        <w:t xml:space="preserve"> by investigator</w:t>
      </w:r>
      <w:r w:rsidR="00AF1AEA" w:rsidRPr="00217EA0">
        <w:rPr>
          <w:color w:val="auto"/>
          <w:lang w:bidi="en-US"/>
        </w:rPr>
        <w:t xml:space="preserve"> for </w:t>
      </w:r>
      <w:proofErr w:type="spellStart"/>
      <w:r w:rsidR="00AF1AEA" w:rsidRPr="00217EA0">
        <w:rPr>
          <w:color w:val="auto"/>
          <w:lang w:bidi="en-US"/>
        </w:rPr>
        <w:t>futibatinib</w:t>
      </w:r>
      <w:proofErr w:type="spellEnd"/>
      <w:r w:rsidR="007878AD" w:rsidRPr="00217EA0">
        <w:rPr>
          <w:color w:val="auto"/>
          <w:lang w:bidi="en-US"/>
        </w:rPr>
        <w:t xml:space="preserve"> in the sensitivity analyses.</w:t>
      </w:r>
      <w:r w:rsidR="00C54BFA" w:rsidRPr="00C54BFA">
        <w:rPr>
          <w:color w:val="auto"/>
          <w:vertAlign w:val="superscript"/>
          <w:lang w:bidi="en-US"/>
        </w:rPr>
        <w:fldChar w:fldCharType="begin"/>
      </w:r>
      <w:r w:rsidR="00C54BFA" w:rsidRPr="00C54BFA">
        <w:rPr>
          <w:color w:val="auto"/>
          <w:vertAlign w:val="superscript"/>
          <w:lang w:bidi="en-US"/>
        </w:rPr>
        <w:instrText xml:space="preserve"> NOTEREF _Ref200967085 \h </w:instrText>
      </w:r>
      <w:r w:rsidR="00C54BFA">
        <w:rPr>
          <w:color w:val="auto"/>
          <w:vertAlign w:val="superscript"/>
          <w:lang w:bidi="en-US"/>
        </w:rPr>
        <w:instrText xml:space="preserve"> \* MERGEFORMAT </w:instrText>
      </w:r>
      <w:r w:rsidR="00C54BFA" w:rsidRPr="00C54BFA">
        <w:rPr>
          <w:color w:val="auto"/>
          <w:vertAlign w:val="superscript"/>
          <w:lang w:bidi="en-US"/>
        </w:rPr>
      </w:r>
      <w:r w:rsidR="00C54BFA" w:rsidRPr="00C54BFA">
        <w:rPr>
          <w:color w:val="auto"/>
          <w:vertAlign w:val="superscript"/>
          <w:lang w:bidi="en-US"/>
        </w:rPr>
        <w:fldChar w:fldCharType="separate"/>
      </w:r>
      <w:r w:rsidR="008378C4">
        <w:rPr>
          <w:color w:val="auto"/>
          <w:vertAlign w:val="superscript"/>
          <w:lang w:bidi="en-US"/>
        </w:rPr>
        <w:t>10</w:t>
      </w:r>
      <w:r w:rsidR="00C54BFA" w:rsidRPr="00C54BFA">
        <w:rPr>
          <w:color w:val="auto"/>
          <w:vertAlign w:val="superscript"/>
          <w:lang w:bidi="en-US"/>
        </w:rPr>
        <w:fldChar w:fldCharType="end"/>
      </w:r>
    </w:p>
    <w:p w14:paraId="1728B2C5" w14:textId="5430CCBC" w:rsidR="00AE6F3B" w:rsidRPr="00217EA0" w:rsidRDefault="004F74E6" w:rsidP="0014627C">
      <w:pPr>
        <w:pStyle w:val="TableFigureHeading"/>
      </w:pPr>
      <w:bookmarkStart w:id="60" w:name="_Ref184820871"/>
      <w:r w:rsidRPr="00217EA0">
        <w:t>Table</w:t>
      </w:r>
      <w:r w:rsidR="00DD4998">
        <w:t xml:space="preserve"> </w:t>
      </w:r>
      <w:r w:rsidR="006A66A8">
        <w:fldChar w:fldCharType="begin"/>
      </w:r>
      <w:r w:rsidR="006A66A8">
        <w:instrText xml:space="preserve"> SEQ Table_PBAC. \* ARABIC </w:instrText>
      </w:r>
      <w:r w:rsidR="006A66A8">
        <w:fldChar w:fldCharType="separate"/>
      </w:r>
      <w:r w:rsidR="008378C4">
        <w:rPr>
          <w:noProof/>
        </w:rPr>
        <w:t>14</w:t>
      </w:r>
      <w:r w:rsidR="006A66A8">
        <w:rPr>
          <w:noProof/>
        </w:rPr>
        <w:fldChar w:fldCharType="end"/>
      </w:r>
      <w:bookmarkEnd w:id="60"/>
      <w:r w:rsidR="0014627C">
        <w:rPr>
          <w:noProof/>
        </w:rPr>
        <w:t xml:space="preserve">: </w:t>
      </w:r>
      <w:r w:rsidR="00AE6F3B" w:rsidRPr="00217EA0">
        <w:t xml:space="preserve">Unadjusted and adjusted ORR model results: </w:t>
      </w:r>
      <w:proofErr w:type="spellStart"/>
      <w:r w:rsidR="00AE6F3B" w:rsidRPr="00217EA0">
        <w:t>Futibatinib</w:t>
      </w:r>
      <w:proofErr w:type="spellEnd"/>
      <w:r w:rsidR="00AE6F3B" w:rsidRPr="00217EA0">
        <w:t xml:space="preserve"> vs FOLFOX+ASC </w:t>
      </w:r>
    </w:p>
    <w:tbl>
      <w:tblPr>
        <w:tblStyle w:val="ASDTable1"/>
        <w:tblW w:w="5000" w:type="pct"/>
        <w:tblLook w:val="04A0" w:firstRow="1" w:lastRow="0" w:firstColumn="1" w:lastColumn="0" w:noHBand="0" w:noVBand="1"/>
        <w:tblCaption w:val="Table 14: Unadjusted and adjusted ORR model results: Futibatinib vs FOLFOX+ASC "/>
      </w:tblPr>
      <w:tblGrid>
        <w:gridCol w:w="2975"/>
        <w:gridCol w:w="1233"/>
        <w:gridCol w:w="1560"/>
        <w:gridCol w:w="3248"/>
      </w:tblGrid>
      <w:tr w:rsidR="007900E9" w:rsidRPr="00217EA0" w14:paraId="6B0AE353" w14:textId="77777777" w:rsidTr="00FE3A7F">
        <w:trPr>
          <w:trHeight w:val="20"/>
        </w:trPr>
        <w:tc>
          <w:tcPr>
            <w:tcW w:w="1650" w:type="pct"/>
            <w:vAlign w:val="center"/>
          </w:tcPr>
          <w:p w14:paraId="0F5EEC1D" w14:textId="77777777" w:rsidR="00AE6F3B" w:rsidRPr="00217EA0" w:rsidRDefault="00AE6F3B" w:rsidP="0014627C">
            <w:pPr>
              <w:pStyle w:val="TableText"/>
              <w:keepNext/>
              <w:widowControl/>
              <w:rPr>
                <w:b/>
                <w:bCs/>
                <w:lang w:bidi="en-US"/>
              </w:rPr>
            </w:pPr>
            <w:r w:rsidRPr="00217EA0">
              <w:rPr>
                <w:b/>
                <w:bCs/>
                <w:lang w:bidi="en-US"/>
              </w:rPr>
              <w:t>Model</w:t>
            </w:r>
          </w:p>
        </w:tc>
        <w:tc>
          <w:tcPr>
            <w:tcW w:w="684" w:type="pct"/>
          </w:tcPr>
          <w:p w14:paraId="4794BF05" w14:textId="77777777" w:rsidR="00AE6F3B" w:rsidRPr="00217EA0" w:rsidRDefault="00AE6F3B" w:rsidP="0014627C">
            <w:pPr>
              <w:pStyle w:val="TableText"/>
              <w:keepNext/>
              <w:widowControl/>
              <w:rPr>
                <w:b/>
                <w:bCs/>
                <w:lang w:bidi="en-US"/>
              </w:rPr>
            </w:pPr>
            <w:r w:rsidRPr="00217EA0">
              <w:rPr>
                <w:b/>
                <w:bCs/>
                <w:lang w:bidi="en-US"/>
              </w:rPr>
              <w:t>OR for ORR</w:t>
            </w:r>
          </w:p>
        </w:tc>
        <w:tc>
          <w:tcPr>
            <w:tcW w:w="865" w:type="pct"/>
          </w:tcPr>
          <w:p w14:paraId="3070FC48" w14:textId="77777777" w:rsidR="00AE6F3B" w:rsidRPr="00217EA0" w:rsidRDefault="00AE6F3B" w:rsidP="0014627C">
            <w:pPr>
              <w:pStyle w:val="TableText"/>
              <w:keepNext/>
              <w:widowControl/>
              <w:rPr>
                <w:b/>
                <w:bCs/>
                <w:lang w:bidi="en-US"/>
              </w:rPr>
            </w:pPr>
            <w:r w:rsidRPr="00217EA0">
              <w:rPr>
                <w:b/>
                <w:bCs/>
                <w:lang w:bidi="en-US"/>
              </w:rPr>
              <w:t>95% CI; p value</w:t>
            </w:r>
          </w:p>
        </w:tc>
        <w:tc>
          <w:tcPr>
            <w:tcW w:w="1800" w:type="pct"/>
          </w:tcPr>
          <w:p w14:paraId="798B2B59" w14:textId="77777777" w:rsidR="00AE6F3B" w:rsidRPr="00217EA0" w:rsidRDefault="00AE6F3B" w:rsidP="0014627C">
            <w:pPr>
              <w:pStyle w:val="TableText"/>
              <w:keepNext/>
              <w:widowControl/>
              <w:rPr>
                <w:b/>
                <w:bCs/>
                <w:lang w:bidi="en-US"/>
              </w:rPr>
            </w:pPr>
            <w:r w:rsidRPr="00217EA0">
              <w:rPr>
                <w:b/>
                <w:bCs/>
                <w:lang w:bidi="en-US"/>
              </w:rPr>
              <w:t>Notes</w:t>
            </w:r>
          </w:p>
        </w:tc>
      </w:tr>
      <w:tr w:rsidR="007900E9" w:rsidRPr="00217EA0" w14:paraId="37BD2E6D" w14:textId="77777777" w:rsidTr="00FE3A7F">
        <w:trPr>
          <w:trHeight w:val="20"/>
        </w:trPr>
        <w:tc>
          <w:tcPr>
            <w:tcW w:w="1650" w:type="pct"/>
            <w:vAlign w:val="center"/>
          </w:tcPr>
          <w:p w14:paraId="1BBFD9DF" w14:textId="77777777" w:rsidR="00AE6F3B" w:rsidRPr="00217EA0" w:rsidRDefault="00AE6F3B" w:rsidP="0014627C">
            <w:pPr>
              <w:pStyle w:val="TableText"/>
              <w:keepNext/>
              <w:widowControl/>
              <w:rPr>
                <w:lang w:bidi="en-US"/>
              </w:rPr>
            </w:pPr>
            <w:r w:rsidRPr="00217EA0">
              <w:rPr>
                <w:lang w:bidi="en-US"/>
              </w:rPr>
              <w:t>Cox-naïve/unadjusted (ORR-IRC)</w:t>
            </w:r>
          </w:p>
          <w:p w14:paraId="2A15F716" w14:textId="77777777" w:rsidR="00AE6F3B" w:rsidRPr="00217EA0" w:rsidRDefault="00AE6F3B" w:rsidP="0014627C">
            <w:pPr>
              <w:pStyle w:val="TableText"/>
              <w:keepNext/>
              <w:widowControl/>
              <w:rPr>
                <w:lang w:bidi="en-US"/>
              </w:rPr>
            </w:pPr>
          </w:p>
          <w:p w14:paraId="27B4CDE0" w14:textId="77777777" w:rsidR="00AE6F3B" w:rsidRPr="00217EA0" w:rsidRDefault="00AE6F3B" w:rsidP="0014627C">
            <w:pPr>
              <w:pStyle w:val="TableText"/>
              <w:keepNext/>
              <w:widowControl/>
              <w:rPr>
                <w:lang w:bidi="en-US"/>
              </w:rPr>
            </w:pPr>
            <w:r w:rsidRPr="00217EA0">
              <w:rPr>
                <w:lang w:bidi="en-US"/>
              </w:rPr>
              <w:t>Cox-naïve/unadjusted (ORR-INV)</w:t>
            </w:r>
          </w:p>
        </w:tc>
        <w:tc>
          <w:tcPr>
            <w:tcW w:w="684" w:type="pct"/>
            <w:vAlign w:val="center"/>
          </w:tcPr>
          <w:p w14:paraId="5E4ADDC5" w14:textId="77777777" w:rsidR="00AE6F3B" w:rsidRPr="00217EA0" w:rsidRDefault="00AE6F3B" w:rsidP="0014627C">
            <w:pPr>
              <w:pStyle w:val="TableText"/>
              <w:keepNext/>
              <w:widowControl/>
              <w:rPr>
                <w:lang w:bidi="en-US"/>
              </w:rPr>
            </w:pPr>
            <w:r w:rsidRPr="00217EA0">
              <w:rPr>
                <w:lang w:bidi="en-US"/>
              </w:rPr>
              <w:t>13.80</w:t>
            </w:r>
          </w:p>
          <w:p w14:paraId="792AAEC5" w14:textId="77777777" w:rsidR="00AE6F3B" w:rsidRPr="00217EA0" w:rsidRDefault="00AE6F3B" w:rsidP="0014627C">
            <w:pPr>
              <w:pStyle w:val="TableText"/>
              <w:keepNext/>
              <w:widowControl/>
              <w:rPr>
                <w:lang w:bidi="en-US"/>
              </w:rPr>
            </w:pPr>
          </w:p>
          <w:p w14:paraId="757FC475" w14:textId="77777777" w:rsidR="00AE6F3B" w:rsidRPr="00217EA0" w:rsidRDefault="00AE6F3B" w:rsidP="0014627C">
            <w:pPr>
              <w:pStyle w:val="TableText"/>
              <w:keepNext/>
              <w:widowControl/>
              <w:rPr>
                <w:lang w:bidi="en-US"/>
              </w:rPr>
            </w:pPr>
            <w:r w:rsidRPr="00217EA0">
              <w:rPr>
                <w:lang w:bidi="en-US"/>
              </w:rPr>
              <w:t>11.73</w:t>
            </w:r>
          </w:p>
        </w:tc>
        <w:tc>
          <w:tcPr>
            <w:tcW w:w="865" w:type="pct"/>
            <w:vAlign w:val="center"/>
          </w:tcPr>
          <w:p w14:paraId="41A0B750" w14:textId="77777777" w:rsidR="00AE6F3B" w:rsidRPr="00217EA0" w:rsidRDefault="00AE6F3B" w:rsidP="0014627C">
            <w:pPr>
              <w:pStyle w:val="TableText"/>
              <w:keepNext/>
              <w:widowControl/>
              <w:rPr>
                <w:lang w:bidi="en-US"/>
              </w:rPr>
            </w:pPr>
            <w:r w:rsidRPr="00217EA0">
              <w:rPr>
                <w:lang w:bidi="en-US"/>
              </w:rPr>
              <w:t>5.49–44.12; p&lt;0.001</w:t>
            </w:r>
          </w:p>
          <w:p w14:paraId="4DA546D0" w14:textId="77777777" w:rsidR="00AE6F3B" w:rsidRPr="00217EA0" w:rsidRDefault="00AE6F3B" w:rsidP="0014627C">
            <w:pPr>
              <w:pStyle w:val="TableText"/>
              <w:keepNext/>
              <w:widowControl/>
              <w:rPr>
                <w:lang w:bidi="en-US"/>
              </w:rPr>
            </w:pPr>
            <w:r w:rsidRPr="00217EA0">
              <w:rPr>
                <w:lang w:bidi="en-US"/>
              </w:rPr>
              <w:t>4.65–37.57; p&lt;0.001</w:t>
            </w:r>
          </w:p>
        </w:tc>
        <w:tc>
          <w:tcPr>
            <w:tcW w:w="1800" w:type="pct"/>
            <w:vAlign w:val="center"/>
          </w:tcPr>
          <w:p w14:paraId="589A6FBB" w14:textId="77777777" w:rsidR="00AE6F3B" w:rsidRPr="00217EA0" w:rsidRDefault="00AE6F3B" w:rsidP="0014627C">
            <w:pPr>
              <w:pStyle w:val="TableText"/>
              <w:keepNext/>
              <w:widowControl/>
              <w:rPr>
                <w:lang w:bidi="en-US"/>
              </w:rPr>
            </w:pPr>
            <w:r w:rsidRPr="00217EA0">
              <w:rPr>
                <w:lang w:bidi="en-US"/>
              </w:rPr>
              <w:t>No covariate adjustment</w:t>
            </w:r>
          </w:p>
        </w:tc>
      </w:tr>
      <w:tr w:rsidR="007900E9" w:rsidRPr="00217EA0" w14:paraId="0BA39AAE" w14:textId="77777777" w:rsidTr="00FE3A7F">
        <w:trPr>
          <w:trHeight w:val="20"/>
        </w:trPr>
        <w:tc>
          <w:tcPr>
            <w:tcW w:w="5000" w:type="pct"/>
            <w:gridSpan w:val="4"/>
            <w:vAlign w:val="center"/>
          </w:tcPr>
          <w:p w14:paraId="6FAAEF1A" w14:textId="77777777" w:rsidR="00AE6F3B" w:rsidRPr="00217EA0" w:rsidRDefault="00AE6F3B" w:rsidP="0014627C">
            <w:pPr>
              <w:pStyle w:val="TableText"/>
              <w:keepNext/>
              <w:widowControl/>
              <w:rPr>
                <w:lang w:bidi="en-US"/>
              </w:rPr>
            </w:pPr>
            <w:r w:rsidRPr="00217EA0">
              <w:rPr>
                <w:lang w:bidi="en-US"/>
              </w:rPr>
              <w:t>Adjusted Cox MAIC model analyses</w:t>
            </w:r>
          </w:p>
        </w:tc>
      </w:tr>
      <w:tr w:rsidR="007900E9" w:rsidRPr="00217EA0" w14:paraId="696C929D" w14:textId="77777777" w:rsidTr="00FE3A7F">
        <w:trPr>
          <w:trHeight w:val="20"/>
        </w:trPr>
        <w:tc>
          <w:tcPr>
            <w:tcW w:w="1650" w:type="pct"/>
            <w:vAlign w:val="center"/>
          </w:tcPr>
          <w:p w14:paraId="1E71BDC9" w14:textId="77777777" w:rsidR="00AE6F3B" w:rsidRPr="00217EA0" w:rsidRDefault="00AE6F3B" w:rsidP="0014627C">
            <w:pPr>
              <w:pStyle w:val="TableText"/>
              <w:keepNext/>
              <w:widowControl/>
              <w:rPr>
                <w:lang w:bidi="en-US"/>
              </w:rPr>
            </w:pPr>
            <w:r w:rsidRPr="00217EA0">
              <w:rPr>
                <w:lang w:bidi="en-US"/>
              </w:rPr>
              <w:t>Base-case covariates (IRC)</w:t>
            </w:r>
          </w:p>
          <w:p w14:paraId="4C70C620" w14:textId="77777777" w:rsidR="00AF1AEA" w:rsidRPr="00217EA0" w:rsidRDefault="00AF1AEA" w:rsidP="0014627C">
            <w:pPr>
              <w:pStyle w:val="TableText"/>
              <w:keepNext/>
              <w:widowControl/>
              <w:rPr>
                <w:lang w:bidi="en-US"/>
              </w:rPr>
            </w:pPr>
          </w:p>
          <w:p w14:paraId="0C8A80D2" w14:textId="77777777" w:rsidR="00AE6F3B" w:rsidRPr="00217EA0" w:rsidRDefault="00AE6F3B" w:rsidP="0014627C">
            <w:pPr>
              <w:pStyle w:val="TableText"/>
              <w:keepNext/>
              <w:widowControl/>
              <w:rPr>
                <w:lang w:bidi="en-US"/>
              </w:rPr>
            </w:pPr>
            <w:r w:rsidRPr="00217EA0">
              <w:rPr>
                <w:lang w:bidi="en-US"/>
              </w:rPr>
              <w:t>Base-case covariates (INV)</w:t>
            </w:r>
          </w:p>
        </w:tc>
        <w:tc>
          <w:tcPr>
            <w:tcW w:w="684" w:type="pct"/>
            <w:vAlign w:val="center"/>
          </w:tcPr>
          <w:p w14:paraId="387C9FA1" w14:textId="77777777" w:rsidR="00AE6F3B" w:rsidRPr="00217EA0" w:rsidRDefault="00AE6F3B" w:rsidP="0014627C">
            <w:pPr>
              <w:pStyle w:val="TableText"/>
              <w:keepNext/>
              <w:widowControl/>
              <w:rPr>
                <w:lang w:bidi="en-US"/>
              </w:rPr>
            </w:pPr>
            <w:r w:rsidRPr="00217EA0">
              <w:rPr>
                <w:lang w:bidi="en-US"/>
              </w:rPr>
              <w:t>18.74</w:t>
            </w:r>
          </w:p>
          <w:p w14:paraId="33FD59CB" w14:textId="77777777" w:rsidR="00AF1AEA" w:rsidRPr="00217EA0" w:rsidRDefault="00AF1AEA" w:rsidP="0014627C">
            <w:pPr>
              <w:pStyle w:val="TableText"/>
              <w:keepNext/>
              <w:widowControl/>
              <w:rPr>
                <w:lang w:bidi="en-US"/>
              </w:rPr>
            </w:pPr>
          </w:p>
          <w:p w14:paraId="2004A4D4" w14:textId="77777777" w:rsidR="00AE6F3B" w:rsidRPr="00217EA0" w:rsidRDefault="00AE6F3B" w:rsidP="0014627C">
            <w:pPr>
              <w:pStyle w:val="TableText"/>
              <w:keepNext/>
              <w:widowControl/>
              <w:rPr>
                <w:lang w:bidi="en-US"/>
              </w:rPr>
            </w:pPr>
            <w:r w:rsidRPr="00217EA0">
              <w:rPr>
                <w:lang w:bidi="en-US"/>
              </w:rPr>
              <w:t>12.71</w:t>
            </w:r>
          </w:p>
        </w:tc>
        <w:tc>
          <w:tcPr>
            <w:tcW w:w="865" w:type="pct"/>
            <w:vAlign w:val="center"/>
          </w:tcPr>
          <w:p w14:paraId="6D341B79" w14:textId="77777777" w:rsidR="00AE6F3B" w:rsidRPr="00217EA0" w:rsidRDefault="00AE6F3B" w:rsidP="0014627C">
            <w:pPr>
              <w:pStyle w:val="TableText"/>
              <w:keepNext/>
              <w:widowControl/>
              <w:rPr>
                <w:lang w:bidi="en-US"/>
              </w:rPr>
            </w:pPr>
            <w:r w:rsidRPr="00217EA0">
              <w:rPr>
                <w:lang w:bidi="en-US"/>
              </w:rPr>
              <w:t>7.20–61.31; p&lt;0.001</w:t>
            </w:r>
          </w:p>
          <w:p w14:paraId="030EF596" w14:textId="77777777" w:rsidR="00AE6F3B" w:rsidRPr="00217EA0" w:rsidRDefault="00AE6F3B" w:rsidP="0014627C">
            <w:pPr>
              <w:pStyle w:val="TableText"/>
              <w:keepNext/>
              <w:widowControl/>
              <w:rPr>
                <w:lang w:bidi="en-US"/>
              </w:rPr>
            </w:pPr>
            <w:r w:rsidRPr="00217EA0">
              <w:rPr>
                <w:lang w:bidi="en-US"/>
              </w:rPr>
              <w:t>4.85–41.69; p&lt;0.001</w:t>
            </w:r>
          </w:p>
        </w:tc>
        <w:tc>
          <w:tcPr>
            <w:tcW w:w="1800" w:type="pct"/>
            <w:vAlign w:val="center"/>
          </w:tcPr>
          <w:p w14:paraId="6FF01BEF" w14:textId="77777777" w:rsidR="00AE6F3B" w:rsidRPr="00217EA0" w:rsidRDefault="00AE6F3B" w:rsidP="0014627C">
            <w:pPr>
              <w:pStyle w:val="TableText"/>
              <w:keepNext/>
              <w:widowControl/>
              <w:rPr>
                <w:lang w:bidi="en-US"/>
              </w:rPr>
            </w:pPr>
            <w:r w:rsidRPr="00217EA0">
              <w:rPr>
                <w:lang w:bidi="en-US"/>
              </w:rPr>
              <w:t>Adjusted for age, gender, ECOG status, prior surgery, baseline hypoalbuminemia status</w:t>
            </w:r>
          </w:p>
        </w:tc>
      </w:tr>
    </w:tbl>
    <w:p w14:paraId="05418C4C" w14:textId="77777777" w:rsidR="00AE6F3B" w:rsidRPr="00217EA0" w:rsidRDefault="00AE6F3B" w:rsidP="0014627C">
      <w:pPr>
        <w:pStyle w:val="TableFooter"/>
        <w:keepNext/>
        <w:keepLines/>
        <w:widowControl/>
      </w:pPr>
      <w:r w:rsidRPr="00217EA0">
        <w:t>Source: Table 2.66, p164 of the submission.</w:t>
      </w:r>
    </w:p>
    <w:p w14:paraId="3EAFEB5E" w14:textId="08424FFD" w:rsidR="00AE6F3B" w:rsidRDefault="00AE6F3B" w:rsidP="0014627C">
      <w:pPr>
        <w:pStyle w:val="TableFooter"/>
        <w:keepLines/>
        <w:widowControl/>
      </w:pPr>
      <w:r w:rsidRPr="00217EA0">
        <w:t xml:space="preserve"> ASC = active symptom control; CI = confidence interval; ECOG = Eastern Cooperative Oncology Group; INV = investigator assessed; IPD = individual patient data; IRC = independent review committee; MAIC = matching-adjusted indirect </w:t>
      </w:r>
      <w:r w:rsidR="00372382" w:rsidRPr="00217EA0">
        <w:t>comparison;</w:t>
      </w:r>
      <w:r w:rsidRPr="00217EA0">
        <w:t xml:space="preserve"> OR = odds ratio; ORR = objective response rate</w:t>
      </w:r>
    </w:p>
    <w:p w14:paraId="6B06D8CA" w14:textId="4A730FDA" w:rsidR="00DF5C83" w:rsidRPr="00217EA0" w:rsidRDefault="00DF5C83" w:rsidP="0014627C">
      <w:pPr>
        <w:pStyle w:val="TableFooter"/>
        <w:keepLines/>
        <w:widowControl/>
        <w:rPr>
          <w:rFonts w:eastAsiaTheme="minorEastAsia"/>
        </w:rPr>
      </w:pPr>
      <w:r w:rsidRPr="00832CC4">
        <w:rPr>
          <w:i/>
          <w:iCs/>
        </w:rPr>
        <w:t xml:space="preserve">Note that the results presented in </w:t>
      </w:r>
      <w:r>
        <w:rPr>
          <w:i/>
          <w:iCs/>
        </w:rPr>
        <w:t>Table 14</w:t>
      </w:r>
      <w:r w:rsidRPr="00832CC4">
        <w:rPr>
          <w:i/>
          <w:iCs/>
        </w:rPr>
        <w:t xml:space="preserve"> are derived from analyses conducted by the applicant for the purposes of informing the PBAC and MSAC consideration. Interpretation of the results and their application should therefore be limited to seeking to understand the basis for the PBAC and MSAC outcome and should not be used for any other purpose</w:t>
      </w:r>
    </w:p>
    <w:p w14:paraId="6BD0F6A6" w14:textId="0AC6AB9C" w:rsidR="00AE6F3B" w:rsidRPr="00217EA0" w:rsidRDefault="00AE6F3B" w:rsidP="2914E55D">
      <w:pPr>
        <w:pStyle w:val="ListParagraph"/>
        <w:rPr>
          <w:lang w:bidi="en-US"/>
        </w:rPr>
      </w:pPr>
      <w:bookmarkStart w:id="61" w:name="_Ref191022779"/>
      <w:r w:rsidRPr="00217EA0">
        <w:rPr>
          <w:color w:val="auto"/>
        </w:rPr>
        <w:t>Additional</w:t>
      </w:r>
      <w:r w:rsidRPr="00217EA0">
        <w:rPr>
          <w:color w:val="auto"/>
          <w:lang w:bidi="en-US"/>
        </w:rPr>
        <w:t xml:space="preserve"> published indirect comparisons between </w:t>
      </w:r>
      <w:proofErr w:type="spellStart"/>
      <w:r w:rsidRPr="00217EA0">
        <w:rPr>
          <w:color w:val="auto"/>
          <w:lang w:bidi="en-US"/>
        </w:rPr>
        <w:t>futibatinib</w:t>
      </w:r>
      <w:proofErr w:type="spellEnd"/>
      <w:r w:rsidRPr="00217EA0">
        <w:rPr>
          <w:color w:val="auto"/>
          <w:lang w:bidi="en-US"/>
        </w:rPr>
        <w:t xml:space="preserve"> and FOLFOX were identified during the evaluation, with Paine 2022 reporting the results using a MAIC approach whereas Borad 2022 reported the results using a STC approach. In both studies, </w:t>
      </w:r>
      <w:proofErr w:type="spellStart"/>
      <w:r w:rsidRPr="00217EA0">
        <w:rPr>
          <w:color w:val="auto"/>
          <w:lang w:bidi="en-US"/>
        </w:rPr>
        <w:t>futibatinib</w:t>
      </w:r>
      <w:proofErr w:type="spellEnd"/>
      <w:r w:rsidRPr="00217EA0">
        <w:rPr>
          <w:color w:val="auto"/>
          <w:lang w:bidi="en-US"/>
        </w:rPr>
        <w:t xml:space="preserve"> results were informed by FOENIX-CCA2. However, </w:t>
      </w:r>
      <w:r w:rsidR="00A24295" w:rsidRPr="00217EA0">
        <w:rPr>
          <w:color w:val="auto"/>
          <w:lang w:bidi="en-US"/>
        </w:rPr>
        <w:t xml:space="preserve">the evaluation noted that </w:t>
      </w:r>
      <w:r w:rsidRPr="00217EA0">
        <w:rPr>
          <w:color w:val="auto"/>
          <w:lang w:bidi="en-US"/>
        </w:rPr>
        <w:t xml:space="preserve">instead of using ABC-06 (as in the submission) to inform chemotherapy outcomes, patients treated with </w:t>
      </w:r>
      <w:r w:rsidR="00E011A8" w:rsidRPr="00217EA0">
        <w:rPr>
          <w:color w:val="auto"/>
          <w:lang w:bidi="en-US"/>
        </w:rPr>
        <w:t xml:space="preserve">second line </w:t>
      </w:r>
      <w:r w:rsidRPr="00217EA0">
        <w:rPr>
          <w:color w:val="auto"/>
          <w:lang w:bidi="en-US"/>
        </w:rPr>
        <w:t>chemotherapy in the Pre-FIGHT 202 study</w:t>
      </w:r>
      <w:r w:rsidRPr="00217EA0">
        <w:rPr>
          <w:rStyle w:val="FootnoteReference"/>
          <w:color w:val="auto"/>
          <w:lang w:bidi="en-US"/>
        </w:rPr>
        <w:footnoteReference w:id="12"/>
      </w:r>
      <w:r w:rsidRPr="00217EA0">
        <w:rPr>
          <w:color w:val="auto"/>
          <w:lang w:bidi="en-US"/>
        </w:rPr>
        <w:t xml:space="preserve"> (n=53) and Shroff 2022 (n=71) were used to inform chemotherapy PFS and OS outcomes, respectively. Unlike ABC-06, all patients in Pre-FIGHT 202 had </w:t>
      </w:r>
      <w:r w:rsidR="003E5C46" w:rsidRPr="003E5C46">
        <w:rPr>
          <w:i/>
          <w:iCs/>
          <w:color w:val="auto"/>
          <w:lang w:bidi="en-US"/>
        </w:rPr>
        <w:t>FGFR2</w:t>
      </w:r>
      <w:r w:rsidRPr="00217EA0">
        <w:rPr>
          <w:color w:val="auto"/>
          <w:lang w:bidi="en-US"/>
        </w:rPr>
        <w:t xml:space="preserve"> alterations (as these patients were subsequently enrolled in the FIGHT 202 study of </w:t>
      </w:r>
      <w:proofErr w:type="spellStart"/>
      <w:r w:rsidRPr="00217EA0">
        <w:rPr>
          <w:color w:val="auto"/>
          <w:lang w:bidi="en-US"/>
        </w:rPr>
        <w:t>pemigatinib</w:t>
      </w:r>
      <w:proofErr w:type="spellEnd"/>
      <w:r w:rsidRPr="00217EA0">
        <w:rPr>
          <w:color w:val="auto"/>
          <w:lang w:bidi="en-US"/>
        </w:rPr>
        <w:t xml:space="preserve">). Similarly, only patients with </w:t>
      </w:r>
      <w:r w:rsidR="003E5C46" w:rsidRPr="003E5C46">
        <w:rPr>
          <w:i/>
          <w:iCs/>
          <w:color w:val="auto"/>
          <w:lang w:bidi="en-US"/>
        </w:rPr>
        <w:t>FGFR2</w:t>
      </w:r>
      <w:r w:rsidRPr="00217EA0">
        <w:rPr>
          <w:color w:val="auto"/>
          <w:lang w:bidi="en-US"/>
        </w:rPr>
        <w:t xml:space="preserve"> alterations from Shroff 2022 were used to inform the indirect comparison. As such, </w:t>
      </w:r>
      <w:r w:rsidR="003B0F2B" w:rsidRPr="00217EA0">
        <w:rPr>
          <w:color w:val="auto"/>
          <w:lang w:bidi="en-US"/>
        </w:rPr>
        <w:t xml:space="preserve">the evaluation considered that </w:t>
      </w:r>
      <w:r w:rsidRPr="00217EA0">
        <w:rPr>
          <w:color w:val="auto"/>
          <w:lang w:bidi="en-US"/>
        </w:rPr>
        <w:t xml:space="preserve">the results of Paine 2022 and Borad 2022 are likely to be much more comparable and applicable to the proposed Australian population, as there is evidence that </w:t>
      </w:r>
      <w:r w:rsidR="003E5C46" w:rsidRPr="003E5C46">
        <w:rPr>
          <w:i/>
          <w:iCs/>
          <w:color w:val="auto"/>
          <w:lang w:bidi="en-US"/>
        </w:rPr>
        <w:t>FGFR2</w:t>
      </w:r>
      <w:r w:rsidRPr="00217EA0">
        <w:rPr>
          <w:color w:val="auto"/>
          <w:lang w:bidi="en-US"/>
        </w:rPr>
        <w:t xml:space="preserve"> alterations ha</w:t>
      </w:r>
      <w:r w:rsidR="00F73B5E" w:rsidRPr="00217EA0">
        <w:rPr>
          <w:color w:val="auto"/>
          <w:lang w:bidi="en-US"/>
        </w:rPr>
        <w:t>ve a</w:t>
      </w:r>
      <w:r w:rsidRPr="00217EA0">
        <w:rPr>
          <w:color w:val="auto"/>
          <w:lang w:bidi="en-US"/>
        </w:rPr>
        <w:t xml:space="preserve"> positive prognostic effect. </w:t>
      </w:r>
      <w:r w:rsidR="00953017" w:rsidRPr="00217EA0">
        <w:rPr>
          <w:color w:val="auto"/>
        </w:rPr>
        <w:t>T</w:t>
      </w:r>
      <w:r w:rsidR="00B52443" w:rsidRPr="00217EA0">
        <w:rPr>
          <w:color w:val="auto"/>
        </w:rPr>
        <w:t xml:space="preserve">he PSCR (p7) contended that these comparisons are </w:t>
      </w:r>
      <w:proofErr w:type="gramStart"/>
      <w:r w:rsidR="00B52443" w:rsidRPr="00217EA0">
        <w:rPr>
          <w:color w:val="auto"/>
        </w:rPr>
        <w:t>flawed</w:t>
      </w:r>
      <w:proofErr w:type="gramEnd"/>
      <w:r w:rsidR="00B52443" w:rsidRPr="00217EA0">
        <w:rPr>
          <w:color w:val="auto"/>
        </w:rPr>
        <w:t xml:space="preserve"> and inappropriate sources of efficacy estimates given their limitations (including use of data from retrospective analyses to inform ITCs, uncertainty arising from statistical methods, and lack of information regarding treatments used in the chemotherapy arm).</w:t>
      </w:r>
      <w:r w:rsidR="001D7022" w:rsidRPr="00217EA0">
        <w:rPr>
          <w:color w:val="auto"/>
        </w:rPr>
        <w:t xml:space="preserve"> </w:t>
      </w:r>
      <w:r w:rsidRPr="00217EA0">
        <w:rPr>
          <w:lang w:bidi="en-US"/>
        </w:rPr>
        <w:t xml:space="preserve">In Paine 2022, age, sex, ECOG PS, proportion of patients with ≥2 lines of prior </w:t>
      </w:r>
      <w:r w:rsidRPr="00217EA0">
        <w:t>chemotherapy</w:t>
      </w:r>
      <w:r w:rsidRPr="00217EA0">
        <w:rPr>
          <w:lang w:bidi="en-US"/>
        </w:rPr>
        <w:t xml:space="preserve">, albumin ≤35 g/L and prior surgery were used as covariates in the MAIC. After matching, ESS for </w:t>
      </w:r>
      <w:proofErr w:type="spellStart"/>
      <w:r w:rsidRPr="00217EA0">
        <w:rPr>
          <w:lang w:bidi="en-US"/>
        </w:rPr>
        <w:t>futibatinib</w:t>
      </w:r>
      <w:proofErr w:type="spellEnd"/>
      <w:r w:rsidRPr="00217EA0">
        <w:rPr>
          <w:lang w:bidi="en-US"/>
        </w:rPr>
        <w:t xml:space="preserve"> was 48.5, and 65.3 for comparisons with pre-FIGHT-202 (for PFS) and Shroff 2022 (for OS), respectively</w:t>
      </w:r>
      <w:bookmarkEnd w:id="61"/>
      <w:r w:rsidR="00F749FF" w:rsidRPr="00217EA0">
        <w:rPr>
          <w:lang w:bidi="en-US"/>
        </w:rPr>
        <w:t xml:space="preserve">. </w:t>
      </w:r>
    </w:p>
    <w:p w14:paraId="4A933D02" w14:textId="77777777" w:rsidR="00AE6F3B" w:rsidRPr="00217EA0" w:rsidRDefault="00AE6F3B" w:rsidP="00316B11">
      <w:pPr>
        <w:pStyle w:val="ListParagraph"/>
        <w:rPr>
          <w:lang w:bidi="en-US"/>
        </w:rPr>
      </w:pPr>
      <w:r w:rsidRPr="00217EA0">
        <w:rPr>
          <w:lang w:bidi="en-US"/>
        </w:rPr>
        <w:t xml:space="preserve">In Borad 2022, regression models were applied to adjust for between-trial differences in baseline characteristics, though it was unclear which characteristics were adjusted for. Population-adjusted Cox regression models were used for base case time-to-event outcomes (PFS, OS and DOR) and binomial-logistic regressions for binary outcomes (ORR). </w:t>
      </w:r>
    </w:p>
    <w:p w14:paraId="0D985590" w14:textId="61144AF6" w:rsidR="00AE6F3B" w:rsidRPr="00217EA0" w:rsidRDefault="00AE6F3B" w:rsidP="00AF1AEA">
      <w:pPr>
        <w:pStyle w:val="ListParagraph"/>
        <w:rPr>
          <w:color w:val="auto"/>
          <w:lang w:bidi="en-US"/>
        </w:rPr>
      </w:pPr>
      <w:bookmarkStart w:id="62" w:name="_Ref190855093"/>
      <w:r w:rsidRPr="00217EA0">
        <w:rPr>
          <w:color w:val="auto"/>
          <w:lang w:bidi="en-US"/>
        </w:rPr>
        <w:t xml:space="preserve">The results from Paine 2022 and Borad 2022 as well as a comparison with the results of the MAIC presented in the submission are summarised in </w:t>
      </w:r>
      <w:r w:rsidRPr="00217EA0">
        <w:rPr>
          <w:color w:val="auto"/>
          <w:lang w:bidi="en-US"/>
        </w:rPr>
        <w:fldChar w:fldCharType="begin"/>
      </w:r>
      <w:r w:rsidRPr="00217EA0">
        <w:rPr>
          <w:color w:val="auto"/>
          <w:lang w:bidi="en-US"/>
        </w:rPr>
        <w:instrText xml:space="preserve"> REF _Ref184820819 \h </w:instrText>
      </w:r>
      <w:r w:rsidR="00AF1AEA" w:rsidRPr="00217EA0">
        <w:rPr>
          <w:color w:val="auto"/>
          <w:lang w:bidi="en-US"/>
        </w:rPr>
        <w:instrText xml:space="preserve"> \* MERGEFORMAT </w:instrText>
      </w:r>
      <w:r w:rsidRPr="00217EA0">
        <w:rPr>
          <w:color w:val="auto"/>
          <w:lang w:bidi="en-US"/>
        </w:rPr>
      </w:r>
      <w:r w:rsidRPr="00217EA0">
        <w:rPr>
          <w:color w:val="auto"/>
          <w:lang w:bidi="en-US"/>
        </w:rPr>
        <w:fldChar w:fldCharType="separate"/>
      </w:r>
      <w:r w:rsidR="008378C4" w:rsidRPr="008378C4">
        <w:rPr>
          <w:color w:val="auto"/>
        </w:rPr>
        <w:t>Table 15</w:t>
      </w:r>
      <w:r w:rsidRPr="00217EA0">
        <w:rPr>
          <w:color w:val="auto"/>
          <w:lang w:bidi="en-US"/>
        </w:rPr>
        <w:fldChar w:fldCharType="end"/>
      </w:r>
      <w:r w:rsidR="00DD1000" w:rsidRPr="00217EA0">
        <w:rPr>
          <w:color w:val="auto"/>
          <w:lang w:bidi="en-US"/>
        </w:rPr>
        <w:t>.</w:t>
      </w:r>
      <w:bookmarkEnd w:id="62"/>
    </w:p>
    <w:p w14:paraId="28173501" w14:textId="04CF747E" w:rsidR="00AE6F3B" w:rsidRPr="00217EA0" w:rsidRDefault="004F74E6" w:rsidP="00FA13F3">
      <w:pPr>
        <w:pStyle w:val="Caption"/>
        <w:rPr>
          <w:lang w:bidi="en-US"/>
        </w:rPr>
      </w:pPr>
      <w:bookmarkStart w:id="63" w:name="_Ref184820819"/>
      <w:r w:rsidRPr="00217EA0">
        <w:t>Table</w:t>
      </w:r>
      <w:r w:rsidR="00DD4998">
        <w:t xml:space="preserve"> </w:t>
      </w:r>
      <w:r w:rsidRPr="00217EA0">
        <w:fldChar w:fldCharType="begin"/>
      </w:r>
      <w:r w:rsidRPr="00217EA0">
        <w:instrText xml:space="preserve"> SEQ Table_PBAC. \* ARABIC </w:instrText>
      </w:r>
      <w:r w:rsidRPr="00217EA0">
        <w:fldChar w:fldCharType="separate"/>
      </w:r>
      <w:r w:rsidR="008378C4">
        <w:rPr>
          <w:noProof/>
        </w:rPr>
        <w:t>15</w:t>
      </w:r>
      <w:r w:rsidRPr="00217EA0">
        <w:fldChar w:fldCharType="end"/>
      </w:r>
      <w:bookmarkEnd w:id="63"/>
      <w:r w:rsidR="00FA13F3">
        <w:t xml:space="preserve">: </w:t>
      </w:r>
      <w:r w:rsidR="00AE6F3B" w:rsidRPr="00217EA0">
        <w:rPr>
          <w:lang w:bidi="en-US"/>
        </w:rPr>
        <w:t xml:space="preserve">Indirect comparison results between </w:t>
      </w:r>
      <w:proofErr w:type="spellStart"/>
      <w:r w:rsidR="00AE6F3B" w:rsidRPr="00217EA0">
        <w:rPr>
          <w:lang w:bidi="en-US"/>
        </w:rPr>
        <w:t>futibatinib</w:t>
      </w:r>
      <w:proofErr w:type="spellEnd"/>
      <w:r w:rsidR="00AE6F3B" w:rsidRPr="00217EA0">
        <w:rPr>
          <w:lang w:bidi="en-US"/>
        </w:rPr>
        <w:t xml:space="preserve"> and chemotherapy in </w:t>
      </w:r>
      <w:r w:rsidR="003E5C46" w:rsidRPr="003E5C46">
        <w:rPr>
          <w:i/>
          <w:lang w:bidi="en-US"/>
        </w:rPr>
        <w:t>FGFR2</w:t>
      </w:r>
      <w:r w:rsidR="00AE6F3B" w:rsidRPr="00217EA0">
        <w:rPr>
          <w:lang w:bidi="en-US"/>
        </w:rPr>
        <w:t xml:space="preserve"> altered patients in Paine 2022 and Borad 2022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5: Indirect comparison results between futibatinib and chemotherapy in FGFR2 altered patients in Paine 2022 and Borad 2022"/>
      </w:tblPr>
      <w:tblGrid>
        <w:gridCol w:w="1129"/>
        <w:gridCol w:w="1701"/>
        <w:gridCol w:w="1560"/>
        <w:gridCol w:w="2268"/>
        <w:gridCol w:w="2358"/>
      </w:tblGrid>
      <w:tr w:rsidR="007900E9" w:rsidRPr="00217EA0" w14:paraId="4F021B88" w14:textId="77777777" w:rsidTr="00FE3A7F">
        <w:trPr>
          <w:cnfStyle w:val="100000000000" w:firstRow="1" w:lastRow="0" w:firstColumn="0" w:lastColumn="0" w:oddVBand="0" w:evenVBand="0" w:oddHBand="0" w:evenHBand="0" w:firstRowFirstColumn="0" w:firstRowLastColumn="0" w:lastRowFirstColumn="0" w:lastRowLastColumn="0"/>
        </w:trPr>
        <w:tc>
          <w:tcPr>
            <w:tcW w:w="1129" w:type="dxa"/>
            <w:shd w:val="clear" w:color="auto" w:fill="auto"/>
            <w:vAlign w:val="center"/>
          </w:tcPr>
          <w:p w14:paraId="1D5929FA" w14:textId="77777777" w:rsidR="00AE6F3B" w:rsidRPr="00217EA0" w:rsidRDefault="00AE6F3B" w:rsidP="00FE3A7F">
            <w:pPr>
              <w:keepNext/>
              <w:keepLines/>
              <w:spacing w:before="0"/>
              <w:jc w:val="left"/>
              <w:rPr>
                <w:rFonts w:ascii="Arial Narrow" w:hAnsi="Arial Narrow"/>
                <w:sz w:val="20"/>
                <w:szCs w:val="20"/>
                <w:lang w:val="en-AU"/>
              </w:rPr>
            </w:pPr>
          </w:p>
        </w:tc>
        <w:tc>
          <w:tcPr>
            <w:tcW w:w="1701" w:type="dxa"/>
            <w:shd w:val="clear" w:color="auto" w:fill="auto"/>
            <w:vAlign w:val="center"/>
          </w:tcPr>
          <w:p w14:paraId="00AC21A8" w14:textId="77777777" w:rsidR="00AE6F3B" w:rsidRPr="00217EA0" w:rsidRDefault="00AE6F3B" w:rsidP="00FE3A7F">
            <w:pPr>
              <w:keepNext/>
              <w:keepLines/>
              <w:spacing w:before="0"/>
              <w:jc w:val="center"/>
              <w:rPr>
                <w:rFonts w:ascii="Arial Narrow" w:hAnsi="Arial Narrow"/>
                <w:sz w:val="20"/>
                <w:szCs w:val="20"/>
                <w:lang w:val="en-AU"/>
              </w:rPr>
            </w:pPr>
            <w:proofErr w:type="spellStart"/>
            <w:r w:rsidRPr="00217EA0">
              <w:rPr>
                <w:rFonts w:ascii="Arial Narrow" w:hAnsi="Arial Narrow"/>
                <w:sz w:val="20"/>
                <w:szCs w:val="20"/>
                <w:lang w:val="en-AU"/>
              </w:rPr>
              <w:t>Futibatinib</w:t>
            </w:r>
            <w:proofErr w:type="spellEnd"/>
            <w:r w:rsidRPr="00217EA0">
              <w:rPr>
                <w:rFonts w:ascii="Arial Narrow" w:hAnsi="Arial Narrow"/>
                <w:sz w:val="20"/>
                <w:szCs w:val="20"/>
                <w:lang w:val="en-AU"/>
              </w:rPr>
              <w:t>,</w:t>
            </w:r>
          </w:p>
          <w:p w14:paraId="6693E898" w14:textId="77777777" w:rsidR="00AE6F3B" w:rsidRPr="00217EA0" w:rsidRDefault="00AE6F3B" w:rsidP="00FE3A7F">
            <w:pPr>
              <w:keepNext/>
              <w:keepLines/>
              <w:spacing w:before="0"/>
              <w:jc w:val="center"/>
              <w:rPr>
                <w:rFonts w:ascii="Arial Narrow" w:hAnsi="Arial Narrow"/>
                <w:sz w:val="20"/>
                <w:szCs w:val="20"/>
                <w:lang w:val="en-AU"/>
              </w:rPr>
            </w:pPr>
            <w:r w:rsidRPr="00217EA0">
              <w:rPr>
                <w:rFonts w:ascii="Arial Narrow" w:hAnsi="Arial Narrow"/>
                <w:sz w:val="20"/>
                <w:szCs w:val="20"/>
                <w:lang w:val="en-AU"/>
              </w:rPr>
              <w:t>Median months (95% CI)</w:t>
            </w:r>
          </w:p>
        </w:tc>
        <w:tc>
          <w:tcPr>
            <w:tcW w:w="1560" w:type="dxa"/>
            <w:shd w:val="clear" w:color="auto" w:fill="auto"/>
            <w:vAlign w:val="center"/>
          </w:tcPr>
          <w:p w14:paraId="534F02C2" w14:textId="77777777" w:rsidR="00AE6F3B" w:rsidRPr="00217EA0" w:rsidRDefault="00AE6F3B" w:rsidP="00FE3A7F">
            <w:pPr>
              <w:keepNext/>
              <w:keepLines/>
              <w:spacing w:before="0"/>
              <w:jc w:val="center"/>
              <w:rPr>
                <w:rFonts w:ascii="Arial Narrow" w:hAnsi="Arial Narrow"/>
                <w:sz w:val="20"/>
                <w:szCs w:val="20"/>
                <w:lang w:val="en-AU"/>
              </w:rPr>
            </w:pPr>
            <w:r w:rsidRPr="00217EA0">
              <w:rPr>
                <w:rFonts w:ascii="Arial Narrow" w:hAnsi="Arial Narrow"/>
                <w:sz w:val="20"/>
                <w:szCs w:val="20"/>
                <w:lang w:val="en-AU"/>
              </w:rPr>
              <w:t>Chemotherapy,</w:t>
            </w:r>
          </w:p>
          <w:p w14:paraId="1929B53B" w14:textId="77777777" w:rsidR="00AE6F3B" w:rsidRPr="00217EA0" w:rsidRDefault="00AE6F3B" w:rsidP="00FE3A7F">
            <w:pPr>
              <w:keepNext/>
              <w:keepLines/>
              <w:spacing w:before="0"/>
              <w:jc w:val="center"/>
              <w:rPr>
                <w:rFonts w:ascii="Arial Narrow" w:hAnsi="Arial Narrow"/>
                <w:sz w:val="20"/>
                <w:szCs w:val="20"/>
                <w:lang w:val="en-AU"/>
              </w:rPr>
            </w:pPr>
            <w:r w:rsidRPr="00217EA0">
              <w:rPr>
                <w:rFonts w:ascii="Arial Narrow" w:hAnsi="Arial Narrow"/>
                <w:sz w:val="20"/>
                <w:szCs w:val="20"/>
                <w:lang w:val="en-AU"/>
              </w:rPr>
              <w:t>Median months (95% CI)</w:t>
            </w:r>
          </w:p>
        </w:tc>
        <w:tc>
          <w:tcPr>
            <w:tcW w:w="2268" w:type="dxa"/>
            <w:shd w:val="clear" w:color="auto" w:fill="auto"/>
            <w:vAlign w:val="center"/>
          </w:tcPr>
          <w:p w14:paraId="701A495C" w14:textId="77777777" w:rsidR="00AE6F3B" w:rsidRPr="00217EA0" w:rsidRDefault="00AE6F3B" w:rsidP="00FE3A7F">
            <w:pPr>
              <w:keepNext/>
              <w:keepLines/>
              <w:spacing w:before="0"/>
              <w:jc w:val="center"/>
              <w:rPr>
                <w:rFonts w:ascii="Arial Narrow" w:hAnsi="Arial Narrow"/>
                <w:sz w:val="20"/>
                <w:szCs w:val="20"/>
                <w:lang w:val="en-AU"/>
              </w:rPr>
            </w:pPr>
            <w:r w:rsidRPr="00217EA0">
              <w:rPr>
                <w:rFonts w:ascii="Arial Narrow" w:hAnsi="Arial Narrow"/>
                <w:sz w:val="20"/>
                <w:szCs w:val="20"/>
                <w:lang w:val="en-AU"/>
              </w:rPr>
              <w:t>Unadjusted HR (95% CI, p value)</w:t>
            </w:r>
          </w:p>
        </w:tc>
        <w:tc>
          <w:tcPr>
            <w:tcW w:w="2358" w:type="dxa"/>
            <w:shd w:val="clear" w:color="auto" w:fill="auto"/>
            <w:vAlign w:val="center"/>
          </w:tcPr>
          <w:p w14:paraId="3B7D3FB7" w14:textId="77777777" w:rsidR="00AE6F3B" w:rsidRPr="00217EA0" w:rsidRDefault="00AE6F3B" w:rsidP="00FE3A7F">
            <w:pPr>
              <w:keepNext/>
              <w:keepLines/>
              <w:spacing w:before="0"/>
              <w:jc w:val="center"/>
              <w:rPr>
                <w:rFonts w:ascii="Arial Narrow" w:hAnsi="Arial Narrow"/>
                <w:sz w:val="20"/>
                <w:szCs w:val="20"/>
                <w:lang w:val="en-AU"/>
              </w:rPr>
            </w:pPr>
            <w:r w:rsidRPr="00217EA0">
              <w:rPr>
                <w:rFonts w:ascii="Arial Narrow" w:hAnsi="Arial Narrow"/>
                <w:sz w:val="20"/>
                <w:szCs w:val="20"/>
                <w:lang w:val="en-AU"/>
              </w:rPr>
              <w:t>Adjusted HR (95% CI, p value)</w:t>
            </w:r>
          </w:p>
        </w:tc>
      </w:tr>
      <w:tr w:rsidR="007900E9" w:rsidRPr="00217EA0" w14:paraId="7D4B94D4" w14:textId="77777777" w:rsidTr="00FE3A7F">
        <w:tc>
          <w:tcPr>
            <w:tcW w:w="1129" w:type="dxa"/>
            <w:vAlign w:val="center"/>
          </w:tcPr>
          <w:p w14:paraId="1EE71842" w14:textId="77777777" w:rsidR="00AE6F3B" w:rsidRPr="00217EA0" w:rsidRDefault="00AE6F3B" w:rsidP="00FE3A7F">
            <w:pPr>
              <w:keepNext/>
              <w:keepLines/>
              <w:spacing w:before="0"/>
              <w:jc w:val="left"/>
              <w:rPr>
                <w:rFonts w:ascii="Arial Narrow" w:hAnsi="Arial Narrow"/>
                <w:sz w:val="20"/>
                <w:szCs w:val="20"/>
                <w:lang w:val="en-AU"/>
              </w:rPr>
            </w:pPr>
            <w:r w:rsidRPr="00217EA0">
              <w:rPr>
                <w:rFonts w:ascii="Arial Narrow" w:hAnsi="Arial Narrow"/>
                <w:sz w:val="20"/>
                <w:szCs w:val="20"/>
                <w:lang w:val="en-AU"/>
              </w:rPr>
              <w:t>Paine 2022</w:t>
            </w:r>
          </w:p>
        </w:tc>
        <w:tc>
          <w:tcPr>
            <w:tcW w:w="1701" w:type="dxa"/>
            <w:vAlign w:val="center"/>
          </w:tcPr>
          <w:p w14:paraId="229A6C60" w14:textId="77777777" w:rsidR="00AE6F3B" w:rsidRPr="00217EA0" w:rsidRDefault="00AE6F3B" w:rsidP="00FE3A7F">
            <w:pPr>
              <w:keepNext/>
              <w:keepLines/>
              <w:spacing w:before="0"/>
              <w:jc w:val="center"/>
              <w:rPr>
                <w:rFonts w:ascii="Arial Narrow" w:hAnsi="Arial Narrow"/>
                <w:sz w:val="20"/>
                <w:szCs w:val="20"/>
                <w:lang w:val="en-AU"/>
              </w:rPr>
            </w:pPr>
          </w:p>
        </w:tc>
        <w:tc>
          <w:tcPr>
            <w:tcW w:w="1560" w:type="dxa"/>
            <w:vAlign w:val="center"/>
          </w:tcPr>
          <w:p w14:paraId="193C74E5" w14:textId="77777777" w:rsidR="00AE6F3B" w:rsidRPr="00217EA0" w:rsidRDefault="00AE6F3B" w:rsidP="00FE3A7F">
            <w:pPr>
              <w:keepNext/>
              <w:keepLines/>
              <w:spacing w:before="0"/>
              <w:jc w:val="center"/>
              <w:rPr>
                <w:rFonts w:ascii="Arial Narrow" w:hAnsi="Arial Narrow"/>
                <w:sz w:val="20"/>
                <w:szCs w:val="20"/>
                <w:lang w:val="en-AU"/>
              </w:rPr>
            </w:pPr>
          </w:p>
        </w:tc>
        <w:tc>
          <w:tcPr>
            <w:tcW w:w="2268" w:type="dxa"/>
            <w:vAlign w:val="center"/>
          </w:tcPr>
          <w:p w14:paraId="3F5D3CC0" w14:textId="77777777" w:rsidR="00AE6F3B" w:rsidRPr="00217EA0" w:rsidRDefault="00AE6F3B" w:rsidP="00FE3A7F">
            <w:pPr>
              <w:keepNext/>
              <w:keepLines/>
              <w:spacing w:before="0"/>
              <w:jc w:val="center"/>
              <w:rPr>
                <w:rFonts w:ascii="Arial Narrow" w:hAnsi="Arial Narrow"/>
                <w:sz w:val="20"/>
                <w:szCs w:val="20"/>
                <w:lang w:val="en-AU"/>
              </w:rPr>
            </w:pPr>
          </w:p>
        </w:tc>
        <w:tc>
          <w:tcPr>
            <w:tcW w:w="2358" w:type="dxa"/>
            <w:vAlign w:val="center"/>
          </w:tcPr>
          <w:p w14:paraId="76F05721" w14:textId="77777777" w:rsidR="00AE6F3B" w:rsidRPr="00217EA0" w:rsidRDefault="00AE6F3B" w:rsidP="00FE3A7F">
            <w:pPr>
              <w:keepNext/>
              <w:keepLines/>
              <w:spacing w:before="0"/>
              <w:jc w:val="center"/>
              <w:rPr>
                <w:rFonts w:ascii="Arial Narrow" w:hAnsi="Arial Narrow"/>
                <w:sz w:val="20"/>
                <w:szCs w:val="20"/>
                <w:lang w:val="en-AU"/>
              </w:rPr>
            </w:pPr>
          </w:p>
        </w:tc>
      </w:tr>
      <w:tr w:rsidR="007900E9" w:rsidRPr="00217EA0" w14:paraId="0AAC4C10" w14:textId="77777777" w:rsidTr="00EE2D17">
        <w:tc>
          <w:tcPr>
            <w:tcW w:w="1129" w:type="dxa"/>
            <w:vAlign w:val="center"/>
          </w:tcPr>
          <w:p w14:paraId="5799955B" w14:textId="77777777" w:rsidR="00AE6F3B" w:rsidRPr="00217EA0" w:rsidRDefault="00AE6F3B" w:rsidP="00FE3A7F">
            <w:pPr>
              <w:keepNext/>
              <w:keepLines/>
              <w:spacing w:before="0"/>
              <w:jc w:val="left"/>
              <w:rPr>
                <w:rFonts w:ascii="Arial Narrow" w:hAnsi="Arial Narrow"/>
                <w:sz w:val="20"/>
                <w:szCs w:val="20"/>
                <w:lang w:val="en-AU"/>
              </w:rPr>
            </w:pPr>
            <w:r w:rsidRPr="00217EA0">
              <w:rPr>
                <w:rFonts w:ascii="Arial Narrow" w:hAnsi="Arial Narrow"/>
                <w:sz w:val="20"/>
                <w:szCs w:val="20"/>
                <w:lang w:val="en-AU"/>
              </w:rPr>
              <w:t xml:space="preserve">PFS </w:t>
            </w:r>
          </w:p>
        </w:tc>
        <w:tc>
          <w:tcPr>
            <w:tcW w:w="1701" w:type="dxa"/>
            <w:shd w:val="clear" w:color="auto" w:fill="auto"/>
            <w:vAlign w:val="center"/>
          </w:tcPr>
          <w:p w14:paraId="3A03A624" w14:textId="77777777" w:rsidR="00AE6F3B" w:rsidRPr="00217EA0" w:rsidRDefault="00AE6F3B" w:rsidP="00FE3A7F">
            <w:pPr>
              <w:keepNext/>
              <w:keepLines/>
              <w:spacing w:before="0"/>
              <w:jc w:val="center"/>
              <w:rPr>
                <w:rFonts w:ascii="Arial Narrow" w:hAnsi="Arial Narrow"/>
                <w:sz w:val="20"/>
                <w:szCs w:val="20"/>
                <w:lang w:val="en-AU"/>
              </w:rPr>
            </w:pPr>
            <w:r w:rsidRPr="00217EA0">
              <w:rPr>
                <w:rFonts w:ascii="Arial Narrow" w:hAnsi="Arial Narrow"/>
                <w:sz w:val="20"/>
                <w:szCs w:val="20"/>
                <w:lang w:val="en-AU"/>
              </w:rPr>
              <w:t>9.0 (6.9, 13.1)</w:t>
            </w:r>
          </w:p>
        </w:tc>
        <w:tc>
          <w:tcPr>
            <w:tcW w:w="1560" w:type="dxa"/>
            <w:shd w:val="clear" w:color="auto" w:fill="auto"/>
            <w:vAlign w:val="center"/>
          </w:tcPr>
          <w:p w14:paraId="39098400" w14:textId="77777777" w:rsidR="00AE6F3B" w:rsidRPr="00217EA0" w:rsidRDefault="00AE6F3B" w:rsidP="00FE3A7F">
            <w:pPr>
              <w:keepNext/>
              <w:keepLines/>
              <w:spacing w:before="0"/>
              <w:jc w:val="center"/>
              <w:rPr>
                <w:rFonts w:ascii="Arial Narrow" w:hAnsi="Arial Narrow"/>
                <w:sz w:val="20"/>
                <w:szCs w:val="20"/>
                <w:vertAlign w:val="superscript"/>
                <w:lang w:val="en-AU"/>
              </w:rPr>
            </w:pPr>
            <w:r w:rsidRPr="00217EA0">
              <w:rPr>
                <w:rFonts w:ascii="Arial Narrow" w:hAnsi="Arial Narrow"/>
                <w:sz w:val="20"/>
                <w:szCs w:val="20"/>
                <w:lang w:val="en-AU"/>
              </w:rPr>
              <w:t xml:space="preserve">4.4 (3.0- 5.7) </w:t>
            </w:r>
            <w:r w:rsidRPr="00217EA0">
              <w:rPr>
                <w:rFonts w:ascii="Arial Narrow" w:hAnsi="Arial Narrow"/>
                <w:sz w:val="20"/>
                <w:szCs w:val="20"/>
                <w:vertAlign w:val="superscript"/>
                <w:lang w:val="en-AU"/>
              </w:rPr>
              <w:t>a</w:t>
            </w:r>
          </w:p>
        </w:tc>
        <w:tc>
          <w:tcPr>
            <w:tcW w:w="2268" w:type="dxa"/>
            <w:shd w:val="clear" w:color="auto" w:fill="auto"/>
            <w:vAlign w:val="center"/>
          </w:tcPr>
          <w:p w14:paraId="3D19D46F" w14:textId="77777777" w:rsidR="00AE6F3B" w:rsidRPr="00217EA0" w:rsidRDefault="00AE6F3B" w:rsidP="00FE3A7F">
            <w:pPr>
              <w:keepNext/>
              <w:keepLines/>
              <w:spacing w:before="0"/>
              <w:jc w:val="center"/>
              <w:rPr>
                <w:rFonts w:ascii="Arial Narrow" w:hAnsi="Arial Narrow"/>
                <w:b/>
                <w:bCs/>
                <w:sz w:val="20"/>
                <w:szCs w:val="20"/>
                <w:lang w:val="en-AU"/>
              </w:rPr>
            </w:pPr>
            <w:r w:rsidRPr="00217EA0">
              <w:rPr>
                <w:rFonts w:ascii="Arial Narrow" w:hAnsi="Arial Narrow"/>
                <w:b/>
                <w:bCs/>
                <w:sz w:val="20"/>
                <w:szCs w:val="20"/>
                <w:lang w:val="en-AU"/>
              </w:rPr>
              <w:t>0.40 (0.27-0.59, &lt;0.0001)</w:t>
            </w:r>
          </w:p>
        </w:tc>
        <w:tc>
          <w:tcPr>
            <w:tcW w:w="2358" w:type="dxa"/>
            <w:shd w:val="clear" w:color="auto" w:fill="auto"/>
            <w:vAlign w:val="center"/>
          </w:tcPr>
          <w:p w14:paraId="22F77766" w14:textId="77777777" w:rsidR="00AE6F3B" w:rsidRPr="00217EA0" w:rsidRDefault="00AE6F3B" w:rsidP="00FE3A7F">
            <w:pPr>
              <w:keepNext/>
              <w:keepLines/>
              <w:spacing w:before="0"/>
              <w:jc w:val="center"/>
              <w:rPr>
                <w:rFonts w:ascii="Arial Narrow" w:hAnsi="Arial Narrow"/>
                <w:b/>
                <w:bCs/>
                <w:sz w:val="20"/>
                <w:szCs w:val="20"/>
                <w:lang w:val="en-AU"/>
              </w:rPr>
            </w:pPr>
            <w:r w:rsidRPr="00217EA0">
              <w:rPr>
                <w:rFonts w:ascii="Arial Narrow" w:hAnsi="Arial Narrow"/>
                <w:b/>
                <w:bCs/>
                <w:sz w:val="20"/>
                <w:szCs w:val="20"/>
                <w:lang w:val="en-AU"/>
              </w:rPr>
              <w:t xml:space="preserve">0.48 (0.30-0.76, 0.002) </w:t>
            </w:r>
            <w:r w:rsidRPr="00217EA0">
              <w:rPr>
                <w:rFonts w:ascii="Arial Narrow" w:hAnsi="Arial Narrow"/>
                <w:b/>
                <w:bCs/>
                <w:sz w:val="20"/>
                <w:szCs w:val="20"/>
                <w:vertAlign w:val="superscript"/>
                <w:lang w:val="en-AU"/>
              </w:rPr>
              <w:t>b</w:t>
            </w:r>
          </w:p>
        </w:tc>
      </w:tr>
      <w:tr w:rsidR="007900E9" w:rsidRPr="00217EA0" w14:paraId="19A09EDA" w14:textId="77777777" w:rsidTr="00EE2D17">
        <w:tc>
          <w:tcPr>
            <w:tcW w:w="1129" w:type="dxa"/>
            <w:vAlign w:val="center"/>
          </w:tcPr>
          <w:p w14:paraId="0EEECAA5" w14:textId="77777777" w:rsidR="00AE6F3B" w:rsidRPr="00217EA0" w:rsidRDefault="00AE6F3B" w:rsidP="00FE3A7F">
            <w:pPr>
              <w:keepNext/>
              <w:keepLines/>
              <w:spacing w:before="0"/>
              <w:jc w:val="left"/>
              <w:rPr>
                <w:rFonts w:ascii="Arial Narrow" w:hAnsi="Arial Narrow"/>
                <w:sz w:val="20"/>
                <w:szCs w:val="20"/>
                <w:lang w:val="en-AU"/>
              </w:rPr>
            </w:pPr>
            <w:r w:rsidRPr="00217EA0">
              <w:rPr>
                <w:rFonts w:ascii="Arial Narrow" w:hAnsi="Arial Narrow"/>
                <w:sz w:val="20"/>
                <w:szCs w:val="20"/>
                <w:lang w:val="en-AU"/>
              </w:rPr>
              <w:t>OS</w:t>
            </w:r>
          </w:p>
        </w:tc>
        <w:tc>
          <w:tcPr>
            <w:tcW w:w="1701" w:type="dxa"/>
            <w:shd w:val="clear" w:color="auto" w:fill="auto"/>
            <w:vAlign w:val="center"/>
          </w:tcPr>
          <w:p w14:paraId="79E0E4B2" w14:textId="77777777" w:rsidR="00AE6F3B" w:rsidRPr="00217EA0" w:rsidRDefault="00AE6F3B" w:rsidP="00FE3A7F">
            <w:pPr>
              <w:keepNext/>
              <w:keepLines/>
              <w:spacing w:before="0"/>
              <w:jc w:val="center"/>
              <w:rPr>
                <w:rFonts w:ascii="Arial Narrow" w:hAnsi="Arial Narrow"/>
                <w:sz w:val="20"/>
                <w:szCs w:val="20"/>
                <w:lang w:val="en-AU"/>
              </w:rPr>
            </w:pPr>
            <w:r w:rsidRPr="00217EA0">
              <w:rPr>
                <w:rFonts w:ascii="Arial Narrow" w:hAnsi="Arial Narrow"/>
                <w:sz w:val="20"/>
                <w:szCs w:val="20"/>
                <w:lang w:val="en-AU"/>
              </w:rPr>
              <w:t>21.7 (14.5-NE)</w:t>
            </w:r>
          </w:p>
        </w:tc>
        <w:tc>
          <w:tcPr>
            <w:tcW w:w="1560" w:type="dxa"/>
            <w:shd w:val="clear" w:color="auto" w:fill="auto"/>
            <w:vAlign w:val="center"/>
          </w:tcPr>
          <w:p w14:paraId="43B268D1" w14:textId="77777777" w:rsidR="00AE6F3B" w:rsidRPr="00217EA0" w:rsidRDefault="00AE6F3B" w:rsidP="00FE3A7F">
            <w:pPr>
              <w:keepNext/>
              <w:keepLines/>
              <w:spacing w:before="0"/>
              <w:jc w:val="center"/>
              <w:rPr>
                <w:rFonts w:ascii="Arial Narrow" w:hAnsi="Arial Narrow"/>
                <w:sz w:val="20"/>
                <w:szCs w:val="20"/>
                <w:vertAlign w:val="superscript"/>
                <w:lang w:val="en-AU"/>
              </w:rPr>
            </w:pPr>
            <w:r w:rsidRPr="00217EA0">
              <w:rPr>
                <w:rFonts w:ascii="Arial Narrow" w:hAnsi="Arial Narrow"/>
                <w:sz w:val="20"/>
                <w:szCs w:val="20"/>
                <w:lang w:val="en-AU"/>
              </w:rPr>
              <w:t xml:space="preserve">12.1 (8.4-17.1) </w:t>
            </w:r>
            <w:r w:rsidRPr="00217EA0">
              <w:rPr>
                <w:rFonts w:ascii="Arial Narrow" w:hAnsi="Arial Narrow"/>
                <w:sz w:val="20"/>
                <w:szCs w:val="20"/>
                <w:vertAlign w:val="superscript"/>
                <w:lang w:val="en-AU"/>
              </w:rPr>
              <w:t>c</w:t>
            </w:r>
          </w:p>
        </w:tc>
        <w:tc>
          <w:tcPr>
            <w:tcW w:w="2268" w:type="dxa"/>
            <w:shd w:val="clear" w:color="auto" w:fill="auto"/>
            <w:vAlign w:val="center"/>
          </w:tcPr>
          <w:p w14:paraId="2E6BDFD6" w14:textId="77777777" w:rsidR="00AE6F3B" w:rsidRPr="00217EA0" w:rsidRDefault="00AE6F3B" w:rsidP="00FE3A7F">
            <w:pPr>
              <w:keepNext/>
              <w:keepLines/>
              <w:spacing w:before="0"/>
              <w:jc w:val="center"/>
              <w:rPr>
                <w:rFonts w:ascii="Arial Narrow" w:hAnsi="Arial Narrow"/>
                <w:b/>
                <w:bCs/>
                <w:sz w:val="20"/>
                <w:szCs w:val="20"/>
                <w:lang w:val="en-AU"/>
              </w:rPr>
            </w:pPr>
            <w:r w:rsidRPr="00217EA0">
              <w:rPr>
                <w:rFonts w:ascii="Arial Narrow" w:hAnsi="Arial Narrow"/>
                <w:b/>
                <w:bCs/>
                <w:sz w:val="20"/>
                <w:szCs w:val="20"/>
                <w:lang w:val="en-AU"/>
              </w:rPr>
              <w:t>0.54 (0.35-0.81, 0.003)</w:t>
            </w:r>
          </w:p>
        </w:tc>
        <w:tc>
          <w:tcPr>
            <w:tcW w:w="2358" w:type="dxa"/>
            <w:shd w:val="clear" w:color="auto" w:fill="auto"/>
            <w:vAlign w:val="center"/>
          </w:tcPr>
          <w:p w14:paraId="7B76DA46" w14:textId="77777777" w:rsidR="00AE6F3B" w:rsidRPr="00217EA0" w:rsidRDefault="00AE6F3B" w:rsidP="00FE3A7F">
            <w:pPr>
              <w:keepNext/>
              <w:keepLines/>
              <w:spacing w:before="0"/>
              <w:jc w:val="center"/>
              <w:rPr>
                <w:rFonts w:ascii="Arial Narrow" w:hAnsi="Arial Narrow"/>
                <w:b/>
                <w:bCs/>
                <w:sz w:val="20"/>
                <w:szCs w:val="20"/>
                <w:lang w:val="en-AU"/>
              </w:rPr>
            </w:pPr>
            <w:r w:rsidRPr="00217EA0">
              <w:rPr>
                <w:rFonts w:ascii="Arial Narrow" w:hAnsi="Arial Narrow"/>
                <w:b/>
                <w:bCs/>
                <w:sz w:val="20"/>
                <w:szCs w:val="20"/>
                <w:lang w:val="en-AU"/>
              </w:rPr>
              <w:t>0.48 (0.31-0.74, 0.001)</w:t>
            </w:r>
          </w:p>
        </w:tc>
      </w:tr>
      <w:tr w:rsidR="007900E9" w:rsidRPr="00217EA0" w14:paraId="289FEF60" w14:textId="77777777" w:rsidTr="00EE2D17">
        <w:tc>
          <w:tcPr>
            <w:tcW w:w="1129" w:type="dxa"/>
            <w:vAlign w:val="center"/>
          </w:tcPr>
          <w:p w14:paraId="41FAC891" w14:textId="77777777" w:rsidR="00AE6F3B" w:rsidRPr="00217EA0" w:rsidRDefault="00AE6F3B" w:rsidP="00FE3A7F">
            <w:pPr>
              <w:keepNext/>
              <w:keepLines/>
              <w:spacing w:before="0"/>
              <w:jc w:val="left"/>
              <w:rPr>
                <w:rFonts w:ascii="Arial Narrow" w:hAnsi="Arial Narrow"/>
                <w:sz w:val="20"/>
                <w:szCs w:val="20"/>
                <w:lang w:val="en-AU"/>
              </w:rPr>
            </w:pPr>
            <w:r w:rsidRPr="00217EA0">
              <w:rPr>
                <w:rFonts w:ascii="Arial Narrow" w:hAnsi="Arial Narrow"/>
                <w:sz w:val="20"/>
                <w:szCs w:val="20"/>
                <w:lang w:val="en-AU"/>
              </w:rPr>
              <w:t>Borad 2022</w:t>
            </w:r>
          </w:p>
        </w:tc>
        <w:tc>
          <w:tcPr>
            <w:tcW w:w="1701" w:type="dxa"/>
            <w:shd w:val="clear" w:color="auto" w:fill="auto"/>
            <w:vAlign w:val="center"/>
          </w:tcPr>
          <w:p w14:paraId="4CED456E" w14:textId="77777777" w:rsidR="00AE6F3B" w:rsidRPr="00217EA0" w:rsidRDefault="00AE6F3B" w:rsidP="00FE3A7F">
            <w:pPr>
              <w:keepNext/>
              <w:keepLines/>
              <w:spacing w:before="0"/>
              <w:jc w:val="center"/>
              <w:rPr>
                <w:rFonts w:ascii="Arial Narrow" w:hAnsi="Arial Narrow"/>
                <w:sz w:val="20"/>
                <w:szCs w:val="20"/>
                <w:lang w:val="en-AU"/>
              </w:rPr>
            </w:pPr>
          </w:p>
        </w:tc>
        <w:tc>
          <w:tcPr>
            <w:tcW w:w="1560" w:type="dxa"/>
            <w:shd w:val="clear" w:color="auto" w:fill="auto"/>
            <w:vAlign w:val="center"/>
          </w:tcPr>
          <w:p w14:paraId="458D763C" w14:textId="77777777" w:rsidR="00AE6F3B" w:rsidRPr="00217EA0" w:rsidRDefault="00AE6F3B" w:rsidP="00FE3A7F">
            <w:pPr>
              <w:keepNext/>
              <w:keepLines/>
              <w:spacing w:before="0"/>
              <w:jc w:val="center"/>
              <w:rPr>
                <w:rFonts w:ascii="Arial Narrow" w:hAnsi="Arial Narrow"/>
                <w:sz w:val="20"/>
                <w:szCs w:val="20"/>
                <w:lang w:val="en-AU"/>
              </w:rPr>
            </w:pPr>
          </w:p>
        </w:tc>
        <w:tc>
          <w:tcPr>
            <w:tcW w:w="2268" w:type="dxa"/>
            <w:shd w:val="clear" w:color="auto" w:fill="auto"/>
            <w:vAlign w:val="center"/>
          </w:tcPr>
          <w:p w14:paraId="5EFDBD80" w14:textId="77777777" w:rsidR="00AE6F3B" w:rsidRPr="00217EA0" w:rsidRDefault="00AE6F3B" w:rsidP="00FE3A7F">
            <w:pPr>
              <w:keepNext/>
              <w:keepLines/>
              <w:spacing w:before="0"/>
              <w:jc w:val="center"/>
              <w:rPr>
                <w:rFonts w:ascii="Arial Narrow" w:hAnsi="Arial Narrow"/>
                <w:sz w:val="20"/>
                <w:szCs w:val="20"/>
                <w:lang w:val="en-AU"/>
              </w:rPr>
            </w:pPr>
          </w:p>
        </w:tc>
        <w:tc>
          <w:tcPr>
            <w:tcW w:w="2358" w:type="dxa"/>
            <w:shd w:val="clear" w:color="auto" w:fill="auto"/>
            <w:vAlign w:val="center"/>
          </w:tcPr>
          <w:p w14:paraId="475BD24F" w14:textId="77777777" w:rsidR="00AE6F3B" w:rsidRPr="00217EA0" w:rsidRDefault="00AE6F3B" w:rsidP="00FE3A7F">
            <w:pPr>
              <w:keepNext/>
              <w:keepLines/>
              <w:spacing w:before="0"/>
              <w:jc w:val="center"/>
              <w:rPr>
                <w:rFonts w:ascii="Arial Narrow" w:hAnsi="Arial Narrow"/>
                <w:sz w:val="20"/>
                <w:szCs w:val="20"/>
                <w:lang w:val="en-AU"/>
              </w:rPr>
            </w:pPr>
          </w:p>
        </w:tc>
      </w:tr>
      <w:tr w:rsidR="007900E9" w:rsidRPr="00217EA0" w14:paraId="1DA0C8B6" w14:textId="77777777" w:rsidTr="00EE2D17">
        <w:tc>
          <w:tcPr>
            <w:tcW w:w="1129" w:type="dxa"/>
            <w:vAlign w:val="center"/>
          </w:tcPr>
          <w:p w14:paraId="1AAF0514" w14:textId="77777777" w:rsidR="00AE6F3B" w:rsidRPr="00217EA0" w:rsidRDefault="00AE6F3B" w:rsidP="00FE3A7F">
            <w:pPr>
              <w:keepNext/>
              <w:keepLines/>
              <w:spacing w:before="0"/>
              <w:jc w:val="left"/>
              <w:rPr>
                <w:rFonts w:ascii="Arial Narrow" w:hAnsi="Arial Narrow"/>
                <w:sz w:val="20"/>
                <w:szCs w:val="20"/>
                <w:lang w:val="en-AU"/>
              </w:rPr>
            </w:pPr>
            <w:r w:rsidRPr="00217EA0">
              <w:rPr>
                <w:rFonts w:ascii="Arial Narrow" w:hAnsi="Arial Narrow"/>
                <w:sz w:val="20"/>
                <w:szCs w:val="20"/>
                <w:lang w:val="en-AU"/>
              </w:rPr>
              <w:t xml:space="preserve">PFS </w:t>
            </w:r>
          </w:p>
        </w:tc>
        <w:tc>
          <w:tcPr>
            <w:tcW w:w="1701" w:type="dxa"/>
            <w:shd w:val="clear" w:color="auto" w:fill="auto"/>
            <w:vAlign w:val="center"/>
          </w:tcPr>
          <w:p w14:paraId="47628384" w14:textId="77777777" w:rsidR="00AE6F3B" w:rsidRPr="00217EA0" w:rsidRDefault="00AE6F3B" w:rsidP="00FE3A7F">
            <w:pPr>
              <w:keepNext/>
              <w:keepLines/>
              <w:spacing w:before="0"/>
              <w:jc w:val="center"/>
              <w:rPr>
                <w:rFonts w:ascii="Arial Narrow" w:hAnsi="Arial Narrow"/>
                <w:sz w:val="20"/>
                <w:szCs w:val="20"/>
                <w:lang w:val="en-AU"/>
              </w:rPr>
            </w:pPr>
            <w:r w:rsidRPr="00217EA0">
              <w:rPr>
                <w:rFonts w:ascii="Arial Narrow" w:hAnsi="Arial Narrow"/>
                <w:sz w:val="20"/>
                <w:szCs w:val="20"/>
                <w:lang w:val="en-AU"/>
              </w:rPr>
              <w:t>NR</w:t>
            </w:r>
          </w:p>
        </w:tc>
        <w:tc>
          <w:tcPr>
            <w:tcW w:w="1560" w:type="dxa"/>
            <w:shd w:val="clear" w:color="auto" w:fill="auto"/>
            <w:vAlign w:val="center"/>
          </w:tcPr>
          <w:p w14:paraId="295C4216" w14:textId="77777777" w:rsidR="00AE6F3B" w:rsidRPr="00217EA0" w:rsidRDefault="00AE6F3B" w:rsidP="00FE3A7F">
            <w:pPr>
              <w:keepNext/>
              <w:keepLines/>
              <w:spacing w:before="0"/>
              <w:jc w:val="center"/>
              <w:rPr>
                <w:rFonts w:ascii="Arial Narrow" w:hAnsi="Arial Narrow"/>
                <w:sz w:val="20"/>
                <w:szCs w:val="20"/>
                <w:lang w:val="en-AU"/>
              </w:rPr>
            </w:pPr>
            <w:r w:rsidRPr="00217EA0">
              <w:rPr>
                <w:rFonts w:ascii="Arial Narrow" w:hAnsi="Arial Narrow"/>
                <w:sz w:val="20"/>
                <w:szCs w:val="20"/>
                <w:lang w:val="en-AU"/>
              </w:rPr>
              <w:t>NR</w:t>
            </w:r>
          </w:p>
        </w:tc>
        <w:tc>
          <w:tcPr>
            <w:tcW w:w="2268" w:type="dxa"/>
            <w:shd w:val="clear" w:color="auto" w:fill="auto"/>
            <w:vAlign w:val="center"/>
          </w:tcPr>
          <w:p w14:paraId="53600561" w14:textId="77777777" w:rsidR="00AE6F3B" w:rsidRPr="00217EA0" w:rsidRDefault="00AE6F3B" w:rsidP="00FE3A7F">
            <w:pPr>
              <w:keepNext/>
              <w:keepLines/>
              <w:spacing w:before="0"/>
              <w:jc w:val="center"/>
              <w:rPr>
                <w:rFonts w:ascii="Arial Narrow" w:hAnsi="Arial Narrow"/>
                <w:b/>
                <w:bCs/>
                <w:sz w:val="20"/>
                <w:szCs w:val="20"/>
                <w:lang w:val="en-AU"/>
              </w:rPr>
            </w:pPr>
            <w:r w:rsidRPr="00217EA0">
              <w:rPr>
                <w:rFonts w:ascii="Arial Narrow" w:hAnsi="Arial Narrow"/>
                <w:b/>
                <w:bCs/>
                <w:sz w:val="20"/>
                <w:szCs w:val="20"/>
                <w:lang w:val="en-AU"/>
              </w:rPr>
              <w:t>0.40 (0.27-0.59, ≤0.01)</w:t>
            </w:r>
          </w:p>
        </w:tc>
        <w:tc>
          <w:tcPr>
            <w:tcW w:w="2358" w:type="dxa"/>
            <w:shd w:val="clear" w:color="auto" w:fill="auto"/>
            <w:vAlign w:val="center"/>
          </w:tcPr>
          <w:p w14:paraId="25BB4DB4" w14:textId="77777777" w:rsidR="00AE6F3B" w:rsidRPr="00217EA0" w:rsidRDefault="00AE6F3B" w:rsidP="00FE3A7F">
            <w:pPr>
              <w:keepNext/>
              <w:keepLines/>
              <w:spacing w:before="0"/>
              <w:jc w:val="center"/>
              <w:rPr>
                <w:rFonts w:ascii="Arial Narrow" w:hAnsi="Arial Narrow"/>
                <w:b/>
                <w:bCs/>
                <w:sz w:val="20"/>
                <w:szCs w:val="20"/>
                <w:lang w:val="en-AU"/>
              </w:rPr>
            </w:pPr>
            <w:r w:rsidRPr="00217EA0">
              <w:rPr>
                <w:rFonts w:ascii="Arial Narrow" w:hAnsi="Arial Narrow"/>
                <w:b/>
                <w:bCs/>
                <w:sz w:val="20"/>
                <w:szCs w:val="20"/>
                <w:lang w:val="en-AU"/>
              </w:rPr>
              <w:t>0.53 (0.33-0.86, ≤0.01)</w:t>
            </w:r>
          </w:p>
        </w:tc>
      </w:tr>
      <w:tr w:rsidR="007900E9" w:rsidRPr="00217EA0" w14:paraId="3C4EA2D3" w14:textId="77777777" w:rsidTr="00EE2D17">
        <w:tc>
          <w:tcPr>
            <w:tcW w:w="1129" w:type="dxa"/>
            <w:vAlign w:val="center"/>
          </w:tcPr>
          <w:p w14:paraId="3C40AB2F" w14:textId="77777777" w:rsidR="00AE6F3B" w:rsidRPr="00217EA0" w:rsidRDefault="00AE6F3B" w:rsidP="00FE3A7F">
            <w:pPr>
              <w:keepNext/>
              <w:keepLines/>
              <w:spacing w:before="0"/>
              <w:jc w:val="left"/>
              <w:rPr>
                <w:rFonts w:ascii="Arial Narrow" w:hAnsi="Arial Narrow"/>
                <w:sz w:val="20"/>
                <w:szCs w:val="20"/>
                <w:lang w:val="en-AU"/>
              </w:rPr>
            </w:pPr>
            <w:r w:rsidRPr="00217EA0">
              <w:rPr>
                <w:rFonts w:ascii="Arial Narrow" w:hAnsi="Arial Narrow"/>
                <w:sz w:val="20"/>
                <w:szCs w:val="20"/>
                <w:lang w:val="en-AU"/>
              </w:rPr>
              <w:t>OS</w:t>
            </w:r>
          </w:p>
        </w:tc>
        <w:tc>
          <w:tcPr>
            <w:tcW w:w="1701" w:type="dxa"/>
            <w:shd w:val="clear" w:color="auto" w:fill="auto"/>
            <w:vAlign w:val="center"/>
          </w:tcPr>
          <w:p w14:paraId="17F40557" w14:textId="77777777" w:rsidR="00AE6F3B" w:rsidRPr="00217EA0" w:rsidRDefault="00AE6F3B" w:rsidP="00FE3A7F">
            <w:pPr>
              <w:keepNext/>
              <w:keepLines/>
              <w:spacing w:before="0"/>
              <w:jc w:val="center"/>
              <w:rPr>
                <w:rFonts w:ascii="Arial Narrow" w:hAnsi="Arial Narrow"/>
                <w:sz w:val="20"/>
                <w:szCs w:val="20"/>
                <w:lang w:val="en-AU"/>
              </w:rPr>
            </w:pPr>
            <w:r w:rsidRPr="00217EA0">
              <w:rPr>
                <w:rFonts w:ascii="Arial Narrow" w:hAnsi="Arial Narrow"/>
                <w:sz w:val="20"/>
                <w:szCs w:val="20"/>
                <w:lang w:val="en-AU"/>
              </w:rPr>
              <w:t>NR</w:t>
            </w:r>
          </w:p>
        </w:tc>
        <w:tc>
          <w:tcPr>
            <w:tcW w:w="1560" w:type="dxa"/>
            <w:shd w:val="clear" w:color="auto" w:fill="auto"/>
            <w:vAlign w:val="center"/>
          </w:tcPr>
          <w:p w14:paraId="077D973A" w14:textId="77777777" w:rsidR="00AE6F3B" w:rsidRPr="00217EA0" w:rsidRDefault="00AE6F3B" w:rsidP="00FE3A7F">
            <w:pPr>
              <w:keepNext/>
              <w:keepLines/>
              <w:spacing w:before="0"/>
              <w:jc w:val="center"/>
              <w:rPr>
                <w:rFonts w:ascii="Arial Narrow" w:hAnsi="Arial Narrow"/>
                <w:sz w:val="20"/>
                <w:szCs w:val="20"/>
                <w:lang w:val="en-AU"/>
              </w:rPr>
            </w:pPr>
            <w:r w:rsidRPr="00217EA0">
              <w:rPr>
                <w:rFonts w:ascii="Arial Narrow" w:hAnsi="Arial Narrow"/>
                <w:sz w:val="20"/>
                <w:szCs w:val="20"/>
                <w:lang w:val="en-AU"/>
              </w:rPr>
              <w:t>NR</w:t>
            </w:r>
          </w:p>
        </w:tc>
        <w:tc>
          <w:tcPr>
            <w:tcW w:w="2268" w:type="dxa"/>
            <w:shd w:val="clear" w:color="auto" w:fill="auto"/>
            <w:vAlign w:val="center"/>
          </w:tcPr>
          <w:p w14:paraId="781F3D85" w14:textId="77777777" w:rsidR="00AE6F3B" w:rsidRPr="00217EA0" w:rsidRDefault="00AE6F3B" w:rsidP="00FE3A7F">
            <w:pPr>
              <w:keepNext/>
              <w:keepLines/>
              <w:spacing w:before="0"/>
              <w:jc w:val="center"/>
              <w:rPr>
                <w:rFonts w:ascii="Arial Narrow" w:hAnsi="Arial Narrow"/>
                <w:b/>
                <w:bCs/>
                <w:sz w:val="20"/>
                <w:szCs w:val="20"/>
                <w:lang w:val="en-AU"/>
              </w:rPr>
            </w:pPr>
            <w:r w:rsidRPr="00217EA0">
              <w:rPr>
                <w:rFonts w:ascii="Arial Narrow" w:hAnsi="Arial Narrow"/>
                <w:b/>
                <w:bCs/>
                <w:sz w:val="20"/>
                <w:szCs w:val="20"/>
                <w:lang w:val="en-AU"/>
              </w:rPr>
              <w:t>0.53 (0.35-0.81, ≤0.01)</w:t>
            </w:r>
          </w:p>
        </w:tc>
        <w:tc>
          <w:tcPr>
            <w:tcW w:w="2358" w:type="dxa"/>
            <w:shd w:val="clear" w:color="auto" w:fill="auto"/>
            <w:vAlign w:val="center"/>
          </w:tcPr>
          <w:p w14:paraId="61881305" w14:textId="77777777" w:rsidR="00AE6F3B" w:rsidRPr="00217EA0" w:rsidRDefault="00AE6F3B" w:rsidP="00FE3A7F">
            <w:pPr>
              <w:keepNext/>
              <w:keepLines/>
              <w:spacing w:before="0"/>
              <w:jc w:val="center"/>
              <w:rPr>
                <w:rFonts w:ascii="Arial Narrow" w:hAnsi="Arial Narrow"/>
                <w:b/>
                <w:bCs/>
                <w:sz w:val="20"/>
                <w:szCs w:val="20"/>
                <w:lang w:val="en-AU"/>
              </w:rPr>
            </w:pPr>
            <w:r w:rsidRPr="00217EA0">
              <w:rPr>
                <w:rFonts w:ascii="Arial Narrow" w:hAnsi="Arial Narrow"/>
                <w:b/>
                <w:bCs/>
                <w:sz w:val="20"/>
                <w:szCs w:val="20"/>
                <w:lang w:val="en-AU"/>
              </w:rPr>
              <w:t>0.49 (0.31-0.79, ≤0.01)</w:t>
            </w:r>
          </w:p>
        </w:tc>
      </w:tr>
      <w:tr w:rsidR="007900E9" w:rsidRPr="00217EA0" w14:paraId="4C445F15" w14:textId="77777777" w:rsidTr="00EE2D17">
        <w:tc>
          <w:tcPr>
            <w:tcW w:w="1129" w:type="dxa"/>
            <w:vAlign w:val="center"/>
          </w:tcPr>
          <w:p w14:paraId="2FC943BB" w14:textId="77777777" w:rsidR="00AE6F3B" w:rsidRPr="00217EA0" w:rsidRDefault="00AE6F3B" w:rsidP="00FE3A7F">
            <w:pPr>
              <w:keepNext/>
              <w:keepLines/>
              <w:spacing w:before="0"/>
              <w:jc w:val="left"/>
              <w:rPr>
                <w:rFonts w:ascii="Arial Narrow" w:hAnsi="Arial Narrow"/>
                <w:sz w:val="20"/>
                <w:szCs w:val="20"/>
                <w:lang w:val="en-AU"/>
              </w:rPr>
            </w:pPr>
            <w:r w:rsidRPr="00217EA0">
              <w:rPr>
                <w:rFonts w:ascii="Arial Narrow" w:hAnsi="Arial Narrow"/>
                <w:sz w:val="20"/>
                <w:szCs w:val="20"/>
                <w:lang w:val="en-AU"/>
              </w:rPr>
              <w:t>ORR</w:t>
            </w:r>
          </w:p>
        </w:tc>
        <w:tc>
          <w:tcPr>
            <w:tcW w:w="1701" w:type="dxa"/>
            <w:shd w:val="clear" w:color="auto" w:fill="auto"/>
            <w:vAlign w:val="center"/>
          </w:tcPr>
          <w:p w14:paraId="573836EC" w14:textId="77777777" w:rsidR="00AE6F3B" w:rsidRPr="00217EA0" w:rsidRDefault="00AE6F3B" w:rsidP="00FE3A7F">
            <w:pPr>
              <w:keepNext/>
              <w:keepLines/>
              <w:spacing w:before="0"/>
              <w:jc w:val="center"/>
              <w:rPr>
                <w:rFonts w:ascii="Arial Narrow" w:hAnsi="Arial Narrow"/>
                <w:sz w:val="20"/>
                <w:szCs w:val="20"/>
                <w:lang w:val="en-AU"/>
              </w:rPr>
            </w:pPr>
            <w:r w:rsidRPr="00217EA0">
              <w:rPr>
                <w:rFonts w:ascii="Arial Narrow" w:hAnsi="Arial Narrow"/>
                <w:sz w:val="20"/>
                <w:szCs w:val="20"/>
                <w:lang w:val="en-AU"/>
              </w:rPr>
              <w:t>NR</w:t>
            </w:r>
          </w:p>
        </w:tc>
        <w:tc>
          <w:tcPr>
            <w:tcW w:w="1560" w:type="dxa"/>
            <w:shd w:val="clear" w:color="auto" w:fill="auto"/>
            <w:vAlign w:val="center"/>
          </w:tcPr>
          <w:p w14:paraId="229FDB58" w14:textId="77777777" w:rsidR="00AE6F3B" w:rsidRPr="00217EA0" w:rsidRDefault="00AE6F3B" w:rsidP="00FE3A7F">
            <w:pPr>
              <w:keepNext/>
              <w:keepLines/>
              <w:spacing w:before="0"/>
              <w:jc w:val="center"/>
              <w:rPr>
                <w:rFonts w:ascii="Arial Narrow" w:hAnsi="Arial Narrow"/>
                <w:sz w:val="20"/>
                <w:szCs w:val="20"/>
                <w:lang w:val="en-AU"/>
              </w:rPr>
            </w:pPr>
            <w:r w:rsidRPr="00217EA0">
              <w:rPr>
                <w:rFonts w:ascii="Arial Narrow" w:hAnsi="Arial Narrow"/>
                <w:sz w:val="20"/>
                <w:szCs w:val="20"/>
                <w:lang w:val="en-AU"/>
              </w:rPr>
              <w:t>NR</w:t>
            </w:r>
          </w:p>
        </w:tc>
        <w:tc>
          <w:tcPr>
            <w:tcW w:w="2268" w:type="dxa"/>
            <w:shd w:val="clear" w:color="auto" w:fill="auto"/>
            <w:vAlign w:val="center"/>
          </w:tcPr>
          <w:p w14:paraId="69AE901D" w14:textId="77777777" w:rsidR="00AE6F3B" w:rsidRPr="00217EA0" w:rsidRDefault="00AE6F3B" w:rsidP="00FE3A7F">
            <w:pPr>
              <w:keepNext/>
              <w:keepLines/>
              <w:spacing w:before="0"/>
              <w:jc w:val="center"/>
              <w:rPr>
                <w:rFonts w:ascii="Arial Narrow" w:hAnsi="Arial Narrow"/>
                <w:sz w:val="20"/>
                <w:szCs w:val="20"/>
                <w:lang w:val="en-AU"/>
              </w:rPr>
            </w:pPr>
            <w:r w:rsidRPr="00217EA0">
              <w:rPr>
                <w:rFonts w:ascii="Arial Narrow" w:hAnsi="Arial Narrow"/>
                <w:sz w:val="20"/>
                <w:szCs w:val="20"/>
                <w:lang w:val="en-AU"/>
              </w:rPr>
              <w:t>1.32 (0.76-2.31, NR)</w:t>
            </w:r>
          </w:p>
        </w:tc>
        <w:tc>
          <w:tcPr>
            <w:tcW w:w="2358" w:type="dxa"/>
            <w:shd w:val="clear" w:color="auto" w:fill="auto"/>
            <w:vAlign w:val="center"/>
          </w:tcPr>
          <w:p w14:paraId="68DB9DDF" w14:textId="77777777" w:rsidR="00AE6F3B" w:rsidRPr="00217EA0" w:rsidRDefault="00AE6F3B" w:rsidP="00FE3A7F">
            <w:pPr>
              <w:keepNext/>
              <w:keepLines/>
              <w:spacing w:before="0"/>
              <w:jc w:val="center"/>
              <w:rPr>
                <w:rFonts w:ascii="Arial Narrow" w:hAnsi="Arial Narrow"/>
                <w:sz w:val="20"/>
                <w:szCs w:val="20"/>
                <w:lang w:val="en-AU"/>
              </w:rPr>
            </w:pPr>
            <w:r w:rsidRPr="00217EA0">
              <w:rPr>
                <w:rFonts w:ascii="Arial Narrow" w:hAnsi="Arial Narrow"/>
                <w:sz w:val="20"/>
                <w:szCs w:val="20"/>
                <w:lang w:val="en-AU"/>
              </w:rPr>
              <w:t>1.43 (0.78-2.65, NR)</w:t>
            </w:r>
          </w:p>
        </w:tc>
      </w:tr>
      <w:tr w:rsidR="007900E9" w:rsidRPr="00217EA0" w14:paraId="5FF2B656" w14:textId="77777777" w:rsidTr="00EE2D17">
        <w:tc>
          <w:tcPr>
            <w:tcW w:w="1129" w:type="dxa"/>
            <w:vAlign w:val="center"/>
          </w:tcPr>
          <w:p w14:paraId="7600981F" w14:textId="77777777" w:rsidR="00AE6F3B" w:rsidRPr="00217EA0" w:rsidRDefault="00AE6F3B" w:rsidP="00FE3A7F">
            <w:pPr>
              <w:keepNext/>
              <w:keepLines/>
              <w:spacing w:before="0"/>
              <w:jc w:val="left"/>
              <w:rPr>
                <w:rFonts w:ascii="Arial Narrow" w:hAnsi="Arial Narrow"/>
                <w:sz w:val="20"/>
                <w:szCs w:val="20"/>
                <w:lang w:val="en-AU"/>
              </w:rPr>
            </w:pPr>
            <w:r w:rsidRPr="00217EA0">
              <w:rPr>
                <w:rFonts w:ascii="Arial Narrow" w:hAnsi="Arial Narrow"/>
                <w:sz w:val="20"/>
                <w:szCs w:val="20"/>
                <w:lang w:val="en-AU"/>
              </w:rPr>
              <w:t>DOR</w:t>
            </w:r>
          </w:p>
        </w:tc>
        <w:tc>
          <w:tcPr>
            <w:tcW w:w="1701" w:type="dxa"/>
            <w:shd w:val="clear" w:color="auto" w:fill="auto"/>
            <w:vAlign w:val="center"/>
          </w:tcPr>
          <w:p w14:paraId="0FD8C1E5" w14:textId="77777777" w:rsidR="00AE6F3B" w:rsidRPr="00217EA0" w:rsidRDefault="00AE6F3B" w:rsidP="00FE3A7F">
            <w:pPr>
              <w:keepNext/>
              <w:keepLines/>
              <w:spacing w:before="0"/>
              <w:jc w:val="center"/>
              <w:rPr>
                <w:rFonts w:ascii="Arial Narrow" w:hAnsi="Arial Narrow"/>
                <w:sz w:val="20"/>
                <w:szCs w:val="20"/>
                <w:lang w:val="en-AU"/>
              </w:rPr>
            </w:pPr>
            <w:r w:rsidRPr="00217EA0">
              <w:rPr>
                <w:rFonts w:ascii="Arial Narrow" w:hAnsi="Arial Narrow"/>
                <w:sz w:val="20"/>
                <w:szCs w:val="20"/>
                <w:lang w:val="en-AU"/>
              </w:rPr>
              <w:t>NR</w:t>
            </w:r>
          </w:p>
        </w:tc>
        <w:tc>
          <w:tcPr>
            <w:tcW w:w="1560" w:type="dxa"/>
            <w:shd w:val="clear" w:color="auto" w:fill="auto"/>
            <w:vAlign w:val="center"/>
          </w:tcPr>
          <w:p w14:paraId="09931F93" w14:textId="77777777" w:rsidR="00AE6F3B" w:rsidRPr="00217EA0" w:rsidRDefault="00AE6F3B" w:rsidP="00FE3A7F">
            <w:pPr>
              <w:keepNext/>
              <w:keepLines/>
              <w:spacing w:before="0"/>
              <w:jc w:val="center"/>
              <w:rPr>
                <w:rFonts w:ascii="Arial Narrow" w:hAnsi="Arial Narrow"/>
                <w:sz w:val="20"/>
                <w:szCs w:val="20"/>
                <w:lang w:val="en-AU"/>
              </w:rPr>
            </w:pPr>
            <w:r w:rsidRPr="00217EA0">
              <w:rPr>
                <w:rFonts w:ascii="Arial Narrow" w:hAnsi="Arial Narrow"/>
                <w:sz w:val="20"/>
                <w:szCs w:val="20"/>
                <w:lang w:val="en-AU"/>
              </w:rPr>
              <w:t>NR</w:t>
            </w:r>
          </w:p>
        </w:tc>
        <w:tc>
          <w:tcPr>
            <w:tcW w:w="2268" w:type="dxa"/>
            <w:shd w:val="clear" w:color="auto" w:fill="auto"/>
            <w:vAlign w:val="center"/>
          </w:tcPr>
          <w:p w14:paraId="6C2EF269" w14:textId="77777777" w:rsidR="00AE6F3B" w:rsidRPr="00217EA0" w:rsidRDefault="00AE6F3B" w:rsidP="00FE3A7F">
            <w:pPr>
              <w:keepNext/>
              <w:keepLines/>
              <w:spacing w:before="0"/>
              <w:jc w:val="center"/>
              <w:rPr>
                <w:rFonts w:ascii="Arial Narrow" w:hAnsi="Arial Narrow"/>
                <w:sz w:val="20"/>
                <w:szCs w:val="20"/>
                <w:lang w:val="en-AU"/>
              </w:rPr>
            </w:pPr>
            <w:r w:rsidRPr="00217EA0">
              <w:rPr>
                <w:rFonts w:ascii="Arial Narrow" w:hAnsi="Arial Narrow"/>
                <w:sz w:val="20"/>
                <w:szCs w:val="20"/>
                <w:lang w:val="en-AU"/>
              </w:rPr>
              <w:t>0.73 (0.40-1.33, NR)</w:t>
            </w:r>
          </w:p>
        </w:tc>
        <w:tc>
          <w:tcPr>
            <w:tcW w:w="2358" w:type="dxa"/>
            <w:shd w:val="clear" w:color="auto" w:fill="auto"/>
            <w:vAlign w:val="center"/>
          </w:tcPr>
          <w:p w14:paraId="6016A632" w14:textId="77777777" w:rsidR="00AE6F3B" w:rsidRPr="00217EA0" w:rsidRDefault="00AE6F3B" w:rsidP="00FE3A7F">
            <w:pPr>
              <w:keepNext/>
              <w:keepLines/>
              <w:spacing w:before="0"/>
              <w:jc w:val="center"/>
              <w:rPr>
                <w:rFonts w:ascii="Arial Narrow" w:hAnsi="Arial Narrow"/>
                <w:sz w:val="20"/>
                <w:szCs w:val="20"/>
                <w:lang w:val="en-AU"/>
              </w:rPr>
            </w:pPr>
            <w:r w:rsidRPr="00217EA0">
              <w:rPr>
                <w:rFonts w:ascii="Arial Narrow" w:hAnsi="Arial Narrow"/>
                <w:sz w:val="20"/>
                <w:szCs w:val="20"/>
                <w:lang w:val="en-AU"/>
              </w:rPr>
              <w:t>0.75 (0.37-1.51, NR)</w:t>
            </w:r>
          </w:p>
        </w:tc>
      </w:tr>
      <w:tr w:rsidR="007900E9" w:rsidRPr="00217EA0" w14:paraId="0EE30039" w14:textId="77777777" w:rsidTr="00FE3A7F">
        <w:tc>
          <w:tcPr>
            <w:tcW w:w="1129" w:type="dxa"/>
            <w:vAlign w:val="center"/>
          </w:tcPr>
          <w:p w14:paraId="7D49E9D7" w14:textId="77777777" w:rsidR="00AE6F3B" w:rsidRPr="00217EA0" w:rsidRDefault="00AE6F3B" w:rsidP="00FE3A7F">
            <w:pPr>
              <w:keepNext/>
              <w:keepLines/>
              <w:spacing w:before="0"/>
              <w:jc w:val="left"/>
              <w:rPr>
                <w:rFonts w:ascii="Arial Narrow" w:hAnsi="Arial Narrow"/>
                <w:sz w:val="20"/>
                <w:szCs w:val="20"/>
                <w:lang w:val="en-AU"/>
              </w:rPr>
            </w:pPr>
            <w:r w:rsidRPr="00217EA0">
              <w:rPr>
                <w:rFonts w:ascii="Arial Narrow" w:hAnsi="Arial Narrow"/>
                <w:sz w:val="20"/>
                <w:szCs w:val="20"/>
                <w:lang w:val="en-AU"/>
              </w:rPr>
              <w:t>Submission</w:t>
            </w:r>
          </w:p>
        </w:tc>
        <w:tc>
          <w:tcPr>
            <w:tcW w:w="1701" w:type="dxa"/>
            <w:vAlign w:val="center"/>
          </w:tcPr>
          <w:p w14:paraId="179CCCD4" w14:textId="77777777" w:rsidR="00AE6F3B" w:rsidRPr="00217EA0" w:rsidRDefault="00AE6F3B" w:rsidP="00FE3A7F">
            <w:pPr>
              <w:keepNext/>
              <w:keepLines/>
              <w:spacing w:before="0"/>
              <w:jc w:val="center"/>
              <w:rPr>
                <w:rFonts w:ascii="Arial Narrow" w:hAnsi="Arial Narrow"/>
                <w:sz w:val="20"/>
                <w:szCs w:val="20"/>
                <w:lang w:val="en-AU"/>
              </w:rPr>
            </w:pPr>
          </w:p>
        </w:tc>
        <w:tc>
          <w:tcPr>
            <w:tcW w:w="1560" w:type="dxa"/>
            <w:vAlign w:val="center"/>
          </w:tcPr>
          <w:p w14:paraId="756A8DE5" w14:textId="77777777" w:rsidR="00AE6F3B" w:rsidRPr="00217EA0" w:rsidRDefault="00AE6F3B" w:rsidP="00FE3A7F">
            <w:pPr>
              <w:keepNext/>
              <w:keepLines/>
              <w:spacing w:before="0"/>
              <w:jc w:val="center"/>
              <w:rPr>
                <w:rFonts w:ascii="Arial Narrow" w:hAnsi="Arial Narrow"/>
                <w:sz w:val="20"/>
                <w:szCs w:val="20"/>
                <w:lang w:val="en-AU"/>
              </w:rPr>
            </w:pPr>
          </w:p>
        </w:tc>
        <w:tc>
          <w:tcPr>
            <w:tcW w:w="2268" w:type="dxa"/>
            <w:vAlign w:val="center"/>
          </w:tcPr>
          <w:p w14:paraId="13D282D4" w14:textId="77777777" w:rsidR="00AE6F3B" w:rsidRPr="00217EA0" w:rsidRDefault="00AE6F3B" w:rsidP="00FE3A7F">
            <w:pPr>
              <w:keepNext/>
              <w:keepLines/>
              <w:spacing w:before="0"/>
              <w:jc w:val="center"/>
              <w:rPr>
                <w:rFonts w:ascii="Arial Narrow" w:hAnsi="Arial Narrow"/>
                <w:sz w:val="20"/>
                <w:szCs w:val="20"/>
                <w:lang w:val="en-AU"/>
              </w:rPr>
            </w:pPr>
          </w:p>
        </w:tc>
        <w:tc>
          <w:tcPr>
            <w:tcW w:w="2358" w:type="dxa"/>
            <w:vAlign w:val="center"/>
          </w:tcPr>
          <w:p w14:paraId="0DF1C36E" w14:textId="77777777" w:rsidR="00AE6F3B" w:rsidRPr="00217EA0" w:rsidRDefault="00AE6F3B" w:rsidP="00FE3A7F">
            <w:pPr>
              <w:keepNext/>
              <w:keepLines/>
              <w:spacing w:before="0"/>
              <w:jc w:val="center"/>
              <w:rPr>
                <w:rFonts w:ascii="Arial Narrow" w:hAnsi="Arial Narrow"/>
                <w:sz w:val="20"/>
                <w:szCs w:val="20"/>
                <w:lang w:val="en-AU"/>
              </w:rPr>
            </w:pPr>
          </w:p>
        </w:tc>
      </w:tr>
      <w:tr w:rsidR="007900E9" w:rsidRPr="00217EA0" w14:paraId="45AF5C70" w14:textId="77777777" w:rsidTr="00FE3A7F">
        <w:tc>
          <w:tcPr>
            <w:tcW w:w="1129" w:type="dxa"/>
            <w:vAlign w:val="center"/>
          </w:tcPr>
          <w:p w14:paraId="358C3318" w14:textId="77777777" w:rsidR="00AE6F3B" w:rsidRPr="00217EA0" w:rsidRDefault="00AE6F3B" w:rsidP="00FE3A7F">
            <w:pPr>
              <w:keepNext/>
              <w:keepLines/>
              <w:spacing w:before="0"/>
              <w:jc w:val="left"/>
              <w:rPr>
                <w:rFonts w:ascii="Arial Narrow" w:hAnsi="Arial Narrow"/>
                <w:sz w:val="20"/>
                <w:szCs w:val="20"/>
                <w:lang w:val="en-AU"/>
              </w:rPr>
            </w:pPr>
            <w:r w:rsidRPr="00217EA0">
              <w:rPr>
                <w:rFonts w:ascii="Arial Narrow" w:hAnsi="Arial Narrow"/>
                <w:sz w:val="20"/>
                <w:szCs w:val="20"/>
                <w:lang w:val="en-AU"/>
              </w:rPr>
              <w:t>PFS</w:t>
            </w:r>
          </w:p>
        </w:tc>
        <w:tc>
          <w:tcPr>
            <w:tcW w:w="1701" w:type="dxa"/>
            <w:vAlign w:val="center"/>
          </w:tcPr>
          <w:p w14:paraId="5E90F5E2" w14:textId="77777777" w:rsidR="00AE6F3B" w:rsidRPr="00217EA0" w:rsidRDefault="00AE6F3B" w:rsidP="00FE3A7F">
            <w:pPr>
              <w:keepNext/>
              <w:keepLines/>
              <w:spacing w:before="0"/>
              <w:jc w:val="center"/>
              <w:rPr>
                <w:rFonts w:ascii="Arial Narrow" w:hAnsi="Arial Narrow"/>
                <w:sz w:val="20"/>
                <w:szCs w:val="20"/>
                <w:lang w:val="en-AU"/>
              </w:rPr>
            </w:pPr>
            <w:r w:rsidRPr="00217EA0">
              <w:rPr>
                <w:rFonts w:ascii="Arial Narrow" w:hAnsi="Arial Narrow"/>
                <w:sz w:val="20"/>
                <w:szCs w:val="20"/>
                <w:lang w:val="en-AU"/>
              </w:rPr>
              <w:t xml:space="preserve">8.9 (6.7-11.0) </w:t>
            </w:r>
            <w:r w:rsidRPr="00217EA0">
              <w:rPr>
                <w:rFonts w:ascii="Arial Narrow" w:hAnsi="Arial Narrow"/>
                <w:sz w:val="20"/>
                <w:szCs w:val="20"/>
                <w:vertAlign w:val="superscript"/>
                <w:lang w:val="en-AU"/>
              </w:rPr>
              <w:t>d</w:t>
            </w:r>
          </w:p>
        </w:tc>
        <w:tc>
          <w:tcPr>
            <w:tcW w:w="1560" w:type="dxa"/>
            <w:vAlign w:val="center"/>
          </w:tcPr>
          <w:p w14:paraId="7A35DAF4" w14:textId="77777777" w:rsidR="00AE6F3B" w:rsidRPr="00217EA0" w:rsidRDefault="00AE6F3B" w:rsidP="00FE3A7F">
            <w:pPr>
              <w:keepNext/>
              <w:keepLines/>
              <w:spacing w:before="0"/>
              <w:jc w:val="center"/>
              <w:rPr>
                <w:rFonts w:ascii="Arial Narrow" w:hAnsi="Arial Narrow"/>
                <w:sz w:val="20"/>
                <w:szCs w:val="20"/>
                <w:lang w:val="en-AU"/>
              </w:rPr>
            </w:pPr>
            <w:r w:rsidRPr="00217EA0">
              <w:rPr>
                <w:rFonts w:ascii="Arial Narrow" w:hAnsi="Arial Narrow"/>
                <w:sz w:val="20"/>
                <w:szCs w:val="20"/>
                <w:lang w:val="en-AU"/>
              </w:rPr>
              <w:t xml:space="preserve">4.0 (3.2-5.0) </w:t>
            </w:r>
            <w:r w:rsidRPr="00217EA0">
              <w:rPr>
                <w:rFonts w:ascii="Arial Narrow" w:hAnsi="Arial Narrow"/>
                <w:sz w:val="20"/>
                <w:szCs w:val="20"/>
                <w:vertAlign w:val="superscript"/>
                <w:lang w:val="en-AU"/>
              </w:rPr>
              <w:t>e</w:t>
            </w:r>
          </w:p>
        </w:tc>
        <w:tc>
          <w:tcPr>
            <w:tcW w:w="2268" w:type="dxa"/>
            <w:vAlign w:val="center"/>
          </w:tcPr>
          <w:p w14:paraId="7F1DCC81" w14:textId="77777777" w:rsidR="00AE6F3B" w:rsidRPr="00217EA0" w:rsidRDefault="00AE6F3B" w:rsidP="00FE3A7F">
            <w:pPr>
              <w:keepNext/>
              <w:keepLines/>
              <w:spacing w:before="0"/>
              <w:jc w:val="center"/>
              <w:rPr>
                <w:rFonts w:ascii="Arial Narrow" w:hAnsi="Arial Narrow"/>
                <w:b/>
                <w:bCs/>
                <w:sz w:val="20"/>
                <w:szCs w:val="20"/>
                <w:lang w:val="en-AU"/>
              </w:rPr>
            </w:pPr>
            <w:r w:rsidRPr="00217EA0">
              <w:rPr>
                <w:rFonts w:ascii="Arial Narrow" w:hAnsi="Arial Narrow"/>
                <w:b/>
                <w:bCs/>
                <w:sz w:val="20"/>
                <w:szCs w:val="20"/>
                <w:lang w:val="en-AU"/>
              </w:rPr>
              <w:t>0.43 (0.31-0.59, &lt;0.0001)</w:t>
            </w:r>
          </w:p>
        </w:tc>
        <w:tc>
          <w:tcPr>
            <w:tcW w:w="2358" w:type="dxa"/>
            <w:vAlign w:val="center"/>
          </w:tcPr>
          <w:p w14:paraId="353B7975" w14:textId="77777777" w:rsidR="00AE6F3B" w:rsidRPr="00217EA0" w:rsidRDefault="00AE6F3B" w:rsidP="00FE3A7F">
            <w:pPr>
              <w:keepNext/>
              <w:keepLines/>
              <w:spacing w:before="0"/>
              <w:jc w:val="center"/>
              <w:rPr>
                <w:rFonts w:ascii="Arial Narrow" w:hAnsi="Arial Narrow"/>
                <w:b/>
                <w:bCs/>
                <w:sz w:val="20"/>
                <w:szCs w:val="20"/>
                <w:lang w:val="en-AU"/>
              </w:rPr>
            </w:pPr>
            <w:r w:rsidRPr="00217EA0">
              <w:rPr>
                <w:rFonts w:ascii="Arial Narrow" w:hAnsi="Arial Narrow"/>
                <w:b/>
                <w:bCs/>
                <w:sz w:val="20"/>
                <w:szCs w:val="20"/>
                <w:lang w:val="en-AU"/>
              </w:rPr>
              <w:t>0.30 (0.22-0.41, &lt;0.0001)</w:t>
            </w:r>
          </w:p>
        </w:tc>
      </w:tr>
      <w:tr w:rsidR="007900E9" w:rsidRPr="00217EA0" w14:paraId="26716A8C" w14:textId="77777777" w:rsidTr="00FE3A7F">
        <w:tc>
          <w:tcPr>
            <w:tcW w:w="1129" w:type="dxa"/>
            <w:vAlign w:val="center"/>
          </w:tcPr>
          <w:p w14:paraId="737A13D8" w14:textId="77777777" w:rsidR="00AE6F3B" w:rsidRPr="00217EA0" w:rsidRDefault="00AE6F3B" w:rsidP="00FE3A7F">
            <w:pPr>
              <w:keepNext/>
              <w:keepLines/>
              <w:spacing w:before="0"/>
              <w:jc w:val="left"/>
              <w:rPr>
                <w:rFonts w:ascii="Arial Narrow" w:hAnsi="Arial Narrow"/>
                <w:sz w:val="20"/>
                <w:szCs w:val="20"/>
                <w:lang w:val="en-AU"/>
              </w:rPr>
            </w:pPr>
            <w:r w:rsidRPr="00217EA0">
              <w:rPr>
                <w:rFonts w:ascii="Arial Narrow" w:hAnsi="Arial Narrow"/>
                <w:sz w:val="20"/>
                <w:szCs w:val="20"/>
                <w:lang w:val="en-AU"/>
              </w:rPr>
              <w:t>OS</w:t>
            </w:r>
          </w:p>
        </w:tc>
        <w:tc>
          <w:tcPr>
            <w:tcW w:w="1701" w:type="dxa"/>
            <w:vAlign w:val="center"/>
          </w:tcPr>
          <w:p w14:paraId="2D583989" w14:textId="77777777" w:rsidR="00AE6F3B" w:rsidRPr="00217EA0" w:rsidRDefault="00AE6F3B" w:rsidP="00FE3A7F">
            <w:pPr>
              <w:keepNext/>
              <w:keepLines/>
              <w:spacing w:before="0"/>
              <w:jc w:val="center"/>
              <w:rPr>
                <w:rFonts w:ascii="Arial Narrow" w:hAnsi="Arial Narrow"/>
                <w:sz w:val="20"/>
                <w:szCs w:val="20"/>
                <w:lang w:val="en-AU"/>
              </w:rPr>
            </w:pPr>
            <w:r w:rsidRPr="00217EA0">
              <w:rPr>
                <w:rFonts w:ascii="Arial Narrow" w:hAnsi="Arial Narrow"/>
                <w:sz w:val="20"/>
                <w:szCs w:val="20"/>
                <w:lang w:val="en-AU"/>
              </w:rPr>
              <w:t>20.0 (16.4-24.6)</w:t>
            </w:r>
          </w:p>
        </w:tc>
        <w:tc>
          <w:tcPr>
            <w:tcW w:w="1560" w:type="dxa"/>
            <w:vAlign w:val="center"/>
          </w:tcPr>
          <w:p w14:paraId="2CA3FE2F" w14:textId="77777777" w:rsidR="00AE6F3B" w:rsidRPr="00217EA0" w:rsidRDefault="00AE6F3B" w:rsidP="00FE3A7F">
            <w:pPr>
              <w:keepNext/>
              <w:keepLines/>
              <w:spacing w:before="0"/>
              <w:jc w:val="center"/>
              <w:rPr>
                <w:rFonts w:ascii="Arial Narrow" w:hAnsi="Arial Narrow"/>
                <w:sz w:val="20"/>
                <w:szCs w:val="20"/>
                <w:lang w:val="en-AU"/>
              </w:rPr>
            </w:pPr>
            <w:r w:rsidRPr="00217EA0">
              <w:rPr>
                <w:rFonts w:ascii="Arial Narrow" w:hAnsi="Arial Narrow"/>
                <w:sz w:val="20"/>
                <w:szCs w:val="20"/>
                <w:lang w:val="en-AU"/>
              </w:rPr>
              <w:t xml:space="preserve">6.2 (5.4-7.6) </w:t>
            </w:r>
            <w:r w:rsidRPr="00217EA0">
              <w:rPr>
                <w:rFonts w:ascii="Arial Narrow" w:hAnsi="Arial Narrow"/>
                <w:sz w:val="20"/>
                <w:szCs w:val="20"/>
                <w:vertAlign w:val="superscript"/>
                <w:lang w:val="en-AU"/>
              </w:rPr>
              <w:t>e</w:t>
            </w:r>
          </w:p>
        </w:tc>
        <w:tc>
          <w:tcPr>
            <w:tcW w:w="2268" w:type="dxa"/>
            <w:vAlign w:val="center"/>
          </w:tcPr>
          <w:p w14:paraId="2A5B1A81" w14:textId="77777777" w:rsidR="00AE6F3B" w:rsidRPr="00217EA0" w:rsidRDefault="00AE6F3B" w:rsidP="00FE3A7F">
            <w:pPr>
              <w:keepNext/>
              <w:keepLines/>
              <w:spacing w:before="0"/>
              <w:jc w:val="center"/>
              <w:rPr>
                <w:rFonts w:ascii="Arial Narrow" w:hAnsi="Arial Narrow"/>
                <w:b/>
                <w:bCs/>
                <w:sz w:val="20"/>
                <w:szCs w:val="20"/>
                <w:lang w:val="en-AU"/>
              </w:rPr>
            </w:pPr>
            <w:r w:rsidRPr="00217EA0">
              <w:rPr>
                <w:rFonts w:ascii="Arial Narrow" w:hAnsi="Arial Narrow"/>
                <w:b/>
                <w:bCs/>
                <w:sz w:val="20"/>
                <w:szCs w:val="20"/>
                <w:lang w:val="en-AU"/>
              </w:rPr>
              <w:t>0.26 (0.18-0.37, &lt;0.0001)</w:t>
            </w:r>
          </w:p>
        </w:tc>
        <w:tc>
          <w:tcPr>
            <w:tcW w:w="2358" w:type="dxa"/>
            <w:vAlign w:val="center"/>
          </w:tcPr>
          <w:p w14:paraId="0414A102" w14:textId="77777777" w:rsidR="00AE6F3B" w:rsidRPr="00217EA0" w:rsidRDefault="00AE6F3B" w:rsidP="00FE3A7F">
            <w:pPr>
              <w:keepNext/>
              <w:keepLines/>
              <w:spacing w:before="0"/>
              <w:jc w:val="center"/>
              <w:rPr>
                <w:rFonts w:ascii="Arial Narrow" w:hAnsi="Arial Narrow"/>
                <w:b/>
                <w:bCs/>
                <w:sz w:val="20"/>
                <w:szCs w:val="20"/>
                <w:lang w:val="en-AU"/>
              </w:rPr>
            </w:pPr>
            <w:r w:rsidRPr="00217EA0">
              <w:rPr>
                <w:rFonts w:ascii="Arial Narrow" w:hAnsi="Arial Narrow"/>
                <w:b/>
                <w:bCs/>
                <w:sz w:val="20"/>
                <w:szCs w:val="20"/>
                <w:lang w:val="en-AU"/>
              </w:rPr>
              <w:t>0.24 (0.18-0.32, &lt;0.0001)</w:t>
            </w:r>
          </w:p>
        </w:tc>
      </w:tr>
      <w:tr w:rsidR="007900E9" w:rsidRPr="00217EA0" w14:paraId="55BE05C1" w14:textId="77777777" w:rsidTr="00FE3A7F">
        <w:tc>
          <w:tcPr>
            <w:tcW w:w="1129" w:type="dxa"/>
            <w:vAlign w:val="center"/>
          </w:tcPr>
          <w:p w14:paraId="681145C3" w14:textId="77777777" w:rsidR="00AE6F3B" w:rsidRPr="00217EA0" w:rsidRDefault="00AE6F3B" w:rsidP="00FE3A7F">
            <w:pPr>
              <w:keepNext/>
              <w:keepLines/>
              <w:spacing w:before="0"/>
              <w:jc w:val="left"/>
              <w:rPr>
                <w:rFonts w:ascii="Arial Narrow" w:hAnsi="Arial Narrow"/>
                <w:sz w:val="20"/>
                <w:szCs w:val="20"/>
                <w:lang w:val="en-AU"/>
              </w:rPr>
            </w:pPr>
            <w:r w:rsidRPr="00217EA0">
              <w:rPr>
                <w:rFonts w:ascii="Arial Narrow" w:hAnsi="Arial Narrow"/>
                <w:sz w:val="20"/>
                <w:szCs w:val="20"/>
                <w:lang w:val="en-AU"/>
              </w:rPr>
              <w:t>ORR</w:t>
            </w:r>
          </w:p>
        </w:tc>
        <w:tc>
          <w:tcPr>
            <w:tcW w:w="1701" w:type="dxa"/>
            <w:vAlign w:val="center"/>
          </w:tcPr>
          <w:p w14:paraId="79AE3FEC" w14:textId="77777777" w:rsidR="00AE6F3B" w:rsidRPr="00217EA0" w:rsidRDefault="00AE6F3B" w:rsidP="00FE3A7F">
            <w:pPr>
              <w:keepNext/>
              <w:keepLines/>
              <w:spacing w:before="0"/>
              <w:jc w:val="center"/>
              <w:rPr>
                <w:rFonts w:ascii="Arial Narrow" w:hAnsi="Arial Narrow"/>
                <w:sz w:val="20"/>
                <w:szCs w:val="20"/>
                <w:lang w:val="en-AU"/>
              </w:rPr>
            </w:pPr>
            <w:r w:rsidRPr="00217EA0">
              <w:rPr>
                <w:rFonts w:ascii="Arial Narrow" w:hAnsi="Arial Narrow"/>
                <w:sz w:val="20"/>
                <w:szCs w:val="20"/>
                <w:lang w:val="en-AU"/>
              </w:rPr>
              <w:t>NA</w:t>
            </w:r>
          </w:p>
        </w:tc>
        <w:tc>
          <w:tcPr>
            <w:tcW w:w="1560" w:type="dxa"/>
            <w:vAlign w:val="center"/>
          </w:tcPr>
          <w:p w14:paraId="2CD74B21" w14:textId="77777777" w:rsidR="00AE6F3B" w:rsidRPr="00217EA0" w:rsidRDefault="00AE6F3B" w:rsidP="00FE3A7F">
            <w:pPr>
              <w:keepNext/>
              <w:keepLines/>
              <w:spacing w:before="0"/>
              <w:jc w:val="center"/>
              <w:rPr>
                <w:rFonts w:ascii="Arial Narrow" w:hAnsi="Arial Narrow"/>
                <w:sz w:val="20"/>
                <w:szCs w:val="20"/>
                <w:lang w:val="en-AU"/>
              </w:rPr>
            </w:pPr>
            <w:r w:rsidRPr="00217EA0">
              <w:rPr>
                <w:rFonts w:ascii="Arial Narrow" w:hAnsi="Arial Narrow"/>
                <w:sz w:val="20"/>
                <w:szCs w:val="20"/>
                <w:lang w:val="en-AU"/>
              </w:rPr>
              <w:t>NA</w:t>
            </w:r>
          </w:p>
        </w:tc>
        <w:tc>
          <w:tcPr>
            <w:tcW w:w="2268" w:type="dxa"/>
            <w:vAlign w:val="center"/>
          </w:tcPr>
          <w:p w14:paraId="5A69F758" w14:textId="77777777" w:rsidR="00AE6F3B" w:rsidRPr="00217EA0" w:rsidRDefault="00AE6F3B" w:rsidP="00FE3A7F">
            <w:pPr>
              <w:keepNext/>
              <w:keepLines/>
              <w:spacing w:before="0"/>
              <w:jc w:val="center"/>
              <w:rPr>
                <w:rFonts w:ascii="Arial Narrow" w:hAnsi="Arial Narrow"/>
                <w:b/>
                <w:bCs/>
                <w:sz w:val="20"/>
                <w:szCs w:val="20"/>
                <w:lang w:val="en-AU"/>
              </w:rPr>
            </w:pPr>
            <w:r w:rsidRPr="00217EA0">
              <w:rPr>
                <w:rFonts w:ascii="Arial Narrow" w:hAnsi="Arial Narrow"/>
                <w:b/>
                <w:bCs/>
                <w:sz w:val="20"/>
                <w:szCs w:val="20"/>
                <w:lang w:val="en-AU"/>
              </w:rPr>
              <w:t xml:space="preserve">13.8 (5.49-44.12, &lt;0.001) </w:t>
            </w:r>
            <w:r w:rsidRPr="00217EA0">
              <w:rPr>
                <w:rFonts w:ascii="Arial Narrow" w:hAnsi="Arial Narrow"/>
                <w:b/>
                <w:bCs/>
                <w:sz w:val="20"/>
                <w:szCs w:val="20"/>
                <w:vertAlign w:val="superscript"/>
                <w:lang w:val="en-AU"/>
              </w:rPr>
              <w:t>f</w:t>
            </w:r>
          </w:p>
        </w:tc>
        <w:tc>
          <w:tcPr>
            <w:tcW w:w="2358" w:type="dxa"/>
            <w:vAlign w:val="center"/>
          </w:tcPr>
          <w:p w14:paraId="2E42DA50" w14:textId="77777777" w:rsidR="00AE6F3B" w:rsidRPr="00217EA0" w:rsidRDefault="00AE6F3B" w:rsidP="00FE3A7F">
            <w:pPr>
              <w:keepNext/>
              <w:keepLines/>
              <w:spacing w:before="0"/>
              <w:jc w:val="center"/>
              <w:rPr>
                <w:rFonts w:ascii="Arial Narrow" w:hAnsi="Arial Narrow"/>
                <w:b/>
                <w:bCs/>
                <w:sz w:val="20"/>
                <w:szCs w:val="20"/>
                <w:vertAlign w:val="superscript"/>
                <w:lang w:val="en-AU"/>
              </w:rPr>
            </w:pPr>
            <w:r w:rsidRPr="00217EA0">
              <w:rPr>
                <w:rFonts w:ascii="Arial Narrow" w:hAnsi="Arial Narrow"/>
                <w:b/>
                <w:bCs/>
                <w:sz w:val="20"/>
                <w:szCs w:val="20"/>
                <w:lang w:val="en-AU"/>
              </w:rPr>
              <w:t xml:space="preserve">18.74 (7.20-61.31, &lt;0.001) </w:t>
            </w:r>
            <w:r w:rsidRPr="00217EA0">
              <w:rPr>
                <w:rFonts w:ascii="Arial Narrow" w:hAnsi="Arial Narrow"/>
                <w:b/>
                <w:bCs/>
                <w:sz w:val="20"/>
                <w:szCs w:val="20"/>
                <w:vertAlign w:val="superscript"/>
                <w:lang w:val="en-AU"/>
              </w:rPr>
              <w:t>f</w:t>
            </w:r>
          </w:p>
        </w:tc>
      </w:tr>
    </w:tbl>
    <w:p w14:paraId="75EF9D05" w14:textId="6D51B869" w:rsidR="00AE6F3B" w:rsidRPr="00217EA0" w:rsidRDefault="00FA13F3" w:rsidP="00AE6F3B">
      <w:pPr>
        <w:keepNext/>
        <w:keepLines/>
        <w:spacing w:before="0" w:after="0"/>
        <w:rPr>
          <w:rFonts w:ascii="Arial Narrow" w:hAnsi="Arial Narrow"/>
          <w:sz w:val="18"/>
          <w:szCs w:val="18"/>
        </w:rPr>
      </w:pPr>
      <w:r>
        <w:rPr>
          <w:rFonts w:ascii="Arial Narrow" w:hAnsi="Arial Narrow"/>
          <w:sz w:val="18"/>
          <w:szCs w:val="18"/>
        </w:rPr>
        <w:t>S</w:t>
      </w:r>
      <w:r w:rsidR="00AE6F3B" w:rsidRPr="00217EA0">
        <w:rPr>
          <w:rFonts w:ascii="Arial Narrow" w:hAnsi="Arial Narrow"/>
          <w:sz w:val="18"/>
          <w:szCs w:val="18"/>
        </w:rPr>
        <w:t>ource: Paine 2022, Borad 2022, Table 2.61, p 159, Table 2.62, p161, Table 2.63, p162, Table 2.64, p163 and Table 2.66, p164 of the submission.</w:t>
      </w:r>
    </w:p>
    <w:p w14:paraId="0467B5D7" w14:textId="3F64D62B" w:rsidR="00AE6F3B" w:rsidRPr="00217EA0" w:rsidRDefault="00AE6F3B" w:rsidP="2914E55D">
      <w:pPr>
        <w:keepNext/>
        <w:keepLines/>
        <w:spacing w:before="0" w:after="0"/>
        <w:rPr>
          <w:rFonts w:ascii="Arial Narrow" w:hAnsi="Arial Narrow"/>
          <w:sz w:val="18"/>
          <w:szCs w:val="18"/>
        </w:rPr>
      </w:pPr>
      <w:r w:rsidRPr="00217EA0">
        <w:rPr>
          <w:rFonts w:ascii="Arial Narrow" w:hAnsi="Arial Narrow"/>
          <w:sz w:val="18"/>
          <w:szCs w:val="18"/>
          <w:vertAlign w:val="superscript"/>
        </w:rPr>
        <w:t>a</w:t>
      </w:r>
      <w:r w:rsidRPr="00217EA0">
        <w:rPr>
          <w:rFonts w:ascii="Arial Narrow" w:hAnsi="Arial Narrow"/>
          <w:sz w:val="18"/>
          <w:szCs w:val="18"/>
        </w:rPr>
        <w:t xml:space="preserve"> based on Pre-FIGHT-202;</w:t>
      </w:r>
      <w:r w:rsidRPr="00217EA0">
        <w:t xml:space="preserve"> </w:t>
      </w:r>
      <w:r w:rsidRPr="00217EA0">
        <w:rPr>
          <w:rFonts w:ascii="Arial Narrow" w:hAnsi="Arial Narrow"/>
          <w:sz w:val="18"/>
          <w:szCs w:val="18"/>
        </w:rPr>
        <w:t>Unadjusted median PFS is an estimation across reported values for second-line (4.4 months, 95% CI 3.0–5.3) and third-line (6.6 months, 95% CI 2.7–9.7) therapy.</w:t>
      </w:r>
    </w:p>
    <w:p w14:paraId="19B7B7AC" w14:textId="21D76976" w:rsidR="00AE6F3B" w:rsidRPr="00217EA0" w:rsidRDefault="00AE6F3B" w:rsidP="2914E55D">
      <w:pPr>
        <w:keepNext/>
        <w:keepLines/>
        <w:spacing w:before="0" w:after="0"/>
        <w:rPr>
          <w:rFonts w:ascii="Arial Narrow" w:hAnsi="Arial Narrow"/>
          <w:sz w:val="18"/>
          <w:szCs w:val="18"/>
        </w:rPr>
      </w:pPr>
      <w:r w:rsidRPr="00217EA0">
        <w:rPr>
          <w:rFonts w:ascii="Arial Narrow" w:hAnsi="Arial Narrow"/>
          <w:sz w:val="18"/>
          <w:szCs w:val="18"/>
          <w:vertAlign w:val="superscript"/>
        </w:rPr>
        <w:t xml:space="preserve">b </w:t>
      </w:r>
      <w:r w:rsidRPr="00217EA0">
        <w:rPr>
          <w:rFonts w:ascii="Arial Narrow" w:hAnsi="Arial Narrow"/>
          <w:sz w:val="18"/>
          <w:szCs w:val="18"/>
        </w:rPr>
        <w:t>adjusted for age, sex, ECOG PS, proportion of patients with ≥2 lines of prior chemotherapy, albumin ≤ 35 g/L and prior surgery</w:t>
      </w:r>
    </w:p>
    <w:p w14:paraId="380E0EA9" w14:textId="77777777" w:rsidR="00AE6F3B" w:rsidRPr="00217EA0" w:rsidRDefault="00AE6F3B" w:rsidP="00AE6F3B">
      <w:pPr>
        <w:keepNext/>
        <w:keepLines/>
        <w:spacing w:before="0" w:after="0"/>
        <w:rPr>
          <w:rFonts w:ascii="Arial Narrow" w:hAnsi="Arial Narrow"/>
          <w:sz w:val="18"/>
          <w:szCs w:val="18"/>
        </w:rPr>
      </w:pPr>
      <w:r w:rsidRPr="00217EA0">
        <w:rPr>
          <w:rFonts w:ascii="Arial Narrow" w:hAnsi="Arial Narrow"/>
          <w:sz w:val="18"/>
          <w:szCs w:val="18"/>
          <w:vertAlign w:val="superscript"/>
        </w:rPr>
        <w:t>c</w:t>
      </w:r>
      <w:r w:rsidRPr="00217EA0">
        <w:rPr>
          <w:rFonts w:ascii="Arial Narrow" w:hAnsi="Arial Narrow"/>
          <w:sz w:val="18"/>
          <w:szCs w:val="18"/>
        </w:rPr>
        <w:t xml:space="preserve"> based on Shroff 2022</w:t>
      </w:r>
    </w:p>
    <w:p w14:paraId="0E5546AF" w14:textId="77777777" w:rsidR="00AE6F3B" w:rsidRPr="00217EA0" w:rsidRDefault="00AE6F3B" w:rsidP="00AE6F3B">
      <w:pPr>
        <w:keepNext/>
        <w:keepLines/>
        <w:spacing w:before="0" w:after="0"/>
        <w:rPr>
          <w:rFonts w:ascii="Arial Narrow" w:hAnsi="Arial Narrow"/>
          <w:sz w:val="18"/>
          <w:szCs w:val="18"/>
        </w:rPr>
      </w:pPr>
      <w:r w:rsidRPr="00217EA0">
        <w:rPr>
          <w:rFonts w:ascii="Arial Narrow" w:hAnsi="Arial Narrow"/>
          <w:sz w:val="18"/>
          <w:szCs w:val="18"/>
          <w:vertAlign w:val="superscript"/>
        </w:rPr>
        <w:t>d</w:t>
      </w:r>
      <w:r w:rsidRPr="00217EA0">
        <w:rPr>
          <w:rFonts w:ascii="Arial Narrow" w:hAnsi="Arial Narrow"/>
          <w:sz w:val="18"/>
          <w:szCs w:val="18"/>
        </w:rPr>
        <w:t xml:space="preserve"> reported for PFS by independent review committee</w:t>
      </w:r>
    </w:p>
    <w:p w14:paraId="78856084" w14:textId="77777777" w:rsidR="00AE6F3B" w:rsidRPr="00217EA0" w:rsidRDefault="00AE6F3B" w:rsidP="00AE6F3B">
      <w:pPr>
        <w:keepNext/>
        <w:keepLines/>
        <w:spacing w:before="0" w:after="0"/>
        <w:rPr>
          <w:rFonts w:ascii="Arial Narrow" w:hAnsi="Arial Narrow"/>
          <w:sz w:val="18"/>
          <w:szCs w:val="18"/>
        </w:rPr>
      </w:pPr>
      <w:r w:rsidRPr="00217EA0">
        <w:rPr>
          <w:rFonts w:ascii="Arial Narrow" w:hAnsi="Arial Narrow"/>
          <w:sz w:val="18"/>
          <w:szCs w:val="18"/>
          <w:vertAlign w:val="superscript"/>
        </w:rPr>
        <w:t xml:space="preserve">e </w:t>
      </w:r>
      <w:r w:rsidRPr="00217EA0">
        <w:rPr>
          <w:rFonts w:ascii="Arial Narrow" w:hAnsi="Arial Narrow"/>
          <w:sz w:val="18"/>
          <w:szCs w:val="18"/>
        </w:rPr>
        <w:t>based on FOLFOX arm of ABC-06</w:t>
      </w:r>
    </w:p>
    <w:p w14:paraId="2FD4A9F4" w14:textId="77777777" w:rsidR="00AE6F3B" w:rsidRPr="00217EA0" w:rsidRDefault="00AE6F3B" w:rsidP="00AE6F3B">
      <w:pPr>
        <w:keepNext/>
        <w:keepLines/>
        <w:spacing w:before="0" w:after="0"/>
        <w:rPr>
          <w:rFonts w:ascii="Arial Narrow" w:hAnsi="Arial Narrow"/>
          <w:sz w:val="18"/>
          <w:szCs w:val="18"/>
        </w:rPr>
      </w:pPr>
      <w:r w:rsidRPr="00217EA0">
        <w:rPr>
          <w:rFonts w:ascii="Arial Narrow" w:hAnsi="Arial Narrow"/>
          <w:sz w:val="18"/>
          <w:szCs w:val="18"/>
          <w:vertAlign w:val="superscript"/>
        </w:rPr>
        <w:t>f</w:t>
      </w:r>
      <w:r w:rsidRPr="00217EA0">
        <w:rPr>
          <w:rFonts w:ascii="Arial Narrow" w:hAnsi="Arial Narrow"/>
          <w:sz w:val="18"/>
          <w:szCs w:val="18"/>
        </w:rPr>
        <w:t xml:space="preserve"> reported as odds ratio and not hazard ratios</w:t>
      </w:r>
    </w:p>
    <w:p w14:paraId="7866E986" w14:textId="16AB1B93" w:rsidR="00AE6F3B" w:rsidRPr="00217EA0" w:rsidRDefault="00AE6F3B" w:rsidP="00AE6F3B">
      <w:pPr>
        <w:keepNext/>
        <w:keepLines/>
        <w:spacing w:before="0" w:after="0"/>
        <w:rPr>
          <w:rFonts w:ascii="Arial Narrow" w:hAnsi="Arial Narrow"/>
          <w:sz w:val="18"/>
          <w:szCs w:val="18"/>
        </w:rPr>
      </w:pPr>
      <w:r w:rsidRPr="00217EA0">
        <w:rPr>
          <w:rFonts w:ascii="Arial Narrow" w:hAnsi="Arial Narrow"/>
          <w:sz w:val="18"/>
          <w:szCs w:val="18"/>
        </w:rPr>
        <w:t xml:space="preserve">CI = confidence interval; DOR = duration of response; HR = hazard ratio; NA = not applicable; NE = not estimable; NR = not reported; </w:t>
      </w:r>
      <w:r w:rsidR="00D201FB" w:rsidRPr="00217EA0">
        <w:rPr>
          <w:rFonts w:ascii="Arial Narrow" w:hAnsi="Arial Narrow"/>
          <w:sz w:val="18"/>
          <w:szCs w:val="18"/>
        </w:rPr>
        <w:t xml:space="preserve">ORR = objective response rate; </w:t>
      </w:r>
      <w:r w:rsidRPr="00217EA0">
        <w:rPr>
          <w:rFonts w:ascii="Arial Narrow" w:hAnsi="Arial Narrow"/>
          <w:sz w:val="18"/>
          <w:szCs w:val="18"/>
        </w:rPr>
        <w:t xml:space="preserve">OS = overall survival; PFS = progression free survival </w:t>
      </w:r>
    </w:p>
    <w:p w14:paraId="1F19B324" w14:textId="4528DBAB" w:rsidR="00AE6F3B" w:rsidRPr="00217EA0" w:rsidRDefault="00AE6F3B" w:rsidP="00FA13F3">
      <w:pPr>
        <w:keepLines/>
        <w:spacing w:before="0" w:after="0"/>
        <w:rPr>
          <w:rFonts w:ascii="Arial Narrow" w:hAnsi="Arial Narrow"/>
          <w:sz w:val="18"/>
          <w:szCs w:val="18"/>
        </w:rPr>
      </w:pPr>
      <w:r w:rsidRPr="00217EA0">
        <w:rPr>
          <w:rFonts w:ascii="Arial Narrow" w:hAnsi="Arial Narrow"/>
          <w:sz w:val="18"/>
          <w:szCs w:val="18"/>
        </w:rPr>
        <w:t xml:space="preserve">Text in bold indicate HR for which the 95% confidence interval excludes the value of 1. </w:t>
      </w:r>
    </w:p>
    <w:p w14:paraId="37FA307D" w14:textId="4DEFF096" w:rsidR="00AE6F3B" w:rsidRPr="00217EA0" w:rsidRDefault="001B5ACB" w:rsidP="2914E55D">
      <w:pPr>
        <w:pStyle w:val="ListParagraph"/>
        <w:rPr>
          <w:color w:val="auto"/>
          <w:lang w:bidi="en-US"/>
        </w:rPr>
      </w:pPr>
      <w:r w:rsidRPr="00217EA0">
        <w:rPr>
          <w:color w:val="auto"/>
          <w:lang w:bidi="en-US"/>
        </w:rPr>
        <w:t>The evaluation noted that c</w:t>
      </w:r>
      <w:r w:rsidR="00AE6F3B" w:rsidRPr="00217EA0">
        <w:rPr>
          <w:color w:val="auto"/>
          <w:lang w:bidi="en-US"/>
        </w:rPr>
        <w:t xml:space="preserve">ompared to the submission’s estimates, Paine 2022 and Borad 2022 reported a less favourable </w:t>
      </w:r>
      <w:r w:rsidR="008A7F48" w:rsidRPr="00217EA0">
        <w:rPr>
          <w:color w:val="auto"/>
          <w:lang w:bidi="en-US"/>
        </w:rPr>
        <w:t xml:space="preserve">adjusted </w:t>
      </w:r>
      <w:r w:rsidR="00AE6F3B" w:rsidRPr="00217EA0">
        <w:rPr>
          <w:color w:val="auto"/>
          <w:lang w:bidi="en-US"/>
        </w:rPr>
        <w:t xml:space="preserve">PFS and OS HR for </w:t>
      </w:r>
      <w:proofErr w:type="spellStart"/>
      <w:r w:rsidR="00AE6F3B" w:rsidRPr="00217EA0">
        <w:rPr>
          <w:color w:val="auto"/>
          <w:lang w:bidi="en-US"/>
        </w:rPr>
        <w:t>futibatinib</w:t>
      </w:r>
      <w:proofErr w:type="spellEnd"/>
      <w:r w:rsidR="00AE6F3B" w:rsidRPr="00217EA0">
        <w:rPr>
          <w:color w:val="auto"/>
          <w:lang w:bidi="en-US"/>
        </w:rPr>
        <w:t xml:space="preserve"> compared to chemotherapy. </w:t>
      </w:r>
      <w:r w:rsidR="004677AD" w:rsidRPr="00217EA0">
        <w:rPr>
          <w:color w:val="auto"/>
          <w:lang w:bidi="en-US"/>
        </w:rPr>
        <w:t>The evaluation considered that t</w:t>
      </w:r>
      <w:r w:rsidR="00AE6F3B" w:rsidRPr="00217EA0">
        <w:rPr>
          <w:color w:val="auto"/>
          <w:lang w:bidi="en-US"/>
        </w:rPr>
        <w:t xml:space="preserve">his was likely related to better OS (and to a smaller extent, PFS) in the chemotherapy arm as only patients with </w:t>
      </w:r>
      <w:r w:rsidR="003E5C46" w:rsidRPr="003E5C46">
        <w:rPr>
          <w:i/>
          <w:iCs/>
          <w:color w:val="auto"/>
          <w:lang w:bidi="en-US"/>
        </w:rPr>
        <w:t>FGFR2</w:t>
      </w:r>
      <w:r w:rsidR="00AE6F3B" w:rsidRPr="00217EA0">
        <w:rPr>
          <w:color w:val="auto"/>
          <w:lang w:bidi="en-US"/>
        </w:rPr>
        <w:t xml:space="preserve"> alterations were included in Paine 2022 and Borad 2022. Similarly, </w:t>
      </w:r>
      <w:r w:rsidR="0077674D" w:rsidRPr="00217EA0">
        <w:rPr>
          <w:color w:val="auto"/>
          <w:lang w:bidi="en-US"/>
        </w:rPr>
        <w:t xml:space="preserve">the evaluation noted that </w:t>
      </w:r>
      <w:r w:rsidR="00AE6F3B" w:rsidRPr="00217EA0">
        <w:rPr>
          <w:color w:val="auto"/>
          <w:lang w:bidi="en-US"/>
        </w:rPr>
        <w:t xml:space="preserve">neither ORR nor </w:t>
      </w:r>
      <w:r w:rsidR="00AF1AEA" w:rsidRPr="00217EA0">
        <w:rPr>
          <w:color w:val="auto"/>
          <w:lang w:bidi="en-US"/>
        </w:rPr>
        <w:t xml:space="preserve">duration of response </w:t>
      </w:r>
      <w:r w:rsidR="00AE6F3B" w:rsidRPr="00217EA0">
        <w:rPr>
          <w:color w:val="auto"/>
          <w:lang w:bidi="en-US"/>
        </w:rPr>
        <w:t xml:space="preserve">were considered to be statistically significantly different in Borad 2022 (95% CI included the null of 1) whereas the submission’s MAIC reported a </w:t>
      </w:r>
      <w:r w:rsidR="00AF1AEA" w:rsidRPr="00217EA0">
        <w:rPr>
          <w:color w:val="auto"/>
          <w:lang w:bidi="en-US"/>
        </w:rPr>
        <w:t>odds ratio</w:t>
      </w:r>
      <w:r w:rsidR="00AE6F3B" w:rsidRPr="00217EA0">
        <w:rPr>
          <w:color w:val="auto"/>
          <w:lang w:bidi="en-US"/>
        </w:rPr>
        <w:t xml:space="preserve"> of 13.8 (unadjusted) to 18.7 (adjusted) for ORR. </w:t>
      </w:r>
      <w:r w:rsidR="00616498" w:rsidRPr="00217EA0">
        <w:rPr>
          <w:color w:val="auto"/>
          <w:lang w:bidi="en-US"/>
        </w:rPr>
        <w:t>The evaluation considered that t</w:t>
      </w:r>
      <w:r w:rsidR="00AE6F3B" w:rsidRPr="00217EA0">
        <w:rPr>
          <w:color w:val="auto"/>
          <w:lang w:bidi="en-US"/>
        </w:rPr>
        <w:t xml:space="preserve">his suggests that by not adjusting for </w:t>
      </w:r>
      <w:r w:rsidR="003E5C46" w:rsidRPr="003E5C46">
        <w:rPr>
          <w:i/>
          <w:iCs/>
          <w:color w:val="auto"/>
          <w:lang w:bidi="en-US"/>
        </w:rPr>
        <w:t>FGFR2</w:t>
      </w:r>
      <w:r w:rsidR="00AE6F3B" w:rsidRPr="00217EA0">
        <w:rPr>
          <w:color w:val="auto"/>
          <w:lang w:bidi="en-US"/>
        </w:rPr>
        <w:t xml:space="preserve"> alterations, the submission likely overestimated the benefit associated with </w:t>
      </w:r>
      <w:proofErr w:type="spellStart"/>
      <w:r w:rsidR="00AE6F3B" w:rsidRPr="00217EA0">
        <w:rPr>
          <w:color w:val="auto"/>
          <w:lang w:bidi="en-US"/>
        </w:rPr>
        <w:t>futibatinib</w:t>
      </w:r>
      <w:proofErr w:type="spellEnd"/>
      <w:r w:rsidR="00AE6F3B" w:rsidRPr="00217EA0">
        <w:rPr>
          <w:color w:val="auto"/>
          <w:lang w:bidi="en-US"/>
        </w:rPr>
        <w:t xml:space="preserve"> in the </w:t>
      </w:r>
      <w:r w:rsidR="003E5C46" w:rsidRPr="003E5C46">
        <w:rPr>
          <w:i/>
          <w:iCs/>
          <w:color w:val="auto"/>
          <w:lang w:bidi="en-US"/>
        </w:rPr>
        <w:t>FGFR2</w:t>
      </w:r>
      <w:r w:rsidR="00AE6F3B" w:rsidRPr="00217EA0">
        <w:rPr>
          <w:color w:val="auto"/>
          <w:lang w:bidi="en-US"/>
        </w:rPr>
        <w:t xml:space="preserve"> altered population. </w:t>
      </w:r>
    </w:p>
    <w:p w14:paraId="1422FF08" w14:textId="08ED99C4" w:rsidR="00AE6F3B" w:rsidRPr="00217EA0" w:rsidRDefault="00C011C0" w:rsidP="2914E55D">
      <w:pPr>
        <w:pStyle w:val="ListParagraph"/>
        <w:rPr>
          <w:color w:val="auto"/>
          <w:lang w:bidi="en-US"/>
        </w:rPr>
      </w:pPr>
      <w:bookmarkStart w:id="64" w:name="_Ref190249935"/>
      <w:r w:rsidRPr="00217EA0">
        <w:rPr>
          <w:color w:val="auto"/>
          <w:lang w:bidi="en-US"/>
        </w:rPr>
        <w:t>T</w:t>
      </w:r>
      <w:r w:rsidR="001711B1" w:rsidRPr="00217EA0">
        <w:rPr>
          <w:color w:val="auto"/>
          <w:lang w:bidi="en-US"/>
        </w:rPr>
        <w:t>he evaluation considered that</w:t>
      </w:r>
      <w:r w:rsidR="00AE6F3B" w:rsidRPr="00217EA0">
        <w:rPr>
          <w:color w:val="auto"/>
          <w:lang w:bidi="en-US"/>
        </w:rPr>
        <w:t xml:space="preserve"> given the lack of details regarding the methodology of Paine 2022 and Borad 2022</w:t>
      </w:r>
      <w:r w:rsidR="00403F28" w:rsidRPr="00217EA0">
        <w:rPr>
          <w:color w:val="auto"/>
          <w:lang w:bidi="en-US"/>
        </w:rPr>
        <w:t xml:space="preserve"> (which were only available as abstracts/ poster</w:t>
      </w:r>
      <w:r w:rsidR="00837721" w:rsidRPr="00217EA0">
        <w:rPr>
          <w:color w:val="auto"/>
          <w:lang w:bidi="en-US"/>
        </w:rPr>
        <w:t>s</w:t>
      </w:r>
      <w:r w:rsidR="00403F28" w:rsidRPr="00217EA0">
        <w:rPr>
          <w:color w:val="auto"/>
          <w:lang w:bidi="en-US"/>
        </w:rPr>
        <w:t>)</w:t>
      </w:r>
      <w:r w:rsidR="00AE6F3B" w:rsidRPr="00217EA0">
        <w:rPr>
          <w:color w:val="auto"/>
          <w:lang w:bidi="en-US"/>
        </w:rPr>
        <w:t>, as well as risks of bias inherent with indirect comparisons of single arm studies, these results should also be interpreted with caution</w:t>
      </w:r>
      <w:r w:rsidRPr="00217EA0">
        <w:rPr>
          <w:color w:val="auto"/>
          <w:lang w:bidi="en-US"/>
        </w:rPr>
        <w:t xml:space="preserve">. </w:t>
      </w:r>
      <w:r w:rsidR="0084752F" w:rsidRPr="00217EA0">
        <w:rPr>
          <w:color w:val="auto"/>
          <w:lang w:bidi="en-US"/>
        </w:rPr>
        <w:t>T</w:t>
      </w:r>
      <w:r w:rsidRPr="00217EA0">
        <w:rPr>
          <w:color w:val="auto"/>
          <w:lang w:bidi="en-US"/>
        </w:rPr>
        <w:t>he ESC</w:t>
      </w:r>
      <w:r w:rsidR="00C95F30" w:rsidRPr="00217EA0">
        <w:rPr>
          <w:color w:val="auto"/>
          <w:lang w:bidi="en-US"/>
        </w:rPr>
        <w:t>s</w:t>
      </w:r>
      <w:r w:rsidRPr="00217EA0">
        <w:rPr>
          <w:color w:val="auto"/>
          <w:lang w:bidi="en-US"/>
        </w:rPr>
        <w:t xml:space="preserve"> considered the comparisons</w:t>
      </w:r>
      <w:r w:rsidR="0084752F" w:rsidRPr="00217EA0">
        <w:rPr>
          <w:color w:val="auto"/>
          <w:lang w:bidi="en-US"/>
        </w:rPr>
        <w:t xml:space="preserve"> were</w:t>
      </w:r>
      <w:r w:rsidRPr="00217EA0">
        <w:rPr>
          <w:color w:val="auto"/>
          <w:lang w:bidi="en-US"/>
        </w:rPr>
        <w:t xml:space="preserve"> informative and considered it</w:t>
      </w:r>
      <w:r w:rsidR="00E20413" w:rsidRPr="00217EA0">
        <w:rPr>
          <w:color w:val="auto"/>
          <w:lang w:bidi="en-US"/>
        </w:rPr>
        <w:t xml:space="preserve"> </w:t>
      </w:r>
      <w:r w:rsidR="00AE6F3B" w:rsidRPr="00217EA0">
        <w:rPr>
          <w:color w:val="auto"/>
          <w:lang w:bidi="en-US"/>
        </w:rPr>
        <w:t xml:space="preserve">likely that they represent more reasonable estimates for PFS and OS benefits associated with </w:t>
      </w:r>
      <w:proofErr w:type="spellStart"/>
      <w:r w:rsidR="00AE6F3B" w:rsidRPr="00217EA0">
        <w:rPr>
          <w:color w:val="auto"/>
          <w:lang w:bidi="en-US"/>
        </w:rPr>
        <w:t>futibatinib</w:t>
      </w:r>
      <w:proofErr w:type="spellEnd"/>
      <w:r w:rsidR="00AE6F3B" w:rsidRPr="00217EA0">
        <w:rPr>
          <w:color w:val="auto"/>
          <w:lang w:bidi="en-US"/>
        </w:rPr>
        <w:t xml:space="preserve"> relative to chemotherapy in patients with </w:t>
      </w:r>
      <w:r w:rsidR="003E5C46" w:rsidRPr="003E5C46">
        <w:rPr>
          <w:i/>
          <w:iCs/>
          <w:color w:val="auto"/>
          <w:lang w:bidi="en-US"/>
        </w:rPr>
        <w:t>FGFR2</w:t>
      </w:r>
      <w:r w:rsidR="00AE6F3B" w:rsidRPr="00217EA0">
        <w:rPr>
          <w:color w:val="auto"/>
          <w:lang w:bidi="en-US"/>
        </w:rPr>
        <w:t xml:space="preserve"> alterations.</w:t>
      </w:r>
      <w:bookmarkEnd w:id="64"/>
      <w:r w:rsidR="00AE6F3B" w:rsidRPr="00217EA0">
        <w:rPr>
          <w:color w:val="auto"/>
          <w:lang w:bidi="en-US"/>
        </w:rPr>
        <w:t xml:space="preserve">  </w:t>
      </w:r>
    </w:p>
    <w:p w14:paraId="1047C650" w14:textId="77777777" w:rsidR="007D5CA8" w:rsidRPr="00C95CD1" w:rsidRDefault="00623454" w:rsidP="00C95CD1">
      <w:pPr>
        <w:pStyle w:val="4-SubsectionHeading"/>
        <w:rPr>
          <w:rFonts w:asciiTheme="minorHAnsi" w:hAnsiTheme="minorHAnsi"/>
          <w:lang w:eastAsia="en-US"/>
        </w:rPr>
      </w:pPr>
      <w:r w:rsidRPr="00C95CD1">
        <w:rPr>
          <w:rFonts w:asciiTheme="minorHAnsi" w:hAnsiTheme="minorHAnsi"/>
          <w:lang w:eastAsia="en-US"/>
        </w:rPr>
        <w:t>Comparative harms</w:t>
      </w:r>
    </w:p>
    <w:p w14:paraId="11F0ADE4" w14:textId="52629381" w:rsidR="00065DE6" w:rsidRPr="00217EA0" w:rsidRDefault="000B35F9" w:rsidP="00FE3A7F">
      <w:pPr>
        <w:pStyle w:val="ListParagraph"/>
        <w:rPr>
          <w:color w:val="auto"/>
        </w:rPr>
      </w:pPr>
      <w:r w:rsidRPr="00217EA0">
        <w:rPr>
          <w:color w:val="auto"/>
        </w:rPr>
        <w:fldChar w:fldCharType="begin"/>
      </w:r>
      <w:r w:rsidRPr="00217EA0">
        <w:rPr>
          <w:color w:val="auto"/>
        </w:rPr>
        <w:instrText xml:space="preserve"> REF _Ref184822814 \h </w:instrText>
      </w:r>
      <w:r w:rsidR="00EC070E" w:rsidRPr="00217EA0">
        <w:rPr>
          <w:color w:val="auto"/>
        </w:rPr>
        <w:instrText xml:space="preserve"> \* MERGEFORMAT </w:instrText>
      </w:r>
      <w:r w:rsidRPr="00217EA0">
        <w:rPr>
          <w:color w:val="auto"/>
        </w:rPr>
      </w:r>
      <w:r w:rsidRPr="00217EA0">
        <w:rPr>
          <w:color w:val="auto"/>
        </w:rPr>
        <w:fldChar w:fldCharType="separate"/>
      </w:r>
      <w:r w:rsidR="008378C4" w:rsidRPr="00217EA0">
        <w:t>Table</w:t>
      </w:r>
      <w:r w:rsidR="008378C4">
        <w:t xml:space="preserve"> 16</w:t>
      </w:r>
      <w:r w:rsidRPr="00217EA0">
        <w:rPr>
          <w:color w:val="auto"/>
        </w:rPr>
        <w:fldChar w:fldCharType="end"/>
      </w:r>
      <w:r w:rsidRPr="00217EA0">
        <w:rPr>
          <w:color w:val="auto"/>
        </w:rPr>
        <w:t xml:space="preserve"> </w:t>
      </w:r>
      <w:r w:rsidR="00065DE6" w:rsidRPr="00217EA0">
        <w:rPr>
          <w:color w:val="auto"/>
        </w:rPr>
        <w:t xml:space="preserve">presents a summary of </w:t>
      </w:r>
      <w:r w:rsidR="00AF1AEA" w:rsidRPr="00217EA0">
        <w:rPr>
          <w:color w:val="auto"/>
        </w:rPr>
        <w:t>adverse events (</w:t>
      </w:r>
      <w:r w:rsidR="00065DE6" w:rsidRPr="00217EA0">
        <w:rPr>
          <w:color w:val="auto"/>
        </w:rPr>
        <w:t>AEs</w:t>
      </w:r>
      <w:r w:rsidR="00AF1AEA" w:rsidRPr="00217EA0">
        <w:rPr>
          <w:color w:val="auto"/>
        </w:rPr>
        <w:t>)</w:t>
      </w:r>
      <w:r w:rsidR="00065DE6" w:rsidRPr="00217EA0">
        <w:rPr>
          <w:color w:val="auto"/>
        </w:rPr>
        <w:t xml:space="preserve"> in FOENIX-CCA2.</w:t>
      </w:r>
    </w:p>
    <w:p w14:paraId="594BCF81" w14:textId="7982A86C" w:rsidR="00065DE6" w:rsidRPr="00217EA0" w:rsidRDefault="000B35F9" w:rsidP="00552080">
      <w:pPr>
        <w:pStyle w:val="TableFigureHeading"/>
        <w:keepLines/>
      </w:pPr>
      <w:bookmarkStart w:id="65" w:name="_Ref184822814"/>
      <w:r w:rsidRPr="00217EA0">
        <w:t>Table</w:t>
      </w:r>
      <w:r w:rsidR="00BC71B3">
        <w:t xml:space="preserve"> </w:t>
      </w:r>
      <w:r w:rsidR="006A66A8">
        <w:fldChar w:fldCharType="begin"/>
      </w:r>
      <w:r w:rsidR="006A66A8">
        <w:instrText xml:space="preserve"> SEQ Table_PBAC. \* ARABIC </w:instrText>
      </w:r>
      <w:r w:rsidR="006A66A8">
        <w:fldChar w:fldCharType="separate"/>
      </w:r>
      <w:r w:rsidR="008378C4">
        <w:rPr>
          <w:noProof/>
        </w:rPr>
        <w:t>16</w:t>
      </w:r>
      <w:r w:rsidR="006A66A8">
        <w:rPr>
          <w:noProof/>
        </w:rPr>
        <w:fldChar w:fldCharType="end"/>
      </w:r>
      <w:bookmarkEnd w:id="65"/>
      <w:r w:rsidR="00552080">
        <w:rPr>
          <w:noProof/>
        </w:rPr>
        <w:t xml:space="preserve">: </w:t>
      </w:r>
      <w:r w:rsidR="00065DE6" w:rsidRPr="00217EA0">
        <w:t>Safety overview for FOENIX-CCA2– Safety population, May 2021 cut-off</w:t>
      </w:r>
    </w:p>
    <w:tbl>
      <w:tblPr>
        <w:tblStyle w:val="PBACTableStyle"/>
        <w:tblW w:w="0" w:type="auto"/>
        <w:tblLook w:val="04A0" w:firstRow="1" w:lastRow="0" w:firstColumn="1" w:lastColumn="0" w:noHBand="0" w:noVBand="1"/>
        <w:tblCaption w:val="Table 16: Safety overview for FOENIX-CCA2– Safety population, May 2021 cut-off"/>
      </w:tblPr>
      <w:tblGrid>
        <w:gridCol w:w="5949"/>
        <w:gridCol w:w="3067"/>
      </w:tblGrid>
      <w:tr w:rsidR="007900E9" w:rsidRPr="00217EA0" w14:paraId="611C5AFF" w14:textId="77777777" w:rsidTr="00FE3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4C64733C" w14:textId="77777777" w:rsidR="00065DE6" w:rsidRPr="00217EA0" w:rsidRDefault="00065DE6" w:rsidP="00552080">
            <w:pPr>
              <w:pStyle w:val="TableText"/>
              <w:keepNext/>
              <w:keepLines/>
              <w:widowControl/>
              <w:rPr>
                <w:color w:val="auto"/>
                <w:lang w:val="en-AU"/>
              </w:rPr>
            </w:pPr>
          </w:p>
        </w:tc>
        <w:tc>
          <w:tcPr>
            <w:tcW w:w="3254" w:type="dxa"/>
          </w:tcPr>
          <w:p w14:paraId="44A5A9CD" w14:textId="77777777" w:rsidR="00065DE6" w:rsidRPr="00217EA0" w:rsidRDefault="00065DE6" w:rsidP="00552080">
            <w:pPr>
              <w:pStyle w:val="TableText"/>
              <w:keepNext/>
              <w:keepLines/>
              <w:widowControl/>
              <w:jc w:val="center"/>
              <w:cnfStyle w:val="100000000000" w:firstRow="1" w:lastRow="0" w:firstColumn="0" w:lastColumn="0" w:oddVBand="0" w:evenVBand="0" w:oddHBand="0" w:evenHBand="0" w:firstRowFirstColumn="0" w:firstRowLastColumn="0" w:lastRowFirstColumn="0" w:lastRowLastColumn="0"/>
              <w:rPr>
                <w:color w:val="auto"/>
                <w:lang w:val="en-AU"/>
              </w:rPr>
            </w:pPr>
            <w:r w:rsidRPr="00217EA0">
              <w:rPr>
                <w:color w:val="auto"/>
                <w:lang w:val="en-AU"/>
              </w:rPr>
              <w:t>All Treated Patients</w:t>
            </w:r>
          </w:p>
          <w:p w14:paraId="226FF19F" w14:textId="77777777" w:rsidR="00065DE6" w:rsidRPr="00217EA0" w:rsidRDefault="00065DE6" w:rsidP="00552080">
            <w:pPr>
              <w:pStyle w:val="TableText"/>
              <w:keepNext/>
              <w:keepLines/>
              <w:widowControl/>
              <w:jc w:val="center"/>
              <w:cnfStyle w:val="100000000000" w:firstRow="1" w:lastRow="0" w:firstColumn="0" w:lastColumn="0" w:oddVBand="0" w:evenVBand="0" w:oddHBand="0" w:evenHBand="0" w:firstRowFirstColumn="0" w:firstRowLastColumn="0" w:lastRowFirstColumn="0" w:lastRowLastColumn="0"/>
              <w:rPr>
                <w:color w:val="auto"/>
                <w:lang w:val="en-AU"/>
              </w:rPr>
            </w:pPr>
            <w:r w:rsidRPr="00217EA0">
              <w:rPr>
                <w:color w:val="auto"/>
                <w:lang w:val="en-AU"/>
              </w:rPr>
              <w:t>(N=103)</w:t>
            </w:r>
          </w:p>
          <w:p w14:paraId="3B951390" w14:textId="77777777" w:rsidR="00065DE6" w:rsidRPr="00217EA0" w:rsidRDefault="00065DE6" w:rsidP="00552080">
            <w:pPr>
              <w:pStyle w:val="TableText"/>
              <w:keepNext/>
              <w:keepLines/>
              <w:widowControl/>
              <w:jc w:val="center"/>
              <w:cnfStyle w:val="100000000000" w:firstRow="1" w:lastRow="0" w:firstColumn="0" w:lastColumn="0" w:oddVBand="0" w:evenVBand="0" w:oddHBand="0" w:evenHBand="0" w:firstRowFirstColumn="0" w:firstRowLastColumn="0" w:lastRowFirstColumn="0" w:lastRowLastColumn="0"/>
              <w:rPr>
                <w:color w:val="auto"/>
                <w:lang w:val="en-AU"/>
              </w:rPr>
            </w:pPr>
            <w:r w:rsidRPr="00217EA0">
              <w:rPr>
                <w:color w:val="auto"/>
                <w:lang w:val="en-AU"/>
              </w:rPr>
              <w:t>n (%)</w:t>
            </w:r>
          </w:p>
        </w:tc>
      </w:tr>
      <w:tr w:rsidR="007900E9" w:rsidRPr="00217EA0" w14:paraId="62A6CD2D" w14:textId="77777777" w:rsidTr="00FE3A7F">
        <w:tc>
          <w:tcPr>
            <w:cnfStyle w:val="001000000000" w:firstRow="0" w:lastRow="0" w:firstColumn="1" w:lastColumn="0" w:oddVBand="0" w:evenVBand="0" w:oddHBand="0" w:evenHBand="0" w:firstRowFirstColumn="0" w:firstRowLastColumn="0" w:lastRowFirstColumn="0" w:lastRowLastColumn="0"/>
            <w:tcW w:w="6374" w:type="dxa"/>
          </w:tcPr>
          <w:p w14:paraId="17DBC0C1" w14:textId="77777777" w:rsidR="00065DE6" w:rsidRPr="00217EA0" w:rsidRDefault="00065DE6" w:rsidP="00552080">
            <w:pPr>
              <w:pStyle w:val="TableText"/>
              <w:keepNext/>
              <w:keepLines/>
              <w:widowControl/>
              <w:rPr>
                <w:color w:val="auto"/>
                <w:lang w:val="en-AU"/>
              </w:rPr>
            </w:pPr>
            <w:r w:rsidRPr="00217EA0">
              <w:rPr>
                <w:color w:val="auto"/>
                <w:lang w:val="en-AU"/>
              </w:rPr>
              <w:t xml:space="preserve">Adverse events </w:t>
            </w:r>
          </w:p>
        </w:tc>
        <w:tc>
          <w:tcPr>
            <w:tcW w:w="3254" w:type="dxa"/>
          </w:tcPr>
          <w:p w14:paraId="647E76F7" w14:textId="77777777" w:rsidR="00065DE6" w:rsidRPr="00217EA0" w:rsidRDefault="00065DE6" w:rsidP="00552080">
            <w:pPr>
              <w:pStyle w:val="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103 (100.0)</w:t>
            </w:r>
          </w:p>
        </w:tc>
      </w:tr>
      <w:tr w:rsidR="007900E9" w:rsidRPr="00217EA0" w14:paraId="7E5C9519" w14:textId="77777777" w:rsidTr="00FE3A7F">
        <w:tc>
          <w:tcPr>
            <w:cnfStyle w:val="001000000000" w:firstRow="0" w:lastRow="0" w:firstColumn="1" w:lastColumn="0" w:oddVBand="0" w:evenVBand="0" w:oddHBand="0" w:evenHBand="0" w:firstRowFirstColumn="0" w:firstRowLastColumn="0" w:lastRowFirstColumn="0" w:lastRowLastColumn="0"/>
            <w:tcW w:w="6374" w:type="dxa"/>
          </w:tcPr>
          <w:p w14:paraId="341A2352" w14:textId="22ABE9D2" w:rsidR="00065DE6" w:rsidRPr="00217EA0" w:rsidRDefault="00065DE6" w:rsidP="00552080">
            <w:pPr>
              <w:pStyle w:val="TableText"/>
              <w:keepNext/>
              <w:keepLines/>
              <w:widowControl/>
              <w:rPr>
                <w:color w:val="auto"/>
                <w:lang w:val="en-AU"/>
              </w:rPr>
            </w:pPr>
            <w:r w:rsidRPr="00217EA0">
              <w:rPr>
                <w:color w:val="auto"/>
                <w:lang w:val="en-AU"/>
              </w:rPr>
              <w:t xml:space="preserve">Adverse events of CTCAE Grade 3, 4, or 5 </w:t>
            </w:r>
          </w:p>
        </w:tc>
        <w:tc>
          <w:tcPr>
            <w:tcW w:w="3254" w:type="dxa"/>
          </w:tcPr>
          <w:p w14:paraId="69C9D0CF" w14:textId="77777777" w:rsidR="00065DE6" w:rsidRPr="00217EA0" w:rsidRDefault="00065DE6" w:rsidP="00552080">
            <w:pPr>
              <w:pStyle w:val="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82 (79.6)</w:t>
            </w:r>
          </w:p>
        </w:tc>
      </w:tr>
      <w:tr w:rsidR="007900E9" w:rsidRPr="00217EA0" w14:paraId="0D685DCE" w14:textId="77777777" w:rsidTr="00FE3A7F">
        <w:tc>
          <w:tcPr>
            <w:cnfStyle w:val="001000000000" w:firstRow="0" w:lastRow="0" w:firstColumn="1" w:lastColumn="0" w:oddVBand="0" w:evenVBand="0" w:oddHBand="0" w:evenHBand="0" w:firstRowFirstColumn="0" w:firstRowLastColumn="0" w:lastRowFirstColumn="0" w:lastRowLastColumn="0"/>
            <w:tcW w:w="6374" w:type="dxa"/>
          </w:tcPr>
          <w:p w14:paraId="40D0E29B" w14:textId="77777777" w:rsidR="00065DE6" w:rsidRPr="00217EA0" w:rsidRDefault="00065DE6" w:rsidP="00552080">
            <w:pPr>
              <w:pStyle w:val="TableText"/>
              <w:keepNext/>
              <w:keepLines/>
              <w:widowControl/>
              <w:rPr>
                <w:color w:val="auto"/>
                <w:lang w:val="en-AU"/>
              </w:rPr>
            </w:pPr>
            <w:r w:rsidRPr="00217EA0">
              <w:rPr>
                <w:color w:val="auto"/>
                <w:lang w:val="en-AU"/>
              </w:rPr>
              <w:t xml:space="preserve">Serious adverse events </w:t>
            </w:r>
          </w:p>
        </w:tc>
        <w:tc>
          <w:tcPr>
            <w:tcW w:w="3254" w:type="dxa"/>
          </w:tcPr>
          <w:p w14:paraId="28923E2F" w14:textId="77777777" w:rsidR="00065DE6" w:rsidRPr="00217EA0" w:rsidRDefault="00065DE6" w:rsidP="00552080">
            <w:pPr>
              <w:pStyle w:val="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42 (40.8)</w:t>
            </w:r>
          </w:p>
        </w:tc>
      </w:tr>
      <w:tr w:rsidR="007900E9" w:rsidRPr="00217EA0" w14:paraId="02714EB1" w14:textId="77777777" w:rsidTr="00FE3A7F">
        <w:tc>
          <w:tcPr>
            <w:cnfStyle w:val="001000000000" w:firstRow="0" w:lastRow="0" w:firstColumn="1" w:lastColumn="0" w:oddVBand="0" w:evenVBand="0" w:oddHBand="0" w:evenHBand="0" w:firstRowFirstColumn="0" w:firstRowLastColumn="0" w:lastRowFirstColumn="0" w:lastRowLastColumn="0"/>
            <w:tcW w:w="6374" w:type="dxa"/>
          </w:tcPr>
          <w:p w14:paraId="77E35B4F" w14:textId="77777777" w:rsidR="00065DE6" w:rsidRPr="00217EA0" w:rsidRDefault="00065DE6" w:rsidP="00552080">
            <w:pPr>
              <w:pStyle w:val="TableText"/>
              <w:keepNext/>
              <w:keepLines/>
              <w:widowControl/>
              <w:rPr>
                <w:color w:val="auto"/>
                <w:lang w:val="en-AU"/>
              </w:rPr>
            </w:pPr>
            <w:r w:rsidRPr="00217EA0">
              <w:rPr>
                <w:color w:val="auto"/>
                <w:lang w:val="en-AU"/>
              </w:rPr>
              <w:t>Deaths due to SAEs</w:t>
            </w:r>
          </w:p>
        </w:tc>
        <w:tc>
          <w:tcPr>
            <w:tcW w:w="3254" w:type="dxa"/>
          </w:tcPr>
          <w:p w14:paraId="6832DDBB" w14:textId="77777777" w:rsidR="00065DE6" w:rsidRPr="00217EA0" w:rsidRDefault="00065DE6" w:rsidP="00552080">
            <w:pPr>
              <w:pStyle w:val="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6 (5.8)</w:t>
            </w:r>
          </w:p>
        </w:tc>
      </w:tr>
      <w:tr w:rsidR="007900E9" w:rsidRPr="00217EA0" w14:paraId="32465512" w14:textId="77777777" w:rsidTr="00FE3A7F">
        <w:tc>
          <w:tcPr>
            <w:cnfStyle w:val="001000000000" w:firstRow="0" w:lastRow="0" w:firstColumn="1" w:lastColumn="0" w:oddVBand="0" w:evenVBand="0" w:oddHBand="0" w:evenHBand="0" w:firstRowFirstColumn="0" w:firstRowLastColumn="0" w:lastRowFirstColumn="0" w:lastRowLastColumn="0"/>
            <w:tcW w:w="6374" w:type="dxa"/>
          </w:tcPr>
          <w:p w14:paraId="4FE48429" w14:textId="77777777" w:rsidR="00065DE6" w:rsidRPr="00217EA0" w:rsidRDefault="00065DE6" w:rsidP="00552080">
            <w:pPr>
              <w:pStyle w:val="TableText"/>
              <w:keepNext/>
              <w:keepLines/>
              <w:widowControl/>
              <w:rPr>
                <w:color w:val="auto"/>
                <w:lang w:val="en-AU"/>
              </w:rPr>
            </w:pPr>
            <w:r w:rsidRPr="00217EA0">
              <w:rPr>
                <w:color w:val="auto"/>
                <w:lang w:val="en-AU"/>
              </w:rPr>
              <w:t xml:space="preserve">Adverse events leading to study drug dose adjustment </w:t>
            </w:r>
          </w:p>
        </w:tc>
        <w:tc>
          <w:tcPr>
            <w:tcW w:w="3254" w:type="dxa"/>
          </w:tcPr>
          <w:p w14:paraId="0CAF0B04" w14:textId="77777777" w:rsidR="00065DE6" w:rsidRPr="00217EA0" w:rsidRDefault="00065DE6" w:rsidP="00552080">
            <w:pPr>
              <w:pStyle w:val="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80 (77.7)</w:t>
            </w:r>
          </w:p>
        </w:tc>
      </w:tr>
      <w:tr w:rsidR="007900E9" w:rsidRPr="00217EA0" w14:paraId="0C66DFFD" w14:textId="77777777" w:rsidTr="00FE3A7F">
        <w:tc>
          <w:tcPr>
            <w:cnfStyle w:val="001000000000" w:firstRow="0" w:lastRow="0" w:firstColumn="1" w:lastColumn="0" w:oddVBand="0" w:evenVBand="0" w:oddHBand="0" w:evenHBand="0" w:firstRowFirstColumn="0" w:firstRowLastColumn="0" w:lastRowFirstColumn="0" w:lastRowLastColumn="0"/>
            <w:tcW w:w="6374" w:type="dxa"/>
          </w:tcPr>
          <w:p w14:paraId="4F3A6B5B" w14:textId="77777777" w:rsidR="00065DE6" w:rsidRPr="00217EA0" w:rsidRDefault="00065DE6" w:rsidP="00552080">
            <w:pPr>
              <w:pStyle w:val="TableText"/>
              <w:keepNext/>
              <w:keepLines/>
              <w:widowControl/>
              <w:rPr>
                <w:color w:val="auto"/>
                <w:lang w:val="en-AU"/>
              </w:rPr>
            </w:pPr>
            <w:r w:rsidRPr="00217EA0">
              <w:rPr>
                <w:color w:val="auto"/>
                <w:lang w:val="en-AU"/>
              </w:rPr>
              <w:t xml:space="preserve">Adverse events leading to study drug withdrawal </w:t>
            </w:r>
          </w:p>
        </w:tc>
        <w:tc>
          <w:tcPr>
            <w:tcW w:w="3254" w:type="dxa"/>
          </w:tcPr>
          <w:p w14:paraId="0F355768" w14:textId="77777777" w:rsidR="00065DE6" w:rsidRPr="00217EA0" w:rsidRDefault="00065DE6" w:rsidP="00552080">
            <w:pPr>
              <w:pStyle w:val="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11 (10.7)</w:t>
            </w:r>
          </w:p>
        </w:tc>
      </w:tr>
      <w:tr w:rsidR="007900E9" w:rsidRPr="00217EA0" w14:paraId="74EB6554" w14:textId="77777777" w:rsidTr="00FE3A7F">
        <w:tc>
          <w:tcPr>
            <w:cnfStyle w:val="001000000000" w:firstRow="0" w:lastRow="0" w:firstColumn="1" w:lastColumn="0" w:oddVBand="0" w:evenVBand="0" w:oddHBand="0" w:evenHBand="0" w:firstRowFirstColumn="0" w:firstRowLastColumn="0" w:lastRowFirstColumn="0" w:lastRowLastColumn="0"/>
            <w:tcW w:w="6374" w:type="dxa"/>
          </w:tcPr>
          <w:p w14:paraId="61ABB105" w14:textId="77777777" w:rsidR="00065DE6" w:rsidRPr="00217EA0" w:rsidRDefault="00065DE6" w:rsidP="00552080">
            <w:pPr>
              <w:pStyle w:val="TableText"/>
              <w:keepNext/>
              <w:keepLines/>
              <w:widowControl/>
              <w:rPr>
                <w:color w:val="auto"/>
                <w:lang w:val="en-AU"/>
              </w:rPr>
            </w:pPr>
            <w:r w:rsidRPr="00217EA0">
              <w:rPr>
                <w:color w:val="auto"/>
                <w:lang w:val="en-AU"/>
              </w:rPr>
              <w:t xml:space="preserve">Adverse events leading to study drug dose reduction </w:t>
            </w:r>
          </w:p>
        </w:tc>
        <w:tc>
          <w:tcPr>
            <w:tcW w:w="3254" w:type="dxa"/>
          </w:tcPr>
          <w:p w14:paraId="12B2EAEE" w14:textId="77777777" w:rsidR="00065DE6" w:rsidRPr="00217EA0" w:rsidRDefault="00065DE6" w:rsidP="00552080">
            <w:pPr>
              <w:pStyle w:val="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61 (59.2)</w:t>
            </w:r>
          </w:p>
        </w:tc>
      </w:tr>
      <w:tr w:rsidR="007900E9" w:rsidRPr="00217EA0" w14:paraId="420029E3" w14:textId="77777777" w:rsidTr="00FE3A7F">
        <w:tc>
          <w:tcPr>
            <w:cnfStyle w:val="001000000000" w:firstRow="0" w:lastRow="0" w:firstColumn="1" w:lastColumn="0" w:oddVBand="0" w:evenVBand="0" w:oddHBand="0" w:evenHBand="0" w:firstRowFirstColumn="0" w:firstRowLastColumn="0" w:lastRowFirstColumn="0" w:lastRowLastColumn="0"/>
            <w:tcW w:w="6374" w:type="dxa"/>
          </w:tcPr>
          <w:p w14:paraId="059B428D" w14:textId="77777777" w:rsidR="00065DE6" w:rsidRPr="00217EA0" w:rsidRDefault="00065DE6" w:rsidP="00552080">
            <w:pPr>
              <w:pStyle w:val="TableText"/>
              <w:keepNext/>
              <w:keepLines/>
              <w:widowControl/>
              <w:rPr>
                <w:color w:val="auto"/>
                <w:lang w:val="en-AU"/>
              </w:rPr>
            </w:pPr>
            <w:r w:rsidRPr="00217EA0">
              <w:rPr>
                <w:color w:val="auto"/>
                <w:lang w:val="en-AU"/>
              </w:rPr>
              <w:t xml:space="preserve">Adverse events leading to study drug interruption </w:t>
            </w:r>
          </w:p>
        </w:tc>
        <w:tc>
          <w:tcPr>
            <w:tcW w:w="3254" w:type="dxa"/>
          </w:tcPr>
          <w:p w14:paraId="3054D871" w14:textId="77777777" w:rsidR="00065DE6" w:rsidRPr="00217EA0" w:rsidRDefault="00065DE6" w:rsidP="00552080">
            <w:pPr>
              <w:pStyle w:val="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70 (68.0)</w:t>
            </w:r>
          </w:p>
        </w:tc>
      </w:tr>
      <w:tr w:rsidR="007900E9" w:rsidRPr="00217EA0" w14:paraId="0A4871CF" w14:textId="77777777" w:rsidTr="00FE3A7F">
        <w:tc>
          <w:tcPr>
            <w:cnfStyle w:val="001000000000" w:firstRow="0" w:lastRow="0" w:firstColumn="1" w:lastColumn="0" w:oddVBand="0" w:evenVBand="0" w:oddHBand="0" w:evenHBand="0" w:firstRowFirstColumn="0" w:firstRowLastColumn="0" w:lastRowFirstColumn="0" w:lastRowLastColumn="0"/>
            <w:tcW w:w="6374" w:type="dxa"/>
          </w:tcPr>
          <w:p w14:paraId="1B53C435" w14:textId="77777777" w:rsidR="00065DE6" w:rsidRPr="00217EA0" w:rsidRDefault="00065DE6" w:rsidP="00552080">
            <w:pPr>
              <w:pStyle w:val="TableText"/>
              <w:keepNext/>
              <w:keepLines/>
              <w:widowControl/>
              <w:rPr>
                <w:color w:val="auto"/>
                <w:lang w:val="en-AU"/>
              </w:rPr>
            </w:pPr>
            <w:r w:rsidRPr="00217EA0">
              <w:rPr>
                <w:color w:val="auto"/>
                <w:lang w:val="en-AU"/>
              </w:rPr>
              <w:t xml:space="preserve">Treatment-related adverse events </w:t>
            </w:r>
          </w:p>
        </w:tc>
        <w:tc>
          <w:tcPr>
            <w:tcW w:w="3254" w:type="dxa"/>
          </w:tcPr>
          <w:p w14:paraId="779AD774" w14:textId="77777777" w:rsidR="00065DE6" w:rsidRPr="00217EA0" w:rsidRDefault="00065DE6" w:rsidP="00552080">
            <w:pPr>
              <w:pStyle w:val="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102 (99.0)</w:t>
            </w:r>
          </w:p>
        </w:tc>
      </w:tr>
      <w:tr w:rsidR="007900E9" w:rsidRPr="00217EA0" w14:paraId="0D6A98FD" w14:textId="77777777" w:rsidTr="00FE3A7F">
        <w:tc>
          <w:tcPr>
            <w:cnfStyle w:val="001000000000" w:firstRow="0" w:lastRow="0" w:firstColumn="1" w:lastColumn="0" w:oddVBand="0" w:evenVBand="0" w:oddHBand="0" w:evenHBand="0" w:firstRowFirstColumn="0" w:firstRowLastColumn="0" w:lastRowFirstColumn="0" w:lastRowLastColumn="0"/>
            <w:tcW w:w="6374" w:type="dxa"/>
          </w:tcPr>
          <w:p w14:paraId="1842BEA2" w14:textId="77777777" w:rsidR="00065DE6" w:rsidRPr="00217EA0" w:rsidRDefault="00065DE6" w:rsidP="00552080">
            <w:pPr>
              <w:pStyle w:val="TableText"/>
              <w:keepNext/>
              <w:keepLines/>
              <w:widowControl/>
              <w:rPr>
                <w:color w:val="auto"/>
                <w:lang w:val="en-AU"/>
              </w:rPr>
            </w:pPr>
            <w:r w:rsidRPr="00217EA0">
              <w:rPr>
                <w:color w:val="auto"/>
                <w:lang w:val="en-AU"/>
              </w:rPr>
              <w:t xml:space="preserve">Treatment-related adverse events of CTCAE Grade 3, 4, or 5 </w:t>
            </w:r>
          </w:p>
        </w:tc>
        <w:tc>
          <w:tcPr>
            <w:tcW w:w="3254" w:type="dxa"/>
          </w:tcPr>
          <w:p w14:paraId="53981BAD" w14:textId="77777777" w:rsidR="00065DE6" w:rsidRPr="00217EA0" w:rsidRDefault="00065DE6" w:rsidP="00552080">
            <w:pPr>
              <w:pStyle w:val="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60 (58.3)</w:t>
            </w:r>
          </w:p>
        </w:tc>
      </w:tr>
      <w:tr w:rsidR="007900E9" w:rsidRPr="00217EA0" w14:paraId="0F6170F6" w14:textId="77777777" w:rsidTr="00FE3A7F">
        <w:tc>
          <w:tcPr>
            <w:cnfStyle w:val="001000000000" w:firstRow="0" w:lastRow="0" w:firstColumn="1" w:lastColumn="0" w:oddVBand="0" w:evenVBand="0" w:oddHBand="0" w:evenHBand="0" w:firstRowFirstColumn="0" w:firstRowLastColumn="0" w:lastRowFirstColumn="0" w:lastRowLastColumn="0"/>
            <w:tcW w:w="6374" w:type="dxa"/>
          </w:tcPr>
          <w:p w14:paraId="4D7BCCEB" w14:textId="7292D35A" w:rsidR="00065DE6" w:rsidRPr="00217EA0" w:rsidRDefault="00065DE6" w:rsidP="00552080">
            <w:pPr>
              <w:pStyle w:val="TableText"/>
              <w:keepNext/>
              <w:keepLines/>
              <w:widowControl/>
              <w:rPr>
                <w:color w:val="auto"/>
                <w:lang w:val="en-AU"/>
              </w:rPr>
            </w:pPr>
            <w:r w:rsidRPr="00217EA0">
              <w:rPr>
                <w:color w:val="auto"/>
                <w:lang w:val="en-AU"/>
              </w:rPr>
              <w:t xml:space="preserve">Treatment-related </w:t>
            </w:r>
            <w:r w:rsidR="00802D45" w:rsidRPr="00217EA0">
              <w:rPr>
                <w:color w:val="auto"/>
                <w:lang w:val="en-AU"/>
              </w:rPr>
              <w:t xml:space="preserve">SAE </w:t>
            </w:r>
          </w:p>
        </w:tc>
        <w:tc>
          <w:tcPr>
            <w:tcW w:w="3254" w:type="dxa"/>
          </w:tcPr>
          <w:p w14:paraId="21713741" w14:textId="77777777" w:rsidR="00065DE6" w:rsidRPr="00217EA0" w:rsidRDefault="00065DE6" w:rsidP="00552080">
            <w:pPr>
              <w:pStyle w:val="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11 (10.7)</w:t>
            </w:r>
          </w:p>
        </w:tc>
      </w:tr>
      <w:tr w:rsidR="007900E9" w:rsidRPr="00217EA0" w14:paraId="40DBAD3B" w14:textId="77777777" w:rsidTr="00FE3A7F">
        <w:tc>
          <w:tcPr>
            <w:cnfStyle w:val="001000000000" w:firstRow="0" w:lastRow="0" w:firstColumn="1" w:lastColumn="0" w:oddVBand="0" w:evenVBand="0" w:oddHBand="0" w:evenHBand="0" w:firstRowFirstColumn="0" w:firstRowLastColumn="0" w:lastRowFirstColumn="0" w:lastRowLastColumn="0"/>
            <w:tcW w:w="6374" w:type="dxa"/>
          </w:tcPr>
          <w:p w14:paraId="2837579F" w14:textId="77777777" w:rsidR="00065DE6" w:rsidRPr="00217EA0" w:rsidRDefault="00065DE6" w:rsidP="00552080">
            <w:pPr>
              <w:pStyle w:val="TableText"/>
              <w:keepNext/>
              <w:keepLines/>
              <w:widowControl/>
              <w:rPr>
                <w:color w:val="auto"/>
                <w:lang w:val="en-AU"/>
              </w:rPr>
            </w:pPr>
            <w:r w:rsidRPr="00217EA0">
              <w:rPr>
                <w:color w:val="auto"/>
                <w:lang w:val="en-AU"/>
              </w:rPr>
              <w:t>Treatment related deaths due to SAEs</w:t>
            </w:r>
          </w:p>
        </w:tc>
        <w:tc>
          <w:tcPr>
            <w:tcW w:w="3254" w:type="dxa"/>
          </w:tcPr>
          <w:p w14:paraId="6E2948D3" w14:textId="77777777" w:rsidR="00065DE6" w:rsidRPr="00217EA0" w:rsidRDefault="00065DE6" w:rsidP="00552080">
            <w:pPr>
              <w:pStyle w:val="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0</w:t>
            </w:r>
          </w:p>
        </w:tc>
      </w:tr>
      <w:tr w:rsidR="007900E9" w:rsidRPr="00217EA0" w14:paraId="7EA77A6B" w14:textId="77777777" w:rsidTr="00FE3A7F">
        <w:tc>
          <w:tcPr>
            <w:cnfStyle w:val="001000000000" w:firstRow="0" w:lastRow="0" w:firstColumn="1" w:lastColumn="0" w:oddVBand="0" w:evenVBand="0" w:oddHBand="0" w:evenHBand="0" w:firstRowFirstColumn="0" w:firstRowLastColumn="0" w:lastRowFirstColumn="0" w:lastRowLastColumn="0"/>
            <w:tcW w:w="6374" w:type="dxa"/>
          </w:tcPr>
          <w:p w14:paraId="46917D89" w14:textId="77777777" w:rsidR="00065DE6" w:rsidRPr="00217EA0" w:rsidRDefault="00065DE6" w:rsidP="00552080">
            <w:pPr>
              <w:pStyle w:val="TableText"/>
              <w:keepNext/>
              <w:keepLines/>
              <w:widowControl/>
              <w:rPr>
                <w:color w:val="auto"/>
                <w:lang w:val="en-AU"/>
              </w:rPr>
            </w:pPr>
            <w:r w:rsidRPr="00217EA0">
              <w:rPr>
                <w:color w:val="auto"/>
                <w:lang w:val="en-AU"/>
              </w:rPr>
              <w:t xml:space="preserve">Treatment-related adverse events leading to study drug dose adjustment </w:t>
            </w:r>
          </w:p>
        </w:tc>
        <w:tc>
          <w:tcPr>
            <w:tcW w:w="3254" w:type="dxa"/>
          </w:tcPr>
          <w:p w14:paraId="5689C716" w14:textId="77777777" w:rsidR="00065DE6" w:rsidRPr="00217EA0" w:rsidRDefault="00065DE6" w:rsidP="00552080">
            <w:pPr>
              <w:pStyle w:val="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68 (66.0)</w:t>
            </w:r>
          </w:p>
        </w:tc>
      </w:tr>
      <w:tr w:rsidR="007900E9" w:rsidRPr="00217EA0" w14:paraId="414FF1CA" w14:textId="77777777" w:rsidTr="00FE3A7F">
        <w:tc>
          <w:tcPr>
            <w:cnfStyle w:val="001000000000" w:firstRow="0" w:lastRow="0" w:firstColumn="1" w:lastColumn="0" w:oddVBand="0" w:evenVBand="0" w:oddHBand="0" w:evenHBand="0" w:firstRowFirstColumn="0" w:firstRowLastColumn="0" w:lastRowFirstColumn="0" w:lastRowLastColumn="0"/>
            <w:tcW w:w="6374" w:type="dxa"/>
          </w:tcPr>
          <w:p w14:paraId="7A105C7E" w14:textId="77777777" w:rsidR="00065DE6" w:rsidRPr="00217EA0" w:rsidRDefault="00065DE6" w:rsidP="00552080">
            <w:pPr>
              <w:pStyle w:val="TableText"/>
              <w:keepNext/>
              <w:keepLines/>
              <w:widowControl/>
              <w:rPr>
                <w:color w:val="auto"/>
                <w:lang w:val="en-AU"/>
              </w:rPr>
            </w:pPr>
            <w:r w:rsidRPr="00217EA0">
              <w:rPr>
                <w:color w:val="auto"/>
                <w:lang w:val="en-AU"/>
              </w:rPr>
              <w:t xml:space="preserve">Adverse events leading to study drug withdrawal </w:t>
            </w:r>
          </w:p>
        </w:tc>
        <w:tc>
          <w:tcPr>
            <w:tcW w:w="3254" w:type="dxa"/>
          </w:tcPr>
          <w:p w14:paraId="60B9571E" w14:textId="77777777" w:rsidR="00065DE6" w:rsidRPr="00217EA0" w:rsidRDefault="00065DE6" w:rsidP="00552080">
            <w:pPr>
              <w:pStyle w:val="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4 (3.9)</w:t>
            </w:r>
          </w:p>
        </w:tc>
      </w:tr>
      <w:tr w:rsidR="007900E9" w:rsidRPr="00217EA0" w14:paraId="7E2F8104" w14:textId="77777777" w:rsidTr="00FE3A7F">
        <w:tc>
          <w:tcPr>
            <w:cnfStyle w:val="001000000000" w:firstRow="0" w:lastRow="0" w:firstColumn="1" w:lastColumn="0" w:oddVBand="0" w:evenVBand="0" w:oddHBand="0" w:evenHBand="0" w:firstRowFirstColumn="0" w:firstRowLastColumn="0" w:lastRowFirstColumn="0" w:lastRowLastColumn="0"/>
            <w:tcW w:w="6374" w:type="dxa"/>
          </w:tcPr>
          <w:p w14:paraId="32FBAEB2" w14:textId="77777777" w:rsidR="00065DE6" w:rsidRPr="00217EA0" w:rsidRDefault="00065DE6" w:rsidP="00552080">
            <w:pPr>
              <w:pStyle w:val="TableText"/>
              <w:keepNext/>
              <w:keepLines/>
              <w:widowControl/>
              <w:rPr>
                <w:color w:val="auto"/>
                <w:lang w:val="en-AU"/>
              </w:rPr>
            </w:pPr>
            <w:r w:rsidRPr="00217EA0">
              <w:rPr>
                <w:color w:val="auto"/>
                <w:lang w:val="en-AU"/>
              </w:rPr>
              <w:t xml:space="preserve">Adverse events leading to study drug dose reduction </w:t>
            </w:r>
          </w:p>
        </w:tc>
        <w:tc>
          <w:tcPr>
            <w:tcW w:w="3254" w:type="dxa"/>
          </w:tcPr>
          <w:p w14:paraId="7C69B41C" w14:textId="77777777" w:rsidR="00065DE6" w:rsidRPr="00217EA0" w:rsidRDefault="00065DE6" w:rsidP="00552080">
            <w:pPr>
              <w:pStyle w:val="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57 (55.3)</w:t>
            </w:r>
          </w:p>
        </w:tc>
      </w:tr>
      <w:tr w:rsidR="007900E9" w:rsidRPr="00217EA0" w14:paraId="3FC3C1A2" w14:textId="77777777" w:rsidTr="00FE3A7F">
        <w:tc>
          <w:tcPr>
            <w:cnfStyle w:val="001000000000" w:firstRow="0" w:lastRow="0" w:firstColumn="1" w:lastColumn="0" w:oddVBand="0" w:evenVBand="0" w:oddHBand="0" w:evenHBand="0" w:firstRowFirstColumn="0" w:firstRowLastColumn="0" w:lastRowFirstColumn="0" w:lastRowLastColumn="0"/>
            <w:tcW w:w="6374" w:type="dxa"/>
          </w:tcPr>
          <w:p w14:paraId="7F757767" w14:textId="77777777" w:rsidR="00065DE6" w:rsidRPr="00217EA0" w:rsidRDefault="00065DE6" w:rsidP="00552080">
            <w:pPr>
              <w:pStyle w:val="TableText"/>
              <w:keepNext/>
              <w:keepLines/>
              <w:widowControl/>
              <w:rPr>
                <w:color w:val="auto"/>
                <w:lang w:val="en-AU"/>
              </w:rPr>
            </w:pPr>
            <w:r w:rsidRPr="00217EA0">
              <w:rPr>
                <w:color w:val="auto"/>
                <w:lang w:val="en-AU"/>
              </w:rPr>
              <w:t xml:space="preserve">Adverse events leading to study drug interruption </w:t>
            </w:r>
          </w:p>
        </w:tc>
        <w:tc>
          <w:tcPr>
            <w:tcW w:w="3254" w:type="dxa"/>
          </w:tcPr>
          <w:p w14:paraId="58729B7C" w14:textId="77777777" w:rsidR="00065DE6" w:rsidRPr="00217EA0" w:rsidRDefault="00065DE6" w:rsidP="00552080">
            <w:pPr>
              <w:pStyle w:val="TableText"/>
              <w:keepNext/>
              <w:keepLines/>
              <w:widowControl/>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53 (51.5)</w:t>
            </w:r>
          </w:p>
        </w:tc>
      </w:tr>
    </w:tbl>
    <w:p w14:paraId="53E838AB" w14:textId="77777777" w:rsidR="00065DE6" w:rsidRPr="00217EA0" w:rsidRDefault="00065DE6" w:rsidP="00552080">
      <w:pPr>
        <w:pStyle w:val="TableFooter"/>
        <w:keepNext/>
        <w:keepLines/>
        <w:widowControl/>
      </w:pPr>
      <w:r w:rsidRPr="00217EA0">
        <w:t>Source: Table 2.52, p146 of the submission.</w:t>
      </w:r>
    </w:p>
    <w:p w14:paraId="0ED2E9A4" w14:textId="4A0143DA" w:rsidR="00065DE6" w:rsidRPr="00217EA0" w:rsidRDefault="00AA0AA8" w:rsidP="00552080">
      <w:pPr>
        <w:pStyle w:val="TableFooter"/>
        <w:keepNext/>
        <w:keepLines/>
        <w:widowControl/>
      </w:pPr>
      <w:r w:rsidRPr="00217EA0">
        <w:t xml:space="preserve">CTCAE = Common Terminology Criteria for Adverse Events; </w:t>
      </w:r>
      <w:r w:rsidR="00065DE6" w:rsidRPr="00217EA0">
        <w:t>SAE: Serious adverse event.</w:t>
      </w:r>
    </w:p>
    <w:p w14:paraId="4C59F32C" w14:textId="77777777" w:rsidR="00065DE6" w:rsidRPr="00217EA0" w:rsidRDefault="00065DE6" w:rsidP="00552080">
      <w:pPr>
        <w:pStyle w:val="TableFooter"/>
        <w:keepNext/>
        <w:keepLines/>
        <w:widowControl/>
      </w:pPr>
      <w:r w:rsidRPr="00217EA0">
        <w:t>Summary includes all events reported between first dose and 30 days after last dose of study drug</w:t>
      </w:r>
    </w:p>
    <w:p w14:paraId="31D2BA79" w14:textId="786044D3" w:rsidR="00065DE6" w:rsidRPr="00217EA0" w:rsidRDefault="00065DE6" w:rsidP="00552080">
      <w:pPr>
        <w:pStyle w:val="TableFooter"/>
        <w:keepNext/>
        <w:keepLines/>
        <w:widowControl/>
      </w:pPr>
      <w:r w:rsidRPr="00217EA0">
        <w:t>Treatment Related was deemed by the Investigator to be possibly or probably related to study drug or AEs with a missing causality.</w:t>
      </w:r>
    </w:p>
    <w:p w14:paraId="7C48857A" w14:textId="77777777" w:rsidR="00065DE6" w:rsidRPr="00217EA0" w:rsidRDefault="00065DE6" w:rsidP="00552080">
      <w:pPr>
        <w:pStyle w:val="TableFooter"/>
        <w:keepNext/>
        <w:keepLines/>
        <w:widowControl/>
      </w:pPr>
      <w:r w:rsidRPr="00217EA0">
        <w:t>For each row category, a patient with two or more adverse events in that category is counted only once.</w:t>
      </w:r>
    </w:p>
    <w:p w14:paraId="05358B24" w14:textId="77777777" w:rsidR="00065DE6" w:rsidRPr="00217EA0" w:rsidRDefault="00065DE6" w:rsidP="00065DE6">
      <w:pPr>
        <w:pStyle w:val="TableFooter"/>
      </w:pPr>
      <w:r w:rsidRPr="00217EA0">
        <w:t>Adverse events were graded using CTCAE Version 4.03 except for hyperphosphatemia and blood phosphorus increased.</w:t>
      </w:r>
    </w:p>
    <w:p w14:paraId="289793A8" w14:textId="57EAE155" w:rsidR="00065DE6" w:rsidRPr="00217EA0" w:rsidRDefault="009D52AC" w:rsidP="2914E55D">
      <w:pPr>
        <w:pStyle w:val="ListParagraph"/>
        <w:rPr>
          <w:color w:val="auto"/>
        </w:rPr>
      </w:pPr>
      <w:r w:rsidRPr="00217EA0">
        <w:rPr>
          <w:color w:val="auto"/>
        </w:rPr>
        <w:t>Eighty two</w:t>
      </w:r>
      <w:r w:rsidR="00065DE6" w:rsidRPr="00217EA0">
        <w:rPr>
          <w:color w:val="auto"/>
        </w:rPr>
        <w:t xml:space="preserve"> (79.6%) patients had grade 3 or greater AEs. Most frequent Grade 3 or greater AEs were </w:t>
      </w:r>
      <w:proofErr w:type="spellStart"/>
      <w:r w:rsidR="00065DE6" w:rsidRPr="00217EA0">
        <w:rPr>
          <w:color w:val="auto"/>
        </w:rPr>
        <w:t>hyperphosphataemia</w:t>
      </w:r>
      <w:proofErr w:type="spellEnd"/>
      <w:r w:rsidR="00065DE6" w:rsidRPr="00217EA0">
        <w:rPr>
          <w:color w:val="auto"/>
        </w:rPr>
        <w:t xml:space="preserve"> (30.1%), hyponatraemia (10.7%), and aspartate aminotransferase increased (9.7%).</w:t>
      </w:r>
      <w:r w:rsidR="00FC4BCB" w:rsidRPr="00217EA0">
        <w:rPr>
          <w:color w:val="auto"/>
        </w:rPr>
        <w:t xml:space="preserve"> The ESC</w:t>
      </w:r>
      <w:r w:rsidR="00951BC6" w:rsidRPr="00217EA0">
        <w:rPr>
          <w:color w:val="auto"/>
        </w:rPr>
        <w:t>s</w:t>
      </w:r>
      <w:r w:rsidR="00FC4BCB" w:rsidRPr="00217EA0">
        <w:rPr>
          <w:color w:val="auto"/>
        </w:rPr>
        <w:t xml:space="preserve"> </w:t>
      </w:r>
      <w:r w:rsidR="00F9359D" w:rsidRPr="00217EA0">
        <w:rPr>
          <w:color w:val="auto"/>
        </w:rPr>
        <w:t>considered</w:t>
      </w:r>
      <w:r w:rsidR="00FC4BCB" w:rsidRPr="00217EA0">
        <w:rPr>
          <w:color w:val="auto"/>
        </w:rPr>
        <w:t xml:space="preserve"> that whilst T</w:t>
      </w:r>
      <w:r w:rsidR="00AD005D" w:rsidRPr="00217EA0">
        <w:rPr>
          <w:color w:val="auto"/>
        </w:rPr>
        <w:t>E</w:t>
      </w:r>
      <w:r w:rsidR="00FC4BCB" w:rsidRPr="00217EA0">
        <w:rPr>
          <w:color w:val="auto"/>
        </w:rPr>
        <w:t xml:space="preserve">AEs were </w:t>
      </w:r>
      <w:r w:rsidR="00951BC6" w:rsidRPr="00217EA0">
        <w:rPr>
          <w:color w:val="auto"/>
        </w:rPr>
        <w:t xml:space="preserve">frequent, </w:t>
      </w:r>
      <w:r w:rsidR="006B4F9B" w:rsidRPr="00217EA0">
        <w:rPr>
          <w:color w:val="auto"/>
        </w:rPr>
        <w:t xml:space="preserve">they were mostly anomalies in laboratory values, and not symptomatic. </w:t>
      </w:r>
    </w:p>
    <w:p w14:paraId="597076D1" w14:textId="35EEEFCE" w:rsidR="001B7DA7" w:rsidRPr="00217EA0" w:rsidRDefault="00BC1A22" w:rsidP="001B7DA7">
      <w:pPr>
        <w:pStyle w:val="ListParagraph"/>
      </w:pPr>
      <w:r w:rsidRPr="00217EA0">
        <w:rPr>
          <w:color w:val="auto"/>
        </w:rPr>
        <w:t>Adverse events of special interests</w:t>
      </w:r>
      <w:r w:rsidR="001B7DA7" w:rsidRPr="00217EA0">
        <w:rPr>
          <w:color w:val="auto"/>
        </w:rPr>
        <w:t xml:space="preserve"> (AESIs)</w:t>
      </w:r>
      <w:r w:rsidRPr="00217EA0">
        <w:rPr>
          <w:color w:val="auto"/>
        </w:rPr>
        <w:t xml:space="preserve"> in FOENIX-CCA2</w:t>
      </w:r>
      <w:r w:rsidR="001B7DA7" w:rsidRPr="00217EA0">
        <w:rPr>
          <w:color w:val="auto"/>
        </w:rPr>
        <w:t xml:space="preserve"> were</w:t>
      </w:r>
      <w:r w:rsidRPr="00217EA0">
        <w:rPr>
          <w:color w:val="auto"/>
        </w:rPr>
        <w:t xml:space="preserve"> defined based on non-clinical data and prior clinical experience with </w:t>
      </w:r>
      <w:proofErr w:type="spellStart"/>
      <w:r w:rsidRPr="00217EA0">
        <w:rPr>
          <w:color w:val="auto"/>
        </w:rPr>
        <w:t>futibatinib</w:t>
      </w:r>
      <w:proofErr w:type="spellEnd"/>
      <w:r w:rsidRPr="00217EA0">
        <w:rPr>
          <w:color w:val="auto"/>
        </w:rPr>
        <w:t xml:space="preserve">, as well as known class effects of FGFR inhibitors included hyperphosphatemia, retinal disorders, hepatotoxicity, nail disorders, Palmar-plantar </w:t>
      </w:r>
      <w:proofErr w:type="spellStart"/>
      <w:r w:rsidRPr="00217EA0">
        <w:rPr>
          <w:color w:val="auto"/>
        </w:rPr>
        <w:t>erythrodysaesthesia</w:t>
      </w:r>
      <w:proofErr w:type="spellEnd"/>
      <w:r w:rsidRPr="00217EA0">
        <w:rPr>
          <w:color w:val="auto"/>
        </w:rPr>
        <w:t xml:space="preserve"> syndrome, and rash. </w:t>
      </w:r>
      <w:r w:rsidR="001B7DA7" w:rsidRPr="00217EA0">
        <w:rPr>
          <w:color w:val="auto"/>
        </w:rPr>
        <w:fldChar w:fldCharType="begin"/>
      </w:r>
      <w:r w:rsidR="001B7DA7" w:rsidRPr="00217EA0">
        <w:rPr>
          <w:color w:val="auto"/>
        </w:rPr>
        <w:instrText xml:space="preserve"> REF _Ref187798039 \h </w:instrText>
      </w:r>
      <w:r w:rsidR="00EC070E" w:rsidRPr="00217EA0">
        <w:rPr>
          <w:color w:val="auto"/>
        </w:rPr>
        <w:instrText xml:space="preserve"> \* MERGEFORMAT </w:instrText>
      </w:r>
      <w:r w:rsidR="001B7DA7" w:rsidRPr="00217EA0">
        <w:rPr>
          <w:color w:val="auto"/>
        </w:rPr>
      </w:r>
      <w:r w:rsidR="001B7DA7" w:rsidRPr="00217EA0">
        <w:rPr>
          <w:color w:val="auto"/>
        </w:rPr>
        <w:fldChar w:fldCharType="separate"/>
      </w:r>
      <w:r w:rsidR="008378C4" w:rsidRPr="00217EA0">
        <w:t>Table</w:t>
      </w:r>
      <w:r w:rsidR="008378C4">
        <w:t xml:space="preserve"> 17</w:t>
      </w:r>
      <w:r w:rsidR="001B7DA7" w:rsidRPr="00217EA0">
        <w:rPr>
          <w:color w:val="auto"/>
        </w:rPr>
        <w:fldChar w:fldCharType="end"/>
      </w:r>
      <w:r w:rsidR="001B7DA7" w:rsidRPr="00217EA0">
        <w:rPr>
          <w:color w:val="auto"/>
        </w:rPr>
        <w:t xml:space="preserve"> </w:t>
      </w:r>
      <w:r w:rsidR="0030328B" w:rsidRPr="00217EA0">
        <w:rPr>
          <w:color w:val="auto"/>
        </w:rPr>
        <w:t xml:space="preserve">reports </w:t>
      </w:r>
      <w:r w:rsidR="001B7DA7" w:rsidRPr="00217EA0">
        <w:t xml:space="preserve">AESIs by grade in FOENIX-CCA2. </w:t>
      </w:r>
      <w:r w:rsidR="00330C09" w:rsidRPr="00217EA0">
        <w:t>Forty-three</w:t>
      </w:r>
      <w:r w:rsidR="001B7DA7" w:rsidRPr="00217EA0">
        <w:t xml:space="preserve"> (41.7%) patients had an AESI of grade 3 or above. </w:t>
      </w:r>
    </w:p>
    <w:p w14:paraId="4A8B0B1D" w14:textId="027141F3" w:rsidR="001B7DA7" w:rsidRPr="00217EA0" w:rsidRDefault="001B7DA7" w:rsidP="00FA13F3">
      <w:pPr>
        <w:pStyle w:val="Caption"/>
      </w:pPr>
      <w:bookmarkStart w:id="66" w:name="_Ref187798039"/>
      <w:r w:rsidRPr="00217EA0">
        <w:t>Table</w:t>
      </w:r>
      <w:r w:rsidR="00BC71B3">
        <w:t xml:space="preserve"> </w:t>
      </w:r>
      <w:r w:rsidR="00E600E3" w:rsidRPr="00217EA0">
        <w:fldChar w:fldCharType="begin"/>
      </w:r>
      <w:r w:rsidR="00E600E3" w:rsidRPr="00217EA0">
        <w:instrText xml:space="preserve"> SEQ Table_PBAC. \* ARABIC </w:instrText>
      </w:r>
      <w:r w:rsidR="00E600E3" w:rsidRPr="00217EA0">
        <w:fldChar w:fldCharType="separate"/>
      </w:r>
      <w:r w:rsidR="008378C4">
        <w:rPr>
          <w:noProof/>
        </w:rPr>
        <w:t>17</w:t>
      </w:r>
      <w:r w:rsidR="00E600E3" w:rsidRPr="00217EA0">
        <w:fldChar w:fldCharType="end"/>
      </w:r>
      <w:bookmarkEnd w:id="66"/>
      <w:r w:rsidRPr="00217EA0">
        <w:t>: Summary of AEs of special interest by worst CTC Grade – FOENIX-CCA2, Safety Population, May 2021</w:t>
      </w:r>
    </w:p>
    <w:tbl>
      <w:tblPr>
        <w:tblStyle w:val="ASDTable1"/>
        <w:tblW w:w="0" w:type="auto"/>
        <w:tblLook w:val="04A0" w:firstRow="1" w:lastRow="0" w:firstColumn="1" w:lastColumn="0" w:noHBand="0" w:noVBand="1"/>
        <w:tblCaption w:val="Table 17: Summary of AEs of special interest by worst CTC Grade – FOENIX-CCA2, Safety Population, May 2021"/>
      </w:tblPr>
      <w:tblGrid>
        <w:gridCol w:w="2381"/>
        <w:gridCol w:w="943"/>
        <w:gridCol w:w="944"/>
        <w:gridCol w:w="943"/>
        <w:gridCol w:w="944"/>
        <w:gridCol w:w="943"/>
        <w:gridCol w:w="934"/>
        <w:gridCol w:w="984"/>
      </w:tblGrid>
      <w:tr w:rsidR="001B7DA7" w:rsidRPr="00217EA0" w14:paraId="6946A83C" w14:textId="77777777" w:rsidTr="2914E55D">
        <w:tc>
          <w:tcPr>
            <w:tcW w:w="2547" w:type="dxa"/>
          </w:tcPr>
          <w:p w14:paraId="5336338C" w14:textId="77777777" w:rsidR="001B7DA7" w:rsidRPr="00217EA0" w:rsidRDefault="001B7DA7" w:rsidP="001B7DA7">
            <w:pPr>
              <w:pStyle w:val="TableText"/>
              <w:keepNext/>
              <w:keepLines/>
              <w:rPr>
                <w:b/>
                <w:bCs/>
              </w:rPr>
            </w:pPr>
            <w:r w:rsidRPr="00217EA0">
              <w:rPr>
                <w:b/>
                <w:bCs/>
              </w:rPr>
              <w:t>AESI</w:t>
            </w:r>
          </w:p>
        </w:tc>
        <w:tc>
          <w:tcPr>
            <w:tcW w:w="1011" w:type="dxa"/>
            <w:vAlign w:val="center"/>
          </w:tcPr>
          <w:p w14:paraId="61645DCB" w14:textId="77777777" w:rsidR="001B7DA7" w:rsidRPr="00217EA0" w:rsidRDefault="001B7DA7" w:rsidP="001B7DA7">
            <w:pPr>
              <w:pStyle w:val="TableText"/>
              <w:keepNext/>
              <w:keepLines/>
              <w:jc w:val="center"/>
              <w:rPr>
                <w:b/>
                <w:bCs/>
              </w:rPr>
            </w:pPr>
            <w:r w:rsidRPr="00217EA0">
              <w:rPr>
                <w:b/>
                <w:bCs/>
              </w:rPr>
              <w:t>Grade 1</w:t>
            </w:r>
          </w:p>
          <w:p w14:paraId="626F3014" w14:textId="77777777" w:rsidR="001B7DA7" w:rsidRPr="00217EA0" w:rsidRDefault="001B7DA7" w:rsidP="001B7DA7">
            <w:pPr>
              <w:pStyle w:val="TableText"/>
              <w:keepNext/>
              <w:keepLines/>
              <w:jc w:val="center"/>
              <w:rPr>
                <w:b/>
                <w:bCs/>
              </w:rPr>
            </w:pPr>
            <w:r w:rsidRPr="00217EA0">
              <w:rPr>
                <w:b/>
                <w:bCs/>
              </w:rPr>
              <w:t>(N %)</w:t>
            </w:r>
          </w:p>
        </w:tc>
        <w:tc>
          <w:tcPr>
            <w:tcW w:w="1012" w:type="dxa"/>
            <w:vAlign w:val="center"/>
          </w:tcPr>
          <w:p w14:paraId="5E94485B" w14:textId="77777777" w:rsidR="001B7DA7" w:rsidRPr="00217EA0" w:rsidRDefault="001B7DA7" w:rsidP="001B7DA7">
            <w:pPr>
              <w:pStyle w:val="TableText"/>
              <w:keepNext/>
              <w:keepLines/>
              <w:jc w:val="center"/>
              <w:rPr>
                <w:b/>
                <w:bCs/>
              </w:rPr>
            </w:pPr>
            <w:r w:rsidRPr="00217EA0">
              <w:rPr>
                <w:b/>
                <w:bCs/>
              </w:rPr>
              <w:t>Grade 2</w:t>
            </w:r>
          </w:p>
          <w:p w14:paraId="79A8A3C5" w14:textId="77777777" w:rsidR="001B7DA7" w:rsidRPr="00217EA0" w:rsidRDefault="001B7DA7" w:rsidP="001B7DA7">
            <w:pPr>
              <w:pStyle w:val="TableText"/>
              <w:keepNext/>
              <w:keepLines/>
              <w:jc w:val="center"/>
              <w:rPr>
                <w:b/>
                <w:bCs/>
              </w:rPr>
            </w:pPr>
            <w:r w:rsidRPr="00217EA0">
              <w:rPr>
                <w:b/>
                <w:bCs/>
              </w:rPr>
              <w:t>(N %)</w:t>
            </w:r>
          </w:p>
        </w:tc>
        <w:tc>
          <w:tcPr>
            <w:tcW w:w="1011" w:type="dxa"/>
            <w:vAlign w:val="center"/>
          </w:tcPr>
          <w:p w14:paraId="559FBF2A" w14:textId="77777777" w:rsidR="001B7DA7" w:rsidRPr="00217EA0" w:rsidRDefault="001B7DA7" w:rsidP="001B7DA7">
            <w:pPr>
              <w:pStyle w:val="TableText"/>
              <w:keepNext/>
              <w:keepLines/>
              <w:jc w:val="center"/>
              <w:rPr>
                <w:b/>
                <w:bCs/>
              </w:rPr>
            </w:pPr>
            <w:r w:rsidRPr="00217EA0">
              <w:rPr>
                <w:b/>
                <w:bCs/>
              </w:rPr>
              <w:t>Grade 3</w:t>
            </w:r>
          </w:p>
          <w:p w14:paraId="6C759F2C" w14:textId="77777777" w:rsidR="001B7DA7" w:rsidRPr="00217EA0" w:rsidRDefault="001B7DA7" w:rsidP="001B7DA7">
            <w:pPr>
              <w:pStyle w:val="TableText"/>
              <w:keepNext/>
              <w:keepLines/>
              <w:jc w:val="center"/>
              <w:rPr>
                <w:b/>
                <w:bCs/>
              </w:rPr>
            </w:pPr>
            <w:r w:rsidRPr="00217EA0">
              <w:rPr>
                <w:b/>
                <w:bCs/>
              </w:rPr>
              <w:t>(N %)</w:t>
            </w:r>
          </w:p>
        </w:tc>
        <w:tc>
          <w:tcPr>
            <w:tcW w:w="1012" w:type="dxa"/>
            <w:vAlign w:val="center"/>
          </w:tcPr>
          <w:p w14:paraId="776850EB" w14:textId="77777777" w:rsidR="001B7DA7" w:rsidRPr="00217EA0" w:rsidRDefault="001B7DA7" w:rsidP="001B7DA7">
            <w:pPr>
              <w:pStyle w:val="TableText"/>
              <w:keepNext/>
              <w:keepLines/>
              <w:jc w:val="center"/>
              <w:rPr>
                <w:b/>
                <w:bCs/>
              </w:rPr>
            </w:pPr>
            <w:r w:rsidRPr="00217EA0">
              <w:rPr>
                <w:b/>
                <w:bCs/>
              </w:rPr>
              <w:t>Grade 4</w:t>
            </w:r>
          </w:p>
          <w:p w14:paraId="77F543F9" w14:textId="77777777" w:rsidR="001B7DA7" w:rsidRPr="00217EA0" w:rsidRDefault="001B7DA7" w:rsidP="001B7DA7">
            <w:pPr>
              <w:pStyle w:val="TableText"/>
              <w:keepNext/>
              <w:keepLines/>
              <w:jc w:val="center"/>
              <w:rPr>
                <w:b/>
                <w:bCs/>
              </w:rPr>
            </w:pPr>
            <w:r w:rsidRPr="00217EA0">
              <w:rPr>
                <w:b/>
                <w:bCs/>
              </w:rPr>
              <w:t>(N %)</w:t>
            </w:r>
          </w:p>
        </w:tc>
        <w:tc>
          <w:tcPr>
            <w:tcW w:w="1011" w:type="dxa"/>
            <w:vAlign w:val="center"/>
          </w:tcPr>
          <w:p w14:paraId="173DAA5C" w14:textId="77777777" w:rsidR="001B7DA7" w:rsidRPr="00217EA0" w:rsidRDefault="001B7DA7" w:rsidP="001B7DA7">
            <w:pPr>
              <w:pStyle w:val="TableText"/>
              <w:keepNext/>
              <w:keepLines/>
              <w:jc w:val="center"/>
              <w:rPr>
                <w:b/>
                <w:bCs/>
              </w:rPr>
            </w:pPr>
            <w:r w:rsidRPr="00217EA0">
              <w:rPr>
                <w:b/>
                <w:bCs/>
              </w:rPr>
              <w:t>Grade 5</w:t>
            </w:r>
          </w:p>
          <w:p w14:paraId="33BD4B7D" w14:textId="77777777" w:rsidR="001B7DA7" w:rsidRPr="00217EA0" w:rsidRDefault="001B7DA7" w:rsidP="001B7DA7">
            <w:pPr>
              <w:pStyle w:val="TableText"/>
              <w:keepNext/>
              <w:keepLines/>
              <w:jc w:val="center"/>
              <w:rPr>
                <w:b/>
                <w:bCs/>
              </w:rPr>
            </w:pPr>
            <w:r w:rsidRPr="00217EA0">
              <w:rPr>
                <w:b/>
                <w:bCs/>
              </w:rPr>
              <w:t>(N %)</w:t>
            </w:r>
          </w:p>
        </w:tc>
        <w:tc>
          <w:tcPr>
            <w:tcW w:w="1012" w:type="dxa"/>
            <w:vAlign w:val="center"/>
          </w:tcPr>
          <w:p w14:paraId="0005B981" w14:textId="77777777" w:rsidR="001B7DA7" w:rsidRPr="00217EA0" w:rsidRDefault="001B7DA7" w:rsidP="001B7DA7">
            <w:pPr>
              <w:pStyle w:val="TableText"/>
              <w:keepNext/>
              <w:keepLines/>
              <w:jc w:val="center"/>
              <w:rPr>
                <w:b/>
                <w:bCs/>
              </w:rPr>
            </w:pPr>
            <w:r w:rsidRPr="00217EA0">
              <w:rPr>
                <w:b/>
                <w:bCs/>
              </w:rPr>
              <w:t>Total</w:t>
            </w:r>
          </w:p>
          <w:p w14:paraId="76AA3B17" w14:textId="77777777" w:rsidR="001B7DA7" w:rsidRPr="00217EA0" w:rsidRDefault="001B7DA7" w:rsidP="001B7DA7">
            <w:pPr>
              <w:pStyle w:val="TableText"/>
              <w:keepNext/>
              <w:keepLines/>
              <w:jc w:val="center"/>
              <w:rPr>
                <w:b/>
                <w:bCs/>
              </w:rPr>
            </w:pPr>
            <w:r w:rsidRPr="00217EA0">
              <w:rPr>
                <w:b/>
                <w:bCs/>
              </w:rPr>
              <w:t>(N %)</w:t>
            </w:r>
          </w:p>
        </w:tc>
        <w:tc>
          <w:tcPr>
            <w:tcW w:w="1012" w:type="dxa"/>
            <w:vAlign w:val="center"/>
          </w:tcPr>
          <w:p w14:paraId="7BA9C828" w14:textId="77777777" w:rsidR="001B7DA7" w:rsidRPr="00217EA0" w:rsidRDefault="001B7DA7" w:rsidP="001B7DA7">
            <w:pPr>
              <w:pStyle w:val="TableText"/>
              <w:keepNext/>
              <w:keepLines/>
              <w:jc w:val="center"/>
              <w:rPr>
                <w:b/>
                <w:bCs/>
              </w:rPr>
            </w:pPr>
            <w:r w:rsidRPr="00217EA0">
              <w:rPr>
                <w:b/>
                <w:bCs/>
              </w:rPr>
              <w:t>&gt;=Grade 3</w:t>
            </w:r>
          </w:p>
          <w:p w14:paraId="3B709666" w14:textId="77777777" w:rsidR="001B7DA7" w:rsidRPr="00217EA0" w:rsidRDefault="001B7DA7" w:rsidP="001B7DA7">
            <w:pPr>
              <w:pStyle w:val="TableText"/>
              <w:keepNext/>
              <w:keepLines/>
              <w:jc w:val="center"/>
              <w:rPr>
                <w:b/>
                <w:bCs/>
              </w:rPr>
            </w:pPr>
            <w:r w:rsidRPr="00217EA0">
              <w:rPr>
                <w:b/>
                <w:bCs/>
              </w:rPr>
              <w:t>(N %)</w:t>
            </w:r>
          </w:p>
        </w:tc>
      </w:tr>
      <w:tr w:rsidR="001B7DA7" w:rsidRPr="00217EA0" w14:paraId="51DE2315" w14:textId="77777777" w:rsidTr="2914E55D">
        <w:tc>
          <w:tcPr>
            <w:tcW w:w="2547" w:type="dxa"/>
          </w:tcPr>
          <w:p w14:paraId="56B0F630" w14:textId="77777777" w:rsidR="001B7DA7" w:rsidRPr="00217EA0" w:rsidRDefault="001B7DA7" w:rsidP="001B7DA7">
            <w:pPr>
              <w:pStyle w:val="TableText"/>
              <w:keepNext/>
              <w:keepLines/>
            </w:pPr>
            <w:r w:rsidRPr="00217EA0">
              <w:t>Patients with at least one AE</w:t>
            </w:r>
          </w:p>
        </w:tc>
        <w:tc>
          <w:tcPr>
            <w:tcW w:w="1011" w:type="dxa"/>
            <w:vAlign w:val="center"/>
          </w:tcPr>
          <w:p w14:paraId="5DE17AF5" w14:textId="77777777" w:rsidR="001B7DA7" w:rsidRPr="00217EA0" w:rsidRDefault="001B7DA7" w:rsidP="001B7DA7">
            <w:pPr>
              <w:pStyle w:val="TableText"/>
              <w:keepNext/>
              <w:keepLines/>
              <w:jc w:val="center"/>
            </w:pPr>
            <w:r w:rsidRPr="00217EA0">
              <w:t>9 (8.7)</w:t>
            </w:r>
          </w:p>
        </w:tc>
        <w:tc>
          <w:tcPr>
            <w:tcW w:w="1012" w:type="dxa"/>
            <w:vAlign w:val="center"/>
          </w:tcPr>
          <w:p w14:paraId="2E36FBF2" w14:textId="77777777" w:rsidR="001B7DA7" w:rsidRPr="00217EA0" w:rsidRDefault="001B7DA7" w:rsidP="001B7DA7">
            <w:pPr>
              <w:pStyle w:val="TableText"/>
              <w:keepNext/>
              <w:keepLines/>
              <w:jc w:val="center"/>
            </w:pPr>
            <w:r w:rsidRPr="00217EA0">
              <w:t>46 (44.7)</w:t>
            </w:r>
          </w:p>
        </w:tc>
        <w:tc>
          <w:tcPr>
            <w:tcW w:w="1011" w:type="dxa"/>
            <w:vAlign w:val="center"/>
          </w:tcPr>
          <w:p w14:paraId="0E6C3ED2" w14:textId="77777777" w:rsidR="001B7DA7" w:rsidRPr="00217EA0" w:rsidRDefault="001B7DA7" w:rsidP="001B7DA7">
            <w:pPr>
              <w:pStyle w:val="TableText"/>
              <w:keepNext/>
              <w:keepLines/>
              <w:jc w:val="center"/>
            </w:pPr>
            <w:r w:rsidRPr="00217EA0">
              <w:t>42 (40.8)</w:t>
            </w:r>
          </w:p>
        </w:tc>
        <w:tc>
          <w:tcPr>
            <w:tcW w:w="1012" w:type="dxa"/>
            <w:vAlign w:val="center"/>
          </w:tcPr>
          <w:p w14:paraId="69B2B1D6" w14:textId="77777777" w:rsidR="001B7DA7" w:rsidRPr="00217EA0" w:rsidRDefault="001B7DA7" w:rsidP="001B7DA7">
            <w:pPr>
              <w:pStyle w:val="TableText"/>
              <w:keepNext/>
              <w:keepLines/>
              <w:jc w:val="center"/>
            </w:pPr>
            <w:r w:rsidRPr="00217EA0">
              <w:t>1 (1.0)</w:t>
            </w:r>
          </w:p>
        </w:tc>
        <w:tc>
          <w:tcPr>
            <w:tcW w:w="1011" w:type="dxa"/>
            <w:vAlign w:val="center"/>
          </w:tcPr>
          <w:p w14:paraId="075D5DC0" w14:textId="77777777" w:rsidR="001B7DA7" w:rsidRPr="00217EA0" w:rsidRDefault="001B7DA7" w:rsidP="001B7DA7">
            <w:pPr>
              <w:pStyle w:val="TableText"/>
              <w:keepNext/>
              <w:keepLines/>
              <w:jc w:val="center"/>
            </w:pPr>
            <w:r w:rsidRPr="00217EA0">
              <w:t>0</w:t>
            </w:r>
          </w:p>
        </w:tc>
        <w:tc>
          <w:tcPr>
            <w:tcW w:w="1012" w:type="dxa"/>
            <w:vAlign w:val="center"/>
          </w:tcPr>
          <w:p w14:paraId="23E23DA8" w14:textId="77777777" w:rsidR="001B7DA7" w:rsidRPr="00217EA0" w:rsidRDefault="001B7DA7" w:rsidP="001B7DA7">
            <w:pPr>
              <w:pStyle w:val="TableText"/>
              <w:keepNext/>
              <w:keepLines/>
              <w:jc w:val="center"/>
            </w:pPr>
            <w:r w:rsidRPr="00217EA0">
              <w:t>98 (95.1)</w:t>
            </w:r>
          </w:p>
        </w:tc>
        <w:tc>
          <w:tcPr>
            <w:tcW w:w="1012" w:type="dxa"/>
            <w:vAlign w:val="center"/>
          </w:tcPr>
          <w:p w14:paraId="396424A2" w14:textId="77777777" w:rsidR="001B7DA7" w:rsidRPr="00217EA0" w:rsidRDefault="001B7DA7" w:rsidP="001B7DA7">
            <w:pPr>
              <w:pStyle w:val="TableText"/>
              <w:keepNext/>
              <w:keepLines/>
              <w:jc w:val="center"/>
            </w:pPr>
            <w:r w:rsidRPr="00217EA0">
              <w:t>43 (41.7)</w:t>
            </w:r>
          </w:p>
        </w:tc>
      </w:tr>
      <w:tr w:rsidR="001B7DA7" w:rsidRPr="00217EA0" w14:paraId="5D7D7361" w14:textId="77777777" w:rsidTr="2914E55D">
        <w:tc>
          <w:tcPr>
            <w:tcW w:w="2547" w:type="dxa"/>
          </w:tcPr>
          <w:p w14:paraId="51F4BA5D" w14:textId="77777777" w:rsidR="001B7DA7" w:rsidRPr="00217EA0" w:rsidRDefault="001B7DA7" w:rsidP="001B7DA7">
            <w:pPr>
              <w:pStyle w:val="TableText"/>
              <w:keepNext/>
              <w:keepLines/>
            </w:pPr>
            <w:r w:rsidRPr="00217EA0">
              <w:t>Hepatotoxicity</w:t>
            </w:r>
          </w:p>
        </w:tc>
        <w:tc>
          <w:tcPr>
            <w:tcW w:w="1011" w:type="dxa"/>
            <w:vAlign w:val="center"/>
          </w:tcPr>
          <w:p w14:paraId="349E648B" w14:textId="77777777" w:rsidR="001B7DA7" w:rsidRPr="00217EA0" w:rsidRDefault="001B7DA7" w:rsidP="001B7DA7">
            <w:pPr>
              <w:pStyle w:val="TableText"/>
              <w:keepNext/>
              <w:keepLines/>
              <w:jc w:val="center"/>
            </w:pPr>
            <w:r w:rsidRPr="00217EA0">
              <w:t>13 (12.6)</w:t>
            </w:r>
          </w:p>
        </w:tc>
        <w:tc>
          <w:tcPr>
            <w:tcW w:w="1012" w:type="dxa"/>
            <w:vAlign w:val="center"/>
          </w:tcPr>
          <w:p w14:paraId="3B83EB68" w14:textId="77777777" w:rsidR="001B7DA7" w:rsidRPr="00217EA0" w:rsidRDefault="001B7DA7" w:rsidP="001B7DA7">
            <w:pPr>
              <w:pStyle w:val="TableText"/>
              <w:keepNext/>
              <w:keepLines/>
              <w:jc w:val="center"/>
            </w:pPr>
            <w:r w:rsidRPr="00217EA0">
              <w:t>2 (1.9)</w:t>
            </w:r>
          </w:p>
        </w:tc>
        <w:tc>
          <w:tcPr>
            <w:tcW w:w="1011" w:type="dxa"/>
            <w:vAlign w:val="center"/>
          </w:tcPr>
          <w:p w14:paraId="4EEAD67D" w14:textId="77777777" w:rsidR="001B7DA7" w:rsidRPr="00217EA0" w:rsidRDefault="001B7DA7" w:rsidP="001B7DA7">
            <w:pPr>
              <w:pStyle w:val="TableText"/>
              <w:keepNext/>
              <w:keepLines/>
              <w:jc w:val="center"/>
            </w:pPr>
            <w:r w:rsidRPr="00217EA0">
              <w:t>12 (11.7)</w:t>
            </w:r>
          </w:p>
        </w:tc>
        <w:tc>
          <w:tcPr>
            <w:tcW w:w="1012" w:type="dxa"/>
            <w:vAlign w:val="center"/>
          </w:tcPr>
          <w:p w14:paraId="22334DDB" w14:textId="77777777" w:rsidR="001B7DA7" w:rsidRPr="00217EA0" w:rsidRDefault="001B7DA7" w:rsidP="001B7DA7">
            <w:pPr>
              <w:pStyle w:val="TableText"/>
              <w:keepNext/>
              <w:keepLines/>
              <w:jc w:val="center"/>
            </w:pPr>
            <w:r w:rsidRPr="00217EA0">
              <w:t>1 (1.0)</w:t>
            </w:r>
          </w:p>
        </w:tc>
        <w:tc>
          <w:tcPr>
            <w:tcW w:w="1011" w:type="dxa"/>
            <w:vAlign w:val="center"/>
          </w:tcPr>
          <w:p w14:paraId="253E993C" w14:textId="77777777" w:rsidR="001B7DA7" w:rsidRPr="00217EA0" w:rsidRDefault="001B7DA7" w:rsidP="001B7DA7">
            <w:pPr>
              <w:pStyle w:val="TableText"/>
              <w:keepNext/>
              <w:keepLines/>
              <w:jc w:val="center"/>
            </w:pPr>
            <w:r w:rsidRPr="00217EA0">
              <w:t>0</w:t>
            </w:r>
          </w:p>
        </w:tc>
        <w:tc>
          <w:tcPr>
            <w:tcW w:w="1012" w:type="dxa"/>
            <w:vAlign w:val="center"/>
          </w:tcPr>
          <w:p w14:paraId="6D8961FE" w14:textId="77777777" w:rsidR="001B7DA7" w:rsidRPr="00217EA0" w:rsidRDefault="001B7DA7" w:rsidP="001B7DA7">
            <w:pPr>
              <w:pStyle w:val="TableText"/>
              <w:keepNext/>
              <w:keepLines/>
              <w:jc w:val="center"/>
            </w:pPr>
            <w:r w:rsidRPr="00217EA0">
              <w:t>28 (27.2)</w:t>
            </w:r>
          </w:p>
        </w:tc>
        <w:tc>
          <w:tcPr>
            <w:tcW w:w="1012" w:type="dxa"/>
            <w:vAlign w:val="center"/>
          </w:tcPr>
          <w:p w14:paraId="4A814D40" w14:textId="77777777" w:rsidR="001B7DA7" w:rsidRPr="00217EA0" w:rsidRDefault="001B7DA7" w:rsidP="001B7DA7">
            <w:pPr>
              <w:pStyle w:val="TableText"/>
              <w:keepNext/>
              <w:keepLines/>
              <w:jc w:val="center"/>
            </w:pPr>
            <w:r w:rsidRPr="00217EA0">
              <w:t>13 (12.6)</w:t>
            </w:r>
          </w:p>
        </w:tc>
      </w:tr>
      <w:tr w:rsidR="001B7DA7" w:rsidRPr="00217EA0" w14:paraId="690CD4DB" w14:textId="77777777" w:rsidTr="2914E55D">
        <w:tc>
          <w:tcPr>
            <w:tcW w:w="2547" w:type="dxa"/>
          </w:tcPr>
          <w:p w14:paraId="30C035FE" w14:textId="2C1C2A0B" w:rsidR="001B7DA7" w:rsidRPr="00217EA0" w:rsidRDefault="001B7DA7" w:rsidP="001B7DA7">
            <w:pPr>
              <w:pStyle w:val="TableText"/>
              <w:keepNext/>
              <w:keepLines/>
            </w:pPr>
            <w:proofErr w:type="spellStart"/>
            <w:r w:rsidRPr="00217EA0">
              <w:t>Hyperphosphataemia</w:t>
            </w:r>
            <w:proofErr w:type="spellEnd"/>
            <w:r w:rsidRPr="00217EA0">
              <w:t xml:space="preserve"> </w:t>
            </w:r>
          </w:p>
        </w:tc>
        <w:tc>
          <w:tcPr>
            <w:tcW w:w="1011" w:type="dxa"/>
            <w:vAlign w:val="center"/>
          </w:tcPr>
          <w:p w14:paraId="58E41E60" w14:textId="77777777" w:rsidR="001B7DA7" w:rsidRPr="00217EA0" w:rsidRDefault="001B7DA7" w:rsidP="001B7DA7">
            <w:pPr>
              <w:pStyle w:val="TableText"/>
              <w:keepNext/>
              <w:keepLines/>
              <w:jc w:val="center"/>
            </w:pPr>
            <w:r w:rsidRPr="00217EA0">
              <w:t>8 (7.8)</w:t>
            </w:r>
          </w:p>
        </w:tc>
        <w:tc>
          <w:tcPr>
            <w:tcW w:w="1012" w:type="dxa"/>
            <w:vAlign w:val="center"/>
          </w:tcPr>
          <w:p w14:paraId="426E1F31" w14:textId="77777777" w:rsidR="001B7DA7" w:rsidRPr="00217EA0" w:rsidRDefault="001B7DA7" w:rsidP="001B7DA7">
            <w:pPr>
              <w:pStyle w:val="TableText"/>
              <w:keepNext/>
              <w:keepLines/>
              <w:jc w:val="center"/>
            </w:pPr>
            <w:r w:rsidRPr="00217EA0">
              <w:t>54 (52.4)</w:t>
            </w:r>
          </w:p>
        </w:tc>
        <w:tc>
          <w:tcPr>
            <w:tcW w:w="1011" w:type="dxa"/>
            <w:vAlign w:val="center"/>
          </w:tcPr>
          <w:p w14:paraId="15AF7E3C" w14:textId="77777777" w:rsidR="001B7DA7" w:rsidRPr="00217EA0" w:rsidRDefault="001B7DA7" w:rsidP="001B7DA7">
            <w:pPr>
              <w:pStyle w:val="TableText"/>
              <w:keepNext/>
              <w:keepLines/>
              <w:jc w:val="center"/>
            </w:pPr>
            <w:r w:rsidRPr="00217EA0">
              <w:t>32 (31.1)</w:t>
            </w:r>
          </w:p>
        </w:tc>
        <w:tc>
          <w:tcPr>
            <w:tcW w:w="1012" w:type="dxa"/>
            <w:vAlign w:val="center"/>
          </w:tcPr>
          <w:p w14:paraId="088A78B3" w14:textId="77777777" w:rsidR="001B7DA7" w:rsidRPr="00217EA0" w:rsidRDefault="001B7DA7" w:rsidP="001B7DA7">
            <w:pPr>
              <w:pStyle w:val="TableText"/>
              <w:keepNext/>
              <w:keepLines/>
              <w:jc w:val="center"/>
            </w:pPr>
            <w:r w:rsidRPr="00217EA0">
              <w:t>0</w:t>
            </w:r>
          </w:p>
        </w:tc>
        <w:tc>
          <w:tcPr>
            <w:tcW w:w="1011" w:type="dxa"/>
            <w:vAlign w:val="center"/>
          </w:tcPr>
          <w:p w14:paraId="434527A5" w14:textId="77777777" w:rsidR="001B7DA7" w:rsidRPr="00217EA0" w:rsidRDefault="001B7DA7" w:rsidP="001B7DA7">
            <w:pPr>
              <w:pStyle w:val="TableText"/>
              <w:keepNext/>
              <w:keepLines/>
              <w:jc w:val="center"/>
            </w:pPr>
            <w:r w:rsidRPr="00217EA0">
              <w:t>0</w:t>
            </w:r>
          </w:p>
        </w:tc>
        <w:tc>
          <w:tcPr>
            <w:tcW w:w="1012" w:type="dxa"/>
            <w:vAlign w:val="center"/>
          </w:tcPr>
          <w:p w14:paraId="4F0EBCC2" w14:textId="77777777" w:rsidR="001B7DA7" w:rsidRPr="00217EA0" w:rsidRDefault="001B7DA7" w:rsidP="001B7DA7">
            <w:pPr>
              <w:pStyle w:val="TableText"/>
              <w:keepNext/>
              <w:keepLines/>
              <w:jc w:val="center"/>
            </w:pPr>
            <w:r w:rsidRPr="00217EA0">
              <w:t>94 (91.3)</w:t>
            </w:r>
          </w:p>
        </w:tc>
        <w:tc>
          <w:tcPr>
            <w:tcW w:w="1012" w:type="dxa"/>
            <w:vAlign w:val="center"/>
          </w:tcPr>
          <w:p w14:paraId="036C33D3" w14:textId="77777777" w:rsidR="001B7DA7" w:rsidRPr="00217EA0" w:rsidRDefault="001B7DA7" w:rsidP="001B7DA7">
            <w:pPr>
              <w:pStyle w:val="TableText"/>
              <w:keepNext/>
              <w:keepLines/>
              <w:jc w:val="center"/>
            </w:pPr>
            <w:r w:rsidRPr="00217EA0">
              <w:t>32 (31.1)</w:t>
            </w:r>
          </w:p>
        </w:tc>
      </w:tr>
      <w:tr w:rsidR="001B7DA7" w:rsidRPr="00217EA0" w14:paraId="248A6AB1" w14:textId="77777777" w:rsidTr="2914E55D">
        <w:tc>
          <w:tcPr>
            <w:tcW w:w="2547" w:type="dxa"/>
          </w:tcPr>
          <w:p w14:paraId="2C4EC009" w14:textId="77777777" w:rsidR="001B7DA7" w:rsidRPr="00217EA0" w:rsidRDefault="001B7DA7" w:rsidP="001B7DA7">
            <w:pPr>
              <w:pStyle w:val="TableText"/>
              <w:keepNext/>
              <w:keepLines/>
            </w:pPr>
            <w:r w:rsidRPr="00217EA0">
              <w:t xml:space="preserve">Nail Disorders </w:t>
            </w:r>
          </w:p>
        </w:tc>
        <w:tc>
          <w:tcPr>
            <w:tcW w:w="1011" w:type="dxa"/>
            <w:vAlign w:val="center"/>
          </w:tcPr>
          <w:p w14:paraId="6429D104" w14:textId="77777777" w:rsidR="001B7DA7" w:rsidRPr="00217EA0" w:rsidRDefault="001B7DA7" w:rsidP="001B7DA7">
            <w:pPr>
              <w:pStyle w:val="TableText"/>
              <w:keepNext/>
              <w:keepLines/>
              <w:jc w:val="center"/>
            </w:pPr>
            <w:r w:rsidRPr="00217EA0">
              <w:t>27 (26.2)</w:t>
            </w:r>
          </w:p>
        </w:tc>
        <w:tc>
          <w:tcPr>
            <w:tcW w:w="1012" w:type="dxa"/>
            <w:vAlign w:val="center"/>
          </w:tcPr>
          <w:p w14:paraId="334465B0" w14:textId="77777777" w:rsidR="001B7DA7" w:rsidRPr="00217EA0" w:rsidRDefault="001B7DA7" w:rsidP="001B7DA7">
            <w:pPr>
              <w:pStyle w:val="TableText"/>
              <w:keepNext/>
              <w:keepLines/>
              <w:jc w:val="center"/>
            </w:pPr>
            <w:r w:rsidRPr="00217EA0">
              <w:t>25 (24.3)</w:t>
            </w:r>
          </w:p>
        </w:tc>
        <w:tc>
          <w:tcPr>
            <w:tcW w:w="1011" w:type="dxa"/>
            <w:vAlign w:val="center"/>
          </w:tcPr>
          <w:p w14:paraId="61FDE59B" w14:textId="77777777" w:rsidR="001B7DA7" w:rsidRPr="00217EA0" w:rsidRDefault="001B7DA7" w:rsidP="001B7DA7">
            <w:pPr>
              <w:pStyle w:val="TableText"/>
              <w:keepNext/>
              <w:keepLines/>
              <w:jc w:val="center"/>
            </w:pPr>
            <w:r w:rsidRPr="00217EA0">
              <w:t>2 (1.9)</w:t>
            </w:r>
          </w:p>
        </w:tc>
        <w:tc>
          <w:tcPr>
            <w:tcW w:w="1012" w:type="dxa"/>
            <w:vAlign w:val="center"/>
          </w:tcPr>
          <w:p w14:paraId="645E4EE3" w14:textId="77777777" w:rsidR="001B7DA7" w:rsidRPr="00217EA0" w:rsidRDefault="001B7DA7" w:rsidP="001B7DA7">
            <w:pPr>
              <w:pStyle w:val="TableText"/>
              <w:keepNext/>
              <w:keepLines/>
              <w:jc w:val="center"/>
            </w:pPr>
            <w:r w:rsidRPr="00217EA0">
              <w:t>0</w:t>
            </w:r>
          </w:p>
        </w:tc>
        <w:tc>
          <w:tcPr>
            <w:tcW w:w="1011" w:type="dxa"/>
            <w:vAlign w:val="center"/>
          </w:tcPr>
          <w:p w14:paraId="110543AB" w14:textId="77777777" w:rsidR="001B7DA7" w:rsidRPr="00217EA0" w:rsidRDefault="001B7DA7" w:rsidP="001B7DA7">
            <w:pPr>
              <w:pStyle w:val="TableText"/>
              <w:keepNext/>
              <w:keepLines/>
              <w:jc w:val="center"/>
            </w:pPr>
            <w:r w:rsidRPr="00217EA0">
              <w:t>0</w:t>
            </w:r>
          </w:p>
        </w:tc>
        <w:tc>
          <w:tcPr>
            <w:tcW w:w="1012" w:type="dxa"/>
            <w:vAlign w:val="center"/>
          </w:tcPr>
          <w:p w14:paraId="1201AB80" w14:textId="77777777" w:rsidR="001B7DA7" w:rsidRPr="00217EA0" w:rsidRDefault="001B7DA7" w:rsidP="001B7DA7">
            <w:pPr>
              <w:pStyle w:val="TableText"/>
              <w:keepNext/>
              <w:keepLines/>
              <w:jc w:val="center"/>
            </w:pPr>
            <w:r w:rsidRPr="00217EA0">
              <w:t>54 (52.4)</w:t>
            </w:r>
          </w:p>
        </w:tc>
        <w:tc>
          <w:tcPr>
            <w:tcW w:w="1012" w:type="dxa"/>
            <w:vAlign w:val="center"/>
          </w:tcPr>
          <w:p w14:paraId="651CFFB3" w14:textId="77777777" w:rsidR="001B7DA7" w:rsidRPr="00217EA0" w:rsidRDefault="001B7DA7" w:rsidP="001B7DA7">
            <w:pPr>
              <w:pStyle w:val="TableText"/>
              <w:keepNext/>
              <w:keepLines/>
              <w:jc w:val="center"/>
            </w:pPr>
            <w:r w:rsidRPr="00217EA0">
              <w:t>2 (1.9)</w:t>
            </w:r>
          </w:p>
        </w:tc>
      </w:tr>
      <w:tr w:rsidR="001B7DA7" w:rsidRPr="00217EA0" w14:paraId="15D3852B" w14:textId="77777777" w:rsidTr="2914E55D">
        <w:tc>
          <w:tcPr>
            <w:tcW w:w="2547" w:type="dxa"/>
          </w:tcPr>
          <w:p w14:paraId="6D2BDB05" w14:textId="7223D585" w:rsidR="001B7DA7" w:rsidRPr="00217EA0" w:rsidRDefault="001B7DA7" w:rsidP="001B7DA7">
            <w:pPr>
              <w:pStyle w:val="TableText"/>
              <w:keepNext/>
              <w:keepLines/>
            </w:pPr>
            <w:r w:rsidRPr="00217EA0">
              <w:t xml:space="preserve">Palmar-plantar </w:t>
            </w:r>
            <w:proofErr w:type="spellStart"/>
            <w:r w:rsidRPr="00217EA0">
              <w:t>erythrodysaesthesia</w:t>
            </w:r>
            <w:proofErr w:type="spellEnd"/>
            <w:r w:rsidRPr="00217EA0">
              <w:t xml:space="preserve"> syndrome </w:t>
            </w:r>
          </w:p>
        </w:tc>
        <w:tc>
          <w:tcPr>
            <w:tcW w:w="1011" w:type="dxa"/>
            <w:vAlign w:val="center"/>
          </w:tcPr>
          <w:p w14:paraId="467E3D09" w14:textId="77777777" w:rsidR="001B7DA7" w:rsidRPr="00217EA0" w:rsidRDefault="001B7DA7" w:rsidP="001B7DA7">
            <w:pPr>
              <w:pStyle w:val="TableText"/>
              <w:keepNext/>
              <w:keepLines/>
              <w:jc w:val="center"/>
            </w:pPr>
            <w:r w:rsidRPr="00217EA0">
              <w:t>4 (3.9)</w:t>
            </w:r>
          </w:p>
        </w:tc>
        <w:tc>
          <w:tcPr>
            <w:tcW w:w="1012" w:type="dxa"/>
            <w:vAlign w:val="center"/>
          </w:tcPr>
          <w:p w14:paraId="73F86399" w14:textId="77777777" w:rsidR="001B7DA7" w:rsidRPr="00217EA0" w:rsidRDefault="001B7DA7" w:rsidP="001B7DA7">
            <w:pPr>
              <w:pStyle w:val="TableText"/>
              <w:keepNext/>
              <w:keepLines/>
              <w:jc w:val="center"/>
            </w:pPr>
            <w:r w:rsidRPr="00217EA0">
              <w:t>13 (12.6)</w:t>
            </w:r>
          </w:p>
        </w:tc>
        <w:tc>
          <w:tcPr>
            <w:tcW w:w="1011" w:type="dxa"/>
            <w:vAlign w:val="center"/>
          </w:tcPr>
          <w:p w14:paraId="1B11E2EA" w14:textId="77777777" w:rsidR="001B7DA7" w:rsidRPr="00217EA0" w:rsidRDefault="001B7DA7" w:rsidP="001B7DA7">
            <w:pPr>
              <w:pStyle w:val="TableText"/>
              <w:keepNext/>
              <w:keepLines/>
              <w:jc w:val="center"/>
            </w:pPr>
            <w:r w:rsidRPr="00217EA0">
              <w:t>6 (5.8)</w:t>
            </w:r>
          </w:p>
        </w:tc>
        <w:tc>
          <w:tcPr>
            <w:tcW w:w="1012" w:type="dxa"/>
            <w:vAlign w:val="center"/>
          </w:tcPr>
          <w:p w14:paraId="183AE814" w14:textId="77777777" w:rsidR="001B7DA7" w:rsidRPr="00217EA0" w:rsidRDefault="001B7DA7" w:rsidP="001B7DA7">
            <w:pPr>
              <w:pStyle w:val="TableText"/>
              <w:keepNext/>
              <w:keepLines/>
              <w:jc w:val="center"/>
            </w:pPr>
            <w:r w:rsidRPr="00217EA0">
              <w:t>0</w:t>
            </w:r>
          </w:p>
        </w:tc>
        <w:tc>
          <w:tcPr>
            <w:tcW w:w="1011" w:type="dxa"/>
            <w:vAlign w:val="center"/>
          </w:tcPr>
          <w:p w14:paraId="26E5FC2B" w14:textId="77777777" w:rsidR="001B7DA7" w:rsidRPr="00217EA0" w:rsidRDefault="001B7DA7" w:rsidP="001B7DA7">
            <w:pPr>
              <w:pStyle w:val="TableText"/>
              <w:keepNext/>
              <w:keepLines/>
              <w:jc w:val="center"/>
            </w:pPr>
            <w:r w:rsidRPr="00217EA0">
              <w:t>0</w:t>
            </w:r>
          </w:p>
        </w:tc>
        <w:tc>
          <w:tcPr>
            <w:tcW w:w="1012" w:type="dxa"/>
            <w:vAlign w:val="center"/>
          </w:tcPr>
          <w:p w14:paraId="6007BA3D" w14:textId="77777777" w:rsidR="001B7DA7" w:rsidRPr="00217EA0" w:rsidRDefault="001B7DA7" w:rsidP="001B7DA7">
            <w:pPr>
              <w:pStyle w:val="TableText"/>
              <w:keepNext/>
              <w:keepLines/>
              <w:jc w:val="center"/>
            </w:pPr>
            <w:r w:rsidRPr="00217EA0">
              <w:t>23 (22.3)</w:t>
            </w:r>
          </w:p>
        </w:tc>
        <w:tc>
          <w:tcPr>
            <w:tcW w:w="1012" w:type="dxa"/>
            <w:vAlign w:val="center"/>
          </w:tcPr>
          <w:p w14:paraId="23808DFA" w14:textId="77777777" w:rsidR="001B7DA7" w:rsidRPr="00217EA0" w:rsidRDefault="001B7DA7" w:rsidP="001B7DA7">
            <w:pPr>
              <w:pStyle w:val="TableText"/>
              <w:keepNext/>
              <w:keepLines/>
              <w:jc w:val="center"/>
            </w:pPr>
            <w:r w:rsidRPr="00217EA0">
              <w:t>6 (5.8)</w:t>
            </w:r>
          </w:p>
        </w:tc>
      </w:tr>
      <w:tr w:rsidR="001B7DA7" w:rsidRPr="00217EA0" w14:paraId="4DB8B7D3" w14:textId="77777777" w:rsidTr="2914E55D">
        <w:tc>
          <w:tcPr>
            <w:tcW w:w="2547" w:type="dxa"/>
          </w:tcPr>
          <w:p w14:paraId="6EA871D3" w14:textId="77777777" w:rsidR="001B7DA7" w:rsidRPr="00217EA0" w:rsidRDefault="001B7DA7" w:rsidP="001B7DA7">
            <w:pPr>
              <w:pStyle w:val="TableText"/>
              <w:keepNext/>
              <w:keepLines/>
            </w:pPr>
            <w:r w:rsidRPr="00217EA0">
              <w:t xml:space="preserve">Rash </w:t>
            </w:r>
          </w:p>
        </w:tc>
        <w:tc>
          <w:tcPr>
            <w:tcW w:w="1011" w:type="dxa"/>
            <w:vAlign w:val="center"/>
          </w:tcPr>
          <w:p w14:paraId="4F239620" w14:textId="77777777" w:rsidR="001B7DA7" w:rsidRPr="00217EA0" w:rsidRDefault="001B7DA7" w:rsidP="001B7DA7">
            <w:pPr>
              <w:pStyle w:val="TableText"/>
              <w:keepNext/>
              <w:keepLines/>
              <w:jc w:val="center"/>
            </w:pPr>
            <w:r w:rsidRPr="00217EA0">
              <w:t>8 (7.8)</w:t>
            </w:r>
          </w:p>
        </w:tc>
        <w:tc>
          <w:tcPr>
            <w:tcW w:w="1012" w:type="dxa"/>
            <w:vAlign w:val="center"/>
          </w:tcPr>
          <w:p w14:paraId="234327D0" w14:textId="77777777" w:rsidR="001B7DA7" w:rsidRPr="00217EA0" w:rsidRDefault="001B7DA7" w:rsidP="001B7DA7">
            <w:pPr>
              <w:pStyle w:val="TableText"/>
              <w:keepNext/>
              <w:keepLines/>
              <w:jc w:val="center"/>
            </w:pPr>
            <w:r w:rsidRPr="00217EA0">
              <w:t>1 (1.0)</w:t>
            </w:r>
          </w:p>
        </w:tc>
        <w:tc>
          <w:tcPr>
            <w:tcW w:w="1011" w:type="dxa"/>
            <w:vAlign w:val="center"/>
          </w:tcPr>
          <w:p w14:paraId="625B1666" w14:textId="77777777" w:rsidR="001B7DA7" w:rsidRPr="00217EA0" w:rsidRDefault="001B7DA7" w:rsidP="001B7DA7">
            <w:pPr>
              <w:pStyle w:val="TableText"/>
              <w:keepNext/>
              <w:keepLines/>
              <w:jc w:val="center"/>
            </w:pPr>
            <w:r w:rsidRPr="00217EA0">
              <w:t>0</w:t>
            </w:r>
          </w:p>
        </w:tc>
        <w:tc>
          <w:tcPr>
            <w:tcW w:w="1012" w:type="dxa"/>
            <w:vAlign w:val="center"/>
          </w:tcPr>
          <w:p w14:paraId="5B773DF7" w14:textId="77777777" w:rsidR="001B7DA7" w:rsidRPr="00217EA0" w:rsidRDefault="001B7DA7" w:rsidP="001B7DA7">
            <w:pPr>
              <w:pStyle w:val="TableText"/>
              <w:keepNext/>
              <w:keepLines/>
              <w:jc w:val="center"/>
            </w:pPr>
            <w:r w:rsidRPr="00217EA0">
              <w:t>0</w:t>
            </w:r>
          </w:p>
        </w:tc>
        <w:tc>
          <w:tcPr>
            <w:tcW w:w="1011" w:type="dxa"/>
            <w:vAlign w:val="center"/>
          </w:tcPr>
          <w:p w14:paraId="089110B0" w14:textId="77777777" w:rsidR="001B7DA7" w:rsidRPr="00217EA0" w:rsidRDefault="001B7DA7" w:rsidP="001B7DA7">
            <w:pPr>
              <w:pStyle w:val="TableText"/>
              <w:keepNext/>
              <w:keepLines/>
              <w:jc w:val="center"/>
            </w:pPr>
            <w:r w:rsidRPr="00217EA0">
              <w:t>0</w:t>
            </w:r>
          </w:p>
        </w:tc>
        <w:tc>
          <w:tcPr>
            <w:tcW w:w="1012" w:type="dxa"/>
            <w:vAlign w:val="center"/>
          </w:tcPr>
          <w:p w14:paraId="4039EF41" w14:textId="77777777" w:rsidR="001B7DA7" w:rsidRPr="00217EA0" w:rsidRDefault="001B7DA7" w:rsidP="001B7DA7">
            <w:pPr>
              <w:pStyle w:val="TableText"/>
              <w:keepNext/>
              <w:keepLines/>
              <w:jc w:val="center"/>
            </w:pPr>
            <w:r w:rsidRPr="00217EA0">
              <w:t>9 (8.7)</w:t>
            </w:r>
          </w:p>
        </w:tc>
        <w:tc>
          <w:tcPr>
            <w:tcW w:w="1012" w:type="dxa"/>
            <w:vAlign w:val="center"/>
          </w:tcPr>
          <w:p w14:paraId="099C56C0" w14:textId="77777777" w:rsidR="001B7DA7" w:rsidRPr="00217EA0" w:rsidRDefault="001B7DA7" w:rsidP="001B7DA7">
            <w:pPr>
              <w:pStyle w:val="TableText"/>
              <w:keepNext/>
              <w:keepLines/>
              <w:jc w:val="center"/>
            </w:pPr>
            <w:r w:rsidRPr="00217EA0">
              <w:t>0</w:t>
            </w:r>
          </w:p>
        </w:tc>
      </w:tr>
      <w:tr w:rsidR="001B7DA7" w:rsidRPr="00217EA0" w14:paraId="01A255C4" w14:textId="77777777" w:rsidTr="2914E55D">
        <w:tc>
          <w:tcPr>
            <w:tcW w:w="2547" w:type="dxa"/>
          </w:tcPr>
          <w:p w14:paraId="4270FCB5" w14:textId="77777777" w:rsidR="001B7DA7" w:rsidRPr="00217EA0" w:rsidRDefault="001B7DA7" w:rsidP="001B7DA7">
            <w:pPr>
              <w:pStyle w:val="TableText"/>
              <w:keepNext/>
              <w:keepLines/>
            </w:pPr>
            <w:r w:rsidRPr="00217EA0">
              <w:t xml:space="preserve">Retinal Disorders </w:t>
            </w:r>
          </w:p>
        </w:tc>
        <w:tc>
          <w:tcPr>
            <w:tcW w:w="1011" w:type="dxa"/>
            <w:vAlign w:val="center"/>
          </w:tcPr>
          <w:p w14:paraId="039B8A8B" w14:textId="77777777" w:rsidR="001B7DA7" w:rsidRPr="00217EA0" w:rsidRDefault="001B7DA7" w:rsidP="001B7DA7">
            <w:pPr>
              <w:pStyle w:val="TableText"/>
              <w:keepNext/>
              <w:keepLines/>
              <w:jc w:val="center"/>
            </w:pPr>
            <w:r w:rsidRPr="00217EA0">
              <w:t>5 (4.9)</w:t>
            </w:r>
          </w:p>
        </w:tc>
        <w:tc>
          <w:tcPr>
            <w:tcW w:w="1012" w:type="dxa"/>
            <w:vAlign w:val="center"/>
          </w:tcPr>
          <w:p w14:paraId="011EA15C" w14:textId="77777777" w:rsidR="001B7DA7" w:rsidRPr="00217EA0" w:rsidRDefault="001B7DA7" w:rsidP="001B7DA7">
            <w:pPr>
              <w:pStyle w:val="TableText"/>
              <w:keepNext/>
              <w:keepLines/>
              <w:jc w:val="center"/>
            </w:pPr>
            <w:r w:rsidRPr="00217EA0">
              <w:t>3 (2.9)</w:t>
            </w:r>
          </w:p>
        </w:tc>
        <w:tc>
          <w:tcPr>
            <w:tcW w:w="1011" w:type="dxa"/>
            <w:vAlign w:val="center"/>
          </w:tcPr>
          <w:p w14:paraId="0F20F601" w14:textId="77777777" w:rsidR="001B7DA7" w:rsidRPr="00217EA0" w:rsidRDefault="001B7DA7" w:rsidP="001B7DA7">
            <w:pPr>
              <w:pStyle w:val="TableText"/>
              <w:keepNext/>
              <w:keepLines/>
              <w:jc w:val="center"/>
            </w:pPr>
            <w:r w:rsidRPr="00217EA0">
              <w:t>0</w:t>
            </w:r>
          </w:p>
        </w:tc>
        <w:tc>
          <w:tcPr>
            <w:tcW w:w="1012" w:type="dxa"/>
            <w:vAlign w:val="center"/>
          </w:tcPr>
          <w:p w14:paraId="7E8A44F3" w14:textId="77777777" w:rsidR="001B7DA7" w:rsidRPr="00217EA0" w:rsidRDefault="001B7DA7" w:rsidP="001B7DA7">
            <w:pPr>
              <w:pStyle w:val="TableText"/>
              <w:keepNext/>
              <w:keepLines/>
              <w:jc w:val="center"/>
            </w:pPr>
            <w:r w:rsidRPr="00217EA0">
              <w:t>0</w:t>
            </w:r>
          </w:p>
        </w:tc>
        <w:tc>
          <w:tcPr>
            <w:tcW w:w="1011" w:type="dxa"/>
            <w:vAlign w:val="center"/>
          </w:tcPr>
          <w:p w14:paraId="198419A6" w14:textId="77777777" w:rsidR="001B7DA7" w:rsidRPr="00217EA0" w:rsidRDefault="001B7DA7" w:rsidP="001B7DA7">
            <w:pPr>
              <w:pStyle w:val="TableText"/>
              <w:keepNext/>
              <w:keepLines/>
              <w:jc w:val="center"/>
            </w:pPr>
            <w:r w:rsidRPr="00217EA0">
              <w:t>0</w:t>
            </w:r>
          </w:p>
        </w:tc>
        <w:tc>
          <w:tcPr>
            <w:tcW w:w="1012" w:type="dxa"/>
            <w:vAlign w:val="center"/>
          </w:tcPr>
          <w:p w14:paraId="7BD8BECE" w14:textId="77777777" w:rsidR="001B7DA7" w:rsidRPr="00217EA0" w:rsidRDefault="001B7DA7" w:rsidP="001B7DA7">
            <w:pPr>
              <w:pStyle w:val="TableText"/>
              <w:keepNext/>
              <w:keepLines/>
              <w:jc w:val="center"/>
            </w:pPr>
            <w:r w:rsidRPr="00217EA0">
              <w:t>8 (7.8)</w:t>
            </w:r>
          </w:p>
        </w:tc>
        <w:tc>
          <w:tcPr>
            <w:tcW w:w="1012" w:type="dxa"/>
            <w:vAlign w:val="center"/>
          </w:tcPr>
          <w:p w14:paraId="451CEC4E" w14:textId="77777777" w:rsidR="001B7DA7" w:rsidRPr="00217EA0" w:rsidRDefault="001B7DA7" w:rsidP="001B7DA7">
            <w:pPr>
              <w:pStyle w:val="TableText"/>
              <w:keepNext/>
              <w:keepLines/>
              <w:jc w:val="center"/>
            </w:pPr>
            <w:r w:rsidRPr="00217EA0">
              <w:t>0</w:t>
            </w:r>
          </w:p>
        </w:tc>
      </w:tr>
    </w:tbl>
    <w:p w14:paraId="4BC0E31F" w14:textId="1230CE82" w:rsidR="001B7DA7" w:rsidRPr="00217EA0" w:rsidRDefault="001B7DA7" w:rsidP="001B7DA7">
      <w:pPr>
        <w:pStyle w:val="TableFooter"/>
        <w:keepNext/>
        <w:keepLines/>
      </w:pPr>
      <w:r w:rsidRPr="00217EA0">
        <w:t>Source: Table 2.57, p150 of the submission.</w:t>
      </w:r>
    </w:p>
    <w:p w14:paraId="2AC978CA" w14:textId="6C23C2A8" w:rsidR="00DD1000" w:rsidRPr="00217EA0" w:rsidRDefault="00DD1000" w:rsidP="001B7DA7">
      <w:pPr>
        <w:pStyle w:val="TableFooter"/>
        <w:keepNext/>
        <w:keepLines/>
      </w:pPr>
      <w:r w:rsidRPr="00217EA0">
        <w:t>AESI = adverse events of special interest</w:t>
      </w:r>
      <w:r w:rsidR="00D74A3E" w:rsidRPr="00217EA0">
        <w:t>; CTC = Common Terminology Criteria</w:t>
      </w:r>
    </w:p>
    <w:p w14:paraId="41D5E877" w14:textId="77777777" w:rsidR="001B7DA7" w:rsidRPr="00217EA0" w:rsidRDefault="001B7DA7" w:rsidP="001B7DA7">
      <w:pPr>
        <w:pStyle w:val="TableFooter"/>
        <w:keepNext/>
        <w:keepLines/>
      </w:pPr>
      <w:r w:rsidRPr="00217EA0">
        <w:t>Summary includes all events reported between first dose and 30 days after last dose of study drug</w:t>
      </w:r>
    </w:p>
    <w:p w14:paraId="4643F81E" w14:textId="77777777" w:rsidR="001B7DA7" w:rsidRPr="00217EA0" w:rsidRDefault="001B7DA7" w:rsidP="00F30AE0">
      <w:pPr>
        <w:pStyle w:val="TableFooter"/>
        <w:keepLines/>
        <w:widowControl/>
      </w:pPr>
      <w:r w:rsidRPr="00217EA0">
        <w:t>If a patient had two or more adverse events in the same system organ class (or with the same preferred term) with different CTCAE grades, then the event with the highest grade was used for that patient.</w:t>
      </w:r>
    </w:p>
    <w:p w14:paraId="7F6F2EC4" w14:textId="00ABBD97" w:rsidR="001B7DA7" w:rsidRPr="00217EA0" w:rsidRDefault="001B7DA7" w:rsidP="2914E55D">
      <w:pPr>
        <w:pStyle w:val="ListParagraph"/>
        <w:rPr>
          <w:color w:val="auto"/>
        </w:rPr>
      </w:pPr>
      <w:r w:rsidRPr="00217EA0">
        <w:rPr>
          <w:color w:val="auto"/>
        </w:rPr>
        <w:t xml:space="preserve">In the most recent Periodic Benefit-Risk Evaluation report, important identified risk for </w:t>
      </w:r>
      <w:proofErr w:type="spellStart"/>
      <w:r w:rsidRPr="00217EA0">
        <w:rPr>
          <w:color w:val="auto"/>
        </w:rPr>
        <w:t>futibatinib</w:t>
      </w:r>
      <w:proofErr w:type="spellEnd"/>
      <w:r w:rsidRPr="00217EA0">
        <w:rPr>
          <w:color w:val="auto"/>
        </w:rPr>
        <w:t xml:space="preserve"> included serious retinal detachment, and important potential risk included Embryo-Foetal Toxicity/Teratogenicity.</w:t>
      </w:r>
      <w:r w:rsidR="0046770C" w:rsidRPr="00217EA0">
        <w:rPr>
          <w:color w:val="auto"/>
        </w:rPr>
        <w:t xml:space="preserve"> </w:t>
      </w:r>
      <w:r w:rsidR="003D053F" w:rsidRPr="00217EA0">
        <w:rPr>
          <w:color w:val="auto"/>
        </w:rPr>
        <w:t>T</w:t>
      </w:r>
      <w:r w:rsidR="00F9359D" w:rsidRPr="00217EA0">
        <w:rPr>
          <w:color w:val="auto"/>
        </w:rPr>
        <w:t xml:space="preserve">he ESCs noted that whilst retinal detachment is an important risk, only </w:t>
      </w:r>
      <w:r w:rsidR="00523392" w:rsidRPr="00217EA0">
        <w:rPr>
          <w:color w:val="auto"/>
        </w:rPr>
        <w:t>G</w:t>
      </w:r>
      <w:r w:rsidR="000911AF" w:rsidRPr="00217EA0">
        <w:rPr>
          <w:color w:val="auto"/>
        </w:rPr>
        <w:t xml:space="preserve">rade </w:t>
      </w:r>
      <w:r w:rsidR="00F9359D" w:rsidRPr="00217EA0">
        <w:rPr>
          <w:color w:val="auto"/>
        </w:rPr>
        <w:t xml:space="preserve">1-2 retinal disorders were </w:t>
      </w:r>
      <w:r w:rsidR="000911AF" w:rsidRPr="00217EA0">
        <w:rPr>
          <w:color w:val="auto"/>
        </w:rPr>
        <w:t>reported</w:t>
      </w:r>
      <w:r w:rsidR="00F9359D" w:rsidRPr="00217EA0">
        <w:rPr>
          <w:color w:val="auto"/>
        </w:rPr>
        <w:t>.</w:t>
      </w:r>
      <w:r w:rsidR="00C85490">
        <w:rPr>
          <w:color w:val="auto"/>
        </w:rPr>
        <w:t xml:space="preserve"> The PBAC noted that </w:t>
      </w:r>
      <w:r w:rsidR="00A037B9">
        <w:rPr>
          <w:color w:val="auto"/>
        </w:rPr>
        <w:t xml:space="preserve">the ACM did not advise </w:t>
      </w:r>
      <w:r w:rsidR="009E6739">
        <w:rPr>
          <w:color w:val="auto"/>
        </w:rPr>
        <w:t xml:space="preserve">routine retinal screening with the use of </w:t>
      </w:r>
      <w:proofErr w:type="spellStart"/>
      <w:r w:rsidR="009E6739">
        <w:rPr>
          <w:color w:val="auto"/>
        </w:rPr>
        <w:t>futibatinib</w:t>
      </w:r>
      <w:proofErr w:type="spellEnd"/>
      <w:r w:rsidR="009E6739">
        <w:rPr>
          <w:color w:val="auto"/>
        </w:rPr>
        <w:t xml:space="preserve"> (ACM minutes, February 2025). </w:t>
      </w:r>
    </w:p>
    <w:p w14:paraId="3105DEC7" w14:textId="0FC38D9F" w:rsidR="00065DE6" w:rsidRPr="00217EA0" w:rsidRDefault="00065DE6" w:rsidP="2914E55D">
      <w:pPr>
        <w:pStyle w:val="ListParagraph"/>
        <w:rPr>
          <w:color w:val="auto"/>
        </w:rPr>
      </w:pPr>
      <w:r w:rsidRPr="00217EA0">
        <w:rPr>
          <w:color w:val="auto"/>
        </w:rPr>
        <w:t>In ABC-06, Grade 3-5 adverse events were reported in 56 (69%) of 81 patients in the ASC+FOLFOX group and 42 (52%) of 81 patients in the ASC alone group. Three chemotherapy-related deaths (one each due to infection, acute kidney injury, and febrile neutropenia) were reported in the ASC+FOLFOX group. All other deaths reported in both groups were cancer related, with the exception of ten deaths associated with intercurrent illness (eight in the ASC+FOLFOX group and two in the ASC-only group); cause of death was not reported for one patient in the ASC alone group.</w:t>
      </w:r>
    </w:p>
    <w:p w14:paraId="1DC72E71" w14:textId="587B509D" w:rsidR="00065DE6" w:rsidRPr="00217EA0" w:rsidRDefault="00065DE6" w:rsidP="2914E55D">
      <w:pPr>
        <w:pStyle w:val="ListParagraph"/>
        <w:rPr>
          <w:color w:val="auto"/>
        </w:rPr>
      </w:pPr>
      <w:r w:rsidRPr="00217EA0">
        <w:rPr>
          <w:color w:val="auto"/>
        </w:rPr>
        <w:t xml:space="preserve">Thirty-one patients (38%) in the ASC+FOLFOX treatment group reported a chemotherapy-related AE that was at least Grade 3 in severity. The most frequently reported </w:t>
      </w:r>
      <w:r w:rsidR="00523392" w:rsidRPr="00217EA0">
        <w:rPr>
          <w:color w:val="auto"/>
        </w:rPr>
        <w:t>G</w:t>
      </w:r>
      <w:r w:rsidRPr="00217EA0">
        <w:rPr>
          <w:color w:val="auto"/>
        </w:rPr>
        <w:t>rade 3–5 chemotherapy-related adverse events were neutropenia (ten [12%] patients), fatigue or lethargy (nine [11%] patients), and infection (eight [10%] patients).</w:t>
      </w:r>
    </w:p>
    <w:p w14:paraId="7B053FA6" w14:textId="078A1C55" w:rsidR="00065DE6" w:rsidRPr="00217EA0" w:rsidRDefault="00065DE6" w:rsidP="2914E55D">
      <w:pPr>
        <w:pStyle w:val="ListParagraph"/>
        <w:rPr>
          <w:color w:val="auto"/>
        </w:rPr>
      </w:pPr>
      <w:r w:rsidRPr="00217EA0">
        <w:rPr>
          <w:color w:val="auto"/>
        </w:rPr>
        <w:t xml:space="preserve">The submission did not conduct an </w:t>
      </w:r>
      <w:r w:rsidR="00AF1AEA" w:rsidRPr="00217EA0">
        <w:rPr>
          <w:color w:val="auto"/>
          <w:lang w:bidi="en-US"/>
        </w:rPr>
        <w:t>indirect treatment comparison</w:t>
      </w:r>
      <w:r w:rsidRPr="00217EA0">
        <w:rPr>
          <w:color w:val="auto"/>
          <w:lang w:bidi="en-US"/>
        </w:rPr>
        <w:t xml:space="preserve"> of safety outcomes.</w:t>
      </w:r>
      <w:r w:rsidR="00700AE9" w:rsidRPr="00217EA0">
        <w:rPr>
          <w:color w:val="auto"/>
          <w:lang w:bidi="en-US"/>
        </w:rPr>
        <w:t xml:space="preserve"> </w:t>
      </w:r>
      <w:r w:rsidR="00C5660F" w:rsidRPr="00217EA0">
        <w:rPr>
          <w:color w:val="auto"/>
          <w:lang w:bidi="en-US"/>
        </w:rPr>
        <w:t>The evaluation noted that i</w:t>
      </w:r>
      <w:r w:rsidR="00700AE9" w:rsidRPr="00217EA0">
        <w:rPr>
          <w:color w:val="auto"/>
          <w:lang w:bidi="en-US"/>
        </w:rPr>
        <w:t xml:space="preserve">n the economic model, </w:t>
      </w:r>
      <w:r w:rsidR="00ED421B" w:rsidRPr="00217EA0">
        <w:rPr>
          <w:color w:val="auto"/>
          <w:lang w:bidi="en-US"/>
        </w:rPr>
        <w:t>AEs</w:t>
      </w:r>
      <w:r w:rsidR="004A2079" w:rsidRPr="00217EA0">
        <w:rPr>
          <w:color w:val="auto"/>
          <w:lang w:bidi="en-US"/>
        </w:rPr>
        <w:t xml:space="preserve"> from </w:t>
      </w:r>
      <w:r w:rsidR="00A77152" w:rsidRPr="00217EA0">
        <w:rPr>
          <w:color w:val="auto"/>
          <w:lang w:bidi="en-US"/>
        </w:rPr>
        <w:t>the</w:t>
      </w:r>
      <w:r w:rsidR="004A2079" w:rsidRPr="00217EA0">
        <w:rPr>
          <w:color w:val="auto"/>
          <w:lang w:bidi="en-US"/>
        </w:rPr>
        <w:t xml:space="preserve"> unanchored unadjusted </w:t>
      </w:r>
      <w:r w:rsidR="00A77152" w:rsidRPr="00217EA0">
        <w:rPr>
          <w:color w:val="auto"/>
          <w:lang w:bidi="en-US"/>
        </w:rPr>
        <w:t xml:space="preserve">results </w:t>
      </w:r>
      <w:r w:rsidR="004A2079" w:rsidRPr="00217EA0">
        <w:rPr>
          <w:color w:val="auto"/>
          <w:lang w:bidi="en-US"/>
        </w:rPr>
        <w:t>of FOENIX-CCA2 and ABC-06</w:t>
      </w:r>
      <w:r w:rsidR="00A77152" w:rsidRPr="00217EA0">
        <w:rPr>
          <w:color w:val="auto"/>
          <w:lang w:bidi="en-US"/>
        </w:rPr>
        <w:t xml:space="preserve"> were used for </w:t>
      </w:r>
      <w:proofErr w:type="spellStart"/>
      <w:r w:rsidR="00A77152" w:rsidRPr="00217EA0">
        <w:rPr>
          <w:color w:val="auto"/>
          <w:lang w:bidi="en-US"/>
        </w:rPr>
        <w:t>futibatinib</w:t>
      </w:r>
      <w:proofErr w:type="spellEnd"/>
      <w:r w:rsidR="00A77152" w:rsidRPr="00217EA0">
        <w:rPr>
          <w:color w:val="auto"/>
          <w:lang w:bidi="en-US"/>
        </w:rPr>
        <w:t xml:space="preserve"> and FOLFOX, respectively.</w:t>
      </w:r>
      <w:r w:rsidR="00700AE9" w:rsidRPr="00217EA0">
        <w:rPr>
          <w:color w:val="auto"/>
          <w:lang w:bidi="en-US"/>
        </w:rPr>
        <w:t xml:space="preserve"> </w:t>
      </w:r>
    </w:p>
    <w:p w14:paraId="49748868" w14:textId="67EB95BD" w:rsidR="00F55EBC" w:rsidRPr="00217EA0" w:rsidRDefault="00AF1AEA" w:rsidP="2914E55D">
      <w:pPr>
        <w:pStyle w:val="ListParagraph"/>
      </w:pPr>
      <w:r w:rsidRPr="00217EA0">
        <w:rPr>
          <w:color w:val="auto"/>
        </w:rPr>
        <w:t xml:space="preserve">Overall, </w:t>
      </w:r>
      <w:r w:rsidR="00272C77" w:rsidRPr="00217EA0">
        <w:rPr>
          <w:color w:val="auto"/>
        </w:rPr>
        <w:t>the evaluation consider</w:t>
      </w:r>
      <w:r w:rsidR="002B529F" w:rsidRPr="00217EA0">
        <w:rPr>
          <w:color w:val="auto"/>
        </w:rPr>
        <w:t>ed</w:t>
      </w:r>
      <w:r w:rsidR="00272C77" w:rsidRPr="00217EA0">
        <w:rPr>
          <w:color w:val="auto"/>
        </w:rPr>
        <w:t xml:space="preserve"> that </w:t>
      </w:r>
      <w:r w:rsidRPr="00217EA0">
        <w:rPr>
          <w:color w:val="auto"/>
        </w:rPr>
        <w:t xml:space="preserve">as no comparative safety evidence was presented, assessing a safety claim of </w:t>
      </w:r>
      <w:proofErr w:type="spellStart"/>
      <w:r w:rsidRPr="00217EA0">
        <w:rPr>
          <w:color w:val="auto"/>
        </w:rPr>
        <w:t>futibatinib</w:t>
      </w:r>
      <w:proofErr w:type="spellEnd"/>
      <w:r w:rsidRPr="00217EA0">
        <w:rPr>
          <w:color w:val="auto"/>
        </w:rPr>
        <w:t xml:space="preserve"> versus ASC+FOLFOX is challenging. The FDA, in its consideration of </w:t>
      </w:r>
      <w:proofErr w:type="spellStart"/>
      <w:r w:rsidRPr="00217EA0">
        <w:rPr>
          <w:color w:val="auto"/>
        </w:rPr>
        <w:t>futibatinib</w:t>
      </w:r>
      <w:proofErr w:type="spellEnd"/>
      <w:r w:rsidRPr="00217EA0">
        <w:rPr>
          <w:color w:val="auto"/>
        </w:rPr>
        <w:t xml:space="preserve"> for CCA, concluded that the observed safety profile of </w:t>
      </w:r>
      <w:proofErr w:type="spellStart"/>
      <w:r w:rsidRPr="00217EA0">
        <w:rPr>
          <w:color w:val="auto"/>
        </w:rPr>
        <w:t>futibatinib</w:t>
      </w:r>
      <w:proofErr w:type="spellEnd"/>
      <w:r w:rsidRPr="00217EA0">
        <w:rPr>
          <w:color w:val="auto"/>
        </w:rPr>
        <w:t xml:space="preserve"> in this patient population was generally consistent with the known toxicity profile of the pharmacological class. The</w:t>
      </w:r>
      <w:r w:rsidR="00272C77" w:rsidRPr="00217EA0">
        <w:rPr>
          <w:color w:val="auto"/>
        </w:rPr>
        <w:t xml:space="preserve"> </w:t>
      </w:r>
      <w:r w:rsidR="002C578A" w:rsidRPr="00217EA0">
        <w:rPr>
          <w:color w:val="auto"/>
        </w:rPr>
        <w:t>evaluation considered that the</w:t>
      </w:r>
      <w:r w:rsidRPr="00217EA0">
        <w:rPr>
          <w:color w:val="auto"/>
        </w:rPr>
        <w:t xml:space="preserve"> risks of </w:t>
      </w:r>
      <w:proofErr w:type="spellStart"/>
      <w:r w:rsidRPr="00217EA0">
        <w:rPr>
          <w:color w:val="auto"/>
        </w:rPr>
        <w:t>futibatinib</w:t>
      </w:r>
      <w:proofErr w:type="spellEnd"/>
      <w:r w:rsidRPr="00217EA0">
        <w:rPr>
          <w:color w:val="auto"/>
        </w:rPr>
        <w:t xml:space="preserve"> are largely manageable with safety monitoring, treatment modifications, and supportive care</w:t>
      </w:r>
      <w:r w:rsidR="00E910F8" w:rsidRPr="00217EA0">
        <w:rPr>
          <w:color w:val="auto"/>
        </w:rPr>
        <w:t>.</w:t>
      </w:r>
    </w:p>
    <w:p w14:paraId="563D890B" w14:textId="5CD512FB" w:rsidR="006A239A" w:rsidRPr="00C95CD1" w:rsidRDefault="00624315" w:rsidP="00C95CD1">
      <w:pPr>
        <w:pStyle w:val="4-SubsectionHeading"/>
        <w:rPr>
          <w:rFonts w:asciiTheme="minorHAnsi" w:hAnsiTheme="minorHAnsi"/>
          <w:lang w:eastAsia="en-US"/>
        </w:rPr>
      </w:pPr>
      <w:bookmarkStart w:id="67" w:name="_Toc413139281"/>
      <w:r w:rsidRPr="00C95CD1">
        <w:rPr>
          <w:rFonts w:asciiTheme="minorHAnsi" w:hAnsiTheme="minorHAnsi"/>
          <w:lang w:eastAsia="en-US"/>
        </w:rPr>
        <w:t>Benefits</w:t>
      </w:r>
      <w:r w:rsidR="00233714" w:rsidRPr="00C95CD1">
        <w:rPr>
          <w:rFonts w:asciiTheme="minorHAnsi" w:hAnsiTheme="minorHAnsi"/>
          <w:lang w:eastAsia="en-US"/>
        </w:rPr>
        <w:t>/</w:t>
      </w:r>
      <w:r w:rsidRPr="00C95CD1">
        <w:rPr>
          <w:rFonts w:asciiTheme="minorHAnsi" w:hAnsiTheme="minorHAnsi"/>
          <w:lang w:eastAsia="en-US"/>
        </w:rPr>
        <w:t xml:space="preserve"> harms</w:t>
      </w:r>
      <w:r w:rsidR="008C3D0F" w:rsidRPr="00C95CD1">
        <w:rPr>
          <w:rFonts w:asciiTheme="minorHAnsi" w:hAnsiTheme="minorHAnsi"/>
          <w:lang w:eastAsia="en-US"/>
        </w:rPr>
        <w:t xml:space="preserve"> </w:t>
      </w:r>
    </w:p>
    <w:p w14:paraId="11BF4E94" w14:textId="61A066FE" w:rsidR="006A239A" w:rsidRPr="00217EA0" w:rsidRDefault="002D00ED" w:rsidP="2914E55D">
      <w:pPr>
        <w:pStyle w:val="ListParagraph"/>
        <w:rPr>
          <w:color w:val="auto"/>
        </w:rPr>
      </w:pPr>
      <w:r w:rsidRPr="00217EA0">
        <w:rPr>
          <w:color w:val="auto"/>
        </w:rPr>
        <w:t>T</w:t>
      </w:r>
      <w:r w:rsidR="002C578A" w:rsidRPr="00217EA0">
        <w:rPr>
          <w:color w:val="auto"/>
        </w:rPr>
        <w:t>he</w:t>
      </w:r>
      <w:r w:rsidR="00065DE6" w:rsidRPr="00217EA0">
        <w:rPr>
          <w:color w:val="auto"/>
        </w:rPr>
        <w:t xml:space="preserve"> unanchored </w:t>
      </w:r>
      <w:r w:rsidR="00AF1AEA" w:rsidRPr="00217EA0">
        <w:rPr>
          <w:color w:val="auto"/>
        </w:rPr>
        <w:t>MAIC</w:t>
      </w:r>
      <w:r w:rsidR="008C3D0F" w:rsidRPr="00217EA0">
        <w:rPr>
          <w:color w:val="auto"/>
        </w:rPr>
        <w:t xml:space="preserve"> presented in the submission did not allow for a </w:t>
      </w:r>
      <w:r w:rsidR="00AF1AEA" w:rsidRPr="00217EA0">
        <w:rPr>
          <w:color w:val="auto"/>
        </w:rPr>
        <w:t xml:space="preserve">meaningful </w:t>
      </w:r>
      <w:r w:rsidR="008C3D0F" w:rsidRPr="00217EA0">
        <w:rPr>
          <w:color w:val="auto"/>
        </w:rPr>
        <w:t xml:space="preserve">comparison of the </w:t>
      </w:r>
      <w:r w:rsidR="00AF1AEA" w:rsidRPr="00217EA0">
        <w:rPr>
          <w:color w:val="auto"/>
        </w:rPr>
        <w:t xml:space="preserve">relative </w:t>
      </w:r>
      <w:r w:rsidR="008C3D0F" w:rsidRPr="00217EA0">
        <w:rPr>
          <w:color w:val="auto"/>
        </w:rPr>
        <w:t xml:space="preserve">benefits of </w:t>
      </w:r>
      <w:proofErr w:type="spellStart"/>
      <w:r w:rsidR="00065DE6" w:rsidRPr="00217EA0">
        <w:rPr>
          <w:color w:val="auto"/>
        </w:rPr>
        <w:t>futibatinib</w:t>
      </w:r>
      <w:proofErr w:type="spellEnd"/>
      <w:r w:rsidR="00065DE6" w:rsidRPr="00217EA0">
        <w:rPr>
          <w:color w:val="auto"/>
        </w:rPr>
        <w:t xml:space="preserve"> and FOLFOX</w:t>
      </w:r>
      <w:r w:rsidR="00AF1AEA" w:rsidRPr="00217EA0">
        <w:rPr>
          <w:color w:val="auto"/>
        </w:rPr>
        <w:t xml:space="preserve"> as the results were not adjusted for </w:t>
      </w:r>
      <w:r w:rsidR="003E5C46" w:rsidRPr="003E5C46">
        <w:rPr>
          <w:i/>
          <w:iCs/>
          <w:color w:val="auto"/>
        </w:rPr>
        <w:t>FGFR2</w:t>
      </w:r>
      <w:r w:rsidR="00AF1AEA" w:rsidRPr="00217EA0">
        <w:rPr>
          <w:color w:val="auto"/>
        </w:rPr>
        <w:t xml:space="preserve"> </w:t>
      </w:r>
      <w:r w:rsidR="001B64ED" w:rsidRPr="00217EA0">
        <w:rPr>
          <w:color w:val="auto"/>
        </w:rPr>
        <w:t xml:space="preserve">alteration </w:t>
      </w:r>
      <w:r w:rsidR="00AF1AEA" w:rsidRPr="00217EA0">
        <w:rPr>
          <w:color w:val="auto"/>
        </w:rPr>
        <w:t xml:space="preserve">status and </w:t>
      </w:r>
      <w:r w:rsidR="001B64ED" w:rsidRPr="00217EA0">
        <w:rPr>
          <w:color w:val="auto"/>
        </w:rPr>
        <w:t>were</w:t>
      </w:r>
      <w:r w:rsidR="00AF1AEA" w:rsidRPr="00217EA0">
        <w:rPr>
          <w:color w:val="auto"/>
        </w:rPr>
        <w:t xml:space="preserve"> likely to be overestimated</w:t>
      </w:r>
      <w:r w:rsidR="00065DE6" w:rsidRPr="00217EA0">
        <w:rPr>
          <w:color w:val="auto"/>
        </w:rPr>
        <w:t xml:space="preserve">. </w:t>
      </w:r>
      <w:r w:rsidR="00372382" w:rsidRPr="00217EA0">
        <w:rPr>
          <w:color w:val="auto"/>
        </w:rPr>
        <w:t>Additionally,</w:t>
      </w:r>
      <w:r w:rsidR="00065DE6" w:rsidRPr="00217EA0">
        <w:rPr>
          <w:color w:val="auto"/>
        </w:rPr>
        <w:t xml:space="preserve"> the submission did not present a comparison of safety outcomes</w:t>
      </w:r>
      <w:r w:rsidR="008C3D0F" w:rsidRPr="00217EA0">
        <w:rPr>
          <w:color w:val="auto"/>
        </w:rPr>
        <w:t>. Accordingly, a benefits/harms table has not been presented.</w:t>
      </w:r>
    </w:p>
    <w:p w14:paraId="62EFED6C" w14:textId="41A08689" w:rsidR="008C3D0F" w:rsidRPr="00C95CD1" w:rsidRDefault="005C4817" w:rsidP="00C95CD1">
      <w:pPr>
        <w:pStyle w:val="4-SubsectionHeading"/>
        <w:rPr>
          <w:rFonts w:asciiTheme="minorHAnsi" w:hAnsiTheme="minorHAnsi"/>
          <w:lang w:eastAsia="en-US"/>
        </w:rPr>
      </w:pPr>
      <w:bookmarkStart w:id="68" w:name="_Toc413139282"/>
      <w:bookmarkEnd w:id="67"/>
      <w:r w:rsidRPr="00C95CD1">
        <w:rPr>
          <w:rFonts w:asciiTheme="minorHAnsi" w:hAnsiTheme="minorHAnsi"/>
          <w:lang w:eastAsia="en-US"/>
        </w:rPr>
        <w:t>Clinical claim</w:t>
      </w:r>
    </w:p>
    <w:p w14:paraId="75AA4E6F" w14:textId="28E52976" w:rsidR="00D727DD" w:rsidRPr="00217EA0" w:rsidRDefault="00D727DD" w:rsidP="2914E55D">
      <w:pPr>
        <w:pStyle w:val="ListParagraph"/>
        <w:rPr>
          <w:color w:val="auto"/>
        </w:rPr>
      </w:pPr>
      <w:r w:rsidRPr="00217EA0">
        <w:rPr>
          <w:color w:val="auto"/>
        </w:rPr>
        <w:t xml:space="preserve">The submission described </w:t>
      </w:r>
      <w:proofErr w:type="spellStart"/>
      <w:r w:rsidRPr="00217EA0">
        <w:rPr>
          <w:color w:val="auto"/>
        </w:rPr>
        <w:t>futibatinib</w:t>
      </w:r>
      <w:proofErr w:type="spellEnd"/>
      <w:r w:rsidRPr="00217EA0">
        <w:rPr>
          <w:color w:val="auto"/>
        </w:rPr>
        <w:t xml:space="preserve"> as superior in terms of effectiveness compared with FOLFOX and superior in terms of safety compared to FOLFOX. The submission also described </w:t>
      </w:r>
      <w:proofErr w:type="spellStart"/>
      <w:r w:rsidR="005B1CF6" w:rsidRPr="00217EA0">
        <w:rPr>
          <w:color w:val="auto"/>
        </w:rPr>
        <w:t>futibatinib</w:t>
      </w:r>
      <w:proofErr w:type="spellEnd"/>
      <w:r w:rsidR="005B1CF6" w:rsidRPr="00217EA0">
        <w:rPr>
          <w:color w:val="auto"/>
        </w:rPr>
        <w:t xml:space="preserve"> as </w:t>
      </w:r>
      <w:r w:rsidRPr="00217EA0">
        <w:rPr>
          <w:color w:val="auto"/>
        </w:rPr>
        <w:t xml:space="preserve">superior in terms of effectiveness compared to ASC, with a different safety profile that is manageable. </w:t>
      </w:r>
    </w:p>
    <w:p w14:paraId="3BA3F389" w14:textId="45FBFE57" w:rsidR="00C8659B" w:rsidRPr="00217EA0" w:rsidRDefault="00D727DD" w:rsidP="2914E55D">
      <w:pPr>
        <w:pStyle w:val="ListParagraph"/>
        <w:rPr>
          <w:color w:val="auto"/>
        </w:rPr>
      </w:pPr>
      <w:r w:rsidRPr="00217EA0">
        <w:t>With regard</w:t>
      </w:r>
      <w:r w:rsidR="008C4A30" w:rsidRPr="00217EA0">
        <w:t>s</w:t>
      </w:r>
      <w:r w:rsidRPr="00217EA0">
        <w:t xml:space="preserve"> to the effectiveness claim versus FOLFOX, </w:t>
      </w:r>
      <w:r w:rsidR="00AF1AEA" w:rsidRPr="00217EA0">
        <w:t>t</w:t>
      </w:r>
      <w:r w:rsidRPr="00217EA0">
        <w:t xml:space="preserve">he </w:t>
      </w:r>
      <w:r w:rsidR="00932136" w:rsidRPr="00217EA0">
        <w:t xml:space="preserve">ESCs </w:t>
      </w:r>
      <w:r w:rsidR="007248D7" w:rsidRPr="00217EA0">
        <w:t xml:space="preserve">considered that the </w:t>
      </w:r>
      <w:r w:rsidRPr="00217EA0">
        <w:t>submission’s MAIC indicate</w:t>
      </w:r>
      <w:r w:rsidR="00932136" w:rsidRPr="00217EA0">
        <w:t>d</w:t>
      </w:r>
      <w:r w:rsidRPr="00217EA0">
        <w:t xml:space="preserve"> a greater magnitude of </w:t>
      </w:r>
      <w:r w:rsidR="00AF1AEA" w:rsidRPr="00217EA0">
        <w:t xml:space="preserve">benefit </w:t>
      </w:r>
      <w:r w:rsidRPr="00217EA0">
        <w:t xml:space="preserve">associated with </w:t>
      </w:r>
      <w:proofErr w:type="spellStart"/>
      <w:r w:rsidRPr="00217EA0">
        <w:t>futibatinib</w:t>
      </w:r>
      <w:proofErr w:type="spellEnd"/>
      <w:r w:rsidRPr="00217EA0">
        <w:t xml:space="preserve"> </w:t>
      </w:r>
      <w:r w:rsidR="00AF1AEA" w:rsidRPr="00217EA0">
        <w:t xml:space="preserve">compared to FOLFOX in both </w:t>
      </w:r>
      <w:r w:rsidRPr="00217EA0">
        <w:t xml:space="preserve">the </w:t>
      </w:r>
      <w:r w:rsidR="00AF1AEA" w:rsidRPr="00217EA0">
        <w:t xml:space="preserve">adjusted and </w:t>
      </w:r>
      <w:r w:rsidRPr="00217EA0">
        <w:t>unadjusted comparison</w:t>
      </w:r>
      <w:r w:rsidR="00932136" w:rsidRPr="00217EA0">
        <w:t>; h</w:t>
      </w:r>
      <w:r w:rsidRPr="00217EA0">
        <w:t xml:space="preserve">owever, </w:t>
      </w:r>
      <w:r w:rsidR="00643E60" w:rsidRPr="00217EA0">
        <w:t xml:space="preserve">the magnitude of </w:t>
      </w:r>
      <w:r w:rsidR="00380715" w:rsidRPr="00217EA0">
        <w:t xml:space="preserve">benefit </w:t>
      </w:r>
      <w:r w:rsidR="00643E60" w:rsidRPr="00217EA0">
        <w:t>is highly uncertain, and likely overestimated</w:t>
      </w:r>
      <w:r w:rsidR="00DF4B4D" w:rsidRPr="00217EA0">
        <w:t xml:space="preserve">, </w:t>
      </w:r>
      <w:r w:rsidR="00DF4B4D" w:rsidRPr="00217EA0">
        <w:rPr>
          <w:color w:val="auto"/>
        </w:rPr>
        <w:t>due to:</w:t>
      </w:r>
      <w:r w:rsidR="00E704ED" w:rsidRPr="00217EA0">
        <w:t xml:space="preserve">  </w:t>
      </w:r>
    </w:p>
    <w:p w14:paraId="2E4FCDD5" w14:textId="534FE432" w:rsidR="0051435F" w:rsidRPr="00217EA0" w:rsidRDefault="005D3CFE" w:rsidP="001D5253">
      <w:pPr>
        <w:pStyle w:val="ListParagraph"/>
        <w:numPr>
          <w:ilvl w:val="0"/>
          <w:numId w:val="16"/>
        </w:numPr>
      </w:pPr>
      <w:r w:rsidRPr="00217EA0">
        <w:t>D</w:t>
      </w:r>
      <w:r w:rsidR="00D727DD" w:rsidRPr="00217EA0">
        <w:t xml:space="preserve">ifferences in </w:t>
      </w:r>
      <w:r w:rsidR="00AF1AEA" w:rsidRPr="00217EA0">
        <w:t xml:space="preserve">the baseline characteristics of patients enrolled in </w:t>
      </w:r>
      <w:r w:rsidR="00D727DD" w:rsidRPr="00217EA0">
        <w:t xml:space="preserve">these </w:t>
      </w:r>
      <w:r w:rsidR="00AF1AEA" w:rsidRPr="00217EA0">
        <w:t>studies</w:t>
      </w:r>
      <w:r w:rsidR="00773871" w:rsidRPr="00217EA0">
        <w:t>,</w:t>
      </w:r>
      <w:r w:rsidR="00AF1AEA" w:rsidRPr="00217EA0">
        <w:t xml:space="preserve"> </w:t>
      </w:r>
      <w:r w:rsidR="00D727DD" w:rsidRPr="00217EA0">
        <w:t xml:space="preserve">such as tumour site </w:t>
      </w:r>
      <w:r w:rsidR="0051435F" w:rsidRPr="00217EA0">
        <w:t xml:space="preserve">(FOENIX-CCA2 was 100% </w:t>
      </w:r>
      <w:proofErr w:type="spellStart"/>
      <w:r w:rsidR="0051435F" w:rsidRPr="00217EA0">
        <w:t>iCCA</w:t>
      </w:r>
      <w:proofErr w:type="spellEnd"/>
      <w:r w:rsidR="0051435F" w:rsidRPr="00217EA0">
        <w:t xml:space="preserve">, whereas ABC-06 included </w:t>
      </w:r>
      <w:proofErr w:type="spellStart"/>
      <w:r w:rsidR="0051435F" w:rsidRPr="00217EA0">
        <w:t>iCCA</w:t>
      </w:r>
      <w:proofErr w:type="spellEnd"/>
      <w:r w:rsidR="0051435F" w:rsidRPr="00217EA0">
        <w:t xml:space="preserve">, </w:t>
      </w:r>
      <w:proofErr w:type="spellStart"/>
      <w:r w:rsidR="0051435F" w:rsidRPr="00217EA0">
        <w:t>eCCA</w:t>
      </w:r>
      <w:proofErr w:type="spellEnd"/>
      <w:r w:rsidR="0051435F" w:rsidRPr="00217EA0">
        <w:t xml:space="preserve">, gallbladder cancers and ampullar cancers), </w:t>
      </w:r>
      <w:r w:rsidR="00D727DD" w:rsidRPr="00217EA0">
        <w:t xml:space="preserve">and </w:t>
      </w:r>
      <w:r w:rsidR="003E5C46" w:rsidRPr="003E5C46">
        <w:rPr>
          <w:i/>
          <w:iCs/>
        </w:rPr>
        <w:t>FGFR2</w:t>
      </w:r>
      <w:r w:rsidR="00D727DD" w:rsidRPr="00217EA0">
        <w:t xml:space="preserve"> </w:t>
      </w:r>
      <w:r w:rsidR="00BE5975" w:rsidRPr="00217EA0">
        <w:t xml:space="preserve">alteration </w:t>
      </w:r>
      <w:r w:rsidR="00773871" w:rsidRPr="00217EA0">
        <w:t>status</w:t>
      </w:r>
      <w:r w:rsidR="00AC07AC" w:rsidRPr="00217EA0">
        <w:t xml:space="preserve"> (100% </w:t>
      </w:r>
      <w:r w:rsidR="003E5C46" w:rsidRPr="003E5C46">
        <w:rPr>
          <w:i/>
          <w:iCs/>
        </w:rPr>
        <w:t>FGFR2</w:t>
      </w:r>
      <w:r w:rsidR="00AC07AC" w:rsidRPr="00217EA0">
        <w:t xml:space="preserve"> alterations in FOENIX-CCA2, with unknown status in ABC-06)</w:t>
      </w:r>
      <w:r w:rsidR="00773871" w:rsidRPr="00217EA0">
        <w:t>,</w:t>
      </w:r>
      <w:r w:rsidR="00D727DD" w:rsidRPr="00217EA0">
        <w:t xml:space="preserve"> </w:t>
      </w:r>
      <w:r w:rsidR="00AF1AEA" w:rsidRPr="00217EA0">
        <w:t>that would likely have affected transitivity</w:t>
      </w:r>
      <w:r w:rsidR="00AF1405" w:rsidRPr="00217EA0">
        <w:t xml:space="preserve"> </w:t>
      </w:r>
      <w:r w:rsidR="00A476C6" w:rsidRPr="00217EA0">
        <w:t xml:space="preserve">and </w:t>
      </w:r>
      <w:r w:rsidR="00AF1405" w:rsidRPr="00217EA0">
        <w:t>were unadjusted for</w:t>
      </w:r>
      <w:r w:rsidR="00FA5043" w:rsidRPr="00217EA0">
        <w:t xml:space="preserve"> (see paragraph </w:t>
      </w:r>
      <w:r w:rsidR="004F47FD" w:rsidRPr="00217EA0">
        <w:fldChar w:fldCharType="begin"/>
      </w:r>
      <w:r w:rsidR="004F47FD" w:rsidRPr="00217EA0">
        <w:instrText xml:space="preserve"> REF _Ref190287057 \r \h  \* MERGEFORMAT </w:instrText>
      </w:r>
      <w:r w:rsidR="004F47FD" w:rsidRPr="00217EA0">
        <w:fldChar w:fldCharType="separate"/>
      </w:r>
      <w:r w:rsidR="008378C4">
        <w:t>6.30</w:t>
      </w:r>
      <w:r w:rsidR="004F47FD" w:rsidRPr="00217EA0">
        <w:fldChar w:fldCharType="end"/>
      </w:r>
      <w:r w:rsidR="00FA5043" w:rsidRPr="00217EA0">
        <w:t>)</w:t>
      </w:r>
      <w:r w:rsidR="00D727DD" w:rsidRPr="00217EA0">
        <w:t xml:space="preserve">. </w:t>
      </w:r>
    </w:p>
    <w:p w14:paraId="51545818" w14:textId="7CCF8F6A" w:rsidR="009E2287" w:rsidRPr="00217EA0" w:rsidRDefault="00D727DD" w:rsidP="001D5253">
      <w:pPr>
        <w:pStyle w:val="ListParagraph"/>
        <w:numPr>
          <w:ilvl w:val="0"/>
          <w:numId w:val="16"/>
        </w:numPr>
      </w:pPr>
      <w:r w:rsidRPr="00217EA0">
        <w:t>Published indirect comparisons by Paine 2022 and Borad 2022</w:t>
      </w:r>
      <w:r w:rsidR="000F7C75" w:rsidRPr="00217EA0">
        <w:t>,</w:t>
      </w:r>
      <w:r w:rsidRPr="00217EA0">
        <w:t xml:space="preserve"> which included only patients with </w:t>
      </w:r>
      <w:r w:rsidR="003E5C46" w:rsidRPr="003E5C46">
        <w:rPr>
          <w:i/>
          <w:iCs/>
        </w:rPr>
        <w:t>FGFR2</w:t>
      </w:r>
      <w:r w:rsidRPr="00217EA0">
        <w:t xml:space="preserve"> alterations for both </w:t>
      </w:r>
      <w:proofErr w:type="spellStart"/>
      <w:r w:rsidRPr="00217EA0">
        <w:t>futibatinib</w:t>
      </w:r>
      <w:proofErr w:type="spellEnd"/>
      <w:r w:rsidRPr="00217EA0">
        <w:t xml:space="preserve"> and chemotherapy reported lower magnitudes of benefit for OS, PFS and ORR, </w:t>
      </w:r>
      <w:r w:rsidR="00B33F6F" w:rsidRPr="00217EA0">
        <w:t xml:space="preserve">which the </w:t>
      </w:r>
      <w:r w:rsidR="007D2A94" w:rsidRPr="00217EA0">
        <w:t>ESCs</w:t>
      </w:r>
      <w:r w:rsidR="00B33F6F" w:rsidRPr="00217EA0">
        <w:t xml:space="preserve"> considered </w:t>
      </w:r>
      <w:r w:rsidRPr="00217EA0">
        <w:t xml:space="preserve">suggest that the submission’s estimates may be overestimated. </w:t>
      </w:r>
      <w:r w:rsidR="004B118D" w:rsidRPr="00217EA0">
        <w:t xml:space="preserve">The ESCs noted the issues raised regarding these studies </w:t>
      </w:r>
      <w:r w:rsidR="00811088" w:rsidRPr="00217EA0">
        <w:t xml:space="preserve">(see paragraphs </w:t>
      </w:r>
      <w:r w:rsidR="00811088" w:rsidRPr="00217EA0">
        <w:fldChar w:fldCharType="begin"/>
      </w:r>
      <w:r w:rsidR="00811088" w:rsidRPr="00217EA0">
        <w:instrText xml:space="preserve"> REF _Ref190855093 \r \h  \* MERGEFORMAT </w:instrText>
      </w:r>
      <w:r w:rsidR="00811088" w:rsidRPr="00217EA0">
        <w:fldChar w:fldCharType="separate"/>
      </w:r>
      <w:r w:rsidR="008378C4">
        <w:t>6.48</w:t>
      </w:r>
      <w:r w:rsidR="00811088" w:rsidRPr="00217EA0">
        <w:fldChar w:fldCharType="end"/>
      </w:r>
      <w:r w:rsidR="00811088" w:rsidRPr="00217EA0">
        <w:t xml:space="preserve">, </w:t>
      </w:r>
      <w:r w:rsidR="00811088" w:rsidRPr="00217EA0">
        <w:fldChar w:fldCharType="begin"/>
      </w:r>
      <w:r w:rsidR="00811088" w:rsidRPr="00217EA0">
        <w:instrText xml:space="preserve"> REF _Ref190249935 \r \h  \* MERGEFORMAT </w:instrText>
      </w:r>
      <w:r w:rsidR="00811088" w:rsidRPr="00217EA0">
        <w:fldChar w:fldCharType="separate"/>
      </w:r>
      <w:r w:rsidR="008378C4">
        <w:t>6.50</w:t>
      </w:r>
      <w:r w:rsidR="00811088" w:rsidRPr="00217EA0">
        <w:fldChar w:fldCharType="end"/>
      </w:r>
      <w:r w:rsidR="00811088" w:rsidRPr="00217EA0">
        <w:t xml:space="preserve">) </w:t>
      </w:r>
      <w:r w:rsidR="004B118D" w:rsidRPr="00217EA0">
        <w:t>but considered they were informative</w:t>
      </w:r>
      <w:r w:rsidR="00811088" w:rsidRPr="00217EA0">
        <w:t>.</w:t>
      </w:r>
      <w:r w:rsidR="004B118D" w:rsidRPr="00217EA0">
        <w:t xml:space="preserve"> </w:t>
      </w:r>
    </w:p>
    <w:p w14:paraId="039EB86B" w14:textId="77DABAB2" w:rsidR="0040245A" w:rsidRPr="00217EA0" w:rsidRDefault="005D3CFE" w:rsidP="001D5253">
      <w:pPr>
        <w:pStyle w:val="ListParagraph"/>
        <w:numPr>
          <w:ilvl w:val="0"/>
          <w:numId w:val="16"/>
        </w:numPr>
        <w:rPr>
          <w:color w:val="auto"/>
        </w:rPr>
      </w:pPr>
      <w:r w:rsidRPr="00217EA0">
        <w:t>T</w:t>
      </w:r>
      <w:r w:rsidR="00F51A04" w:rsidRPr="00217EA0">
        <w:t xml:space="preserve">he </w:t>
      </w:r>
      <w:r w:rsidR="00B8338D" w:rsidRPr="00217EA0">
        <w:t>ESCs considered</w:t>
      </w:r>
      <w:r w:rsidR="00D727DD" w:rsidRPr="00217EA0">
        <w:t xml:space="preserve"> </w:t>
      </w:r>
      <w:r w:rsidR="0040245A" w:rsidRPr="00217EA0">
        <w:t xml:space="preserve">the </w:t>
      </w:r>
      <w:r w:rsidR="00D727DD" w:rsidRPr="00217EA0">
        <w:t>unanchored nature of the comparison</w:t>
      </w:r>
      <w:r w:rsidR="0040245A" w:rsidRPr="00217EA0">
        <w:t xml:space="preserve"> </w:t>
      </w:r>
      <w:r w:rsidR="00D727DD" w:rsidRPr="00217EA0">
        <w:t>confer</w:t>
      </w:r>
      <w:r w:rsidR="00CF573D" w:rsidRPr="00217EA0">
        <w:t>r</w:t>
      </w:r>
      <w:r w:rsidR="00352EB6" w:rsidRPr="00217EA0">
        <w:t>ed</w:t>
      </w:r>
      <w:r w:rsidR="00D727DD" w:rsidRPr="00217EA0">
        <w:t xml:space="preserve"> a high risk of bias to unknown treatment effect modifiers. </w:t>
      </w:r>
      <w:r w:rsidR="009D1B10" w:rsidRPr="00217EA0">
        <w:t xml:space="preserve">The PSCR </w:t>
      </w:r>
      <w:r w:rsidR="009C540E" w:rsidRPr="00217EA0">
        <w:t xml:space="preserve">reiterated </w:t>
      </w:r>
      <w:r w:rsidR="009D1B10" w:rsidRPr="00217EA0">
        <w:t>consider</w:t>
      </w:r>
      <w:r w:rsidR="00C20AFF" w:rsidRPr="00217EA0">
        <w:t>ation that</w:t>
      </w:r>
      <w:r w:rsidR="009D1B10" w:rsidRPr="00217EA0">
        <w:t xml:space="preserve"> the presented MAIC was the ‘best available evidence’</w:t>
      </w:r>
      <w:r w:rsidR="00C22608" w:rsidRPr="00217EA0">
        <w:t xml:space="preserve"> </w:t>
      </w:r>
      <w:r w:rsidR="00DE5646" w:rsidRPr="00217EA0">
        <w:t>in</w:t>
      </w:r>
      <w:r w:rsidR="00C22608" w:rsidRPr="00217EA0">
        <w:t xml:space="preserve"> the absence of comparative trial data for this </w:t>
      </w:r>
      <w:r w:rsidR="00DE5646" w:rsidRPr="00217EA0">
        <w:t xml:space="preserve">very small </w:t>
      </w:r>
      <w:r w:rsidR="00C22608" w:rsidRPr="00217EA0">
        <w:t>patient population</w:t>
      </w:r>
      <w:r w:rsidR="0040245A" w:rsidRPr="00217EA0">
        <w:t xml:space="preserve"> and</w:t>
      </w:r>
      <w:r w:rsidR="00B13D73" w:rsidRPr="00217EA0">
        <w:t xml:space="preserve"> </w:t>
      </w:r>
      <w:r w:rsidR="00DE5646" w:rsidRPr="00217EA0">
        <w:t xml:space="preserve">requested that the limitations of the evidence be considered in the context of the rarity of CCA. </w:t>
      </w:r>
    </w:p>
    <w:p w14:paraId="701DDC57" w14:textId="7C3CD54B" w:rsidR="0016004F" w:rsidRPr="00217EA0" w:rsidRDefault="00D727DD" w:rsidP="2914E55D">
      <w:pPr>
        <w:pStyle w:val="ListParagraph"/>
      </w:pPr>
      <w:r w:rsidRPr="00217EA0">
        <w:t>With regard</w:t>
      </w:r>
      <w:r w:rsidR="008C4A30" w:rsidRPr="00217EA0">
        <w:t>s</w:t>
      </w:r>
      <w:r w:rsidRPr="00217EA0">
        <w:t xml:space="preserve"> to the claim of superior safety, the submission</w:t>
      </w:r>
      <w:r w:rsidR="00253CC6" w:rsidRPr="00217EA0">
        <w:t xml:space="preserve"> did</w:t>
      </w:r>
      <w:r w:rsidRPr="00217EA0">
        <w:t xml:space="preserve"> not present comparative safety data between </w:t>
      </w:r>
      <w:proofErr w:type="spellStart"/>
      <w:r w:rsidR="006C5F57" w:rsidRPr="00217EA0">
        <w:t>futibatinib</w:t>
      </w:r>
      <w:proofErr w:type="spellEnd"/>
      <w:r w:rsidRPr="00217EA0">
        <w:t xml:space="preserve"> and FOLFOX to support a claim of superior </w:t>
      </w:r>
      <w:r w:rsidR="00183CAF" w:rsidRPr="00217EA0">
        <w:t>safety</w:t>
      </w:r>
      <w:r w:rsidR="00E910F8" w:rsidRPr="00217EA0">
        <w:t>.</w:t>
      </w:r>
      <w:r w:rsidRPr="00217EA0">
        <w:t xml:space="preserve"> </w:t>
      </w:r>
      <w:r w:rsidR="00817DFD" w:rsidRPr="00217EA0">
        <w:t xml:space="preserve">The </w:t>
      </w:r>
      <w:r w:rsidR="00965EBD" w:rsidRPr="00217EA0">
        <w:t>ESCs</w:t>
      </w:r>
      <w:r w:rsidR="00817DFD" w:rsidRPr="00217EA0">
        <w:t xml:space="preserve"> considered that g</w:t>
      </w:r>
      <w:r w:rsidRPr="00217EA0">
        <w:t>iven the known toxicity of FOLFOX treatment, a claim of superiority may be plausible but remain</w:t>
      </w:r>
      <w:r w:rsidR="00673173" w:rsidRPr="00217EA0">
        <w:t>ed</w:t>
      </w:r>
      <w:r w:rsidRPr="00217EA0">
        <w:t xml:space="preserve"> unsupported in the submission.</w:t>
      </w:r>
      <w:r w:rsidR="00D73D56" w:rsidRPr="00217EA0">
        <w:t xml:space="preserve"> </w:t>
      </w:r>
      <w:r w:rsidR="00BA4E3A" w:rsidRPr="00217EA0">
        <w:t xml:space="preserve"> </w:t>
      </w:r>
    </w:p>
    <w:p w14:paraId="68C471A9" w14:textId="324A2EDB" w:rsidR="00D727DD" w:rsidRPr="00217EA0" w:rsidRDefault="00D727DD" w:rsidP="2914E55D">
      <w:pPr>
        <w:pStyle w:val="ListParagraph"/>
        <w:rPr>
          <w:color w:val="auto"/>
        </w:rPr>
      </w:pPr>
      <w:r w:rsidRPr="00217EA0">
        <w:rPr>
          <w:color w:val="auto"/>
        </w:rPr>
        <w:t>The</w:t>
      </w:r>
      <w:r w:rsidR="006003AA" w:rsidRPr="00217EA0">
        <w:rPr>
          <w:color w:val="auto"/>
        </w:rPr>
        <w:t xml:space="preserve"> evaluation </w:t>
      </w:r>
      <w:r w:rsidR="00245BCD" w:rsidRPr="00217EA0">
        <w:rPr>
          <w:color w:val="auto"/>
        </w:rPr>
        <w:t xml:space="preserve">and the ESCs </w:t>
      </w:r>
      <w:r w:rsidR="006003AA" w:rsidRPr="00217EA0">
        <w:rPr>
          <w:color w:val="auto"/>
        </w:rPr>
        <w:t>consider</w:t>
      </w:r>
      <w:r w:rsidR="00BA4E3A" w:rsidRPr="00217EA0">
        <w:rPr>
          <w:color w:val="auto"/>
        </w:rPr>
        <w:t>ed</w:t>
      </w:r>
      <w:r w:rsidR="006003AA" w:rsidRPr="00217EA0">
        <w:rPr>
          <w:color w:val="auto"/>
        </w:rPr>
        <w:t xml:space="preserve"> that the</w:t>
      </w:r>
      <w:r w:rsidRPr="00217EA0">
        <w:rPr>
          <w:color w:val="auto"/>
        </w:rPr>
        <w:t xml:space="preserve"> submission’s claim of superior efficacy versus ASC generally ha</w:t>
      </w:r>
      <w:r w:rsidR="00AF1405" w:rsidRPr="00217EA0">
        <w:rPr>
          <w:color w:val="auto"/>
        </w:rPr>
        <w:t>d</w:t>
      </w:r>
      <w:r w:rsidRPr="00217EA0">
        <w:rPr>
          <w:color w:val="auto"/>
        </w:rPr>
        <w:t xml:space="preserve"> the same limitations as that versus FOLFOX. </w:t>
      </w:r>
      <w:r w:rsidR="009E294C" w:rsidRPr="00217EA0">
        <w:rPr>
          <w:color w:val="auto"/>
        </w:rPr>
        <w:t>The evaluation considered that l</w:t>
      </w:r>
      <w:r w:rsidRPr="00217EA0">
        <w:rPr>
          <w:color w:val="auto"/>
        </w:rPr>
        <w:t xml:space="preserve">ogically, given the improved outcomes associated with the addition of FOLFOX to ASC in ABC-06, the benefit of </w:t>
      </w:r>
      <w:proofErr w:type="spellStart"/>
      <w:r w:rsidRPr="00217EA0">
        <w:rPr>
          <w:color w:val="auto"/>
        </w:rPr>
        <w:t>futibatinib</w:t>
      </w:r>
      <w:proofErr w:type="spellEnd"/>
      <w:r w:rsidRPr="00217EA0">
        <w:rPr>
          <w:color w:val="auto"/>
        </w:rPr>
        <w:t xml:space="preserve"> versus ASC </w:t>
      </w:r>
      <w:r w:rsidR="00AF1AEA" w:rsidRPr="00217EA0">
        <w:rPr>
          <w:color w:val="auto"/>
        </w:rPr>
        <w:t xml:space="preserve">should be greater than </w:t>
      </w:r>
      <w:proofErr w:type="spellStart"/>
      <w:r w:rsidR="00AF1AEA" w:rsidRPr="00217EA0">
        <w:rPr>
          <w:color w:val="auto"/>
        </w:rPr>
        <w:t>futibatinib</w:t>
      </w:r>
      <w:proofErr w:type="spellEnd"/>
      <w:r w:rsidR="00AF1AEA" w:rsidRPr="00217EA0">
        <w:rPr>
          <w:color w:val="auto"/>
        </w:rPr>
        <w:t xml:space="preserve"> compared to FOLFOX</w:t>
      </w:r>
      <w:r w:rsidRPr="00217EA0">
        <w:rPr>
          <w:color w:val="auto"/>
        </w:rPr>
        <w:t xml:space="preserve">. However, the claim of superior efficacy was only based on OS, and not PFS or ORR. </w:t>
      </w:r>
    </w:p>
    <w:p w14:paraId="2AEE6F81" w14:textId="6E7CB558" w:rsidR="008C3D0F" w:rsidRPr="00376B91" w:rsidRDefault="00D727DD" w:rsidP="2914E55D">
      <w:pPr>
        <w:pStyle w:val="ListParagraph"/>
        <w:rPr>
          <w:color w:val="auto"/>
        </w:rPr>
      </w:pPr>
      <w:r w:rsidRPr="00217EA0">
        <w:rPr>
          <w:color w:val="auto"/>
        </w:rPr>
        <w:t xml:space="preserve">In terms of safety, </w:t>
      </w:r>
      <w:r w:rsidR="00254F0B" w:rsidRPr="00217EA0">
        <w:rPr>
          <w:color w:val="auto"/>
        </w:rPr>
        <w:t>t</w:t>
      </w:r>
      <w:r w:rsidR="002E2522" w:rsidRPr="00217EA0">
        <w:rPr>
          <w:color w:val="auto"/>
        </w:rPr>
        <w:t>he evaluation consider</w:t>
      </w:r>
      <w:r w:rsidR="008002B1" w:rsidRPr="00217EA0">
        <w:rPr>
          <w:color w:val="auto"/>
        </w:rPr>
        <w:t>ed</w:t>
      </w:r>
      <w:r w:rsidR="002E2522" w:rsidRPr="00217EA0">
        <w:rPr>
          <w:color w:val="auto"/>
        </w:rPr>
        <w:t xml:space="preserve"> that </w:t>
      </w:r>
      <w:r w:rsidRPr="00217EA0">
        <w:rPr>
          <w:color w:val="auto"/>
        </w:rPr>
        <w:t xml:space="preserve">a claim of inferior (but manageable) safety versus ASC would be appropriate given the risk of hyperphosphatemia, nail toxicities and eye toxicities with </w:t>
      </w:r>
      <w:proofErr w:type="spellStart"/>
      <w:r w:rsidRPr="00217EA0">
        <w:rPr>
          <w:color w:val="auto"/>
        </w:rPr>
        <w:t>futibatinib</w:t>
      </w:r>
      <w:proofErr w:type="spellEnd"/>
      <w:r w:rsidRPr="00217EA0">
        <w:rPr>
          <w:color w:val="auto"/>
        </w:rPr>
        <w:t xml:space="preserve"> </w:t>
      </w:r>
      <w:r w:rsidRPr="00520D5D">
        <w:rPr>
          <w:color w:val="auto"/>
        </w:rPr>
        <w:t xml:space="preserve">treatment. </w:t>
      </w:r>
      <w:r w:rsidR="00245BCD" w:rsidRPr="00520D5D">
        <w:rPr>
          <w:color w:val="auto"/>
        </w:rPr>
        <w:t xml:space="preserve">The ESCs considered a claim of </w:t>
      </w:r>
      <w:r w:rsidR="00970758" w:rsidRPr="00520D5D">
        <w:rPr>
          <w:color w:val="auto"/>
        </w:rPr>
        <w:t xml:space="preserve">inferior but </w:t>
      </w:r>
      <w:r w:rsidR="00970758" w:rsidRPr="00376B91">
        <w:rPr>
          <w:color w:val="auto"/>
        </w:rPr>
        <w:t xml:space="preserve">manageable safety compared to ASC was reasonable.  </w:t>
      </w:r>
    </w:p>
    <w:p w14:paraId="17FD0983" w14:textId="62F55BCE" w:rsidR="00223B03" w:rsidRPr="00E36446" w:rsidRDefault="00223B03">
      <w:pPr>
        <w:pStyle w:val="ListParagraph"/>
      </w:pPr>
      <w:bookmarkStart w:id="69" w:name="_Hlk76376200"/>
      <w:r w:rsidRPr="00376B91">
        <w:rPr>
          <w:color w:val="auto"/>
        </w:rPr>
        <w:t>The PBAC considered that the claim of superior comparative effectiveness was reasonable</w:t>
      </w:r>
      <w:r w:rsidR="00B645FD" w:rsidRPr="00376B91">
        <w:rPr>
          <w:color w:val="auto"/>
        </w:rPr>
        <w:t xml:space="preserve">; however </w:t>
      </w:r>
      <w:r w:rsidR="00EB5D00" w:rsidRPr="00376B91">
        <w:rPr>
          <w:color w:val="auto"/>
        </w:rPr>
        <w:t xml:space="preserve">that the </w:t>
      </w:r>
      <w:r w:rsidR="00EB5D00" w:rsidRPr="00EB5D00">
        <w:rPr>
          <w:color w:val="auto"/>
        </w:rPr>
        <w:t xml:space="preserve">magnitude </w:t>
      </w:r>
      <w:r w:rsidR="00EB5D00" w:rsidRPr="00376B91">
        <w:rPr>
          <w:color w:val="auto"/>
        </w:rPr>
        <w:t xml:space="preserve">of effect is </w:t>
      </w:r>
      <w:r w:rsidR="00EB5D00" w:rsidRPr="00EB5D00">
        <w:rPr>
          <w:color w:val="auto"/>
        </w:rPr>
        <w:t>highly uncertain and likely overestimated due to</w:t>
      </w:r>
      <w:r w:rsidR="00EB5D00" w:rsidRPr="00376B91">
        <w:rPr>
          <w:color w:val="auto"/>
        </w:rPr>
        <w:t xml:space="preserve"> </w:t>
      </w:r>
      <w:r w:rsidR="00EB5D00" w:rsidRPr="00EB5D00">
        <w:rPr>
          <w:color w:val="auto"/>
        </w:rPr>
        <w:t xml:space="preserve">differences in baseline characteristics (tumour site, </w:t>
      </w:r>
      <w:r w:rsidR="003E5C46" w:rsidRPr="003E5C46">
        <w:rPr>
          <w:i/>
          <w:iCs/>
          <w:color w:val="auto"/>
        </w:rPr>
        <w:t>FGFR2</w:t>
      </w:r>
      <w:r w:rsidR="00EB5D00" w:rsidRPr="00EB5D00">
        <w:rPr>
          <w:color w:val="auto"/>
        </w:rPr>
        <w:t xml:space="preserve"> status)</w:t>
      </w:r>
      <w:r w:rsidR="00C42169" w:rsidRPr="00376B91">
        <w:rPr>
          <w:color w:val="auto"/>
        </w:rPr>
        <w:t xml:space="preserve">, </w:t>
      </w:r>
      <w:r w:rsidR="00EB5D00" w:rsidRPr="00EB5D00">
        <w:rPr>
          <w:color w:val="auto"/>
        </w:rPr>
        <w:t xml:space="preserve">less favourable HR in other indirect </w:t>
      </w:r>
      <w:r w:rsidR="00EB5D00" w:rsidRPr="00E36446">
        <w:rPr>
          <w:color w:val="auto"/>
        </w:rPr>
        <w:t>comparisons</w:t>
      </w:r>
      <w:r w:rsidR="00C42169" w:rsidRPr="00E36446">
        <w:rPr>
          <w:color w:val="auto"/>
        </w:rPr>
        <w:t xml:space="preserve">, and the </w:t>
      </w:r>
      <w:r w:rsidR="00EB5D00" w:rsidRPr="00E36446">
        <w:rPr>
          <w:color w:val="auto"/>
        </w:rPr>
        <w:t>unanchored MAIC</w:t>
      </w:r>
      <w:r w:rsidR="00C42169" w:rsidRPr="00E36446">
        <w:rPr>
          <w:color w:val="auto"/>
        </w:rPr>
        <w:t xml:space="preserve">. </w:t>
      </w:r>
    </w:p>
    <w:p w14:paraId="0BB41E5A" w14:textId="37A1362E" w:rsidR="00223B03" w:rsidRPr="00E36446" w:rsidRDefault="00223B03" w:rsidP="00223B03">
      <w:pPr>
        <w:pStyle w:val="ListParagraph"/>
        <w:rPr>
          <w:color w:val="auto"/>
        </w:rPr>
      </w:pPr>
      <w:r w:rsidRPr="00E36446">
        <w:rPr>
          <w:color w:val="auto"/>
        </w:rPr>
        <w:t>The PBAC considered that the claim of superior comparative safety was not adequately supported by the data</w:t>
      </w:r>
      <w:r w:rsidR="00C42169" w:rsidRPr="00E36446">
        <w:rPr>
          <w:color w:val="auto"/>
        </w:rPr>
        <w:t xml:space="preserve">, but </w:t>
      </w:r>
      <w:r w:rsidR="00B24819" w:rsidRPr="00E36446">
        <w:rPr>
          <w:color w:val="auto"/>
        </w:rPr>
        <w:t xml:space="preserve">that </w:t>
      </w:r>
      <w:r w:rsidR="00B25302" w:rsidRPr="00E36446">
        <w:rPr>
          <w:color w:val="auto"/>
        </w:rPr>
        <w:t>it is theoretically plausible</w:t>
      </w:r>
      <w:r w:rsidRPr="00E36446">
        <w:rPr>
          <w:color w:val="auto"/>
        </w:rPr>
        <w:t>.</w:t>
      </w:r>
      <w:bookmarkEnd w:id="69"/>
      <w:r w:rsidR="00B25302" w:rsidRPr="00E36446">
        <w:rPr>
          <w:color w:val="auto"/>
        </w:rPr>
        <w:t xml:space="preserve"> The PBAC considered that the claim of inferior comparative safety compared to ASC was reasonable. </w:t>
      </w:r>
    </w:p>
    <w:p w14:paraId="742E318E" w14:textId="15D734D4" w:rsidR="00892C75" w:rsidRPr="00C95CD1" w:rsidRDefault="00551DCF" w:rsidP="00C95CD1">
      <w:pPr>
        <w:pStyle w:val="4-SubsectionHeading"/>
        <w:rPr>
          <w:rFonts w:asciiTheme="minorHAnsi" w:hAnsiTheme="minorHAnsi"/>
          <w:lang w:eastAsia="en-US"/>
        </w:rPr>
      </w:pPr>
      <w:r w:rsidRPr="00C95CD1">
        <w:rPr>
          <w:rFonts w:asciiTheme="minorHAnsi" w:hAnsiTheme="minorHAnsi"/>
          <w:lang w:eastAsia="en-US"/>
        </w:rPr>
        <w:t xml:space="preserve">Claim of </w:t>
      </w:r>
      <w:proofErr w:type="spellStart"/>
      <w:r w:rsidRPr="00C95CD1">
        <w:rPr>
          <w:rFonts w:asciiTheme="minorHAnsi" w:hAnsiTheme="minorHAnsi"/>
          <w:lang w:eastAsia="en-US"/>
        </w:rPr>
        <w:t>codependence</w:t>
      </w:r>
      <w:proofErr w:type="spellEnd"/>
    </w:p>
    <w:p w14:paraId="00663243" w14:textId="2372A4C4" w:rsidR="00A85318" w:rsidRPr="00520D5D" w:rsidRDefault="00A85318" w:rsidP="00A85318">
      <w:pPr>
        <w:pStyle w:val="ListParagraph"/>
        <w:rPr>
          <w:color w:val="auto"/>
        </w:rPr>
      </w:pPr>
      <w:bookmarkStart w:id="70" w:name="_Ref194356721"/>
      <w:r w:rsidRPr="00520D5D">
        <w:rPr>
          <w:color w:val="auto"/>
        </w:rPr>
        <w:t xml:space="preserve">The ESCs agreed with the </w:t>
      </w:r>
      <w:r w:rsidRPr="00520D5D">
        <w:t>evaluation</w:t>
      </w:r>
      <w:r w:rsidRPr="00520D5D">
        <w:rPr>
          <w:color w:val="auto"/>
        </w:rPr>
        <w:t xml:space="preserve"> that the available evidence suggests that the presence of </w:t>
      </w:r>
      <w:r w:rsidR="003E5C46" w:rsidRPr="003E5C46">
        <w:rPr>
          <w:i/>
          <w:iCs/>
          <w:color w:val="auto"/>
        </w:rPr>
        <w:t>FGFR2</w:t>
      </w:r>
      <w:r w:rsidRPr="00520D5D">
        <w:rPr>
          <w:color w:val="auto"/>
        </w:rPr>
        <w:t xml:space="preserve"> alterations improve prognosis, regardless of treatment.</w:t>
      </w:r>
      <w:bookmarkEnd w:id="70"/>
    </w:p>
    <w:p w14:paraId="168033CC" w14:textId="11C631F9" w:rsidR="00A85318" w:rsidRPr="00520D5D" w:rsidRDefault="00A85318" w:rsidP="00A85318">
      <w:pPr>
        <w:pStyle w:val="ListParagraph"/>
      </w:pPr>
      <w:r w:rsidRPr="00520D5D">
        <w:t xml:space="preserve">The ESCs noted that the key trial (FOENIX-CCA2) was restricted to </w:t>
      </w:r>
      <w:proofErr w:type="spellStart"/>
      <w:r w:rsidRPr="00520D5D">
        <w:t>iCCA</w:t>
      </w:r>
      <w:proofErr w:type="spellEnd"/>
      <w:r w:rsidRPr="00520D5D">
        <w:t xml:space="preserve"> patients with </w:t>
      </w:r>
      <w:r w:rsidR="003E5C46" w:rsidRPr="003E5C46">
        <w:rPr>
          <w:i/>
          <w:iCs/>
        </w:rPr>
        <w:t>FGFR2</w:t>
      </w:r>
      <w:r w:rsidRPr="00520D5D">
        <w:t xml:space="preserve"> fusions or rearrangements (i.e. the trial did not include any patients with wild-type </w:t>
      </w:r>
      <w:r w:rsidR="003E5C46" w:rsidRPr="003E5C46">
        <w:rPr>
          <w:i/>
          <w:iCs/>
        </w:rPr>
        <w:t>FGFR2</w:t>
      </w:r>
      <w:r w:rsidRPr="00520D5D">
        <w:t xml:space="preserve">). As such, the ESCs agreed with PASC advice that the claim of </w:t>
      </w:r>
      <w:proofErr w:type="spellStart"/>
      <w:r w:rsidRPr="00520D5D">
        <w:t>codependency</w:t>
      </w:r>
      <w:proofErr w:type="spellEnd"/>
      <w:r w:rsidRPr="00520D5D">
        <w:t xml:space="preserve"> between </w:t>
      </w:r>
      <w:r w:rsidR="003E5C46" w:rsidRPr="003E5C46">
        <w:rPr>
          <w:i/>
          <w:iCs/>
        </w:rPr>
        <w:t>FGFR2</w:t>
      </w:r>
      <w:r w:rsidRPr="00520D5D">
        <w:t xml:space="preserve"> status and </w:t>
      </w:r>
      <w:proofErr w:type="spellStart"/>
      <w:r w:rsidRPr="00520D5D">
        <w:t>futibatinib</w:t>
      </w:r>
      <w:proofErr w:type="spellEnd"/>
      <w:r w:rsidRPr="00520D5D">
        <w:t xml:space="preserve"> was not able to be established based on this key trial. However, the ESCs noted from the applicant’s pre-ESC response that an earlier Phase 1 expansion study for </w:t>
      </w:r>
      <w:proofErr w:type="spellStart"/>
      <w:r w:rsidRPr="00520D5D">
        <w:t>futibatinib</w:t>
      </w:r>
      <w:proofErr w:type="spellEnd"/>
      <w:r w:rsidRPr="00520D5D">
        <w:t xml:space="preserve"> had included a patient population with FGFR wild-type (these patients had some FGF alteration) showed no anti-tumour activity. The ESCs agreed with the applicant that with this available evidence, it is challenging and unethical to trial FGFR inhibitors on a patient population without </w:t>
      </w:r>
      <w:r w:rsidR="003E5C46" w:rsidRPr="003E5C46">
        <w:rPr>
          <w:i/>
          <w:iCs/>
        </w:rPr>
        <w:t>FGFR2</w:t>
      </w:r>
      <w:r w:rsidRPr="00520D5D">
        <w:t xml:space="preserve"> fusions and rearrangements, for whom treatment is unlikely to be effective. The ESCs considered the claim of </w:t>
      </w:r>
      <w:proofErr w:type="spellStart"/>
      <w:r w:rsidRPr="00520D5D">
        <w:t>codependency</w:t>
      </w:r>
      <w:proofErr w:type="spellEnd"/>
      <w:r w:rsidRPr="00520D5D">
        <w:t xml:space="preserve"> reasonable based on the available (albeit limited) information.</w:t>
      </w:r>
    </w:p>
    <w:p w14:paraId="53FCAD00" w14:textId="77777777" w:rsidR="00C317F3" w:rsidRPr="00C95CD1" w:rsidRDefault="00C317F3" w:rsidP="00C95CD1">
      <w:pPr>
        <w:pStyle w:val="4-SubsectionHeading"/>
        <w:rPr>
          <w:rFonts w:asciiTheme="minorHAnsi" w:hAnsiTheme="minorHAnsi"/>
          <w:lang w:eastAsia="en-US"/>
        </w:rPr>
      </w:pPr>
      <w:r w:rsidRPr="00C95CD1">
        <w:rPr>
          <w:rFonts w:asciiTheme="minorHAnsi" w:hAnsiTheme="minorHAnsi"/>
          <w:lang w:eastAsia="en-US"/>
        </w:rPr>
        <w:t>Economic analysis</w:t>
      </w:r>
      <w:bookmarkEnd w:id="68"/>
    </w:p>
    <w:p w14:paraId="3821A4C8" w14:textId="6DBFB61E" w:rsidR="00585158" w:rsidRPr="00217EA0" w:rsidRDefault="00F165A2" w:rsidP="2914E55D">
      <w:pPr>
        <w:pStyle w:val="ListParagraph"/>
        <w:rPr>
          <w:color w:val="auto"/>
        </w:rPr>
      </w:pPr>
      <w:bookmarkStart w:id="71" w:name="_Ref184960281"/>
      <w:bookmarkStart w:id="72" w:name="_Ref190292304"/>
      <w:r w:rsidRPr="00217EA0">
        <w:rPr>
          <w:color w:val="auto"/>
        </w:rPr>
        <w:t xml:space="preserve">The submission presented an economic evaluation based </w:t>
      </w:r>
      <w:r w:rsidR="00DD0E65" w:rsidRPr="00217EA0">
        <w:rPr>
          <w:color w:val="auto"/>
        </w:rPr>
        <w:t xml:space="preserve">on </w:t>
      </w:r>
      <w:r w:rsidRPr="00217EA0">
        <w:rPr>
          <w:color w:val="auto"/>
        </w:rPr>
        <w:t xml:space="preserve">the results of the MAIC described above. </w:t>
      </w:r>
      <w:r w:rsidR="00461B0E" w:rsidRPr="00217EA0">
        <w:rPr>
          <w:color w:val="auto"/>
        </w:rPr>
        <w:t xml:space="preserve">The evaluation </w:t>
      </w:r>
      <w:r w:rsidR="00972562" w:rsidRPr="00217EA0">
        <w:rPr>
          <w:color w:val="auto"/>
        </w:rPr>
        <w:t xml:space="preserve">and the ESCs </w:t>
      </w:r>
      <w:r w:rsidR="00461B0E" w:rsidRPr="00217EA0">
        <w:rPr>
          <w:color w:val="auto"/>
        </w:rPr>
        <w:t>considered that g</w:t>
      </w:r>
      <w:r w:rsidRPr="00217EA0">
        <w:rPr>
          <w:color w:val="auto"/>
        </w:rPr>
        <w:t xml:space="preserve">iven concerns regarding the results of the MAIC, the underlying clinical benefit used to inform the economic evaluation was uncertain. </w:t>
      </w:r>
      <w:r w:rsidR="00FD5BAB" w:rsidRPr="00217EA0">
        <w:rPr>
          <w:color w:val="auto"/>
        </w:rPr>
        <w:t xml:space="preserve">As such, </w:t>
      </w:r>
      <w:r w:rsidR="00461B0E" w:rsidRPr="00217EA0">
        <w:rPr>
          <w:color w:val="auto"/>
        </w:rPr>
        <w:t>the evaluation</w:t>
      </w:r>
      <w:r w:rsidR="00C94165" w:rsidRPr="00217EA0">
        <w:rPr>
          <w:color w:val="auto"/>
        </w:rPr>
        <w:t xml:space="preserve"> </w:t>
      </w:r>
      <w:r w:rsidR="00972562" w:rsidRPr="00217EA0">
        <w:rPr>
          <w:color w:val="auto"/>
        </w:rPr>
        <w:t xml:space="preserve">and the ESCs </w:t>
      </w:r>
      <w:r w:rsidR="00461B0E" w:rsidRPr="00217EA0">
        <w:rPr>
          <w:color w:val="auto"/>
        </w:rPr>
        <w:t xml:space="preserve">considered that </w:t>
      </w:r>
      <w:r w:rsidR="00FD5BAB" w:rsidRPr="00217EA0">
        <w:rPr>
          <w:color w:val="auto"/>
        </w:rPr>
        <w:t xml:space="preserve">the economic model presented was likely not reflective of the true cost effectiveness of </w:t>
      </w:r>
      <w:proofErr w:type="spellStart"/>
      <w:r w:rsidR="00FD5BAB" w:rsidRPr="00217EA0">
        <w:rPr>
          <w:color w:val="auto"/>
        </w:rPr>
        <w:t>futibatinib</w:t>
      </w:r>
      <w:proofErr w:type="spellEnd"/>
      <w:r w:rsidR="00FD5BAB" w:rsidRPr="00217EA0">
        <w:rPr>
          <w:color w:val="auto"/>
        </w:rPr>
        <w:t xml:space="preserve"> and may not be informative for decision making</w:t>
      </w:r>
      <w:r w:rsidR="00C13954" w:rsidRPr="00217EA0">
        <w:rPr>
          <w:color w:val="auto"/>
        </w:rPr>
        <w:t>. T</w:t>
      </w:r>
      <w:r w:rsidR="00B9729D" w:rsidRPr="00217EA0">
        <w:rPr>
          <w:color w:val="auto"/>
        </w:rPr>
        <w:t xml:space="preserve">he PSCR) reiterated </w:t>
      </w:r>
      <w:r w:rsidR="001309CC" w:rsidRPr="00217EA0">
        <w:rPr>
          <w:color w:val="auto"/>
        </w:rPr>
        <w:t xml:space="preserve">the sponsor’s </w:t>
      </w:r>
      <w:r w:rsidR="00262060" w:rsidRPr="00217EA0">
        <w:rPr>
          <w:color w:val="auto"/>
        </w:rPr>
        <w:t xml:space="preserve">consideration that it is </w:t>
      </w:r>
      <w:r w:rsidR="004B10DB" w:rsidRPr="00217EA0">
        <w:rPr>
          <w:color w:val="auto"/>
        </w:rPr>
        <w:t>appropriate and provides a sufficiently robust estimate of magnitude of effect</w:t>
      </w:r>
      <w:r w:rsidR="00FD5BAB" w:rsidRPr="00217EA0">
        <w:rPr>
          <w:color w:val="auto"/>
        </w:rPr>
        <w:t xml:space="preserve">. </w:t>
      </w:r>
      <w:r w:rsidRPr="00217EA0">
        <w:rPr>
          <w:color w:val="auto"/>
        </w:rPr>
        <w:t>The ability to run sensitivity analyses using alternative MAIC results from Paine 2022 or Borad 2022 was not included in the model operability</w:t>
      </w:r>
      <w:r w:rsidR="00042D7B" w:rsidRPr="00217EA0">
        <w:rPr>
          <w:color w:val="auto"/>
        </w:rPr>
        <w:t xml:space="preserve">. </w:t>
      </w:r>
      <w:bookmarkEnd w:id="71"/>
      <w:r w:rsidR="001B00DD" w:rsidRPr="00217EA0">
        <w:t xml:space="preserve">The PSCR </w:t>
      </w:r>
      <w:r w:rsidR="006053F5" w:rsidRPr="00217EA0">
        <w:t xml:space="preserve">acknowledged the lack of flexibility in the model but considered </w:t>
      </w:r>
      <w:r w:rsidR="00860621" w:rsidRPr="00217EA0">
        <w:t xml:space="preserve">it not to be a flaw insofar as it claimed the comparator data from ABC-06 is the best available and to use other results would introduce additional uncertainty and biases against </w:t>
      </w:r>
      <w:proofErr w:type="spellStart"/>
      <w:r w:rsidR="00860621" w:rsidRPr="00217EA0">
        <w:t>futibatinib</w:t>
      </w:r>
      <w:proofErr w:type="spellEnd"/>
      <w:r w:rsidR="00860621" w:rsidRPr="00217EA0">
        <w:t>.</w:t>
      </w:r>
      <w:bookmarkEnd w:id="72"/>
      <w:r w:rsidR="00042D7B" w:rsidRPr="00217EA0">
        <w:t xml:space="preserve"> </w:t>
      </w:r>
      <w:r w:rsidR="00042D7B" w:rsidRPr="00217EA0">
        <w:rPr>
          <w:color w:val="auto"/>
        </w:rPr>
        <w:t xml:space="preserve">The ESCs considered that the more conservative results from Paine 2002 and Borad 2022 are likely more appropriate. </w:t>
      </w:r>
    </w:p>
    <w:p w14:paraId="1DCFB618" w14:textId="3BEAEBA3" w:rsidR="00F165A2" w:rsidRPr="00217EA0" w:rsidRDefault="00F165A2" w:rsidP="2914E55D">
      <w:pPr>
        <w:pStyle w:val="ListParagraph"/>
        <w:rPr>
          <w:color w:val="auto"/>
        </w:rPr>
      </w:pPr>
      <w:r w:rsidRPr="00217EA0">
        <w:rPr>
          <w:color w:val="auto"/>
        </w:rPr>
        <w:t>The type of economic evaluation presented was a cost utility analysis.</w:t>
      </w:r>
      <w:r w:rsidR="000C70DD" w:rsidRPr="00217EA0">
        <w:rPr>
          <w:color w:val="auto"/>
        </w:rPr>
        <w:t xml:space="preserve"> </w:t>
      </w:r>
      <w:r w:rsidR="000C70DD" w:rsidRPr="00217EA0">
        <w:rPr>
          <w:color w:val="auto"/>
        </w:rPr>
        <w:fldChar w:fldCharType="begin"/>
      </w:r>
      <w:r w:rsidR="000C70DD" w:rsidRPr="00217EA0">
        <w:rPr>
          <w:color w:val="auto"/>
        </w:rPr>
        <w:instrText xml:space="preserve"> REF Table_PBAC_18 \h </w:instrText>
      </w:r>
      <w:r w:rsidR="00EC070E" w:rsidRPr="00217EA0">
        <w:rPr>
          <w:color w:val="auto"/>
        </w:rPr>
        <w:instrText xml:space="preserve"> \* MERGEFORMAT </w:instrText>
      </w:r>
      <w:r w:rsidR="000C70DD" w:rsidRPr="00217EA0">
        <w:rPr>
          <w:color w:val="auto"/>
        </w:rPr>
      </w:r>
      <w:r w:rsidR="000C70DD" w:rsidRPr="00217EA0">
        <w:rPr>
          <w:color w:val="auto"/>
        </w:rPr>
        <w:fldChar w:fldCharType="separate"/>
      </w:r>
      <w:r w:rsidR="008378C4" w:rsidRPr="00217EA0">
        <w:t>Table</w:t>
      </w:r>
      <w:r w:rsidR="008378C4">
        <w:t xml:space="preserve"> 18</w:t>
      </w:r>
      <w:r w:rsidR="000C70DD" w:rsidRPr="00217EA0">
        <w:rPr>
          <w:color w:val="auto"/>
        </w:rPr>
        <w:fldChar w:fldCharType="end"/>
      </w:r>
      <w:r w:rsidR="000C70DD" w:rsidRPr="00217EA0">
        <w:rPr>
          <w:color w:val="auto"/>
        </w:rPr>
        <w:t xml:space="preserve"> </w:t>
      </w:r>
      <w:r w:rsidRPr="00217EA0">
        <w:rPr>
          <w:color w:val="auto"/>
        </w:rPr>
        <w:t xml:space="preserve">summarises the key component of the economic evaluation. </w:t>
      </w:r>
    </w:p>
    <w:p w14:paraId="448976A2" w14:textId="63184CED" w:rsidR="00F165A2" w:rsidRPr="00217EA0" w:rsidRDefault="00F165A2" w:rsidP="00FA13F3">
      <w:pPr>
        <w:pStyle w:val="Caption"/>
      </w:pPr>
      <w:bookmarkStart w:id="73" w:name="Table_PBAC_18"/>
      <w:r w:rsidRPr="00217EA0">
        <w:t>Table</w:t>
      </w:r>
      <w:r w:rsidR="00D9094D">
        <w:t xml:space="preserve"> </w:t>
      </w:r>
      <w:r w:rsidR="00E600E3" w:rsidRPr="00217EA0">
        <w:fldChar w:fldCharType="begin"/>
      </w:r>
      <w:r w:rsidR="00E600E3" w:rsidRPr="00217EA0">
        <w:instrText xml:space="preserve"> SEQ Table_PBAC. \* ARABIC </w:instrText>
      </w:r>
      <w:r w:rsidR="00E600E3" w:rsidRPr="00217EA0">
        <w:fldChar w:fldCharType="separate"/>
      </w:r>
      <w:r w:rsidR="008378C4">
        <w:rPr>
          <w:noProof/>
        </w:rPr>
        <w:t>18</w:t>
      </w:r>
      <w:r w:rsidR="00E600E3" w:rsidRPr="00217EA0">
        <w:fldChar w:fldCharType="end"/>
      </w:r>
      <w:bookmarkEnd w:id="73"/>
      <w:r w:rsidR="00F30AE0">
        <w:t xml:space="preserve">: </w:t>
      </w:r>
      <w:r w:rsidRPr="00217EA0">
        <w:t>Key components of the economic evaluation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Caption w:val="Table 18: Key components of the economic evaluation"/>
      </w:tblPr>
      <w:tblGrid>
        <w:gridCol w:w="1555"/>
        <w:gridCol w:w="3685"/>
        <w:gridCol w:w="3827"/>
      </w:tblGrid>
      <w:tr w:rsidR="007900E9" w:rsidRPr="00217EA0" w14:paraId="39C9C6C6" w14:textId="77777777" w:rsidTr="00F30AE0">
        <w:trPr>
          <w:cantSplit/>
          <w:tblHeader/>
        </w:trPr>
        <w:tc>
          <w:tcPr>
            <w:tcW w:w="1555" w:type="dxa"/>
            <w:shd w:val="clear" w:color="auto" w:fill="auto"/>
            <w:vAlign w:val="center"/>
          </w:tcPr>
          <w:p w14:paraId="6898FC5E" w14:textId="02F3BB6E" w:rsidR="00F165A2" w:rsidRPr="00217EA0" w:rsidRDefault="00F165A2" w:rsidP="2914E55D">
            <w:pPr>
              <w:pStyle w:val="TableText"/>
              <w:rPr>
                <w:b/>
                <w:bCs/>
              </w:rPr>
            </w:pPr>
            <w:r w:rsidRPr="00217EA0">
              <w:rPr>
                <w:b/>
                <w:bCs/>
              </w:rPr>
              <w:t xml:space="preserve">Component </w:t>
            </w:r>
          </w:p>
        </w:tc>
        <w:tc>
          <w:tcPr>
            <w:tcW w:w="3685" w:type="dxa"/>
            <w:shd w:val="clear" w:color="auto" w:fill="auto"/>
            <w:vAlign w:val="center"/>
          </w:tcPr>
          <w:p w14:paraId="501681FB" w14:textId="77777777" w:rsidR="00F165A2" w:rsidRPr="00217EA0" w:rsidRDefault="00F165A2" w:rsidP="00FE3A7F">
            <w:pPr>
              <w:pStyle w:val="TableText"/>
              <w:jc w:val="center"/>
              <w:rPr>
                <w:b/>
              </w:rPr>
            </w:pPr>
            <w:r w:rsidRPr="00217EA0">
              <w:rPr>
                <w:b/>
              </w:rPr>
              <w:t>Description</w:t>
            </w:r>
          </w:p>
        </w:tc>
        <w:tc>
          <w:tcPr>
            <w:tcW w:w="3827" w:type="dxa"/>
            <w:vAlign w:val="center"/>
          </w:tcPr>
          <w:p w14:paraId="0A85603D" w14:textId="77777777" w:rsidR="00F165A2" w:rsidRPr="00217EA0" w:rsidRDefault="00F165A2" w:rsidP="00FE3A7F">
            <w:pPr>
              <w:pStyle w:val="TableText"/>
              <w:jc w:val="center"/>
              <w:rPr>
                <w:b/>
              </w:rPr>
            </w:pPr>
            <w:r w:rsidRPr="00217EA0">
              <w:rPr>
                <w:b/>
              </w:rPr>
              <w:t>Justification/comments</w:t>
            </w:r>
          </w:p>
        </w:tc>
      </w:tr>
      <w:tr w:rsidR="007900E9" w:rsidRPr="00217EA0" w14:paraId="3FAFC04F" w14:textId="77777777" w:rsidTr="00F30AE0">
        <w:trPr>
          <w:cantSplit/>
        </w:trPr>
        <w:tc>
          <w:tcPr>
            <w:tcW w:w="1555" w:type="dxa"/>
            <w:shd w:val="clear" w:color="auto" w:fill="auto"/>
            <w:vAlign w:val="center"/>
          </w:tcPr>
          <w:p w14:paraId="0CDB5FC4" w14:textId="77777777" w:rsidR="00F165A2" w:rsidRPr="00217EA0" w:rsidRDefault="00F165A2" w:rsidP="00FE3A7F">
            <w:pPr>
              <w:pStyle w:val="TableText"/>
            </w:pPr>
            <w:r w:rsidRPr="00217EA0">
              <w:t>Comparison modelled</w:t>
            </w:r>
          </w:p>
        </w:tc>
        <w:tc>
          <w:tcPr>
            <w:tcW w:w="3685" w:type="dxa"/>
            <w:shd w:val="clear" w:color="auto" w:fill="auto"/>
            <w:vAlign w:val="center"/>
          </w:tcPr>
          <w:p w14:paraId="56F5A0C4" w14:textId="315C157E" w:rsidR="00F165A2" w:rsidRPr="00217EA0" w:rsidRDefault="00F165A2" w:rsidP="2914E55D">
            <w:pPr>
              <w:pStyle w:val="TableText"/>
              <w:rPr>
                <w:rFonts w:cs="Courier New"/>
              </w:rPr>
            </w:pPr>
            <w:proofErr w:type="spellStart"/>
            <w:r w:rsidRPr="00217EA0">
              <w:t>Futibatinib</w:t>
            </w:r>
            <w:proofErr w:type="spellEnd"/>
            <w:r w:rsidRPr="00217EA0">
              <w:t xml:space="preserve"> 20mg versus FOLFOX chemotherapy</w:t>
            </w:r>
            <w:r w:rsidR="00861608" w:rsidRPr="00217EA0">
              <w:t xml:space="preserve"> </w:t>
            </w:r>
            <w:r w:rsidR="00861608" w:rsidRPr="00217EA0">
              <w:rPr>
                <w:vertAlign w:val="superscript"/>
              </w:rPr>
              <w:t>a</w:t>
            </w:r>
            <w:r w:rsidRPr="00217EA0">
              <w:t xml:space="preserve"> every 14 days for up to 12 cycles</w:t>
            </w:r>
          </w:p>
        </w:tc>
        <w:tc>
          <w:tcPr>
            <w:tcW w:w="3827" w:type="dxa"/>
            <w:vAlign w:val="center"/>
          </w:tcPr>
          <w:p w14:paraId="282572BF" w14:textId="134D5EE8" w:rsidR="00F165A2" w:rsidRPr="00217EA0" w:rsidRDefault="00A610B1" w:rsidP="00FE3A7F">
            <w:pPr>
              <w:pStyle w:val="TableText"/>
            </w:pPr>
            <w:r w:rsidRPr="00217EA0">
              <w:t xml:space="preserve">Noting </w:t>
            </w:r>
            <w:r w:rsidR="00F165A2" w:rsidRPr="00217EA0">
              <w:t xml:space="preserve">that ASC was also an appropriate comparator in the </w:t>
            </w:r>
            <w:proofErr w:type="spellStart"/>
            <w:r w:rsidR="00F165A2" w:rsidRPr="00217EA0">
              <w:t>ivosidenib</w:t>
            </w:r>
            <w:proofErr w:type="spellEnd"/>
            <w:r w:rsidR="00F165A2" w:rsidRPr="00217EA0">
              <w:t xml:space="preserve"> submission for CCA, it was unclear if assuming 100% FOLFOX comparator was reasonable. </w:t>
            </w:r>
          </w:p>
        </w:tc>
      </w:tr>
      <w:tr w:rsidR="007900E9" w:rsidRPr="00217EA0" w14:paraId="46D11D19" w14:textId="77777777" w:rsidTr="00F30AE0">
        <w:trPr>
          <w:cantSplit/>
        </w:trPr>
        <w:tc>
          <w:tcPr>
            <w:tcW w:w="1555" w:type="dxa"/>
            <w:shd w:val="clear" w:color="auto" w:fill="auto"/>
            <w:vAlign w:val="center"/>
          </w:tcPr>
          <w:p w14:paraId="54717602" w14:textId="77777777" w:rsidR="00F165A2" w:rsidRPr="00217EA0" w:rsidRDefault="00F165A2" w:rsidP="00FE3A7F">
            <w:pPr>
              <w:pStyle w:val="TableText"/>
              <w:rPr>
                <w:rFonts w:ascii="Times" w:eastAsia="Times New Roman" w:hAnsi="Times" w:cs="Times New Roman"/>
                <w:szCs w:val="20"/>
              </w:rPr>
            </w:pPr>
            <w:r w:rsidRPr="00217EA0">
              <w:t>Outcomes</w:t>
            </w:r>
          </w:p>
        </w:tc>
        <w:tc>
          <w:tcPr>
            <w:tcW w:w="3685" w:type="dxa"/>
            <w:shd w:val="clear" w:color="auto" w:fill="auto"/>
            <w:vAlign w:val="center"/>
          </w:tcPr>
          <w:p w14:paraId="1FC9065E" w14:textId="77777777" w:rsidR="00F165A2" w:rsidRPr="00217EA0" w:rsidRDefault="00F165A2" w:rsidP="00FE3A7F">
            <w:pPr>
              <w:pStyle w:val="TableText"/>
              <w:rPr>
                <w:rFonts w:ascii="Times" w:eastAsia="Times New Roman" w:hAnsi="Times" w:cs="Times New Roman"/>
                <w:szCs w:val="20"/>
              </w:rPr>
            </w:pPr>
            <w:r w:rsidRPr="00217EA0">
              <w:t>LYG, QALY</w:t>
            </w:r>
          </w:p>
        </w:tc>
        <w:tc>
          <w:tcPr>
            <w:tcW w:w="3827" w:type="dxa"/>
            <w:vAlign w:val="center"/>
          </w:tcPr>
          <w:p w14:paraId="7E05FD3E" w14:textId="2A7B1043" w:rsidR="00F165A2" w:rsidRPr="00217EA0" w:rsidRDefault="00F165A2" w:rsidP="00FE3A7F">
            <w:pPr>
              <w:pStyle w:val="TableText"/>
            </w:pPr>
          </w:p>
        </w:tc>
      </w:tr>
      <w:tr w:rsidR="007900E9" w:rsidRPr="00217EA0" w14:paraId="12BD9E52" w14:textId="77777777" w:rsidTr="00F30AE0">
        <w:trPr>
          <w:cantSplit/>
        </w:trPr>
        <w:tc>
          <w:tcPr>
            <w:tcW w:w="1555" w:type="dxa"/>
            <w:shd w:val="clear" w:color="auto" w:fill="auto"/>
            <w:vAlign w:val="center"/>
          </w:tcPr>
          <w:p w14:paraId="5F561F5F" w14:textId="77777777" w:rsidR="00F165A2" w:rsidRPr="00217EA0" w:rsidRDefault="00F165A2" w:rsidP="00FE3A7F">
            <w:pPr>
              <w:pStyle w:val="TableText"/>
              <w:rPr>
                <w:rFonts w:ascii="Times" w:eastAsia="Times New Roman" w:hAnsi="Times" w:cs="Times New Roman"/>
                <w:szCs w:val="20"/>
              </w:rPr>
            </w:pPr>
            <w:r w:rsidRPr="00217EA0">
              <w:t>Time horizon</w:t>
            </w:r>
          </w:p>
        </w:tc>
        <w:tc>
          <w:tcPr>
            <w:tcW w:w="3685" w:type="dxa"/>
            <w:shd w:val="clear" w:color="auto" w:fill="auto"/>
            <w:vAlign w:val="center"/>
          </w:tcPr>
          <w:p w14:paraId="05FE70CF" w14:textId="2D25C0EE" w:rsidR="00F165A2" w:rsidRPr="00217EA0" w:rsidRDefault="00F165A2" w:rsidP="00FE3A7F">
            <w:pPr>
              <w:pStyle w:val="TableText"/>
              <w:rPr>
                <w:rFonts w:ascii="Times" w:eastAsia="Times New Roman" w:hAnsi="Times" w:cs="Times New Roman"/>
                <w:szCs w:val="20"/>
              </w:rPr>
            </w:pPr>
            <w:r w:rsidRPr="00217EA0">
              <w:t xml:space="preserve">10 years versus </w:t>
            </w:r>
            <w:r w:rsidR="00115EB4" w:rsidRPr="00217EA0">
              <w:t xml:space="preserve">median follow-up of </w:t>
            </w:r>
            <w:r w:rsidR="005E55F2" w:rsidRPr="00217EA0">
              <w:t>25.0 months at final data cut off</w:t>
            </w:r>
            <w:r w:rsidRPr="00217EA0">
              <w:t xml:space="preserve"> in FOENIX-CCA2</w:t>
            </w:r>
          </w:p>
        </w:tc>
        <w:tc>
          <w:tcPr>
            <w:tcW w:w="3827" w:type="dxa"/>
            <w:vAlign w:val="center"/>
          </w:tcPr>
          <w:p w14:paraId="0D3A5AE4" w14:textId="2D1BF437" w:rsidR="00F165A2" w:rsidRPr="00217EA0" w:rsidRDefault="00A610B1" w:rsidP="00FE3A7F">
            <w:pPr>
              <w:pStyle w:val="TableText"/>
            </w:pPr>
            <w:r w:rsidRPr="00217EA0">
              <w:t xml:space="preserve">May </w:t>
            </w:r>
            <w:r w:rsidR="00F165A2" w:rsidRPr="00217EA0">
              <w:t xml:space="preserve">be too optimistic, </w:t>
            </w:r>
            <w:r w:rsidR="00F84239" w:rsidRPr="00217EA0">
              <w:t xml:space="preserve">as </w:t>
            </w:r>
            <w:r w:rsidR="00F165A2" w:rsidRPr="00217EA0">
              <w:t xml:space="preserve">in its consideration of </w:t>
            </w:r>
            <w:proofErr w:type="spellStart"/>
            <w:r w:rsidR="00F165A2" w:rsidRPr="00217EA0">
              <w:t>ivosidenib</w:t>
            </w:r>
            <w:proofErr w:type="spellEnd"/>
            <w:r w:rsidR="00F165A2" w:rsidRPr="00217EA0">
              <w:t xml:space="preserve"> for CCA, the PBAC had requested a re-specification to a </w:t>
            </w:r>
            <w:r w:rsidR="00372382" w:rsidRPr="00217EA0">
              <w:t>5-year</w:t>
            </w:r>
            <w:r w:rsidR="00F165A2" w:rsidRPr="00217EA0">
              <w:t xml:space="preserve"> time horizon</w:t>
            </w:r>
            <w:r w:rsidR="00F85F33" w:rsidRPr="00217EA0">
              <w:t>. The ESC noted</w:t>
            </w:r>
            <w:r w:rsidR="00F50CE6" w:rsidRPr="00217EA0">
              <w:t xml:space="preserve"> the median OS was 20 months in FOENIX-CCA2</w:t>
            </w:r>
            <w:r w:rsidR="00F165A2" w:rsidRPr="00217EA0">
              <w:t>.</w:t>
            </w:r>
          </w:p>
        </w:tc>
      </w:tr>
      <w:tr w:rsidR="007900E9" w:rsidRPr="00217EA0" w14:paraId="0A63D262" w14:textId="77777777" w:rsidTr="00F30AE0">
        <w:trPr>
          <w:cantSplit/>
        </w:trPr>
        <w:tc>
          <w:tcPr>
            <w:tcW w:w="1555" w:type="dxa"/>
            <w:shd w:val="clear" w:color="auto" w:fill="auto"/>
            <w:vAlign w:val="center"/>
          </w:tcPr>
          <w:p w14:paraId="0F6F59D4" w14:textId="77777777" w:rsidR="00F165A2" w:rsidRPr="00217EA0" w:rsidRDefault="00F165A2" w:rsidP="00FE3A7F">
            <w:pPr>
              <w:pStyle w:val="TableText"/>
              <w:rPr>
                <w:rFonts w:ascii="Times" w:eastAsia="Times New Roman" w:hAnsi="Times" w:cs="Times New Roman"/>
                <w:szCs w:val="20"/>
              </w:rPr>
            </w:pPr>
            <w:r w:rsidRPr="00217EA0">
              <w:t>Methods used to generate results</w:t>
            </w:r>
          </w:p>
        </w:tc>
        <w:tc>
          <w:tcPr>
            <w:tcW w:w="3685" w:type="dxa"/>
            <w:shd w:val="clear" w:color="auto" w:fill="auto"/>
            <w:vAlign w:val="center"/>
          </w:tcPr>
          <w:p w14:paraId="3DD5C9AC" w14:textId="77777777" w:rsidR="00F165A2" w:rsidRPr="00217EA0" w:rsidRDefault="00F165A2" w:rsidP="00FE3A7F">
            <w:pPr>
              <w:pStyle w:val="TableText"/>
              <w:rPr>
                <w:rFonts w:ascii="Times" w:eastAsia="Times New Roman" w:hAnsi="Times" w:cs="Times New Roman"/>
                <w:szCs w:val="20"/>
              </w:rPr>
            </w:pPr>
            <w:r w:rsidRPr="00217EA0">
              <w:t>Partitioned survival analysis</w:t>
            </w:r>
          </w:p>
        </w:tc>
        <w:tc>
          <w:tcPr>
            <w:tcW w:w="3827" w:type="dxa"/>
            <w:vAlign w:val="center"/>
          </w:tcPr>
          <w:p w14:paraId="4DA6930A" w14:textId="45F8F337" w:rsidR="00F165A2" w:rsidRPr="00217EA0" w:rsidRDefault="00F165A2" w:rsidP="00FE3A7F">
            <w:pPr>
              <w:pStyle w:val="TableText"/>
            </w:pPr>
          </w:p>
        </w:tc>
      </w:tr>
      <w:tr w:rsidR="007900E9" w:rsidRPr="00217EA0" w14:paraId="11FE31AD" w14:textId="77777777" w:rsidTr="00F30AE0">
        <w:trPr>
          <w:cantSplit/>
        </w:trPr>
        <w:tc>
          <w:tcPr>
            <w:tcW w:w="1555" w:type="dxa"/>
            <w:shd w:val="clear" w:color="auto" w:fill="auto"/>
            <w:vAlign w:val="center"/>
          </w:tcPr>
          <w:p w14:paraId="328AB4B9" w14:textId="77777777" w:rsidR="00F165A2" w:rsidRPr="00217EA0" w:rsidRDefault="00F165A2" w:rsidP="00FE3A7F">
            <w:pPr>
              <w:pStyle w:val="TableText"/>
              <w:rPr>
                <w:rFonts w:ascii="Times" w:eastAsia="Times New Roman" w:hAnsi="Times" w:cs="Times New Roman"/>
                <w:szCs w:val="20"/>
              </w:rPr>
            </w:pPr>
            <w:r w:rsidRPr="00217EA0">
              <w:t>Health states</w:t>
            </w:r>
          </w:p>
        </w:tc>
        <w:tc>
          <w:tcPr>
            <w:tcW w:w="3685" w:type="dxa"/>
            <w:shd w:val="clear" w:color="auto" w:fill="auto"/>
            <w:vAlign w:val="center"/>
          </w:tcPr>
          <w:p w14:paraId="0E43DCC0" w14:textId="681CBF76" w:rsidR="00F165A2" w:rsidRPr="00217EA0" w:rsidRDefault="00F165A2" w:rsidP="00FE3A7F">
            <w:pPr>
              <w:pStyle w:val="TableText"/>
              <w:rPr>
                <w:rFonts w:ascii="Times" w:eastAsia="Times New Roman" w:hAnsi="Times" w:cs="Times New Roman"/>
                <w:szCs w:val="20"/>
              </w:rPr>
            </w:pPr>
            <w:r w:rsidRPr="00217EA0">
              <w:t xml:space="preserve">PFS, </w:t>
            </w:r>
            <w:r w:rsidR="00372382" w:rsidRPr="00217EA0">
              <w:t>PD,</w:t>
            </w:r>
            <w:r w:rsidRPr="00217EA0">
              <w:t xml:space="preserve"> death</w:t>
            </w:r>
          </w:p>
        </w:tc>
        <w:tc>
          <w:tcPr>
            <w:tcW w:w="3827" w:type="dxa"/>
            <w:vAlign w:val="center"/>
          </w:tcPr>
          <w:p w14:paraId="5C78666C" w14:textId="1113357B" w:rsidR="00F165A2" w:rsidRPr="00217EA0" w:rsidRDefault="00F165A2" w:rsidP="00FE3A7F">
            <w:pPr>
              <w:pStyle w:val="TableText"/>
            </w:pPr>
          </w:p>
        </w:tc>
      </w:tr>
      <w:tr w:rsidR="007900E9" w:rsidRPr="00217EA0" w14:paraId="70F87233" w14:textId="77777777" w:rsidTr="00F30AE0">
        <w:trPr>
          <w:cantSplit/>
        </w:trPr>
        <w:tc>
          <w:tcPr>
            <w:tcW w:w="1555" w:type="dxa"/>
            <w:shd w:val="clear" w:color="auto" w:fill="auto"/>
            <w:vAlign w:val="center"/>
          </w:tcPr>
          <w:p w14:paraId="5FC477A9" w14:textId="77777777" w:rsidR="00F165A2" w:rsidRPr="00217EA0" w:rsidRDefault="00F165A2" w:rsidP="00FE3A7F">
            <w:pPr>
              <w:pStyle w:val="TableText"/>
              <w:rPr>
                <w:rFonts w:ascii="Times" w:eastAsia="Times New Roman" w:hAnsi="Times" w:cs="Times New Roman"/>
                <w:szCs w:val="20"/>
              </w:rPr>
            </w:pPr>
            <w:r w:rsidRPr="00217EA0">
              <w:t>Cycle length</w:t>
            </w:r>
          </w:p>
        </w:tc>
        <w:tc>
          <w:tcPr>
            <w:tcW w:w="3685" w:type="dxa"/>
            <w:shd w:val="clear" w:color="auto" w:fill="auto"/>
            <w:vAlign w:val="center"/>
          </w:tcPr>
          <w:p w14:paraId="0F2F88FB" w14:textId="756F1675" w:rsidR="00F165A2" w:rsidRPr="00217EA0" w:rsidRDefault="00F165A2" w:rsidP="00FE3A7F">
            <w:pPr>
              <w:pStyle w:val="TableText"/>
              <w:rPr>
                <w:rFonts w:ascii="Times" w:eastAsia="Times New Roman" w:hAnsi="Times" w:cs="Times New Roman"/>
                <w:szCs w:val="20"/>
              </w:rPr>
            </w:pPr>
            <w:r w:rsidRPr="00217EA0">
              <w:t>21 days (half cycle correction applied)</w:t>
            </w:r>
          </w:p>
        </w:tc>
        <w:tc>
          <w:tcPr>
            <w:tcW w:w="3827" w:type="dxa"/>
            <w:vAlign w:val="center"/>
          </w:tcPr>
          <w:p w14:paraId="2DA6BEF4" w14:textId="0C44D6F2" w:rsidR="00F165A2" w:rsidRPr="00217EA0" w:rsidRDefault="00F165A2" w:rsidP="00FE3A7F">
            <w:pPr>
              <w:pStyle w:val="TableText"/>
            </w:pPr>
            <w:r w:rsidRPr="00217EA0">
              <w:t>There was an error in the application of the half cycle correction, which led to the overestimation of patient flow probabilities which was relied upon to inform the number of patients in each health state.</w:t>
            </w:r>
          </w:p>
        </w:tc>
      </w:tr>
      <w:tr w:rsidR="007900E9" w:rsidRPr="00217EA0" w14:paraId="2C03637F" w14:textId="77777777" w:rsidTr="00F30AE0">
        <w:trPr>
          <w:cantSplit/>
        </w:trPr>
        <w:tc>
          <w:tcPr>
            <w:tcW w:w="1555" w:type="dxa"/>
            <w:shd w:val="clear" w:color="auto" w:fill="auto"/>
            <w:vAlign w:val="center"/>
          </w:tcPr>
          <w:p w14:paraId="06420D63" w14:textId="77777777" w:rsidR="00F165A2" w:rsidRPr="00217EA0" w:rsidRDefault="00F165A2" w:rsidP="00FE3A7F">
            <w:pPr>
              <w:pStyle w:val="TableText"/>
              <w:rPr>
                <w:b/>
              </w:rPr>
            </w:pPr>
            <w:r w:rsidRPr="00217EA0">
              <w:rPr>
                <w:b/>
              </w:rPr>
              <w:t>Test parameters</w:t>
            </w:r>
          </w:p>
        </w:tc>
        <w:tc>
          <w:tcPr>
            <w:tcW w:w="3685" w:type="dxa"/>
            <w:shd w:val="clear" w:color="auto" w:fill="auto"/>
            <w:vAlign w:val="center"/>
          </w:tcPr>
          <w:p w14:paraId="2F083002" w14:textId="77777777" w:rsidR="00F165A2" w:rsidRPr="00217EA0" w:rsidRDefault="00F165A2" w:rsidP="00FE3A7F">
            <w:pPr>
              <w:pStyle w:val="TableText"/>
            </w:pPr>
          </w:p>
        </w:tc>
        <w:tc>
          <w:tcPr>
            <w:tcW w:w="3827" w:type="dxa"/>
            <w:vAlign w:val="center"/>
          </w:tcPr>
          <w:p w14:paraId="68269A89" w14:textId="77777777" w:rsidR="00F165A2" w:rsidRPr="00217EA0" w:rsidRDefault="00F165A2" w:rsidP="00FE3A7F">
            <w:pPr>
              <w:pStyle w:val="TableText"/>
            </w:pPr>
          </w:p>
        </w:tc>
      </w:tr>
      <w:tr w:rsidR="007900E9" w:rsidRPr="00217EA0" w14:paraId="4461AF49" w14:textId="77777777" w:rsidTr="00F30AE0">
        <w:trPr>
          <w:cantSplit/>
        </w:trPr>
        <w:tc>
          <w:tcPr>
            <w:tcW w:w="1555" w:type="dxa"/>
            <w:shd w:val="clear" w:color="auto" w:fill="auto"/>
            <w:vAlign w:val="center"/>
          </w:tcPr>
          <w:p w14:paraId="190CBDEE" w14:textId="77777777" w:rsidR="00F165A2" w:rsidRPr="00217EA0" w:rsidRDefault="00F165A2" w:rsidP="00FE3A7F">
            <w:pPr>
              <w:pStyle w:val="TableText"/>
            </w:pPr>
            <w:r w:rsidRPr="00217EA0">
              <w:t>Implications of false positive and false negative results</w:t>
            </w:r>
          </w:p>
        </w:tc>
        <w:tc>
          <w:tcPr>
            <w:tcW w:w="3685" w:type="dxa"/>
            <w:shd w:val="clear" w:color="auto" w:fill="auto"/>
            <w:vAlign w:val="center"/>
          </w:tcPr>
          <w:p w14:paraId="18DF0F2E" w14:textId="77777777" w:rsidR="00F165A2" w:rsidRPr="00217EA0" w:rsidRDefault="00F165A2" w:rsidP="00FE3A7F">
            <w:pPr>
              <w:pStyle w:val="TableText"/>
            </w:pPr>
            <w:r w:rsidRPr="00217EA0">
              <w:t xml:space="preserve">Not accounted for in model. </w:t>
            </w:r>
          </w:p>
        </w:tc>
        <w:tc>
          <w:tcPr>
            <w:tcW w:w="3827" w:type="dxa"/>
            <w:vAlign w:val="center"/>
          </w:tcPr>
          <w:p w14:paraId="405628A2" w14:textId="4F973B5F" w:rsidR="00F165A2" w:rsidRPr="00217EA0" w:rsidRDefault="00A610B1" w:rsidP="00FE3A7F">
            <w:pPr>
              <w:pStyle w:val="TableText"/>
            </w:pPr>
            <w:r w:rsidRPr="00217EA0">
              <w:t>G</w:t>
            </w:r>
            <w:r w:rsidR="00B91EB8" w:rsidRPr="00217EA0">
              <w:t>iven</w:t>
            </w:r>
            <w:r w:rsidR="00F165A2" w:rsidRPr="00217EA0">
              <w:t xml:space="preserve"> concerns regarding the reliability of </w:t>
            </w:r>
            <w:r w:rsidR="003E5C46" w:rsidRPr="003E5C46">
              <w:rPr>
                <w:i/>
                <w:iCs/>
              </w:rPr>
              <w:t>FGFR2</w:t>
            </w:r>
            <w:r w:rsidR="00F165A2" w:rsidRPr="00217EA0">
              <w:t xml:space="preserve"> testing using NGS on RNA it </w:t>
            </w:r>
            <w:r w:rsidR="0064518D" w:rsidRPr="00217EA0">
              <w:t xml:space="preserve">was </w:t>
            </w:r>
            <w:r w:rsidR="00F165A2" w:rsidRPr="00217EA0">
              <w:t xml:space="preserve">unclear if this was appropriate, though it was acknowledged that the </w:t>
            </w:r>
            <w:proofErr w:type="spellStart"/>
            <w:r w:rsidR="00F165A2" w:rsidRPr="00217EA0">
              <w:t>ivosidenib</w:t>
            </w:r>
            <w:proofErr w:type="spellEnd"/>
            <w:r w:rsidR="00F165A2" w:rsidRPr="00217EA0">
              <w:t xml:space="preserve"> July 2024 submission also assumed 100% sensitivity and specificity. </w:t>
            </w:r>
          </w:p>
        </w:tc>
      </w:tr>
      <w:tr w:rsidR="007900E9" w:rsidRPr="00217EA0" w14:paraId="0CDB268C" w14:textId="77777777" w:rsidTr="00F30AE0">
        <w:trPr>
          <w:cantSplit/>
        </w:trPr>
        <w:tc>
          <w:tcPr>
            <w:tcW w:w="1555" w:type="dxa"/>
            <w:shd w:val="clear" w:color="auto" w:fill="auto"/>
            <w:vAlign w:val="center"/>
          </w:tcPr>
          <w:p w14:paraId="728E5497" w14:textId="77777777" w:rsidR="00F165A2" w:rsidRPr="00217EA0" w:rsidRDefault="00F165A2" w:rsidP="00FE3A7F">
            <w:pPr>
              <w:pStyle w:val="TableText"/>
            </w:pPr>
            <w:r w:rsidRPr="00217EA0">
              <w:t xml:space="preserve">Allocation to health states </w:t>
            </w:r>
          </w:p>
        </w:tc>
        <w:tc>
          <w:tcPr>
            <w:tcW w:w="3685" w:type="dxa"/>
            <w:shd w:val="clear" w:color="auto" w:fill="auto"/>
            <w:vAlign w:val="center"/>
          </w:tcPr>
          <w:p w14:paraId="59501339" w14:textId="77777777" w:rsidR="00F165A2" w:rsidRPr="00217EA0" w:rsidRDefault="00F165A2" w:rsidP="00FE3A7F">
            <w:pPr>
              <w:pStyle w:val="TableText"/>
            </w:pPr>
            <w:r w:rsidRPr="00217EA0">
              <w:t>Based on extrapolated OS and PFS from MAIC described in clinical section</w:t>
            </w:r>
          </w:p>
        </w:tc>
        <w:tc>
          <w:tcPr>
            <w:tcW w:w="3827" w:type="dxa"/>
            <w:vAlign w:val="center"/>
          </w:tcPr>
          <w:p w14:paraId="6FFE60F9" w14:textId="0C81D597" w:rsidR="00F165A2" w:rsidRPr="00217EA0" w:rsidRDefault="00A610B1" w:rsidP="2914E55D">
            <w:pPr>
              <w:pStyle w:val="TableText"/>
            </w:pPr>
            <w:r w:rsidRPr="00217EA0">
              <w:t>G</w:t>
            </w:r>
            <w:r w:rsidR="00F165A2" w:rsidRPr="00217EA0">
              <w:t>iven concerns regarding the results of the MAIC, the underlying clinical benefit used to inform the economic evaluation was uncertain and likely overestimated. The ability to run sensitivity analyses using alternative MAIC results was not included in the model operability.</w:t>
            </w:r>
            <w:r w:rsidR="007D45A0" w:rsidRPr="00217EA0">
              <w:t xml:space="preserve"> The ESCs noted that these were likely more appropriate as they were more conservative.</w:t>
            </w:r>
            <w:r w:rsidR="00F165A2" w:rsidRPr="00217EA0">
              <w:t>.</w:t>
            </w:r>
          </w:p>
        </w:tc>
      </w:tr>
      <w:tr w:rsidR="007900E9" w:rsidRPr="00217EA0" w14:paraId="7DB6C800" w14:textId="77777777" w:rsidTr="00F30AE0">
        <w:trPr>
          <w:cantSplit/>
        </w:trPr>
        <w:tc>
          <w:tcPr>
            <w:tcW w:w="1555" w:type="dxa"/>
            <w:shd w:val="clear" w:color="auto" w:fill="auto"/>
            <w:vAlign w:val="center"/>
          </w:tcPr>
          <w:p w14:paraId="4E628686" w14:textId="77777777" w:rsidR="00F165A2" w:rsidRPr="00217EA0" w:rsidRDefault="00F165A2" w:rsidP="00FE3A7F">
            <w:pPr>
              <w:pStyle w:val="TableText"/>
            </w:pPr>
            <w:r w:rsidRPr="00217EA0">
              <w:t>Extrapolation method</w:t>
            </w:r>
          </w:p>
        </w:tc>
        <w:tc>
          <w:tcPr>
            <w:tcW w:w="3685" w:type="dxa"/>
            <w:shd w:val="clear" w:color="auto" w:fill="auto"/>
            <w:vAlign w:val="center"/>
          </w:tcPr>
          <w:p w14:paraId="34CFAF54" w14:textId="2812120D" w:rsidR="00F165A2" w:rsidRPr="00217EA0" w:rsidRDefault="00F165A2" w:rsidP="00FE3A7F">
            <w:pPr>
              <w:pStyle w:val="TableText"/>
            </w:pPr>
            <w:r w:rsidRPr="00217EA0">
              <w:t>Parametric model fitted to each treatment arm with gamma extrapolation selected in base case for PFS in both arms (and loglogistic for OS in both arms) based on statistical fit, visual fit and clinical plausibility. The submission fitted the distributions separately for each treatment arm.</w:t>
            </w:r>
          </w:p>
          <w:p w14:paraId="1E85EB88" w14:textId="77777777" w:rsidR="00F165A2" w:rsidRPr="00217EA0" w:rsidRDefault="00F165A2" w:rsidP="00FE3A7F">
            <w:pPr>
              <w:pStyle w:val="TableText"/>
            </w:pPr>
          </w:p>
          <w:p w14:paraId="109FC3E7" w14:textId="7E9E90E4" w:rsidR="00F165A2" w:rsidRPr="00217EA0" w:rsidRDefault="00F165A2" w:rsidP="00147705">
            <w:pPr>
              <w:pStyle w:val="TableText"/>
            </w:pPr>
            <w:r w:rsidRPr="00217EA0">
              <w:t xml:space="preserve">Switch from KM to extrapolation was estimated based on </w:t>
            </w:r>
            <w:proofErr w:type="spellStart"/>
            <w:r w:rsidRPr="00217EA0">
              <w:t>Gebski</w:t>
            </w:r>
            <w:proofErr w:type="spellEnd"/>
            <w:r w:rsidRPr="00217EA0">
              <w:t xml:space="preserve"> 2006. The switch occurred at 22 months for OS and 14 months for </w:t>
            </w:r>
            <w:r w:rsidR="00DA2F3D" w:rsidRPr="00217EA0">
              <w:t>PFS</w:t>
            </w:r>
            <w:r w:rsidRPr="00217EA0">
              <w:t xml:space="preserve"> for </w:t>
            </w:r>
            <w:proofErr w:type="spellStart"/>
            <w:r w:rsidRPr="00217EA0">
              <w:t>futibatinib</w:t>
            </w:r>
            <w:proofErr w:type="spellEnd"/>
            <w:r w:rsidRPr="00217EA0">
              <w:t xml:space="preserve"> and 11 months for OS and 7 months for PFS for FOLFOX.</w:t>
            </w:r>
          </w:p>
        </w:tc>
        <w:tc>
          <w:tcPr>
            <w:tcW w:w="3827" w:type="dxa"/>
            <w:vAlign w:val="center"/>
          </w:tcPr>
          <w:p w14:paraId="5C2B21A6" w14:textId="6A4487BE" w:rsidR="00F165A2" w:rsidRPr="00217EA0" w:rsidRDefault="00F165A2" w:rsidP="00FE3A7F">
            <w:pPr>
              <w:pStyle w:val="TableText"/>
            </w:pPr>
            <w:r w:rsidRPr="00217EA0">
              <w:t xml:space="preserve">The model was moderately sensitive to extrapolation. However, given the uncertainty in the underlying data, sensitivity analyses around extrapolation method alone may not adequately address the issues surrounding the submission’s estimates of comparative effect. </w:t>
            </w:r>
            <w:r w:rsidR="00A636B2" w:rsidRPr="00217EA0">
              <w:t xml:space="preserve">The ESCs noted that </w:t>
            </w:r>
            <w:r w:rsidR="005E071C" w:rsidRPr="00217EA0">
              <w:t xml:space="preserve">the </w:t>
            </w:r>
            <w:r w:rsidR="00A636B2" w:rsidRPr="00217EA0">
              <w:t>OS curves did not converge in the model</w:t>
            </w:r>
            <w:r w:rsidR="00581D6C">
              <w:t>.</w:t>
            </w:r>
          </w:p>
        </w:tc>
      </w:tr>
      <w:tr w:rsidR="007900E9" w:rsidRPr="00217EA0" w14:paraId="41EF8786" w14:textId="77777777" w:rsidTr="00F30AE0">
        <w:trPr>
          <w:cantSplit/>
        </w:trPr>
        <w:tc>
          <w:tcPr>
            <w:tcW w:w="1555" w:type="dxa"/>
            <w:shd w:val="clear" w:color="auto" w:fill="auto"/>
            <w:vAlign w:val="center"/>
          </w:tcPr>
          <w:p w14:paraId="68239B03" w14:textId="77777777" w:rsidR="00F165A2" w:rsidRPr="00217EA0" w:rsidRDefault="00F165A2" w:rsidP="00FE3A7F">
            <w:pPr>
              <w:pStyle w:val="TableText"/>
            </w:pPr>
            <w:r w:rsidRPr="00217EA0">
              <w:t>Health related quality of life</w:t>
            </w:r>
          </w:p>
        </w:tc>
        <w:tc>
          <w:tcPr>
            <w:tcW w:w="3685" w:type="dxa"/>
            <w:shd w:val="clear" w:color="auto" w:fill="auto"/>
            <w:vAlign w:val="center"/>
          </w:tcPr>
          <w:p w14:paraId="38FEBB66" w14:textId="1DD2CB51" w:rsidR="00F165A2" w:rsidRPr="00217EA0" w:rsidRDefault="00F165A2" w:rsidP="00FE3A7F">
            <w:pPr>
              <w:pStyle w:val="TableText"/>
            </w:pPr>
            <w:proofErr w:type="spellStart"/>
            <w:r w:rsidRPr="00217EA0">
              <w:t>Futibatinib</w:t>
            </w:r>
            <w:proofErr w:type="spellEnd"/>
            <w:r w:rsidRPr="00217EA0">
              <w:t xml:space="preserve"> PFS: 0.796 based on EQ-5D-3L of FOENIX CCA-2</w:t>
            </w:r>
          </w:p>
          <w:p w14:paraId="1F6814D1" w14:textId="77777777" w:rsidR="00F165A2" w:rsidRPr="00217EA0" w:rsidRDefault="00F165A2" w:rsidP="00FE3A7F">
            <w:pPr>
              <w:pStyle w:val="TableText"/>
            </w:pPr>
            <w:r w:rsidRPr="00217EA0">
              <w:t>FOLFOX PFS: 0.70 based on ABC-06 supplement</w:t>
            </w:r>
          </w:p>
          <w:p w14:paraId="76F36AD1" w14:textId="37DBD729" w:rsidR="00F165A2" w:rsidRPr="00217EA0" w:rsidRDefault="00F165A2" w:rsidP="00FE3A7F">
            <w:pPr>
              <w:pStyle w:val="TableText"/>
            </w:pPr>
            <w:proofErr w:type="spellStart"/>
            <w:r w:rsidRPr="00217EA0">
              <w:t>Futibatinib</w:t>
            </w:r>
            <w:proofErr w:type="spellEnd"/>
            <w:r w:rsidRPr="00217EA0">
              <w:t xml:space="preserve"> PD: 0.68 (based on NICE 474)</w:t>
            </w:r>
          </w:p>
          <w:p w14:paraId="7355CC68" w14:textId="1E7536B9" w:rsidR="00F165A2" w:rsidRPr="00217EA0" w:rsidRDefault="00F165A2" w:rsidP="00FE3A7F">
            <w:pPr>
              <w:pStyle w:val="TableText"/>
            </w:pPr>
            <w:r w:rsidRPr="00217EA0">
              <w:t xml:space="preserve">FOLFOX PD: 0.584 (based on applying same decrement from PFS to PD as </w:t>
            </w:r>
            <w:proofErr w:type="spellStart"/>
            <w:r w:rsidRPr="00217EA0">
              <w:t>futibatinib</w:t>
            </w:r>
            <w:proofErr w:type="spellEnd"/>
            <w:r w:rsidRPr="00217EA0">
              <w:t xml:space="preserve">) </w:t>
            </w:r>
          </w:p>
        </w:tc>
        <w:tc>
          <w:tcPr>
            <w:tcW w:w="3827" w:type="dxa"/>
            <w:vAlign w:val="center"/>
          </w:tcPr>
          <w:p w14:paraId="3415C33B" w14:textId="3233A2E7" w:rsidR="00F165A2" w:rsidRPr="00217EA0" w:rsidRDefault="00F165A2" w:rsidP="00FE3A7F">
            <w:pPr>
              <w:pStyle w:val="TableText"/>
            </w:pPr>
            <w:r w:rsidRPr="00217EA0">
              <w:t xml:space="preserve">The submission did not present a clinical comparison of QoL outcomes to justify </w:t>
            </w:r>
            <w:r w:rsidR="00372382" w:rsidRPr="00217EA0">
              <w:t>treatment-based</w:t>
            </w:r>
            <w:r w:rsidRPr="00217EA0">
              <w:t xml:space="preserve"> utilities</w:t>
            </w:r>
            <w:r w:rsidR="00681472" w:rsidRPr="00217EA0">
              <w:t xml:space="preserve"> in the PF or PD health state</w:t>
            </w:r>
            <w:r w:rsidR="008B5F5E" w:rsidRPr="00217EA0">
              <w:t xml:space="preserve">. </w:t>
            </w:r>
            <w:r w:rsidR="004F2B19" w:rsidRPr="00217EA0">
              <w:t xml:space="preserve">The evaluation and the ESCs </w:t>
            </w:r>
            <w:r w:rsidR="005C6344" w:rsidRPr="00217EA0">
              <w:t xml:space="preserve">noted that utilities for these states are much lower than the </w:t>
            </w:r>
            <w:proofErr w:type="spellStart"/>
            <w:r w:rsidR="001A4A0E" w:rsidRPr="00217EA0">
              <w:t>i</w:t>
            </w:r>
            <w:r w:rsidR="005C6344" w:rsidRPr="00217EA0">
              <w:t>vosidenib</w:t>
            </w:r>
            <w:proofErr w:type="spellEnd"/>
            <w:r w:rsidR="005C6344" w:rsidRPr="00217EA0">
              <w:t xml:space="preserve"> submission, and </w:t>
            </w:r>
            <w:r w:rsidR="004F2B19" w:rsidRPr="00217EA0">
              <w:t>considered that t</w:t>
            </w:r>
            <w:r w:rsidRPr="00217EA0">
              <w:t xml:space="preserve">he utilities for FOLFOX may have been underestimated </w:t>
            </w:r>
            <w:r w:rsidR="00710464" w:rsidRPr="00217EA0">
              <w:t xml:space="preserve">as </w:t>
            </w:r>
            <w:r w:rsidRPr="00217EA0">
              <w:t>it was informed by a single value at month 4 in ABC-06</w:t>
            </w:r>
            <w:r w:rsidR="001A4A0E" w:rsidRPr="00217EA0">
              <w:t xml:space="preserve"> (as opposed to change over time)</w:t>
            </w:r>
            <w:r w:rsidRPr="00217EA0">
              <w:t>. Given the treatment duration (2 weekly cycles, up to 12 cycles)</w:t>
            </w:r>
            <w:r w:rsidR="0072116D" w:rsidRPr="00217EA0">
              <w:t>,</w:t>
            </w:r>
            <w:r w:rsidRPr="00217EA0">
              <w:t xml:space="preserve"> the QoL at month 4 may be lower than at earlier timepoints due to repeated chemotherapy cycles.</w:t>
            </w:r>
          </w:p>
        </w:tc>
      </w:tr>
    </w:tbl>
    <w:p w14:paraId="2654DF27" w14:textId="77777777" w:rsidR="007113A8" w:rsidRPr="00217EA0" w:rsidRDefault="00F165A2" w:rsidP="00E05B66">
      <w:pPr>
        <w:pStyle w:val="TableFooter"/>
      </w:pPr>
      <w:r w:rsidRPr="00217EA0">
        <w:t xml:space="preserve">Source: Table 3.2, p186 of the submission. </w:t>
      </w:r>
    </w:p>
    <w:p w14:paraId="339FE33B" w14:textId="2C040AFE" w:rsidR="00F165A2" w:rsidRPr="00217EA0" w:rsidRDefault="00F165A2" w:rsidP="00E05B66">
      <w:pPr>
        <w:pStyle w:val="TableFooter"/>
      </w:pPr>
      <w:r w:rsidRPr="00217EA0">
        <w:t xml:space="preserve">ASC = active symptom control; KM = Kaplan-Meier LYG = life-year gained; OS = overall survival; PBAC = Pharmaceutical Benefits Advisory Committee; PD = Progressed disease; PFS = progression free </w:t>
      </w:r>
      <w:r w:rsidR="00372382" w:rsidRPr="00217EA0">
        <w:t>survival; QALY</w:t>
      </w:r>
      <w:r w:rsidRPr="00217EA0">
        <w:t xml:space="preserve"> – Quality adjusted </w:t>
      </w:r>
      <w:proofErr w:type="spellStart"/>
      <w:r w:rsidRPr="00217EA0">
        <w:t>Iife</w:t>
      </w:r>
      <w:proofErr w:type="spellEnd"/>
      <w:r w:rsidRPr="00217EA0">
        <w:t>-year; QoL = quality of Life;</w:t>
      </w:r>
    </w:p>
    <w:p w14:paraId="381E98FB" w14:textId="311FAB7C" w:rsidR="007D4AE3" w:rsidRPr="00217EA0" w:rsidRDefault="007D4AE3" w:rsidP="00E05B66">
      <w:pPr>
        <w:pStyle w:val="TableFooter"/>
      </w:pPr>
      <w:r w:rsidRPr="00217EA0">
        <w:rPr>
          <w:vertAlign w:val="superscript"/>
        </w:rPr>
        <w:t>a</w:t>
      </w:r>
      <w:r w:rsidRPr="00217EA0">
        <w:t xml:space="preserve"> oxaliplatin 85 mg/m2, calcium folinate 50 mg, 5-fluorouracil 400 mg/m2 bolus and 2400 mg/m2 continuous infusion over 46 hours</w:t>
      </w:r>
    </w:p>
    <w:p w14:paraId="23DA0822" w14:textId="02A56CA7" w:rsidR="00E05B66" w:rsidRPr="00217EA0" w:rsidRDefault="00E05B66" w:rsidP="2914E55D">
      <w:pPr>
        <w:pStyle w:val="ListParagraph"/>
        <w:rPr>
          <w:color w:val="auto"/>
        </w:rPr>
      </w:pPr>
      <w:r w:rsidRPr="00217EA0">
        <w:rPr>
          <w:color w:val="auto"/>
        </w:rPr>
        <w:t xml:space="preserve">The model did not account for the impact of potential false positives and false negatives in the testing population, which </w:t>
      </w:r>
      <w:r w:rsidR="00BF2071" w:rsidRPr="00217EA0">
        <w:rPr>
          <w:color w:val="auto"/>
        </w:rPr>
        <w:t xml:space="preserve">the evaluation considered </w:t>
      </w:r>
      <w:r w:rsidRPr="00217EA0">
        <w:rPr>
          <w:color w:val="auto"/>
        </w:rPr>
        <w:t xml:space="preserve">may have underestimated the ICER. </w:t>
      </w:r>
      <w:r w:rsidR="00372382" w:rsidRPr="00217EA0">
        <w:rPr>
          <w:color w:val="auto"/>
        </w:rPr>
        <w:t>However,</w:t>
      </w:r>
      <w:r w:rsidRPr="00217EA0">
        <w:rPr>
          <w:color w:val="auto"/>
        </w:rPr>
        <w:t xml:space="preserve"> </w:t>
      </w:r>
      <w:r w:rsidR="00BF2071" w:rsidRPr="00217EA0">
        <w:rPr>
          <w:color w:val="auto"/>
        </w:rPr>
        <w:t xml:space="preserve">the evaluation </w:t>
      </w:r>
      <w:r w:rsidRPr="00217EA0">
        <w:rPr>
          <w:color w:val="auto"/>
        </w:rPr>
        <w:t xml:space="preserve">noted that 100% sensitivity and specificity was also included in the base case of the </w:t>
      </w:r>
      <w:proofErr w:type="spellStart"/>
      <w:r w:rsidRPr="00217EA0">
        <w:rPr>
          <w:color w:val="auto"/>
        </w:rPr>
        <w:t>ivosidenib</w:t>
      </w:r>
      <w:proofErr w:type="spellEnd"/>
      <w:r w:rsidRPr="00217EA0">
        <w:rPr>
          <w:color w:val="auto"/>
        </w:rPr>
        <w:t xml:space="preserve"> July 2024 submission though there may be differences in the evidence around testing between the two submissions.  </w:t>
      </w:r>
    </w:p>
    <w:p w14:paraId="2281D72A" w14:textId="5DA4B6C2" w:rsidR="00E05B66" w:rsidRPr="00217EA0" w:rsidRDefault="002E04E5" w:rsidP="2914E55D">
      <w:pPr>
        <w:pStyle w:val="ListParagraph"/>
        <w:rPr>
          <w:color w:val="auto"/>
        </w:rPr>
      </w:pPr>
      <w:bookmarkStart w:id="74" w:name="_Ref185845215"/>
      <w:r w:rsidRPr="00217EA0">
        <w:rPr>
          <w:color w:val="auto"/>
        </w:rPr>
        <w:t>The</w:t>
      </w:r>
      <w:r w:rsidR="002F217E" w:rsidRPr="00217EA0">
        <w:rPr>
          <w:color w:val="auto"/>
        </w:rPr>
        <w:t xml:space="preserve"> evaluation considered it inappropriate that the</w:t>
      </w:r>
      <w:r w:rsidR="00E05B66" w:rsidRPr="00217EA0">
        <w:rPr>
          <w:color w:val="auto"/>
        </w:rPr>
        <w:t xml:space="preserve"> submission applied a half cycle correction to drug acquisition costs. </w:t>
      </w:r>
      <w:r w:rsidR="002F217E" w:rsidRPr="00217EA0">
        <w:rPr>
          <w:color w:val="auto"/>
        </w:rPr>
        <w:t>The evaluation considered that a</w:t>
      </w:r>
      <w:r w:rsidR="00E05B66" w:rsidRPr="00217EA0">
        <w:rPr>
          <w:color w:val="auto"/>
        </w:rPr>
        <w:t>s these costs will be accrued at the beginning of the cycle regardless of when a patient stops taking them (</w:t>
      </w:r>
      <w:proofErr w:type="spellStart"/>
      <w:r w:rsidR="00E05B66" w:rsidRPr="00217EA0">
        <w:rPr>
          <w:color w:val="auto"/>
        </w:rPr>
        <w:t>futibatinib</w:t>
      </w:r>
      <w:proofErr w:type="spellEnd"/>
      <w:r w:rsidR="00E05B66" w:rsidRPr="00217EA0">
        <w:rPr>
          <w:color w:val="auto"/>
        </w:rPr>
        <w:t xml:space="preserve"> is expected to be dispensed on </w:t>
      </w:r>
      <w:r w:rsidR="00372382" w:rsidRPr="00217EA0">
        <w:rPr>
          <w:color w:val="auto"/>
        </w:rPr>
        <w:t>28-day</w:t>
      </w:r>
      <w:r w:rsidR="00E05B66" w:rsidRPr="00217EA0">
        <w:rPr>
          <w:color w:val="auto"/>
        </w:rPr>
        <w:t xml:space="preserve"> intervals)</w:t>
      </w:r>
      <w:r w:rsidR="00AC768C" w:rsidRPr="00217EA0">
        <w:rPr>
          <w:color w:val="auto"/>
        </w:rPr>
        <w:t>,</w:t>
      </w:r>
      <w:r w:rsidR="00E05B66" w:rsidRPr="00217EA0">
        <w:rPr>
          <w:color w:val="auto"/>
        </w:rPr>
        <w:t xml:space="preserve"> this </w:t>
      </w:r>
      <w:r w:rsidR="000C70DD" w:rsidRPr="00217EA0">
        <w:rPr>
          <w:color w:val="auto"/>
        </w:rPr>
        <w:t>was</w:t>
      </w:r>
      <w:r w:rsidR="00E05B66" w:rsidRPr="00217EA0">
        <w:rPr>
          <w:color w:val="auto"/>
        </w:rPr>
        <w:t xml:space="preserve"> inappropriate. </w:t>
      </w:r>
      <w:r w:rsidR="000D0E6D" w:rsidRPr="00217EA0">
        <w:rPr>
          <w:color w:val="auto"/>
        </w:rPr>
        <w:t>Additionally</w:t>
      </w:r>
      <w:r w:rsidR="00E05B66" w:rsidRPr="00217EA0">
        <w:rPr>
          <w:color w:val="auto"/>
        </w:rPr>
        <w:t xml:space="preserve">, </w:t>
      </w:r>
      <w:r w:rsidR="00682974" w:rsidRPr="00217EA0">
        <w:rPr>
          <w:color w:val="auto"/>
        </w:rPr>
        <w:t>t</w:t>
      </w:r>
      <w:r w:rsidR="00A759C9" w:rsidRPr="00217EA0">
        <w:rPr>
          <w:color w:val="auto"/>
        </w:rPr>
        <w:t xml:space="preserve">he evaluation considered </w:t>
      </w:r>
      <w:r w:rsidR="00E05B66" w:rsidRPr="00217EA0">
        <w:rPr>
          <w:color w:val="auto"/>
        </w:rPr>
        <w:t xml:space="preserve">that the half cycle correction was incorrectly applied and the half cycle corrected results in a given cycle were actually based on the averages of the two cycles preceding, leading to an overestimate of the patient flow probabilities. During the evaluation, the half cycle correction error was corrected for costs and outcomes, and the half cycle correction was removed for drug acquisition costs. </w:t>
      </w:r>
      <w:r w:rsidR="002110C8" w:rsidRPr="00217EA0">
        <w:rPr>
          <w:color w:val="auto"/>
        </w:rPr>
        <w:t>T</w:t>
      </w:r>
      <w:r w:rsidR="00E05B66" w:rsidRPr="00217EA0">
        <w:rPr>
          <w:color w:val="auto"/>
        </w:rPr>
        <w:t xml:space="preserve">his reduced the base case ICER from </w:t>
      </w:r>
      <w:r w:rsidR="009711E5" w:rsidRPr="009711E5">
        <w:rPr>
          <w:color w:val="auto"/>
        </w:rPr>
        <w:t>$95,000</w:t>
      </w:r>
      <w:r w:rsidR="003C4463">
        <w:rPr>
          <w:color w:val="auto"/>
        </w:rPr>
        <w:t> </w:t>
      </w:r>
      <w:r w:rsidR="009711E5" w:rsidRPr="009711E5">
        <w:rPr>
          <w:color w:val="auto"/>
        </w:rPr>
        <w:t>to &lt;</w:t>
      </w:r>
      <w:r w:rsidR="003C4463">
        <w:rPr>
          <w:color w:val="auto"/>
        </w:rPr>
        <w:t> </w:t>
      </w:r>
      <w:r w:rsidR="009711E5" w:rsidRPr="009711E5">
        <w:rPr>
          <w:color w:val="auto"/>
        </w:rPr>
        <w:t>$115,000</w:t>
      </w:r>
      <w:r w:rsidR="000C70DD" w:rsidRPr="00217EA0">
        <w:rPr>
          <w:color w:val="auto"/>
        </w:rPr>
        <w:t>/QALY</w:t>
      </w:r>
      <w:r w:rsidR="00E05B66" w:rsidRPr="00217EA0">
        <w:rPr>
          <w:color w:val="auto"/>
        </w:rPr>
        <w:t xml:space="preserve"> to </w:t>
      </w:r>
      <w:r w:rsidR="009711E5" w:rsidRPr="009711E5">
        <w:rPr>
          <w:color w:val="auto"/>
        </w:rPr>
        <w:t>$95,000 to &lt;$115,000</w:t>
      </w:r>
      <w:r w:rsidR="000C70DD" w:rsidRPr="00217EA0">
        <w:rPr>
          <w:color w:val="auto"/>
        </w:rPr>
        <w:t>/QALY</w:t>
      </w:r>
      <w:r w:rsidR="00E05B66" w:rsidRPr="00217EA0">
        <w:rPr>
          <w:color w:val="auto"/>
        </w:rPr>
        <w:t xml:space="preserve">. </w:t>
      </w:r>
      <w:r w:rsidR="000C70DD" w:rsidRPr="00217EA0">
        <w:rPr>
          <w:color w:val="auto"/>
        </w:rPr>
        <w:t>A</w:t>
      </w:r>
      <w:r w:rsidR="00E05B66" w:rsidRPr="00217EA0">
        <w:rPr>
          <w:color w:val="auto"/>
        </w:rPr>
        <w:t xml:space="preserve">ll presented </w:t>
      </w:r>
      <w:r w:rsidR="000C70DD" w:rsidRPr="00217EA0">
        <w:rPr>
          <w:color w:val="auto"/>
        </w:rPr>
        <w:t xml:space="preserve">results below are </w:t>
      </w:r>
      <w:r w:rsidR="00E05B66" w:rsidRPr="00217EA0">
        <w:rPr>
          <w:color w:val="auto"/>
        </w:rPr>
        <w:t>reflective of these corrections.</w:t>
      </w:r>
      <w:bookmarkEnd w:id="74"/>
    </w:p>
    <w:p w14:paraId="78BB4B6E" w14:textId="0282FAA7" w:rsidR="00E05B66" w:rsidRPr="00217EA0" w:rsidRDefault="00E05B66" w:rsidP="2914E55D">
      <w:pPr>
        <w:pStyle w:val="ListParagraph"/>
        <w:rPr>
          <w:b/>
          <w:bCs/>
          <w:color w:val="auto"/>
        </w:rPr>
      </w:pPr>
      <w:r w:rsidRPr="00217EA0">
        <w:rPr>
          <w:color w:val="auto"/>
        </w:rPr>
        <w:t xml:space="preserve">The submission </w:t>
      </w:r>
      <w:r w:rsidR="000C70DD" w:rsidRPr="00217EA0">
        <w:rPr>
          <w:color w:val="auto"/>
        </w:rPr>
        <w:t xml:space="preserve">assumed </w:t>
      </w:r>
      <w:r w:rsidRPr="00217EA0">
        <w:rPr>
          <w:color w:val="auto"/>
        </w:rPr>
        <w:t xml:space="preserve">a time horizon of 10 years, noting that median survival among subjects in FOENIX-CCA2 who were treated with </w:t>
      </w:r>
      <w:proofErr w:type="spellStart"/>
      <w:r w:rsidRPr="00217EA0">
        <w:rPr>
          <w:color w:val="auto"/>
        </w:rPr>
        <w:t>futibatinib</w:t>
      </w:r>
      <w:proofErr w:type="spellEnd"/>
      <w:r w:rsidRPr="00217EA0">
        <w:rPr>
          <w:color w:val="auto"/>
        </w:rPr>
        <w:t xml:space="preserve"> was </w:t>
      </w:r>
      <w:r w:rsidR="009634B8" w:rsidRPr="00217EA0">
        <w:rPr>
          <w:color w:val="auto"/>
        </w:rPr>
        <w:t>20.0 months at final OS analysis (25 months</w:t>
      </w:r>
      <w:r w:rsidR="0015355A" w:rsidRPr="00217EA0">
        <w:rPr>
          <w:color w:val="auto"/>
        </w:rPr>
        <w:t xml:space="preserve"> follow up</w:t>
      </w:r>
      <w:r w:rsidR="009634B8" w:rsidRPr="00217EA0">
        <w:rPr>
          <w:color w:val="auto"/>
        </w:rPr>
        <w:t>)</w:t>
      </w:r>
      <w:r w:rsidRPr="00217EA0">
        <w:rPr>
          <w:color w:val="auto"/>
        </w:rPr>
        <w:t>, and that those treated with FOLFOX i</w:t>
      </w:r>
      <w:r w:rsidR="00D34C3E" w:rsidRPr="00217EA0">
        <w:rPr>
          <w:color w:val="auto"/>
        </w:rPr>
        <w:t>n</w:t>
      </w:r>
      <w:r w:rsidRPr="00217EA0">
        <w:rPr>
          <w:color w:val="auto"/>
        </w:rPr>
        <w:t xml:space="preserve"> the ABC-06 study experienced lower median survival of 6.2 months. </w:t>
      </w:r>
      <w:r w:rsidR="00E04478" w:rsidRPr="00217EA0">
        <w:rPr>
          <w:color w:val="auto"/>
        </w:rPr>
        <w:t>The evaluation considered that g</w:t>
      </w:r>
      <w:r w:rsidR="00E04478" w:rsidRPr="00217EA0">
        <w:t>iven the limited duration of follow-up of the two studies and the general uncertainty regarding the adjusted survival from the MAIC, a 10-year time horizon is highly uncertain.</w:t>
      </w:r>
    </w:p>
    <w:p w14:paraId="138A4BE4" w14:textId="7301653B" w:rsidR="00CD3D95" w:rsidRPr="00217EA0" w:rsidRDefault="00E04478" w:rsidP="00FE3A7F">
      <w:pPr>
        <w:pStyle w:val="ListParagraph"/>
      </w:pPr>
      <w:r>
        <w:t>I</w:t>
      </w:r>
      <w:r w:rsidR="00E05B66" w:rsidRPr="00217EA0">
        <w:t xml:space="preserve">n its consideration of </w:t>
      </w:r>
      <w:proofErr w:type="spellStart"/>
      <w:r w:rsidR="00E05B66" w:rsidRPr="00217EA0">
        <w:t>ivosidenib</w:t>
      </w:r>
      <w:proofErr w:type="spellEnd"/>
      <w:r w:rsidR="00E05B66" w:rsidRPr="00217EA0">
        <w:t xml:space="preserve"> for</w:t>
      </w:r>
      <w:r w:rsidR="00E859FB" w:rsidRPr="00E859FB">
        <w:rPr>
          <w:i/>
          <w:iCs/>
        </w:rPr>
        <w:t xml:space="preserve"> IDH1</w:t>
      </w:r>
      <w:r w:rsidR="00E05B66" w:rsidRPr="00217EA0">
        <w:t xml:space="preserve"> positive CCA, </w:t>
      </w:r>
      <w:r>
        <w:t xml:space="preserve">the PBAC </w:t>
      </w:r>
      <w:r w:rsidR="00E05B66" w:rsidRPr="00217EA0">
        <w:t xml:space="preserve">considered that a 5-year time horizon would appropriately capture benefits in this population (paragraph 7.11, </w:t>
      </w:r>
      <w:proofErr w:type="spellStart"/>
      <w:r w:rsidR="00E05B66" w:rsidRPr="00217EA0">
        <w:t>ivosidenib</w:t>
      </w:r>
      <w:proofErr w:type="spellEnd"/>
      <w:r w:rsidR="00E05B66" w:rsidRPr="00217EA0">
        <w:t xml:space="preserve"> PSD, July 2024 PBAC meeting)</w:t>
      </w:r>
      <w:r w:rsidR="00FD1B55" w:rsidRPr="00217EA0">
        <w:t>.</w:t>
      </w:r>
      <w:r w:rsidR="00E05B66" w:rsidRPr="00217EA0">
        <w:t xml:space="preserve"> However, it should be acknowledged that there may be evidence to support better prognosis in patients with </w:t>
      </w:r>
      <w:r w:rsidR="003E5C46" w:rsidRPr="003E5C46">
        <w:rPr>
          <w:i/>
          <w:iCs/>
        </w:rPr>
        <w:t>FGFR2</w:t>
      </w:r>
      <w:r w:rsidR="00E05B66" w:rsidRPr="00217EA0">
        <w:t xml:space="preserve"> fusions</w:t>
      </w:r>
      <w:r w:rsidR="009340E8" w:rsidRPr="00217EA0">
        <w:t xml:space="preserve"> or </w:t>
      </w:r>
      <w:r w:rsidR="00E05B66" w:rsidRPr="00217EA0">
        <w:t>rearrangements</w:t>
      </w:r>
      <w:r w:rsidR="001D6C61" w:rsidRPr="00217EA0">
        <w:t>,</w:t>
      </w:r>
      <w:r w:rsidR="00E05B66" w:rsidRPr="00217EA0">
        <w:t xml:space="preserve"> whereas the MSAC had previously considered that</w:t>
      </w:r>
      <w:r w:rsidR="00E859FB" w:rsidRPr="00E859FB">
        <w:rPr>
          <w:i/>
          <w:iCs/>
        </w:rPr>
        <w:t xml:space="preserve"> IDH1</w:t>
      </w:r>
      <w:r w:rsidR="00E05B66" w:rsidRPr="00217EA0">
        <w:t xml:space="preserve"> variant status may be associated with a poorer prognosis</w:t>
      </w:r>
      <w:r w:rsidR="008A3B40" w:rsidRPr="00217EA0">
        <w:t>,</w:t>
      </w:r>
      <w:r w:rsidR="00E05B66" w:rsidRPr="00217EA0">
        <w:t xml:space="preserve"> though the evidence was too heterogenous for any strong conclusion to be made (p12, Application 1750 PSD, MSAC August 2024 meeting). Shortening the time horizon to 5-years and 7</w:t>
      </w:r>
      <w:r w:rsidR="00C64619" w:rsidRPr="00217EA0">
        <w:t>-</w:t>
      </w:r>
      <w:r w:rsidR="00E05B66" w:rsidRPr="00217EA0">
        <w:t xml:space="preserve">years increased the ICER by </w:t>
      </w:r>
      <w:r w:rsidR="00F0779A" w:rsidRPr="00F0779A">
        <w:rPr>
          <w:w w:val="60"/>
          <w:shd w:val="solid" w:color="000000" w:fill="000000"/>
          <w:fitText w:val="470" w:id="-694415614"/>
          <w14:textFill>
            <w14:solidFill>
              <w14:schemeClr w14:val="tx1">
                <w14:alpha w14:val="100000"/>
              </w14:schemeClr>
            </w14:solidFill>
          </w14:textFill>
        </w:rPr>
        <w:t>|||  ||</w:t>
      </w:r>
      <w:r w:rsidR="00F0779A" w:rsidRPr="00F0779A">
        <w:rPr>
          <w:spacing w:val="6"/>
          <w:w w:val="60"/>
          <w:shd w:val="solid" w:color="000000" w:fill="000000"/>
          <w:fitText w:val="470" w:id="-694415614"/>
          <w14:textFill>
            <w14:solidFill>
              <w14:schemeClr w14:val="tx1">
                <w14:alpha w14:val="100000"/>
              </w14:schemeClr>
            </w14:solidFill>
          </w14:textFill>
        </w:rPr>
        <w:t>|</w:t>
      </w:r>
      <w:r w:rsidR="00E05B66" w:rsidRPr="00217EA0">
        <w:t xml:space="preserve">% and </w:t>
      </w:r>
      <w:r w:rsidR="00F0779A" w:rsidRPr="00DD396E">
        <w:rPr>
          <w:w w:val="60"/>
          <w:shd w:val="solid" w:color="000000" w:fill="000000"/>
          <w:fitText w:val="470" w:id="-694415613"/>
          <w14:textFill>
            <w14:solidFill>
              <w14:schemeClr w14:val="tx1">
                <w14:alpha w14:val="100000"/>
              </w14:schemeClr>
            </w14:solidFill>
          </w14:textFill>
        </w:rPr>
        <w:t>|||  ||</w:t>
      </w:r>
      <w:r w:rsidR="00F0779A" w:rsidRPr="00DD396E">
        <w:rPr>
          <w:spacing w:val="6"/>
          <w:w w:val="60"/>
          <w:shd w:val="solid" w:color="000000" w:fill="000000"/>
          <w:fitText w:val="470" w:id="-694415613"/>
          <w14:textFill>
            <w14:solidFill>
              <w14:schemeClr w14:val="tx1">
                <w14:alpha w14:val="100000"/>
              </w14:schemeClr>
            </w14:solidFill>
          </w14:textFill>
        </w:rPr>
        <w:t>|</w:t>
      </w:r>
      <w:r w:rsidR="00E05B66" w:rsidRPr="00217EA0">
        <w:t>%, respectively.</w:t>
      </w:r>
    </w:p>
    <w:p w14:paraId="5BE76CD2" w14:textId="0F24BB14" w:rsidR="004B3B2B" w:rsidRPr="00217EA0" w:rsidRDefault="00CD3D95" w:rsidP="2914E55D">
      <w:pPr>
        <w:pStyle w:val="ListParagraph"/>
        <w:rPr>
          <w:color w:val="auto"/>
        </w:rPr>
      </w:pPr>
      <w:bookmarkStart w:id="75" w:name="_Ref184961502"/>
      <w:r w:rsidRPr="00217EA0">
        <w:rPr>
          <w:color w:val="auto"/>
        </w:rPr>
        <w:t>The submission fitted the extrapolation in each treatment arm with gamma extrapolation selected in base case for PFS in both arms</w:t>
      </w:r>
      <w:r w:rsidR="0088430A" w:rsidRPr="00217EA0">
        <w:rPr>
          <w:color w:val="auto"/>
        </w:rPr>
        <w:t xml:space="preserve">, </w:t>
      </w:r>
      <w:r w:rsidRPr="00217EA0">
        <w:rPr>
          <w:color w:val="auto"/>
        </w:rPr>
        <w:t>and loglogistic for OS in both arms</w:t>
      </w:r>
      <w:r w:rsidR="0088430A" w:rsidRPr="00217EA0">
        <w:rPr>
          <w:color w:val="auto"/>
        </w:rPr>
        <w:t>.</w:t>
      </w:r>
      <w:r w:rsidRPr="00217EA0">
        <w:rPr>
          <w:color w:val="auto"/>
        </w:rPr>
        <w:t xml:space="preserve"> </w:t>
      </w:r>
      <w:r w:rsidR="0088430A" w:rsidRPr="00217EA0">
        <w:rPr>
          <w:color w:val="auto"/>
        </w:rPr>
        <w:t xml:space="preserve">The choice of extrapolation function was not </w:t>
      </w:r>
      <w:r w:rsidRPr="00217EA0">
        <w:rPr>
          <w:color w:val="auto"/>
        </w:rPr>
        <w:t>based on statistical fit,</w:t>
      </w:r>
      <w:r w:rsidR="0088430A" w:rsidRPr="00217EA0">
        <w:rPr>
          <w:color w:val="auto"/>
        </w:rPr>
        <w:t xml:space="preserve"> but a mix of statistical fit,</w:t>
      </w:r>
      <w:r w:rsidRPr="00217EA0">
        <w:rPr>
          <w:color w:val="auto"/>
        </w:rPr>
        <w:t xml:space="preserve"> visual fit and clinical plausibility. </w:t>
      </w:r>
      <w:r w:rsidR="00C20091" w:rsidRPr="00217EA0">
        <w:rPr>
          <w:color w:val="auto"/>
        </w:rPr>
        <w:t>The evaluation considered i</w:t>
      </w:r>
      <w:r w:rsidR="0088430A" w:rsidRPr="00217EA0">
        <w:rPr>
          <w:color w:val="auto"/>
        </w:rPr>
        <w:t xml:space="preserve">t unclear if this was appropriate, as statistical fit would be the most objective measure for use in a base case. </w:t>
      </w:r>
      <w:r w:rsidRPr="00217EA0">
        <w:rPr>
          <w:color w:val="auto"/>
        </w:rPr>
        <w:t>The submission fitted the distributions separately for each treatment arm.</w:t>
      </w:r>
      <w:r w:rsidR="000C70DD" w:rsidRPr="00217EA0">
        <w:rPr>
          <w:color w:val="auto"/>
        </w:rPr>
        <w:t xml:space="preserve"> </w:t>
      </w:r>
      <w:r w:rsidR="006E5453" w:rsidRPr="00217EA0">
        <w:rPr>
          <w:color w:val="auto"/>
        </w:rPr>
        <w:t>The evaluation noted that n</w:t>
      </w:r>
      <w:r w:rsidR="000C70DD" w:rsidRPr="00217EA0">
        <w:rPr>
          <w:color w:val="auto"/>
        </w:rPr>
        <w:t xml:space="preserve">o convergence of OS was assumed by the submission. </w:t>
      </w:r>
      <w:r w:rsidR="007379AB" w:rsidRPr="00217EA0">
        <w:rPr>
          <w:color w:val="auto"/>
        </w:rPr>
        <w:t xml:space="preserve">The model was sensitive to assumptions around the extrapolation of OS in </w:t>
      </w:r>
      <w:proofErr w:type="spellStart"/>
      <w:r w:rsidR="007379AB" w:rsidRPr="00217EA0">
        <w:rPr>
          <w:color w:val="auto"/>
        </w:rPr>
        <w:t>futibatinib</w:t>
      </w:r>
      <w:proofErr w:type="spellEnd"/>
      <w:r w:rsidR="007379AB" w:rsidRPr="00217EA0">
        <w:rPr>
          <w:color w:val="auto"/>
        </w:rPr>
        <w:t xml:space="preserve"> (see </w:t>
      </w:r>
      <w:r w:rsidR="007379AB" w:rsidRPr="00217EA0">
        <w:rPr>
          <w:color w:val="auto"/>
        </w:rPr>
        <w:fldChar w:fldCharType="begin"/>
      </w:r>
      <w:r w:rsidR="007379AB" w:rsidRPr="00217EA0">
        <w:rPr>
          <w:color w:val="auto"/>
        </w:rPr>
        <w:instrText xml:space="preserve"> REF Table_PBAC_21 \h  \* MERGEFORMAT </w:instrText>
      </w:r>
      <w:r w:rsidR="007379AB" w:rsidRPr="00217EA0">
        <w:rPr>
          <w:color w:val="auto"/>
        </w:rPr>
      </w:r>
      <w:r w:rsidR="007379AB" w:rsidRPr="00217EA0">
        <w:rPr>
          <w:color w:val="auto"/>
        </w:rPr>
        <w:fldChar w:fldCharType="separate"/>
      </w:r>
      <w:r w:rsidR="008378C4" w:rsidRPr="008378C4">
        <w:rPr>
          <w:color w:val="auto"/>
        </w:rPr>
        <w:t>Table 22</w:t>
      </w:r>
      <w:r w:rsidR="007379AB" w:rsidRPr="00217EA0">
        <w:rPr>
          <w:color w:val="auto"/>
        </w:rPr>
        <w:fldChar w:fldCharType="end"/>
      </w:r>
      <w:r w:rsidR="007379AB" w:rsidRPr="00217EA0">
        <w:rPr>
          <w:color w:val="auto"/>
        </w:rPr>
        <w:t>).</w:t>
      </w:r>
      <w:r w:rsidR="00C76D58" w:rsidRPr="00217EA0">
        <w:rPr>
          <w:color w:val="auto"/>
        </w:rPr>
        <w:t xml:space="preserve"> </w:t>
      </w:r>
      <w:r w:rsidR="00DD6DA1" w:rsidRPr="00217EA0">
        <w:rPr>
          <w:color w:val="auto"/>
        </w:rPr>
        <w:t>As</w:t>
      </w:r>
      <w:r w:rsidR="00C76D58" w:rsidRPr="00217EA0">
        <w:rPr>
          <w:color w:val="auto"/>
        </w:rPr>
        <w:t xml:space="preserve"> discussed in paragraph </w:t>
      </w:r>
      <w:r w:rsidR="00C76D58" w:rsidRPr="00217EA0">
        <w:rPr>
          <w:color w:val="auto"/>
        </w:rPr>
        <w:fldChar w:fldCharType="begin"/>
      </w:r>
      <w:r w:rsidR="00C76D58" w:rsidRPr="00217EA0">
        <w:rPr>
          <w:color w:val="auto"/>
        </w:rPr>
        <w:instrText xml:space="preserve"> REF _Ref184960281 \r \h </w:instrText>
      </w:r>
      <w:r w:rsidR="006E5453" w:rsidRPr="00217EA0">
        <w:rPr>
          <w:color w:val="auto"/>
        </w:rPr>
        <w:instrText xml:space="preserve"> \* MERGEFORMAT </w:instrText>
      </w:r>
      <w:r w:rsidR="00C76D58" w:rsidRPr="00217EA0">
        <w:rPr>
          <w:color w:val="auto"/>
        </w:rPr>
      </w:r>
      <w:r w:rsidR="00C76D58" w:rsidRPr="00217EA0">
        <w:rPr>
          <w:color w:val="auto"/>
        </w:rPr>
        <w:fldChar w:fldCharType="separate"/>
      </w:r>
      <w:r w:rsidR="008378C4">
        <w:rPr>
          <w:color w:val="auto"/>
        </w:rPr>
        <w:t>6.69</w:t>
      </w:r>
      <w:r w:rsidR="00C76D58" w:rsidRPr="00217EA0">
        <w:rPr>
          <w:color w:val="auto"/>
        </w:rPr>
        <w:fldChar w:fldCharType="end"/>
      </w:r>
      <w:r w:rsidR="00C76D58" w:rsidRPr="00217EA0">
        <w:rPr>
          <w:color w:val="auto"/>
        </w:rPr>
        <w:t xml:space="preserve">, </w:t>
      </w:r>
      <w:r w:rsidR="006E5453" w:rsidRPr="00217EA0">
        <w:rPr>
          <w:color w:val="auto"/>
        </w:rPr>
        <w:t xml:space="preserve">the evaluation considered that </w:t>
      </w:r>
      <w:r w:rsidR="00C76D58" w:rsidRPr="00217EA0">
        <w:rPr>
          <w:color w:val="auto"/>
        </w:rPr>
        <w:t xml:space="preserve">given the likely overestimate of OS in the submission’s MAIC, the results of sensitivity analyses around the OS extrapolations were unlikely to be informative in terms of providing a more accurate estimate of the cost effectiveness of </w:t>
      </w:r>
      <w:proofErr w:type="spellStart"/>
      <w:r w:rsidR="00C76D58" w:rsidRPr="00217EA0">
        <w:rPr>
          <w:color w:val="auto"/>
        </w:rPr>
        <w:t>futibatinib</w:t>
      </w:r>
      <w:proofErr w:type="spellEnd"/>
      <w:r w:rsidR="00C76D58" w:rsidRPr="00217EA0">
        <w:rPr>
          <w:color w:val="auto"/>
        </w:rPr>
        <w:t xml:space="preserve"> compared to FOLFOX.</w:t>
      </w:r>
      <w:bookmarkEnd w:id="75"/>
    </w:p>
    <w:p w14:paraId="0526243C" w14:textId="4AA67507" w:rsidR="003C24E4" w:rsidRPr="00217EA0" w:rsidRDefault="00B10B27" w:rsidP="2914E55D">
      <w:pPr>
        <w:pStyle w:val="ListParagraph"/>
        <w:rPr>
          <w:color w:val="auto"/>
        </w:rPr>
      </w:pPr>
      <w:bookmarkStart w:id="76" w:name="_Ref195255986"/>
      <w:r w:rsidRPr="00217EA0">
        <w:t>T</w:t>
      </w:r>
      <w:r w:rsidR="007C004B" w:rsidRPr="00217EA0">
        <w:t xml:space="preserve">he evaluation noted that the values of the Akaike information criteria (AIC) and Bayesian Information Criteria (BIC) scores for the OS extrapolation presented in the submission were identical in both model arms, </w:t>
      </w:r>
      <w:r w:rsidR="007D7821" w:rsidRPr="00217EA0">
        <w:t>which</w:t>
      </w:r>
      <w:r w:rsidR="007C004B" w:rsidRPr="00217EA0">
        <w:t xml:space="preserve"> appeared to be an error.</w:t>
      </w:r>
      <w:r w:rsidR="007D7821" w:rsidRPr="00217EA0">
        <w:t xml:space="preserve"> The sponsor, in the PSCR</w:t>
      </w:r>
      <w:r w:rsidR="00616275" w:rsidRPr="00217EA0">
        <w:t>,</w:t>
      </w:r>
      <w:r w:rsidR="00F52348" w:rsidRPr="00217EA0">
        <w:t xml:space="preserve"> </w:t>
      </w:r>
      <w:r w:rsidR="00636616" w:rsidRPr="00217EA0">
        <w:t xml:space="preserve">provided </w:t>
      </w:r>
      <w:r w:rsidR="00EB45B5" w:rsidRPr="00217EA0">
        <w:t>confirmation</w:t>
      </w:r>
      <w:r w:rsidR="00DC38E2" w:rsidRPr="00217EA0">
        <w:t xml:space="preserve"> that the AIC and BIC values in the model were correct</w:t>
      </w:r>
      <w:r w:rsidR="004F7B09" w:rsidRPr="00217EA0">
        <w:t xml:space="preserve"> for </w:t>
      </w:r>
      <w:proofErr w:type="spellStart"/>
      <w:r w:rsidR="004F7B09" w:rsidRPr="00217EA0">
        <w:t>futibatinib</w:t>
      </w:r>
      <w:proofErr w:type="spellEnd"/>
      <w:r w:rsidR="00DC38E2" w:rsidRPr="00217EA0">
        <w:t xml:space="preserve">, but </w:t>
      </w:r>
      <w:r w:rsidR="004F7B09" w:rsidRPr="00217EA0">
        <w:t xml:space="preserve">incorrect </w:t>
      </w:r>
      <w:r w:rsidR="00DC38E2" w:rsidRPr="00217EA0">
        <w:t>for FOLFOX OS</w:t>
      </w:r>
      <w:r w:rsidR="004F7B09" w:rsidRPr="00217EA0">
        <w:t xml:space="preserve">, and </w:t>
      </w:r>
      <w:r w:rsidR="00616275" w:rsidRPr="00217EA0">
        <w:t>updated</w:t>
      </w:r>
      <w:r w:rsidR="00DC38E2" w:rsidRPr="00217EA0">
        <w:t xml:space="preserve"> </w:t>
      </w:r>
      <w:r w:rsidR="00937EE2" w:rsidRPr="00217EA0">
        <w:t xml:space="preserve">the values </w:t>
      </w:r>
      <w:r w:rsidR="00DC38E2" w:rsidRPr="00217EA0">
        <w:t xml:space="preserve">in </w:t>
      </w:r>
      <w:r w:rsidR="004F7B09" w:rsidRPr="00217EA0">
        <w:t>the PSCR</w:t>
      </w:r>
      <w:r w:rsidR="00DC38E2" w:rsidRPr="00217EA0">
        <w:t>.</w:t>
      </w:r>
      <w:r w:rsidR="00A80FCA" w:rsidRPr="00217EA0">
        <w:t xml:space="preserve"> </w:t>
      </w:r>
      <w:r w:rsidR="00917FA7" w:rsidRPr="00217EA0">
        <w:t>H</w:t>
      </w:r>
      <w:r w:rsidR="00A80FCA" w:rsidRPr="00217EA0">
        <w:t>owever these appear to be the FOLFOX PFS AIC and BIC values and not the OS AIC and BIC values</w:t>
      </w:r>
      <w:r w:rsidR="00570CC7" w:rsidRPr="00217EA0">
        <w:t>,</w:t>
      </w:r>
      <w:r w:rsidR="00A80FCA" w:rsidRPr="00217EA0">
        <w:t xml:space="preserve"> as claimed.</w:t>
      </w:r>
      <w:bookmarkEnd w:id="76"/>
      <w:r w:rsidR="00B66364" w:rsidRPr="00217EA0">
        <w:t xml:space="preserve"> </w:t>
      </w:r>
    </w:p>
    <w:p w14:paraId="12C324C7" w14:textId="76891CE3" w:rsidR="00CD3D95" w:rsidRPr="00217EA0" w:rsidRDefault="007379AB" w:rsidP="2914E55D">
      <w:pPr>
        <w:pStyle w:val="ListParagraph"/>
        <w:rPr>
          <w:color w:val="auto"/>
        </w:rPr>
      </w:pPr>
      <w:r w:rsidRPr="00217EA0">
        <w:rPr>
          <w:color w:val="auto"/>
        </w:rPr>
        <w:t>The timepoint to s</w:t>
      </w:r>
      <w:r w:rsidR="00CD3D95" w:rsidRPr="00217EA0">
        <w:rPr>
          <w:color w:val="auto"/>
        </w:rPr>
        <w:t xml:space="preserve">witch from KM </w:t>
      </w:r>
      <w:r w:rsidR="0004150B" w:rsidRPr="00217EA0">
        <w:rPr>
          <w:color w:val="auto"/>
        </w:rPr>
        <w:t xml:space="preserve">data </w:t>
      </w:r>
      <w:r w:rsidR="00CD3D95" w:rsidRPr="00217EA0">
        <w:rPr>
          <w:color w:val="auto"/>
        </w:rPr>
        <w:t xml:space="preserve">to extrapolation was estimated based on </w:t>
      </w:r>
      <w:proofErr w:type="spellStart"/>
      <w:r w:rsidR="00CD3D95" w:rsidRPr="00217EA0">
        <w:rPr>
          <w:color w:val="auto"/>
        </w:rPr>
        <w:t>Gebski</w:t>
      </w:r>
      <w:proofErr w:type="spellEnd"/>
      <w:r w:rsidR="00CD3D95" w:rsidRPr="00217EA0">
        <w:rPr>
          <w:color w:val="auto"/>
        </w:rPr>
        <w:t xml:space="preserve"> 2006. The switch occurred at 22 months for OS</w:t>
      </w:r>
      <w:r w:rsidR="00EE5181" w:rsidRPr="00217EA0">
        <w:rPr>
          <w:color w:val="auto"/>
        </w:rPr>
        <w:t>,</w:t>
      </w:r>
      <w:r w:rsidR="00CD3D95" w:rsidRPr="00217EA0">
        <w:rPr>
          <w:color w:val="auto"/>
        </w:rPr>
        <w:t xml:space="preserve"> and 14 months for OS for </w:t>
      </w:r>
      <w:proofErr w:type="spellStart"/>
      <w:r w:rsidR="00CD3D95" w:rsidRPr="00217EA0">
        <w:rPr>
          <w:color w:val="auto"/>
        </w:rPr>
        <w:t>futibatinib</w:t>
      </w:r>
      <w:proofErr w:type="spellEnd"/>
      <w:r w:rsidR="00CD3D95" w:rsidRPr="00217EA0">
        <w:rPr>
          <w:color w:val="auto"/>
        </w:rPr>
        <w:t xml:space="preserve"> and 11 months for OS and 7 months for PFS for FOLFOX.</w:t>
      </w:r>
    </w:p>
    <w:p w14:paraId="459EC6D7" w14:textId="7875AE35" w:rsidR="00CD3D95" w:rsidRPr="00217EA0" w:rsidRDefault="00CD3D95" w:rsidP="2914E55D">
      <w:pPr>
        <w:pStyle w:val="ListParagraph"/>
        <w:rPr>
          <w:color w:val="auto"/>
        </w:rPr>
      </w:pPr>
      <w:bookmarkStart w:id="77" w:name="_Ref195255821"/>
      <w:r w:rsidRPr="00217EA0">
        <w:rPr>
          <w:color w:val="auto"/>
        </w:rPr>
        <w:t xml:space="preserve">The submission did not model time to treatment discontinuation </w:t>
      </w:r>
      <w:r w:rsidR="000C70DD" w:rsidRPr="00217EA0">
        <w:rPr>
          <w:color w:val="auto"/>
        </w:rPr>
        <w:t xml:space="preserve">(TTD) </w:t>
      </w:r>
      <w:r w:rsidRPr="00217EA0">
        <w:rPr>
          <w:color w:val="auto"/>
        </w:rPr>
        <w:t>separately</w:t>
      </w:r>
      <w:r w:rsidR="00902CF7" w:rsidRPr="00217EA0">
        <w:rPr>
          <w:color w:val="auto"/>
        </w:rPr>
        <w:t>,</w:t>
      </w:r>
      <w:r w:rsidRPr="00217EA0">
        <w:rPr>
          <w:color w:val="auto"/>
        </w:rPr>
        <w:t xml:space="preserve"> but rather assumed that patients in the </w:t>
      </w:r>
      <w:proofErr w:type="spellStart"/>
      <w:r w:rsidRPr="00217EA0">
        <w:rPr>
          <w:color w:val="auto"/>
        </w:rPr>
        <w:t>futibatinib</w:t>
      </w:r>
      <w:proofErr w:type="spellEnd"/>
      <w:r w:rsidRPr="00217EA0">
        <w:rPr>
          <w:color w:val="auto"/>
        </w:rPr>
        <w:t xml:space="preserve"> arm of the model are treated until progression. During the evaluation it was note</w:t>
      </w:r>
      <w:r w:rsidR="000C70DD" w:rsidRPr="00217EA0">
        <w:rPr>
          <w:color w:val="auto"/>
        </w:rPr>
        <w:t>d</w:t>
      </w:r>
      <w:r w:rsidRPr="00217EA0">
        <w:rPr>
          <w:color w:val="auto"/>
        </w:rPr>
        <w:t xml:space="preserve"> that the median PFS in the model was 12.4 months, and that the mean (estimated by summing the PFS 3-week transition probabilities) was 57.78 weeks (13.3 months)</w:t>
      </w:r>
      <w:r w:rsidR="00745525" w:rsidRPr="00217EA0">
        <w:rPr>
          <w:color w:val="auto"/>
        </w:rPr>
        <w:t xml:space="preserve"> (after correcting for the half cycle</w:t>
      </w:r>
      <w:r w:rsidR="00F66DC1" w:rsidRPr="00217EA0">
        <w:rPr>
          <w:color w:val="auto"/>
        </w:rPr>
        <w:t xml:space="preserve"> correction</w:t>
      </w:r>
      <w:r w:rsidR="00745525" w:rsidRPr="00217EA0">
        <w:rPr>
          <w:color w:val="auto"/>
        </w:rPr>
        <w:t xml:space="preserve"> </w:t>
      </w:r>
      <w:r w:rsidR="00E2349E" w:rsidRPr="00217EA0">
        <w:rPr>
          <w:color w:val="auto"/>
        </w:rPr>
        <w:t xml:space="preserve">errors as described in paragraph </w:t>
      </w:r>
      <w:r w:rsidR="00E2349E" w:rsidRPr="00217EA0">
        <w:rPr>
          <w:color w:val="auto"/>
        </w:rPr>
        <w:fldChar w:fldCharType="begin"/>
      </w:r>
      <w:r w:rsidR="00E2349E" w:rsidRPr="00217EA0">
        <w:rPr>
          <w:color w:val="auto"/>
        </w:rPr>
        <w:instrText xml:space="preserve"> REF _Ref185845215 \r \h </w:instrText>
      </w:r>
      <w:r w:rsidR="00F04822" w:rsidRPr="00217EA0">
        <w:rPr>
          <w:color w:val="auto"/>
        </w:rPr>
        <w:instrText xml:space="preserve"> \* MERGEFORMAT </w:instrText>
      </w:r>
      <w:r w:rsidR="00E2349E" w:rsidRPr="00217EA0">
        <w:rPr>
          <w:color w:val="auto"/>
        </w:rPr>
      </w:r>
      <w:r w:rsidR="00E2349E" w:rsidRPr="00217EA0">
        <w:rPr>
          <w:color w:val="auto"/>
        </w:rPr>
        <w:fldChar w:fldCharType="separate"/>
      </w:r>
      <w:r w:rsidR="008378C4">
        <w:rPr>
          <w:color w:val="auto"/>
        </w:rPr>
        <w:t>6.72</w:t>
      </w:r>
      <w:r w:rsidR="00E2349E" w:rsidRPr="00217EA0">
        <w:rPr>
          <w:color w:val="auto"/>
        </w:rPr>
        <w:fldChar w:fldCharType="end"/>
      </w:r>
      <w:r w:rsidR="00E2349E" w:rsidRPr="00217EA0">
        <w:rPr>
          <w:color w:val="auto"/>
        </w:rPr>
        <w:t>)</w:t>
      </w:r>
      <w:r w:rsidRPr="00217EA0">
        <w:rPr>
          <w:color w:val="auto"/>
        </w:rPr>
        <w:t>.</w:t>
      </w:r>
      <w:r w:rsidR="00040793" w:rsidRPr="00217EA0">
        <w:rPr>
          <w:color w:val="auto"/>
        </w:rPr>
        <w:t xml:space="preserve"> </w:t>
      </w:r>
      <w:r w:rsidR="006922D5" w:rsidRPr="00217EA0">
        <w:rPr>
          <w:color w:val="auto"/>
        </w:rPr>
        <w:t>A</w:t>
      </w:r>
      <w:r w:rsidR="00090388" w:rsidRPr="00217EA0">
        <w:rPr>
          <w:color w:val="auto"/>
        </w:rPr>
        <w:t xml:space="preserve">s discussed in </w:t>
      </w:r>
      <w:r w:rsidR="004308AD" w:rsidRPr="00217EA0">
        <w:rPr>
          <w:color w:val="auto"/>
        </w:rPr>
        <w:t xml:space="preserve">paragraph </w:t>
      </w:r>
      <w:r w:rsidR="007656AC" w:rsidRPr="00217EA0">
        <w:rPr>
          <w:color w:val="auto"/>
        </w:rPr>
        <w:fldChar w:fldCharType="begin"/>
      </w:r>
      <w:r w:rsidR="007656AC" w:rsidRPr="00217EA0">
        <w:rPr>
          <w:color w:val="auto"/>
        </w:rPr>
        <w:instrText xml:space="preserve"> REF _Ref187800171 \r \h </w:instrText>
      </w:r>
      <w:r w:rsidR="00F04822" w:rsidRPr="00217EA0">
        <w:rPr>
          <w:color w:val="auto"/>
        </w:rPr>
        <w:instrText xml:space="preserve"> \* MERGEFORMAT </w:instrText>
      </w:r>
      <w:r w:rsidR="007656AC" w:rsidRPr="00217EA0">
        <w:rPr>
          <w:color w:val="auto"/>
        </w:rPr>
      </w:r>
      <w:r w:rsidR="007656AC" w:rsidRPr="00217EA0">
        <w:rPr>
          <w:color w:val="auto"/>
        </w:rPr>
        <w:fldChar w:fldCharType="separate"/>
      </w:r>
      <w:r w:rsidR="008378C4">
        <w:rPr>
          <w:color w:val="auto"/>
        </w:rPr>
        <w:t>3.5</w:t>
      </w:r>
      <w:r w:rsidR="007656AC" w:rsidRPr="00217EA0">
        <w:rPr>
          <w:color w:val="auto"/>
        </w:rPr>
        <w:fldChar w:fldCharType="end"/>
      </w:r>
      <w:r w:rsidR="007656AC" w:rsidRPr="00217EA0">
        <w:rPr>
          <w:color w:val="auto"/>
        </w:rPr>
        <w:t xml:space="preserve">, 13% of patients in FOENIX-CCA2 used </w:t>
      </w:r>
      <w:proofErr w:type="spellStart"/>
      <w:r w:rsidR="00DF4463" w:rsidRPr="00217EA0">
        <w:rPr>
          <w:color w:val="auto"/>
        </w:rPr>
        <w:t>futibatinib</w:t>
      </w:r>
      <w:proofErr w:type="spellEnd"/>
      <w:r w:rsidR="00DF4463" w:rsidRPr="00217EA0">
        <w:rPr>
          <w:color w:val="auto"/>
        </w:rPr>
        <w:t xml:space="preserve"> beyond progression. </w:t>
      </w:r>
      <w:r w:rsidR="00B046C6" w:rsidRPr="00217EA0">
        <w:rPr>
          <w:color w:val="auto"/>
        </w:rPr>
        <w:t xml:space="preserve">The </w:t>
      </w:r>
      <w:r w:rsidR="00686450" w:rsidRPr="00217EA0">
        <w:rPr>
          <w:color w:val="auto"/>
        </w:rPr>
        <w:t>ESC</w:t>
      </w:r>
      <w:r w:rsidR="00BE01D3" w:rsidRPr="00217EA0">
        <w:rPr>
          <w:color w:val="auto"/>
        </w:rPr>
        <w:t>s</w:t>
      </w:r>
      <w:r w:rsidR="00686450" w:rsidRPr="00217EA0">
        <w:rPr>
          <w:color w:val="auto"/>
        </w:rPr>
        <w:t xml:space="preserve"> noted that using PFS instead of TTD </w:t>
      </w:r>
      <w:r w:rsidR="005F581F" w:rsidRPr="00217EA0">
        <w:rPr>
          <w:color w:val="auto"/>
        </w:rPr>
        <w:t xml:space="preserve">would underestimate </w:t>
      </w:r>
      <w:r w:rsidR="00D106AA" w:rsidRPr="00217EA0">
        <w:rPr>
          <w:color w:val="auto"/>
        </w:rPr>
        <w:t xml:space="preserve">the </w:t>
      </w:r>
      <w:r w:rsidR="00686450" w:rsidRPr="00217EA0">
        <w:rPr>
          <w:color w:val="auto"/>
        </w:rPr>
        <w:t>treatment duration</w:t>
      </w:r>
      <w:r w:rsidR="00D106AA" w:rsidRPr="00217EA0">
        <w:rPr>
          <w:color w:val="auto"/>
        </w:rPr>
        <w:t>, and therefore the cost,</w:t>
      </w:r>
      <w:r w:rsidR="00686450" w:rsidRPr="00217EA0">
        <w:rPr>
          <w:color w:val="auto"/>
        </w:rPr>
        <w:t xml:space="preserve"> of </w:t>
      </w:r>
      <w:proofErr w:type="spellStart"/>
      <w:r w:rsidR="00686450" w:rsidRPr="00217EA0">
        <w:rPr>
          <w:color w:val="auto"/>
        </w:rPr>
        <w:t>futi</w:t>
      </w:r>
      <w:r w:rsidR="005F581F" w:rsidRPr="00217EA0">
        <w:rPr>
          <w:color w:val="auto"/>
        </w:rPr>
        <w:t>batinib</w:t>
      </w:r>
      <w:proofErr w:type="spellEnd"/>
      <w:r w:rsidR="005F581F" w:rsidRPr="00217EA0">
        <w:rPr>
          <w:color w:val="auto"/>
        </w:rPr>
        <w:t xml:space="preserve">. </w:t>
      </w:r>
      <w:r w:rsidR="00C14204">
        <w:rPr>
          <w:color w:val="auto"/>
        </w:rPr>
        <w:t xml:space="preserve">The Pre-PBAC response contended that </w:t>
      </w:r>
      <w:r w:rsidR="005E0E34">
        <w:rPr>
          <w:color w:val="auto"/>
        </w:rPr>
        <w:t>not all remaining patients would be treated until pro</w:t>
      </w:r>
      <w:r w:rsidR="00BE3074">
        <w:rPr>
          <w:color w:val="auto"/>
        </w:rPr>
        <w:t>gression due to A</w:t>
      </w:r>
      <w:r w:rsidR="00812D5F">
        <w:rPr>
          <w:color w:val="auto"/>
        </w:rPr>
        <w:t>E</w:t>
      </w:r>
      <w:r w:rsidR="00BE3074">
        <w:rPr>
          <w:color w:val="auto"/>
        </w:rPr>
        <w:t xml:space="preserve">s, </w:t>
      </w:r>
      <w:r w:rsidR="00812D5F" w:rsidRPr="00812D5F">
        <w:rPr>
          <w:color w:val="auto"/>
        </w:rPr>
        <w:t>withdrawal of consent</w:t>
      </w:r>
      <w:r w:rsidR="007C3EEE">
        <w:rPr>
          <w:color w:val="auto"/>
        </w:rPr>
        <w:t>,</w:t>
      </w:r>
      <w:r w:rsidR="00812D5F" w:rsidRPr="00812D5F">
        <w:rPr>
          <w:color w:val="auto"/>
        </w:rPr>
        <w:t xml:space="preserve"> and investigator driven discontinuation.</w:t>
      </w:r>
      <w:bookmarkEnd w:id="77"/>
    </w:p>
    <w:p w14:paraId="692D0E26" w14:textId="0848FF25" w:rsidR="006D6F2F" w:rsidRPr="00217EA0" w:rsidRDefault="00CD3D95" w:rsidP="2914E55D">
      <w:pPr>
        <w:pStyle w:val="ListParagraph"/>
        <w:rPr>
          <w:color w:val="auto"/>
        </w:rPr>
      </w:pPr>
      <w:r w:rsidRPr="00217EA0">
        <w:rPr>
          <w:color w:val="auto"/>
        </w:rPr>
        <w:t>The submission estimated treatment specific health state utilities</w:t>
      </w:r>
      <w:r w:rsidR="006C36D5" w:rsidRPr="00217EA0">
        <w:rPr>
          <w:color w:val="auto"/>
        </w:rPr>
        <w:t xml:space="preserve"> (see </w:t>
      </w:r>
      <w:r w:rsidR="006C36D5" w:rsidRPr="00217EA0">
        <w:rPr>
          <w:color w:val="auto"/>
        </w:rPr>
        <w:fldChar w:fldCharType="begin"/>
      </w:r>
      <w:r w:rsidR="006C36D5" w:rsidRPr="00217EA0">
        <w:rPr>
          <w:color w:val="auto"/>
        </w:rPr>
        <w:instrText xml:space="preserve"> REF _Ref187799226 \h </w:instrText>
      </w:r>
      <w:r w:rsidR="00F04822" w:rsidRPr="00217EA0">
        <w:rPr>
          <w:color w:val="auto"/>
        </w:rPr>
        <w:instrText xml:space="preserve"> \* MERGEFORMAT </w:instrText>
      </w:r>
      <w:r w:rsidR="006C36D5" w:rsidRPr="00217EA0">
        <w:rPr>
          <w:color w:val="auto"/>
        </w:rPr>
      </w:r>
      <w:r w:rsidR="006C36D5" w:rsidRPr="00217EA0">
        <w:rPr>
          <w:color w:val="auto"/>
        </w:rPr>
        <w:fldChar w:fldCharType="separate"/>
      </w:r>
      <w:r w:rsidR="008378C4" w:rsidRPr="00217EA0">
        <w:t>Table</w:t>
      </w:r>
      <w:r w:rsidR="008378C4">
        <w:t xml:space="preserve"> 19</w:t>
      </w:r>
      <w:r w:rsidR="006C36D5" w:rsidRPr="00217EA0">
        <w:rPr>
          <w:color w:val="auto"/>
        </w:rPr>
        <w:fldChar w:fldCharType="end"/>
      </w:r>
      <w:r w:rsidR="006C36D5" w:rsidRPr="00217EA0">
        <w:rPr>
          <w:color w:val="auto"/>
        </w:rPr>
        <w:t>)</w:t>
      </w:r>
      <w:r w:rsidRPr="00217EA0">
        <w:rPr>
          <w:color w:val="auto"/>
        </w:rPr>
        <w:t xml:space="preserve">. </w:t>
      </w:r>
      <w:r w:rsidR="007379AB" w:rsidRPr="00217EA0">
        <w:rPr>
          <w:color w:val="auto"/>
        </w:rPr>
        <w:t xml:space="preserve">The difference in PFS health state utilities was based on the assumption of </w:t>
      </w:r>
      <w:r w:rsidR="008453BA" w:rsidRPr="00217EA0">
        <w:rPr>
          <w:color w:val="auto"/>
        </w:rPr>
        <w:t xml:space="preserve">greater </w:t>
      </w:r>
      <w:r w:rsidR="006D6F2F" w:rsidRPr="00217EA0">
        <w:rPr>
          <w:color w:val="auto"/>
        </w:rPr>
        <w:t xml:space="preserve">toxicity associated with FOLFOX. </w:t>
      </w:r>
      <w:r w:rsidR="00F04822" w:rsidRPr="00217EA0">
        <w:rPr>
          <w:color w:val="auto"/>
        </w:rPr>
        <w:t>The evaluation considered that u</w:t>
      </w:r>
      <w:r w:rsidR="006D6F2F" w:rsidRPr="00217EA0">
        <w:rPr>
          <w:color w:val="auto"/>
        </w:rPr>
        <w:t xml:space="preserve">sing the unadjusted utility values </w:t>
      </w:r>
      <w:r w:rsidR="00DD5157" w:rsidRPr="00217EA0">
        <w:rPr>
          <w:color w:val="auto"/>
        </w:rPr>
        <w:t>(rather than change from baseline)</w:t>
      </w:r>
      <w:r w:rsidR="00A35C68" w:rsidRPr="00217EA0">
        <w:rPr>
          <w:color w:val="auto"/>
        </w:rPr>
        <w:t xml:space="preserve"> </w:t>
      </w:r>
      <w:r w:rsidR="006D6F2F" w:rsidRPr="00217EA0">
        <w:rPr>
          <w:color w:val="auto"/>
        </w:rPr>
        <w:t xml:space="preserve">biased the results in favour of </w:t>
      </w:r>
      <w:proofErr w:type="spellStart"/>
      <w:r w:rsidR="006D6F2F" w:rsidRPr="00217EA0">
        <w:rPr>
          <w:color w:val="auto"/>
        </w:rPr>
        <w:t>futibatinib</w:t>
      </w:r>
      <w:proofErr w:type="spellEnd"/>
      <w:r w:rsidR="006D6F2F" w:rsidRPr="00217EA0">
        <w:rPr>
          <w:color w:val="auto"/>
        </w:rPr>
        <w:t xml:space="preserve"> given the lower baseline value in ABC-06 (0.77) compared to FOENIX CCA2 (0.796).</w:t>
      </w:r>
      <w:r w:rsidR="00B50ACB" w:rsidRPr="00217EA0">
        <w:rPr>
          <w:color w:val="auto"/>
        </w:rPr>
        <w:t xml:space="preserve"> For example, the change from baseline to month 4 values </w:t>
      </w:r>
      <w:r w:rsidR="00FE41EE" w:rsidRPr="00217EA0">
        <w:rPr>
          <w:color w:val="auto"/>
        </w:rPr>
        <w:t xml:space="preserve">for PFS </w:t>
      </w:r>
      <w:r w:rsidR="00B50ACB" w:rsidRPr="00217EA0">
        <w:rPr>
          <w:color w:val="auto"/>
        </w:rPr>
        <w:t>in ABC-06 was 0.07 (0.77 – 0.70), if the baseline value was 0.796 (as in FOENIX-CCA2) the PFS utility for FOLFOX would be 0.7</w:t>
      </w:r>
      <w:r w:rsidR="00FE41EE" w:rsidRPr="00217EA0">
        <w:rPr>
          <w:color w:val="auto"/>
        </w:rPr>
        <w:t xml:space="preserve">26 instead of the 0.70 reported. </w:t>
      </w:r>
      <w:r w:rsidR="0053364F" w:rsidRPr="00217EA0">
        <w:rPr>
          <w:color w:val="auto"/>
        </w:rPr>
        <w:t xml:space="preserve">The ESCs considered that the application of treatment-specific utilities was not supported and favoured </w:t>
      </w:r>
      <w:proofErr w:type="spellStart"/>
      <w:r w:rsidR="0053364F" w:rsidRPr="00217EA0">
        <w:rPr>
          <w:color w:val="auto"/>
        </w:rPr>
        <w:t>futibatinib</w:t>
      </w:r>
      <w:proofErr w:type="spellEnd"/>
      <w:r w:rsidR="0053364F" w:rsidRPr="00217EA0">
        <w:rPr>
          <w:color w:val="auto"/>
        </w:rPr>
        <w:t>.</w:t>
      </w:r>
    </w:p>
    <w:p w14:paraId="3F7DF1EB" w14:textId="25244728" w:rsidR="006C36D5" w:rsidRPr="00217EA0" w:rsidRDefault="006C36D5" w:rsidP="00FA13F3">
      <w:pPr>
        <w:pStyle w:val="Caption"/>
      </w:pPr>
      <w:bookmarkStart w:id="78" w:name="_Ref187799226"/>
      <w:r w:rsidRPr="00217EA0">
        <w:t>Table</w:t>
      </w:r>
      <w:r w:rsidR="00DC28D0">
        <w:t xml:space="preserve"> </w:t>
      </w:r>
      <w:r w:rsidR="00E600E3" w:rsidRPr="00217EA0">
        <w:fldChar w:fldCharType="begin"/>
      </w:r>
      <w:r w:rsidR="00E600E3" w:rsidRPr="00217EA0">
        <w:instrText xml:space="preserve"> SEQ Table_PBAC. \* ARABIC </w:instrText>
      </w:r>
      <w:r w:rsidR="00E600E3" w:rsidRPr="00217EA0">
        <w:fldChar w:fldCharType="separate"/>
      </w:r>
      <w:r w:rsidR="008378C4">
        <w:rPr>
          <w:noProof/>
        </w:rPr>
        <w:t>19</w:t>
      </w:r>
      <w:r w:rsidR="00E600E3" w:rsidRPr="00217EA0">
        <w:fldChar w:fldCharType="end"/>
      </w:r>
      <w:bookmarkEnd w:id="78"/>
      <w:r w:rsidRPr="00217EA0">
        <w:t>: Utility values used in the model</w:t>
      </w:r>
    </w:p>
    <w:tbl>
      <w:tblPr>
        <w:tblStyle w:val="ASDTable1"/>
        <w:tblW w:w="5000" w:type="pct"/>
        <w:tblLook w:val="04A0" w:firstRow="1" w:lastRow="0" w:firstColumn="1" w:lastColumn="0" w:noHBand="0" w:noVBand="1"/>
        <w:tblCaption w:val="Table 19: Utility values used in the model"/>
      </w:tblPr>
      <w:tblGrid>
        <w:gridCol w:w="1912"/>
        <w:gridCol w:w="1960"/>
        <w:gridCol w:w="1435"/>
        <w:gridCol w:w="3709"/>
      </w:tblGrid>
      <w:tr w:rsidR="006C36D5" w:rsidRPr="00217EA0" w14:paraId="6A2E2E8C" w14:textId="77777777" w:rsidTr="00406E85">
        <w:tc>
          <w:tcPr>
            <w:tcW w:w="1060" w:type="pct"/>
            <w:vAlign w:val="center"/>
          </w:tcPr>
          <w:p w14:paraId="5DB69AE9" w14:textId="77777777" w:rsidR="006C36D5" w:rsidRPr="00217EA0" w:rsidRDefault="006C36D5">
            <w:pPr>
              <w:pStyle w:val="TableText"/>
              <w:rPr>
                <w:b/>
                <w:bCs/>
              </w:rPr>
            </w:pPr>
            <w:r w:rsidRPr="00217EA0">
              <w:rPr>
                <w:b/>
                <w:bCs/>
              </w:rPr>
              <w:t>Health state or event</w:t>
            </w:r>
          </w:p>
        </w:tc>
        <w:tc>
          <w:tcPr>
            <w:tcW w:w="1087" w:type="pct"/>
            <w:vAlign w:val="center"/>
          </w:tcPr>
          <w:p w14:paraId="4161D4FB" w14:textId="77777777" w:rsidR="006C36D5" w:rsidRPr="00217EA0" w:rsidRDefault="006C36D5">
            <w:pPr>
              <w:pStyle w:val="TableText"/>
              <w:jc w:val="center"/>
              <w:rPr>
                <w:b/>
                <w:bCs/>
              </w:rPr>
            </w:pPr>
            <w:r w:rsidRPr="00217EA0">
              <w:rPr>
                <w:b/>
                <w:bCs/>
              </w:rPr>
              <w:t>Mean utility</w:t>
            </w:r>
          </w:p>
        </w:tc>
        <w:tc>
          <w:tcPr>
            <w:tcW w:w="796" w:type="pct"/>
            <w:vAlign w:val="center"/>
          </w:tcPr>
          <w:p w14:paraId="61347015" w14:textId="77777777" w:rsidR="006C36D5" w:rsidRPr="00217EA0" w:rsidRDefault="006C36D5">
            <w:pPr>
              <w:pStyle w:val="TableText"/>
              <w:jc w:val="center"/>
              <w:rPr>
                <w:b/>
                <w:bCs/>
              </w:rPr>
            </w:pPr>
            <w:r w:rsidRPr="00217EA0">
              <w:rPr>
                <w:b/>
                <w:bCs/>
              </w:rPr>
              <w:t>Instrument</w:t>
            </w:r>
          </w:p>
        </w:tc>
        <w:tc>
          <w:tcPr>
            <w:tcW w:w="2058" w:type="pct"/>
            <w:vAlign w:val="center"/>
          </w:tcPr>
          <w:p w14:paraId="33BCB9BC" w14:textId="77777777" w:rsidR="006C36D5" w:rsidRPr="00217EA0" w:rsidRDefault="006C36D5">
            <w:pPr>
              <w:pStyle w:val="TableText"/>
              <w:jc w:val="center"/>
              <w:rPr>
                <w:b/>
                <w:bCs/>
              </w:rPr>
            </w:pPr>
            <w:r w:rsidRPr="00217EA0">
              <w:rPr>
                <w:b/>
                <w:bCs/>
              </w:rPr>
              <w:t>Source</w:t>
            </w:r>
          </w:p>
        </w:tc>
      </w:tr>
      <w:tr w:rsidR="006C36D5" w:rsidRPr="00217EA0" w14:paraId="2F448020" w14:textId="77777777" w:rsidTr="00406E85">
        <w:tc>
          <w:tcPr>
            <w:tcW w:w="1060" w:type="pct"/>
            <w:vAlign w:val="center"/>
          </w:tcPr>
          <w:p w14:paraId="08BC951E" w14:textId="4B832F2B" w:rsidR="006C36D5" w:rsidRPr="00217EA0" w:rsidRDefault="006C36D5" w:rsidP="2914E55D">
            <w:pPr>
              <w:pStyle w:val="TableText"/>
            </w:pPr>
            <w:r w:rsidRPr="00217EA0">
              <w:t xml:space="preserve">PFS - </w:t>
            </w:r>
            <w:proofErr w:type="spellStart"/>
            <w:r w:rsidRPr="00217EA0">
              <w:t>futibatinib</w:t>
            </w:r>
            <w:proofErr w:type="spellEnd"/>
          </w:p>
        </w:tc>
        <w:tc>
          <w:tcPr>
            <w:tcW w:w="1087" w:type="pct"/>
            <w:vAlign w:val="center"/>
          </w:tcPr>
          <w:p w14:paraId="45B154B9" w14:textId="77777777" w:rsidR="006C36D5" w:rsidRPr="00217EA0" w:rsidRDefault="006C36D5">
            <w:pPr>
              <w:pStyle w:val="TableText"/>
              <w:jc w:val="center"/>
            </w:pPr>
            <w:r w:rsidRPr="00217EA0">
              <w:t>0.796</w:t>
            </w:r>
          </w:p>
        </w:tc>
        <w:tc>
          <w:tcPr>
            <w:tcW w:w="796" w:type="pct"/>
            <w:vAlign w:val="center"/>
          </w:tcPr>
          <w:p w14:paraId="3F0C1938" w14:textId="77777777" w:rsidR="006C36D5" w:rsidRPr="00217EA0" w:rsidRDefault="006C36D5">
            <w:pPr>
              <w:pStyle w:val="TableText"/>
              <w:jc w:val="center"/>
            </w:pPr>
            <w:r w:rsidRPr="00217EA0">
              <w:t>EQ-5D-3L</w:t>
            </w:r>
          </w:p>
        </w:tc>
        <w:tc>
          <w:tcPr>
            <w:tcW w:w="2058" w:type="pct"/>
            <w:vAlign w:val="center"/>
          </w:tcPr>
          <w:p w14:paraId="4E305548" w14:textId="3676EB54" w:rsidR="006C36D5" w:rsidRPr="00217EA0" w:rsidRDefault="006C36D5">
            <w:pPr>
              <w:pStyle w:val="TableText"/>
              <w:jc w:val="center"/>
            </w:pPr>
            <w:r w:rsidRPr="00217EA0">
              <w:t>FOENIX-CCA</w:t>
            </w:r>
            <w:r w:rsidR="00B50ACB" w:rsidRPr="00217EA0">
              <w:t>2</w:t>
            </w:r>
          </w:p>
        </w:tc>
      </w:tr>
      <w:tr w:rsidR="006C36D5" w:rsidRPr="00217EA0" w14:paraId="33D15C29" w14:textId="77777777" w:rsidTr="00406E85">
        <w:tc>
          <w:tcPr>
            <w:tcW w:w="1060" w:type="pct"/>
            <w:vAlign w:val="center"/>
          </w:tcPr>
          <w:p w14:paraId="71F424B6" w14:textId="77777777" w:rsidR="006C36D5" w:rsidRPr="00217EA0" w:rsidRDefault="006C36D5">
            <w:pPr>
              <w:pStyle w:val="TableText"/>
            </w:pPr>
            <w:r w:rsidRPr="00217EA0">
              <w:t>PFS - FOLFOX</w:t>
            </w:r>
          </w:p>
        </w:tc>
        <w:tc>
          <w:tcPr>
            <w:tcW w:w="1087" w:type="pct"/>
            <w:vAlign w:val="center"/>
          </w:tcPr>
          <w:p w14:paraId="3E315932" w14:textId="77777777" w:rsidR="006C36D5" w:rsidRPr="00217EA0" w:rsidRDefault="006C36D5">
            <w:pPr>
              <w:pStyle w:val="TableText"/>
              <w:jc w:val="center"/>
            </w:pPr>
            <w:r w:rsidRPr="00217EA0">
              <w:t>0.70</w:t>
            </w:r>
          </w:p>
        </w:tc>
        <w:tc>
          <w:tcPr>
            <w:tcW w:w="796" w:type="pct"/>
            <w:vAlign w:val="center"/>
          </w:tcPr>
          <w:p w14:paraId="0637AF68" w14:textId="77777777" w:rsidR="006C36D5" w:rsidRPr="00217EA0" w:rsidRDefault="006C36D5">
            <w:pPr>
              <w:pStyle w:val="TableText"/>
              <w:jc w:val="center"/>
            </w:pPr>
            <w:r w:rsidRPr="00217EA0">
              <w:t>EQ-5D</w:t>
            </w:r>
          </w:p>
        </w:tc>
        <w:tc>
          <w:tcPr>
            <w:tcW w:w="2058" w:type="pct"/>
            <w:vAlign w:val="center"/>
          </w:tcPr>
          <w:p w14:paraId="2150CCE6" w14:textId="30D41688" w:rsidR="006C36D5" w:rsidRPr="00217EA0" w:rsidRDefault="006C36D5">
            <w:pPr>
              <w:pStyle w:val="TableText"/>
              <w:jc w:val="center"/>
              <w:rPr>
                <w:vertAlign w:val="superscript"/>
              </w:rPr>
            </w:pPr>
            <w:r w:rsidRPr="00217EA0">
              <w:t>ABC-06 supplementary, month 4 visit results</w:t>
            </w:r>
            <w:r w:rsidR="00A35C68" w:rsidRPr="00217EA0">
              <w:t xml:space="preserve"> </w:t>
            </w:r>
            <w:r w:rsidR="00A35C68" w:rsidRPr="00217EA0">
              <w:rPr>
                <w:vertAlign w:val="superscript"/>
              </w:rPr>
              <w:t>a</w:t>
            </w:r>
          </w:p>
        </w:tc>
      </w:tr>
      <w:tr w:rsidR="006C36D5" w:rsidRPr="00217EA0" w14:paraId="5F6E2004" w14:textId="77777777" w:rsidTr="00406E85">
        <w:tc>
          <w:tcPr>
            <w:tcW w:w="1060" w:type="pct"/>
            <w:vAlign w:val="center"/>
          </w:tcPr>
          <w:p w14:paraId="01C96B1D" w14:textId="29446482" w:rsidR="006C36D5" w:rsidRPr="00217EA0" w:rsidRDefault="006C36D5" w:rsidP="2914E55D">
            <w:pPr>
              <w:pStyle w:val="TableText"/>
            </w:pPr>
            <w:r w:rsidRPr="00217EA0">
              <w:t xml:space="preserve">PD - </w:t>
            </w:r>
            <w:proofErr w:type="spellStart"/>
            <w:r w:rsidRPr="00217EA0">
              <w:t>futibatinib</w:t>
            </w:r>
            <w:proofErr w:type="spellEnd"/>
          </w:p>
        </w:tc>
        <w:tc>
          <w:tcPr>
            <w:tcW w:w="1087" w:type="pct"/>
            <w:vAlign w:val="center"/>
          </w:tcPr>
          <w:p w14:paraId="271EDF53" w14:textId="77777777" w:rsidR="006C36D5" w:rsidRPr="00217EA0" w:rsidRDefault="006C36D5">
            <w:pPr>
              <w:pStyle w:val="TableText"/>
              <w:jc w:val="center"/>
            </w:pPr>
            <w:r w:rsidRPr="00217EA0">
              <w:t>0.68</w:t>
            </w:r>
          </w:p>
          <w:p w14:paraId="666A37F0" w14:textId="77777777" w:rsidR="006C36D5" w:rsidRPr="00217EA0" w:rsidRDefault="006C36D5">
            <w:pPr>
              <w:pStyle w:val="TableText"/>
              <w:jc w:val="center"/>
            </w:pPr>
            <w:r w:rsidRPr="00217EA0">
              <w:t>(this is a decrement of 0.116 vs the PFS state)</w:t>
            </w:r>
          </w:p>
        </w:tc>
        <w:tc>
          <w:tcPr>
            <w:tcW w:w="796" w:type="pct"/>
            <w:vAlign w:val="center"/>
          </w:tcPr>
          <w:p w14:paraId="13F0D94B" w14:textId="77777777" w:rsidR="006C36D5" w:rsidRPr="00217EA0" w:rsidRDefault="006C36D5">
            <w:pPr>
              <w:pStyle w:val="TableText"/>
              <w:jc w:val="center"/>
            </w:pPr>
            <w:r w:rsidRPr="00217EA0">
              <w:t>Not reported</w:t>
            </w:r>
          </w:p>
        </w:tc>
        <w:tc>
          <w:tcPr>
            <w:tcW w:w="2058" w:type="pct"/>
            <w:vAlign w:val="center"/>
          </w:tcPr>
          <w:p w14:paraId="19CCC354" w14:textId="77777777" w:rsidR="006C36D5" w:rsidRPr="00217EA0" w:rsidRDefault="006C36D5">
            <w:pPr>
              <w:pStyle w:val="TableText"/>
              <w:jc w:val="center"/>
            </w:pPr>
            <w:r w:rsidRPr="00217EA0">
              <w:t>NICE 474, as used by Chueh 2023, Chen 2023 and Chen 2024</w:t>
            </w:r>
          </w:p>
        </w:tc>
      </w:tr>
      <w:tr w:rsidR="006C36D5" w:rsidRPr="00217EA0" w14:paraId="444ADF1E" w14:textId="77777777" w:rsidTr="00406E85">
        <w:tc>
          <w:tcPr>
            <w:tcW w:w="1060" w:type="pct"/>
            <w:vAlign w:val="center"/>
          </w:tcPr>
          <w:p w14:paraId="1ECF23A1" w14:textId="77777777" w:rsidR="006C36D5" w:rsidRPr="00217EA0" w:rsidRDefault="006C36D5">
            <w:pPr>
              <w:pStyle w:val="TableText"/>
            </w:pPr>
            <w:r w:rsidRPr="00217EA0">
              <w:t>PD - FOLFOX</w:t>
            </w:r>
          </w:p>
        </w:tc>
        <w:tc>
          <w:tcPr>
            <w:tcW w:w="1087" w:type="pct"/>
            <w:vAlign w:val="center"/>
          </w:tcPr>
          <w:p w14:paraId="0B9699BA" w14:textId="77777777" w:rsidR="006C36D5" w:rsidRPr="00217EA0" w:rsidRDefault="006C36D5">
            <w:pPr>
              <w:pStyle w:val="TableText"/>
              <w:jc w:val="center"/>
            </w:pPr>
            <w:r w:rsidRPr="00217EA0">
              <w:t>0.584</w:t>
            </w:r>
          </w:p>
          <w:p w14:paraId="2B943DED" w14:textId="77777777" w:rsidR="006C36D5" w:rsidRPr="00217EA0" w:rsidRDefault="006C36D5">
            <w:pPr>
              <w:pStyle w:val="TableText"/>
              <w:jc w:val="center"/>
            </w:pPr>
            <w:r w:rsidRPr="00217EA0">
              <w:t>(calculated as 0.70 – 0.116)</w:t>
            </w:r>
          </w:p>
        </w:tc>
        <w:tc>
          <w:tcPr>
            <w:tcW w:w="796" w:type="pct"/>
            <w:vAlign w:val="center"/>
          </w:tcPr>
          <w:p w14:paraId="71188044" w14:textId="77777777" w:rsidR="006C36D5" w:rsidRPr="00217EA0" w:rsidRDefault="006C36D5">
            <w:pPr>
              <w:pStyle w:val="TableText"/>
              <w:jc w:val="center"/>
            </w:pPr>
            <w:r w:rsidRPr="00217EA0">
              <w:t>Not reported</w:t>
            </w:r>
          </w:p>
        </w:tc>
        <w:tc>
          <w:tcPr>
            <w:tcW w:w="2058" w:type="pct"/>
            <w:vAlign w:val="center"/>
          </w:tcPr>
          <w:p w14:paraId="53FDA25E" w14:textId="0AE1C8AF" w:rsidR="006C36D5" w:rsidRPr="00217EA0" w:rsidRDefault="006C36D5">
            <w:pPr>
              <w:pStyle w:val="TableText"/>
              <w:jc w:val="center"/>
            </w:pPr>
            <w:r w:rsidRPr="00217EA0">
              <w:t xml:space="preserve">Calculation applying the progression decrement from </w:t>
            </w:r>
            <w:proofErr w:type="spellStart"/>
            <w:r w:rsidRPr="00217EA0">
              <w:t>futibatinib</w:t>
            </w:r>
            <w:proofErr w:type="spellEnd"/>
            <w:r w:rsidRPr="00217EA0">
              <w:t xml:space="preserve"> to FOLFOX based on advisory board advice</w:t>
            </w:r>
          </w:p>
        </w:tc>
      </w:tr>
      <w:tr w:rsidR="006C36D5" w:rsidRPr="00217EA0" w14:paraId="4A8A73D8" w14:textId="77777777" w:rsidTr="00406E85">
        <w:trPr>
          <w:trHeight w:val="95"/>
        </w:trPr>
        <w:tc>
          <w:tcPr>
            <w:tcW w:w="1060" w:type="pct"/>
            <w:vAlign w:val="center"/>
          </w:tcPr>
          <w:p w14:paraId="075E5C1E" w14:textId="77777777" w:rsidR="006C36D5" w:rsidRPr="00217EA0" w:rsidRDefault="006C36D5">
            <w:pPr>
              <w:pStyle w:val="TableText"/>
            </w:pPr>
            <w:r w:rsidRPr="00217EA0">
              <w:t>Death</w:t>
            </w:r>
          </w:p>
        </w:tc>
        <w:tc>
          <w:tcPr>
            <w:tcW w:w="1087" w:type="pct"/>
            <w:vAlign w:val="center"/>
          </w:tcPr>
          <w:p w14:paraId="4A0092AF" w14:textId="77777777" w:rsidR="006C36D5" w:rsidRPr="00217EA0" w:rsidRDefault="006C36D5">
            <w:pPr>
              <w:pStyle w:val="TableText"/>
              <w:jc w:val="center"/>
            </w:pPr>
            <w:r w:rsidRPr="00217EA0">
              <w:t>0</w:t>
            </w:r>
          </w:p>
        </w:tc>
        <w:tc>
          <w:tcPr>
            <w:tcW w:w="796" w:type="pct"/>
            <w:vAlign w:val="center"/>
          </w:tcPr>
          <w:p w14:paraId="13082EBA" w14:textId="77777777" w:rsidR="006C36D5" w:rsidRPr="00217EA0" w:rsidRDefault="006C36D5">
            <w:pPr>
              <w:pStyle w:val="TableText"/>
              <w:jc w:val="center"/>
            </w:pPr>
            <w:r w:rsidRPr="00217EA0">
              <w:t>-</w:t>
            </w:r>
          </w:p>
        </w:tc>
        <w:tc>
          <w:tcPr>
            <w:tcW w:w="2058" w:type="pct"/>
            <w:vAlign w:val="center"/>
          </w:tcPr>
          <w:p w14:paraId="3BF53F4E" w14:textId="77777777" w:rsidR="006C36D5" w:rsidRPr="00217EA0" w:rsidRDefault="006C36D5">
            <w:pPr>
              <w:pStyle w:val="TableText"/>
              <w:jc w:val="center"/>
            </w:pPr>
            <w:r w:rsidRPr="00217EA0">
              <w:t>-</w:t>
            </w:r>
          </w:p>
        </w:tc>
      </w:tr>
    </w:tbl>
    <w:p w14:paraId="3C8AFD83" w14:textId="77777777" w:rsidR="006C36D5" w:rsidRPr="00217EA0" w:rsidRDefault="006C36D5" w:rsidP="006C36D5">
      <w:pPr>
        <w:pStyle w:val="TableFooter"/>
      </w:pPr>
      <w:r w:rsidRPr="00217EA0">
        <w:t>Source: Table 3.11, p210 of the submission.</w:t>
      </w:r>
      <w:r w:rsidRPr="00217EA0">
        <w:rPr>
          <w:rFonts w:cstheme="minorHAnsi"/>
        </w:rPr>
        <w:t xml:space="preserve"> </w:t>
      </w:r>
    </w:p>
    <w:p w14:paraId="3B2C4E7A" w14:textId="77777777" w:rsidR="006C36D5" w:rsidRPr="00217EA0" w:rsidRDefault="006C36D5" w:rsidP="006C36D5">
      <w:pPr>
        <w:pStyle w:val="TableFooter"/>
        <w:rPr>
          <w:rFonts w:cstheme="minorHAnsi"/>
        </w:rPr>
      </w:pPr>
      <w:r w:rsidRPr="00217EA0">
        <w:rPr>
          <w:rFonts w:cstheme="minorHAnsi"/>
        </w:rPr>
        <w:t>PD = progressed disease; PFS = progression free survival; QALY = quality-adjusted life year</w:t>
      </w:r>
    </w:p>
    <w:p w14:paraId="41A5DEA5" w14:textId="662A1E6B" w:rsidR="00A35C68" w:rsidRPr="00217EA0" w:rsidRDefault="00A35C68" w:rsidP="006C36D5">
      <w:pPr>
        <w:pStyle w:val="TableFooter"/>
        <w:rPr>
          <w:rFonts w:cstheme="minorHAnsi"/>
        </w:rPr>
      </w:pPr>
      <w:r w:rsidRPr="00217EA0">
        <w:rPr>
          <w:rFonts w:cstheme="minorHAnsi"/>
          <w:vertAlign w:val="superscript"/>
        </w:rPr>
        <w:t>a</w:t>
      </w:r>
      <w:r w:rsidRPr="00217EA0">
        <w:rPr>
          <w:rFonts w:cstheme="minorHAnsi"/>
        </w:rPr>
        <w:t xml:space="preserve"> Baseline utility in ABC-06 was 0.77.</w:t>
      </w:r>
    </w:p>
    <w:p w14:paraId="32D65C18" w14:textId="6431B20B" w:rsidR="00CD3D95" w:rsidRPr="00217EA0" w:rsidRDefault="006D6F2F" w:rsidP="2914E55D">
      <w:pPr>
        <w:pStyle w:val="ListParagraph"/>
        <w:rPr>
          <w:color w:val="auto"/>
        </w:rPr>
      </w:pPr>
      <w:r w:rsidRPr="00217EA0">
        <w:rPr>
          <w:color w:val="auto"/>
        </w:rPr>
        <w:t>The submission stated that the utility values for the progressed disease (PD) health state could not be informed by FOENIX-CCA2 due to low patient numbers/surveys completed. Instead, t</w:t>
      </w:r>
      <w:r w:rsidR="007379AB" w:rsidRPr="00217EA0">
        <w:rPr>
          <w:color w:val="auto"/>
        </w:rPr>
        <w:t>h</w:t>
      </w:r>
      <w:r w:rsidR="00CD3D95" w:rsidRPr="00217EA0">
        <w:rPr>
          <w:color w:val="auto"/>
        </w:rPr>
        <w:t xml:space="preserve">e </w:t>
      </w:r>
      <w:proofErr w:type="spellStart"/>
      <w:r w:rsidR="00CD3D95" w:rsidRPr="00217EA0">
        <w:rPr>
          <w:color w:val="auto"/>
        </w:rPr>
        <w:t>futibatinib</w:t>
      </w:r>
      <w:proofErr w:type="spellEnd"/>
      <w:r w:rsidR="00CD3D95" w:rsidRPr="00217EA0">
        <w:rPr>
          <w:color w:val="auto"/>
        </w:rPr>
        <w:t xml:space="preserve"> PD state (0.68) was based on an estimate used in NICE TA 474</w:t>
      </w:r>
      <w:r w:rsidR="00C840B4" w:rsidRPr="00217EA0">
        <w:rPr>
          <w:color w:val="auto"/>
        </w:rPr>
        <w:t xml:space="preserve"> (sorafenib for </w:t>
      </w:r>
      <w:r w:rsidR="00A57A0F" w:rsidRPr="00217EA0">
        <w:rPr>
          <w:color w:val="auto"/>
        </w:rPr>
        <w:t xml:space="preserve">advanced </w:t>
      </w:r>
      <w:r w:rsidR="00C840B4" w:rsidRPr="00217EA0">
        <w:rPr>
          <w:color w:val="auto"/>
        </w:rPr>
        <w:t>hepat</w:t>
      </w:r>
      <w:r w:rsidR="00A57A0F" w:rsidRPr="00217EA0">
        <w:rPr>
          <w:color w:val="auto"/>
        </w:rPr>
        <w:t>ocellular</w:t>
      </w:r>
      <w:r w:rsidR="00C840B4" w:rsidRPr="00217EA0">
        <w:rPr>
          <w:color w:val="auto"/>
        </w:rPr>
        <w:t xml:space="preserve"> </w:t>
      </w:r>
      <w:r w:rsidR="00A57A0F" w:rsidRPr="00217EA0">
        <w:rPr>
          <w:color w:val="auto"/>
        </w:rPr>
        <w:t>carcinoma)</w:t>
      </w:r>
      <w:r w:rsidR="00CD3D95" w:rsidRPr="00217EA0">
        <w:rPr>
          <w:color w:val="auto"/>
        </w:rPr>
        <w:t xml:space="preserve">. The FOLFOX PD state (0.584) was calculated by applying same decrement from PFS to PD as </w:t>
      </w:r>
      <w:proofErr w:type="spellStart"/>
      <w:r w:rsidR="00CD3D95" w:rsidRPr="00217EA0">
        <w:rPr>
          <w:color w:val="auto"/>
        </w:rPr>
        <w:t>futibatinib</w:t>
      </w:r>
      <w:proofErr w:type="spellEnd"/>
      <w:r w:rsidR="00CD3D95" w:rsidRPr="00217EA0">
        <w:rPr>
          <w:color w:val="auto"/>
        </w:rPr>
        <w:t>.</w:t>
      </w:r>
      <w:r w:rsidRPr="00217EA0">
        <w:rPr>
          <w:color w:val="auto"/>
        </w:rPr>
        <w:t xml:space="preserve"> </w:t>
      </w:r>
      <w:r w:rsidR="00F04822" w:rsidRPr="00217EA0">
        <w:rPr>
          <w:color w:val="auto"/>
        </w:rPr>
        <w:t xml:space="preserve">The </w:t>
      </w:r>
      <w:r w:rsidR="0053364F" w:rsidRPr="00217EA0">
        <w:rPr>
          <w:color w:val="auto"/>
        </w:rPr>
        <w:t>ESC</w:t>
      </w:r>
      <w:r w:rsidR="00F04822" w:rsidRPr="00217EA0">
        <w:rPr>
          <w:color w:val="auto"/>
        </w:rPr>
        <w:t xml:space="preserve"> considered that </w:t>
      </w:r>
      <w:r w:rsidR="00B006A7" w:rsidRPr="00217EA0">
        <w:rPr>
          <w:color w:val="auto"/>
        </w:rPr>
        <w:t>i</w:t>
      </w:r>
      <w:r w:rsidR="007379AB" w:rsidRPr="00217EA0">
        <w:rPr>
          <w:color w:val="auto"/>
        </w:rPr>
        <w:t xml:space="preserve">t was unclear why there would be any difference in post-progression utilities given both </w:t>
      </w:r>
      <w:proofErr w:type="spellStart"/>
      <w:r w:rsidR="007379AB" w:rsidRPr="00217EA0">
        <w:rPr>
          <w:color w:val="auto"/>
        </w:rPr>
        <w:t>futibatinib</w:t>
      </w:r>
      <w:proofErr w:type="spellEnd"/>
      <w:r w:rsidR="007379AB" w:rsidRPr="00217EA0">
        <w:rPr>
          <w:color w:val="auto"/>
        </w:rPr>
        <w:t xml:space="preserve"> and FOLFOX would have been ceased</w:t>
      </w:r>
      <w:r w:rsidR="005147C5" w:rsidRPr="00217EA0">
        <w:rPr>
          <w:color w:val="auto"/>
        </w:rPr>
        <w:t>.</w:t>
      </w:r>
    </w:p>
    <w:p w14:paraId="6C584E8B" w14:textId="203D6579" w:rsidR="005E1345" w:rsidRPr="00DC2F79" w:rsidRDefault="00F5645A" w:rsidP="00DC2F79">
      <w:pPr>
        <w:pStyle w:val="ListParagraph"/>
        <w:rPr>
          <w:color w:val="auto"/>
        </w:rPr>
      </w:pPr>
      <w:r w:rsidRPr="00217EA0">
        <w:rPr>
          <w:color w:val="auto"/>
        </w:rPr>
        <w:t>I</w:t>
      </w:r>
      <w:r w:rsidR="00CD3D95" w:rsidRPr="00217EA0">
        <w:rPr>
          <w:color w:val="auto"/>
        </w:rPr>
        <w:t>n</w:t>
      </w:r>
      <w:r w:rsidR="00B006A7" w:rsidRPr="00217EA0">
        <w:rPr>
          <w:color w:val="auto"/>
        </w:rPr>
        <w:t xml:space="preserve"> </w:t>
      </w:r>
      <w:r w:rsidRPr="00217EA0">
        <w:rPr>
          <w:color w:val="auto"/>
        </w:rPr>
        <w:t>its</w:t>
      </w:r>
      <w:r w:rsidR="00B006A7" w:rsidRPr="00217EA0">
        <w:rPr>
          <w:color w:val="auto"/>
        </w:rPr>
        <w:t xml:space="preserve"> previous</w:t>
      </w:r>
      <w:r w:rsidR="00CD3D95" w:rsidRPr="00217EA0">
        <w:rPr>
          <w:color w:val="auto"/>
        </w:rPr>
        <w:t xml:space="preserve"> consideration of </w:t>
      </w:r>
      <w:proofErr w:type="spellStart"/>
      <w:r w:rsidR="00CD3D95" w:rsidRPr="00217EA0">
        <w:rPr>
          <w:color w:val="auto"/>
        </w:rPr>
        <w:t>ivosidenib</w:t>
      </w:r>
      <w:proofErr w:type="spellEnd"/>
      <w:r w:rsidR="00CD3D95" w:rsidRPr="00217EA0">
        <w:rPr>
          <w:color w:val="auto"/>
        </w:rPr>
        <w:t xml:space="preserve"> in CCA, </w:t>
      </w:r>
      <w:r w:rsidRPr="00217EA0">
        <w:rPr>
          <w:color w:val="auto"/>
        </w:rPr>
        <w:t xml:space="preserve">the PBAC </w:t>
      </w:r>
      <w:r w:rsidR="00CD3D95" w:rsidRPr="00217EA0">
        <w:rPr>
          <w:color w:val="auto"/>
        </w:rPr>
        <w:t>noted that “(a)</w:t>
      </w:r>
      <w:proofErr w:type="spellStart"/>
      <w:r w:rsidR="00CD3D95" w:rsidRPr="00217EA0">
        <w:rPr>
          <w:color w:val="auto"/>
        </w:rPr>
        <w:t>lthough</w:t>
      </w:r>
      <w:proofErr w:type="spellEnd"/>
      <w:r w:rsidR="00CD3D95" w:rsidRPr="00217EA0">
        <w:rPr>
          <w:color w:val="auto"/>
        </w:rPr>
        <w:t xml:space="preserve"> utility weights based on trial outcomes are generally preferred, the PBAC considered that, given the lack of face validity and likely impact of limited trial QoL data, in this case the values used in the durvalumab submission (PF=0.857, PD=0.766) would be more reasonable”</w:t>
      </w:r>
      <w:r w:rsidR="00F94935">
        <w:rPr>
          <w:color w:val="auto"/>
        </w:rPr>
        <w:t xml:space="preserve"> </w:t>
      </w:r>
      <w:r w:rsidR="00CD3D95" w:rsidRPr="00217EA0">
        <w:rPr>
          <w:color w:val="auto"/>
        </w:rPr>
        <w:t xml:space="preserve">(Paragraph 7.13, </w:t>
      </w:r>
      <w:proofErr w:type="spellStart"/>
      <w:r w:rsidR="00CD3D95" w:rsidRPr="00217EA0">
        <w:rPr>
          <w:color w:val="auto"/>
        </w:rPr>
        <w:t>ivosidenib</w:t>
      </w:r>
      <w:proofErr w:type="spellEnd"/>
      <w:r w:rsidR="00CD3D95" w:rsidRPr="00217EA0">
        <w:rPr>
          <w:color w:val="auto"/>
        </w:rPr>
        <w:t xml:space="preserve"> PBAC PSD July 2024).</w:t>
      </w:r>
      <w:r w:rsidR="00CB11B7">
        <w:rPr>
          <w:color w:val="auto"/>
        </w:rPr>
        <w:t xml:space="preserve"> </w:t>
      </w:r>
      <w:r w:rsidR="00533404">
        <w:rPr>
          <w:color w:val="auto"/>
        </w:rPr>
        <w:t xml:space="preserve">However, the Pre-PBAC response contended that the </w:t>
      </w:r>
      <w:r w:rsidR="009468F3" w:rsidRPr="00217EA0">
        <w:rPr>
          <w:color w:val="auto"/>
        </w:rPr>
        <w:t xml:space="preserve">durvalumab </w:t>
      </w:r>
      <w:r w:rsidR="00533404">
        <w:rPr>
          <w:color w:val="auto"/>
        </w:rPr>
        <w:t>PF values</w:t>
      </w:r>
      <w:r w:rsidR="00DC2F79">
        <w:rPr>
          <w:color w:val="auto"/>
        </w:rPr>
        <w:t xml:space="preserve"> (0.857)</w:t>
      </w:r>
      <w:r w:rsidR="00533404">
        <w:rPr>
          <w:color w:val="auto"/>
        </w:rPr>
        <w:t xml:space="preserve"> bias against </w:t>
      </w:r>
      <w:proofErr w:type="spellStart"/>
      <w:r w:rsidR="00533404">
        <w:rPr>
          <w:color w:val="auto"/>
        </w:rPr>
        <w:t>futibatinib</w:t>
      </w:r>
      <w:proofErr w:type="spellEnd"/>
      <w:r w:rsidR="00533404">
        <w:rPr>
          <w:color w:val="auto"/>
        </w:rPr>
        <w:t>, due to the worse safety profile for FOLFOX assumed by the sponsor, and proposed that “</w:t>
      </w:r>
      <w:r w:rsidR="00533404" w:rsidRPr="005D3FF8">
        <w:rPr>
          <w:color w:val="auto"/>
        </w:rPr>
        <w:t>at a minimum, a value of 0.735 should be applied to the FOLFOX disutility, OR the utility decrement of -0.025 NICE accepts for IV administration (NICE TA722) should be applied to FOLFOX treatment</w:t>
      </w:r>
      <w:r w:rsidR="00533404">
        <w:rPr>
          <w:color w:val="auto"/>
        </w:rPr>
        <w:t xml:space="preserve">”. </w:t>
      </w:r>
      <w:r w:rsidR="009468F3">
        <w:rPr>
          <w:color w:val="auto"/>
        </w:rPr>
        <w:t>Whereas, t</w:t>
      </w:r>
      <w:r w:rsidR="00533404">
        <w:rPr>
          <w:color w:val="auto"/>
        </w:rPr>
        <w:t xml:space="preserve">he sponsor, in the Pre-PBAC response accepted the change to </w:t>
      </w:r>
      <w:r w:rsidR="00DC2F79">
        <w:rPr>
          <w:color w:val="auto"/>
        </w:rPr>
        <w:t xml:space="preserve">the </w:t>
      </w:r>
      <w:r w:rsidR="00D7181F">
        <w:rPr>
          <w:color w:val="auto"/>
        </w:rPr>
        <w:t xml:space="preserve">durvalumab </w:t>
      </w:r>
      <w:r w:rsidR="00DC2F79">
        <w:t>PD value</w:t>
      </w:r>
      <w:r w:rsidR="00D7181F">
        <w:t xml:space="preserve"> (</w:t>
      </w:r>
      <w:r w:rsidR="00D7181F">
        <w:rPr>
          <w:color w:val="auto"/>
        </w:rPr>
        <w:t>0.</w:t>
      </w:r>
      <w:r w:rsidR="00D7181F" w:rsidRPr="00DC2F79">
        <w:t>766</w:t>
      </w:r>
      <w:r w:rsidR="00D7181F">
        <w:t>)</w:t>
      </w:r>
      <w:r w:rsidR="00DC2F79">
        <w:t xml:space="preserve">. </w:t>
      </w:r>
      <w:r w:rsidR="00CD3D95" w:rsidRPr="00DC2F79">
        <w:t xml:space="preserve">During the evaluation these utilities were tested for both arms of the </w:t>
      </w:r>
      <w:r w:rsidR="002E0513" w:rsidRPr="00DC2F79">
        <w:t>model and</w:t>
      </w:r>
      <w:r w:rsidR="00CD3D95" w:rsidRPr="00DC2F79">
        <w:t xml:space="preserve"> led to a decrease in the ICER by </w:t>
      </w:r>
      <w:r w:rsidR="00F0779A" w:rsidRPr="00F0779A">
        <w:rPr>
          <w:w w:val="60"/>
          <w:shd w:val="solid" w:color="000000" w:fill="000000"/>
          <w:fitText w:val="470" w:id="-694415612"/>
          <w14:textFill>
            <w14:solidFill>
              <w14:schemeClr w14:val="tx1">
                <w14:alpha w14:val="100000"/>
              </w14:schemeClr>
            </w14:solidFill>
          </w14:textFill>
        </w:rPr>
        <w:t>|||  ||</w:t>
      </w:r>
      <w:r w:rsidR="00F0779A" w:rsidRPr="00F0779A">
        <w:rPr>
          <w:spacing w:val="6"/>
          <w:w w:val="60"/>
          <w:shd w:val="solid" w:color="000000" w:fill="000000"/>
          <w:fitText w:val="470" w:id="-694415612"/>
          <w14:textFill>
            <w14:solidFill>
              <w14:schemeClr w14:val="tx1">
                <w14:alpha w14:val="100000"/>
              </w14:schemeClr>
            </w14:solidFill>
          </w14:textFill>
        </w:rPr>
        <w:t>|</w:t>
      </w:r>
      <w:r w:rsidR="00CD3D95" w:rsidRPr="00DC2F79">
        <w:t xml:space="preserve">% to </w:t>
      </w:r>
      <w:r w:rsidR="009711E5" w:rsidRPr="009711E5">
        <w:t>$95,000 to &lt; $115,000</w:t>
      </w:r>
      <w:r w:rsidR="00CD3D95" w:rsidRPr="00DC2F79">
        <w:t xml:space="preserve">. This was due to the model assuming that patients in the </w:t>
      </w:r>
      <w:proofErr w:type="spellStart"/>
      <w:r w:rsidR="00CD3D95" w:rsidRPr="00DC2F79">
        <w:t>futibatinib</w:t>
      </w:r>
      <w:proofErr w:type="spellEnd"/>
      <w:r w:rsidR="00CD3D95" w:rsidRPr="00DC2F79">
        <w:t xml:space="preserve"> arm will have a longer time in both progression free and progressed health state</w:t>
      </w:r>
      <w:r w:rsidR="004765BD" w:rsidRPr="00DC2F79">
        <w:t>s</w:t>
      </w:r>
      <w:r w:rsidR="004829D9" w:rsidRPr="00DC2F79">
        <w:t>,</w:t>
      </w:r>
      <w:r w:rsidR="00CD3D95" w:rsidRPr="00DC2F79">
        <w:t xml:space="preserve"> compared to the FOLFOX arm.</w:t>
      </w:r>
    </w:p>
    <w:p w14:paraId="569BAD4F" w14:textId="56D9E3CF" w:rsidR="008735A4" w:rsidRPr="00217EA0" w:rsidRDefault="005E1345" w:rsidP="2914E55D">
      <w:pPr>
        <w:pStyle w:val="ListParagraph"/>
        <w:rPr>
          <w:color w:val="auto"/>
        </w:rPr>
      </w:pPr>
      <w:r w:rsidRPr="00217EA0">
        <w:rPr>
          <w:color w:val="auto"/>
        </w:rPr>
        <w:t xml:space="preserve">The dosing regimen for </w:t>
      </w:r>
      <w:proofErr w:type="spellStart"/>
      <w:r w:rsidRPr="00217EA0">
        <w:rPr>
          <w:color w:val="auto"/>
        </w:rPr>
        <w:t>futibatinib</w:t>
      </w:r>
      <w:proofErr w:type="spellEnd"/>
      <w:r w:rsidRPr="00217EA0">
        <w:rPr>
          <w:color w:val="auto"/>
        </w:rPr>
        <w:t xml:space="preserve"> was based on the TGA draft PI for </w:t>
      </w:r>
      <w:proofErr w:type="spellStart"/>
      <w:r w:rsidRPr="00217EA0">
        <w:rPr>
          <w:color w:val="auto"/>
        </w:rPr>
        <w:t>futibatinib</w:t>
      </w:r>
      <w:proofErr w:type="spellEnd"/>
      <w:r w:rsidRPr="00217EA0">
        <w:rPr>
          <w:color w:val="auto"/>
        </w:rPr>
        <w:t xml:space="preserve"> and FOENI</w:t>
      </w:r>
      <w:r w:rsidR="004829D9" w:rsidRPr="00217EA0">
        <w:rPr>
          <w:color w:val="auto"/>
        </w:rPr>
        <w:t>X</w:t>
      </w:r>
      <w:r w:rsidRPr="00217EA0">
        <w:rPr>
          <w:color w:val="auto"/>
        </w:rPr>
        <w:t xml:space="preserve">-CCA-2. The dose for </w:t>
      </w:r>
      <w:proofErr w:type="spellStart"/>
      <w:r w:rsidRPr="00217EA0">
        <w:rPr>
          <w:color w:val="auto"/>
        </w:rPr>
        <w:t>futibatinib</w:t>
      </w:r>
      <w:proofErr w:type="spellEnd"/>
      <w:r w:rsidRPr="00217EA0">
        <w:rPr>
          <w:color w:val="auto"/>
        </w:rPr>
        <w:t xml:space="preserve"> was 20</w:t>
      </w:r>
      <w:r w:rsidR="0051794C" w:rsidRPr="00217EA0">
        <w:rPr>
          <w:color w:val="auto"/>
        </w:rPr>
        <w:t xml:space="preserve"> </w:t>
      </w:r>
      <w:r w:rsidRPr="00217EA0">
        <w:rPr>
          <w:color w:val="auto"/>
        </w:rPr>
        <w:t xml:space="preserve">mg daily with 21 days per cycle. The submission applied the mean FOENIX-CCA2 </w:t>
      </w:r>
      <w:r w:rsidR="006D6F2F" w:rsidRPr="00217EA0">
        <w:rPr>
          <w:color w:val="auto"/>
        </w:rPr>
        <w:t>relative dose intensity (</w:t>
      </w:r>
      <w:r w:rsidRPr="00217EA0">
        <w:rPr>
          <w:color w:val="auto"/>
        </w:rPr>
        <w:t>RDI</w:t>
      </w:r>
      <w:r w:rsidR="006D6F2F" w:rsidRPr="00217EA0">
        <w:rPr>
          <w:color w:val="auto"/>
        </w:rPr>
        <w:t>)</w:t>
      </w:r>
      <w:r w:rsidRPr="00217EA0">
        <w:rPr>
          <w:color w:val="auto"/>
        </w:rPr>
        <w:t xml:space="preserve"> of 83.26% to the cost of </w:t>
      </w:r>
      <w:proofErr w:type="spellStart"/>
      <w:r w:rsidRPr="00217EA0">
        <w:rPr>
          <w:color w:val="auto"/>
        </w:rPr>
        <w:t>futibatinib</w:t>
      </w:r>
      <w:proofErr w:type="spellEnd"/>
      <w:r w:rsidRPr="00217EA0">
        <w:rPr>
          <w:color w:val="auto"/>
        </w:rPr>
        <w:t>. The submission noted that the RDI also flows into the financial estimates.</w:t>
      </w:r>
      <w:r w:rsidRPr="00217EA0" w:rsidDel="001F5E3F">
        <w:rPr>
          <w:color w:val="auto"/>
        </w:rPr>
        <w:t xml:space="preserve"> </w:t>
      </w:r>
      <w:r w:rsidR="00147BA9" w:rsidRPr="00217EA0" w:rsidDel="001F5E3F">
        <w:rPr>
          <w:color w:val="auto"/>
        </w:rPr>
        <w:t>The evaluation considered that t</w:t>
      </w:r>
      <w:r w:rsidRPr="00217EA0" w:rsidDel="001F5E3F">
        <w:rPr>
          <w:color w:val="auto"/>
        </w:rPr>
        <w:t xml:space="preserve">he use of this estimate of RDI was highly uncertain, given it was unclear how the RDI in the matched population may differ in </w:t>
      </w:r>
      <w:proofErr w:type="spellStart"/>
      <w:r w:rsidRPr="00217EA0" w:rsidDel="001F5E3F">
        <w:rPr>
          <w:color w:val="auto"/>
        </w:rPr>
        <w:t>futibatinib</w:t>
      </w:r>
      <w:proofErr w:type="spellEnd"/>
      <w:r w:rsidRPr="00217EA0" w:rsidDel="001F5E3F">
        <w:rPr>
          <w:color w:val="auto"/>
        </w:rPr>
        <w:t xml:space="preserve"> use compared to the whole study population</w:t>
      </w:r>
      <w:r w:rsidRPr="00217EA0">
        <w:rPr>
          <w:color w:val="auto"/>
        </w:rPr>
        <w:t xml:space="preserve">. A more conservative assumption of assuming 100% RDI increased the ICER by </w:t>
      </w:r>
      <w:r w:rsidR="00F0779A" w:rsidRPr="00DD396E">
        <w:rPr>
          <w:color w:val="000000"/>
          <w:w w:val="60"/>
          <w:shd w:val="solid" w:color="000000" w:fill="000000"/>
          <w:fitText w:val="470" w:id="-694415611"/>
          <w14:textFill>
            <w14:solidFill>
              <w14:srgbClr w14:val="000000">
                <w14:alpha w14:val="100000"/>
              </w14:srgbClr>
            </w14:solidFill>
          </w14:textFill>
        </w:rPr>
        <w:t>|||  ||</w:t>
      </w:r>
      <w:r w:rsidR="00F0779A" w:rsidRPr="00DD396E">
        <w:rPr>
          <w:color w:val="000000"/>
          <w:spacing w:val="6"/>
          <w:w w:val="60"/>
          <w:shd w:val="solid" w:color="000000" w:fill="000000"/>
          <w:fitText w:val="470" w:id="-694415611"/>
          <w14:textFill>
            <w14:solidFill>
              <w14:srgbClr w14:val="000000">
                <w14:alpha w14:val="100000"/>
              </w14:srgbClr>
            </w14:solidFill>
          </w14:textFill>
        </w:rPr>
        <w:t>|</w:t>
      </w:r>
      <w:r w:rsidRPr="00217EA0">
        <w:rPr>
          <w:color w:val="auto"/>
        </w:rPr>
        <w:t xml:space="preserve">%. </w:t>
      </w:r>
      <w:r w:rsidR="008735A4" w:rsidRPr="00217EA0">
        <w:rPr>
          <w:color w:val="auto"/>
        </w:rPr>
        <w:t xml:space="preserve"> </w:t>
      </w:r>
    </w:p>
    <w:p w14:paraId="3F47FC10" w14:textId="753A36C9" w:rsidR="005E1345" w:rsidRPr="00217EA0" w:rsidRDefault="008735A4" w:rsidP="2914E55D">
      <w:pPr>
        <w:pStyle w:val="ListParagraph"/>
        <w:rPr>
          <w:color w:val="auto"/>
        </w:rPr>
      </w:pPr>
      <w:r w:rsidRPr="00217EA0">
        <w:rPr>
          <w:color w:val="auto"/>
        </w:rPr>
        <w:t xml:space="preserve">It was not possible to inform the impact of omitting post progression </w:t>
      </w:r>
      <w:r w:rsidR="003E5C46" w:rsidRPr="003E5C46">
        <w:rPr>
          <w:i/>
          <w:iCs/>
          <w:color w:val="auto"/>
        </w:rPr>
        <w:t>FGFR2</w:t>
      </w:r>
      <w:r w:rsidRPr="00217EA0">
        <w:rPr>
          <w:color w:val="auto"/>
        </w:rPr>
        <w:t xml:space="preserve"> inhibitor use in the </w:t>
      </w:r>
      <w:proofErr w:type="spellStart"/>
      <w:r w:rsidRPr="00217EA0">
        <w:rPr>
          <w:color w:val="auto"/>
        </w:rPr>
        <w:t>futibatinib</w:t>
      </w:r>
      <w:proofErr w:type="spellEnd"/>
      <w:r w:rsidRPr="00217EA0">
        <w:rPr>
          <w:color w:val="auto"/>
        </w:rPr>
        <w:t xml:space="preserve"> arm from the cost side as the duration of post progression treatment in FOENIX-CCA2 was unknown. Overall, </w:t>
      </w:r>
      <w:r w:rsidR="003F2653" w:rsidRPr="00217EA0">
        <w:rPr>
          <w:color w:val="auto"/>
        </w:rPr>
        <w:t>the evaluation considered</w:t>
      </w:r>
      <w:r w:rsidRPr="00217EA0">
        <w:rPr>
          <w:color w:val="auto"/>
        </w:rPr>
        <w:t xml:space="preserve"> it likely that the cost of </w:t>
      </w:r>
      <w:proofErr w:type="spellStart"/>
      <w:r w:rsidRPr="00217EA0">
        <w:rPr>
          <w:color w:val="auto"/>
        </w:rPr>
        <w:t>futibatinib</w:t>
      </w:r>
      <w:proofErr w:type="spellEnd"/>
      <w:r w:rsidRPr="00217EA0">
        <w:rPr>
          <w:color w:val="auto"/>
        </w:rPr>
        <w:t xml:space="preserve"> was underestimated, or in the case of post progression </w:t>
      </w:r>
      <w:r w:rsidR="003E5C46" w:rsidRPr="003E5C46">
        <w:rPr>
          <w:i/>
          <w:iCs/>
          <w:color w:val="auto"/>
        </w:rPr>
        <w:t>FGFR2</w:t>
      </w:r>
      <w:r w:rsidRPr="00217EA0">
        <w:rPr>
          <w:color w:val="auto"/>
        </w:rPr>
        <w:t xml:space="preserve"> inhibitor use, the efficacy of </w:t>
      </w:r>
      <w:proofErr w:type="spellStart"/>
      <w:r w:rsidRPr="00217EA0">
        <w:rPr>
          <w:color w:val="auto"/>
        </w:rPr>
        <w:t>futibatinib</w:t>
      </w:r>
      <w:proofErr w:type="spellEnd"/>
      <w:r w:rsidRPr="00217EA0">
        <w:rPr>
          <w:color w:val="auto"/>
        </w:rPr>
        <w:t xml:space="preserve"> on OS may be overestimated.  </w:t>
      </w:r>
    </w:p>
    <w:p w14:paraId="6833C452" w14:textId="6A9D66A6" w:rsidR="005E1345" w:rsidRPr="00217EA0" w:rsidRDefault="00147BA9" w:rsidP="2914E55D">
      <w:pPr>
        <w:pStyle w:val="ListParagraph"/>
        <w:rPr>
          <w:color w:val="auto"/>
        </w:rPr>
      </w:pPr>
      <w:r w:rsidRPr="00217EA0">
        <w:rPr>
          <w:color w:val="auto"/>
        </w:rPr>
        <w:t xml:space="preserve">The evaluation noted that </w:t>
      </w:r>
      <w:r w:rsidR="005E1345" w:rsidRPr="00217EA0">
        <w:rPr>
          <w:color w:val="auto"/>
        </w:rPr>
        <w:t>the submission did not account for the elements of listing being based on 4</w:t>
      </w:r>
      <w:r w:rsidR="00F54D77" w:rsidRPr="00217EA0">
        <w:rPr>
          <w:color w:val="auto"/>
        </w:rPr>
        <w:t>-</w:t>
      </w:r>
      <w:r w:rsidR="005E1345" w:rsidRPr="00217EA0">
        <w:rPr>
          <w:color w:val="auto"/>
        </w:rPr>
        <w:t xml:space="preserve">weekly scripts of </w:t>
      </w:r>
      <w:proofErr w:type="spellStart"/>
      <w:r w:rsidR="005E1345" w:rsidRPr="00217EA0">
        <w:rPr>
          <w:color w:val="auto"/>
        </w:rPr>
        <w:t>futibatinib</w:t>
      </w:r>
      <w:proofErr w:type="spellEnd"/>
      <w:r w:rsidR="00F2673A" w:rsidRPr="00217EA0">
        <w:rPr>
          <w:color w:val="auto"/>
        </w:rPr>
        <w:t>,</w:t>
      </w:r>
      <w:r w:rsidR="005E1345" w:rsidRPr="00217EA0">
        <w:rPr>
          <w:color w:val="auto"/>
        </w:rPr>
        <w:t xml:space="preserve"> which was inconsistent with the 3-weekly cycle of the model. Consequently, </w:t>
      </w:r>
      <w:r w:rsidR="004D11C0" w:rsidRPr="00217EA0">
        <w:rPr>
          <w:color w:val="auto"/>
        </w:rPr>
        <w:t xml:space="preserve">the evaluation considered that </w:t>
      </w:r>
      <w:r w:rsidR="005E1345" w:rsidRPr="00217EA0">
        <w:rPr>
          <w:color w:val="auto"/>
        </w:rPr>
        <w:t xml:space="preserve">although not technically wastage, it would be expected that the cost of a full month of treatment would be borne by the PBS regardless of when a patient discontinued in that </w:t>
      </w:r>
      <w:r w:rsidR="002E0513" w:rsidRPr="00217EA0">
        <w:rPr>
          <w:color w:val="auto"/>
        </w:rPr>
        <w:t>4-week</w:t>
      </w:r>
      <w:r w:rsidR="005E1345" w:rsidRPr="00217EA0">
        <w:rPr>
          <w:color w:val="auto"/>
        </w:rPr>
        <w:t xml:space="preserve"> cycle. The assumption that </w:t>
      </w:r>
      <w:proofErr w:type="spellStart"/>
      <w:r w:rsidR="005E1345" w:rsidRPr="00217EA0">
        <w:rPr>
          <w:color w:val="auto"/>
        </w:rPr>
        <w:t>futibatinib</w:t>
      </w:r>
      <w:proofErr w:type="spellEnd"/>
      <w:r w:rsidR="005E1345" w:rsidRPr="00217EA0">
        <w:rPr>
          <w:color w:val="auto"/>
        </w:rPr>
        <w:t xml:space="preserve"> costs will be incurred based on the proportion of patient</w:t>
      </w:r>
      <w:r w:rsidR="00F54D77" w:rsidRPr="00217EA0">
        <w:rPr>
          <w:color w:val="auto"/>
        </w:rPr>
        <w:t>s</w:t>
      </w:r>
      <w:r w:rsidR="005E1345" w:rsidRPr="00217EA0">
        <w:rPr>
          <w:color w:val="auto"/>
        </w:rPr>
        <w:t xml:space="preserve"> remaining on treatment every three weeks would likely underestimate </w:t>
      </w:r>
      <w:proofErr w:type="spellStart"/>
      <w:r w:rsidR="005E1345" w:rsidRPr="00217EA0">
        <w:rPr>
          <w:color w:val="auto"/>
        </w:rPr>
        <w:t>futibatinib</w:t>
      </w:r>
      <w:proofErr w:type="spellEnd"/>
      <w:r w:rsidR="005E1345" w:rsidRPr="00217EA0">
        <w:rPr>
          <w:color w:val="auto"/>
        </w:rPr>
        <w:t xml:space="preserve"> drug costs. </w:t>
      </w:r>
    </w:p>
    <w:p w14:paraId="633CA2DF" w14:textId="72AB8C9A" w:rsidR="00E12A6B" w:rsidRPr="00217EA0" w:rsidRDefault="00E12A6B" w:rsidP="2914E55D">
      <w:pPr>
        <w:pStyle w:val="ListParagraph"/>
        <w:rPr>
          <w:color w:val="auto"/>
        </w:rPr>
      </w:pPr>
      <w:bookmarkStart w:id="79" w:name="_Ref187804179"/>
      <w:r w:rsidRPr="00217EA0">
        <w:rPr>
          <w:color w:val="auto"/>
        </w:rPr>
        <w:t xml:space="preserve">The submission noted that the </w:t>
      </w:r>
      <w:r w:rsidR="00E30D0D" w:rsidRPr="00217EA0">
        <w:rPr>
          <w:color w:val="auto"/>
        </w:rPr>
        <w:t xml:space="preserve">draft </w:t>
      </w:r>
      <w:proofErr w:type="spellStart"/>
      <w:r w:rsidRPr="00217EA0">
        <w:rPr>
          <w:color w:val="auto"/>
        </w:rPr>
        <w:t>futibatinib</w:t>
      </w:r>
      <w:proofErr w:type="spellEnd"/>
      <w:r w:rsidRPr="00217EA0">
        <w:rPr>
          <w:color w:val="auto"/>
        </w:rPr>
        <w:t xml:space="preserve"> </w:t>
      </w:r>
      <w:r w:rsidR="00C001A0" w:rsidRPr="00217EA0">
        <w:rPr>
          <w:color w:val="auto"/>
        </w:rPr>
        <w:t>product information</w:t>
      </w:r>
      <w:r w:rsidRPr="00217EA0">
        <w:rPr>
          <w:color w:val="auto"/>
        </w:rPr>
        <w:t xml:space="preserve"> states: Ophthalmological examination should be performed prior to initiation of therapy, 6</w:t>
      </w:r>
      <w:r w:rsidR="00357FFB">
        <w:rPr>
          <w:color w:val="auto"/>
        </w:rPr>
        <w:t> </w:t>
      </w:r>
      <w:r w:rsidRPr="00217EA0">
        <w:rPr>
          <w:color w:val="auto"/>
        </w:rPr>
        <w:t xml:space="preserve">weeks thereafter, and urgently at any time for visual symptoms. As such one MBS item 11219, optical coherence tomography (OCT) at cycle 1 was included, and conservatively included an additional OCT every 12 weeks for </w:t>
      </w:r>
      <w:proofErr w:type="spellStart"/>
      <w:r w:rsidRPr="00217EA0">
        <w:rPr>
          <w:color w:val="auto"/>
        </w:rPr>
        <w:t>futibatinib</w:t>
      </w:r>
      <w:proofErr w:type="spellEnd"/>
      <w:r w:rsidRPr="00217EA0">
        <w:rPr>
          <w:color w:val="auto"/>
        </w:rPr>
        <w:t xml:space="preserve"> patients (0.25 every 3-week cycle).</w:t>
      </w:r>
      <w:bookmarkEnd w:id="79"/>
    </w:p>
    <w:p w14:paraId="2A5F6570" w14:textId="07D69FDD" w:rsidR="005E1345" w:rsidRPr="00217EA0" w:rsidRDefault="005E1345" w:rsidP="2914E55D">
      <w:pPr>
        <w:pStyle w:val="ListParagraph"/>
        <w:rPr>
          <w:color w:val="auto"/>
        </w:rPr>
      </w:pPr>
      <w:r w:rsidRPr="00217EA0">
        <w:rPr>
          <w:color w:val="auto"/>
        </w:rPr>
        <w:t>The submission considered that patients treated with FOLFOX are offered a choice of a peripherally inserted central catheter (PICC) or port, which are both central venous access devices (CVAD). A PICC is radiologically inserted under anaesthetic</w:t>
      </w:r>
      <w:r w:rsidR="00ED24C5" w:rsidRPr="00217EA0">
        <w:rPr>
          <w:color w:val="auto"/>
        </w:rPr>
        <w:t>,</w:t>
      </w:r>
      <w:r w:rsidRPr="00217EA0">
        <w:rPr>
          <w:color w:val="auto"/>
        </w:rPr>
        <w:t xml:space="preserve"> and hangs out of a patient which makes it more prone to infection and means a patient’s activities of daily living are limited. A port is inserted under the skin under anaesthetic and has fewer infections. Both the PICC or port remain in the patient for the entire FOLFOX treatment course (up to 24 weeks). </w:t>
      </w:r>
      <w:r w:rsidR="006D6F2F" w:rsidRPr="00217EA0">
        <w:rPr>
          <w:color w:val="auto"/>
        </w:rPr>
        <w:t>MBS costs associated with administrating FOLFOX as well as pre-medication (</w:t>
      </w:r>
      <w:proofErr w:type="spellStart"/>
      <w:r w:rsidR="006D6F2F" w:rsidRPr="00217EA0">
        <w:rPr>
          <w:color w:val="auto"/>
        </w:rPr>
        <w:t>Netupitant</w:t>
      </w:r>
      <w:proofErr w:type="spellEnd"/>
      <w:r w:rsidR="006D6F2F" w:rsidRPr="00217EA0">
        <w:rPr>
          <w:color w:val="auto"/>
        </w:rPr>
        <w:t xml:space="preserve"> + palonosetron and dexamethasone) were included as costs in the model for the FOLFOX arm. </w:t>
      </w:r>
      <w:r w:rsidR="00C1004B" w:rsidRPr="00217EA0">
        <w:rPr>
          <w:color w:val="auto"/>
        </w:rPr>
        <w:t xml:space="preserve">The model applied a one-off cost of </w:t>
      </w:r>
      <w:r w:rsidR="00C1004B" w:rsidRPr="002406E1">
        <w:rPr>
          <w:color w:val="auto"/>
        </w:rPr>
        <w:t>$697.93</w:t>
      </w:r>
      <w:r w:rsidR="00C1004B" w:rsidRPr="00217EA0">
        <w:rPr>
          <w:color w:val="auto"/>
        </w:rPr>
        <w:t xml:space="preserve"> per patient and a per cycle cost of $</w:t>
      </w:r>
      <w:r w:rsidR="00C1004B" w:rsidRPr="002406E1">
        <w:rPr>
          <w:color w:val="auto"/>
        </w:rPr>
        <w:t>495.41</w:t>
      </w:r>
      <w:r w:rsidR="00C1004B" w:rsidRPr="00217EA0">
        <w:rPr>
          <w:color w:val="auto"/>
        </w:rPr>
        <w:t xml:space="preserve"> to account for administration of FOLFOX.</w:t>
      </w:r>
    </w:p>
    <w:p w14:paraId="24E83A8D" w14:textId="7895C4C9" w:rsidR="005E1345" w:rsidRPr="00217EA0" w:rsidRDefault="005E1345" w:rsidP="2914E55D">
      <w:pPr>
        <w:pStyle w:val="ListParagraph"/>
        <w:rPr>
          <w:color w:val="auto"/>
        </w:rPr>
      </w:pPr>
      <w:r w:rsidRPr="00217EA0">
        <w:rPr>
          <w:color w:val="auto"/>
        </w:rPr>
        <w:t xml:space="preserve">Overall, </w:t>
      </w:r>
      <w:r w:rsidR="00CF32E3" w:rsidRPr="00217EA0">
        <w:rPr>
          <w:color w:val="auto"/>
        </w:rPr>
        <w:t xml:space="preserve">the evaluation considered that </w:t>
      </w:r>
      <w:r w:rsidRPr="00217EA0">
        <w:rPr>
          <w:color w:val="auto"/>
        </w:rPr>
        <w:t>the submission’s approach</w:t>
      </w:r>
      <w:r w:rsidR="00C76D58" w:rsidRPr="00217EA0">
        <w:rPr>
          <w:color w:val="auto"/>
        </w:rPr>
        <w:t xml:space="preserve"> to costing FOLFOX administration</w:t>
      </w:r>
      <w:r w:rsidRPr="00217EA0">
        <w:rPr>
          <w:color w:val="auto"/>
        </w:rPr>
        <w:t xml:space="preserve"> appears consistent with the eviQ guidelines for FOLFOX administration in biliary cancer. During the evaluation a sensitivity analysis was conducted in which administration costs for FOLFOX only included MBS item 13950 for chemotherapy infusion</w:t>
      </w:r>
      <w:r w:rsidR="00C1004B" w:rsidRPr="00217EA0">
        <w:rPr>
          <w:color w:val="auto"/>
        </w:rPr>
        <w:t xml:space="preserve"> ($123.05)</w:t>
      </w:r>
      <w:r w:rsidRPr="00217EA0">
        <w:rPr>
          <w:color w:val="auto"/>
        </w:rPr>
        <w:t xml:space="preserve">. This increased the ICER by </w:t>
      </w:r>
      <w:r w:rsidR="00F0779A" w:rsidRPr="00F0779A">
        <w:rPr>
          <w:color w:val="000000"/>
          <w:w w:val="60"/>
          <w:shd w:val="solid" w:color="000000" w:fill="000000"/>
          <w:fitText w:val="470" w:id="-694415610"/>
          <w14:textFill>
            <w14:solidFill>
              <w14:srgbClr w14:val="000000">
                <w14:alpha w14:val="100000"/>
              </w14:srgbClr>
            </w14:solidFill>
          </w14:textFill>
        </w:rPr>
        <w:t>|||  ||</w:t>
      </w:r>
      <w:r w:rsidR="00F0779A" w:rsidRPr="00F0779A">
        <w:rPr>
          <w:color w:val="000000"/>
          <w:spacing w:val="6"/>
          <w:w w:val="60"/>
          <w:shd w:val="solid" w:color="000000" w:fill="000000"/>
          <w:fitText w:val="470" w:id="-694415610"/>
          <w14:textFill>
            <w14:solidFill>
              <w14:srgbClr w14:val="000000">
                <w14:alpha w14:val="100000"/>
              </w14:srgbClr>
            </w14:solidFill>
          </w14:textFill>
        </w:rPr>
        <w:t>|</w:t>
      </w:r>
      <w:r w:rsidRPr="00217EA0">
        <w:rPr>
          <w:color w:val="auto"/>
        </w:rPr>
        <w:t xml:space="preserve">% to </w:t>
      </w:r>
      <w:r w:rsidR="0037087D" w:rsidRPr="0037087D">
        <w:rPr>
          <w:color w:val="auto"/>
        </w:rPr>
        <w:t>$95,000 to &lt; $115,000</w:t>
      </w:r>
      <w:r w:rsidRPr="00217EA0">
        <w:rPr>
          <w:color w:val="auto"/>
        </w:rPr>
        <w:t>/QALY.</w:t>
      </w:r>
    </w:p>
    <w:p w14:paraId="1350B476" w14:textId="2B377022" w:rsidR="005E1345" w:rsidRPr="00217EA0" w:rsidRDefault="005E1345" w:rsidP="2914E55D">
      <w:pPr>
        <w:pStyle w:val="ListParagraph"/>
        <w:rPr>
          <w:color w:val="auto"/>
        </w:rPr>
      </w:pPr>
      <w:r w:rsidRPr="00217EA0">
        <w:rPr>
          <w:color w:val="auto"/>
        </w:rPr>
        <w:t xml:space="preserve">The submission did not explicitly include </w:t>
      </w:r>
      <w:r w:rsidR="0096572E" w:rsidRPr="00217EA0">
        <w:rPr>
          <w:color w:val="auto"/>
        </w:rPr>
        <w:t xml:space="preserve">the cost of </w:t>
      </w:r>
      <w:r w:rsidRPr="00217EA0">
        <w:rPr>
          <w:color w:val="auto"/>
        </w:rPr>
        <w:t xml:space="preserve">post progression anti-cancer therapy in the model. </w:t>
      </w:r>
      <w:r w:rsidR="00C76D58" w:rsidRPr="00217EA0">
        <w:rPr>
          <w:color w:val="auto"/>
        </w:rPr>
        <w:t>T</w:t>
      </w:r>
      <w:r w:rsidRPr="00217EA0">
        <w:rPr>
          <w:color w:val="auto"/>
        </w:rPr>
        <w:t xml:space="preserve">he submission considered that this may favour </w:t>
      </w:r>
      <w:proofErr w:type="spellStart"/>
      <w:r w:rsidRPr="00217EA0">
        <w:rPr>
          <w:color w:val="auto"/>
        </w:rPr>
        <w:t>futibatinib</w:t>
      </w:r>
      <w:proofErr w:type="spellEnd"/>
      <w:r w:rsidRPr="00217EA0">
        <w:rPr>
          <w:color w:val="auto"/>
        </w:rPr>
        <w:t xml:space="preserve"> as 19% of discontinued patients used a chemotherapy in FOENIX-CCA2. The submission, however, considered that this was adequately accounted for in end-of-life costs. </w:t>
      </w:r>
      <w:r w:rsidR="00D86C2E" w:rsidRPr="00217EA0">
        <w:rPr>
          <w:color w:val="auto"/>
        </w:rPr>
        <w:t>The evaluation considered that t</w:t>
      </w:r>
      <w:r w:rsidRPr="00217EA0">
        <w:rPr>
          <w:color w:val="auto"/>
        </w:rPr>
        <w:t xml:space="preserve">his may not be reasonable, as 8.7% of patients in FOENIX-CCA2 used an </w:t>
      </w:r>
      <w:r w:rsidR="003E5C46" w:rsidRPr="003E5C46">
        <w:rPr>
          <w:i/>
          <w:iCs/>
          <w:color w:val="auto"/>
        </w:rPr>
        <w:t>FGFR2</w:t>
      </w:r>
      <w:r w:rsidRPr="00217EA0">
        <w:rPr>
          <w:color w:val="auto"/>
        </w:rPr>
        <w:t xml:space="preserve"> inhibitor </w:t>
      </w:r>
      <w:r w:rsidR="00BB5F90" w:rsidRPr="00217EA0">
        <w:rPr>
          <w:color w:val="auto"/>
        </w:rPr>
        <w:t xml:space="preserve">(including erdafitinib, </w:t>
      </w:r>
      <w:proofErr w:type="spellStart"/>
      <w:r w:rsidR="00BB5F90" w:rsidRPr="00217EA0">
        <w:rPr>
          <w:color w:val="auto"/>
        </w:rPr>
        <w:t>pemigatinib</w:t>
      </w:r>
      <w:proofErr w:type="spellEnd"/>
      <w:r w:rsidR="00BB5F90" w:rsidRPr="00217EA0">
        <w:rPr>
          <w:color w:val="auto"/>
        </w:rPr>
        <w:t xml:space="preserve">, </w:t>
      </w:r>
      <w:proofErr w:type="spellStart"/>
      <w:r w:rsidR="00BB5F90" w:rsidRPr="00217EA0">
        <w:rPr>
          <w:color w:val="auto"/>
        </w:rPr>
        <w:t>derazantinib</w:t>
      </w:r>
      <w:proofErr w:type="spellEnd"/>
      <w:r w:rsidR="00BB5F90" w:rsidRPr="00217EA0">
        <w:rPr>
          <w:color w:val="auto"/>
        </w:rPr>
        <w:t xml:space="preserve"> and </w:t>
      </w:r>
      <w:proofErr w:type="spellStart"/>
      <w:r w:rsidR="00BB5F90" w:rsidRPr="00217EA0">
        <w:rPr>
          <w:color w:val="auto"/>
        </w:rPr>
        <w:t>futibatinib</w:t>
      </w:r>
      <w:proofErr w:type="spellEnd"/>
      <w:r w:rsidR="00BB5F90" w:rsidRPr="00217EA0">
        <w:rPr>
          <w:color w:val="auto"/>
        </w:rPr>
        <w:t xml:space="preserve">) </w:t>
      </w:r>
      <w:r w:rsidRPr="00217EA0">
        <w:rPr>
          <w:color w:val="auto"/>
        </w:rPr>
        <w:t xml:space="preserve">post progression. </w:t>
      </w:r>
    </w:p>
    <w:p w14:paraId="0D5AC2DE" w14:textId="236C095D" w:rsidR="006279AB" w:rsidRPr="00217EA0" w:rsidRDefault="00C76D58" w:rsidP="2914E55D">
      <w:pPr>
        <w:pStyle w:val="ListParagraph"/>
        <w:rPr>
          <w:color w:val="auto"/>
        </w:rPr>
      </w:pPr>
      <w:bookmarkStart w:id="80" w:name="_Ref195255916"/>
      <w:r w:rsidRPr="00217EA0">
        <w:t xml:space="preserve">An end-of-life </w:t>
      </w:r>
      <w:r w:rsidR="00CA43F6">
        <w:t xml:space="preserve">(terminal care) </w:t>
      </w:r>
      <w:r w:rsidRPr="00217EA0">
        <w:t>cost was derived from Reeve 2018</w:t>
      </w:r>
      <w:r w:rsidR="00982E92" w:rsidRPr="00217EA0">
        <w:t xml:space="preserve">, </w:t>
      </w:r>
      <w:r w:rsidR="00B42048" w:rsidRPr="00217EA0">
        <w:t>adjusted using ABS health inflation values to derive a 2024 value of $51</w:t>
      </w:r>
      <w:r w:rsidR="00AE6A19" w:rsidRPr="00217EA0">
        <w:t>,</w:t>
      </w:r>
      <w:r w:rsidR="00B42048" w:rsidRPr="00217EA0">
        <w:t>605.07</w:t>
      </w:r>
      <w:r w:rsidRPr="00217EA0">
        <w:t>.</w:t>
      </w:r>
      <w:r w:rsidR="00B42048" w:rsidRPr="00217EA0">
        <w:t xml:space="preserve"> </w:t>
      </w:r>
      <w:r w:rsidR="00B42048" w:rsidRPr="00217EA0">
        <w:rPr>
          <w:color w:val="auto"/>
        </w:rPr>
        <w:t>This value was then reduced by $464.80 ($53.45 x 8.7 cycles in 6 months) to avoid double counting post progression pain management over the last 6 months of life. Overall, the submission estimated a cost associated with end-of-life care of $51,140.</w:t>
      </w:r>
      <w:r w:rsidR="006279AB" w:rsidRPr="00217EA0">
        <w:rPr>
          <w:color w:val="auto"/>
        </w:rPr>
        <w:t xml:space="preserve"> Removing end of life costs from both arms increased the ICER by </w:t>
      </w:r>
      <w:r w:rsidR="00F0779A" w:rsidRPr="00F0779A">
        <w:rPr>
          <w:color w:val="000000"/>
          <w:w w:val="60"/>
          <w:shd w:val="solid" w:color="000000" w:fill="000000"/>
          <w:fitText w:val="470" w:id="-694415609"/>
          <w14:textFill>
            <w14:solidFill>
              <w14:srgbClr w14:val="000000">
                <w14:alpha w14:val="100000"/>
              </w14:srgbClr>
            </w14:solidFill>
          </w14:textFill>
        </w:rPr>
        <w:t>|||  ||</w:t>
      </w:r>
      <w:r w:rsidR="00F0779A" w:rsidRPr="00F0779A">
        <w:rPr>
          <w:color w:val="000000"/>
          <w:spacing w:val="6"/>
          <w:w w:val="60"/>
          <w:shd w:val="solid" w:color="000000" w:fill="000000"/>
          <w:fitText w:val="470" w:id="-694415609"/>
          <w14:textFill>
            <w14:solidFill>
              <w14:srgbClr w14:val="000000">
                <w14:alpha w14:val="100000"/>
              </w14:srgbClr>
            </w14:solidFill>
          </w14:textFill>
        </w:rPr>
        <w:t>|</w:t>
      </w:r>
      <w:r w:rsidR="006279AB" w:rsidRPr="00217EA0">
        <w:rPr>
          <w:color w:val="auto"/>
        </w:rPr>
        <w:t>%.</w:t>
      </w:r>
      <w:bookmarkEnd w:id="80"/>
      <w:r w:rsidR="00B8273A" w:rsidRPr="00B8273A">
        <w:t xml:space="preserve"> </w:t>
      </w:r>
      <w:r w:rsidR="00B8273A" w:rsidRPr="00B8273A">
        <w:rPr>
          <w:color w:val="auto"/>
        </w:rPr>
        <w:t xml:space="preserve">The </w:t>
      </w:r>
      <w:r w:rsidR="00C33FD1">
        <w:rPr>
          <w:color w:val="auto"/>
        </w:rPr>
        <w:t xml:space="preserve">PBAC it may not be reasonable to include terminal care costs as </w:t>
      </w:r>
      <w:r w:rsidR="00953713">
        <w:t>differences in the model w</w:t>
      </w:r>
      <w:r w:rsidR="00C33FD1">
        <w:t xml:space="preserve">ere </w:t>
      </w:r>
      <w:r w:rsidR="00953713">
        <w:t>driven by the time horizon and all patients would eventually accrue terminal care costs</w:t>
      </w:r>
      <w:r w:rsidR="00C33FD1">
        <w:t xml:space="preserve">. </w:t>
      </w:r>
    </w:p>
    <w:p w14:paraId="29C32446" w14:textId="08D59395" w:rsidR="005E1345" w:rsidRPr="00217EA0" w:rsidRDefault="005E1345" w:rsidP="2914E55D">
      <w:pPr>
        <w:pStyle w:val="ListParagraph"/>
        <w:rPr>
          <w:color w:val="auto"/>
        </w:rPr>
      </w:pPr>
      <w:r w:rsidRPr="00217EA0">
        <w:rPr>
          <w:color w:val="auto"/>
        </w:rPr>
        <w:t xml:space="preserve">The submission estimated a cost of NGS testing for </w:t>
      </w:r>
      <w:r w:rsidR="003E5C46" w:rsidRPr="003E5C46">
        <w:rPr>
          <w:i/>
          <w:iCs/>
          <w:color w:val="auto"/>
        </w:rPr>
        <w:t>FGFR2</w:t>
      </w:r>
      <w:r w:rsidRPr="00217EA0">
        <w:rPr>
          <w:color w:val="auto"/>
        </w:rPr>
        <w:t xml:space="preserve"> fusion or rearrangement testing from tumour tissue of $1,050 per identified patient. This was based on assumed MBS fee for an RNA test of $350, unless testing is done by </w:t>
      </w:r>
      <w:proofErr w:type="spellStart"/>
      <w:r w:rsidRPr="00217EA0">
        <w:rPr>
          <w:color w:val="auto"/>
        </w:rPr>
        <w:t>Omico</w:t>
      </w:r>
      <w:proofErr w:type="spellEnd"/>
      <w:r w:rsidRPr="00217EA0">
        <w:rPr>
          <w:color w:val="auto"/>
        </w:rPr>
        <w:t xml:space="preserve">, where there will be no additional cost to the health system as a consequence of the PBS listing of </w:t>
      </w:r>
      <w:proofErr w:type="spellStart"/>
      <w:r w:rsidRPr="00217EA0">
        <w:rPr>
          <w:color w:val="auto"/>
        </w:rPr>
        <w:t>futibatinib</w:t>
      </w:r>
      <w:proofErr w:type="spellEnd"/>
      <w:r w:rsidRPr="00217EA0">
        <w:rPr>
          <w:color w:val="auto"/>
        </w:rPr>
        <w:t>.</w:t>
      </w:r>
    </w:p>
    <w:p w14:paraId="6FB31FA8" w14:textId="67278BA8" w:rsidR="005E1345" w:rsidRPr="00217EA0" w:rsidRDefault="005E1345" w:rsidP="2914E55D">
      <w:pPr>
        <w:pStyle w:val="ListParagraph"/>
        <w:rPr>
          <w:color w:val="auto"/>
        </w:rPr>
      </w:pPr>
      <w:r w:rsidRPr="00217EA0">
        <w:rPr>
          <w:color w:val="auto"/>
        </w:rPr>
        <w:t xml:space="preserve">The submission noted that </w:t>
      </w:r>
      <w:proofErr w:type="spellStart"/>
      <w:r w:rsidRPr="00217EA0">
        <w:rPr>
          <w:color w:val="auto"/>
        </w:rPr>
        <w:t>Omico</w:t>
      </w:r>
      <w:proofErr w:type="spellEnd"/>
      <w:r w:rsidRPr="00217EA0">
        <w:rPr>
          <w:color w:val="auto"/>
        </w:rPr>
        <w:t xml:space="preserve"> provides Comprehensive Genomic Profiling to patients with advanced and incurable cancer, including CCA, to help identify potential treatments or clinical trials at no cost to the patient</w:t>
      </w:r>
      <w:r w:rsidR="00D53975" w:rsidRPr="00217EA0">
        <w:rPr>
          <w:color w:val="auto"/>
        </w:rPr>
        <w:t>,</w:t>
      </w:r>
      <w:r w:rsidRPr="00217EA0">
        <w:rPr>
          <w:color w:val="auto"/>
        </w:rPr>
        <w:t xml:space="preserve"> via their Cancer Screening Program. The submission claimed that expert opinion indicates that a large proportion of patients in the target PBS population are currently screened via this program. The submission assumed that </w:t>
      </w:r>
      <w:r w:rsidR="00F0779A" w:rsidRPr="00F0779A">
        <w:rPr>
          <w:color w:val="000000"/>
          <w:w w:val="62"/>
          <w:shd w:val="solid" w:color="000000" w:fill="000000"/>
          <w:fitText w:val="480" w:id="-694415608"/>
          <w14:textFill>
            <w14:solidFill>
              <w14:srgbClr w14:val="000000">
                <w14:alpha w14:val="100000"/>
              </w14:srgbClr>
            </w14:solidFill>
          </w14:textFill>
        </w:rPr>
        <w:t>|||  ||</w:t>
      </w:r>
      <w:r w:rsidR="00F0779A" w:rsidRPr="00F0779A">
        <w:rPr>
          <w:color w:val="000000"/>
          <w:spacing w:val="2"/>
          <w:w w:val="62"/>
          <w:shd w:val="solid" w:color="000000" w:fill="000000"/>
          <w:fitText w:val="480" w:id="-694415608"/>
          <w14:textFill>
            <w14:solidFill>
              <w14:srgbClr w14:val="000000">
                <w14:alpha w14:val="100000"/>
              </w14:srgbClr>
            </w14:solidFill>
          </w14:textFill>
        </w:rPr>
        <w:t>|</w:t>
      </w:r>
      <w:r w:rsidRPr="00217EA0">
        <w:rPr>
          <w:color w:val="auto"/>
        </w:rPr>
        <w:t xml:space="preserve">% of testing would be conducted by </w:t>
      </w:r>
      <w:proofErr w:type="spellStart"/>
      <w:r w:rsidRPr="00217EA0">
        <w:rPr>
          <w:color w:val="auto"/>
        </w:rPr>
        <w:t>Omico</w:t>
      </w:r>
      <w:proofErr w:type="spellEnd"/>
      <w:r w:rsidRPr="00217EA0">
        <w:rPr>
          <w:color w:val="auto"/>
        </w:rPr>
        <w:t xml:space="preserve">. </w:t>
      </w:r>
      <w:r w:rsidR="006944D8" w:rsidRPr="00217EA0">
        <w:rPr>
          <w:color w:val="auto"/>
        </w:rPr>
        <w:t>The evaluation considered that t</w:t>
      </w:r>
      <w:r w:rsidRPr="00217EA0">
        <w:rPr>
          <w:color w:val="auto"/>
        </w:rPr>
        <w:t xml:space="preserve">his was inappropriate as once </w:t>
      </w:r>
      <w:r w:rsidR="003E5C46" w:rsidRPr="003E5C46">
        <w:rPr>
          <w:i/>
          <w:iCs/>
          <w:color w:val="auto"/>
        </w:rPr>
        <w:t>FGFR2</w:t>
      </w:r>
      <w:r w:rsidR="00C76D58" w:rsidRPr="00217EA0">
        <w:rPr>
          <w:color w:val="auto"/>
        </w:rPr>
        <w:t xml:space="preserve"> testing becomes </w:t>
      </w:r>
      <w:r w:rsidRPr="00217EA0">
        <w:rPr>
          <w:color w:val="auto"/>
        </w:rPr>
        <w:t xml:space="preserve">available </w:t>
      </w:r>
      <w:r w:rsidR="00C76D58" w:rsidRPr="00217EA0">
        <w:rPr>
          <w:color w:val="auto"/>
        </w:rPr>
        <w:t xml:space="preserve">on </w:t>
      </w:r>
      <w:r w:rsidRPr="00217EA0">
        <w:rPr>
          <w:color w:val="auto"/>
        </w:rPr>
        <w:t xml:space="preserve">the MBS, it </w:t>
      </w:r>
      <w:r w:rsidR="00C76D58" w:rsidRPr="00217EA0">
        <w:rPr>
          <w:color w:val="auto"/>
        </w:rPr>
        <w:t>wa</w:t>
      </w:r>
      <w:r w:rsidRPr="00217EA0">
        <w:rPr>
          <w:color w:val="auto"/>
        </w:rPr>
        <w:t xml:space="preserve">s unlikely that current testing by </w:t>
      </w:r>
      <w:proofErr w:type="spellStart"/>
      <w:r w:rsidRPr="00217EA0">
        <w:rPr>
          <w:color w:val="auto"/>
        </w:rPr>
        <w:t>Omico</w:t>
      </w:r>
      <w:proofErr w:type="spellEnd"/>
      <w:r w:rsidRPr="00217EA0">
        <w:rPr>
          <w:color w:val="auto"/>
        </w:rPr>
        <w:t xml:space="preserve"> would continue at this rate. </w:t>
      </w:r>
      <w:r w:rsidR="00B42048" w:rsidRPr="00217EA0">
        <w:rPr>
          <w:color w:val="auto"/>
        </w:rPr>
        <w:t>Moreover,</w:t>
      </w:r>
      <w:r w:rsidR="000F3C9C" w:rsidRPr="00217EA0">
        <w:rPr>
          <w:color w:val="auto"/>
        </w:rPr>
        <w:t xml:space="preserve"> the evaluation noted that</w:t>
      </w:r>
      <w:r w:rsidR="00B42048" w:rsidRPr="00217EA0">
        <w:rPr>
          <w:color w:val="auto"/>
        </w:rPr>
        <w:t xml:space="preserve"> patients would be able to claim the MBS rebate even if the service is provided through </w:t>
      </w:r>
      <w:proofErr w:type="spellStart"/>
      <w:r w:rsidR="00B42048" w:rsidRPr="00217EA0">
        <w:rPr>
          <w:color w:val="auto"/>
        </w:rPr>
        <w:t>Omico</w:t>
      </w:r>
      <w:proofErr w:type="spellEnd"/>
      <w:r w:rsidR="00B42048" w:rsidRPr="00217EA0">
        <w:rPr>
          <w:color w:val="auto"/>
        </w:rPr>
        <w:t xml:space="preserve"> providers (as long as they provide an MBS eligible service and are an eligible provider). </w:t>
      </w:r>
      <w:r w:rsidR="000F3C9C" w:rsidRPr="00217EA0">
        <w:rPr>
          <w:color w:val="auto"/>
        </w:rPr>
        <w:t>The evaluation considered that t</w:t>
      </w:r>
      <w:r w:rsidRPr="00217EA0">
        <w:rPr>
          <w:color w:val="auto"/>
        </w:rPr>
        <w:t xml:space="preserve">o estimate the long-term cost-effectiveness of listing </w:t>
      </w:r>
      <w:r w:rsidR="003E5C46" w:rsidRPr="003E5C46">
        <w:rPr>
          <w:i/>
          <w:iCs/>
          <w:color w:val="auto"/>
        </w:rPr>
        <w:t>FGFR2</w:t>
      </w:r>
      <w:r w:rsidRPr="00217EA0">
        <w:rPr>
          <w:color w:val="auto"/>
        </w:rPr>
        <w:t xml:space="preserve"> testing on the MBS, the assumption of all testing costs being borne by the MBS would be more reasonable. </w:t>
      </w:r>
      <w:r w:rsidR="00C61BE1" w:rsidRPr="00217EA0">
        <w:rPr>
          <w:color w:val="auto"/>
        </w:rPr>
        <w:t>A</w:t>
      </w:r>
      <w:r w:rsidRPr="00217EA0">
        <w:rPr>
          <w:color w:val="auto"/>
        </w:rPr>
        <w:t>djusting testing costs to reflect this had only a small impact (&lt;</w:t>
      </w:r>
      <w:r w:rsidR="00F0779A" w:rsidRPr="00F0779A">
        <w:rPr>
          <w:color w:val="000000"/>
          <w:w w:val="60"/>
          <w:shd w:val="solid" w:color="000000" w:fill="000000"/>
          <w:fitText w:val="470" w:id="-694415607"/>
          <w14:textFill>
            <w14:solidFill>
              <w14:srgbClr w14:val="000000">
                <w14:alpha w14:val="100000"/>
              </w14:srgbClr>
            </w14:solidFill>
          </w14:textFill>
        </w:rPr>
        <w:t>|||  ||</w:t>
      </w:r>
      <w:r w:rsidR="00F0779A" w:rsidRPr="00F0779A">
        <w:rPr>
          <w:color w:val="000000"/>
          <w:spacing w:val="6"/>
          <w:w w:val="60"/>
          <w:shd w:val="solid" w:color="000000" w:fill="000000"/>
          <w:fitText w:val="470" w:id="-694415607"/>
          <w14:textFill>
            <w14:solidFill>
              <w14:srgbClr w14:val="000000">
                <w14:alpha w14:val="100000"/>
              </w14:srgbClr>
            </w14:solidFill>
          </w14:textFill>
        </w:rPr>
        <w:t>|</w:t>
      </w:r>
      <w:r w:rsidRPr="00217EA0">
        <w:rPr>
          <w:color w:val="auto"/>
        </w:rPr>
        <w:t xml:space="preserve">% increase) on the ICER. </w:t>
      </w:r>
    </w:p>
    <w:p w14:paraId="6F5DA7B2" w14:textId="60519704" w:rsidR="005E1345" w:rsidRPr="00217EA0" w:rsidRDefault="005E1345" w:rsidP="2914E55D">
      <w:pPr>
        <w:pStyle w:val="ListParagraph"/>
        <w:rPr>
          <w:color w:val="auto"/>
        </w:rPr>
      </w:pPr>
      <w:r w:rsidRPr="00217EA0">
        <w:rPr>
          <w:color w:val="auto"/>
        </w:rPr>
        <w:t xml:space="preserve">The cost per patient identified was also based on assumption of 20% prevalence of </w:t>
      </w:r>
      <w:r w:rsidR="003E5C46" w:rsidRPr="003E5C46">
        <w:rPr>
          <w:i/>
          <w:iCs/>
          <w:color w:val="auto"/>
        </w:rPr>
        <w:t>FGFR2</w:t>
      </w:r>
      <w:r w:rsidRPr="00217EA0">
        <w:rPr>
          <w:color w:val="auto"/>
        </w:rPr>
        <w:t xml:space="preserve"> alteration in advanced disease. T</w:t>
      </w:r>
      <w:r w:rsidR="000F3C9C" w:rsidRPr="00217EA0">
        <w:rPr>
          <w:color w:val="auto"/>
        </w:rPr>
        <w:t>he evaluation considered that t</w:t>
      </w:r>
      <w:r w:rsidRPr="00217EA0">
        <w:rPr>
          <w:color w:val="auto"/>
        </w:rPr>
        <w:t>his was consistent with the prevalence presented by the submission</w:t>
      </w:r>
      <w:r w:rsidR="00F86538" w:rsidRPr="00217EA0">
        <w:rPr>
          <w:color w:val="auto"/>
        </w:rPr>
        <w:t xml:space="preserve">, but </w:t>
      </w:r>
      <w:r w:rsidR="00980E73" w:rsidRPr="00217EA0">
        <w:rPr>
          <w:color w:val="auto"/>
        </w:rPr>
        <w:t xml:space="preserve">noted </w:t>
      </w:r>
      <w:r w:rsidR="00F86538" w:rsidRPr="00217EA0">
        <w:rPr>
          <w:color w:val="auto"/>
        </w:rPr>
        <w:t>the</w:t>
      </w:r>
      <w:r w:rsidRPr="00217EA0">
        <w:rPr>
          <w:color w:val="auto"/>
        </w:rPr>
        <w:t xml:space="preserve"> substantial variation in estimates of prevalence, with a weighted average prevalence of 10% in all CCA settings (reflective of testing at diagnosis). </w:t>
      </w:r>
    </w:p>
    <w:p w14:paraId="40AC4FE0" w14:textId="2A0B0E08" w:rsidR="005E1345" w:rsidRPr="00217EA0" w:rsidRDefault="005E1345" w:rsidP="2914E55D">
      <w:pPr>
        <w:pStyle w:val="ListParagraph"/>
        <w:rPr>
          <w:color w:val="auto"/>
        </w:rPr>
      </w:pPr>
      <w:r w:rsidRPr="00217EA0">
        <w:rPr>
          <w:color w:val="auto"/>
        </w:rPr>
        <w:t xml:space="preserve">Consistent with the MBS item descriptor, the submission assumed only one test per lifetime. </w:t>
      </w:r>
      <w:r w:rsidR="00980E73" w:rsidRPr="00217EA0">
        <w:rPr>
          <w:color w:val="auto"/>
        </w:rPr>
        <w:t>The evaluation considered that t</w:t>
      </w:r>
      <w:r w:rsidRPr="00217EA0">
        <w:rPr>
          <w:color w:val="auto"/>
        </w:rPr>
        <w:t xml:space="preserve">his was reasonable. However, given concerns regarding the stability of the biomarker, </w:t>
      </w:r>
      <w:r w:rsidR="00980E73" w:rsidRPr="00217EA0">
        <w:rPr>
          <w:color w:val="auto"/>
        </w:rPr>
        <w:t xml:space="preserve">the evaluation </w:t>
      </w:r>
      <w:r w:rsidR="00D159C7" w:rsidRPr="00217EA0">
        <w:rPr>
          <w:color w:val="auto"/>
        </w:rPr>
        <w:t>and the ESCs</w:t>
      </w:r>
      <w:r w:rsidR="00980E73" w:rsidRPr="00217EA0">
        <w:rPr>
          <w:color w:val="auto"/>
        </w:rPr>
        <w:t xml:space="preserve"> considered that </w:t>
      </w:r>
      <w:r w:rsidRPr="00217EA0">
        <w:rPr>
          <w:color w:val="auto"/>
        </w:rPr>
        <w:t>it is possible that some patients may benefit from later testing</w:t>
      </w:r>
      <w:r w:rsidR="00D41E08" w:rsidRPr="00217EA0">
        <w:rPr>
          <w:color w:val="auto"/>
        </w:rPr>
        <w:t>,</w:t>
      </w:r>
      <w:r w:rsidRPr="00217EA0">
        <w:rPr>
          <w:color w:val="auto"/>
        </w:rPr>
        <w:t xml:space="preserve"> especially if they were first tested in an earlier setting. </w:t>
      </w:r>
      <w:r w:rsidR="003578BC" w:rsidRPr="00217EA0">
        <w:rPr>
          <w:color w:val="auto"/>
        </w:rPr>
        <w:t>D</w:t>
      </w:r>
      <w:r w:rsidRPr="00217EA0">
        <w:rPr>
          <w:color w:val="auto"/>
        </w:rPr>
        <w:t xml:space="preserve">oubling </w:t>
      </w:r>
      <w:r w:rsidR="003E5C46" w:rsidRPr="003E5C46">
        <w:rPr>
          <w:i/>
          <w:iCs/>
          <w:color w:val="auto"/>
        </w:rPr>
        <w:t>FGFR2</w:t>
      </w:r>
      <w:r w:rsidRPr="00217EA0">
        <w:rPr>
          <w:color w:val="auto"/>
        </w:rPr>
        <w:t xml:space="preserve"> test cost</w:t>
      </w:r>
      <w:r w:rsidR="0062123C" w:rsidRPr="00217EA0">
        <w:rPr>
          <w:color w:val="auto"/>
        </w:rPr>
        <w:t>s</w:t>
      </w:r>
      <w:r w:rsidRPr="00217EA0">
        <w:rPr>
          <w:color w:val="auto"/>
        </w:rPr>
        <w:t xml:space="preserve"> and assuming 100% of tests were conducted on the MBS had only a small impact (+</w:t>
      </w:r>
      <w:r w:rsidR="00F0779A" w:rsidRPr="00F0779A">
        <w:rPr>
          <w:color w:val="000000"/>
          <w:w w:val="60"/>
          <w:shd w:val="solid" w:color="000000" w:fill="000000"/>
          <w:fitText w:val="470" w:id="-694415606"/>
          <w14:textFill>
            <w14:solidFill>
              <w14:srgbClr w14:val="000000">
                <w14:alpha w14:val="100000"/>
              </w14:srgbClr>
            </w14:solidFill>
          </w14:textFill>
        </w:rPr>
        <w:t>|||  ||</w:t>
      </w:r>
      <w:r w:rsidR="00F0779A" w:rsidRPr="00F0779A">
        <w:rPr>
          <w:color w:val="000000"/>
          <w:spacing w:val="6"/>
          <w:w w:val="60"/>
          <w:shd w:val="solid" w:color="000000" w:fill="000000"/>
          <w:fitText w:val="470" w:id="-694415606"/>
          <w14:textFill>
            <w14:solidFill>
              <w14:srgbClr w14:val="000000">
                <w14:alpha w14:val="100000"/>
              </w14:srgbClr>
            </w14:solidFill>
          </w14:textFill>
        </w:rPr>
        <w:t>|</w:t>
      </w:r>
      <w:r w:rsidRPr="00217EA0">
        <w:rPr>
          <w:color w:val="auto"/>
        </w:rPr>
        <w:t xml:space="preserve">%) on the ICER. </w:t>
      </w:r>
    </w:p>
    <w:p w14:paraId="09AE1A2D" w14:textId="52947EB5" w:rsidR="005E1345" w:rsidRPr="00217EA0" w:rsidRDefault="005E1345" w:rsidP="2914E55D">
      <w:pPr>
        <w:pStyle w:val="ListParagraph"/>
        <w:rPr>
          <w:color w:val="auto"/>
        </w:rPr>
      </w:pPr>
      <w:r w:rsidRPr="00217EA0">
        <w:rPr>
          <w:color w:val="auto"/>
        </w:rPr>
        <w:t xml:space="preserve">Grade 3 or higher treatment related </w:t>
      </w:r>
      <w:r w:rsidR="00A8793B" w:rsidRPr="00217EA0">
        <w:rPr>
          <w:color w:val="auto"/>
        </w:rPr>
        <w:t>AE</w:t>
      </w:r>
      <w:r w:rsidRPr="00217EA0">
        <w:rPr>
          <w:color w:val="auto"/>
        </w:rPr>
        <w:t xml:space="preserve">s with a frequency greater than 5% in either treatment arm </w:t>
      </w:r>
      <w:r w:rsidR="002E0513" w:rsidRPr="00217EA0">
        <w:rPr>
          <w:color w:val="auto"/>
        </w:rPr>
        <w:t>were</w:t>
      </w:r>
      <w:r w:rsidRPr="00217EA0">
        <w:rPr>
          <w:color w:val="auto"/>
        </w:rPr>
        <w:t xml:space="preserve"> applied in the model. Grade 2 or higher AEs for hyperphosphatemia were also considered due to their frequency in patients treated with FGFR inhibitors. The model used the probability of an AE to estimate a one-off cost which is applied in the first cycle of the model.</w:t>
      </w:r>
    </w:p>
    <w:p w14:paraId="4620EE7A" w14:textId="2BDDBA20" w:rsidR="005E1345" w:rsidRPr="00217EA0" w:rsidRDefault="00980E73" w:rsidP="2914E55D">
      <w:pPr>
        <w:pStyle w:val="ListParagraph"/>
        <w:rPr>
          <w:color w:val="auto"/>
        </w:rPr>
      </w:pPr>
      <w:r w:rsidRPr="00217EA0">
        <w:rPr>
          <w:color w:val="auto"/>
        </w:rPr>
        <w:t>The evaluation noted that t</w:t>
      </w:r>
      <w:r w:rsidR="005E1345" w:rsidRPr="00217EA0">
        <w:rPr>
          <w:color w:val="auto"/>
        </w:rPr>
        <w:t xml:space="preserve">hese differences in adverse events are based on unanchored unadjusted results of two different studies with substantial differences in study populations (ABC-06 and FOENIX-CCA-2). Consequently, </w:t>
      </w:r>
      <w:r w:rsidR="00E74604" w:rsidRPr="00217EA0">
        <w:rPr>
          <w:color w:val="auto"/>
        </w:rPr>
        <w:t xml:space="preserve">the evaluation considered </w:t>
      </w:r>
      <w:r w:rsidR="005E1345" w:rsidRPr="00217EA0">
        <w:rPr>
          <w:color w:val="auto"/>
        </w:rPr>
        <w:t xml:space="preserve">it unclear how accurate these estimates of AE rates would be in the requested population. </w:t>
      </w:r>
    </w:p>
    <w:p w14:paraId="07F6C3B7" w14:textId="510AA553" w:rsidR="005E1345" w:rsidRPr="00217EA0" w:rsidRDefault="005E1345" w:rsidP="2914E55D">
      <w:pPr>
        <w:pStyle w:val="ListParagraph"/>
        <w:rPr>
          <w:color w:val="auto"/>
        </w:rPr>
      </w:pPr>
      <w:r w:rsidRPr="00217EA0">
        <w:rPr>
          <w:color w:val="auto"/>
        </w:rPr>
        <w:t xml:space="preserve">Overall, </w:t>
      </w:r>
      <w:r w:rsidR="00E74604" w:rsidRPr="00217EA0">
        <w:rPr>
          <w:color w:val="auto"/>
        </w:rPr>
        <w:t xml:space="preserve">the </w:t>
      </w:r>
      <w:r w:rsidR="00E81F41" w:rsidRPr="00217EA0">
        <w:rPr>
          <w:color w:val="auto"/>
        </w:rPr>
        <w:t>ESC</w:t>
      </w:r>
      <w:r w:rsidR="005F6D0C" w:rsidRPr="00217EA0">
        <w:rPr>
          <w:color w:val="auto"/>
        </w:rPr>
        <w:t xml:space="preserve"> </w:t>
      </w:r>
      <w:r w:rsidR="00E74604" w:rsidRPr="00217EA0">
        <w:rPr>
          <w:color w:val="auto"/>
        </w:rPr>
        <w:t xml:space="preserve">considered that </w:t>
      </w:r>
      <w:r w:rsidRPr="00217EA0">
        <w:rPr>
          <w:color w:val="auto"/>
        </w:rPr>
        <w:t xml:space="preserve">the key issue with the model was the validity of the clinical OS and PFS estimates on which it was based. </w:t>
      </w:r>
      <w:r w:rsidR="00E74604" w:rsidRPr="00217EA0">
        <w:rPr>
          <w:color w:val="auto"/>
        </w:rPr>
        <w:t>The</w:t>
      </w:r>
      <w:r w:rsidR="005F6D0C" w:rsidRPr="00217EA0">
        <w:rPr>
          <w:color w:val="auto"/>
        </w:rPr>
        <w:t xml:space="preserve"> ESCs</w:t>
      </w:r>
      <w:r w:rsidR="00E74604" w:rsidRPr="00217EA0">
        <w:rPr>
          <w:color w:val="auto"/>
        </w:rPr>
        <w:t xml:space="preserve"> considered that t</w:t>
      </w:r>
      <w:r w:rsidRPr="00217EA0">
        <w:rPr>
          <w:color w:val="auto"/>
        </w:rPr>
        <w:t xml:space="preserve">he submission’s MAIC provided a highly uncertain estimate of magnitude of effect due to not adjusting for </w:t>
      </w:r>
      <w:r w:rsidR="003E5C46" w:rsidRPr="003E5C46">
        <w:rPr>
          <w:i/>
          <w:iCs/>
          <w:color w:val="auto"/>
        </w:rPr>
        <w:t>FGFR2</w:t>
      </w:r>
      <w:r w:rsidRPr="00217EA0">
        <w:rPr>
          <w:color w:val="auto"/>
        </w:rPr>
        <w:t xml:space="preserve"> status, was likely overestimated and favoured </w:t>
      </w:r>
      <w:proofErr w:type="spellStart"/>
      <w:r w:rsidRPr="00217EA0">
        <w:rPr>
          <w:color w:val="auto"/>
        </w:rPr>
        <w:t>futibatinib</w:t>
      </w:r>
      <w:proofErr w:type="spellEnd"/>
      <w:r w:rsidRPr="00217EA0">
        <w:rPr>
          <w:color w:val="auto"/>
        </w:rPr>
        <w:t xml:space="preserve"> to a substantial degree, that cannot be addressed through parametric extrapolation. </w:t>
      </w:r>
      <w:r w:rsidR="00F44740" w:rsidRPr="00217EA0">
        <w:rPr>
          <w:color w:val="auto"/>
        </w:rPr>
        <w:t>The ESCs noted that</w:t>
      </w:r>
      <w:r w:rsidRPr="00217EA0">
        <w:rPr>
          <w:color w:val="auto"/>
        </w:rPr>
        <w:t xml:space="preserve"> given the structure of the model it was not possible to test the model using results from Paine 2022 and Borad 2022.</w:t>
      </w:r>
      <w:r w:rsidR="004A0C89">
        <w:rPr>
          <w:color w:val="auto"/>
        </w:rPr>
        <w:t xml:space="preserve"> The Pre-PBAC response </w:t>
      </w:r>
      <w:r w:rsidR="00C363F7">
        <w:rPr>
          <w:color w:val="auto"/>
        </w:rPr>
        <w:t xml:space="preserve">attributed this to </w:t>
      </w:r>
      <w:r w:rsidR="001B7AAA">
        <w:rPr>
          <w:color w:val="auto"/>
        </w:rPr>
        <w:t xml:space="preserve">insufficient data available in the </w:t>
      </w:r>
      <w:r w:rsidR="009070C9" w:rsidRPr="009070C9">
        <w:rPr>
          <w:color w:val="auto"/>
        </w:rPr>
        <w:t xml:space="preserve">Borad and Paine abstracts to create Kaplan Meier </w:t>
      </w:r>
      <w:r w:rsidR="00937E1D">
        <w:rPr>
          <w:color w:val="auto"/>
        </w:rPr>
        <w:t xml:space="preserve">(KM) </w:t>
      </w:r>
      <w:r w:rsidR="009070C9" w:rsidRPr="009070C9">
        <w:rPr>
          <w:color w:val="auto"/>
        </w:rPr>
        <w:t>curves to insert into the model</w:t>
      </w:r>
      <w:r w:rsidR="00A60012">
        <w:rPr>
          <w:color w:val="auto"/>
        </w:rPr>
        <w:t xml:space="preserve"> rather than </w:t>
      </w:r>
      <w:r w:rsidR="00372F72">
        <w:rPr>
          <w:color w:val="auto"/>
        </w:rPr>
        <w:t>a limitation of the model</w:t>
      </w:r>
      <w:r w:rsidR="00937E1D">
        <w:rPr>
          <w:color w:val="auto"/>
        </w:rPr>
        <w:t xml:space="preserve">, and </w:t>
      </w:r>
      <w:r w:rsidR="00F879F5">
        <w:rPr>
          <w:color w:val="auto"/>
        </w:rPr>
        <w:t xml:space="preserve">presented an additional sensitivity analysis </w:t>
      </w:r>
      <w:r w:rsidR="004043C0">
        <w:rPr>
          <w:color w:val="auto"/>
        </w:rPr>
        <w:t>including</w:t>
      </w:r>
      <w:r w:rsidR="00F879F5">
        <w:rPr>
          <w:color w:val="auto"/>
        </w:rPr>
        <w:t xml:space="preserve"> scenarios </w:t>
      </w:r>
      <w:r w:rsidR="004043C0" w:rsidRPr="00B246D6">
        <w:rPr>
          <w:rFonts w:cstheme="minorHAnsi"/>
          <w:iCs/>
        </w:rPr>
        <w:t xml:space="preserve">the ABC-06 KM curves are shifted by </w:t>
      </w:r>
      <w:r w:rsidR="00F0779A" w:rsidRPr="00F0779A">
        <w:rPr>
          <w:rFonts w:cstheme="minorHAnsi"/>
          <w:iCs/>
          <w:w w:val="60"/>
          <w:shd w:val="solid" w:color="000000" w:fill="000000"/>
          <w:fitText w:val="470" w:id="-694415605"/>
          <w14:textFill>
            <w14:solidFill>
              <w14:schemeClr w14:val="tx1">
                <w14:alpha w14:val="100000"/>
              </w14:schemeClr>
            </w14:solidFill>
          </w14:textFill>
        </w:rPr>
        <w:t>|||  ||</w:t>
      </w:r>
      <w:r w:rsidR="00F0779A" w:rsidRPr="00F0779A">
        <w:rPr>
          <w:rFonts w:cstheme="minorHAnsi"/>
          <w:iCs/>
          <w:spacing w:val="6"/>
          <w:w w:val="60"/>
          <w:shd w:val="solid" w:color="000000" w:fill="000000"/>
          <w:fitText w:val="470" w:id="-694415605"/>
          <w14:textFill>
            <w14:solidFill>
              <w14:schemeClr w14:val="tx1">
                <w14:alpha w14:val="100000"/>
              </w14:schemeClr>
            </w14:solidFill>
          </w14:textFill>
        </w:rPr>
        <w:t>|</w:t>
      </w:r>
      <w:r w:rsidR="004043C0" w:rsidRPr="00B246D6">
        <w:rPr>
          <w:rFonts w:cstheme="minorHAnsi"/>
          <w:iCs/>
        </w:rPr>
        <w:t xml:space="preserve">%, </w:t>
      </w:r>
      <w:r w:rsidR="00F0779A" w:rsidRPr="00F0779A">
        <w:rPr>
          <w:rFonts w:cstheme="minorHAnsi"/>
          <w:iCs/>
          <w:w w:val="60"/>
          <w:shd w:val="solid" w:color="000000" w:fill="000000"/>
          <w:fitText w:val="470" w:id="-694415604"/>
          <w14:textFill>
            <w14:solidFill>
              <w14:schemeClr w14:val="tx1">
                <w14:alpha w14:val="100000"/>
              </w14:schemeClr>
            </w14:solidFill>
          </w14:textFill>
        </w:rPr>
        <w:t>|||  ||</w:t>
      </w:r>
      <w:r w:rsidR="00F0779A" w:rsidRPr="00F0779A">
        <w:rPr>
          <w:rFonts w:cstheme="minorHAnsi"/>
          <w:iCs/>
          <w:spacing w:val="6"/>
          <w:w w:val="60"/>
          <w:shd w:val="solid" w:color="000000" w:fill="000000"/>
          <w:fitText w:val="470" w:id="-694415604"/>
          <w14:textFill>
            <w14:solidFill>
              <w14:schemeClr w14:val="tx1">
                <w14:alpha w14:val="100000"/>
              </w14:schemeClr>
            </w14:solidFill>
          </w14:textFill>
        </w:rPr>
        <w:t>|</w:t>
      </w:r>
      <w:r w:rsidR="004043C0" w:rsidRPr="00B246D6">
        <w:rPr>
          <w:rFonts w:cstheme="minorHAnsi"/>
          <w:iCs/>
        </w:rPr>
        <w:t xml:space="preserve">% and </w:t>
      </w:r>
      <w:r w:rsidR="00F0779A" w:rsidRPr="00F0779A">
        <w:rPr>
          <w:rFonts w:cstheme="minorHAnsi"/>
          <w:iCs/>
          <w:w w:val="62"/>
          <w:shd w:val="solid" w:color="000000" w:fill="000000"/>
          <w:fitText w:val="480" w:id="-694415603"/>
          <w14:textFill>
            <w14:solidFill>
              <w14:schemeClr w14:val="tx1">
                <w14:alpha w14:val="100000"/>
              </w14:schemeClr>
            </w14:solidFill>
          </w14:textFill>
        </w:rPr>
        <w:t>|||  ||</w:t>
      </w:r>
      <w:r w:rsidR="00F0779A" w:rsidRPr="00F0779A">
        <w:rPr>
          <w:rFonts w:cstheme="minorHAnsi"/>
          <w:iCs/>
          <w:spacing w:val="2"/>
          <w:w w:val="62"/>
          <w:shd w:val="solid" w:color="000000" w:fill="000000"/>
          <w:fitText w:val="480" w:id="-694415603"/>
          <w14:textFill>
            <w14:solidFill>
              <w14:schemeClr w14:val="tx1">
                <w14:alpha w14:val="100000"/>
              </w14:schemeClr>
            </w14:solidFill>
          </w14:textFill>
        </w:rPr>
        <w:t>|</w:t>
      </w:r>
      <w:r w:rsidR="004043C0" w:rsidRPr="00B246D6">
        <w:rPr>
          <w:rFonts w:cstheme="minorHAnsi"/>
          <w:iCs/>
        </w:rPr>
        <w:t>%</w:t>
      </w:r>
      <w:r w:rsidR="004043C0">
        <w:rPr>
          <w:rFonts w:cstheme="minorHAnsi"/>
          <w:iCs/>
        </w:rPr>
        <w:t xml:space="preserve"> (Table 1, Pre-PBAC Response)</w:t>
      </w:r>
      <w:r w:rsidR="009070C9">
        <w:rPr>
          <w:color w:val="auto"/>
        </w:rPr>
        <w:t xml:space="preserve">. </w:t>
      </w:r>
    </w:p>
    <w:p w14:paraId="30158A80" w14:textId="72A06D59" w:rsidR="00E37424" w:rsidRPr="00217EA0" w:rsidRDefault="005E1345" w:rsidP="0076446C">
      <w:pPr>
        <w:pStyle w:val="ListParagraph"/>
        <w:rPr>
          <w:color w:val="auto"/>
        </w:rPr>
      </w:pPr>
      <w:r w:rsidRPr="00217EA0">
        <w:rPr>
          <w:color w:val="auto"/>
        </w:rPr>
        <w:fldChar w:fldCharType="begin"/>
      </w:r>
      <w:r w:rsidRPr="00217EA0">
        <w:rPr>
          <w:color w:val="auto"/>
        </w:rPr>
        <w:instrText xml:space="preserve"> REF _Ref184828842 \h </w:instrText>
      </w:r>
      <w:r w:rsidR="00EC070E" w:rsidRPr="00217EA0">
        <w:rPr>
          <w:color w:val="auto"/>
        </w:rPr>
        <w:instrText xml:space="preserve"> \* MERGEFORMAT </w:instrText>
      </w:r>
      <w:r w:rsidRPr="00217EA0">
        <w:rPr>
          <w:color w:val="auto"/>
        </w:rPr>
      </w:r>
      <w:r w:rsidRPr="00217EA0">
        <w:rPr>
          <w:color w:val="auto"/>
        </w:rPr>
        <w:fldChar w:fldCharType="separate"/>
      </w:r>
      <w:r w:rsidR="008378C4" w:rsidRPr="00217EA0">
        <w:t>Table</w:t>
      </w:r>
      <w:r w:rsidR="008378C4">
        <w:t xml:space="preserve"> 20</w:t>
      </w:r>
      <w:r w:rsidRPr="00217EA0">
        <w:rPr>
          <w:color w:val="auto"/>
        </w:rPr>
        <w:fldChar w:fldCharType="end"/>
      </w:r>
      <w:r w:rsidRPr="00217EA0">
        <w:rPr>
          <w:color w:val="auto"/>
        </w:rPr>
        <w:t xml:space="preserve"> presents the key drivers of the model</w:t>
      </w:r>
      <w:r w:rsidR="007B07F9" w:rsidRPr="00217EA0">
        <w:rPr>
          <w:color w:val="auto"/>
        </w:rPr>
        <w:t>.</w:t>
      </w:r>
    </w:p>
    <w:p w14:paraId="456F0FBD" w14:textId="34E52110" w:rsidR="00C164A4" w:rsidRPr="00217EA0" w:rsidRDefault="00C164A4" w:rsidP="00FA13F3">
      <w:pPr>
        <w:pStyle w:val="Caption"/>
      </w:pPr>
      <w:bookmarkStart w:id="81" w:name="_Ref184828842"/>
      <w:r w:rsidRPr="00217EA0">
        <w:t>Table</w:t>
      </w:r>
      <w:r w:rsidR="00671622">
        <w:t xml:space="preserve"> </w:t>
      </w:r>
      <w:r w:rsidR="00E600E3" w:rsidRPr="00217EA0">
        <w:fldChar w:fldCharType="begin"/>
      </w:r>
      <w:r w:rsidR="00E600E3" w:rsidRPr="00217EA0">
        <w:instrText xml:space="preserve"> SEQ Table_PBAC. \* ARABIC </w:instrText>
      </w:r>
      <w:r w:rsidR="00E600E3" w:rsidRPr="00217EA0">
        <w:fldChar w:fldCharType="separate"/>
      </w:r>
      <w:r w:rsidR="008378C4">
        <w:rPr>
          <w:noProof/>
        </w:rPr>
        <w:t>20</w:t>
      </w:r>
      <w:r w:rsidR="00E600E3" w:rsidRPr="00217EA0">
        <w:fldChar w:fldCharType="end"/>
      </w:r>
      <w:bookmarkEnd w:id="81"/>
      <w:r w:rsidR="003D539B">
        <w:t xml:space="preserve">: </w:t>
      </w:r>
      <w:r w:rsidRPr="00217EA0">
        <w:t>Key drivers of the model</w:t>
      </w:r>
      <w:r w:rsidR="00937E53" w:rsidRPr="00217EA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0: Key drivers of the model "/>
      </w:tblPr>
      <w:tblGrid>
        <w:gridCol w:w="1294"/>
        <w:gridCol w:w="4503"/>
        <w:gridCol w:w="3219"/>
      </w:tblGrid>
      <w:tr w:rsidR="007900E9" w:rsidRPr="00217EA0" w14:paraId="40B143C3" w14:textId="77777777" w:rsidTr="2914E55D">
        <w:trPr>
          <w:tblHeader/>
        </w:trPr>
        <w:tc>
          <w:tcPr>
            <w:tcW w:w="718" w:type="pct"/>
            <w:shd w:val="clear" w:color="auto" w:fill="auto"/>
            <w:vAlign w:val="center"/>
          </w:tcPr>
          <w:p w14:paraId="50BBAB30" w14:textId="77777777" w:rsidR="00EA0D94" w:rsidRPr="00217EA0" w:rsidRDefault="00EA0D94" w:rsidP="000D6482">
            <w:pPr>
              <w:pStyle w:val="In-tableHeading"/>
              <w:keepLines/>
              <w:rPr>
                <w:lang w:val="en-AU"/>
              </w:rPr>
            </w:pPr>
            <w:r w:rsidRPr="00217EA0">
              <w:rPr>
                <w:lang w:val="en-AU"/>
              </w:rPr>
              <w:t>Description</w:t>
            </w:r>
          </w:p>
        </w:tc>
        <w:tc>
          <w:tcPr>
            <w:tcW w:w="2497" w:type="pct"/>
            <w:shd w:val="clear" w:color="auto" w:fill="auto"/>
            <w:vAlign w:val="center"/>
          </w:tcPr>
          <w:p w14:paraId="4AA32EFF" w14:textId="77777777" w:rsidR="00EA0D94" w:rsidRPr="00217EA0" w:rsidRDefault="00EA0D94" w:rsidP="000D6482">
            <w:pPr>
              <w:pStyle w:val="In-tableHeading"/>
              <w:keepLines/>
              <w:jc w:val="center"/>
              <w:rPr>
                <w:lang w:val="en-AU"/>
              </w:rPr>
            </w:pPr>
            <w:r w:rsidRPr="00217EA0">
              <w:rPr>
                <w:lang w:val="en-AU"/>
              </w:rPr>
              <w:t>Method/Value</w:t>
            </w:r>
          </w:p>
        </w:tc>
        <w:tc>
          <w:tcPr>
            <w:tcW w:w="1785" w:type="pct"/>
            <w:shd w:val="clear" w:color="auto" w:fill="auto"/>
            <w:vAlign w:val="center"/>
          </w:tcPr>
          <w:p w14:paraId="714ECF51" w14:textId="77777777" w:rsidR="00EA0D94" w:rsidRPr="00217EA0" w:rsidRDefault="00EA0D94" w:rsidP="000D6482">
            <w:pPr>
              <w:pStyle w:val="In-tableHeading"/>
              <w:keepLines/>
              <w:jc w:val="center"/>
              <w:rPr>
                <w:lang w:val="en-AU"/>
              </w:rPr>
            </w:pPr>
            <w:r w:rsidRPr="00217EA0">
              <w:rPr>
                <w:lang w:val="en-AU"/>
              </w:rPr>
              <w:t>Impact</w:t>
            </w:r>
          </w:p>
          <w:p w14:paraId="777438BB" w14:textId="22FE5420" w:rsidR="00EA0D94" w:rsidRPr="00217EA0" w:rsidRDefault="0088430A" w:rsidP="000D6482">
            <w:pPr>
              <w:pStyle w:val="TableText"/>
              <w:keepNext/>
              <w:keepLines/>
              <w:jc w:val="center"/>
              <w:rPr>
                <w:b/>
                <w:bCs/>
              </w:rPr>
            </w:pPr>
            <w:r w:rsidRPr="00217EA0">
              <w:rPr>
                <w:rFonts w:cs="Arial"/>
                <w:b/>
                <w:bCs/>
                <w:szCs w:val="20"/>
              </w:rPr>
              <w:t>(</w:t>
            </w:r>
            <w:r w:rsidR="007B07F9" w:rsidRPr="00217EA0">
              <w:rPr>
                <w:rFonts w:cs="Arial"/>
                <w:b/>
                <w:bCs/>
                <w:szCs w:val="20"/>
              </w:rPr>
              <w:t>Corrected b</w:t>
            </w:r>
            <w:r w:rsidR="00EA0D94" w:rsidRPr="00217EA0">
              <w:rPr>
                <w:rFonts w:cs="Arial"/>
                <w:b/>
                <w:bCs/>
                <w:szCs w:val="20"/>
              </w:rPr>
              <w:t xml:space="preserve">ase case: </w:t>
            </w:r>
            <w:r w:rsidR="00F0779A" w:rsidRPr="00F0779A">
              <w:rPr>
                <w:rFonts w:cs="Arial"/>
                <w:b/>
                <w:bCs/>
                <w:color w:val="000000"/>
                <w:spacing w:val="58"/>
                <w:szCs w:val="20"/>
                <w:shd w:val="solid" w:color="000000" w:fill="000000"/>
                <w:fitText w:val="360" w:id="-694415602"/>
                <w14:textFill>
                  <w14:solidFill>
                    <w14:srgbClr w14:val="000000">
                      <w14:alpha w14:val="100000"/>
                    </w14:srgbClr>
                  </w14:solidFill>
                </w14:textFill>
              </w:rPr>
              <w:t>|||</w:t>
            </w:r>
            <w:r w:rsidR="00F0779A" w:rsidRPr="00F0779A">
              <w:rPr>
                <w:rFonts w:cs="Arial"/>
                <w:b/>
                <w:bCs/>
                <w:color w:val="000000"/>
                <w:spacing w:val="3"/>
                <w:szCs w:val="20"/>
                <w:shd w:val="solid" w:color="000000" w:fill="000000"/>
                <w:fitText w:val="360" w:id="-694415602"/>
                <w14:textFill>
                  <w14:solidFill>
                    <w14:srgbClr w14:val="000000">
                      <w14:alpha w14:val="100000"/>
                    </w14:srgbClr>
                  </w14:solidFill>
                </w14:textFill>
              </w:rPr>
              <w:t>|</w:t>
            </w:r>
            <w:r w:rsidR="00580425" w:rsidRPr="00580425">
              <w:rPr>
                <w:rFonts w:cs="Arial"/>
                <w:b/>
                <w:bCs/>
                <w:szCs w:val="20"/>
                <w:vertAlign w:val="superscript"/>
              </w:rPr>
              <w:t>1</w:t>
            </w:r>
            <w:r w:rsidR="00EA0D94" w:rsidRPr="00217EA0">
              <w:rPr>
                <w:rFonts w:cs="Arial"/>
                <w:b/>
                <w:bCs/>
                <w:szCs w:val="20"/>
              </w:rPr>
              <w:t>/QALY gained.</w:t>
            </w:r>
            <w:r w:rsidRPr="00217EA0">
              <w:rPr>
                <w:rFonts w:cs="Arial"/>
                <w:b/>
                <w:bCs/>
                <w:szCs w:val="20"/>
              </w:rPr>
              <w:t>)</w:t>
            </w:r>
          </w:p>
        </w:tc>
      </w:tr>
      <w:tr w:rsidR="007900E9" w:rsidRPr="00217EA0" w14:paraId="63AD5069" w14:textId="77777777" w:rsidTr="2914E55D">
        <w:tc>
          <w:tcPr>
            <w:tcW w:w="718" w:type="pct"/>
            <w:shd w:val="clear" w:color="auto" w:fill="auto"/>
            <w:vAlign w:val="center"/>
          </w:tcPr>
          <w:p w14:paraId="0057951A" w14:textId="73CC8CEA" w:rsidR="007B07F9" w:rsidRPr="00217EA0" w:rsidRDefault="007B07F9" w:rsidP="000D6482">
            <w:pPr>
              <w:pStyle w:val="TableText"/>
              <w:keepNext/>
              <w:keepLines/>
            </w:pPr>
            <w:r w:rsidRPr="00217EA0">
              <w:t>Use of data from submission</w:t>
            </w:r>
            <w:r w:rsidR="0088430A" w:rsidRPr="00217EA0">
              <w:t>’s</w:t>
            </w:r>
            <w:r w:rsidRPr="00217EA0">
              <w:t xml:space="preserve"> MAIC</w:t>
            </w:r>
          </w:p>
        </w:tc>
        <w:tc>
          <w:tcPr>
            <w:tcW w:w="2497" w:type="pct"/>
            <w:shd w:val="clear" w:color="auto" w:fill="auto"/>
            <w:vAlign w:val="center"/>
          </w:tcPr>
          <w:p w14:paraId="3AFFB3DA" w14:textId="4E0073EB" w:rsidR="007B07F9" w:rsidRPr="00217EA0" w:rsidRDefault="007B07F9" w:rsidP="2914E55D">
            <w:pPr>
              <w:pStyle w:val="TableText"/>
              <w:keepNext/>
              <w:keepLines/>
            </w:pPr>
            <w:r w:rsidRPr="00217EA0">
              <w:t xml:space="preserve">OS and PFS health states were informed by ABC-06 KM data </w:t>
            </w:r>
            <w:r w:rsidR="0088430A" w:rsidRPr="00217EA0">
              <w:t xml:space="preserve">in a group of patients in whom </w:t>
            </w:r>
            <w:r w:rsidR="003E5C46" w:rsidRPr="003E5C46">
              <w:rPr>
                <w:i/>
                <w:iCs/>
              </w:rPr>
              <w:t>FGFR2</w:t>
            </w:r>
            <w:r w:rsidR="0088430A" w:rsidRPr="00217EA0">
              <w:t xml:space="preserve"> status was unknown, </w:t>
            </w:r>
            <w:r w:rsidRPr="00217EA0">
              <w:t>and</w:t>
            </w:r>
            <w:r w:rsidR="0088430A" w:rsidRPr="00217EA0">
              <w:t xml:space="preserve"> m</w:t>
            </w:r>
            <w:r w:rsidRPr="00217EA0">
              <w:t>atched adjusted KM data from FOENIX-CCA2</w:t>
            </w:r>
            <w:r w:rsidR="0088430A" w:rsidRPr="00217EA0">
              <w:t xml:space="preserve"> in patients who have </w:t>
            </w:r>
            <w:r w:rsidR="003E5C46" w:rsidRPr="003E5C46">
              <w:rPr>
                <w:i/>
                <w:iCs/>
              </w:rPr>
              <w:t>FGFR2</w:t>
            </w:r>
            <w:r w:rsidR="0088430A" w:rsidRPr="00217EA0">
              <w:t xml:space="preserve"> fusion/rearrangement.  </w:t>
            </w:r>
          </w:p>
        </w:tc>
        <w:tc>
          <w:tcPr>
            <w:tcW w:w="1785" w:type="pct"/>
            <w:shd w:val="clear" w:color="auto" w:fill="auto"/>
            <w:vAlign w:val="center"/>
          </w:tcPr>
          <w:p w14:paraId="7EA38EE1" w14:textId="2CFD306F" w:rsidR="007B07F9" w:rsidRPr="00217EA0" w:rsidRDefault="007B07F9" w:rsidP="2914E55D">
            <w:pPr>
              <w:pStyle w:val="TableText"/>
              <w:keepNext/>
              <w:keepLines/>
            </w:pPr>
            <w:r w:rsidRPr="00217EA0">
              <w:t xml:space="preserve">Unknown, but likely high, favouring </w:t>
            </w:r>
            <w:proofErr w:type="spellStart"/>
            <w:r w:rsidRPr="00217EA0">
              <w:t>futibatinib</w:t>
            </w:r>
            <w:proofErr w:type="spellEnd"/>
          </w:p>
        </w:tc>
      </w:tr>
      <w:tr w:rsidR="007900E9" w:rsidRPr="00217EA0" w14:paraId="63D25D3C" w14:textId="77777777" w:rsidTr="2914E55D">
        <w:tc>
          <w:tcPr>
            <w:tcW w:w="718" w:type="pct"/>
            <w:shd w:val="clear" w:color="auto" w:fill="auto"/>
            <w:vAlign w:val="center"/>
          </w:tcPr>
          <w:p w14:paraId="6B8163FB" w14:textId="5F3FB796" w:rsidR="00EA0D94" w:rsidRPr="00217EA0" w:rsidRDefault="007B07F9" w:rsidP="000D6482">
            <w:pPr>
              <w:pStyle w:val="TableText"/>
              <w:keepNext/>
              <w:keepLines/>
            </w:pPr>
            <w:r w:rsidRPr="00217EA0">
              <w:t>OS e</w:t>
            </w:r>
            <w:r w:rsidR="00EA0D94" w:rsidRPr="00217EA0">
              <w:t>xtrapolation</w:t>
            </w:r>
          </w:p>
        </w:tc>
        <w:tc>
          <w:tcPr>
            <w:tcW w:w="2497" w:type="pct"/>
            <w:shd w:val="clear" w:color="auto" w:fill="auto"/>
            <w:vAlign w:val="center"/>
          </w:tcPr>
          <w:p w14:paraId="520C2C54" w14:textId="7303E822" w:rsidR="00EA0D94" w:rsidRPr="00217EA0" w:rsidRDefault="0088430A" w:rsidP="000D6482">
            <w:pPr>
              <w:pStyle w:val="TableText"/>
              <w:keepNext/>
              <w:keepLines/>
            </w:pPr>
            <w:r w:rsidRPr="00217EA0">
              <w:t xml:space="preserve">Log logistic function chosen for both arms in base case. No convergence of OS assumed. </w:t>
            </w:r>
          </w:p>
        </w:tc>
        <w:tc>
          <w:tcPr>
            <w:tcW w:w="1785" w:type="pct"/>
            <w:shd w:val="clear" w:color="auto" w:fill="auto"/>
            <w:vAlign w:val="center"/>
          </w:tcPr>
          <w:p w14:paraId="7847569A" w14:textId="040332DC" w:rsidR="00EA0D94" w:rsidRPr="00217EA0" w:rsidRDefault="00EA0D94" w:rsidP="000D6482">
            <w:pPr>
              <w:pStyle w:val="TableText"/>
              <w:keepNext/>
              <w:keepLines/>
            </w:pPr>
            <w:r w:rsidRPr="00217EA0">
              <w:t xml:space="preserve">High, </w:t>
            </w:r>
            <w:r w:rsidR="0088430A" w:rsidRPr="00217EA0">
              <w:t xml:space="preserve">likely </w:t>
            </w:r>
            <w:r w:rsidRPr="00217EA0">
              <w:t xml:space="preserve">favours </w:t>
            </w:r>
            <w:proofErr w:type="spellStart"/>
            <w:r w:rsidR="007B07F9" w:rsidRPr="00217EA0">
              <w:t>futibatinib</w:t>
            </w:r>
            <w:proofErr w:type="spellEnd"/>
            <w:r w:rsidR="0088430A" w:rsidRPr="00217EA0">
              <w:t xml:space="preserve">. </w:t>
            </w:r>
            <w:r w:rsidRPr="00217EA0">
              <w:t xml:space="preserve">Use of </w:t>
            </w:r>
            <w:r w:rsidR="007B07F9" w:rsidRPr="00217EA0">
              <w:t xml:space="preserve">Loglogistic for FOLFOX and generalised gamma for </w:t>
            </w:r>
            <w:proofErr w:type="spellStart"/>
            <w:r w:rsidR="007B07F9" w:rsidRPr="00217EA0">
              <w:t>futibatinib</w:t>
            </w:r>
            <w:proofErr w:type="spellEnd"/>
            <w:r w:rsidR="007B07F9" w:rsidRPr="00217EA0">
              <w:t xml:space="preserve"> </w:t>
            </w:r>
            <w:r w:rsidRPr="00217EA0">
              <w:t xml:space="preserve">increased the ICER </w:t>
            </w:r>
            <w:r w:rsidR="007B07F9" w:rsidRPr="00217EA0">
              <w:t xml:space="preserve">by </w:t>
            </w:r>
            <w:r w:rsidR="00F0779A" w:rsidRPr="00F0779A">
              <w:rPr>
                <w:color w:val="000000"/>
                <w:spacing w:val="53"/>
                <w:shd w:val="solid" w:color="000000" w:fill="000000"/>
                <w:fitText w:val="330" w:id="-694415601"/>
                <w14:textFill>
                  <w14:solidFill>
                    <w14:srgbClr w14:val="000000">
                      <w14:alpha w14:val="100000"/>
                    </w14:srgbClr>
                  </w14:solidFill>
                </w14:textFill>
              </w:rPr>
              <w:t>|||</w:t>
            </w:r>
            <w:r w:rsidR="00F0779A" w:rsidRPr="00F0779A">
              <w:rPr>
                <w:color w:val="000000"/>
                <w:spacing w:val="1"/>
                <w:shd w:val="solid" w:color="000000" w:fill="000000"/>
                <w:fitText w:val="330" w:id="-694415601"/>
                <w14:textFill>
                  <w14:solidFill>
                    <w14:srgbClr w14:val="000000">
                      <w14:alpha w14:val="100000"/>
                    </w14:srgbClr>
                  </w14:solidFill>
                </w14:textFill>
              </w:rPr>
              <w:t>|</w:t>
            </w:r>
            <w:r w:rsidR="007B07F9" w:rsidRPr="00217EA0">
              <w:t xml:space="preserve">% </w:t>
            </w:r>
            <w:r w:rsidRPr="00217EA0">
              <w:t xml:space="preserve">to </w:t>
            </w:r>
            <w:r w:rsidR="00F0779A" w:rsidRPr="00F0779A">
              <w:rPr>
                <w:rFonts w:cs="Calibri"/>
                <w:color w:val="000000"/>
                <w:spacing w:val="53"/>
                <w:shd w:val="solid" w:color="000000" w:fill="000000"/>
                <w:fitText w:val="330" w:id="-694415600"/>
                <w14:textFill>
                  <w14:solidFill>
                    <w14:srgbClr w14:val="000000">
                      <w14:alpha w14:val="100000"/>
                    </w14:srgbClr>
                  </w14:solidFill>
                </w14:textFill>
              </w:rPr>
              <w:t>|||</w:t>
            </w:r>
            <w:r w:rsidR="00F0779A" w:rsidRPr="00F0779A">
              <w:rPr>
                <w:rFonts w:cs="Calibri"/>
                <w:color w:val="000000"/>
                <w:spacing w:val="1"/>
                <w:shd w:val="solid" w:color="000000" w:fill="000000"/>
                <w:fitText w:val="330" w:id="-694415600"/>
                <w14:textFill>
                  <w14:solidFill>
                    <w14:srgbClr w14:val="000000">
                      <w14:alpha w14:val="100000"/>
                    </w14:srgbClr>
                  </w14:solidFill>
                </w14:textFill>
              </w:rPr>
              <w:t>|</w:t>
            </w:r>
            <w:r w:rsidR="00A147C5" w:rsidRPr="00A147C5">
              <w:rPr>
                <w:rFonts w:cs="Calibri"/>
                <w:vertAlign w:val="superscript"/>
              </w:rPr>
              <w:t>2</w:t>
            </w:r>
            <w:r w:rsidRPr="00217EA0">
              <w:t xml:space="preserve">/QALY gained. </w:t>
            </w:r>
            <w:r w:rsidR="002E0513" w:rsidRPr="00217EA0">
              <w:t>However,</w:t>
            </w:r>
            <w:r w:rsidR="0088430A" w:rsidRPr="00217EA0">
              <w:t xml:space="preserve"> given uncertainty in the inputs of the MAIC, may not be informative. </w:t>
            </w:r>
          </w:p>
        </w:tc>
      </w:tr>
      <w:tr w:rsidR="007900E9" w:rsidRPr="00217EA0" w14:paraId="7E1F7C88" w14:textId="77777777" w:rsidTr="2914E55D">
        <w:tc>
          <w:tcPr>
            <w:tcW w:w="718" w:type="pct"/>
            <w:shd w:val="clear" w:color="auto" w:fill="auto"/>
            <w:vAlign w:val="center"/>
          </w:tcPr>
          <w:p w14:paraId="184FBA6A" w14:textId="62670348" w:rsidR="00EA0D94" w:rsidRPr="00217EA0" w:rsidRDefault="007B07F9" w:rsidP="000D6482">
            <w:pPr>
              <w:pStyle w:val="TableText"/>
              <w:keepNext/>
              <w:keepLines/>
            </w:pPr>
            <w:r w:rsidRPr="00217EA0">
              <w:t>Time horizon</w:t>
            </w:r>
          </w:p>
        </w:tc>
        <w:tc>
          <w:tcPr>
            <w:tcW w:w="2497" w:type="pct"/>
            <w:shd w:val="clear" w:color="auto" w:fill="auto"/>
            <w:vAlign w:val="center"/>
          </w:tcPr>
          <w:p w14:paraId="45AF3266" w14:textId="646187ED" w:rsidR="00EA0D94" w:rsidRPr="00217EA0" w:rsidRDefault="002E0513" w:rsidP="000D6482">
            <w:pPr>
              <w:pStyle w:val="TableText"/>
              <w:keepNext/>
              <w:keepLines/>
            </w:pPr>
            <w:r w:rsidRPr="00217EA0">
              <w:t>10-year</w:t>
            </w:r>
            <w:r w:rsidR="0088430A" w:rsidRPr="00217EA0">
              <w:t xml:space="preserve"> time horizon assumed in base case. The PBAC considered that a </w:t>
            </w:r>
            <w:r w:rsidRPr="00217EA0">
              <w:t>5-year</w:t>
            </w:r>
            <w:r w:rsidR="0088430A" w:rsidRPr="00217EA0">
              <w:t xml:space="preserve"> time horizon was appropriate in its consideration of </w:t>
            </w:r>
            <w:proofErr w:type="spellStart"/>
            <w:r w:rsidR="0088430A" w:rsidRPr="00217EA0">
              <w:t>ivosidenib</w:t>
            </w:r>
            <w:proofErr w:type="spellEnd"/>
            <w:r w:rsidR="0088430A" w:rsidRPr="00217EA0">
              <w:t xml:space="preserve"> in</w:t>
            </w:r>
            <w:r w:rsidR="00E859FB" w:rsidRPr="00E859FB">
              <w:rPr>
                <w:i/>
                <w:iCs/>
              </w:rPr>
              <w:t xml:space="preserve"> IDH1</w:t>
            </w:r>
            <w:r w:rsidR="0088430A" w:rsidRPr="00217EA0">
              <w:t xml:space="preserve"> variant CCA. </w:t>
            </w:r>
          </w:p>
        </w:tc>
        <w:tc>
          <w:tcPr>
            <w:tcW w:w="1785" w:type="pct"/>
            <w:shd w:val="clear" w:color="auto" w:fill="auto"/>
            <w:vAlign w:val="center"/>
          </w:tcPr>
          <w:p w14:paraId="6D2D4E3D" w14:textId="30F666E5" w:rsidR="00EA0D94" w:rsidRPr="00217EA0" w:rsidRDefault="007B07F9" w:rsidP="000D6482">
            <w:pPr>
              <w:pStyle w:val="TableText"/>
              <w:keepNext/>
              <w:keepLines/>
            </w:pPr>
            <w:r w:rsidRPr="00217EA0">
              <w:t>Moderate</w:t>
            </w:r>
            <w:r w:rsidR="00EA0D94" w:rsidRPr="00217EA0">
              <w:t>, favours</w:t>
            </w:r>
            <w:r w:rsidRPr="00217EA0">
              <w:t xml:space="preserve"> </w:t>
            </w:r>
            <w:proofErr w:type="spellStart"/>
            <w:r w:rsidRPr="00217EA0">
              <w:t>futibatinib</w:t>
            </w:r>
            <w:proofErr w:type="spellEnd"/>
            <w:r w:rsidR="0088430A" w:rsidRPr="00217EA0">
              <w:t>.</w:t>
            </w:r>
            <w:r w:rsidR="00EA0D94" w:rsidRPr="00217EA0">
              <w:t xml:space="preserve"> Use of </w:t>
            </w:r>
            <w:r w:rsidRPr="00217EA0">
              <w:t xml:space="preserve">a </w:t>
            </w:r>
            <w:r w:rsidR="002E0513" w:rsidRPr="00217EA0">
              <w:t>5-year</w:t>
            </w:r>
            <w:r w:rsidRPr="00217EA0">
              <w:t xml:space="preserve"> time horizon</w:t>
            </w:r>
            <w:r w:rsidR="00EA0D94" w:rsidRPr="00217EA0">
              <w:t xml:space="preserve"> increased the ICER</w:t>
            </w:r>
            <w:r w:rsidRPr="00217EA0">
              <w:t xml:space="preserve"> by </w:t>
            </w:r>
            <w:r w:rsidR="00F0779A" w:rsidRPr="00F0779A">
              <w:rPr>
                <w:color w:val="000000"/>
                <w:spacing w:val="53"/>
                <w:shd w:val="solid" w:color="000000" w:fill="000000"/>
                <w:fitText w:val="330" w:id="-694415616"/>
                <w14:textFill>
                  <w14:solidFill>
                    <w14:srgbClr w14:val="000000">
                      <w14:alpha w14:val="100000"/>
                    </w14:srgbClr>
                  </w14:solidFill>
                </w14:textFill>
              </w:rPr>
              <w:t>|||</w:t>
            </w:r>
            <w:r w:rsidR="00F0779A" w:rsidRPr="00F0779A">
              <w:rPr>
                <w:color w:val="000000"/>
                <w:spacing w:val="1"/>
                <w:shd w:val="solid" w:color="000000" w:fill="000000"/>
                <w:fitText w:val="330" w:id="-694415616"/>
                <w14:textFill>
                  <w14:solidFill>
                    <w14:srgbClr w14:val="000000">
                      <w14:alpha w14:val="100000"/>
                    </w14:srgbClr>
                  </w14:solidFill>
                </w14:textFill>
              </w:rPr>
              <w:t>|</w:t>
            </w:r>
            <w:r w:rsidRPr="00217EA0">
              <w:t>%</w:t>
            </w:r>
            <w:r w:rsidR="00EA0D94" w:rsidRPr="00217EA0">
              <w:t xml:space="preserve"> to </w:t>
            </w:r>
            <w:r w:rsidR="00F0779A" w:rsidRPr="00F0779A">
              <w:rPr>
                <w:color w:val="000000"/>
                <w:spacing w:val="53"/>
                <w:shd w:val="solid" w:color="000000" w:fill="000000"/>
                <w:fitText w:val="330" w:id="-694415615"/>
                <w14:textFill>
                  <w14:solidFill>
                    <w14:srgbClr w14:val="000000">
                      <w14:alpha w14:val="100000"/>
                    </w14:srgbClr>
                  </w14:solidFill>
                </w14:textFill>
              </w:rPr>
              <w:t>|||</w:t>
            </w:r>
            <w:r w:rsidR="00F0779A" w:rsidRPr="00F0779A">
              <w:rPr>
                <w:color w:val="000000"/>
                <w:spacing w:val="1"/>
                <w:shd w:val="solid" w:color="000000" w:fill="000000"/>
                <w:fitText w:val="330" w:id="-694415615"/>
                <w14:textFill>
                  <w14:solidFill>
                    <w14:srgbClr w14:val="000000">
                      <w14:alpha w14:val="100000"/>
                    </w14:srgbClr>
                  </w14:solidFill>
                </w14:textFill>
              </w:rPr>
              <w:t>|</w:t>
            </w:r>
            <w:r w:rsidR="00A147C5" w:rsidRPr="00A147C5">
              <w:rPr>
                <w:vertAlign w:val="superscript"/>
              </w:rPr>
              <w:t>3</w:t>
            </w:r>
            <w:r w:rsidR="00EA0D94" w:rsidRPr="00217EA0">
              <w:t>/QALY gained.</w:t>
            </w:r>
            <w:r w:rsidR="00EA0D94" w:rsidRPr="00217EA0">
              <w:rPr>
                <w:rFonts w:cs="Arial"/>
              </w:rPr>
              <w:t xml:space="preserve"> </w:t>
            </w:r>
          </w:p>
        </w:tc>
      </w:tr>
    </w:tbl>
    <w:p w14:paraId="18F96FB6" w14:textId="5B632897" w:rsidR="00EA0D94" w:rsidRPr="00217EA0" w:rsidRDefault="00EA0D94" w:rsidP="000D6482">
      <w:pPr>
        <w:pStyle w:val="TableFigureFooter"/>
        <w:keepNext/>
        <w:keepLines/>
      </w:pPr>
      <w:r w:rsidRPr="00217EA0">
        <w:t xml:space="preserve">Source: </w:t>
      </w:r>
      <w:r w:rsidR="007B07F9" w:rsidRPr="00217EA0">
        <w:t xml:space="preserve">attached economic model to the submission. </w:t>
      </w:r>
    </w:p>
    <w:p w14:paraId="0E8CAD6C" w14:textId="77777777" w:rsidR="00D45DF1" w:rsidRDefault="0088430A" w:rsidP="00ED236F">
      <w:pPr>
        <w:pStyle w:val="TableFigureFooter"/>
        <w:keepNext/>
        <w:keepLines/>
      </w:pPr>
      <w:r w:rsidRPr="00217EA0">
        <w:t>KM = Kaplan-Meier; MAIC = matching adjusted indirect comparison, OS = overall survival, PFS = progression free survival</w:t>
      </w:r>
      <w:r w:rsidR="00ED236F">
        <w:t xml:space="preserve"> </w:t>
      </w:r>
    </w:p>
    <w:p w14:paraId="17F72D23" w14:textId="77777777" w:rsidR="00D45DF1" w:rsidRPr="00162F79" w:rsidRDefault="00D45DF1" w:rsidP="00ED236F">
      <w:pPr>
        <w:pStyle w:val="TableFigureFooter"/>
        <w:keepNext/>
        <w:keepLines/>
        <w:rPr>
          <w:i/>
          <w:iCs/>
        </w:rPr>
      </w:pPr>
      <w:r w:rsidRPr="00162F79">
        <w:rPr>
          <w:i/>
          <w:iCs/>
        </w:rPr>
        <w:t xml:space="preserve">The redacted values correspond to the following ranges: </w:t>
      </w:r>
    </w:p>
    <w:p w14:paraId="02301F1C" w14:textId="77777777" w:rsidR="00A147C5" w:rsidRPr="00162F79" w:rsidRDefault="00ED236F" w:rsidP="00ED236F">
      <w:pPr>
        <w:pStyle w:val="TableFigureFooter"/>
        <w:keepNext/>
        <w:keepLines/>
        <w:rPr>
          <w:i/>
          <w:iCs/>
        </w:rPr>
      </w:pPr>
      <w:r w:rsidRPr="00162F79">
        <w:rPr>
          <w:i/>
          <w:iCs/>
          <w:vertAlign w:val="superscript"/>
        </w:rPr>
        <w:t>1</w:t>
      </w:r>
      <w:r w:rsidRPr="00162F79">
        <w:rPr>
          <w:i/>
          <w:iCs/>
        </w:rPr>
        <w:t xml:space="preserve"> $95,000 to &lt; $115,000 </w:t>
      </w:r>
    </w:p>
    <w:p w14:paraId="193E92B1" w14:textId="77777777" w:rsidR="00115CF8" w:rsidRPr="00162F79" w:rsidRDefault="00A147C5" w:rsidP="00ED236F">
      <w:pPr>
        <w:pStyle w:val="TableFigureFooter"/>
        <w:keepNext/>
        <w:keepLines/>
        <w:rPr>
          <w:i/>
          <w:iCs/>
        </w:rPr>
      </w:pPr>
      <w:r w:rsidRPr="00162F79">
        <w:rPr>
          <w:i/>
          <w:iCs/>
          <w:vertAlign w:val="superscript"/>
        </w:rPr>
        <w:t>2</w:t>
      </w:r>
      <w:r w:rsidRPr="00162F79">
        <w:rPr>
          <w:i/>
          <w:iCs/>
        </w:rPr>
        <w:t xml:space="preserve"> $155,000 to &lt; $255,000</w:t>
      </w:r>
      <w:r w:rsidR="00115CF8" w:rsidRPr="00162F79">
        <w:rPr>
          <w:i/>
          <w:iCs/>
        </w:rPr>
        <w:t xml:space="preserve"> </w:t>
      </w:r>
    </w:p>
    <w:p w14:paraId="74675A94" w14:textId="165587B5" w:rsidR="00162F79" w:rsidRPr="00217EA0" w:rsidRDefault="00115CF8" w:rsidP="00162F79">
      <w:pPr>
        <w:pStyle w:val="TableFigureFooter"/>
        <w:keepLines/>
        <w:spacing w:after="120"/>
      </w:pPr>
      <w:r w:rsidRPr="00162F79">
        <w:rPr>
          <w:i/>
          <w:iCs/>
          <w:vertAlign w:val="superscript"/>
        </w:rPr>
        <w:t>3</w:t>
      </w:r>
      <w:r w:rsidRPr="00162F79">
        <w:rPr>
          <w:i/>
          <w:iCs/>
        </w:rPr>
        <w:t xml:space="preserve"> $115,000 to &lt; $135,000</w:t>
      </w:r>
    </w:p>
    <w:bookmarkStart w:id="82" w:name="_Ref187801439"/>
    <w:p w14:paraId="7AB23D2A" w14:textId="26F75541" w:rsidR="00C317F3" w:rsidRPr="00217EA0" w:rsidRDefault="007B07F9" w:rsidP="2914E55D">
      <w:pPr>
        <w:pStyle w:val="ListParagraph"/>
        <w:rPr>
          <w:color w:val="auto"/>
        </w:rPr>
      </w:pPr>
      <w:r w:rsidRPr="00217EA0">
        <w:rPr>
          <w:color w:val="auto"/>
        </w:rPr>
        <w:fldChar w:fldCharType="begin"/>
      </w:r>
      <w:r w:rsidRPr="00217EA0">
        <w:rPr>
          <w:color w:val="auto"/>
        </w:rPr>
        <w:instrText xml:space="preserve"> REF _Ref184829459 \h </w:instrText>
      </w:r>
      <w:r w:rsidR="00EC070E" w:rsidRPr="00217EA0">
        <w:rPr>
          <w:color w:val="auto"/>
        </w:rPr>
        <w:instrText xml:space="preserve"> \* MERGEFORMAT </w:instrText>
      </w:r>
      <w:r w:rsidRPr="00217EA0">
        <w:rPr>
          <w:color w:val="auto"/>
        </w:rPr>
      </w:r>
      <w:r w:rsidRPr="00217EA0">
        <w:rPr>
          <w:color w:val="auto"/>
        </w:rPr>
        <w:fldChar w:fldCharType="separate"/>
      </w:r>
      <w:r w:rsidR="008378C4" w:rsidRPr="00217EA0">
        <w:t>Table</w:t>
      </w:r>
      <w:r w:rsidR="008378C4">
        <w:t xml:space="preserve"> 21</w:t>
      </w:r>
      <w:r w:rsidRPr="00217EA0">
        <w:rPr>
          <w:color w:val="auto"/>
        </w:rPr>
        <w:fldChar w:fldCharType="end"/>
      </w:r>
      <w:r w:rsidRPr="00217EA0">
        <w:rPr>
          <w:color w:val="auto"/>
        </w:rPr>
        <w:t xml:space="preserve"> presents </w:t>
      </w:r>
      <w:r w:rsidR="00FE1B08" w:rsidRPr="00217EA0">
        <w:rPr>
          <w:color w:val="auto"/>
        </w:rPr>
        <w:t>the results of the stepped economic evaluation.</w:t>
      </w:r>
      <w:r w:rsidR="001C796E" w:rsidRPr="00217EA0">
        <w:rPr>
          <w:color w:val="auto"/>
        </w:rPr>
        <w:t xml:space="preserve"> </w:t>
      </w:r>
      <w:r w:rsidR="0020344C" w:rsidRPr="00217EA0">
        <w:rPr>
          <w:color w:val="auto"/>
        </w:rPr>
        <w:t xml:space="preserve">Over the </w:t>
      </w:r>
      <w:r w:rsidR="005351CF" w:rsidRPr="00217EA0">
        <w:rPr>
          <w:color w:val="auto"/>
        </w:rPr>
        <w:t>10 year time horizon, the model estimate</w:t>
      </w:r>
      <w:r w:rsidR="00276A4D" w:rsidRPr="00217EA0">
        <w:rPr>
          <w:color w:val="auto"/>
        </w:rPr>
        <w:t>d</w:t>
      </w:r>
      <w:r w:rsidR="005351CF" w:rsidRPr="00217EA0">
        <w:rPr>
          <w:color w:val="auto"/>
        </w:rPr>
        <w:t xml:space="preserve"> an undiscounted life year gained (LYG) of 2.48 </w:t>
      </w:r>
      <w:r w:rsidR="004D0343" w:rsidRPr="00217EA0">
        <w:rPr>
          <w:color w:val="auto"/>
        </w:rPr>
        <w:t xml:space="preserve">(1.08 in PFS and 1.40 in PD) </w:t>
      </w:r>
      <w:r w:rsidR="005351CF" w:rsidRPr="00217EA0">
        <w:rPr>
          <w:color w:val="auto"/>
        </w:rPr>
        <w:t xml:space="preserve">for </w:t>
      </w:r>
      <w:proofErr w:type="spellStart"/>
      <w:r w:rsidR="005351CF" w:rsidRPr="00217EA0">
        <w:rPr>
          <w:color w:val="auto"/>
        </w:rPr>
        <w:t>futibatinib</w:t>
      </w:r>
      <w:proofErr w:type="spellEnd"/>
      <w:r w:rsidR="005351CF" w:rsidRPr="00217EA0">
        <w:rPr>
          <w:color w:val="auto"/>
        </w:rPr>
        <w:t xml:space="preserve"> compared to 0.81 LYG</w:t>
      </w:r>
      <w:r w:rsidR="004D0343" w:rsidRPr="00217EA0">
        <w:rPr>
          <w:color w:val="auto"/>
        </w:rPr>
        <w:t xml:space="preserve"> (0.44 in PFS and 0.37 in PD)</w:t>
      </w:r>
      <w:r w:rsidR="005351CF" w:rsidRPr="00217EA0">
        <w:rPr>
          <w:color w:val="auto"/>
        </w:rPr>
        <w:t xml:space="preserve"> for FOLFOX, with a</w:t>
      </w:r>
      <w:r w:rsidR="00842BB9" w:rsidRPr="00217EA0">
        <w:rPr>
          <w:color w:val="auto"/>
        </w:rPr>
        <w:t>n</w:t>
      </w:r>
      <w:r w:rsidR="005351CF" w:rsidRPr="00217EA0">
        <w:rPr>
          <w:color w:val="auto"/>
        </w:rPr>
        <w:t xml:space="preserve"> </w:t>
      </w:r>
      <w:r w:rsidR="004D0343" w:rsidRPr="00217EA0">
        <w:rPr>
          <w:color w:val="auto"/>
        </w:rPr>
        <w:t>incremental difference of 1.66 LYG.</w:t>
      </w:r>
      <w:bookmarkEnd w:id="82"/>
      <w:r w:rsidR="00A21CF9" w:rsidRPr="00217EA0">
        <w:rPr>
          <w:color w:val="auto"/>
        </w:rPr>
        <w:t xml:space="preserve"> </w:t>
      </w:r>
      <w:r w:rsidR="00B656CB" w:rsidRPr="00217EA0">
        <w:rPr>
          <w:color w:val="auto"/>
        </w:rPr>
        <w:t>The ESC</w:t>
      </w:r>
      <w:r w:rsidR="00746EBD" w:rsidRPr="00217EA0">
        <w:rPr>
          <w:color w:val="auto"/>
        </w:rPr>
        <w:t>s</w:t>
      </w:r>
      <w:r w:rsidR="00B656CB" w:rsidRPr="00217EA0">
        <w:rPr>
          <w:color w:val="auto"/>
        </w:rPr>
        <w:t xml:space="preserve"> </w:t>
      </w:r>
      <w:r w:rsidR="003C06E9" w:rsidRPr="00217EA0">
        <w:rPr>
          <w:color w:val="auto"/>
        </w:rPr>
        <w:t>also</w:t>
      </w:r>
      <w:r w:rsidR="00B656CB" w:rsidRPr="00217EA0">
        <w:rPr>
          <w:color w:val="auto"/>
        </w:rPr>
        <w:t xml:space="preserve"> noted the </w:t>
      </w:r>
      <w:r w:rsidR="00746EBD" w:rsidRPr="00217EA0">
        <w:rPr>
          <w:color w:val="auto"/>
        </w:rPr>
        <w:t xml:space="preserve">implausibly </w:t>
      </w:r>
      <w:r w:rsidR="00B656CB" w:rsidRPr="00217EA0">
        <w:rPr>
          <w:color w:val="auto"/>
        </w:rPr>
        <w:t xml:space="preserve">large survival gain (0.76 LYG) </w:t>
      </w:r>
      <w:r w:rsidR="009F4DB3" w:rsidRPr="00217EA0">
        <w:rPr>
          <w:color w:val="auto"/>
        </w:rPr>
        <w:t>in Step 1</w:t>
      </w:r>
      <w:r w:rsidR="00B656CB" w:rsidRPr="00217EA0">
        <w:rPr>
          <w:color w:val="auto"/>
        </w:rPr>
        <w:t xml:space="preserve"> of the model</w:t>
      </w:r>
      <w:r w:rsidR="009F4DB3" w:rsidRPr="00217EA0">
        <w:rPr>
          <w:color w:val="auto"/>
        </w:rPr>
        <w:t xml:space="preserve"> over a two year time horizon</w:t>
      </w:r>
      <w:r w:rsidR="00B656CB" w:rsidRPr="00217EA0">
        <w:rPr>
          <w:color w:val="auto"/>
        </w:rPr>
        <w:t xml:space="preserve">. </w:t>
      </w:r>
    </w:p>
    <w:p w14:paraId="2B63BDE2" w14:textId="5637DB21" w:rsidR="007B07F9" w:rsidRPr="00217EA0" w:rsidRDefault="00C164A4" w:rsidP="00FA13F3">
      <w:pPr>
        <w:pStyle w:val="Caption"/>
      </w:pPr>
      <w:bookmarkStart w:id="83" w:name="_Ref184829459"/>
      <w:r w:rsidRPr="00217EA0">
        <w:t>Table</w:t>
      </w:r>
      <w:r w:rsidR="00671622">
        <w:t xml:space="preserve"> </w:t>
      </w:r>
      <w:r w:rsidR="00E600E3" w:rsidRPr="00217EA0">
        <w:fldChar w:fldCharType="begin"/>
      </w:r>
      <w:r w:rsidR="00E600E3" w:rsidRPr="00217EA0">
        <w:instrText xml:space="preserve"> SEQ Table_PBAC. \* ARABIC </w:instrText>
      </w:r>
      <w:r w:rsidR="00E600E3" w:rsidRPr="00217EA0">
        <w:fldChar w:fldCharType="separate"/>
      </w:r>
      <w:r w:rsidR="008378C4">
        <w:rPr>
          <w:noProof/>
        </w:rPr>
        <w:t>21</w:t>
      </w:r>
      <w:r w:rsidR="00E600E3" w:rsidRPr="00217EA0">
        <w:fldChar w:fldCharType="end"/>
      </w:r>
      <w:bookmarkEnd w:id="83"/>
      <w:r w:rsidR="003D539B">
        <w:t xml:space="preserve">: </w:t>
      </w:r>
      <w:r w:rsidR="007B07F9" w:rsidRPr="00217EA0">
        <w:t>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1: Results of the stepped economic evaluation"/>
      </w:tblPr>
      <w:tblGrid>
        <w:gridCol w:w="2757"/>
        <w:gridCol w:w="2451"/>
        <w:gridCol w:w="2297"/>
        <w:gridCol w:w="1511"/>
      </w:tblGrid>
      <w:tr w:rsidR="007900E9" w:rsidRPr="00217EA0" w14:paraId="45B003C4" w14:textId="77777777" w:rsidTr="00FE3A7F">
        <w:trPr>
          <w:trHeight w:val="20"/>
          <w:tblHeader/>
        </w:trPr>
        <w:tc>
          <w:tcPr>
            <w:tcW w:w="1529" w:type="pct"/>
            <w:vAlign w:val="center"/>
          </w:tcPr>
          <w:p w14:paraId="2C784BE3" w14:textId="77777777" w:rsidR="007B07F9" w:rsidRPr="00217EA0" w:rsidRDefault="007B07F9" w:rsidP="00842BB9">
            <w:pPr>
              <w:pStyle w:val="In-tableHeading"/>
              <w:keepLines/>
              <w:rPr>
                <w:lang w:val="en-AU"/>
              </w:rPr>
            </w:pPr>
            <w:r w:rsidRPr="00217EA0">
              <w:rPr>
                <w:lang w:val="en-AU"/>
              </w:rPr>
              <w:t>Step and component</w:t>
            </w:r>
          </w:p>
        </w:tc>
        <w:tc>
          <w:tcPr>
            <w:tcW w:w="1359" w:type="pct"/>
            <w:vAlign w:val="center"/>
          </w:tcPr>
          <w:p w14:paraId="1E041391" w14:textId="77777777" w:rsidR="007B07F9" w:rsidRPr="00217EA0" w:rsidRDefault="007B07F9" w:rsidP="00842BB9">
            <w:pPr>
              <w:pStyle w:val="In-tableHeading"/>
              <w:keepLines/>
              <w:jc w:val="center"/>
              <w:rPr>
                <w:lang w:val="en-AU"/>
              </w:rPr>
            </w:pPr>
            <w:proofErr w:type="spellStart"/>
            <w:r w:rsidRPr="00217EA0">
              <w:rPr>
                <w:lang w:val="en-AU"/>
              </w:rPr>
              <w:t>Futibatinib</w:t>
            </w:r>
            <w:proofErr w:type="spellEnd"/>
          </w:p>
        </w:tc>
        <w:tc>
          <w:tcPr>
            <w:tcW w:w="1274" w:type="pct"/>
            <w:vAlign w:val="center"/>
          </w:tcPr>
          <w:p w14:paraId="1D6F5BD3" w14:textId="77777777" w:rsidR="007B07F9" w:rsidRPr="00217EA0" w:rsidRDefault="007B07F9" w:rsidP="00842BB9">
            <w:pPr>
              <w:pStyle w:val="In-tableHeading"/>
              <w:keepLines/>
              <w:jc w:val="center"/>
              <w:rPr>
                <w:lang w:val="en-AU"/>
              </w:rPr>
            </w:pPr>
            <w:r w:rsidRPr="00217EA0">
              <w:rPr>
                <w:lang w:val="en-AU"/>
              </w:rPr>
              <w:t>FOLFOX</w:t>
            </w:r>
          </w:p>
        </w:tc>
        <w:tc>
          <w:tcPr>
            <w:tcW w:w="838" w:type="pct"/>
            <w:vAlign w:val="center"/>
          </w:tcPr>
          <w:p w14:paraId="54225F54" w14:textId="77777777" w:rsidR="007B07F9" w:rsidRPr="00217EA0" w:rsidRDefault="007B07F9" w:rsidP="00842BB9">
            <w:pPr>
              <w:pStyle w:val="In-tableHeading"/>
              <w:keepLines/>
              <w:jc w:val="center"/>
              <w:rPr>
                <w:lang w:val="en-AU"/>
              </w:rPr>
            </w:pPr>
            <w:r w:rsidRPr="00217EA0">
              <w:rPr>
                <w:lang w:val="en-AU"/>
              </w:rPr>
              <w:t>Increment</w:t>
            </w:r>
          </w:p>
        </w:tc>
      </w:tr>
      <w:tr w:rsidR="007900E9" w:rsidRPr="00217EA0" w14:paraId="21C66461" w14:textId="77777777" w:rsidTr="00FE3A7F">
        <w:trPr>
          <w:trHeight w:val="20"/>
        </w:trPr>
        <w:tc>
          <w:tcPr>
            <w:tcW w:w="5000" w:type="pct"/>
            <w:gridSpan w:val="4"/>
            <w:vAlign w:val="center"/>
          </w:tcPr>
          <w:p w14:paraId="0C8D3F69" w14:textId="701955E2" w:rsidR="007B07F9" w:rsidRPr="00217EA0" w:rsidRDefault="007B07F9" w:rsidP="00842BB9">
            <w:pPr>
              <w:pStyle w:val="TableText"/>
              <w:keepNext/>
              <w:keepLines/>
            </w:pPr>
            <w:r w:rsidRPr="00217EA0">
              <w:t xml:space="preserve">Step 1: Based on the PFS and OS </w:t>
            </w:r>
            <w:r w:rsidR="002E0513" w:rsidRPr="00217EA0">
              <w:t>data represented</w:t>
            </w:r>
            <w:r w:rsidRPr="00217EA0">
              <w:t xml:space="preserve"> with parametric functions. Time horizon of 2 years (OS follow-up time in FOENIX-CCA2). Costs: Drug acquisition, drug administration and AE management</w:t>
            </w:r>
          </w:p>
        </w:tc>
      </w:tr>
      <w:tr w:rsidR="007900E9" w:rsidRPr="00217EA0" w14:paraId="54612708" w14:textId="77777777" w:rsidTr="00FE3A7F">
        <w:trPr>
          <w:trHeight w:val="20"/>
        </w:trPr>
        <w:tc>
          <w:tcPr>
            <w:tcW w:w="1529" w:type="pct"/>
            <w:vAlign w:val="center"/>
          </w:tcPr>
          <w:p w14:paraId="5305B0C8" w14:textId="77777777" w:rsidR="007B07F9" w:rsidRPr="00217EA0" w:rsidRDefault="007B07F9" w:rsidP="00842BB9">
            <w:pPr>
              <w:pStyle w:val="TableText"/>
              <w:keepNext/>
              <w:keepLines/>
              <w:rPr>
                <w:rFonts w:ascii="Times" w:hAnsi="Times"/>
              </w:rPr>
            </w:pPr>
            <w:r w:rsidRPr="00217EA0">
              <w:t>Costs</w:t>
            </w:r>
          </w:p>
        </w:tc>
        <w:tc>
          <w:tcPr>
            <w:tcW w:w="1359" w:type="pct"/>
            <w:vAlign w:val="center"/>
          </w:tcPr>
          <w:p w14:paraId="1C5BD6CE" w14:textId="610EE984" w:rsidR="007B07F9" w:rsidRPr="00217EA0" w:rsidRDefault="00F0779A" w:rsidP="00842BB9">
            <w:pPr>
              <w:pStyle w:val="TableText"/>
              <w:keepNext/>
              <w:keepLines/>
              <w:jc w:val="center"/>
              <w:rPr>
                <w:rFonts w:ascii="Times" w:hAnsi="Times"/>
              </w:rPr>
            </w:pPr>
            <w:r w:rsidRPr="00F0779A">
              <w:rPr>
                <w:color w:val="000000"/>
                <w:spacing w:val="53"/>
                <w:shd w:val="solid" w:color="000000" w:fill="000000"/>
                <w:fitText w:val="330" w:id="-694415614"/>
                <w14:textFill>
                  <w14:solidFill>
                    <w14:srgbClr w14:val="000000">
                      <w14:alpha w14:val="100000"/>
                    </w14:srgbClr>
                  </w14:solidFill>
                </w14:textFill>
              </w:rPr>
              <w:t>|||</w:t>
            </w:r>
            <w:r w:rsidRPr="00F0779A">
              <w:rPr>
                <w:color w:val="000000"/>
                <w:spacing w:val="1"/>
                <w:shd w:val="solid" w:color="000000" w:fill="000000"/>
                <w:fitText w:val="330" w:id="-694415614"/>
                <w14:textFill>
                  <w14:solidFill>
                    <w14:srgbClr w14:val="000000">
                      <w14:alpha w14:val="100000"/>
                    </w14:srgbClr>
                  </w14:solidFill>
                </w14:textFill>
              </w:rPr>
              <w:t>|</w:t>
            </w:r>
            <w:r w:rsidR="00124EE3">
              <w:t xml:space="preserve"> </w:t>
            </w:r>
          </w:p>
        </w:tc>
        <w:tc>
          <w:tcPr>
            <w:tcW w:w="1274" w:type="pct"/>
            <w:vAlign w:val="center"/>
          </w:tcPr>
          <w:p w14:paraId="0A4C50C4" w14:textId="77777777" w:rsidR="007B07F9" w:rsidRPr="00217EA0" w:rsidRDefault="007B07F9" w:rsidP="00842BB9">
            <w:pPr>
              <w:pStyle w:val="TableText"/>
              <w:keepNext/>
              <w:keepLines/>
              <w:jc w:val="center"/>
              <w:rPr>
                <w:rFonts w:ascii="Times" w:hAnsi="Times"/>
              </w:rPr>
            </w:pPr>
            <w:r w:rsidRPr="00217EA0">
              <w:t>$8,298</w:t>
            </w:r>
          </w:p>
        </w:tc>
        <w:tc>
          <w:tcPr>
            <w:tcW w:w="838" w:type="pct"/>
            <w:vAlign w:val="center"/>
          </w:tcPr>
          <w:p w14:paraId="2CC31DF6" w14:textId="41DAAFBA" w:rsidR="007B07F9" w:rsidRPr="00217EA0" w:rsidRDefault="00F0779A" w:rsidP="00842BB9">
            <w:pPr>
              <w:pStyle w:val="TableText"/>
              <w:keepNext/>
              <w:keepLines/>
              <w:jc w:val="center"/>
              <w:rPr>
                <w:rFonts w:ascii="Times" w:hAnsi="Times"/>
              </w:rPr>
            </w:pPr>
            <w:r w:rsidRPr="00F0779A">
              <w:rPr>
                <w:color w:val="000000"/>
                <w:spacing w:val="53"/>
                <w:shd w:val="solid" w:color="000000" w:fill="000000"/>
                <w:fitText w:val="330" w:id="-694415613"/>
                <w14:textFill>
                  <w14:solidFill>
                    <w14:srgbClr w14:val="000000">
                      <w14:alpha w14:val="100000"/>
                    </w14:srgbClr>
                  </w14:solidFill>
                </w14:textFill>
              </w:rPr>
              <w:t>|||</w:t>
            </w:r>
            <w:r w:rsidRPr="00F0779A">
              <w:rPr>
                <w:color w:val="000000"/>
                <w:spacing w:val="1"/>
                <w:shd w:val="solid" w:color="000000" w:fill="000000"/>
                <w:fitText w:val="330" w:id="-694415613"/>
                <w14:textFill>
                  <w14:solidFill>
                    <w14:srgbClr w14:val="000000">
                      <w14:alpha w14:val="100000"/>
                    </w14:srgbClr>
                  </w14:solidFill>
                </w14:textFill>
              </w:rPr>
              <w:t>|</w:t>
            </w:r>
            <w:r w:rsidR="00124EE3">
              <w:t xml:space="preserve"> </w:t>
            </w:r>
          </w:p>
        </w:tc>
      </w:tr>
      <w:tr w:rsidR="007900E9" w:rsidRPr="00217EA0" w14:paraId="79598181" w14:textId="77777777" w:rsidTr="00FE3A7F">
        <w:trPr>
          <w:trHeight w:val="20"/>
        </w:trPr>
        <w:tc>
          <w:tcPr>
            <w:tcW w:w="1529" w:type="pct"/>
            <w:vAlign w:val="center"/>
          </w:tcPr>
          <w:p w14:paraId="2E232E61" w14:textId="77777777" w:rsidR="007B07F9" w:rsidRPr="00217EA0" w:rsidRDefault="007B07F9" w:rsidP="00842BB9">
            <w:pPr>
              <w:pStyle w:val="TableText"/>
              <w:keepNext/>
              <w:keepLines/>
              <w:rPr>
                <w:rFonts w:ascii="Times" w:hAnsi="Times"/>
              </w:rPr>
            </w:pPr>
            <w:r w:rsidRPr="00217EA0">
              <w:t>LYG</w:t>
            </w:r>
          </w:p>
        </w:tc>
        <w:tc>
          <w:tcPr>
            <w:tcW w:w="1359" w:type="pct"/>
            <w:vAlign w:val="center"/>
          </w:tcPr>
          <w:p w14:paraId="16B71C3A" w14:textId="77777777" w:rsidR="007B07F9" w:rsidRPr="00217EA0" w:rsidRDefault="007B07F9" w:rsidP="00842BB9">
            <w:pPr>
              <w:pStyle w:val="TableText"/>
              <w:keepNext/>
              <w:keepLines/>
              <w:jc w:val="center"/>
              <w:rPr>
                <w:rFonts w:ascii="Times" w:hAnsi="Times"/>
              </w:rPr>
            </w:pPr>
            <w:r w:rsidRPr="00217EA0">
              <w:t>1.50</w:t>
            </w:r>
          </w:p>
        </w:tc>
        <w:tc>
          <w:tcPr>
            <w:tcW w:w="1274" w:type="pct"/>
            <w:vAlign w:val="center"/>
          </w:tcPr>
          <w:p w14:paraId="09C2A082" w14:textId="77777777" w:rsidR="007B07F9" w:rsidRPr="00217EA0" w:rsidRDefault="007B07F9" w:rsidP="00842BB9">
            <w:pPr>
              <w:pStyle w:val="TableText"/>
              <w:keepNext/>
              <w:keepLines/>
              <w:jc w:val="center"/>
              <w:rPr>
                <w:rFonts w:ascii="Times" w:hAnsi="Times"/>
              </w:rPr>
            </w:pPr>
            <w:r w:rsidRPr="00217EA0">
              <w:t>0.74</w:t>
            </w:r>
          </w:p>
        </w:tc>
        <w:tc>
          <w:tcPr>
            <w:tcW w:w="838" w:type="pct"/>
            <w:vAlign w:val="center"/>
          </w:tcPr>
          <w:p w14:paraId="0A9460FD" w14:textId="42D73802" w:rsidR="007B07F9" w:rsidRPr="00217EA0" w:rsidRDefault="007B07F9" w:rsidP="00842BB9">
            <w:pPr>
              <w:pStyle w:val="TableText"/>
              <w:keepNext/>
              <w:keepLines/>
              <w:jc w:val="center"/>
            </w:pPr>
            <w:r w:rsidRPr="00217EA0">
              <w:t>0.76</w:t>
            </w:r>
          </w:p>
        </w:tc>
      </w:tr>
      <w:tr w:rsidR="007900E9" w:rsidRPr="00217EA0" w14:paraId="50E321A1" w14:textId="77777777" w:rsidTr="00FE3A7F">
        <w:trPr>
          <w:trHeight w:val="20"/>
        </w:trPr>
        <w:tc>
          <w:tcPr>
            <w:tcW w:w="4162" w:type="pct"/>
            <w:gridSpan w:val="3"/>
            <w:vAlign w:val="center"/>
          </w:tcPr>
          <w:p w14:paraId="79CA2985" w14:textId="77777777" w:rsidR="007B07F9" w:rsidRPr="00217EA0" w:rsidRDefault="007B07F9" w:rsidP="00842BB9">
            <w:pPr>
              <w:pStyle w:val="TableText"/>
              <w:keepNext/>
              <w:keepLines/>
              <w:rPr>
                <w:rFonts w:ascii="Times" w:hAnsi="Times"/>
              </w:rPr>
            </w:pPr>
            <w:r w:rsidRPr="00217EA0">
              <w:t>Incremental cost/extra LYG gained</w:t>
            </w:r>
          </w:p>
        </w:tc>
        <w:tc>
          <w:tcPr>
            <w:tcW w:w="838" w:type="pct"/>
            <w:vAlign w:val="center"/>
          </w:tcPr>
          <w:p w14:paraId="5BA7D6AA" w14:textId="688C1B19" w:rsidR="007B07F9" w:rsidRPr="00217EA0" w:rsidRDefault="00F0779A" w:rsidP="00842BB9">
            <w:pPr>
              <w:pStyle w:val="TableText"/>
              <w:keepNext/>
              <w:keepLines/>
              <w:jc w:val="center"/>
              <w:rPr>
                <w:rFonts w:ascii="Times" w:hAnsi="Times"/>
              </w:rPr>
            </w:pPr>
            <w:r w:rsidRPr="00F0779A">
              <w:rPr>
                <w:color w:val="000000"/>
                <w:spacing w:val="53"/>
                <w:shd w:val="solid" w:color="000000" w:fill="000000"/>
                <w:fitText w:val="330" w:id="-694415612"/>
                <w14:textFill>
                  <w14:solidFill>
                    <w14:srgbClr w14:val="000000">
                      <w14:alpha w14:val="100000"/>
                    </w14:srgbClr>
                  </w14:solidFill>
                </w14:textFill>
              </w:rPr>
              <w:t>|||</w:t>
            </w:r>
            <w:r w:rsidRPr="00F0779A">
              <w:rPr>
                <w:color w:val="000000"/>
                <w:spacing w:val="1"/>
                <w:shd w:val="solid" w:color="000000" w:fill="000000"/>
                <w:fitText w:val="330" w:id="-694415612"/>
                <w14:textFill>
                  <w14:solidFill>
                    <w14:srgbClr w14:val="000000">
                      <w14:alpha w14:val="100000"/>
                    </w14:srgbClr>
                  </w14:solidFill>
                </w14:textFill>
              </w:rPr>
              <w:t>|</w:t>
            </w:r>
            <w:r w:rsidR="00DA4122" w:rsidRPr="00DA4122">
              <w:rPr>
                <w:vertAlign w:val="superscript"/>
              </w:rPr>
              <w:t>1</w:t>
            </w:r>
          </w:p>
        </w:tc>
      </w:tr>
      <w:tr w:rsidR="007900E9" w:rsidRPr="00217EA0" w14:paraId="67DE4492" w14:textId="77777777" w:rsidTr="00FE3A7F">
        <w:trPr>
          <w:trHeight w:val="20"/>
        </w:trPr>
        <w:tc>
          <w:tcPr>
            <w:tcW w:w="5000" w:type="pct"/>
            <w:gridSpan w:val="4"/>
            <w:vAlign w:val="center"/>
          </w:tcPr>
          <w:p w14:paraId="348E1094" w14:textId="0D708C4D" w:rsidR="007B07F9" w:rsidRPr="00217EA0" w:rsidRDefault="007B07F9" w:rsidP="00842BB9">
            <w:pPr>
              <w:pStyle w:val="In-tableHeading"/>
              <w:keepLines/>
              <w:rPr>
                <w:b w:val="0"/>
                <w:bCs/>
                <w:lang w:val="en-AU"/>
              </w:rPr>
            </w:pPr>
            <w:r w:rsidRPr="00217EA0">
              <w:rPr>
                <w:b w:val="0"/>
                <w:bCs/>
                <w:lang w:val="en-AU"/>
              </w:rPr>
              <w:t xml:space="preserve">Step 2: PFS and OS data extrapolated with parametric functions until 10 years. 5% discounting of costs and outcomes. </w:t>
            </w:r>
          </w:p>
          <w:p w14:paraId="491ED79B" w14:textId="77777777" w:rsidR="007B07F9" w:rsidRPr="00217EA0" w:rsidRDefault="007B07F9" w:rsidP="00842BB9">
            <w:pPr>
              <w:pStyle w:val="In-tableHeading"/>
              <w:keepLines/>
              <w:rPr>
                <w:b w:val="0"/>
                <w:bCs/>
                <w:lang w:val="en-AU"/>
              </w:rPr>
            </w:pPr>
            <w:r w:rsidRPr="00217EA0">
              <w:rPr>
                <w:b w:val="0"/>
                <w:bCs/>
                <w:lang w:val="en-AU"/>
              </w:rPr>
              <w:t>Costs: as in Step 2 + disease management and monitoring, subsequent therapy and terminal care.</w:t>
            </w:r>
          </w:p>
          <w:p w14:paraId="3F4226FB" w14:textId="77777777" w:rsidR="007B07F9" w:rsidRPr="00217EA0" w:rsidRDefault="007B07F9" w:rsidP="00842BB9">
            <w:pPr>
              <w:pStyle w:val="In-tableHeading"/>
              <w:keepLines/>
              <w:rPr>
                <w:lang w:val="en-AU"/>
              </w:rPr>
            </w:pPr>
            <w:r w:rsidRPr="00217EA0">
              <w:rPr>
                <w:b w:val="0"/>
                <w:bCs/>
                <w:lang w:val="en-AU"/>
              </w:rPr>
              <w:t>Outcomes: LYs gained over the modelled time horizon</w:t>
            </w:r>
          </w:p>
        </w:tc>
      </w:tr>
      <w:tr w:rsidR="007900E9" w:rsidRPr="00217EA0" w14:paraId="7E80B21E" w14:textId="77777777" w:rsidTr="00FE3A7F">
        <w:trPr>
          <w:trHeight w:val="20"/>
        </w:trPr>
        <w:tc>
          <w:tcPr>
            <w:tcW w:w="1529" w:type="pct"/>
            <w:vAlign w:val="center"/>
          </w:tcPr>
          <w:p w14:paraId="54F989A0" w14:textId="77777777" w:rsidR="007B07F9" w:rsidRPr="00217EA0" w:rsidRDefault="007B07F9" w:rsidP="00842BB9">
            <w:pPr>
              <w:pStyle w:val="TableText"/>
              <w:keepNext/>
              <w:keepLines/>
              <w:rPr>
                <w:rFonts w:ascii="Times" w:hAnsi="Times"/>
              </w:rPr>
            </w:pPr>
            <w:r w:rsidRPr="00217EA0">
              <w:t>Costs</w:t>
            </w:r>
          </w:p>
        </w:tc>
        <w:tc>
          <w:tcPr>
            <w:tcW w:w="1359" w:type="pct"/>
          </w:tcPr>
          <w:p w14:paraId="0421B13F" w14:textId="7E18BF8A" w:rsidR="007B07F9" w:rsidRPr="00217EA0" w:rsidRDefault="00F0779A" w:rsidP="00842BB9">
            <w:pPr>
              <w:pStyle w:val="TableText"/>
              <w:keepNext/>
              <w:keepLines/>
              <w:jc w:val="center"/>
              <w:rPr>
                <w:rFonts w:ascii="Times" w:hAnsi="Times"/>
              </w:rPr>
            </w:pPr>
            <w:r w:rsidRPr="00F0779A">
              <w:rPr>
                <w:rFonts w:cs="Calibri"/>
                <w:color w:val="000000"/>
                <w:spacing w:val="53"/>
                <w:shd w:val="solid" w:color="000000" w:fill="000000"/>
                <w:fitText w:val="330" w:id="-694415611"/>
                <w14:textFill>
                  <w14:solidFill>
                    <w14:srgbClr w14:val="000000">
                      <w14:alpha w14:val="100000"/>
                    </w14:srgbClr>
                  </w14:solidFill>
                </w14:textFill>
              </w:rPr>
              <w:t>|||</w:t>
            </w:r>
            <w:r w:rsidRPr="00F0779A">
              <w:rPr>
                <w:rFonts w:cs="Calibri"/>
                <w:color w:val="000000"/>
                <w:spacing w:val="1"/>
                <w:shd w:val="solid" w:color="000000" w:fill="000000"/>
                <w:fitText w:val="330" w:id="-694415611"/>
                <w14:textFill>
                  <w14:solidFill>
                    <w14:srgbClr w14:val="000000">
                      <w14:alpha w14:val="100000"/>
                    </w14:srgbClr>
                  </w14:solidFill>
                </w14:textFill>
              </w:rPr>
              <w:t>|</w:t>
            </w:r>
            <w:r w:rsidR="00124EE3">
              <w:rPr>
                <w:rFonts w:cs="Calibri"/>
              </w:rPr>
              <w:t xml:space="preserve"> </w:t>
            </w:r>
          </w:p>
        </w:tc>
        <w:tc>
          <w:tcPr>
            <w:tcW w:w="1274" w:type="pct"/>
          </w:tcPr>
          <w:p w14:paraId="1B996381" w14:textId="77777777" w:rsidR="007B07F9" w:rsidRPr="00217EA0" w:rsidRDefault="007B07F9" w:rsidP="00842BB9">
            <w:pPr>
              <w:pStyle w:val="TableText"/>
              <w:keepNext/>
              <w:keepLines/>
              <w:jc w:val="center"/>
              <w:rPr>
                <w:rFonts w:ascii="Times" w:hAnsi="Times"/>
              </w:rPr>
            </w:pPr>
            <w:r w:rsidRPr="00217EA0">
              <w:rPr>
                <w:rFonts w:cs="Calibri"/>
              </w:rPr>
              <w:t>$60,226</w:t>
            </w:r>
          </w:p>
        </w:tc>
        <w:tc>
          <w:tcPr>
            <w:tcW w:w="838" w:type="pct"/>
          </w:tcPr>
          <w:p w14:paraId="668B0661" w14:textId="5B95EF33" w:rsidR="007B07F9" w:rsidRPr="00217EA0" w:rsidRDefault="00F0779A" w:rsidP="00842BB9">
            <w:pPr>
              <w:pStyle w:val="TableText"/>
              <w:keepNext/>
              <w:keepLines/>
              <w:jc w:val="center"/>
              <w:rPr>
                <w:rFonts w:ascii="Times" w:hAnsi="Times"/>
              </w:rPr>
            </w:pPr>
            <w:r w:rsidRPr="00F0779A">
              <w:rPr>
                <w:rFonts w:cs="Calibri"/>
                <w:color w:val="000000"/>
                <w:spacing w:val="53"/>
                <w:shd w:val="solid" w:color="000000" w:fill="000000"/>
                <w:fitText w:val="330" w:id="-694415610"/>
                <w14:textFill>
                  <w14:solidFill>
                    <w14:srgbClr w14:val="000000">
                      <w14:alpha w14:val="100000"/>
                    </w14:srgbClr>
                  </w14:solidFill>
                </w14:textFill>
              </w:rPr>
              <w:t>|||</w:t>
            </w:r>
            <w:r w:rsidRPr="00F0779A">
              <w:rPr>
                <w:rFonts w:cs="Calibri"/>
                <w:color w:val="000000"/>
                <w:spacing w:val="1"/>
                <w:shd w:val="solid" w:color="000000" w:fill="000000"/>
                <w:fitText w:val="330" w:id="-694415610"/>
                <w14:textFill>
                  <w14:solidFill>
                    <w14:srgbClr w14:val="000000">
                      <w14:alpha w14:val="100000"/>
                    </w14:srgbClr>
                  </w14:solidFill>
                </w14:textFill>
              </w:rPr>
              <w:t>|</w:t>
            </w:r>
            <w:r w:rsidR="00124EE3">
              <w:rPr>
                <w:rFonts w:cs="Calibri"/>
              </w:rPr>
              <w:t xml:space="preserve"> </w:t>
            </w:r>
          </w:p>
        </w:tc>
      </w:tr>
      <w:tr w:rsidR="007900E9" w:rsidRPr="00217EA0" w14:paraId="4FFA868A" w14:textId="77777777" w:rsidTr="00FE3A7F">
        <w:trPr>
          <w:trHeight w:val="20"/>
        </w:trPr>
        <w:tc>
          <w:tcPr>
            <w:tcW w:w="1529" w:type="pct"/>
            <w:vAlign w:val="center"/>
          </w:tcPr>
          <w:p w14:paraId="2A3E24E8" w14:textId="77777777" w:rsidR="007B07F9" w:rsidRPr="00217EA0" w:rsidRDefault="007B07F9" w:rsidP="00842BB9">
            <w:pPr>
              <w:pStyle w:val="TableText"/>
              <w:keepNext/>
              <w:keepLines/>
              <w:rPr>
                <w:rFonts w:ascii="Times" w:hAnsi="Times"/>
              </w:rPr>
            </w:pPr>
            <w:r w:rsidRPr="00217EA0">
              <w:t>LYG</w:t>
            </w:r>
          </w:p>
        </w:tc>
        <w:tc>
          <w:tcPr>
            <w:tcW w:w="1359" w:type="pct"/>
          </w:tcPr>
          <w:p w14:paraId="2D1AA370" w14:textId="77777777" w:rsidR="007B07F9" w:rsidRPr="00217EA0" w:rsidRDefault="007B07F9" w:rsidP="00842BB9">
            <w:pPr>
              <w:pStyle w:val="TableText"/>
              <w:keepNext/>
              <w:keepLines/>
              <w:jc w:val="center"/>
              <w:rPr>
                <w:rFonts w:ascii="Times" w:hAnsi="Times"/>
              </w:rPr>
            </w:pPr>
            <w:r w:rsidRPr="00217EA0">
              <w:rPr>
                <w:rFonts w:cs="Calibri"/>
              </w:rPr>
              <w:t>2.32</w:t>
            </w:r>
          </w:p>
        </w:tc>
        <w:tc>
          <w:tcPr>
            <w:tcW w:w="1274" w:type="pct"/>
          </w:tcPr>
          <w:p w14:paraId="71FCBA47" w14:textId="77777777" w:rsidR="007B07F9" w:rsidRPr="00217EA0" w:rsidRDefault="007B07F9" w:rsidP="00842BB9">
            <w:pPr>
              <w:pStyle w:val="TableText"/>
              <w:keepNext/>
              <w:keepLines/>
              <w:jc w:val="center"/>
              <w:rPr>
                <w:rFonts w:ascii="Times" w:hAnsi="Times"/>
              </w:rPr>
            </w:pPr>
            <w:r w:rsidRPr="00217EA0">
              <w:rPr>
                <w:rFonts w:cs="Calibri"/>
              </w:rPr>
              <w:t>0.84</w:t>
            </w:r>
          </w:p>
        </w:tc>
        <w:tc>
          <w:tcPr>
            <w:tcW w:w="838" w:type="pct"/>
          </w:tcPr>
          <w:p w14:paraId="078337A6" w14:textId="77777777" w:rsidR="007B07F9" w:rsidRPr="00217EA0" w:rsidRDefault="007B07F9" w:rsidP="00842BB9">
            <w:pPr>
              <w:pStyle w:val="TableText"/>
              <w:keepNext/>
              <w:keepLines/>
              <w:jc w:val="center"/>
            </w:pPr>
            <w:r w:rsidRPr="00217EA0">
              <w:rPr>
                <w:rFonts w:cs="Calibri"/>
              </w:rPr>
              <w:t>1.48</w:t>
            </w:r>
          </w:p>
        </w:tc>
      </w:tr>
      <w:tr w:rsidR="007900E9" w:rsidRPr="00217EA0" w14:paraId="49ABCF34" w14:textId="77777777" w:rsidTr="00FE3A7F">
        <w:trPr>
          <w:trHeight w:val="20"/>
        </w:trPr>
        <w:tc>
          <w:tcPr>
            <w:tcW w:w="4162" w:type="pct"/>
            <w:gridSpan w:val="3"/>
            <w:vAlign w:val="center"/>
          </w:tcPr>
          <w:p w14:paraId="59082E8D" w14:textId="77777777" w:rsidR="007B07F9" w:rsidRPr="00217EA0" w:rsidRDefault="007B07F9" w:rsidP="00842BB9">
            <w:pPr>
              <w:pStyle w:val="TableText"/>
              <w:keepNext/>
              <w:keepLines/>
              <w:rPr>
                <w:rFonts w:ascii="Times" w:hAnsi="Times"/>
              </w:rPr>
            </w:pPr>
            <w:r w:rsidRPr="00217EA0">
              <w:t>Incremental cost/extra LYG gained</w:t>
            </w:r>
          </w:p>
        </w:tc>
        <w:tc>
          <w:tcPr>
            <w:tcW w:w="838" w:type="pct"/>
            <w:vAlign w:val="center"/>
          </w:tcPr>
          <w:p w14:paraId="29EECFEF" w14:textId="34CAE96A" w:rsidR="007B07F9" w:rsidRPr="00217EA0" w:rsidRDefault="00F0779A" w:rsidP="00842BB9">
            <w:pPr>
              <w:pStyle w:val="TableText"/>
              <w:keepNext/>
              <w:keepLines/>
              <w:jc w:val="center"/>
              <w:rPr>
                <w:rFonts w:ascii="Times" w:hAnsi="Times"/>
              </w:rPr>
            </w:pPr>
            <w:r w:rsidRPr="00F0779A">
              <w:rPr>
                <w:color w:val="000000"/>
                <w:spacing w:val="53"/>
                <w:shd w:val="solid" w:color="000000" w:fill="000000"/>
                <w:fitText w:val="330" w:id="-694415609"/>
                <w14:textFill>
                  <w14:solidFill>
                    <w14:srgbClr w14:val="000000">
                      <w14:alpha w14:val="100000"/>
                    </w14:srgbClr>
                  </w14:solidFill>
                </w14:textFill>
              </w:rPr>
              <w:t>|||</w:t>
            </w:r>
            <w:r w:rsidRPr="00F0779A">
              <w:rPr>
                <w:color w:val="000000"/>
                <w:spacing w:val="1"/>
                <w:shd w:val="solid" w:color="000000" w:fill="000000"/>
                <w:fitText w:val="330" w:id="-694415609"/>
                <w14:textFill>
                  <w14:solidFill>
                    <w14:srgbClr w14:val="000000">
                      <w14:alpha w14:val="100000"/>
                    </w14:srgbClr>
                  </w14:solidFill>
                </w14:textFill>
              </w:rPr>
              <w:t>|</w:t>
            </w:r>
            <w:r w:rsidR="00CC2F4C" w:rsidRPr="00CC2F4C">
              <w:rPr>
                <w:vertAlign w:val="superscript"/>
              </w:rPr>
              <w:t>2</w:t>
            </w:r>
          </w:p>
        </w:tc>
      </w:tr>
      <w:tr w:rsidR="007900E9" w:rsidRPr="00217EA0" w14:paraId="66D14E45" w14:textId="77777777" w:rsidTr="00FE3A7F">
        <w:trPr>
          <w:trHeight w:val="20"/>
        </w:trPr>
        <w:tc>
          <w:tcPr>
            <w:tcW w:w="5000" w:type="pct"/>
            <w:gridSpan w:val="4"/>
            <w:vAlign w:val="center"/>
          </w:tcPr>
          <w:p w14:paraId="5F38CD63" w14:textId="77777777" w:rsidR="007B07F9" w:rsidRPr="00217EA0" w:rsidRDefault="007B07F9" w:rsidP="00842BB9">
            <w:pPr>
              <w:pStyle w:val="In-tableHeading"/>
              <w:keepLines/>
              <w:rPr>
                <w:b w:val="0"/>
                <w:bCs/>
                <w:lang w:val="en-AU"/>
              </w:rPr>
            </w:pPr>
            <w:r w:rsidRPr="00217EA0">
              <w:rPr>
                <w:b w:val="0"/>
                <w:bCs/>
                <w:lang w:val="en-AU"/>
              </w:rPr>
              <w:t>Step 3: KM data used for PFS and OS until unreliable, then data extrapolated with parametric functions until 10 years</w:t>
            </w:r>
          </w:p>
          <w:p w14:paraId="212C4474" w14:textId="77777777" w:rsidR="007B07F9" w:rsidRPr="00217EA0" w:rsidRDefault="007B07F9" w:rsidP="00842BB9">
            <w:pPr>
              <w:pStyle w:val="In-tableHeading"/>
              <w:keepLines/>
              <w:rPr>
                <w:b w:val="0"/>
                <w:bCs/>
                <w:lang w:val="en-AU"/>
              </w:rPr>
            </w:pPr>
            <w:r w:rsidRPr="00217EA0">
              <w:rPr>
                <w:b w:val="0"/>
                <w:bCs/>
                <w:lang w:val="en-AU"/>
              </w:rPr>
              <w:t>Costs: As in Step 3</w:t>
            </w:r>
          </w:p>
          <w:p w14:paraId="3A4AE8CA" w14:textId="77777777" w:rsidR="007B07F9" w:rsidRPr="00217EA0" w:rsidRDefault="007B07F9" w:rsidP="00842BB9">
            <w:pPr>
              <w:pStyle w:val="In-tableHeading"/>
              <w:keepLines/>
              <w:rPr>
                <w:lang w:val="en-AU"/>
              </w:rPr>
            </w:pPr>
            <w:r w:rsidRPr="00217EA0">
              <w:rPr>
                <w:b w:val="0"/>
                <w:bCs/>
                <w:lang w:val="en-AU"/>
              </w:rPr>
              <w:t>Outcomes: LYs over the modelled time horizon</w:t>
            </w:r>
          </w:p>
        </w:tc>
      </w:tr>
      <w:tr w:rsidR="007900E9" w:rsidRPr="00217EA0" w14:paraId="49BF58EE" w14:textId="77777777" w:rsidTr="00FE3A7F">
        <w:trPr>
          <w:trHeight w:val="20"/>
        </w:trPr>
        <w:tc>
          <w:tcPr>
            <w:tcW w:w="1529" w:type="pct"/>
            <w:vAlign w:val="center"/>
          </w:tcPr>
          <w:p w14:paraId="06B49273" w14:textId="77777777" w:rsidR="007B07F9" w:rsidRPr="00217EA0" w:rsidRDefault="007B07F9" w:rsidP="00842BB9">
            <w:pPr>
              <w:pStyle w:val="TableText"/>
              <w:keepNext/>
              <w:keepLines/>
              <w:rPr>
                <w:rFonts w:ascii="Times" w:hAnsi="Times"/>
              </w:rPr>
            </w:pPr>
            <w:r w:rsidRPr="00217EA0">
              <w:t>Costs</w:t>
            </w:r>
          </w:p>
        </w:tc>
        <w:tc>
          <w:tcPr>
            <w:tcW w:w="1359" w:type="pct"/>
          </w:tcPr>
          <w:p w14:paraId="5862F009" w14:textId="5E7B5337" w:rsidR="007B07F9" w:rsidRPr="00217EA0" w:rsidRDefault="00F0779A" w:rsidP="00842BB9">
            <w:pPr>
              <w:pStyle w:val="TableText"/>
              <w:keepNext/>
              <w:keepLines/>
              <w:jc w:val="center"/>
              <w:rPr>
                <w:rFonts w:ascii="Times" w:hAnsi="Times"/>
              </w:rPr>
            </w:pPr>
            <w:r w:rsidRPr="00F0779A">
              <w:rPr>
                <w:rFonts w:cs="Calibri"/>
                <w:color w:val="000000"/>
                <w:spacing w:val="53"/>
                <w:shd w:val="solid" w:color="000000" w:fill="000000"/>
                <w:fitText w:val="330" w:id="-694415608"/>
                <w14:textFill>
                  <w14:solidFill>
                    <w14:srgbClr w14:val="000000">
                      <w14:alpha w14:val="100000"/>
                    </w14:srgbClr>
                  </w14:solidFill>
                </w14:textFill>
              </w:rPr>
              <w:t>|||</w:t>
            </w:r>
            <w:r w:rsidRPr="00F0779A">
              <w:rPr>
                <w:rFonts w:cs="Calibri"/>
                <w:color w:val="000000"/>
                <w:spacing w:val="1"/>
                <w:shd w:val="solid" w:color="000000" w:fill="000000"/>
                <w:fitText w:val="330" w:id="-694415608"/>
                <w14:textFill>
                  <w14:solidFill>
                    <w14:srgbClr w14:val="000000">
                      <w14:alpha w14:val="100000"/>
                    </w14:srgbClr>
                  </w14:solidFill>
                </w14:textFill>
              </w:rPr>
              <w:t>|</w:t>
            </w:r>
            <w:r w:rsidR="00124EE3">
              <w:rPr>
                <w:rFonts w:cs="Calibri"/>
              </w:rPr>
              <w:t xml:space="preserve"> </w:t>
            </w:r>
          </w:p>
        </w:tc>
        <w:tc>
          <w:tcPr>
            <w:tcW w:w="1274" w:type="pct"/>
          </w:tcPr>
          <w:p w14:paraId="669F7431" w14:textId="24BDC671" w:rsidR="007B07F9" w:rsidRPr="00217EA0" w:rsidRDefault="007B07F9" w:rsidP="00842BB9">
            <w:pPr>
              <w:pStyle w:val="TableText"/>
              <w:keepNext/>
              <w:keepLines/>
              <w:jc w:val="center"/>
              <w:rPr>
                <w:rFonts w:ascii="Times" w:hAnsi="Times"/>
              </w:rPr>
            </w:pPr>
            <w:r w:rsidRPr="00217EA0">
              <w:rPr>
                <w:rFonts w:cs="Calibri"/>
              </w:rPr>
              <w:t>$59,994</w:t>
            </w:r>
            <w:r w:rsidR="00124EE3">
              <w:rPr>
                <w:rFonts w:cs="Calibri"/>
              </w:rPr>
              <w:t xml:space="preserve"> </w:t>
            </w:r>
          </w:p>
        </w:tc>
        <w:tc>
          <w:tcPr>
            <w:tcW w:w="838" w:type="pct"/>
          </w:tcPr>
          <w:p w14:paraId="0E395D5C" w14:textId="29293D01" w:rsidR="007B07F9" w:rsidRPr="00217EA0" w:rsidRDefault="00F0779A" w:rsidP="00842BB9">
            <w:pPr>
              <w:pStyle w:val="TableText"/>
              <w:keepNext/>
              <w:keepLines/>
              <w:jc w:val="center"/>
              <w:rPr>
                <w:rFonts w:ascii="Times" w:hAnsi="Times"/>
              </w:rPr>
            </w:pPr>
            <w:r w:rsidRPr="00F0779A">
              <w:rPr>
                <w:rFonts w:cs="Calibri"/>
                <w:color w:val="000000"/>
                <w:spacing w:val="53"/>
                <w:shd w:val="solid" w:color="000000" w:fill="000000"/>
                <w:fitText w:val="330" w:id="-694415607"/>
                <w14:textFill>
                  <w14:solidFill>
                    <w14:srgbClr w14:val="000000">
                      <w14:alpha w14:val="100000"/>
                    </w14:srgbClr>
                  </w14:solidFill>
                </w14:textFill>
              </w:rPr>
              <w:t>|||</w:t>
            </w:r>
            <w:r w:rsidRPr="00F0779A">
              <w:rPr>
                <w:rFonts w:cs="Calibri"/>
                <w:color w:val="000000"/>
                <w:spacing w:val="1"/>
                <w:shd w:val="solid" w:color="000000" w:fill="000000"/>
                <w:fitText w:val="330" w:id="-694415607"/>
                <w14:textFill>
                  <w14:solidFill>
                    <w14:srgbClr w14:val="000000">
                      <w14:alpha w14:val="100000"/>
                    </w14:srgbClr>
                  </w14:solidFill>
                </w14:textFill>
              </w:rPr>
              <w:t>|</w:t>
            </w:r>
            <w:r w:rsidR="00124EE3">
              <w:rPr>
                <w:rFonts w:cs="Calibri"/>
              </w:rPr>
              <w:t xml:space="preserve"> </w:t>
            </w:r>
          </w:p>
        </w:tc>
      </w:tr>
      <w:tr w:rsidR="007900E9" w:rsidRPr="00217EA0" w14:paraId="588F0C2C" w14:textId="77777777" w:rsidTr="00FE3A7F">
        <w:trPr>
          <w:trHeight w:val="20"/>
        </w:trPr>
        <w:tc>
          <w:tcPr>
            <w:tcW w:w="1529" w:type="pct"/>
            <w:vAlign w:val="center"/>
          </w:tcPr>
          <w:p w14:paraId="4CC37961" w14:textId="77777777" w:rsidR="007B07F9" w:rsidRPr="00217EA0" w:rsidRDefault="007B07F9" w:rsidP="00842BB9">
            <w:pPr>
              <w:pStyle w:val="TableText"/>
              <w:keepNext/>
              <w:keepLines/>
              <w:rPr>
                <w:rFonts w:ascii="Times" w:hAnsi="Times"/>
              </w:rPr>
            </w:pPr>
            <w:r w:rsidRPr="00217EA0">
              <w:t>LYG</w:t>
            </w:r>
          </w:p>
        </w:tc>
        <w:tc>
          <w:tcPr>
            <w:tcW w:w="1359" w:type="pct"/>
          </w:tcPr>
          <w:p w14:paraId="02144CB1" w14:textId="77777777" w:rsidR="007B07F9" w:rsidRPr="00217EA0" w:rsidRDefault="007B07F9" w:rsidP="00842BB9">
            <w:pPr>
              <w:pStyle w:val="TableText"/>
              <w:keepNext/>
              <w:keepLines/>
              <w:jc w:val="center"/>
              <w:rPr>
                <w:rFonts w:ascii="Times" w:hAnsi="Times"/>
              </w:rPr>
            </w:pPr>
            <w:r w:rsidRPr="00217EA0">
              <w:rPr>
                <w:rFonts w:cs="Calibri"/>
              </w:rPr>
              <w:t>2.33</w:t>
            </w:r>
          </w:p>
        </w:tc>
        <w:tc>
          <w:tcPr>
            <w:tcW w:w="1274" w:type="pct"/>
          </w:tcPr>
          <w:p w14:paraId="5FCEDC98" w14:textId="77777777" w:rsidR="007B07F9" w:rsidRPr="00217EA0" w:rsidRDefault="007B07F9" w:rsidP="00842BB9">
            <w:pPr>
              <w:pStyle w:val="TableText"/>
              <w:keepNext/>
              <w:keepLines/>
              <w:jc w:val="center"/>
              <w:rPr>
                <w:rFonts w:ascii="Times" w:hAnsi="Times"/>
              </w:rPr>
            </w:pPr>
            <w:r w:rsidRPr="00217EA0">
              <w:rPr>
                <w:rFonts w:cs="Calibri"/>
              </w:rPr>
              <w:t>0.84</w:t>
            </w:r>
          </w:p>
        </w:tc>
        <w:tc>
          <w:tcPr>
            <w:tcW w:w="838" w:type="pct"/>
          </w:tcPr>
          <w:p w14:paraId="1DF19933" w14:textId="77777777" w:rsidR="007B07F9" w:rsidRPr="00217EA0" w:rsidRDefault="007B07F9" w:rsidP="00842BB9">
            <w:pPr>
              <w:pStyle w:val="TableText"/>
              <w:keepNext/>
              <w:keepLines/>
              <w:jc w:val="center"/>
            </w:pPr>
            <w:r w:rsidRPr="00217EA0">
              <w:rPr>
                <w:rFonts w:cs="Calibri"/>
              </w:rPr>
              <w:t>1.49</w:t>
            </w:r>
          </w:p>
        </w:tc>
      </w:tr>
      <w:tr w:rsidR="007900E9" w:rsidRPr="00217EA0" w14:paraId="79F5F8F8" w14:textId="77777777" w:rsidTr="00FE3A7F">
        <w:trPr>
          <w:trHeight w:val="20"/>
        </w:trPr>
        <w:tc>
          <w:tcPr>
            <w:tcW w:w="4162" w:type="pct"/>
            <w:gridSpan w:val="3"/>
            <w:vAlign w:val="center"/>
          </w:tcPr>
          <w:p w14:paraId="02D2DB3D" w14:textId="77777777" w:rsidR="007B07F9" w:rsidRPr="00217EA0" w:rsidRDefault="007B07F9" w:rsidP="00842BB9">
            <w:pPr>
              <w:pStyle w:val="TableText"/>
              <w:keepNext/>
              <w:keepLines/>
              <w:rPr>
                <w:rFonts w:ascii="Times" w:hAnsi="Times"/>
              </w:rPr>
            </w:pPr>
            <w:r w:rsidRPr="00217EA0">
              <w:t>Incremental cost/extra LYG gained</w:t>
            </w:r>
          </w:p>
        </w:tc>
        <w:tc>
          <w:tcPr>
            <w:tcW w:w="838" w:type="pct"/>
            <w:vAlign w:val="center"/>
          </w:tcPr>
          <w:p w14:paraId="6E31722C" w14:textId="707A1C93" w:rsidR="007B07F9" w:rsidRPr="00217EA0" w:rsidRDefault="00F0779A" w:rsidP="00842BB9">
            <w:pPr>
              <w:pStyle w:val="TableText"/>
              <w:keepNext/>
              <w:keepLines/>
              <w:jc w:val="center"/>
              <w:rPr>
                <w:rFonts w:ascii="Times" w:hAnsi="Times"/>
              </w:rPr>
            </w:pPr>
            <w:r w:rsidRPr="00F0779A">
              <w:rPr>
                <w:color w:val="000000"/>
                <w:spacing w:val="53"/>
                <w:shd w:val="solid" w:color="000000" w:fill="000000"/>
                <w:fitText w:val="330" w:id="-694415606"/>
                <w14:textFill>
                  <w14:solidFill>
                    <w14:srgbClr w14:val="000000">
                      <w14:alpha w14:val="100000"/>
                    </w14:srgbClr>
                  </w14:solidFill>
                </w14:textFill>
              </w:rPr>
              <w:t>|||</w:t>
            </w:r>
            <w:r w:rsidRPr="00F0779A">
              <w:rPr>
                <w:color w:val="000000"/>
                <w:spacing w:val="1"/>
                <w:shd w:val="solid" w:color="000000" w:fill="000000"/>
                <w:fitText w:val="330" w:id="-694415606"/>
                <w14:textFill>
                  <w14:solidFill>
                    <w14:srgbClr w14:val="000000">
                      <w14:alpha w14:val="100000"/>
                    </w14:srgbClr>
                  </w14:solidFill>
                </w14:textFill>
              </w:rPr>
              <w:t>|</w:t>
            </w:r>
            <w:r w:rsidR="00CC2F4C" w:rsidRPr="00CC2F4C">
              <w:rPr>
                <w:vertAlign w:val="superscript"/>
              </w:rPr>
              <w:t>2</w:t>
            </w:r>
          </w:p>
        </w:tc>
      </w:tr>
      <w:tr w:rsidR="007900E9" w:rsidRPr="00217EA0" w14:paraId="3B47154F" w14:textId="77777777" w:rsidTr="00FE3A7F">
        <w:trPr>
          <w:trHeight w:val="20"/>
        </w:trPr>
        <w:tc>
          <w:tcPr>
            <w:tcW w:w="5000" w:type="pct"/>
            <w:gridSpan w:val="4"/>
            <w:vAlign w:val="center"/>
          </w:tcPr>
          <w:p w14:paraId="6C5D43F1" w14:textId="77777777" w:rsidR="007B07F9" w:rsidRPr="00217EA0" w:rsidRDefault="007B07F9" w:rsidP="00842BB9">
            <w:pPr>
              <w:pStyle w:val="TableText"/>
              <w:keepNext/>
              <w:keepLines/>
            </w:pPr>
            <w:r w:rsidRPr="00217EA0">
              <w:t>Step 4: Transformation of LYs to QALYs.</w:t>
            </w:r>
          </w:p>
          <w:p w14:paraId="51046C83" w14:textId="77777777" w:rsidR="007B07F9" w:rsidRPr="00217EA0" w:rsidRDefault="007B07F9" w:rsidP="00842BB9">
            <w:pPr>
              <w:pStyle w:val="TableText"/>
              <w:keepNext/>
              <w:keepLines/>
            </w:pPr>
            <w:r w:rsidRPr="00217EA0">
              <w:t>Costs: As in Step 3</w:t>
            </w:r>
          </w:p>
          <w:p w14:paraId="31C3B016" w14:textId="77777777" w:rsidR="007B07F9" w:rsidRPr="00217EA0" w:rsidRDefault="007B07F9" w:rsidP="00842BB9">
            <w:pPr>
              <w:pStyle w:val="In-tableHeading"/>
              <w:keepLines/>
              <w:rPr>
                <w:lang w:val="en-AU"/>
              </w:rPr>
            </w:pPr>
            <w:r w:rsidRPr="00217EA0">
              <w:rPr>
                <w:b w:val="0"/>
                <w:lang w:val="en-AU"/>
              </w:rPr>
              <w:t>Outcomes: QALYs over the modelled time horizon</w:t>
            </w:r>
          </w:p>
        </w:tc>
      </w:tr>
      <w:tr w:rsidR="007900E9" w:rsidRPr="00217EA0" w14:paraId="632DC2D9" w14:textId="77777777" w:rsidTr="00FE3A7F">
        <w:trPr>
          <w:trHeight w:val="20"/>
        </w:trPr>
        <w:tc>
          <w:tcPr>
            <w:tcW w:w="1529" w:type="pct"/>
            <w:vAlign w:val="center"/>
          </w:tcPr>
          <w:p w14:paraId="31093EF5" w14:textId="77777777" w:rsidR="007B07F9" w:rsidRPr="00217EA0" w:rsidRDefault="007B07F9" w:rsidP="00842BB9">
            <w:pPr>
              <w:pStyle w:val="TableText"/>
              <w:keepNext/>
              <w:keepLines/>
              <w:rPr>
                <w:rFonts w:ascii="Times" w:hAnsi="Times"/>
              </w:rPr>
            </w:pPr>
            <w:r w:rsidRPr="00217EA0">
              <w:t>Costs</w:t>
            </w:r>
          </w:p>
        </w:tc>
        <w:tc>
          <w:tcPr>
            <w:tcW w:w="1359" w:type="pct"/>
          </w:tcPr>
          <w:p w14:paraId="4AC10CE1" w14:textId="517256A1" w:rsidR="007B07F9" w:rsidRPr="00217EA0" w:rsidRDefault="00F0779A" w:rsidP="00842BB9">
            <w:pPr>
              <w:pStyle w:val="TableText"/>
              <w:keepNext/>
              <w:keepLines/>
              <w:jc w:val="center"/>
              <w:rPr>
                <w:rFonts w:ascii="Times" w:hAnsi="Times"/>
              </w:rPr>
            </w:pPr>
            <w:r w:rsidRPr="00F0779A">
              <w:rPr>
                <w:rFonts w:cs="Calibri"/>
                <w:color w:val="000000"/>
                <w:spacing w:val="53"/>
                <w:shd w:val="solid" w:color="000000" w:fill="000000"/>
                <w:fitText w:val="330" w:id="-694415605"/>
                <w14:textFill>
                  <w14:solidFill>
                    <w14:srgbClr w14:val="000000">
                      <w14:alpha w14:val="100000"/>
                    </w14:srgbClr>
                  </w14:solidFill>
                </w14:textFill>
              </w:rPr>
              <w:t>|||</w:t>
            </w:r>
            <w:r w:rsidRPr="00F0779A">
              <w:rPr>
                <w:rFonts w:cs="Calibri"/>
                <w:color w:val="000000"/>
                <w:spacing w:val="1"/>
                <w:shd w:val="solid" w:color="000000" w:fill="000000"/>
                <w:fitText w:val="330" w:id="-694415605"/>
                <w14:textFill>
                  <w14:solidFill>
                    <w14:srgbClr w14:val="000000">
                      <w14:alpha w14:val="100000"/>
                    </w14:srgbClr>
                  </w14:solidFill>
                </w14:textFill>
              </w:rPr>
              <w:t>|</w:t>
            </w:r>
            <w:r w:rsidR="00124EE3">
              <w:rPr>
                <w:rFonts w:cs="Calibri"/>
              </w:rPr>
              <w:t xml:space="preserve"> </w:t>
            </w:r>
          </w:p>
        </w:tc>
        <w:tc>
          <w:tcPr>
            <w:tcW w:w="1274" w:type="pct"/>
          </w:tcPr>
          <w:p w14:paraId="6B17DF57" w14:textId="77777777" w:rsidR="007B07F9" w:rsidRPr="00217EA0" w:rsidRDefault="007B07F9" w:rsidP="00842BB9">
            <w:pPr>
              <w:pStyle w:val="TableText"/>
              <w:keepNext/>
              <w:keepLines/>
              <w:jc w:val="center"/>
              <w:rPr>
                <w:rFonts w:ascii="Times" w:hAnsi="Times"/>
              </w:rPr>
            </w:pPr>
            <w:r w:rsidRPr="00217EA0">
              <w:rPr>
                <w:rFonts w:cs="Calibri"/>
              </w:rPr>
              <w:t>$59,994</w:t>
            </w:r>
          </w:p>
        </w:tc>
        <w:tc>
          <w:tcPr>
            <w:tcW w:w="838" w:type="pct"/>
          </w:tcPr>
          <w:p w14:paraId="0DDFF103" w14:textId="4D74C187" w:rsidR="007B07F9" w:rsidRPr="00217EA0" w:rsidRDefault="00F0779A" w:rsidP="00842BB9">
            <w:pPr>
              <w:pStyle w:val="TableText"/>
              <w:keepNext/>
              <w:keepLines/>
              <w:jc w:val="center"/>
              <w:rPr>
                <w:rFonts w:ascii="Times" w:hAnsi="Times"/>
              </w:rPr>
            </w:pPr>
            <w:r w:rsidRPr="00F0779A">
              <w:rPr>
                <w:rFonts w:cs="Calibri"/>
                <w:color w:val="000000"/>
                <w:spacing w:val="53"/>
                <w:shd w:val="solid" w:color="000000" w:fill="000000"/>
                <w:fitText w:val="330" w:id="-694415604"/>
                <w14:textFill>
                  <w14:solidFill>
                    <w14:srgbClr w14:val="000000">
                      <w14:alpha w14:val="100000"/>
                    </w14:srgbClr>
                  </w14:solidFill>
                </w14:textFill>
              </w:rPr>
              <w:t>|||</w:t>
            </w:r>
            <w:r w:rsidRPr="00F0779A">
              <w:rPr>
                <w:rFonts w:cs="Calibri"/>
                <w:color w:val="000000"/>
                <w:spacing w:val="1"/>
                <w:shd w:val="solid" w:color="000000" w:fill="000000"/>
                <w:fitText w:val="330" w:id="-694415604"/>
                <w14:textFill>
                  <w14:solidFill>
                    <w14:srgbClr w14:val="000000">
                      <w14:alpha w14:val="100000"/>
                    </w14:srgbClr>
                  </w14:solidFill>
                </w14:textFill>
              </w:rPr>
              <w:t>|</w:t>
            </w:r>
            <w:r w:rsidR="00124EE3">
              <w:rPr>
                <w:rFonts w:cs="Calibri"/>
              </w:rPr>
              <w:t xml:space="preserve"> </w:t>
            </w:r>
          </w:p>
        </w:tc>
      </w:tr>
      <w:tr w:rsidR="007900E9" w:rsidRPr="00217EA0" w14:paraId="3BDB690C" w14:textId="77777777" w:rsidTr="00FE3A7F">
        <w:trPr>
          <w:trHeight w:val="20"/>
        </w:trPr>
        <w:tc>
          <w:tcPr>
            <w:tcW w:w="1529" w:type="pct"/>
            <w:vAlign w:val="center"/>
          </w:tcPr>
          <w:p w14:paraId="6D98F8F6" w14:textId="77777777" w:rsidR="007B07F9" w:rsidRPr="00217EA0" w:rsidRDefault="007B07F9" w:rsidP="00842BB9">
            <w:pPr>
              <w:pStyle w:val="TableText"/>
              <w:keepNext/>
              <w:keepLines/>
              <w:rPr>
                <w:rFonts w:ascii="Times" w:hAnsi="Times"/>
              </w:rPr>
            </w:pPr>
            <w:r w:rsidRPr="00217EA0">
              <w:t>QALYS</w:t>
            </w:r>
          </w:p>
        </w:tc>
        <w:tc>
          <w:tcPr>
            <w:tcW w:w="1359" w:type="pct"/>
          </w:tcPr>
          <w:p w14:paraId="2093F86B" w14:textId="77777777" w:rsidR="007B07F9" w:rsidRPr="00217EA0" w:rsidRDefault="007B07F9" w:rsidP="00842BB9">
            <w:pPr>
              <w:pStyle w:val="TableText"/>
              <w:keepNext/>
              <w:keepLines/>
              <w:jc w:val="center"/>
              <w:rPr>
                <w:rFonts w:ascii="Times" w:hAnsi="Times"/>
              </w:rPr>
            </w:pPr>
            <w:r w:rsidRPr="00217EA0">
              <w:rPr>
                <w:rFonts w:cs="Calibri"/>
              </w:rPr>
              <w:t>1.72</w:t>
            </w:r>
          </w:p>
        </w:tc>
        <w:tc>
          <w:tcPr>
            <w:tcW w:w="1274" w:type="pct"/>
          </w:tcPr>
          <w:p w14:paraId="67ADEEDF" w14:textId="77777777" w:rsidR="007B07F9" w:rsidRPr="00217EA0" w:rsidRDefault="007B07F9" w:rsidP="00842BB9">
            <w:pPr>
              <w:pStyle w:val="TableText"/>
              <w:keepNext/>
              <w:keepLines/>
              <w:jc w:val="center"/>
              <w:rPr>
                <w:rFonts w:ascii="Times" w:hAnsi="Times"/>
              </w:rPr>
            </w:pPr>
            <w:r w:rsidRPr="00883130">
              <w:rPr>
                <w:rFonts w:cs="Calibri"/>
              </w:rPr>
              <w:t>0.55</w:t>
            </w:r>
          </w:p>
        </w:tc>
        <w:tc>
          <w:tcPr>
            <w:tcW w:w="838" w:type="pct"/>
          </w:tcPr>
          <w:p w14:paraId="16B1BE3A" w14:textId="77777777" w:rsidR="007B07F9" w:rsidRPr="00217EA0" w:rsidRDefault="007B07F9" w:rsidP="00842BB9">
            <w:pPr>
              <w:pStyle w:val="TableText"/>
              <w:keepNext/>
              <w:keepLines/>
              <w:jc w:val="center"/>
            </w:pPr>
            <w:r w:rsidRPr="00217EA0">
              <w:rPr>
                <w:rFonts w:cs="Calibri"/>
              </w:rPr>
              <w:t>1.17</w:t>
            </w:r>
          </w:p>
        </w:tc>
      </w:tr>
      <w:tr w:rsidR="007900E9" w:rsidRPr="00217EA0" w14:paraId="0C216C5C" w14:textId="77777777" w:rsidTr="00002F34">
        <w:trPr>
          <w:trHeight w:val="20"/>
        </w:trPr>
        <w:tc>
          <w:tcPr>
            <w:tcW w:w="4162" w:type="pct"/>
            <w:gridSpan w:val="3"/>
            <w:shd w:val="clear" w:color="auto" w:fill="auto"/>
            <w:vAlign w:val="center"/>
          </w:tcPr>
          <w:p w14:paraId="6B59D11E" w14:textId="77777777" w:rsidR="007B07F9" w:rsidRPr="00217EA0" w:rsidRDefault="007B07F9" w:rsidP="00842BB9">
            <w:pPr>
              <w:pStyle w:val="TableText"/>
              <w:keepNext/>
              <w:keepLines/>
              <w:rPr>
                <w:rFonts w:ascii="Times" w:hAnsi="Times"/>
              </w:rPr>
            </w:pPr>
            <w:r w:rsidRPr="00217EA0">
              <w:t>Incremental cost/extra LYG gained</w:t>
            </w:r>
          </w:p>
        </w:tc>
        <w:tc>
          <w:tcPr>
            <w:tcW w:w="838" w:type="pct"/>
            <w:shd w:val="clear" w:color="auto" w:fill="auto"/>
            <w:vAlign w:val="center"/>
          </w:tcPr>
          <w:p w14:paraId="6FB84AFB" w14:textId="57D3A45C" w:rsidR="007B07F9" w:rsidRPr="00217EA0" w:rsidRDefault="00F0779A" w:rsidP="00842BB9">
            <w:pPr>
              <w:pStyle w:val="TableText"/>
              <w:keepNext/>
              <w:keepLines/>
              <w:jc w:val="center"/>
              <w:rPr>
                <w:rFonts w:ascii="Times" w:hAnsi="Times"/>
              </w:rPr>
            </w:pPr>
            <w:r w:rsidRPr="00F0779A">
              <w:rPr>
                <w:color w:val="000000"/>
                <w:spacing w:val="53"/>
                <w:shd w:val="solid" w:color="000000" w:fill="000000"/>
                <w:fitText w:val="330" w:id="-694415603"/>
                <w14:textFill>
                  <w14:solidFill>
                    <w14:srgbClr w14:val="000000">
                      <w14:alpha w14:val="100000"/>
                    </w14:srgbClr>
                  </w14:solidFill>
                </w14:textFill>
              </w:rPr>
              <w:t>|||</w:t>
            </w:r>
            <w:r w:rsidRPr="00F0779A">
              <w:rPr>
                <w:color w:val="000000"/>
                <w:spacing w:val="1"/>
                <w:shd w:val="solid" w:color="000000" w:fill="000000"/>
                <w:fitText w:val="330" w:id="-694415603"/>
                <w14:textFill>
                  <w14:solidFill>
                    <w14:srgbClr w14:val="000000">
                      <w14:alpha w14:val="100000"/>
                    </w14:srgbClr>
                  </w14:solidFill>
                </w14:textFill>
              </w:rPr>
              <w:t>|</w:t>
            </w:r>
            <w:r w:rsidR="00CA27F8" w:rsidRPr="00CA27F8">
              <w:rPr>
                <w:vertAlign w:val="superscript"/>
              </w:rPr>
              <w:t>3</w:t>
            </w:r>
          </w:p>
        </w:tc>
      </w:tr>
      <w:tr w:rsidR="007900E9" w:rsidRPr="00217EA0" w14:paraId="27307840" w14:textId="77777777" w:rsidTr="00002F34">
        <w:trPr>
          <w:trHeight w:val="20"/>
        </w:trPr>
        <w:tc>
          <w:tcPr>
            <w:tcW w:w="5000" w:type="pct"/>
            <w:gridSpan w:val="4"/>
            <w:shd w:val="clear" w:color="auto" w:fill="auto"/>
            <w:vAlign w:val="center"/>
          </w:tcPr>
          <w:p w14:paraId="7946AB8F" w14:textId="77777777" w:rsidR="007B07F9" w:rsidRPr="00217EA0" w:rsidRDefault="007B07F9" w:rsidP="00842BB9">
            <w:pPr>
              <w:pStyle w:val="TableText"/>
              <w:keepNext/>
              <w:keepLines/>
            </w:pPr>
            <w:r w:rsidRPr="00217EA0">
              <w:t xml:space="preserve">Step 5: Evaluation- correct half cycle correction and remove half cycle correction from drug acquisition costs. </w:t>
            </w:r>
          </w:p>
        </w:tc>
      </w:tr>
      <w:tr w:rsidR="007900E9" w:rsidRPr="00217EA0" w14:paraId="3D065B37" w14:textId="77777777" w:rsidTr="00002F34">
        <w:trPr>
          <w:trHeight w:val="20"/>
        </w:trPr>
        <w:tc>
          <w:tcPr>
            <w:tcW w:w="1529" w:type="pct"/>
            <w:shd w:val="clear" w:color="auto" w:fill="auto"/>
            <w:vAlign w:val="center"/>
          </w:tcPr>
          <w:p w14:paraId="0981E6ED" w14:textId="77777777" w:rsidR="007B07F9" w:rsidRPr="00217EA0" w:rsidRDefault="007B07F9" w:rsidP="00842BB9">
            <w:pPr>
              <w:pStyle w:val="TableText"/>
              <w:keepNext/>
              <w:keepLines/>
              <w:rPr>
                <w:rFonts w:ascii="Times" w:hAnsi="Times"/>
              </w:rPr>
            </w:pPr>
            <w:r w:rsidRPr="00217EA0">
              <w:t>Costs</w:t>
            </w:r>
          </w:p>
        </w:tc>
        <w:tc>
          <w:tcPr>
            <w:tcW w:w="1359" w:type="pct"/>
            <w:shd w:val="clear" w:color="auto" w:fill="auto"/>
          </w:tcPr>
          <w:p w14:paraId="5784C400" w14:textId="3F32B233" w:rsidR="007B07F9" w:rsidRPr="00217EA0" w:rsidRDefault="00F0779A" w:rsidP="00842BB9">
            <w:pPr>
              <w:pStyle w:val="TableText"/>
              <w:keepNext/>
              <w:keepLines/>
              <w:jc w:val="center"/>
            </w:pPr>
            <w:r w:rsidRPr="00F0779A">
              <w:rPr>
                <w:color w:val="000000"/>
                <w:spacing w:val="53"/>
                <w:shd w:val="solid" w:color="000000" w:fill="000000"/>
                <w:fitText w:val="330" w:id="-694415602"/>
                <w14:textFill>
                  <w14:solidFill>
                    <w14:srgbClr w14:val="000000">
                      <w14:alpha w14:val="100000"/>
                    </w14:srgbClr>
                  </w14:solidFill>
                </w14:textFill>
              </w:rPr>
              <w:t>|||</w:t>
            </w:r>
            <w:r w:rsidRPr="00F0779A">
              <w:rPr>
                <w:color w:val="000000"/>
                <w:spacing w:val="1"/>
                <w:shd w:val="solid" w:color="000000" w:fill="000000"/>
                <w:fitText w:val="330" w:id="-694415602"/>
                <w14:textFill>
                  <w14:solidFill>
                    <w14:srgbClr w14:val="000000">
                      <w14:alpha w14:val="100000"/>
                    </w14:srgbClr>
                  </w14:solidFill>
                </w14:textFill>
              </w:rPr>
              <w:t>|</w:t>
            </w:r>
            <w:r w:rsidR="00124EE3">
              <w:t xml:space="preserve"> </w:t>
            </w:r>
          </w:p>
        </w:tc>
        <w:tc>
          <w:tcPr>
            <w:tcW w:w="1274" w:type="pct"/>
            <w:shd w:val="clear" w:color="auto" w:fill="auto"/>
          </w:tcPr>
          <w:p w14:paraId="1B600CCB" w14:textId="77777777" w:rsidR="007B07F9" w:rsidRPr="00217EA0" w:rsidRDefault="007B07F9" w:rsidP="00842BB9">
            <w:pPr>
              <w:pStyle w:val="TableText"/>
              <w:keepNext/>
              <w:keepLines/>
              <w:jc w:val="center"/>
            </w:pPr>
            <w:r w:rsidRPr="00217EA0">
              <w:t>$59,481</w:t>
            </w:r>
          </w:p>
        </w:tc>
        <w:tc>
          <w:tcPr>
            <w:tcW w:w="838" w:type="pct"/>
            <w:shd w:val="clear" w:color="auto" w:fill="auto"/>
          </w:tcPr>
          <w:p w14:paraId="4ED78496" w14:textId="774F1B66" w:rsidR="007B07F9" w:rsidRPr="00217EA0" w:rsidRDefault="00F0779A" w:rsidP="00842BB9">
            <w:pPr>
              <w:pStyle w:val="TableText"/>
              <w:keepNext/>
              <w:keepLines/>
              <w:jc w:val="center"/>
            </w:pPr>
            <w:r w:rsidRPr="00F0779A">
              <w:rPr>
                <w:color w:val="000000"/>
                <w:spacing w:val="53"/>
                <w:shd w:val="solid" w:color="000000" w:fill="000000"/>
                <w:fitText w:val="330" w:id="-694415601"/>
                <w14:textFill>
                  <w14:solidFill>
                    <w14:srgbClr w14:val="000000">
                      <w14:alpha w14:val="100000"/>
                    </w14:srgbClr>
                  </w14:solidFill>
                </w14:textFill>
              </w:rPr>
              <w:t>|||</w:t>
            </w:r>
            <w:r w:rsidRPr="00F0779A">
              <w:rPr>
                <w:color w:val="000000"/>
                <w:spacing w:val="1"/>
                <w:shd w:val="solid" w:color="000000" w:fill="000000"/>
                <w:fitText w:val="330" w:id="-694415601"/>
                <w14:textFill>
                  <w14:solidFill>
                    <w14:srgbClr w14:val="000000">
                      <w14:alpha w14:val="100000"/>
                    </w14:srgbClr>
                  </w14:solidFill>
                </w14:textFill>
              </w:rPr>
              <w:t>|</w:t>
            </w:r>
            <w:r w:rsidR="00124EE3">
              <w:t xml:space="preserve"> </w:t>
            </w:r>
          </w:p>
        </w:tc>
      </w:tr>
      <w:tr w:rsidR="007900E9" w:rsidRPr="00217EA0" w14:paraId="7CBB341E" w14:textId="77777777" w:rsidTr="00002F34">
        <w:trPr>
          <w:trHeight w:val="20"/>
        </w:trPr>
        <w:tc>
          <w:tcPr>
            <w:tcW w:w="1529" w:type="pct"/>
            <w:shd w:val="clear" w:color="auto" w:fill="auto"/>
            <w:vAlign w:val="center"/>
          </w:tcPr>
          <w:p w14:paraId="37E615F6" w14:textId="0D44FE6B" w:rsidR="007B07F9" w:rsidRPr="00217EA0" w:rsidRDefault="007B07F9" w:rsidP="00842BB9">
            <w:pPr>
              <w:pStyle w:val="TableText"/>
              <w:keepNext/>
              <w:keepLines/>
              <w:rPr>
                <w:rFonts w:ascii="Times" w:hAnsi="Times"/>
              </w:rPr>
            </w:pPr>
            <w:r w:rsidRPr="00217EA0">
              <w:t>QALY</w:t>
            </w:r>
            <w:r w:rsidR="00002F34" w:rsidRPr="00217EA0">
              <w:t>s</w:t>
            </w:r>
          </w:p>
        </w:tc>
        <w:tc>
          <w:tcPr>
            <w:tcW w:w="1359" w:type="pct"/>
            <w:shd w:val="clear" w:color="auto" w:fill="auto"/>
          </w:tcPr>
          <w:p w14:paraId="10E55510" w14:textId="77777777" w:rsidR="007B07F9" w:rsidRPr="00217EA0" w:rsidRDefault="007B07F9" w:rsidP="00842BB9">
            <w:pPr>
              <w:pStyle w:val="TableText"/>
              <w:keepNext/>
              <w:keepLines/>
              <w:jc w:val="center"/>
            </w:pPr>
            <w:r w:rsidRPr="00217EA0">
              <w:t>1.67</w:t>
            </w:r>
          </w:p>
        </w:tc>
        <w:tc>
          <w:tcPr>
            <w:tcW w:w="1274" w:type="pct"/>
            <w:shd w:val="clear" w:color="auto" w:fill="auto"/>
          </w:tcPr>
          <w:p w14:paraId="48FD005B" w14:textId="77777777" w:rsidR="007B07F9" w:rsidRPr="00217EA0" w:rsidRDefault="007B07F9" w:rsidP="00842BB9">
            <w:pPr>
              <w:pStyle w:val="TableText"/>
              <w:keepNext/>
              <w:keepLines/>
              <w:jc w:val="center"/>
            </w:pPr>
            <w:r w:rsidRPr="00883130">
              <w:t>0.51</w:t>
            </w:r>
          </w:p>
        </w:tc>
        <w:tc>
          <w:tcPr>
            <w:tcW w:w="838" w:type="pct"/>
            <w:shd w:val="clear" w:color="auto" w:fill="auto"/>
          </w:tcPr>
          <w:p w14:paraId="2D039015" w14:textId="77777777" w:rsidR="007B07F9" w:rsidRPr="00217EA0" w:rsidRDefault="007B07F9" w:rsidP="00842BB9">
            <w:pPr>
              <w:pStyle w:val="TableText"/>
              <w:keepNext/>
              <w:keepLines/>
              <w:jc w:val="center"/>
            </w:pPr>
            <w:r w:rsidRPr="00217EA0">
              <w:t>1.16</w:t>
            </w:r>
          </w:p>
        </w:tc>
      </w:tr>
      <w:tr w:rsidR="007900E9" w:rsidRPr="00217EA0" w14:paraId="08080ECF" w14:textId="77777777" w:rsidTr="00002F34">
        <w:trPr>
          <w:trHeight w:val="20"/>
        </w:trPr>
        <w:tc>
          <w:tcPr>
            <w:tcW w:w="4162" w:type="pct"/>
            <w:gridSpan w:val="3"/>
            <w:shd w:val="clear" w:color="auto" w:fill="auto"/>
            <w:vAlign w:val="center"/>
          </w:tcPr>
          <w:p w14:paraId="34CB4F78" w14:textId="77777777" w:rsidR="007B07F9" w:rsidRPr="00217EA0" w:rsidRDefault="007B07F9" w:rsidP="00842BB9">
            <w:pPr>
              <w:pStyle w:val="TableText"/>
              <w:keepNext/>
              <w:keepLines/>
              <w:rPr>
                <w:rFonts w:ascii="Times" w:hAnsi="Times"/>
              </w:rPr>
            </w:pPr>
            <w:r w:rsidRPr="00217EA0">
              <w:t>Incremental cost/extra LYG gained</w:t>
            </w:r>
          </w:p>
        </w:tc>
        <w:tc>
          <w:tcPr>
            <w:tcW w:w="838" w:type="pct"/>
            <w:shd w:val="clear" w:color="auto" w:fill="auto"/>
            <w:vAlign w:val="center"/>
          </w:tcPr>
          <w:p w14:paraId="76B49013" w14:textId="3DD94D6E" w:rsidR="007B07F9" w:rsidRPr="00217EA0" w:rsidRDefault="00F0779A" w:rsidP="00842BB9">
            <w:pPr>
              <w:pStyle w:val="TableText"/>
              <w:keepNext/>
              <w:keepLines/>
              <w:jc w:val="center"/>
              <w:rPr>
                <w:rFonts w:ascii="Times" w:hAnsi="Times"/>
              </w:rPr>
            </w:pPr>
            <w:r>
              <w:rPr>
                <w:color w:val="000000"/>
                <w:spacing w:val="52"/>
                <w:shd w:val="solid" w:color="000000" w:fill="000000"/>
                <w:fitText w:val="330" w:id="-694415600"/>
                <w14:textFill>
                  <w14:solidFill>
                    <w14:srgbClr w14:val="000000">
                      <w14:alpha w14:val="100000"/>
                    </w14:srgbClr>
                  </w14:solidFill>
                </w14:textFill>
              </w:rPr>
              <w:t>|||</w:t>
            </w:r>
            <w:r>
              <w:rPr>
                <w:color w:val="000000"/>
                <w:spacing w:val="2"/>
                <w:shd w:val="solid" w:color="000000" w:fill="000000"/>
                <w:fitText w:val="330" w:id="-694415600"/>
                <w14:textFill>
                  <w14:solidFill>
                    <w14:srgbClr w14:val="000000">
                      <w14:alpha w14:val="100000"/>
                    </w14:srgbClr>
                  </w14:solidFill>
                </w14:textFill>
              </w:rPr>
              <w:t>|</w:t>
            </w:r>
            <w:r w:rsidR="00BF44B8" w:rsidRPr="00CA27F8">
              <w:rPr>
                <w:vertAlign w:val="superscript"/>
              </w:rPr>
              <w:t>3</w:t>
            </w:r>
          </w:p>
        </w:tc>
      </w:tr>
    </w:tbl>
    <w:p w14:paraId="382CCFE0" w14:textId="5D61F350" w:rsidR="007B07F9" w:rsidRPr="00217EA0" w:rsidRDefault="007B07F9" w:rsidP="00842BB9">
      <w:pPr>
        <w:pStyle w:val="TableFooter"/>
        <w:keepNext/>
        <w:keepLines/>
      </w:pPr>
      <w:r w:rsidRPr="00217EA0">
        <w:t>Source: Table 3.19of the submission.</w:t>
      </w:r>
    </w:p>
    <w:p w14:paraId="3509387F" w14:textId="77777777" w:rsidR="00886240" w:rsidRDefault="007B07F9" w:rsidP="00DA4122">
      <w:pPr>
        <w:pStyle w:val="TableFooter"/>
        <w:keepNext/>
        <w:keepLines/>
      </w:pPr>
      <w:r w:rsidRPr="00217EA0">
        <w:t xml:space="preserve">AE = adverse events. KM = Kaplan Meier; LYG = life years </w:t>
      </w:r>
      <w:r w:rsidR="002E0513" w:rsidRPr="00217EA0">
        <w:t>gained; OS</w:t>
      </w:r>
      <w:r w:rsidRPr="00217EA0">
        <w:t xml:space="preserve"> = overall survival; PFS = progression free survival; QALYs = quality adjusted life years</w:t>
      </w:r>
      <w:r w:rsidR="00DA4122">
        <w:t xml:space="preserve"> </w:t>
      </w:r>
    </w:p>
    <w:p w14:paraId="54851CC1" w14:textId="4BAD7CD2" w:rsidR="00DA4122" w:rsidRPr="00162F79" w:rsidRDefault="00DA4122" w:rsidP="00DA4122">
      <w:pPr>
        <w:pStyle w:val="TableFooter"/>
        <w:keepNext/>
        <w:keepLines/>
        <w:rPr>
          <w:i/>
          <w:iCs/>
        </w:rPr>
      </w:pPr>
      <w:r w:rsidRPr="00162F79">
        <w:rPr>
          <w:i/>
          <w:iCs/>
        </w:rPr>
        <w:t xml:space="preserve">The redacted values correspond to the following ranges: </w:t>
      </w:r>
    </w:p>
    <w:p w14:paraId="17E07BA2" w14:textId="77777777" w:rsidR="00CC2F4C" w:rsidRPr="00162F79" w:rsidRDefault="00DA4122" w:rsidP="00DA4122">
      <w:pPr>
        <w:pStyle w:val="TableFooter"/>
        <w:keepNext/>
        <w:keepLines/>
        <w:rPr>
          <w:i/>
          <w:iCs/>
        </w:rPr>
      </w:pPr>
      <w:r w:rsidRPr="00162F79">
        <w:rPr>
          <w:i/>
          <w:iCs/>
          <w:vertAlign w:val="superscript"/>
        </w:rPr>
        <w:t>1</w:t>
      </w:r>
      <w:r w:rsidRPr="00162F79">
        <w:rPr>
          <w:i/>
          <w:iCs/>
        </w:rPr>
        <w:t xml:space="preserve"> $155,000 to &lt; $255,000</w:t>
      </w:r>
    </w:p>
    <w:p w14:paraId="22AFBF7D" w14:textId="283523A4" w:rsidR="00CA27F8" w:rsidRPr="00162F79" w:rsidRDefault="00DA4122" w:rsidP="00DA4122">
      <w:pPr>
        <w:pStyle w:val="TableFooter"/>
        <w:keepNext/>
        <w:keepLines/>
        <w:rPr>
          <w:i/>
          <w:iCs/>
        </w:rPr>
      </w:pPr>
      <w:r w:rsidRPr="00162F79">
        <w:rPr>
          <w:i/>
          <w:iCs/>
          <w:vertAlign w:val="superscript"/>
        </w:rPr>
        <w:t>2</w:t>
      </w:r>
      <w:r w:rsidRPr="00162F79">
        <w:rPr>
          <w:i/>
          <w:iCs/>
        </w:rPr>
        <w:t xml:space="preserve"> </w:t>
      </w:r>
      <w:r w:rsidR="00CC2F4C" w:rsidRPr="00162F79">
        <w:rPr>
          <w:i/>
          <w:iCs/>
        </w:rPr>
        <w:t>$75,000 to &lt; $95,000</w:t>
      </w:r>
      <w:r w:rsidR="00CA27F8" w:rsidRPr="00162F79">
        <w:rPr>
          <w:i/>
          <w:iCs/>
        </w:rPr>
        <w:t xml:space="preserve"> </w:t>
      </w:r>
    </w:p>
    <w:p w14:paraId="5FEB23F6" w14:textId="1C0959C4" w:rsidR="00817447" w:rsidRPr="00162F79" w:rsidRDefault="00CA27F8" w:rsidP="00162F79">
      <w:pPr>
        <w:pStyle w:val="TableFooter"/>
        <w:keepLines/>
        <w:widowControl/>
        <w:spacing w:after="120"/>
        <w:rPr>
          <w:i/>
          <w:iCs/>
        </w:rPr>
      </w:pPr>
      <w:r w:rsidRPr="00162F79">
        <w:rPr>
          <w:i/>
          <w:iCs/>
          <w:vertAlign w:val="superscript"/>
        </w:rPr>
        <w:t xml:space="preserve">3 </w:t>
      </w:r>
      <w:r w:rsidRPr="00162F79">
        <w:rPr>
          <w:i/>
          <w:iCs/>
        </w:rPr>
        <w:t xml:space="preserve"> $95,000 to &lt; $115,000</w:t>
      </w:r>
    </w:p>
    <w:p w14:paraId="58F573DC" w14:textId="326B98AF" w:rsidR="00BF7A05" w:rsidRPr="00217EA0" w:rsidRDefault="00F967DE" w:rsidP="00565A06">
      <w:pPr>
        <w:pStyle w:val="ListParagraph"/>
        <w:rPr>
          <w:color w:val="auto"/>
        </w:rPr>
      </w:pPr>
      <w:r w:rsidRPr="00217EA0">
        <w:fldChar w:fldCharType="begin"/>
      </w:r>
      <w:r w:rsidRPr="00217EA0">
        <w:instrText xml:space="preserve"> REF _Ref188361004 \h </w:instrText>
      </w:r>
      <w:r w:rsidR="00EC070E" w:rsidRPr="00217EA0">
        <w:instrText xml:space="preserve"> \* MERGEFORMAT </w:instrText>
      </w:r>
      <w:r w:rsidRPr="00217EA0">
        <w:fldChar w:fldCharType="separate"/>
      </w:r>
      <w:r w:rsidR="008378C4" w:rsidRPr="00217EA0">
        <w:t>Figure</w:t>
      </w:r>
      <w:r w:rsidR="008378C4">
        <w:t xml:space="preserve"> 4</w:t>
      </w:r>
      <w:r w:rsidRPr="00217EA0">
        <w:fldChar w:fldCharType="end"/>
      </w:r>
      <w:r w:rsidRPr="00217EA0">
        <w:t xml:space="preserve"> </w:t>
      </w:r>
      <w:r w:rsidR="00BF7A05" w:rsidRPr="00217EA0">
        <w:t>presents the survival curves (model trace) of the economic model</w:t>
      </w:r>
      <w:r w:rsidRPr="00217EA0">
        <w:t>’s</w:t>
      </w:r>
      <w:r w:rsidR="00BF7A05" w:rsidRPr="00217EA0">
        <w:t xml:space="preserve"> base case.</w:t>
      </w:r>
    </w:p>
    <w:p w14:paraId="4AD14923" w14:textId="372255B8" w:rsidR="00BF7A05" w:rsidRPr="00217EA0" w:rsidRDefault="00BF7A05" w:rsidP="00FA13F3">
      <w:pPr>
        <w:pStyle w:val="Caption"/>
      </w:pPr>
      <w:bookmarkStart w:id="84" w:name="_Ref188361004"/>
      <w:r w:rsidRPr="00217EA0">
        <w:t>Figure</w:t>
      </w:r>
      <w:r w:rsidR="00671622">
        <w:t xml:space="preserve"> </w:t>
      </w:r>
      <w:r w:rsidR="00E600E3" w:rsidRPr="00217EA0">
        <w:fldChar w:fldCharType="begin"/>
      </w:r>
      <w:r w:rsidR="00E600E3" w:rsidRPr="00217EA0">
        <w:instrText xml:space="preserve"> SEQ Figure_PBAC. \* ARABIC </w:instrText>
      </w:r>
      <w:r w:rsidR="00E600E3" w:rsidRPr="00217EA0">
        <w:fldChar w:fldCharType="separate"/>
      </w:r>
      <w:r w:rsidR="008378C4">
        <w:rPr>
          <w:noProof/>
        </w:rPr>
        <w:t>4</w:t>
      </w:r>
      <w:r w:rsidR="00E600E3" w:rsidRPr="00217EA0">
        <w:fldChar w:fldCharType="end"/>
      </w:r>
      <w:bookmarkEnd w:id="84"/>
      <w:r w:rsidR="006740C6">
        <w:t xml:space="preserve">: </w:t>
      </w:r>
      <w:r w:rsidRPr="00217EA0">
        <w:t>Survival curves of the base case economic model</w:t>
      </w:r>
    </w:p>
    <w:p w14:paraId="59EF9802" w14:textId="460E1915" w:rsidR="00BF7A05" w:rsidRPr="00217EA0" w:rsidRDefault="00BF7A05" w:rsidP="00162F79">
      <w:pPr>
        <w:keepNext/>
        <w:spacing w:before="0" w:after="0"/>
      </w:pPr>
      <w:r w:rsidRPr="00217EA0">
        <w:rPr>
          <w:noProof/>
        </w:rPr>
        <w:drawing>
          <wp:inline distT="0" distB="0" distL="0" distR="0" wp14:anchorId="4CE07B75" wp14:editId="31795548">
            <wp:extent cx="5505450" cy="2868852"/>
            <wp:effectExtent l="0" t="0" r="0" b="8255"/>
            <wp:docPr id="1396290814" name="Picture 2" descr="Figure 4: Survival curves of the base cas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290814" name="Picture 2" descr="Figure 4: Survival curves of the base case economic mode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15093" cy="2873877"/>
                    </a:xfrm>
                    <a:prstGeom prst="rect">
                      <a:avLst/>
                    </a:prstGeom>
                    <a:noFill/>
                  </pic:spPr>
                </pic:pic>
              </a:graphicData>
            </a:graphic>
          </wp:inline>
        </w:drawing>
      </w:r>
    </w:p>
    <w:p w14:paraId="57A76BD4" w14:textId="77777777" w:rsidR="00BF7A05" w:rsidRPr="00217EA0" w:rsidRDefault="00BF7A05" w:rsidP="00162F79">
      <w:pPr>
        <w:spacing w:before="0" w:after="0"/>
        <w:rPr>
          <w:rFonts w:ascii="Arial Narrow" w:hAnsi="Arial Narrow"/>
          <w:sz w:val="18"/>
          <w:szCs w:val="18"/>
        </w:rPr>
      </w:pPr>
      <w:r w:rsidRPr="00217EA0">
        <w:rPr>
          <w:rFonts w:ascii="Arial Narrow" w:hAnsi="Arial Narrow"/>
          <w:sz w:val="18"/>
          <w:szCs w:val="18"/>
        </w:rPr>
        <w:t>Source: ‘Results’ sheet, attached economic evaluation</w:t>
      </w:r>
    </w:p>
    <w:p w14:paraId="5ACF77A5" w14:textId="308D647A" w:rsidR="00817447" w:rsidRPr="00217EA0" w:rsidRDefault="00817447" w:rsidP="00565A06">
      <w:pPr>
        <w:pStyle w:val="ListParagraph"/>
        <w:rPr>
          <w:color w:val="auto"/>
        </w:rPr>
      </w:pPr>
      <w:r w:rsidRPr="00217EA0">
        <w:rPr>
          <w:color w:val="auto"/>
        </w:rPr>
        <w:t xml:space="preserve">The results of key sensitivity analyses are summarised </w:t>
      </w:r>
      <w:r w:rsidR="007B07F9" w:rsidRPr="00217EA0">
        <w:rPr>
          <w:color w:val="auto"/>
        </w:rPr>
        <w:t xml:space="preserve">in </w:t>
      </w:r>
      <w:r w:rsidR="007B07F9" w:rsidRPr="00217EA0">
        <w:rPr>
          <w:color w:val="auto"/>
        </w:rPr>
        <w:fldChar w:fldCharType="begin"/>
      </w:r>
      <w:r w:rsidR="007B07F9" w:rsidRPr="00217EA0">
        <w:rPr>
          <w:color w:val="auto"/>
        </w:rPr>
        <w:instrText xml:space="preserve"> REF _Ref184829487 \h </w:instrText>
      </w:r>
      <w:r w:rsidR="00EC070E" w:rsidRPr="00217EA0">
        <w:rPr>
          <w:color w:val="auto"/>
        </w:rPr>
        <w:instrText xml:space="preserve"> \* MERGEFORMAT </w:instrText>
      </w:r>
      <w:r w:rsidR="007B07F9" w:rsidRPr="00217EA0">
        <w:rPr>
          <w:color w:val="auto"/>
        </w:rPr>
      </w:r>
      <w:r w:rsidR="007B07F9" w:rsidRPr="00217EA0">
        <w:rPr>
          <w:color w:val="auto"/>
        </w:rPr>
        <w:fldChar w:fldCharType="separate"/>
      </w:r>
      <w:r w:rsidR="008378C4" w:rsidRPr="00217EA0">
        <w:t>Table</w:t>
      </w:r>
      <w:r w:rsidR="008378C4">
        <w:t xml:space="preserve"> 22</w:t>
      </w:r>
      <w:r w:rsidR="007B07F9" w:rsidRPr="00217EA0">
        <w:rPr>
          <w:color w:val="auto"/>
        </w:rPr>
        <w:fldChar w:fldCharType="end"/>
      </w:r>
      <w:r w:rsidR="007B07F9" w:rsidRPr="00217EA0">
        <w:rPr>
          <w:color w:val="auto"/>
        </w:rPr>
        <w:t>.</w:t>
      </w:r>
    </w:p>
    <w:p w14:paraId="6F866958" w14:textId="51FF2298" w:rsidR="007B07F9" w:rsidRPr="00217EA0" w:rsidRDefault="00162AFD" w:rsidP="00FA13F3">
      <w:pPr>
        <w:pStyle w:val="Caption"/>
      </w:pPr>
      <w:bookmarkStart w:id="85" w:name="_Ref184829487"/>
      <w:bookmarkStart w:id="86" w:name="Table_PBAC_21"/>
      <w:r w:rsidRPr="00217EA0">
        <w:t>Table</w:t>
      </w:r>
      <w:r w:rsidR="00671622">
        <w:t xml:space="preserve"> </w:t>
      </w:r>
      <w:r w:rsidR="00E600E3" w:rsidRPr="00217EA0">
        <w:fldChar w:fldCharType="begin"/>
      </w:r>
      <w:r w:rsidR="00E600E3" w:rsidRPr="00217EA0">
        <w:instrText xml:space="preserve"> SEQ Table_PBAC. \* ARABIC </w:instrText>
      </w:r>
      <w:r w:rsidR="00E600E3" w:rsidRPr="00217EA0">
        <w:fldChar w:fldCharType="separate"/>
      </w:r>
      <w:r w:rsidR="008378C4">
        <w:rPr>
          <w:noProof/>
        </w:rPr>
        <w:t>22</w:t>
      </w:r>
      <w:r w:rsidR="00E600E3" w:rsidRPr="00217EA0">
        <w:fldChar w:fldCharType="end"/>
      </w:r>
      <w:bookmarkEnd w:id="85"/>
      <w:bookmarkEnd w:id="86"/>
      <w:r w:rsidR="00E97258">
        <w:t xml:space="preserve">: </w:t>
      </w:r>
      <w:r w:rsidR="007B07F9" w:rsidRPr="00217EA0">
        <w:t>Results of the sensitivity analyses (corrected for half cycle correction)</w:t>
      </w:r>
    </w:p>
    <w:tbl>
      <w:tblPr>
        <w:tblStyle w:val="PBACTableStyle"/>
        <w:tblW w:w="5000" w:type="pct"/>
        <w:tblLayout w:type="fixed"/>
        <w:tblCellMar>
          <w:left w:w="57" w:type="dxa"/>
          <w:right w:w="57" w:type="dxa"/>
        </w:tblCellMar>
        <w:tblLook w:val="04A0" w:firstRow="1" w:lastRow="0" w:firstColumn="1" w:lastColumn="0" w:noHBand="0" w:noVBand="1"/>
        <w:tblCaption w:val="Table 22: Results of the sensitivity analyses (corrected for half cycle correction)"/>
      </w:tblPr>
      <w:tblGrid>
        <w:gridCol w:w="4957"/>
        <w:gridCol w:w="1134"/>
        <w:gridCol w:w="1134"/>
        <w:gridCol w:w="992"/>
        <w:gridCol w:w="799"/>
      </w:tblGrid>
      <w:tr w:rsidR="007900E9" w:rsidRPr="00217EA0" w14:paraId="688D01BB" w14:textId="77777777" w:rsidTr="005C3E5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57" w:type="dxa"/>
          </w:tcPr>
          <w:p w14:paraId="12845579" w14:textId="77777777" w:rsidR="007B07F9" w:rsidRPr="00217EA0" w:rsidRDefault="007B07F9" w:rsidP="00732264">
            <w:pPr>
              <w:pStyle w:val="In-tableHeading"/>
              <w:keepLines/>
              <w:jc w:val="left"/>
              <w:rPr>
                <w:b/>
                <w:bCs/>
                <w:color w:val="auto"/>
                <w:lang w:val="en-AU"/>
              </w:rPr>
            </w:pPr>
            <w:r w:rsidRPr="00217EA0">
              <w:rPr>
                <w:b/>
                <w:bCs/>
                <w:color w:val="auto"/>
                <w:lang w:val="en-AU"/>
              </w:rPr>
              <w:t>Analyses</w:t>
            </w:r>
          </w:p>
        </w:tc>
        <w:tc>
          <w:tcPr>
            <w:tcW w:w="1134" w:type="dxa"/>
          </w:tcPr>
          <w:p w14:paraId="79CFCA36" w14:textId="45897922" w:rsidR="007B07F9" w:rsidRPr="00217EA0" w:rsidRDefault="007B07F9" w:rsidP="00732264">
            <w:pPr>
              <w:pStyle w:val="In-tableHeading"/>
              <w:keepLines/>
              <w:cnfStyle w:val="100000000000" w:firstRow="1" w:lastRow="0" w:firstColumn="0" w:lastColumn="0" w:oddVBand="0" w:evenVBand="0" w:oddHBand="0" w:evenHBand="0" w:firstRowFirstColumn="0" w:firstRowLastColumn="0" w:lastRowFirstColumn="0" w:lastRowLastColumn="0"/>
              <w:rPr>
                <w:b/>
                <w:bCs/>
                <w:color w:val="auto"/>
                <w:lang w:val="en-AU"/>
              </w:rPr>
            </w:pPr>
            <w:r w:rsidRPr="00217EA0">
              <w:rPr>
                <w:b/>
                <w:bCs/>
                <w:color w:val="auto"/>
                <w:lang w:val="en-AU"/>
              </w:rPr>
              <w:t>Incremental cost</w:t>
            </w:r>
            <w:r w:rsidR="006D2BE4">
              <w:rPr>
                <w:b/>
                <w:bCs/>
                <w:color w:val="auto"/>
                <w:lang w:val="en-AU"/>
              </w:rPr>
              <w:t xml:space="preserve"> ($)</w:t>
            </w:r>
          </w:p>
        </w:tc>
        <w:tc>
          <w:tcPr>
            <w:tcW w:w="1134" w:type="dxa"/>
          </w:tcPr>
          <w:p w14:paraId="338D6FDB" w14:textId="77777777" w:rsidR="007B07F9" w:rsidRPr="00217EA0" w:rsidRDefault="007B07F9" w:rsidP="00732264">
            <w:pPr>
              <w:pStyle w:val="In-tableHeading"/>
              <w:keepLines/>
              <w:cnfStyle w:val="100000000000" w:firstRow="1" w:lastRow="0" w:firstColumn="0" w:lastColumn="0" w:oddVBand="0" w:evenVBand="0" w:oddHBand="0" w:evenHBand="0" w:firstRowFirstColumn="0" w:firstRowLastColumn="0" w:lastRowFirstColumn="0" w:lastRowLastColumn="0"/>
              <w:rPr>
                <w:b/>
                <w:bCs/>
                <w:color w:val="auto"/>
                <w:lang w:val="en-AU"/>
              </w:rPr>
            </w:pPr>
            <w:r w:rsidRPr="00217EA0">
              <w:rPr>
                <w:b/>
                <w:bCs/>
                <w:color w:val="auto"/>
                <w:lang w:val="en-AU"/>
              </w:rPr>
              <w:t>Incremental QALY</w:t>
            </w:r>
          </w:p>
        </w:tc>
        <w:tc>
          <w:tcPr>
            <w:tcW w:w="992" w:type="dxa"/>
          </w:tcPr>
          <w:p w14:paraId="5408F029" w14:textId="77777777" w:rsidR="007B07F9" w:rsidRPr="00217EA0" w:rsidRDefault="007B07F9" w:rsidP="00732264">
            <w:pPr>
              <w:pStyle w:val="In-tableHeading"/>
              <w:keepLines/>
              <w:cnfStyle w:val="100000000000" w:firstRow="1" w:lastRow="0" w:firstColumn="0" w:lastColumn="0" w:oddVBand="0" w:evenVBand="0" w:oddHBand="0" w:evenHBand="0" w:firstRowFirstColumn="0" w:firstRowLastColumn="0" w:lastRowFirstColumn="0" w:lastRowLastColumn="0"/>
              <w:rPr>
                <w:b/>
                <w:bCs/>
                <w:color w:val="auto"/>
                <w:lang w:val="en-AU"/>
              </w:rPr>
            </w:pPr>
            <w:r w:rsidRPr="00217EA0">
              <w:rPr>
                <w:b/>
                <w:bCs/>
                <w:color w:val="auto"/>
                <w:lang w:val="en-AU"/>
              </w:rPr>
              <w:t>ICER</w:t>
            </w:r>
          </w:p>
        </w:tc>
        <w:tc>
          <w:tcPr>
            <w:tcW w:w="799" w:type="dxa"/>
          </w:tcPr>
          <w:p w14:paraId="75F2394C" w14:textId="77777777" w:rsidR="007B07F9" w:rsidRPr="00217EA0" w:rsidRDefault="007B07F9" w:rsidP="00732264">
            <w:pPr>
              <w:pStyle w:val="TableText"/>
              <w:keepNext/>
              <w:keepLines/>
              <w:jc w:val="center"/>
              <w:cnfStyle w:val="100000000000" w:firstRow="1" w:lastRow="0" w:firstColumn="0" w:lastColumn="0" w:oddVBand="0" w:evenVBand="0" w:oddHBand="0" w:evenHBand="0" w:firstRowFirstColumn="0" w:firstRowLastColumn="0" w:lastRowFirstColumn="0" w:lastRowLastColumn="0"/>
              <w:rPr>
                <w:bCs/>
                <w:color w:val="auto"/>
                <w:lang w:val="en-AU"/>
              </w:rPr>
            </w:pPr>
            <w:r w:rsidRPr="00217EA0">
              <w:rPr>
                <w:bCs/>
                <w:color w:val="auto"/>
                <w:lang w:val="en-AU"/>
              </w:rPr>
              <w:t>% Change</w:t>
            </w:r>
          </w:p>
        </w:tc>
      </w:tr>
      <w:tr w:rsidR="007900E9" w:rsidRPr="00217EA0" w14:paraId="4B88F1C8" w14:textId="77777777" w:rsidTr="005C3E5B">
        <w:tc>
          <w:tcPr>
            <w:cnfStyle w:val="001000000000" w:firstRow="0" w:lastRow="0" w:firstColumn="1" w:lastColumn="0" w:oddVBand="0" w:evenVBand="0" w:oddHBand="0" w:evenHBand="0" w:firstRowFirstColumn="0" w:firstRowLastColumn="0" w:lastRowFirstColumn="0" w:lastRowLastColumn="0"/>
            <w:tcW w:w="4957" w:type="dxa"/>
          </w:tcPr>
          <w:p w14:paraId="04885D25" w14:textId="77777777" w:rsidR="007B07F9" w:rsidRPr="00217EA0" w:rsidRDefault="007B07F9" w:rsidP="00732264">
            <w:pPr>
              <w:pStyle w:val="TableText"/>
              <w:keepNext/>
              <w:keepLines/>
              <w:rPr>
                <w:b/>
                <w:color w:val="auto"/>
                <w:lang w:val="en-AU"/>
              </w:rPr>
            </w:pPr>
            <w:r w:rsidRPr="00217EA0">
              <w:rPr>
                <w:b/>
                <w:color w:val="auto"/>
                <w:lang w:val="en-AU"/>
              </w:rPr>
              <w:t>Base case</w:t>
            </w:r>
          </w:p>
        </w:tc>
        <w:tc>
          <w:tcPr>
            <w:tcW w:w="1134" w:type="dxa"/>
          </w:tcPr>
          <w:p w14:paraId="7E6A11BB" w14:textId="30534C73" w:rsidR="007B07F9" w:rsidRPr="00217EA0" w:rsidRDefault="00F0779A" w:rsidP="00732264">
            <w:pPr>
              <w:pStyle w:val="TableText"/>
              <w:keepNext/>
              <w:keepLines/>
              <w:jc w:val="center"/>
              <w:cnfStyle w:val="000000000000" w:firstRow="0" w:lastRow="0" w:firstColumn="0" w:lastColumn="0" w:oddVBand="0" w:evenVBand="0" w:oddHBand="0" w:evenHBand="0" w:firstRowFirstColumn="0" w:firstRowLastColumn="0" w:lastRowFirstColumn="0" w:lastRowLastColumn="0"/>
              <w:rPr>
                <w:b/>
                <w:color w:val="auto"/>
                <w:lang w:val="en-AU"/>
              </w:rPr>
            </w:pPr>
            <w:r w:rsidRPr="00F0779A">
              <w:rPr>
                <w:rFonts w:cs="Calibri"/>
                <w:b/>
                <w:bCs/>
                <w:color w:val="000000"/>
                <w:spacing w:val="58"/>
                <w:shd w:val="solid" w:color="000000" w:fill="000000"/>
                <w:fitText w:val="360" w:id="-694415616"/>
                <w:lang w:val="en-AU"/>
                <w14:textFill>
                  <w14:solidFill>
                    <w14:srgbClr w14:val="000000">
                      <w14:alpha w14:val="100000"/>
                    </w14:srgbClr>
                  </w14:solidFill>
                </w14:textFill>
              </w:rPr>
              <w:t>|||</w:t>
            </w:r>
            <w:r w:rsidRPr="00F0779A">
              <w:rPr>
                <w:rFonts w:cs="Calibri"/>
                <w:b/>
                <w:bCs/>
                <w:color w:val="000000"/>
                <w:spacing w:val="3"/>
                <w:shd w:val="solid" w:color="000000" w:fill="000000"/>
                <w:fitText w:val="360" w:id="-694415616"/>
                <w:lang w:val="en-AU"/>
                <w14:textFill>
                  <w14:solidFill>
                    <w14:srgbClr w14:val="000000">
                      <w14:alpha w14:val="100000"/>
                    </w14:srgbClr>
                  </w14:solidFill>
                </w14:textFill>
              </w:rPr>
              <w:t>|</w:t>
            </w:r>
            <w:r w:rsidR="00712054">
              <w:rPr>
                <w:rFonts w:cs="Calibri"/>
                <w:b/>
                <w:bCs/>
                <w:color w:val="auto"/>
                <w:lang w:val="en-AU"/>
              </w:rPr>
              <w:t xml:space="preserve"> </w:t>
            </w:r>
          </w:p>
        </w:tc>
        <w:tc>
          <w:tcPr>
            <w:tcW w:w="1134" w:type="dxa"/>
          </w:tcPr>
          <w:p w14:paraId="4637231A" w14:textId="77777777" w:rsidR="007B07F9" w:rsidRPr="006905BA" w:rsidRDefault="007B07F9" w:rsidP="00732264">
            <w:pPr>
              <w:pStyle w:val="TableText"/>
              <w:keepNext/>
              <w:keepLines/>
              <w:jc w:val="center"/>
              <w:cnfStyle w:val="000000000000" w:firstRow="0" w:lastRow="0" w:firstColumn="0" w:lastColumn="0" w:oddVBand="0" w:evenVBand="0" w:oddHBand="0" w:evenHBand="0" w:firstRowFirstColumn="0" w:firstRowLastColumn="0" w:lastRowFirstColumn="0" w:lastRowLastColumn="0"/>
              <w:rPr>
                <w:b/>
                <w:color w:val="auto"/>
                <w:lang w:val="en-AU"/>
              </w:rPr>
            </w:pPr>
            <w:r w:rsidRPr="006905BA">
              <w:rPr>
                <w:rFonts w:cs="Calibri"/>
                <w:b/>
                <w:bCs/>
                <w:color w:val="auto"/>
                <w:lang w:val="en-AU"/>
              </w:rPr>
              <w:t>1.16</w:t>
            </w:r>
          </w:p>
        </w:tc>
        <w:tc>
          <w:tcPr>
            <w:tcW w:w="992" w:type="dxa"/>
          </w:tcPr>
          <w:p w14:paraId="4C4A7323" w14:textId="2C8BBDBC" w:rsidR="007B07F9" w:rsidRPr="00217EA0" w:rsidRDefault="00F0779A" w:rsidP="00732264">
            <w:pPr>
              <w:pStyle w:val="TableText"/>
              <w:keepNext/>
              <w:keepLines/>
              <w:jc w:val="center"/>
              <w:cnfStyle w:val="000000000000" w:firstRow="0" w:lastRow="0" w:firstColumn="0" w:lastColumn="0" w:oddVBand="0" w:evenVBand="0" w:oddHBand="0" w:evenHBand="0" w:firstRowFirstColumn="0" w:firstRowLastColumn="0" w:lastRowFirstColumn="0" w:lastRowLastColumn="0"/>
              <w:rPr>
                <w:b/>
                <w:color w:val="auto"/>
                <w:lang w:val="en-AU"/>
              </w:rPr>
            </w:pPr>
            <w:r w:rsidRPr="00F0779A">
              <w:rPr>
                <w:rFonts w:cs="Calibri"/>
                <w:b/>
                <w:bCs/>
                <w:color w:val="000000"/>
                <w:spacing w:val="58"/>
                <w:shd w:val="solid" w:color="000000" w:fill="000000"/>
                <w:fitText w:val="360" w:id="-694415615"/>
                <w:lang w:val="en-AU"/>
                <w14:textFill>
                  <w14:solidFill>
                    <w14:srgbClr w14:val="000000">
                      <w14:alpha w14:val="100000"/>
                    </w14:srgbClr>
                  </w14:solidFill>
                </w14:textFill>
              </w:rPr>
              <w:t>|||</w:t>
            </w:r>
            <w:r w:rsidRPr="00F0779A">
              <w:rPr>
                <w:rFonts w:cs="Calibri"/>
                <w:b/>
                <w:bCs/>
                <w:color w:val="000000"/>
                <w:spacing w:val="3"/>
                <w:shd w:val="solid" w:color="000000" w:fill="000000"/>
                <w:fitText w:val="360" w:id="-694415615"/>
                <w:lang w:val="en-AU"/>
                <w14:textFill>
                  <w14:solidFill>
                    <w14:srgbClr w14:val="000000">
                      <w14:alpha w14:val="100000"/>
                    </w14:srgbClr>
                  </w14:solidFill>
                </w14:textFill>
              </w:rPr>
              <w:t>|</w:t>
            </w:r>
            <w:r w:rsidR="00DD149D" w:rsidRPr="00DD149D">
              <w:rPr>
                <w:rFonts w:cs="Calibri"/>
                <w:b/>
                <w:bCs/>
                <w:color w:val="auto"/>
                <w:vertAlign w:val="superscript"/>
                <w:lang w:val="en-AU"/>
              </w:rPr>
              <w:t>1</w:t>
            </w:r>
          </w:p>
        </w:tc>
        <w:tc>
          <w:tcPr>
            <w:tcW w:w="799" w:type="dxa"/>
          </w:tcPr>
          <w:p w14:paraId="5F2FE59F" w14:textId="77777777" w:rsidR="007B07F9" w:rsidRPr="00217EA0" w:rsidRDefault="007B07F9" w:rsidP="00732264">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w:t>
            </w:r>
          </w:p>
        </w:tc>
      </w:tr>
      <w:tr w:rsidR="007900E9" w:rsidRPr="00217EA0" w14:paraId="33D00CD4" w14:textId="77777777" w:rsidTr="00F0779A">
        <w:tc>
          <w:tcPr>
            <w:cnfStyle w:val="001000000000" w:firstRow="0" w:lastRow="0" w:firstColumn="1" w:lastColumn="0" w:oddVBand="0" w:evenVBand="0" w:oddHBand="0" w:evenHBand="0" w:firstRowFirstColumn="0" w:firstRowLastColumn="0" w:lastRowFirstColumn="0" w:lastRowLastColumn="0"/>
            <w:tcW w:w="4957" w:type="dxa"/>
          </w:tcPr>
          <w:p w14:paraId="5FB06A82" w14:textId="77777777" w:rsidR="007B07F9" w:rsidRPr="00217EA0" w:rsidRDefault="007B07F9" w:rsidP="00162F79">
            <w:pPr>
              <w:pStyle w:val="TableText"/>
              <w:rPr>
                <w:b/>
                <w:bCs/>
                <w:color w:val="auto"/>
                <w:lang w:val="en-AU"/>
              </w:rPr>
            </w:pPr>
            <w:r w:rsidRPr="00217EA0">
              <w:rPr>
                <w:b/>
                <w:bCs/>
                <w:color w:val="auto"/>
                <w:lang w:val="en-AU"/>
              </w:rPr>
              <w:t>Discount rate (BC: 5% costs and outcomes)</w:t>
            </w:r>
          </w:p>
        </w:tc>
        <w:tc>
          <w:tcPr>
            <w:tcW w:w="1134" w:type="dxa"/>
            <w:tcBorders>
              <w:bottom w:val="single" w:sz="4" w:space="0" w:color="auto"/>
            </w:tcBorders>
          </w:tcPr>
          <w:p w14:paraId="0DF2E9CD" w14:textId="77777777"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1134" w:type="dxa"/>
          </w:tcPr>
          <w:p w14:paraId="3B001884" w14:textId="77777777"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992" w:type="dxa"/>
          </w:tcPr>
          <w:p w14:paraId="0DB95EE4" w14:textId="77777777"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799" w:type="dxa"/>
          </w:tcPr>
          <w:p w14:paraId="1B7A09A0" w14:textId="77777777"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p>
        </w:tc>
      </w:tr>
      <w:tr w:rsidR="007900E9" w:rsidRPr="00217EA0" w14:paraId="38A26F37" w14:textId="77777777" w:rsidTr="00F0779A">
        <w:tc>
          <w:tcPr>
            <w:cnfStyle w:val="001000000000" w:firstRow="0" w:lastRow="0" w:firstColumn="1" w:lastColumn="0" w:oddVBand="0" w:evenVBand="0" w:oddHBand="0" w:evenHBand="0" w:firstRowFirstColumn="0" w:firstRowLastColumn="0" w:lastRowFirstColumn="0" w:lastRowLastColumn="0"/>
            <w:tcW w:w="4957" w:type="dxa"/>
          </w:tcPr>
          <w:p w14:paraId="4F88E25A" w14:textId="77777777" w:rsidR="007B07F9" w:rsidRPr="000A59D8" w:rsidRDefault="007B07F9" w:rsidP="00162F79">
            <w:pPr>
              <w:pStyle w:val="TableText"/>
              <w:rPr>
                <w:color w:val="auto"/>
                <w:lang w:val="en-AU"/>
              </w:rPr>
            </w:pPr>
            <w:r w:rsidRPr="000A59D8">
              <w:rPr>
                <w:color w:val="auto"/>
                <w:lang w:val="en-AU"/>
              </w:rPr>
              <w:t>0%</w:t>
            </w:r>
          </w:p>
        </w:tc>
        <w:tc>
          <w:tcPr>
            <w:tcW w:w="1134" w:type="dxa"/>
            <w:tcBorders>
              <w:bottom w:val="single" w:sz="4" w:space="0" w:color="auto"/>
            </w:tcBorders>
            <w:shd w:val="solid" w:color="000000" w:fill="000000"/>
          </w:tcPr>
          <w:p w14:paraId="51607F85" w14:textId="4F844121"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fitText w:val="330" w:id="-694415614"/>
                <w:lang w:val="en-AU"/>
                <w14:textFill>
                  <w14:solidFill>
                    <w14:srgbClr w14:val="000000">
                      <w14:alpha w14:val="100000"/>
                    </w14:srgbClr>
                  </w14:solidFill>
                </w14:textFill>
              </w:rPr>
              <w:t>|||</w:t>
            </w:r>
            <w:r w:rsidRPr="00F0779A">
              <w:rPr>
                <w:rFonts w:cs="Calibri"/>
                <w:color w:val="000000"/>
                <w:spacing w:val="1"/>
                <w:fitText w:val="330" w:id="-694415614"/>
                <w:lang w:val="en-AU"/>
                <w14:textFill>
                  <w14:solidFill>
                    <w14:srgbClr w14:val="000000">
                      <w14:alpha w14:val="100000"/>
                    </w14:srgbClr>
                  </w14:solidFill>
                </w14:textFill>
              </w:rPr>
              <w:t>|</w:t>
            </w:r>
          </w:p>
        </w:tc>
        <w:tc>
          <w:tcPr>
            <w:tcW w:w="1134" w:type="dxa"/>
          </w:tcPr>
          <w:p w14:paraId="7E08EF93" w14:textId="77777777"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6905BA">
              <w:rPr>
                <w:rFonts w:cs="Calibri"/>
                <w:color w:val="auto"/>
                <w:lang w:val="en-AU"/>
              </w:rPr>
              <w:t>1.28</w:t>
            </w:r>
          </w:p>
        </w:tc>
        <w:tc>
          <w:tcPr>
            <w:tcW w:w="992" w:type="dxa"/>
          </w:tcPr>
          <w:p w14:paraId="37DBC793" w14:textId="79645942"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shd w:val="solid" w:color="000000" w:fill="000000"/>
                <w:fitText w:val="330" w:id="-694415613"/>
                <w:lang w:val="en-AU"/>
                <w14:textFill>
                  <w14:solidFill>
                    <w14:srgbClr w14:val="000000">
                      <w14:alpha w14:val="100000"/>
                    </w14:srgbClr>
                  </w14:solidFill>
                </w14:textFill>
              </w:rPr>
              <w:t>|||</w:t>
            </w:r>
            <w:r w:rsidRPr="00F0779A">
              <w:rPr>
                <w:rFonts w:cs="Calibri"/>
                <w:color w:val="000000"/>
                <w:spacing w:val="1"/>
                <w:shd w:val="solid" w:color="000000" w:fill="000000"/>
                <w:fitText w:val="330" w:id="-694415613"/>
                <w:lang w:val="en-AU"/>
                <w14:textFill>
                  <w14:solidFill>
                    <w14:srgbClr w14:val="000000">
                      <w14:alpha w14:val="100000"/>
                    </w14:srgbClr>
                  </w14:solidFill>
                </w14:textFill>
              </w:rPr>
              <w:t>|</w:t>
            </w:r>
            <w:r w:rsidR="00DD149D" w:rsidRPr="00DD149D">
              <w:rPr>
                <w:rFonts w:cs="Calibri"/>
                <w:b/>
                <w:bCs/>
                <w:color w:val="auto"/>
                <w:vertAlign w:val="superscript"/>
                <w:lang w:val="en-AU"/>
              </w:rPr>
              <w:t>1</w:t>
            </w:r>
          </w:p>
        </w:tc>
        <w:tc>
          <w:tcPr>
            <w:tcW w:w="799" w:type="dxa"/>
          </w:tcPr>
          <w:p w14:paraId="05841EE8" w14:textId="1B981B90"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w:t>
            </w:r>
            <w:r w:rsidR="00F0779A" w:rsidRPr="00F0779A">
              <w:rPr>
                <w:color w:val="000000"/>
                <w:spacing w:val="53"/>
                <w:shd w:val="solid" w:color="000000" w:fill="000000"/>
                <w:fitText w:val="330" w:id="-694415612"/>
                <w:lang w:val="en-AU"/>
                <w14:textFill>
                  <w14:solidFill>
                    <w14:srgbClr w14:val="000000">
                      <w14:alpha w14:val="100000"/>
                    </w14:srgbClr>
                  </w14:solidFill>
                </w14:textFill>
              </w:rPr>
              <w:t>|||</w:t>
            </w:r>
            <w:r w:rsidR="00F0779A" w:rsidRPr="00F0779A">
              <w:rPr>
                <w:color w:val="000000"/>
                <w:spacing w:val="1"/>
                <w:shd w:val="solid" w:color="000000" w:fill="000000"/>
                <w:fitText w:val="330" w:id="-694415612"/>
                <w:lang w:val="en-AU"/>
                <w14:textFill>
                  <w14:solidFill>
                    <w14:srgbClr w14:val="000000">
                      <w14:alpha w14:val="100000"/>
                    </w14:srgbClr>
                  </w14:solidFill>
                </w14:textFill>
              </w:rPr>
              <w:t>|</w:t>
            </w:r>
            <w:r w:rsidRPr="00217EA0">
              <w:rPr>
                <w:color w:val="auto"/>
                <w:lang w:val="en-AU"/>
              </w:rPr>
              <w:t>%</w:t>
            </w:r>
          </w:p>
        </w:tc>
      </w:tr>
      <w:tr w:rsidR="007900E9" w:rsidRPr="00217EA0" w14:paraId="7388B42E" w14:textId="77777777" w:rsidTr="00F0779A">
        <w:tc>
          <w:tcPr>
            <w:cnfStyle w:val="001000000000" w:firstRow="0" w:lastRow="0" w:firstColumn="1" w:lastColumn="0" w:oddVBand="0" w:evenVBand="0" w:oddHBand="0" w:evenHBand="0" w:firstRowFirstColumn="0" w:firstRowLastColumn="0" w:lastRowFirstColumn="0" w:lastRowLastColumn="0"/>
            <w:tcW w:w="4957" w:type="dxa"/>
          </w:tcPr>
          <w:p w14:paraId="4A916F04" w14:textId="77777777" w:rsidR="007B07F9" w:rsidRPr="000A59D8" w:rsidRDefault="007B07F9" w:rsidP="00162F79">
            <w:pPr>
              <w:pStyle w:val="TableText"/>
              <w:rPr>
                <w:color w:val="auto"/>
                <w:lang w:val="en-AU"/>
              </w:rPr>
            </w:pPr>
            <w:r w:rsidRPr="000A59D8">
              <w:rPr>
                <w:color w:val="auto"/>
                <w:lang w:val="en-AU"/>
              </w:rPr>
              <w:t>3.5%</w:t>
            </w:r>
          </w:p>
        </w:tc>
        <w:tc>
          <w:tcPr>
            <w:tcW w:w="1134" w:type="dxa"/>
            <w:shd w:val="solid" w:color="000000" w:fill="000000"/>
          </w:tcPr>
          <w:p w14:paraId="485CC4B8" w14:textId="3DF096AA"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fitText w:val="330" w:id="-694415611"/>
                <w:lang w:val="en-AU"/>
                <w14:textFill>
                  <w14:solidFill>
                    <w14:srgbClr w14:val="000000">
                      <w14:alpha w14:val="100000"/>
                    </w14:srgbClr>
                  </w14:solidFill>
                </w14:textFill>
              </w:rPr>
              <w:t>|||</w:t>
            </w:r>
            <w:r w:rsidRPr="00F0779A">
              <w:rPr>
                <w:rFonts w:cs="Calibri"/>
                <w:color w:val="000000"/>
                <w:spacing w:val="1"/>
                <w:fitText w:val="330" w:id="-694415611"/>
                <w:lang w:val="en-AU"/>
                <w14:textFill>
                  <w14:solidFill>
                    <w14:srgbClr w14:val="000000">
                      <w14:alpha w14:val="100000"/>
                    </w14:srgbClr>
                  </w14:solidFill>
                </w14:textFill>
              </w:rPr>
              <w:t>|</w:t>
            </w:r>
          </w:p>
        </w:tc>
        <w:tc>
          <w:tcPr>
            <w:tcW w:w="1134" w:type="dxa"/>
          </w:tcPr>
          <w:p w14:paraId="29F39FA3" w14:textId="77777777"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6905BA">
              <w:rPr>
                <w:rFonts w:cs="Calibri"/>
                <w:color w:val="auto"/>
                <w:lang w:val="en-AU"/>
              </w:rPr>
              <w:t>1.20</w:t>
            </w:r>
          </w:p>
        </w:tc>
        <w:tc>
          <w:tcPr>
            <w:tcW w:w="992" w:type="dxa"/>
          </w:tcPr>
          <w:p w14:paraId="023FED10" w14:textId="28337BAE"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shd w:val="solid" w:color="000000" w:fill="000000"/>
                <w:fitText w:val="330" w:id="-694415610"/>
                <w:lang w:val="en-AU"/>
                <w14:textFill>
                  <w14:solidFill>
                    <w14:srgbClr w14:val="000000">
                      <w14:alpha w14:val="100000"/>
                    </w14:srgbClr>
                  </w14:solidFill>
                </w14:textFill>
              </w:rPr>
              <w:t>|||</w:t>
            </w:r>
            <w:r w:rsidRPr="00F0779A">
              <w:rPr>
                <w:rFonts w:cs="Calibri"/>
                <w:color w:val="000000"/>
                <w:spacing w:val="1"/>
                <w:shd w:val="solid" w:color="000000" w:fill="000000"/>
                <w:fitText w:val="330" w:id="-694415610"/>
                <w:lang w:val="en-AU"/>
                <w14:textFill>
                  <w14:solidFill>
                    <w14:srgbClr w14:val="000000">
                      <w14:alpha w14:val="100000"/>
                    </w14:srgbClr>
                  </w14:solidFill>
                </w14:textFill>
              </w:rPr>
              <w:t>|</w:t>
            </w:r>
            <w:r w:rsidR="00DD149D" w:rsidRPr="00DD149D">
              <w:rPr>
                <w:rFonts w:cs="Calibri"/>
                <w:b/>
                <w:bCs/>
                <w:color w:val="auto"/>
                <w:vertAlign w:val="superscript"/>
                <w:lang w:val="en-AU"/>
              </w:rPr>
              <w:t>1</w:t>
            </w:r>
          </w:p>
        </w:tc>
        <w:tc>
          <w:tcPr>
            <w:tcW w:w="799" w:type="dxa"/>
          </w:tcPr>
          <w:p w14:paraId="69761ECE" w14:textId="4260EDE1"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w:t>
            </w:r>
            <w:r w:rsidR="00F0779A" w:rsidRPr="00F0779A">
              <w:rPr>
                <w:color w:val="000000"/>
                <w:spacing w:val="53"/>
                <w:shd w:val="solid" w:color="000000" w:fill="000000"/>
                <w:fitText w:val="330" w:id="-694415609"/>
                <w:lang w:val="en-AU"/>
                <w14:textFill>
                  <w14:solidFill>
                    <w14:srgbClr w14:val="000000">
                      <w14:alpha w14:val="100000"/>
                    </w14:srgbClr>
                  </w14:solidFill>
                </w14:textFill>
              </w:rPr>
              <w:t>|||</w:t>
            </w:r>
            <w:r w:rsidR="00F0779A" w:rsidRPr="00F0779A">
              <w:rPr>
                <w:color w:val="000000"/>
                <w:spacing w:val="1"/>
                <w:shd w:val="solid" w:color="000000" w:fill="000000"/>
                <w:fitText w:val="330" w:id="-694415609"/>
                <w:lang w:val="en-AU"/>
                <w14:textFill>
                  <w14:solidFill>
                    <w14:srgbClr w14:val="000000">
                      <w14:alpha w14:val="100000"/>
                    </w14:srgbClr>
                  </w14:solidFill>
                </w14:textFill>
              </w:rPr>
              <w:t>|</w:t>
            </w:r>
            <w:r w:rsidRPr="00217EA0">
              <w:rPr>
                <w:color w:val="auto"/>
                <w:lang w:val="en-AU"/>
              </w:rPr>
              <w:t>%</w:t>
            </w:r>
          </w:p>
        </w:tc>
      </w:tr>
      <w:tr w:rsidR="007900E9" w:rsidRPr="00217EA0" w14:paraId="0FDDBFC0" w14:textId="77777777" w:rsidTr="00F0779A">
        <w:tc>
          <w:tcPr>
            <w:cnfStyle w:val="001000000000" w:firstRow="0" w:lastRow="0" w:firstColumn="1" w:lastColumn="0" w:oddVBand="0" w:evenVBand="0" w:oddHBand="0" w:evenHBand="0" w:firstRowFirstColumn="0" w:firstRowLastColumn="0" w:lastRowFirstColumn="0" w:lastRowLastColumn="0"/>
            <w:tcW w:w="4957" w:type="dxa"/>
          </w:tcPr>
          <w:p w14:paraId="5E753668" w14:textId="77777777" w:rsidR="007B07F9" w:rsidRPr="00217EA0" w:rsidRDefault="007B07F9" w:rsidP="00162F79">
            <w:pPr>
              <w:pStyle w:val="TableText"/>
              <w:rPr>
                <w:b/>
                <w:bCs/>
                <w:color w:val="auto"/>
                <w:lang w:val="en-AU"/>
              </w:rPr>
            </w:pPr>
            <w:r w:rsidRPr="00217EA0">
              <w:rPr>
                <w:b/>
                <w:bCs/>
                <w:color w:val="auto"/>
                <w:lang w:val="en-AU"/>
              </w:rPr>
              <w:t>Time horizon (BC: 10 years)</w:t>
            </w:r>
          </w:p>
        </w:tc>
        <w:tc>
          <w:tcPr>
            <w:tcW w:w="1134" w:type="dxa"/>
            <w:tcBorders>
              <w:bottom w:val="single" w:sz="4" w:space="0" w:color="auto"/>
            </w:tcBorders>
          </w:tcPr>
          <w:p w14:paraId="51B50A9F" w14:textId="77777777"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1134" w:type="dxa"/>
          </w:tcPr>
          <w:p w14:paraId="2965639C" w14:textId="77777777"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992" w:type="dxa"/>
          </w:tcPr>
          <w:p w14:paraId="31AB1617" w14:textId="77777777"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799" w:type="dxa"/>
          </w:tcPr>
          <w:p w14:paraId="0B7B2F99" w14:textId="77777777"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p>
        </w:tc>
      </w:tr>
      <w:tr w:rsidR="007900E9" w:rsidRPr="00217EA0" w14:paraId="268EC5A5" w14:textId="77777777" w:rsidTr="00F0779A">
        <w:tc>
          <w:tcPr>
            <w:cnfStyle w:val="001000000000" w:firstRow="0" w:lastRow="0" w:firstColumn="1" w:lastColumn="0" w:oddVBand="0" w:evenVBand="0" w:oddHBand="0" w:evenHBand="0" w:firstRowFirstColumn="0" w:firstRowLastColumn="0" w:lastRowFirstColumn="0" w:lastRowLastColumn="0"/>
            <w:tcW w:w="4957" w:type="dxa"/>
          </w:tcPr>
          <w:p w14:paraId="2C045D88" w14:textId="77777777" w:rsidR="007B07F9" w:rsidRPr="00217EA0" w:rsidRDefault="007B07F9" w:rsidP="00162F79">
            <w:pPr>
              <w:pStyle w:val="TableText"/>
              <w:rPr>
                <w:color w:val="auto"/>
                <w:lang w:val="en-AU"/>
              </w:rPr>
            </w:pPr>
            <w:r w:rsidRPr="00217EA0">
              <w:rPr>
                <w:color w:val="auto"/>
                <w:lang w:val="en-AU"/>
              </w:rPr>
              <w:t>7 years</w:t>
            </w:r>
          </w:p>
        </w:tc>
        <w:tc>
          <w:tcPr>
            <w:tcW w:w="1134" w:type="dxa"/>
            <w:tcBorders>
              <w:bottom w:val="single" w:sz="4" w:space="0" w:color="auto"/>
            </w:tcBorders>
            <w:shd w:val="solid" w:color="000000" w:fill="000000"/>
          </w:tcPr>
          <w:p w14:paraId="3E850286" w14:textId="3EB71ADD"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fitText w:val="330" w:id="-694415608"/>
                <w:lang w:val="en-AU"/>
                <w14:textFill>
                  <w14:solidFill>
                    <w14:srgbClr w14:val="000000">
                      <w14:alpha w14:val="100000"/>
                    </w14:srgbClr>
                  </w14:solidFill>
                </w14:textFill>
              </w:rPr>
              <w:t>|||</w:t>
            </w:r>
            <w:r w:rsidRPr="00F0779A">
              <w:rPr>
                <w:rFonts w:cs="Calibri"/>
                <w:color w:val="000000"/>
                <w:spacing w:val="1"/>
                <w:fitText w:val="330" w:id="-694415608"/>
                <w:lang w:val="en-AU"/>
                <w14:textFill>
                  <w14:solidFill>
                    <w14:srgbClr w14:val="000000">
                      <w14:alpha w14:val="100000"/>
                    </w14:srgbClr>
                  </w14:solidFill>
                </w14:textFill>
              </w:rPr>
              <w:t>|</w:t>
            </w:r>
          </w:p>
        </w:tc>
        <w:tc>
          <w:tcPr>
            <w:tcW w:w="1134" w:type="dxa"/>
          </w:tcPr>
          <w:p w14:paraId="0FBE9989" w14:textId="77777777"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6905BA">
              <w:rPr>
                <w:rFonts w:cs="Calibri"/>
                <w:color w:val="auto"/>
                <w:lang w:val="en-AU"/>
              </w:rPr>
              <w:t>1.11</w:t>
            </w:r>
          </w:p>
        </w:tc>
        <w:tc>
          <w:tcPr>
            <w:tcW w:w="992" w:type="dxa"/>
          </w:tcPr>
          <w:p w14:paraId="1E14E1DB" w14:textId="23893AAE"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shd w:val="solid" w:color="000000" w:fill="000000"/>
                <w:fitText w:val="330" w:id="-694415607"/>
                <w:lang w:val="en-AU"/>
                <w14:textFill>
                  <w14:solidFill>
                    <w14:srgbClr w14:val="000000">
                      <w14:alpha w14:val="100000"/>
                    </w14:srgbClr>
                  </w14:solidFill>
                </w14:textFill>
              </w:rPr>
              <w:t>|||</w:t>
            </w:r>
            <w:r w:rsidRPr="00F0779A">
              <w:rPr>
                <w:rFonts w:cs="Calibri"/>
                <w:color w:val="000000"/>
                <w:spacing w:val="1"/>
                <w:shd w:val="solid" w:color="000000" w:fill="000000"/>
                <w:fitText w:val="330" w:id="-694415607"/>
                <w:lang w:val="en-AU"/>
                <w14:textFill>
                  <w14:solidFill>
                    <w14:srgbClr w14:val="000000">
                      <w14:alpha w14:val="100000"/>
                    </w14:srgbClr>
                  </w14:solidFill>
                </w14:textFill>
              </w:rPr>
              <w:t>|</w:t>
            </w:r>
            <w:r w:rsidR="00DD149D" w:rsidRPr="00DD149D">
              <w:rPr>
                <w:rFonts w:cs="Calibri"/>
                <w:b/>
                <w:bCs/>
                <w:color w:val="auto"/>
                <w:vertAlign w:val="superscript"/>
                <w:lang w:val="en-AU"/>
              </w:rPr>
              <w:t>1</w:t>
            </w:r>
          </w:p>
        </w:tc>
        <w:tc>
          <w:tcPr>
            <w:tcW w:w="799" w:type="dxa"/>
          </w:tcPr>
          <w:p w14:paraId="2229542B" w14:textId="0C1FB8B2" w:rsidR="007B07F9" w:rsidRPr="00217EA0"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F0779A">
              <w:rPr>
                <w:color w:val="000000"/>
                <w:spacing w:val="53"/>
                <w:shd w:val="solid" w:color="000000" w:fill="000000"/>
                <w:fitText w:val="330" w:id="-694415606"/>
                <w:lang w:val="en-AU"/>
                <w14:textFill>
                  <w14:solidFill>
                    <w14:srgbClr w14:val="000000">
                      <w14:alpha w14:val="100000"/>
                    </w14:srgbClr>
                  </w14:solidFill>
                </w14:textFill>
              </w:rPr>
              <w:t>|||</w:t>
            </w:r>
            <w:r w:rsidRPr="00F0779A">
              <w:rPr>
                <w:color w:val="000000"/>
                <w:spacing w:val="1"/>
                <w:shd w:val="solid" w:color="000000" w:fill="000000"/>
                <w:fitText w:val="330" w:id="-694415606"/>
                <w:lang w:val="en-AU"/>
                <w14:textFill>
                  <w14:solidFill>
                    <w14:srgbClr w14:val="000000">
                      <w14:alpha w14:val="100000"/>
                    </w14:srgbClr>
                  </w14:solidFill>
                </w14:textFill>
              </w:rPr>
              <w:t>|</w:t>
            </w:r>
            <w:r w:rsidR="007B07F9" w:rsidRPr="00217EA0">
              <w:rPr>
                <w:color w:val="auto"/>
                <w:lang w:val="en-AU"/>
              </w:rPr>
              <w:t>%</w:t>
            </w:r>
          </w:p>
        </w:tc>
      </w:tr>
      <w:tr w:rsidR="007900E9" w:rsidRPr="00217EA0" w14:paraId="4D04D689" w14:textId="77777777" w:rsidTr="00F0779A">
        <w:tc>
          <w:tcPr>
            <w:cnfStyle w:val="001000000000" w:firstRow="0" w:lastRow="0" w:firstColumn="1" w:lastColumn="0" w:oddVBand="0" w:evenVBand="0" w:oddHBand="0" w:evenHBand="0" w:firstRowFirstColumn="0" w:firstRowLastColumn="0" w:lastRowFirstColumn="0" w:lastRowLastColumn="0"/>
            <w:tcW w:w="4957" w:type="dxa"/>
          </w:tcPr>
          <w:p w14:paraId="4E41247B" w14:textId="77777777" w:rsidR="007B07F9" w:rsidRPr="00217EA0" w:rsidRDefault="007B07F9" w:rsidP="00162F79">
            <w:pPr>
              <w:pStyle w:val="TableText"/>
              <w:rPr>
                <w:color w:val="auto"/>
                <w:lang w:val="en-AU"/>
              </w:rPr>
            </w:pPr>
            <w:r w:rsidRPr="00217EA0">
              <w:rPr>
                <w:color w:val="auto"/>
                <w:lang w:val="en-AU"/>
              </w:rPr>
              <w:t>5 years</w:t>
            </w:r>
          </w:p>
        </w:tc>
        <w:tc>
          <w:tcPr>
            <w:tcW w:w="1134" w:type="dxa"/>
            <w:tcBorders>
              <w:bottom w:val="single" w:sz="4" w:space="0" w:color="auto"/>
            </w:tcBorders>
            <w:shd w:val="solid" w:color="000000" w:fill="000000"/>
          </w:tcPr>
          <w:p w14:paraId="34215ED9" w14:textId="0AF03011"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color w:val="000000"/>
                <w:spacing w:val="53"/>
                <w:fitText w:val="330" w:id="-694415605"/>
                <w:lang w:val="en-AU"/>
                <w14:textFill>
                  <w14:solidFill>
                    <w14:srgbClr w14:val="000000">
                      <w14:alpha w14:val="100000"/>
                    </w14:srgbClr>
                  </w14:solidFill>
                </w14:textFill>
              </w:rPr>
              <w:t>|||</w:t>
            </w:r>
            <w:r w:rsidRPr="00F0779A">
              <w:rPr>
                <w:color w:val="000000"/>
                <w:spacing w:val="1"/>
                <w:fitText w:val="330" w:id="-694415605"/>
                <w:lang w:val="en-AU"/>
                <w14:textFill>
                  <w14:solidFill>
                    <w14:srgbClr w14:val="000000">
                      <w14:alpha w14:val="100000"/>
                    </w14:srgbClr>
                  </w14:solidFill>
                </w14:textFill>
              </w:rPr>
              <w:t>|</w:t>
            </w:r>
          </w:p>
        </w:tc>
        <w:tc>
          <w:tcPr>
            <w:tcW w:w="1134" w:type="dxa"/>
          </w:tcPr>
          <w:p w14:paraId="7F406E57" w14:textId="77777777"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6905BA">
              <w:rPr>
                <w:color w:val="auto"/>
                <w:lang w:val="en-AU"/>
              </w:rPr>
              <w:t>1.03</w:t>
            </w:r>
          </w:p>
        </w:tc>
        <w:tc>
          <w:tcPr>
            <w:tcW w:w="992" w:type="dxa"/>
          </w:tcPr>
          <w:p w14:paraId="65D5F2B1" w14:textId="34D44343"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color w:val="000000"/>
                <w:spacing w:val="53"/>
                <w:shd w:val="solid" w:color="000000" w:fill="000000"/>
                <w:fitText w:val="330" w:id="-694415604"/>
                <w:lang w:val="en-AU"/>
                <w14:textFill>
                  <w14:solidFill>
                    <w14:srgbClr w14:val="000000">
                      <w14:alpha w14:val="100000"/>
                    </w14:srgbClr>
                  </w14:solidFill>
                </w14:textFill>
              </w:rPr>
              <w:t>|||</w:t>
            </w:r>
            <w:r w:rsidRPr="00F0779A">
              <w:rPr>
                <w:color w:val="000000"/>
                <w:spacing w:val="1"/>
                <w:shd w:val="solid" w:color="000000" w:fill="000000"/>
                <w:fitText w:val="330" w:id="-694415604"/>
                <w:lang w:val="en-AU"/>
                <w14:textFill>
                  <w14:solidFill>
                    <w14:srgbClr w14:val="000000">
                      <w14:alpha w14:val="100000"/>
                    </w14:srgbClr>
                  </w14:solidFill>
                </w14:textFill>
              </w:rPr>
              <w:t>|</w:t>
            </w:r>
            <w:r w:rsidR="00DD149D" w:rsidRPr="000F5CFF">
              <w:rPr>
                <w:color w:val="auto"/>
                <w:vertAlign w:val="superscript"/>
                <w:lang w:val="en-AU"/>
              </w:rPr>
              <w:t>2</w:t>
            </w:r>
          </w:p>
        </w:tc>
        <w:tc>
          <w:tcPr>
            <w:tcW w:w="799" w:type="dxa"/>
          </w:tcPr>
          <w:p w14:paraId="5BCC7080" w14:textId="7DC5DB0C" w:rsidR="007B07F9" w:rsidRPr="00217EA0"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F0779A">
              <w:rPr>
                <w:color w:val="000000"/>
                <w:spacing w:val="53"/>
                <w:shd w:val="solid" w:color="000000" w:fill="000000"/>
                <w:fitText w:val="330" w:id="-694415603"/>
                <w:lang w:val="en-AU"/>
                <w14:textFill>
                  <w14:solidFill>
                    <w14:srgbClr w14:val="000000">
                      <w14:alpha w14:val="100000"/>
                    </w14:srgbClr>
                  </w14:solidFill>
                </w14:textFill>
              </w:rPr>
              <w:t>|||</w:t>
            </w:r>
            <w:r w:rsidRPr="00F0779A">
              <w:rPr>
                <w:color w:val="000000"/>
                <w:spacing w:val="1"/>
                <w:shd w:val="solid" w:color="000000" w:fill="000000"/>
                <w:fitText w:val="330" w:id="-694415603"/>
                <w:lang w:val="en-AU"/>
                <w14:textFill>
                  <w14:solidFill>
                    <w14:srgbClr w14:val="000000">
                      <w14:alpha w14:val="100000"/>
                    </w14:srgbClr>
                  </w14:solidFill>
                </w14:textFill>
              </w:rPr>
              <w:t>|</w:t>
            </w:r>
            <w:r w:rsidR="007B07F9" w:rsidRPr="00217EA0">
              <w:rPr>
                <w:color w:val="auto"/>
                <w:lang w:val="en-AU"/>
              </w:rPr>
              <w:t>%</w:t>
            </w:r>
          </w:p>
        </w:tc>
      </w:tr>
      <w:tr w:rsidR="00832228" w:rsidRPr="00217EA0" w14:paraId="5A4212C4" w14:textId="77777777" w:rsidTr="00F0779A">
        <w:tc>
          <w:tcPr>
            <w:cnfStyle w:val="001000000000" w:firstRow="0" w:lastRow="0" w:firstColumn="1" w:lastColumn="0" w:oddVBand="0" w:evenVBand="0" w:oddHBand="0" w:evenHBand="0" w:firstRowFirstColumn="0" w:firstRowLastColumn="0" w:lastRowFirstColumn="0" w:lastRowLastColumn="0"/>
            <w:tcW w:w="4957" w:type="dxa"/>
          </w:tcPr>
          <w:p w14:paraId="7FE64AAF" w14:textId="1A35E845" w:rsidR="00832228" w:rsidRPr="00217EA0" w:rsidRDefault="001A4603" w:rsidP="00162F79">
            <w:pPr>
              <w:pStyle w:val="TableText"/>
              <w:rPr>
                <w:b/>
                <w:bCs/>
                <w:lang w:val="en-AU"/>
              </w:rPr>
            </w:pPr>
            <w:r w:rsidRPr="00217EA0">
              <w:rPr>
                <w:color w:val="auto"/>
                <w:lang w:val="en-AU"/>
              </w:rPr>
              <w:t>E</w:t>
            </w:r>
            <w:r w:rsidR="00832228" w:rsidRPr="00217EA0">
              <w:rPr>
                <w:color w:val="auto"/>
                <w:lang w:val="en-AU"/>
              </w:rPr>
              <w:t>xtrapolation from median follow up of FOENIX-CCA2</w:t>
            </w:r>
            <w:r w:rsidR="002300D6" w:rsidRPr="00217EA0">
              <w:rPr>
                <w:color w:val="auto"/>
                <w:lang w:val="en-AU"/>
              </w:rPr>
              <w:t xml:space="preserve"> (25 months)</w:t>
            </w:r>
            <w:r w:rsidR="00832228" w:rsidRPr="00217EA0">
              <w:rPr>
                <w:color w:val="auto"/>
                <w:lang w:val="en-AU"/>
              </w:rPr>
              <w:t xml:space="preserve"> and ABC-06</w:t>
            </w:r>
            <w:r w:rsidR="002300D6" w:rsidRPr="00217EA0">
              <w:rPr>
                <w:color w:val="auto"/>
                <w:lang w:val="en-AU"/>
              </w:rPr>
              <w:t xml:space="preserve"> (</w:t>
            </w:r>
            <w:r w:rsidR="004356E6" w:rsidRPr="00217EA0">
              <w:rPr>
                <w:color w:val="auto"/>
                <w:lang w:val="en-AU"/>
              </w:rPr>
              <w:t>21.7 months)</w:t>
            </w:r>
            <w:r w:rsidR="00832228" w:rsidRPr="00217EA0">
              <w:rPr>
                <w:color w:val="auto"/>
                <w:lang w:val="en-AU"/>
              </w:rPr>
              <w:t xml:space="preserve"> (BC:</w:t>
            </w:r>
            <w:r w:rsidR="002300D6" w:rsidRPr="00217EA0">
              <w:rPr>
                <w:lang w:val="en-AU"/>
              </w:rPr>
              <w:t xml:space="preserve"> </w:t>
            </w:r>
            <w:r w:rsidR="002300D6" w:rsidRPr="00217EA0">
              <w:rPr>
                <w:color w:val="auto"/>
                <w:lang w:val="en-AU"/>
              </w:rPr>
              <w:t xml:space="preserve">22 months for OS and 14 months for PFS for </w:t>
            </w:r>
            <w:proofErr w:type="spellStart"/>
            <w:r w:rsidR="002300D6" w:rsidRPr="00217EA0">
              <w:rPr>
                <w:color w:val="auto"/>
                <w:lang w:val="en-AU"/>
              </w:rPr>
              <w:t>futibatinib</w:t>
            </w:r>
            <w:proofErr w:type="spellEnd"/>
            <w:r w:rsidR="002300D6" w:rsidRPr="00217EA0">
              <w:rPr>
                <w:color w:val="auto"/>
                <w:lang w:val="en-AU"/>
              </w:rPr>
              <w:t xml:space="preserve"> and 11 months for OS and 7 months for PFS for FOLFOX</w:t>
            </w:r>
            <w:r w:rsidR="00832228" w:rsidRPr="00217EA0">
              <w:rPr>
                <w:color w:val="auto"/>
                <w:lang w:val="en-AU"/>
              </w:rPr>
              <w:t xml:space="preserve">) </w:t>
            </w:r>
          </w:p>
        </w:tc>
        <w:tc>
          <w:tcPr>
            <w:tcW w:w="1134" w:type="dxa"/>
            <w:tcBorders>
              <w:bottom w:val="single" w:sz="4" w:space="0" w:color="auto"/>
            </w:tcBorders>
            <w:shd w:val="solid" w:color="000000" w:fill="000000"/>
          </w:tcPr>
          <w:p w14:paraId="40CC2957" w14:textId="4883EA43" w:rsidR="00832228"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highlight w:val="darkGray"/>
                <w:lang w:val="en-AU"/>
              </w:rPr>
            </w:pPr>
            <w:r w:rsidRPr="00F0779A">
              <w:rPr>
                <w:rFonts w:cs="Calibri"/>
                <w:color w:val="000000"/>
                <w:spacing w:val="53"/>
                <w:fitText w:val="330" w:id="-694415602"/>
                <w:lang w:val="en-AU"/>
                <w14:textFill>
                  <w14:solidFill>
                    <w14:srgbClr w14:val="000000">
                      <w14:alpha w14:val="100000"/>
                    </w14:srgbClr>
                  </w14:solidFill>
                </w14:textFill>
              </w:rPr>
              <w:t>|||</w:t>
            </w:r>
            <w:r w:rsidRPr="00F0779A">
              <w:rPr>
                <w:rFonts w:cs="Calibri"/>
                <w:color w:val="000000"/>
                <w:spacing w:val="1"/>
                <w:fitText w:val="330" w:id="-694415602"/>
                <w:lang w:val="en-AU"/>
                <w14:textFill>
                  <w14:solidFill>
                    <w14:srgbClr w14:val="000000">
                      <w14:alpha w14:val="100000"/>
                    </w14:srgbClr>
                  </w14:solidFill>
                </w14:textFill>
              </w:rPr>
              <w:t>|</w:t>
            </w:r>
          </w:p>
        </w:tc>
        <w:tc>
          <w:tcPr>
            <w:tcW w:w="1134" w:type="dxa"/>
          </w:tcPr>
          <w:p w14:paraId="735ABB8E" w14:textId="1A1BA833" w:rsidR="00832228" w:rsidRPr="006905BA" w:rsidRDefault="00832228"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lang w:val="en-AU"/>
              </w:rPr>
            </w:pPr>
            <w:r w:rsidRPr="006905BA">
              <w:rPr>
                <w:rFonts w:cs="Calibri"/>
                <w:color w:val="auto"/>
                <w:lang w:val="en-AU"/>
              </w:rPr>
              <w:t>1.17</w:t>
            </w:r>
          </w:p>
        </w:tc>
        <w:tc>
          <w:tcPr>
            <w:tcW w:w="992" w:type="dxa"/>
          </w:tcPr>
          <w:p w14:paraId="7ADA2554" w14:textId="031A4D66" w:rsidR="00832228"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highlight w:val="darkGray"/>
                <w:lang w:val="en-AU"/>
              </w:rPr>
            </w:pPr>
            <w:r w:rsidRPr="00F0779A">
              <w:rPr>
                <w:rFonts w:cs="Calibri"/>
                <w:color w:val="000000"/>
                <w:spacing w:val="53"/>
                <w:shd w:val="solid" w:color="000000" w:fill="000000"/>
                <w:fitText w:val="330" w:id="-694415601"/>
                <w:lang w:val="en-AU"/>
                <w14:textFill>
                  <w14:solidFill>
                    <w14:srgbClr w14:val="000000">
                      <w14:alpha w14:val="100000"/>
                    </w14:srgbClr>
                  </w14:solidFill>
                </w14:textFill>
              </w:rPr>
              <w:t>|||</w:t>
            </w:r>
            <w:r w:rsidRPr="00F0779A">
              <w:rPr>
                <w:rFonts w:cs="Calibri"/>
                <w:color w:val="000000"/>
                <w:spacing w:val="1"/>
                <w:shd w:val="solid" w:color="000000" w:fill="000000"/>
                <w:fitText w:val="330" w:id="-694415601"/>
                <w:lang w:val="en-AU"/>
                <w14:textFill>
                  <w14:solidFill>
                    <w14:srgbClr w14:val="000000">
                      <w14:alpha w14:val="100000"/>
                    </w14:srgbClr>
                  </w14:solidFill>
                </w14:textFill>
              </w:rPr>
              <w:t>|</w:t>
            </w:r>
            <w:r w:rsidR="00DD149D" w:rsidRPr="00DD149D">
              <w:rPr>
                <w:rFonts w:cs="Calibri"/>
                <w:b/>
                <w:bCs/>
                <w:color w:val="auto"/>
                <w:vertAlign w:val="superscript"/>
                <w:lang w:val="en-AU"/>
              </w:rPr>
              <w:t>1</w:t>
            </w:r>
          </w:p>
        </w:tc>
        <w:tc>
          <w:tcPr>
            <w:tcW w:w="799" w:type="dxa"/>
          </w:tcPr>
          <w:p w14:paraId="1DD6F357" w14:textId="3394215F" w:rsidR="00832228" w:rsidRPr="00217EA0" w:rsidRDefault="00832228" w:rsidP="00162F79">
            <w:pPr>
              <w:pStyle w:val="TableText"/>
              <w:jc w:val="center"/>
              <w:cnfStyle w:val="000000000000" w:firstRow="0" w:lastRow="0" w:firstColumn="0" w:lastColumn="0" w:oddVBand="0" w:evenVBand="0" w:oddHBand="0" w:evenHBand="0" w:firstRowFirstColumn="0" w:firstRowLastColumn="0" w:lastRowFirstColumn="0" w:lastRowLastColumn="0"/>
              <w:rPr>
                <w:lang w:val="en-AU"/>
              </w:rPr>
            </w:pPr>
            <w:r w:rsidRPr="00217EA0">
              <w:rPr>
                <w:color w:val="auto"/>
                <w:lang w:val="en-AU"/>
              </w:rPr>
              <w:t>-</w:t>
            </w:r>
            <w:r w:rsidR="00F0779A" w:rsidRPr="00F0779A">
              <w:rPr>
                <w:color w:val="000000"/>
                <w:spacing w:val="53"/>
                <w:shd w:val="solid" w:color="000000" w:fill="000000"/>
                <w:fitText w:val="330" w:id="-694415600"/>
                <w:lang w:val="en-AU"/>
                <w14:textFill>
                  <w14:solidFill>
                    <w14:srgbClr w14:val="000000">
                      <w14:alpha w14:val="100000"/>
                    </w14:srgbClr>
                  </w14:solidFill>
                </w14:textFill>
              </w:rPr>
              <w:t>|||</w:t>
            </w:r>
            <w:r w:rsidR="00F0779A" w:rsidRPr="00F0779A">
              <w:rPr>
                <w:color w:val="000000"/>
                <w:spacing w:val="1"/>
                <w:shd w:val="solid" w:color="000000" w:fill="000000"/>
                <w:fitText w:val="330" w:id="-694415600"/>
                <w:lang w:val="en-AU"/>
                <w14:textFill>
                  <w14:solidFill>
                    <w14:srgbClr w14:val="000000">
                      <w14:alpha w14:val="100000"/>
                    </w14:srgbClr>
                  </w14:solidFill>
                </w14:textFill>
              </w:rPr>
              <w:t>|</w:t>
            </w:r>
            <w:r w:rsidRPr="00217EA0">
              <w:rPr>
                <w:color w:val="auto"/>
                <w:lang w:val="en-AU"/>
              </w:rPr>
              <w:t>%</w:t>
            </w:r>
          </w:p>
        </w:tc>
      </w:tr>
      <w:tr w:rsidR="007900E9" w:rsidRPr="00217EA0" w14:paraId="61ED36FC" w14:textId="77777777" w:rsidTr="00F0779A">
        <w:tc>
          <w:tcPr>
            <w:cnfStyle w:val="001000000000" w:firstRow="0" w:lastRow="0" w:firstColumn="1" w:lastColumn="0" w:oddVBand="0" w:evenVBand="0" w:oddHBand="0" w:evenHBand="0" w:firstRowFirstColumn="0" w:firstRowLastColumn="0" w:lastRowFirstColumn="0" w:lastRowLastColumn="0"/>
            <w:tcW w:w="4957" w:type="dxa"/>
          </w:tcPr>
          <w:p w14:paraId="4DA71F29" w14:textId="77777777" w:rsidR="007B07F9" w:rsidRPr="00217EA0" w:rsidRDefault="007B07F9" w:rsidP="00162F79">
            <w:pPr>
              <w:pStyle w:val="TableText"/>
              <w:rPr>
                <w:color w:val="auto"/>
                <w:lang w:val="en-AU"/>
              </w:rPr>
            </w:pPr>
            <w:r w:rsidRPr="00217EA0">
              <w:rPr>
                <w:color w:val="auto"/>
                <w:lang w:val="en-AU"/>
              </w:rPr>
              <w:t>Remove KM data (extrapolation from cycle 1)</w:t>
            </w:r>
          </w:p>
        </w:tc>
        <w:tc>
          <w:tcPr>
            <w:tcW w:w="1134" w:type="dxa"/>
            <w:shd w:val="solid" w:color="000000" w:fill="000000"/>
          </w:tcPr>
          <w:p w14:paraId="1F63361F" w14:textId="6AE94CDE"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fitText w:val="330" w:id="-694415616"/>
                <w:lang w:val="en-AU"/>
                <w14:textFill>
                  <w14:solidFill>
                    <w14:srgbClr w14:val="000000">
                      <w14:alpha w14:val="100000"/>
                    </w14:srgbClr>
                  </w14:solidFill>
                </w14:textFill>
              </w:rPr>
              <w:t>|||</w:t>
            </w:r>
            <w:r w:rsidRPr="00F0779A">
              <w:rPr>
                <w:rFonts w:cs="Calibri"/>
                <w:color w:val="000000"/>
                <w:spacing w:val="1"/>
                <w:fitText w:val="330" w:id="-694415616"/>
                <w:lang w:val="en-AU"/>
                <w14:textFill>
                  <w14:solidFill>
                    <w14:srgbClr w14:val="000000">
                      <w14:alpha w14:val="100000"/>
                    </w14:srgbClr>
                  </w14:solidFill>
                </w14:textFill>
              </w:rPr>
              <w:t>|</w:t>
            </w:r>
          </w:p>
        </w:tc>
        <w:tc>
          <w:tcPr>
            <w:tcW w:w="1134" w:type="dxa"/>
          </w:tcPr>
          <w:p w14:paraId="3C200F04" w14:textId="77777777"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6905BA">
              <w:rPr>
                <w:rFonts w:cs="Calibri"/>
                <w:color w:val="auto"/>
                <w:lang w:val="en-AU"/>
              </w:rPr>
              <w:t>1.15</w:t>
            </w:r>
          </w:p>
        </w:tc>
        <w:tc>
          <w:tcPr>
            <w:tcW w:w="992" w:type="dxa"/>
          </w:tcPr>
          <w:p w14:paraId="34ECD86E" w14:textId="2E037787"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shd w:val="solid" w:color="000000" w:fill="000000"/>
                <w:fitText w:val="330" w:id="-694415615"/>
                <w:lang w:val="en-AU"/>
                <w14:textFill>
                  <w14:solidFill>
                    <w14:srgbClr w14:val="000000">
                      <w14:alpha w14:val="100000"/>
                    </w14:srgbClr>
                  </w14:solidFill>
                </w14:textFill>
              </w:rPr>
              <w:t>|||</w:t>
            </w:r>
            <w:r w:rsidRPr="00F0779A">
              <w:rPr>
                <w:rFonts w:cs="Calibri"/>
                <w:color w:val="000000"/>
                <w:spacing w:val="1"/>
                <w:shd w:val="solid" w:color="000000" w:fill="000000"/>
                <w:fitText w:val="330" w:id="-694415615"/>
                <w:lang w:val="en-AU"/>
                <w14:textFill>
                  <w14:solidFill>
                    <w14:srgbClr w14:val="000000">
                      <w14:alpha w14:val="100000"/>
                    </w14:srgbClr>
                  </w14:solidFill>
                </w14:textFill>
              </w:rPr>
              <w:t>|</w:t>
            </w:r>
            <w:r w:rsidR="00DD149D" w:rsidRPr="00DD149D">
              <w:rPr>
                <w:rFonts w:cs="Calibri"/>
                <w:b/>
                <w:bCs/>
                <w:color w:val="auto"/>
                <w:vertAlign w:val="superscript"/>
                <w:lang w:val="en-AU"/>
              </w:rPr>
              <w:t>1</w:t>
            </w:r>
          </w:p>
        </w:tc>
        <w:tc>
          <w:tcPr>
            <w:tcW w:w="799" w:type="dxa"/>
          </w:tcPr>
          <w:p w14:paraId="7D37D4D7" w14:textId="58E4106F"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w:t>
            </w:r>
            <w:r w:rsidR="00F0779A" w:rsidRPr="00F0779A">
              <w:rPr>
                <w:color w:val="000000"/>
                <w:spacing w:val="53"/>
                <w:shd w:val="solid" w:color="000000" w:fill="000000"/>
                <w:fitText w:val="330" w:id="-694415614"/>
                <w:lang w:val="en-AU"/>
                <w14:textFill>
                  <w14:solidFill>
                    <w14:srgbClr w14:val="000000">
                      <w14:alpha w14:val="100000"/>
                    </w14:srgbClr>
                  </w14:solidFill>
                </w14:textFill>
              </w:rPr>
              <w:t>|||</w:t>
            </w:r>
            <w:r w:rsidR="00F0779A" w:rsidRPr="00F0779A">
              <w:rPr>
                <w:color w:val="000000"/>
                <w:spacing w:val="1"/>
                <w:shd w:val="solid" w:color="000000" w:fill="000000"/>
                <w:fitText w:val="330" w:id="-694415614"/>
                <w:lang w:val="en-AU"/>
                <w14:textFill>
                  <w14:solidFill>
                    <w14:srgbClr w14:val="000000">
                      <w14:alpha w14:val="100000"/>
                    </w14:srgbClr>
                  </w14:solidFill>
                </w14:textFill>
              </w:rPr>
              <w:t>|</w:t>
            </w:r>
            <w:r w:rsidRPr="00217EA0">
              <w:rPr>
                <w:color w:val="auto"/>
                <w:lang w:val="en-AU"/>
              </w:rPr>
              <w:t>%</w:t>
            </w:r>
          </w:p>
        </w:tc>
      </w:tr>
      <w:tr w:rsidR="007900E9" w:rsidRPr="00217EA0" w14:paraId="414BD439" w14:textId="77777777" w:rsidTr="00F0779A">
        <w:tc>
          <w:tcPr>
            <w:cnfStyle w:val="001000000000" w:firstRow="0" w:lastRow="0" w:firstColumn="1" w:lastColumn="0" w:oddVBand="0" w:evenVBand="0" w:oddHBand="0" w:evenHBand="0" w:firstRowFirstColumn="0" w:firstRowLastColumn="0" w:lastRowFirstColumn="0" w:lastRowLastColumn="0"/>
            <w:tcW w:w="4957" w:type="dxa"/>
          </w:tcPr>
          <w:p w14:paraId="15298B59" w14:textId="606D9BC8" w:rsidR="007B07F9" w:rsidRPr="00217EA0" w:rsidRDefault="007B07F9" w:rsidP="00162F79">
            <w:pPr>
              <w:pStyle w:val="TableText"/>
              <w:rPr>
                <w:b/>
                <w:bCs/>
                <w:color w:val="auto"/>
                <w:lang w:val="en-AU"/>
              </w:rPr>
            </w:pPr>
            <w:r w:rsidRPr="00217EA0">
              <w:rPr>
                <w:b/>
                <w:bCs/>
                <w:color w:val="auto"/>
                <w:lang w:val="en-AU"/>
              </w:rPr>
              <w:t>PFS extrapolation (BC: gamma in both arms)</w:t>
            </w:r>
          </w:p>
        </w:tc>
        <w:tc>
          <w:tcPr>
            <w:tcW w:w="1134" w:type="dxa"/>
            <w:tcBorders>
              <w:bottom w:val="single" w:sz="4" w:space="0" w:color="auto"/>
            </w:tcBorders>
          </w:tcPr>
          <w:p w14:paraId="75D39E76" w14:textId="77777777"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1134" w:type="dxa"/>
          </w:tcPr>
          <w:p w14:paraId="5272F97F" w14:textId="77777777"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992" w:type="dxa"/>
          </w:tcPr>
          <w:p w14:paraId="1FDA54E1" w14:textId="77777777"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799" w:type="dxa"/>
          </w:tcPr>
          <w:p w14:paraId="15F70A1E" w14:textId="77777777"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p>
        </w:tc>
      </w:tr>
      <w:tr w:rsidR="007900E9" w:rsidRPr="00217EA0" w14:paraId="087F4551" w14:textId="5ED49898" w:rsidTr="00F0779A">
        <w:trPr>
          <w:trHeight w:val="97"/>
        </w:trPr>
        <w:tc>
          <w:tcPr>
            <w:cnfStyle w:val="001000000000" w:firstRow="0" w:lastRow="0" w:firstColumn="1" w:lastColumn="0" w:oddVBand="0" w:evenVBand="0" w:oddHBand="0" w:evenHBand="0" w:firstRowFirstColumn="0" w:firstRowLastColumn="0" w:lastRowFirstColumn="0" w:lastRowLastColumn="0"/>
            <w:tcW w:w="4957" w:type="dxa"/>
          </w:tcPr>
          <w:p w14:paraId="151978CF" w14:textId="677E52EF" w:rsidR="007B07F9" w:rsidRPr="00217EA0" w:rsidRDefault="007B07F9" w:rsidP="00162F79">
            <w:pPr>
              <w:pStyle w:val="TableText"/>
              <w:rPr>
                <w:color w:val="auto"/>
                <w:lang w:val="en-AU"/>
              </w:rPr>
            </w:pPr>
            <w:r w:rsidRPr="00217EA0">
              <w:rPr>
                <w:color w:val="auto"/>
                <w:lang w:val="en-AU"/>
              </w:rPr>
              <w:t>Exponential in both arms</w:t>
            </w:r>
          </w:p>
        </w:tc>
        <w:tc>
          <w:tcPr>
            <w:tcW w:w="1134" w:type="dxa"/>
            <w:tcBorders>
              <w:bottom w:val="single" w:sz="4" w:space="0" w:color="auto"/>
            </w:tcBorders>
            <w:shd w:val="solid" w:color="000000" w:fill="000000"/>
          </w:tcPr>
          <w:p w14:paraId="0D3C5879" w14:textId="36E92E09"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fitText w:val="330" w:id="-694415613"/>
                <w:lang w:val="en-AU"/>
                <w14:textFill>
                  <w14:solidFill>
                    <w14:srgbClr w14:val="000000">
                      <w14:alpha w14:val="100000"/>
                    </w14:srgbClr>
                  </w14:solidFill>
                </w14:textFill>
              </w:rPr>
              <w:t>|||</w:t>
            </w:r>
            <w:r w:rsidRPr="00F0779A">
              <w:rPr>
                <w:rFonts w:cs="Calibri"/>
                <w:color w:val="000000"/>
                <w:spacing w:val="1"/>
                <w:fitText w:val="330" w:id="-694415613"/>
                <w:lang w:val="en-AU"/>
                <w14:textFill>
                  <w14:solidFill>
                    <w14:srgbClr w14:val="000000">
                      <w14:alpha w14:val="100000"/>
                    </w14:srgbClr>
                  </w14:solidFill>
                </w14:textFill>
              </w:rPr>
              <w:t>|</w:t>
            </w:r>
          </w:p>
        </w:tc>
        <w:tc>
          <w:tcPr>
            <w:tcW w:w="1134" w:type="dxa"/>
          </w:tcPr>
          <w:p w14:paraId="5F1AC111" w14:textId="74EEA030"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6905BA">
              <w:rPr>
                <w:rFonts w:cs="Calibri"/>
                <w:color w:val="auto"/>
                <w:lang w:val="en-AU"/>
              </w:rPr>
              <w:t>1.18</w:t>
            </w:r>
          </w:p>
        </w:tc>
        <w:tc>
          <w:tcPr>
            <w:tcW w:w="992" w:type="dxa"/>
          </w:tcPr>
          <w:p w14:paraId="206DA256" w14:textId="1E2CEDE9"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shd w:val="solid" w:color="000000" w:fill="000000"/>
                <w:fitText w:val="330" w:id="-694415612"/>
                <w:lang w:val="en-AU"/>
                <w14:textFill>
                  <w14:solidFill>
                    <w14:srgbClr w14:val="000000">
                      <w14:alpha w14:val="100000"/>
                    </w14:srgbClr>
                  </w14:solidFill>
                </w14:textFill>
              </w:rPr>
              <w:t>|||</w:t>
            </w:r>
            <w:r w:rsidRPr="00F0779A">
              <w:rPr>
                <w:rFonts w:cs="Calibri"/>
                <w:color w:val="000000"/>
                <w:spacing w:val="1"/>
                <w:shd w:val="solid" w:color="000000" w:fill="000000"/>
                <w:fitText w:val="330" w:id="-694415612"/>
                <w:lang w:val="en-AU"/>
                <w14:textFill>
                  <w14:solidFill>
                    <w14:srgbClr w14:val="000000">
                      <w14:alpha w14:val="100000"/>
                    </w14:srgbClr>
                  </w14:solidFill>
                </w14:textFill>
              </w:rPr>
              <w:t>|</w:t>
            </w:r>
            <w:r w:rsidR="006A0675" w:rsidRPr="000F5CFF">
              <w:rPr>
                <w:color w:val="auto"/>
                <w:vertAlign w:val="superscript"/>
                <w:lang w:val="en-AU"/>
              </w:rPr>
              <w:t>2</w:t>
            </w:r>
          </w:p>
        </w:tc>
        <w:tc>
          <w:tcPr>
            <w:tcW w:w="799" w:type="dxa"/>
          </w:tcPr>
          <w:p w14:paraId="28F98C12" w14:textId="618F4B10" w:rsidR="007B07F9" w:rsidRPr="00217EA0"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F0779A">
              <w:rPr>
                <w:color w:val="000000"/>
                <w:spacing w:val="53"/>
                <w:shd w:val="solid" w:color="000000" w:fill="000000"/>
                <w:fitText w:val="330" w:id="-694415611"/>
                <w:lang w:val="en-AU"/>
                <w14:textFill>
                  <w14:solidFill>
                    <w14:srgbClr w14:val="000000">
                      <w14:alpha w14:val="100000"/>
                    </w14:srgbClr>
                  </w14:solidFill>
                </w14:textFill>
              </w:rPr>
              <w:t>|||</w:t>
            </w:r>
            <w:r w:rsidRPr="00F0779A">
              <w:rPr>
                <w:color w:val="000000"/>
                <w:spacing w:val="1"/>
                <w:shd w:val="solid" w:color="000000" w:fill="000000"/>
                <w:fitText w:val="330" w:id="-694415611"/>
                <w:lang w:val="en-AU"/>
                <w14:textFill>
                  <w14:solidFill>
                    <w14:srgbClr w14:val="000000">
                      <w14:alpha w14:val="100000"/>
                    </w14:srgbClr>
                  </w14:solidFill>
                </w14:textFill>
              </w:rPr>
              <w:t>|</w:t>
            </w:r>
            <w:r w:rsidR="007B07F9" w:rsidRPr="00217EA0">
              <w:rPr>
                <w:color w:val="auto"/>
                <w:lang w:val="en-AU"/>
              </w:rPr>
              <w:t>%</w:t>
            </w:r>
          </w:p>
        </w:tc>
      </w:tr>
      <w:tr w:rsidR="007900E9" w:rsidRPr="00217EA0" w14:paraId="0988C170" w14:textId="46D42FF9" w:rsidTr="00F0779A">
        <w:tc>
          <w:tcPr>
            <w:cnfStyle w:val="001000000000" w:firstRow="0" w:lastRow="0" w:firstColumn="1" w:lastColumn="0" w:oddVBand="0" w:evenVBand="0" w:oddHBand="0" w:evenHBand="0" w:firstRowFirstColumn="0" w:firstRowLastColumn="0" w:lastRowFirstColumn="0" w:lastRowLastColumn="0"/>
            <w:tcW w:w="4957" w:type="dxa"/>
          </w:tcPr>
          <w:p w14:paraId="1592DF70" w14:textId="1235042F" w:rsidR="007B07F9" w:rsidRPr="00217EA0" w:rsidRDefault="007B07F9" w:rsidP="00162F79">
            <w:pPr>
              <w:pStyle w:val="TableText"/>
              <w:rPr>
                <w:color w:val="auto"/>
                <w:lang w:val="en-AU"/>
              </w:rPr>
            </w:pPr>
            <w:r w:rsidRPr="00217EA0">
              <w:rPr>
                <w:color w:val="auto"/>
                <w:lang w:val="en-AU"/>
              </w:rPr>
              <w:t>Weibull in both arms</w:t>
            </w:r>
          </w:p>
        </w:tc>
        <w:tc>
          <w:tcPr>
            <w:tcW w:w="1134" w:type="dxa"/>
            <w:tcBorders>
              <w:bottom w:val="single" w:sz="4" w:space="0" w:color="auto"/>
            </w:tcBorders>
            <w:shd w:val="solid" w:color="000000" w:fill="000000"/>
          </w:tcPr>
          <w:p w14:paraId="3E928934" w14:textId="5F662AA2"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fitText w:val="330" w:id="-694415610"/>
                <w:lang w:val="en-AU"/>
                <w14:textFill>
                  <w14:solidFill>
                    <w14:srgbClr w14:val="000000">
                      <w14:alpha w14:val="100000"/>
                    </w14:srgbClr>
                  </w14:solidFill>
                </w14:textFill>
              </w:rPr>
              <w:t>|||</w:t>
            </w:r>
            <w:r w:rsidRPr="00F0779A">
              <w:rPr>
                <w:rFonts w:cs="Calibri"/>
                <w:color w:val="000000"/>
                <w:spacing w:val="1"/>
                <w:fitText w:val="330" w:id="-694415610"/>
                <w:lang w:val="en-AU"/>
                <w14:textFill>
                  <w14:solidFill>
                    <w14:srgbClr w14:val="000000">
                      <w14:alpha w14:val="100000"/>
                    </w14:srgbClr>
                  </w14:solidFill>
                </w14:textFill>
              </w:rPr>
              <w:t>|</w:t>
            </w:r>
          </w:p>
        </w:tc>
        <w:tc>
          <w:tcPr>
            <w:tcW w:w="1134" w:type="dxa"/>
          </w:tcPr>
          <w:p w14:paraId="16A66E9A" w14:textId="2311D77D"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6905BA">
              <w:rPr>
                <w:rFonts w:cs="Calibri"/>
                <w:color w:val="auto"/>
                <w:lang w:val="en-AU"/>
              </w:rPr>
              <w:t>1.16</w:t>
            </w:r>
          </w:p>
        </w:tc>
        <w:tc>
          <w:tcPr>
            <w:tcW w:w="992" w:type="dxa"/>
          </w:tcPr>
          <w:p w14:paraId="09EDD434" w14:textId="633C107A"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shd w:val="solid" w:color="000000" w:fill="000000"/>
                <w:fitText w:val="330" w:id="-694415609"/>
                <w:lang w:val="en-AU"/>
                <w14:textFill>
                  <w14:solidFill>
                    <w14:srgbClr w14:val="000000">
                      <w14:alpha w14:val="100000"/>
                    </w14:srgbClr>
                  </w14:solidFill>
                </w14:textFill>
              </w:rPr>
              <w:t>|||</w:t>
            </w:r>
            <w:r w:rsidRPr="00F0779A">
              <w:rPr>
                <w:rFonts w:cs="Calibri"/>
                <w:color w:val="000000"/>
                <w:spacing w:val="1"/>
                <w:shd w:val="solid" w:color="000000" w:fill="000000"/>
                <w:fitText w:val="330" w:id="-694415609"/>
                <w:lang w:val="en-AU"/>
                <w14:textFill>
                  <w14:solidFill>
                    <w14:srgbClr w14:val="000000">
                      <w14:alpha w14:val="100000"/>
                    </w14:srgbClr>
                  </w14:solidFill>
                </w14:textFill>
              </w:rPr>
              <w:t>|</w:t>
            </w:r>
            <w:r w:rsidR="00DD149D" w:rsidRPr="00DD149D">
              <w:rPr>
                <w:rFonts w:cs="Calibri"/>
                <w:b/>
                <w:bCs/>
                <w:color w:val="auto"/>
                <w:vertAlign w:val="superscript"/>
                <w:lang w:val="en-AU"/>
              </w:rPr>
              <w:t>1</w:t>
            </w:r>
          </w:p>
        </w:tc>
        <w:tc>
          <w:tcPr>
            <w:tcW w:w="799" w:type="dxa"/>
          </w:tcPr>
          <w:p w14:paraId="03F28298" w14:textId="418B9CCD"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w:t>
            </w:r>
            <w:r w:rsidR="00F0779A" w:rsidRPr="00F0779A">
              <w:rPr>
                <w:color w:val="000000"/>
                <w:spacing w:val="53"/>
                <w:shd w:val="solid" w:color="000000" w:fill="000000"/>
                <w:fitText w:val="330" w:id="-694415608"/>
                <w:lang w:val="en-AU"/>
                <w14:textFill>
                  <w14:solidFill>
                    <w14:srgbClr w14:val="000000">
                      <w14:alpha w14:val="100000"/>
                    </w14:srgbClr>
                  </w14:solidFill>
                </w14:textFill>
              </w:rPr>
              <w:t>|||</w:t>
            </w:r>
            <w:r w:rsidR="00F0779A" w:rsidRPr="00F0779A">
              <w:rPr>
                <w:color w:val="000000"/>
                <w:spacing w:val="1"/>
                <w:shd w:val="solid" w:color="000000" w:fill="000000"/>
                <w:fitText w:val="330" w:id="-694415608"/>
                <w:lang w:val="en-AU"/>
                <w14:textFill>
                  <w14:solidFill>
                    <w14:srgbClr w14:val="000000">
                      <w14:alpha w14:val="100000"/>
                    </w14:srgbClr>
                  </w14:solidFill>
                </w14:textFill>
              </w:rPr>
              <w:t>|</w:t>
            </w:r>
            <w:r w:rsidRPr="00217EA0">
              <w:rPr>
                <w:color w:val="auto"/>
                <w:lang w:val="en-AU"/>
              </w:rPr>
              <w:t>%</w:t>
            </w:r>
          </w:p>
        </w:tc>
      </w:tr>
      <w:tr w:rsidR="007900E9" w:rsidRPr="00217EA0" w14:paraId="213EE7E3" w14:textId="59B47118" w:rsidTr="00F0779A">
        <w:tc>
          <w:tcPr>
            <w:cnfStyle w:val="001000000000" w:firstRow="0" w:lastRow="0" w:firstColumn="1" w:lastColumn="0" w:oddVBand="0" w:evenVBand="0" w:oddHBand="0" w:evenHBand="0" w:firstRowFirstColumn="0" w:firstRowLastColumn="0" w:lastRowFirstColumn="0" w:lastRowLastColumn="0"/>
            <w:tcW w:w="4957" w:type="dxa"/>
          </w:tcPr>
          <w:p w14:paraId="5E718C59" w14:textId="4160CF39" w:rsidR="007B07F9" w:rsidRPr="00217EA0" w:rsidRDefault="007B07F9" w:rsidP="00162F79">
            <w:pPr>
              <w:pStyle w:val="TableText"/>
              <w:rPr>
                <w:color w:val="auto"/>
                <w:lang w:val="en-AU"/>
              </w:rPr>
            </w:pPr>
            <w:r w:rsidRPr="00217EA0">
              <w:rPr>
                <w:color w:val="auto"/>
                <w:lang w:val="en-AU"/>
              </w:rPr>
              <w:t>Gompertz in both arms</w:t>
            </w:r>
          </w:p>
        </w:tc>
        <w:tc>
          <w:tcPr>
            <w:tcW w:w="1134" w:type="dxa"/>
            <w:tcBorders>
              <w:bottom w:val="single" w:sz="4" w:space="0" w:color="auto"/>
            </w:tcBorders>
            <w:shd w:val="solid" w:color="000000" w:fill="000000"/>
          </w:tcPr>
          <w:p w14:paraId="4522280B" w14:textId="070A3C1B"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fitText w:val="330" w:id="-694415607"/>
                <w:lang w:val="en-AU"/>
                <w14:textFill>
                  <w14:solidFill>
                    <w14:srgbClr w14:val="000000">
                      <w14:alpha w14:val="100000"/>
                    </w14:srgbClr>
                  </w14:solidFill>
                </w14:textFill>
              </w:rPr>
              <w:t>|||</w:t>
            </w:r>
            <w:r w:rsidRPr="00F0779A">
              <w:rPr>
                <w:rFonts w:cs="Calibri"/>
                <w:color w:val="000000"/>
                <w:spacing w:val="1"/>
                <w:fitText w:val="330" w:id="-694415607"/>
                <w:lang w:val="en-AU"/>
                <w14:textFill>
                  <w14:solidFill>
                    <w14:srgbClr w14:val="000000">
                      <w14:alpha w14:val="100000"/>
                    </w14:srgbClr>
                  </w14:solidFill>
                </w14:textFill>
              </w:rPr>
              <w:t>|</w:t>
            </w:r>
          </w:p>
        </w:tc>
        <w:tc>
          <w:tcPr>
            <w:tcW w:w="1134" w:type="dxa"/>
          </w:tcPr>
          <w:p w14:paraId="4A67158C" w14:textId="1D19479F"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6905BA">
              <w:rPr>
                <w:rFonts w:cs="Calibri"/>
                <w:color w:val="auto"/>
                <w:lang w:val="en-AU"/>
              </w:rPr>
              <w:t>1.15</w:t>
            </w:r>
          </w:p>
        </w:tc>
        <w:tc>
          <w:tcPr>
            <w:tcW w:w="992" w:type="dxa"/>
          </w:tcPr>
          <w:p w14:paraId="6FB276BF" w14:textId="53AB8081"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shd w:val="solid" w:color="000000" w:fill="000000"/>
                <w:fitText w:val="330" w:id="-694415606"/>
                <w:lang w:val="en-AU"/>
                <w14:textFill>
                  <w14:solidFill>
                    <w14:srgbClr w14:val="000000">
                      <w14:alpha w14:val="100000"/>
                    </w14:srgbClr>
                  </w14:solidFill>
                </w14:textFill>
              </w:rPr>
              <w:t>|||</w:t>
            </w:r>
            <w:r w:rsidRPr="00F0779A">
              <w:rPr>
                <w:rFonts w:cs="Calibri"/>
                <w:color w:val="000000"/>
                <w:spacing w:val="1"/>
                <w:shd w:val="solid" w:color="000000" w:fill="000000"/>
                <w:fitText w:val="330" w:id="-694415606"/>
                <w:lang w:val="en-AU"/>
                <w14:textFill>
                  <w14:solidFill>
                    <w14:srgbClr w14:val="000000">
                      <w14:alpha w14:val="100000"/>
                    </w14:srgbClr>
                  </w14:solidFill>
                </w14:textFill>
              </w:rPr>
              <w:t>|</w:t>
            </w:r>
            <w:r w:rsidR="00DD149D" w:rsidRPr="00DD149D">
              <w:rPr>
                <w:rFonts w:cs="Calibri"/>
                <w:b/>
                <w:bCs/>
                <w:color w:val="auto"/>
                <w:vertAlign w:val="superscript"/>
                <w:lang w:val="en-AU"/>
              </w:rPr>
              <w:t>1</w:t>
            </w:r>
          </w:p>
        </w:tc>
        <w:tc>
          <w:tcPr>
            <w:tcW w:w="799" w:type="dxa"/>
          </w:tcPr>
          <w:p w14:paraId="2C8263E4" w14:textId="56F105BA"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w:t>
            </w:r>
            <w:r w:rsidR="00F0779A" w:rsidRPr="00F0779A">
              <w:rPr>
                <w:color w:val="000000"/>
                <w:spacing w:val="53"/>
                <w:shd w:val="solid" w:color="000000" w:fill="000000"/>
                <w:fitText w:val="330" w:id="-694415605"/>
                <w:lang w:val="en-AU"/>
                <w14:textFill>
                  <w14:solidFill>
                    <w14:srgbClr w14:val="000000">
                      <w14:alpha w14:val="100000"/>
                    </w14:srgbClr>
                  </w14:solidFill>
                </w14:textFill>
              </w:rPr>
              <w:t>|||</w:t>
            </w:r>
            <w:r w:rsidR="00F0779A" w:rsidRPr="00F0779A">
              <w:rPr>
                <w:color w:val="000000"/>
                <w:spacing w:val="1"/>
                <w:shd w:val="solid" w:color="000000" w:fill="000000"/>
                <w:fitText w:val="330" w:id="-694415605"/>
                <w:lang w:val="en-AU"/>
                <w14:textFill>
                  <w14:solidFill>
                    <w14:srgbClr w14:val="000000">
                      <w14:alpha w14:val="100000"/>
                    </w14:srgbClr>
                  </w14:solidFill>
                </w14:textFill>
              </w:rPr>
              <w:t>|</w:t>
            </w:r>
            <w:r w:rsidRPr="00217EA0">
              <w:rPr>
                <w:color w:val="auto"/>
                <w:lang w:val="en-AU"/>
              </w:rPr>
              <w:t>%</w:t>
            </w:r>
          </w:p>
        </w:tc>
      </w:tr>
      <w:tr w:rsidR="007900E9" w:rsidRPr="00217EA0" w14:paraId="2DE5632B" w14:textId="38A7AB0C" w:rsidTr="00F0779A">
        <w:tc>
          <w:tcPr>
            <w:cnfStyle w:val="001000000000" w:firstRow="0" w:lastRow="0" w:firstColumn="1" w:lastColumn="0" w:oddVBand="0" w:evenVBand="0" w:oddHBand="0" w:evenHBand="0" w:firstRowFirstColumn="0" w:firstRowLastColumn="0" w:lastRowFirstColumn="0" w:lastRowLastColumn="0"/>
            <w:tcW w:w="4957" w:type="dxa"/>
          </w:tcPr>
          <w:p w14:paraId="0552C2F0" w14:textId="573DF5D1" w:rsidR="007B07F9" w:rsidRPr="00217EA0" w:rsidRDefault="007B07F9" w:rsidP="00162F79">
            <w:pPr>
              <w:pStyle w:val="TableText"/>
              <w:rPr>
                <w:color w:val="auto"/>
                <w:lang w:val="en-AU"/>
              </w:rPr>
            </w:pPr>
            <w:r w:rsidRPr="00217EA0">
              <w:rPr>
                <w:color w:val="auto"/>
                <w:lang w:val="en-AU"/>
              </w:rPr>
              <w:t>Log-Logistic in both arms</w:t>
            </w:r>
          </w:p>
        </w:tc>
        <w:tc>
          <w:tcPr>
            <w:tcW w:w="1134" w:type="dxa"/>
            <w:tcBorders>
              <w:bottom w:val="single" w:sz="4" w:space="0" w:color="auto"/>
            </w:tcBorders>
            <w:shd w:val="solid" w:color="000000" w:fill="000000"/>
          </w:tcPr>
          <w:p w14:paraId="530D3200" w14:textId="670E46CA"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fitText w:val="330" w:id="-694415604"/>
                <w:lang w:val="en-AU"/>
                <w14:textFill>
                  <w14:solidFill>
                    <w14:srgbClr w14:val="000000">
                      <w14:alpha w14:val="100000"/>
                    </w14:srgbClr>
                  </w14:solidFill>
                </w14:textFill>
              </w:rPr>
              <w:t>|||</w:t>
            </w:r>
            <w:r w:rsidRPr="00F0779A">
              <w:rPr>
                <w:rFonts w:cs="Calibri"/>
                <w:color w:val="000000"/>
                <w:spacing w:val="1"/>
                <w:fitText w:val="330" w:id="-694415604"/>
                <w:lang w:val="en-AU"/>
                <w14:textFill>
                  <w14:solidFill>
                    <w14:srgbClr w14:val="000000">
                      <w14:alpha w14:val="100000"/>
                    </w14:srgbClr>
                  </w14:solidFill>
                </w14:textFill>
              </w:rPr>
              <w:t>|</w:t>
            </w:r>
          </w:p>
        </w:tc>
        <w:tc>
          <w:tcPr>
            <w:tcW w:w="1134" w:type="dxa"/>
          </w:tcPr>
          <w:p w14:paraId="3C440869" w14:textId="42304055"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6905BA">
              <w:rPr>
                <w:rFonts w:cs="Calibri"/>
                <w:color w:val="auto"/>
                <w:lang w:val="en-AU"/>
              </w:rPr>
              <w:t>1.18</w:t>
            </w:r>
          </w:p>
        </w:tc>
        <w:tc>
          <w:tcPr>
            <w:tcW w:w="992" w:type="dxa"/>
          </w:tcPr>
          <w:p w14:paraId="190378E4" w14:textId="6393E7C4"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shd w:val="solid" w:color="000000" w:fill="000000"/>
                <w:fitText w:val="330" w:id="-694415603"/>
                <w:lang w:val="en-AU"/>
                <w14:textFill>
                  <w14:solidFill>
                    <w14:srgbClr w14:val="000000">
                      <w14:alpha w14:val="100000"/>
                    </w14:srgbClr>
                  </w14:solidFill>
                </w14:textFill>
              </w:rPr>
              <w:t>|||</w:t>
            </w:r>
            <w:r w:rsidRPr="00F0779A">
              <w:rPr>
                <w:rFonts w:cs="Calibri"/>
                <w:color w:val="000000"/>
                <w:spacing w:val="1"/>
                <w:shd w:val="solid" w:color="000000" w:fill="000000"/>
                <w:fitText w:val="330" w:id="-694415603"/>
                <w:lang w:val="en-AU"/>
                <w14:textFill>
                  <w14:solidFill>
                    <w14:srgbClr w14:val="000000">
                      <w14:alpha w14:val="100000"/>
                    </w14:srgbClr>
                  </w14:solidFill>
                </w14:textFill>
              </w:rPr>
              <w:t>|</w:t>
            </w:r>
            <w:r w:rsidR="006A0675" w:rsidRPr="000F5CFF">
              <w:rPr>
                <w:color w:val="auto"/>
                <w:vertAlign w:val="superscript"/>
                <w:lang w:val="en-AU"/>
              </w:rPr>
              <w:t>2</w:t>
            </w:r>
          </w:p>
        </w:tc>
        <w:tc>
          <w:tcPr>
            <w:tcW w:w="799" w:type="dxa"/>
          </w:tcPr>
          <w:p w14:paraId="35418704" w14:textId="0BEAC70C" w:rsidR="007B07F9" w:rsidRPr="00217EA0"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F0779A">
              <w:rPr>
                <w:color w:val="000000"/>
                <w:spacing w:val="53"/>
                <w:shd w:val="solid" w:color="000000" w:fill="000000"/>
                <w:fitText w:val="330" w:id="-694415602"/>
                <w:lang w:val="en-AU"/>
                <w14:textFill>
                  <w14:solidFill>
                    <w14:srgbClr w14:val="000000">
                      <w14:alpha w14:val="100000"/>
                    </w14:srgbClr>
                  </w14:solidFill>
                </w14:textFill>
              </w:rPr>
              <w:t>|||</w:t>
            </w:r>
            <w:r w:rsidRPr="00F0779A">
              <w:rPr>
                <w:color w:val="000000"/>
                <w:spacing w:val="1"/>
                <w:shd w:val="solid" w:color="000000" w:fill="000000"/>
                <w:fitText w:val="330" w:id="-694415602"/>
                <w:lang w:val="en-AU"/>
                <w14:textFill>
                  <w14:solidFill>
                    <w14:srgbClr w14:val="000000">
                      <w14:alpha w14:val="100000"/>
                    </w14:srgbClr>
                  </w14:solidFill>
                </w14:textFill>
              </w:rPr>
              <w:t>|</w:t>
            </w:r>
            <w:r w:rsidR="007B07F9" w:rsidRPr="00217EA0">
              <w:rPr>
                <w:color w:val="auto"/>
                <w:lang w:val="en-AU"/>
              </w:rPr>
              <w:t>%</w:t>
            </w:r>
          </w:p>
        </w:tc>
      </w:tr>
      <w:tr w:rsidR="007900E9" w:rsidRPr="00217EA0" w14:paraId="737B7586" w14:textId="17B8F02C" w:rsidTr="00F0779A">
        <w:tc>
          <w:tcPr>
            <w:cnfStyle w:val="001000000000" w:firstRow="0" w:lastRow="0" w:firstColumn="1" w:lastColumn="0" w:oddVBand="0" w:evenVBand="0" w:oddHBand="0" w:evenHBand="0" w:firstRowFirstColumn="0" w:firstRowLastColumn="0" w:lastRowFirstColumn="0" w:lastRowLastColumn="0"/>
            <w:tcW w:w="4957" w:type="dxa"/>
          </w:tcPr>
          <w:p w14:paraId="541A43BC" w14:textId="452987D4" w:rsidR="007B07F9" w:rsidRPr="00217EA0" w:rsidRDefault="007B07F9" w:rsidP="00162F79">
            <w:pPr>
              <w:pStyle w:val="TableText"/>
              <w:rPr>
                <w:color w:val="auto"/>
                <w:lang w:val="en-AU"/>
              </w:rPr>
            </w:pPr>
            <w:r w:rsidRPr="00217EA0">
              <w:rPr>
                <w:color w:val="auto"/>
                <w:lang w:val="en-AU"/>
              </w:rPr>
              <w:t>Log normal in both arms</w:t>
            </w:r>
          </w:p>
        </w:tc>
        <w:tc>
          <w:tcPr>
            <w:tcW w:w="1134" w:type="dxa"/>
            <w:tcBorders>
              <w:bottom w:val="single" w:sz="4" w:space="0" w:color="auto"/>
            </w:tcBorders>
            <w:shd w:val="solid" w:color="000000" w:fill="000000"/>
          </w:tcPr>
          <w:p w14:paraId="0EA55858" w14:textId="24F76264"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fitText w:val="330" w:id="-694415601"/>
                <w:lang w:val="en-AU"/>
                <w14:textFill>
                  <w14:solidFill>
                    <w14:srgbClr w14:val="000000">
                      <w14:alpha w14:val="100000"/>
                    </w14:srgbClr>
                  </w14:solidFill>
                </w14:textFill>
              </w:rPr>
              <w:t>|||</w:t>
            </w:r>
            <w:r w:rsidRPr="00F0779A">
              <w:rPr>
                <w:rFonts w:cs="Calibri"/>
                <w:color w:val="000000"/>
                <w:spacing w:val="1"/>
                <w:fitText w:val="330" w:id="-694415601"/>
                <w:lang w:val="en-AU"/>
                <w14:textFill>
                  <w14:solidFill>
                    <w14:srgbClr w14:val="000000">
                      <w14:alpha w14:val="100000"/>
                    </w14:srgbClr>
                  </w14:solidFill>
                </w14:textFill>
              </w:rPr>
              <w:t>|</w:t>
            </w:r>
          </w:p>
        </w:tc>
        <w:tc>
          <w:tcPr>
            <w:tcW w:w="1134" w:type="dxa"/>
          </w:tcPr>
          <w:p w14:paraId="783AE1A9" w14:textId="5FE9CBBC"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6905BA">
              <w:rPr>
                <w:rFonts w:cs="Calibri"/>
                <w:color w:val="auto"/>
                <w:lang w:val="en-AU"/>
              </w:rPr>
              <w:t>1.18</w:t>
            </w:r>
          </w:p>
        </w:tc>
        <w:tc>
          <w:tcPr>
            <w:tcW w:w="992" w:type="dxa"/>
          </w:tcPr>
          <w:p w14:paraId="05F00B5B" w14:textId="77D7E0ED"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shd w:val="solid" w:color="000000" w:fill="000000"/>
                <w:fitText w:val="330" w:id="-694415600"/>
                <w:lang w:val="en-AU"/>
                <w14:textFill>
                  <w14:solidFill>
                    <w14:srgbClr w14:val="000000">
                      <w14:alpha w14:val="100000"/>
                    </w14:srgbClr>
                  </w14:solidFill>
                </w14:textFill>
              </w:rPr>
              <w:t>|||</w:t>
            </w:r>
            <w:r w:rsidRPr="00F0779A">
              <w:rPr>
                <w:rFonts w:cs="Calibri"/>
                <w:color w:val="000000"/>
                <w:spacing w:val="1"/>
                <w:shd w:val="solid" w:color="000000" w:fill="000000"/>
                <w:fitText w:val="330" w:id="-694415600"/>
                <w:lang w:val="en-AU"/>
                <w14:textFill>
                  <w14:solidFill>
                    <w14:srgbClr w14:val="000000">
                      <w14:alpha w14:val="100000"/>
                    </w14:srgbClr>
                  </w14:solidFill>
                </w14:textFill>
              </w:rPr>
              <w:t>|</w:t>
            </w:r>
            <w:r w:rsidR="006A0675" w:rsidRPr="000F5CFF">
              <w:rPr>
                <w:color w:val="auto"/>
                <w:vertAlign w:val="superscript"/>
                <w:lang w:val="en-AU"/>
              </w:rPr>
              <w:t>2</w:t>
            </w:r>
          </w:p>
        </w:tc>
        <w:tc>
          <w:tcPr>
            <w:tcW w:w="799" w:type="dxa"/>
          </w:tcPr>
          <w:p w14:paraId="64F05861" w14:textId="3BAB67FA" w:rsidR="007B07F9" w:rsidRPr="00217EA0"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F0779A">
              <w:rPr>
                <w:color w:val="000000"/>
                <w:spacing w:val="53"/>
                <w:shd w:val="solid" w:color="000000" w:fill="000000"/>
                <w:fitText w:val="330" w:id="-694415616"/>
                <w:lang w:val="en-AU"/>
                <w14:textFill>
                  <w14:solidFill>
                    <w14:srgbClr w14:val="000000">
                      <w14:alpha w14:val="100000"/>
                    </w14:srgbClr>
                  </w14:solidFill>
                </w14:textFill>
              </w:rPr>
              <w:t>|||</w:t>
            </w:r>
            <w:r w:rsidRPr="00F0779A">
              <w:rPr>
                <w:color w:val="000000"/>
                <w:spacing w:val="1"/>
                <w:shd w:val="solid" w:color="000000" w:fill="000000"/>
                <w:fitText w:val="330" w:id="-694415616"/>
                <w:lang w:val="en-AU"/>
                <w14:textFill>
                  <w14:solidFill>
                    <w14:srgbClr w14:val="000000">
                      <w14:alpha w14:val="100000"/>
                    </w14:srgbClr>
                  </w14:solidFill>
                </w14:textFill>
              </w:rPr>
              <w:t>|</w:t>
            </w:r>
            <w:r w:rsidR="007B07F9" w:rsidRPr="00217EA0">
              <w:rPr>
                <w:color w:val="auto"/>
                <w:lang w:val="en-AU"/>
              </w:rPr>
              <w:t>%</w:t>
            </w:r>
          </w:p>
        </w:tc>
      </w:tr>
      <w:tr w:rsidR="007900E9" w:rsidRPr="00217EA0" w14:paraId="2C80FB18" w14:textId="2DB5578D" w:rsidTr="00F0779A">
        <w:tc>
          <w:tcPr>
            <w:cnfStyle w:val="001000000000" w:firstRow="0" w:lastRow="0" w:firstColumn="1" w:lastColumn="0" w:oddVBand="0" w:evenVBand="0" w:oddHBand="0" w:evenHBand="0" w:firstRowFirstColumn="0" w:firstRowLastColumn="0" w:lastRowFirstColumn="0" w:lastRowLastColumn="0"/>
            <w:tcW w:w="4957" w:type="dxa"/>
          </w:tcPr>
          <w:p w14:paraId="62589249" w14:textId="0A0E53DE" w:rsidR="007B07F9" w:rsidRPr="00217EA0" w:rsidRDefault="007B07F9" w:rsidP="00162F79">
            <w:pPr>
              <w:pStyle w:val="TableText"/>
              <w:rPr>
                <w:color w:val="auto"/>
                <w:lang w:val="en-AU"/>
              </w:rPr>
            </w:pPr>
            <w:r w:rsidRPr="00217EA0">
              <w:rPr>
                <w:color w:val="auto"/>
                <w:lang w:val="en-AU"/>
              </w:rPr>
              <w:t>Generalised gamma in both arms</w:t>
            </w:r>
          </w:p>
        </w:tc>
        <w:tc>
          <w:tcPr>
            <w:tcW w:w="1134" w:type="dxa"/>
            <w:tcBorders>
              <w:bottom w:val="single" w:sz="4" w:space="0" w:color="auto"/>
            </w:tcBorders>
            <w:shd w:val="solid" w:color="000000" w:fill="000000"/>
          </w:tcPr>
          <w:p w14:paraId="7AF0D70D" w14:textId="63CC8D1A"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fitText w:val="330" w:id="-694415615"/>
                <w:lang w:val="en-AU"/>
                <w14:textFill>
                  <w14:solidFill>
                    <w14:srgbClr w14:val="000000">
                      <w14:alpha w14:val="100000"/>
                    </w14:srgbClr>
                  </w14:solidFill>
                </w14:textFill>
              </w:rPr>
              <w:t>|||</w:t>
            </w:r>
            <w:r w:rsidRPr="00F0779A">
              <w:rPr>
                <w:rFonts w:cs="Calibri"/>
                <w:color w:val="000000"/>
                <w:spacing w:val="1"/>
                <w:fitText w:val="330" w:id="-694415615"/>
                <w:lang w:val="en-AU"/>
                <w14:textFill>
                  <w14:solidFill>
                    <w14:srgbClr w14:val="000000">
                      <w14:alpha w14:val="100000"/>
                    </w14:srgbClr>
                  </w14:solidFill>
                </w14:textFill>
              </w:rPr>
              <w:t>|</w:t>
            </w:r>
          </w:p>
        </w:tc>
        <w:tc>
          <w:tcPr>
            <w:tcW w:w="1134" w:type="dxa"/>
          </w:tcPr>
          <w:p w14:paraId="04771A71" w14:textId="2362D73A"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6905BA">
              <w:rPr>
                <w:rFonts w:cs="Calibri"/>
                <w:color w:val="auto"/>
                <w:lang w:val="en-AU"/>
              </w:rPr>
              <w:t>1.15</w:t>
            </w:r>
          </w:p>
        </w:tc>
        <w:tc>
          <w:tcPr>
            <w:tcW w:w="992" w:type="dxa"/>
          </w:tcPr>
          <w:p w14:paraId="683E192C" w14:textId="2450CB2F"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shd w:val="solid" w:color="000000" w:fill="000000"/>
                <w:fitText w:val="330" w:id="-694415614"/>
                <w:lang w:val="en-AU"/>
                <w14:textFill>
                  <w14:solidFill>
                    <w14:srgbClr w14:val="000000">
                      <w14:alpha w14:val="100000"/>
                    </w14:srgbClr>
                  </w14:solidFill>
                </w14:textFill>
              </w:rPr>
              <w:t>|||</w:t>
            </w:r>
            <w:r w:rsidRPr="00F0779A">
              <w:rPr>
                <w:rFonts w:cs="Calibri"/>
                <w:color w:val="000000"/>
                <w:spacing w:val="1"/>
                <w:shd w:val="solid" w:color="000000" w:fill="000000"/>
                <w:fitText w:val="330" w:id="-694415614"/>
                <w:lang w:val="en-AU"/>
                <w14:textFill>
                  <w14:solidFill>
                    <w14:srgbClr w14:val="000000">
                      <w14:alpha w14:val="100000"/>
                    </w14:srgbClr>
                  </w14:solidFill>
                </w14:textFill>
              </w:rPr>
              <w:t>|</w:t>
            </w:r>
            <w:r w:rsidR="00DD149D" w:rsidRPr="00DD149D">
              <w:rPr>
                <w:rFonts w:cs="Calibri"/>
                <w:b/>
                <w:bCs/>
                <w:color w:val="auto"/>
                <w:vertAlign w:val="superscript"/>
                <w:lang w:val="en-AU"/>
              </w:rPr>
              <w:t>1</w:t>
            </w:r>
          </w:p>
        </w:tc>
        <w:tc>
          <w:tcPr>
            <w:tcW w:w="799" w:type="dxa"/>
          </w:tcPr>
          <w:p w14:paraId="315888B3" w14:textId="1C91D853"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w:t>
            </w:r>
            <w:r w:rsidR="00F0779A" w:rsidRPr="00F0779A">
              <w:rPr>
                <w:color w:val="000000"/>
                <w:spacing w:val="53"/>
                <w:shd w:val="solid" w:color="000000" w:fill="000000"/>
                <w:fitText w:val="330" w:id="-694415613"/>
                <w:lang w:val="en-AU"/>
                <w14:textFill>
                  <w14:solidFill>
                    <w14:srgbClr w14:val="000000">
                      <w14:alpha w14:val="100000"/>
                    </w14:srgbClr>
                  </w14:solidFill>
                </w14:textFill>
              </w:rPr>
              <w:t>|||</w:t>
            </w:r>
            <w:r w:rsidR="00F0779A" w:rsidRPr="00F0779A">
              <w:rPr>
                <w:color w:val="000000"/>
                <w:spacing w:val="1"/>
                <w:shd w:val="solid" w:color="000000" w:fill="000000"/>
                <w:fitText w:val="330" w:id="-694415613"/>
                <w:lang w:val="en-AU"/>
                <w14:textFill>
                  <w14:solidFill>
                    <w14:srgbClr w14:val="000000">
                      <w14:alpha w14:val="100000"/>
                    </w14:srgbClr>
                  </w14:solidFill>
                </w14:textFill>
              </w:rPr>
              <w:t>|</w:t>
            </w:r>
            <w:r w:rsidRPr="00217EA0">
              <w:rPr>
                <w:color w:val="auto"/>
                <w:lang w:val="en-AU"/>
              </w:rPr>
              <w:t>%</w:t>
            </w:r>
          </w:p>
        </w:tc>
      </w:tr>
      <w:tr w:rsidR="007900E9" w:rsidRPr="00217EA0" w14:paraId="44228CFF" w14:textId="77777777" w:rsidTr="00F0779A">
        <w:tc>
          <w:tcPr>
            <w:cnfStyle w:val="001000000000" w:firstRow="0" w:lastRow="0" w:firstColumn="1" w:lastColumn="0" w:oddVBand="0" w:evenVBand="0" w:oddHBand="0" w:evenHBand="0" w:firstRowFirstColumn="0" w:firstRowLastColumn="0" w:lastRowFirstColumn="0" w:lastRowLastColumn="0"/>
            <w:tcW w:w="4957" w:type="dxa"/>
          </w:tcPr>
          <w:p w14:paraId="6B2D86CE" w14:textId="77777777" w:rsidR="007B07F9" w:rsidRPr="00217EA0" w:rsidRDefault="007B07F9" w:rsidP="00162F79">
            <w:pPr>
              <w:pStyle w:val="TableText"/>
              <w:rPr>
                <w:color w:val="auto"/>
                <w:lang w:val="en-AU"/>
              </w:rPr>
            </w:pPr>
            <w:r w:rsidRPr="00217EA0">
              <w:rPr>
                <w:color w:val="auto"/>
                <w:lang w:val="en-AU"/>
              </w:rPr>
              <w:t>Best fitting in both arms (Gompertz for FUTI and Lognormal for FOLFOX)</w:t>
            </w:r>
          </w:p>
        </w:tc>
        <w:tc>
          <w:tcPr>
            <w:tcW w:w="1134" w:type="dxa"/>
            <w:tcBorders>
              <w:bottom w:val="single" w:sz="4" w:space="0" w:color="auto"/>
            </w:tcBorders>
            <w:shd w:val="solid" w:color="000000" w:fill="000000"/>
          </w:tcPr>
          <w:p w14:paraId="4C998ACA" w14:textId="108F745B"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auto"/>
                <w:highlight w:val="darkGray"/>
                <w:lang w:val="en-AU"/>
              </w:rPr>
            </w:pPr>
            <w:r w:rsidRPr="00F0779A">
              <w:rPr>
                <w:rFonts w:cs="Calibri"/>
                <w:color w:val="000000"/>
                <w:spacing w:val="53"/>
                <w:fitText w:val="330" w:id="-694415612"/>
                <w:lang w:val="en-AU"/>
                <w14:textFill>
                  <w14:solidFill>
                    <w14:srgbClr w14:val="000000">
                      <w14:alpha w14:val="100000"/>
                    </w14:srgbClr>
                  </w14:solidFill>
                </w14:textFill>
              </w:rPr>
              <w:t>|||</w:t>
            </w:r>
            <w:r w:rsidRPr="00F0779A">
              <w:rPr>
                <w:rFonts w:cs="Calibri"/>
                <w:color w:val="000000"/>
                <w:spacing w:val="1"/>
                <w:fitText w:val="330" w:id="-694415612"/>
                <w:lang w:val="en-AU"/>
                <w14:textFill>
                  <w14:solidFill>
                    <w14:srgbClr w14:val="000000">
                      <w14:alpha w14:val="100000"/>
                    </w14:srgbClr>
                  </w14:solidFill>
                </w14:textFill>
              </w:rPr>
              <w:t>|</w:t>
            </w:r>
          </w:p>
        </w:tc>
        <w:tc>
          <w:tcPr>
            <w:tcW w:w="1134" w:type="dxa"/>
          </w:tcPr>
          <w:p w14:paraId="396E4E43" w14:textId="77777777"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auto"/>
                <w:lang w:val="en-AU"/>
              </w:rPr>
            </w:pPr>
            <w:r w:rsidRPr="006905BA">
              <w:rPr>
                <w:rFonts w:cs="Calibri"/>
                <w:color w:val="auto"/>
                <w:lang w:val="en-AU"/>
              </w:rPr>
              <w:t>1.15</w:t>
            </w:r>
          </w:p>
        </w:tc>
        <w:tc>
          <w:tcPr>
            <w:tcW w:w="992" w:type="dxa"/>
          </w:tcPr>
          <w:p w14:paraId="57BD22E0" w14:textId="67EBA7E9"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auto"/>
                <w:highlight w:val="darkGray"/>
                <w:lang w:val="en-AU"/>
              </w:rPr>
            </w:pPr>
            <w:r w:rsidRPr="00F0779A">
              <w:rPr>
                <w:rFonts w:cs="Calibri"/>
                <w:color w:val="000000"/>
                <w:spacing w:val="53"/>
                <w:shd w:val="solid" w:color="000000" w:fill="000000"/>
                <w:fitText w:val="330" w:id="-694415611"/>
                <w:lang w:val="en-AU"/>
                <w14:textFill>
                  <w14:solidFill>
                    <w14:srgbClr w14:val="000000">
                      <w14:alpha w14:val="100000"/>
                    </w14:srgbClr>
                  </w14:solidFill>
                </w14:textFill>
              </w:rPr>
              <w:t>|||</w:t>
            </w:r>
            <w:r w:rsidRPr="00F0779A">
              <w:rPr>
                <w:rFonts w:cs="Calibri"/>
                <w:color w:val="000000"/>
                <w:spacing w:val="1"/>
                <w:shd w:val="solid" w:color="000000" w:fill="000000"/>
                <w:fitText w:val="330" w:id="-694415611"/>
                <w:lang w:val="en-AU"/>
                <w14:textFill>
                  <w14:solidFill>
                    <w14:srgbClr w14:val="000000">
                      <w14:alpha w14:val="100000"/>
                    </w14:srgbClr>
                  </w14:solidFill>
                </w14:textFill>
              </w:rPr>
              <w:t>|</w:t>
            </w:r>
            <w:r w:rsidR="00DD149D" w:rsidRPr="00DD149D">
              <w:rPr>
                <w:rFonts w:cs="Calibri"/>
                <w:b/>
                <w:bCs/>
                <w:color w:val="auto"/>
                <w:vertAlign w:val="superscript"/>
                <w:lang w:val="en-AU"/>
              </w:rPr>
              <w:t>1</w:t>
            </w:r>
          </w:p>
        </w:tc>
        <w:tc>
          <w:tcPr>
            <w:tcW w:w="799" w:type="dxa"/>
          </w:tcPr>
          <w:p w14:paraId="0DEFD09B" w14:textId="49551460"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w:t>
            </w:r>
            <w:r w:rsidR="00F0779A" w:rsidRPr="00F0779A">
              <w:rPr>
                <w:color w:val="000000"/>
                <w:spacing w:val="53"/>
                <w:shd w:val="solid" w:color="000000" w:fill="000000"/>
                <w:fitText w:val="330" w:id="-694415610"/>
                <w:lang w:val="en-AU"/>
                <w14:textFill>
                  <w14:solidFill>
                    <w14:srgbClr w14:val="000000">
                      <w14:alpha w14:val="100000"/>
                    </w14:srgbClr>
                  </w14:solidFill>
                </w14:textFill>
              </w:rPr>
              <w:t>|||</w:t>
            </w:r>
            <w:r w:rsidR="00F0779A" w:rsidRPr="00F0779A">
              <w:rPr>
                <w:color w:val="000000"/>
                <w:spacing w:val="1"/>
                <w:shd w:val="solid" w:color="000000" w:fill="000000"/>
                <w:fitText w:val="330" w:id="-694415610"/>
                <w:lang w:val="en-AU"/>
                <w14:textFill>
                  <w14:solidFill>
                    <w14:srgbClr w14:val="000000">
                      <w14:alpha w14:val="100000"/>
                    </w14:srgbClr>
                  </w14:solidFill>
                </w14:textFill>
              </w:rPr>
              <w:t>|</w:t>
            </w:r>
            <w:r w:rsidRPr="00217EA0">
              <w:rPr>
                <w:color w:val="auto"/>
                <w:lang w:val="en-AU"/>
              </w:rPr>
              <w:t>%</w:t>
            </w:r>
          </w:p>
        </w:tc>
      </w:tr>
      <w:tr w:rsidR="007900E9" w:rsidRPr="00217EA0" w14:paraId="7846003A" w14:textId="77777777" w:rsidTr="00F0779A">
        <w:tc>
          <w:tcPr>
            <w:cnfStyle w:val="001000000000" w:firstRow="0" w:lastRow="0" w:firstColumn="1" w:lastColumn="0" w:oddVBand="0" w:evenVBand="0" w:oddHBand="0" w:evenHBand="0" w:firstRowFirstColumn="0" w:firstRowLastColumn="0" w:lastRowFirstColumn="0" w:lastRowLastColumn="0"/>
            <w:tcW w:w="4957" w:type="dxa"/>
          </w:tcPr>
          <w:p w14:paraId="7C87DF6F" w14:textId="77777777" w:rsidR="007B07F9" w:rsidRPr="00217EA0" w:rsidRDefault="007B07F9" w:rsidP="00162F79">
            <w:pPr>
              <w:pStyle w:val="TableText"/>
              <w:rPr>
                <w:color w:val="auto"/>
                <w:lang w:val="en-AU"/>
              </w:rPr>
            </w:pPr>
            <w:r w:rsidRPr="00217EA0">
              <w:rPr>
                <w:color w:val="auto"/>
                <w:lang w:val="en-AU"/>
              </w:rPr>
              <w:t>Best fitting (Gompertz) for FUTI</w:t>
            </w:r>
          </w:p>
        </w:tc>
        <w:tc>
          <w:tcPr>
            <w:tcW w:w="1134" w:type="dxa"/>
            <w:tcBorders>
              <w:bottom w:val="single" w:sz="4" w:space="0" w:color="auto"/>
            </w:tcBorders>
            <w:shd w:val="solid" w:color="000000" w:fill="000000"/>
          </w:tcPr>
          <w:p w14:paraId="0393AC80" w14:textId="41CD61ED"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auto"/>
                <w:highlight w:val="darkGray"/>
                <w:lang w:val="en-AU"/>
              </w:rPr>
            </w:pPr>
            <w:r w:rsidRPr="00F0779A">
              <w:rPr>
                <w:rFonts w:cs="Calibri"/>
                <w:color w:val="000000"/>
                <w:spacing w:val="53"/>
                <w:fitText w:val="330" w:id="-694415609"/>
                <w:lang w:val="en-AU"/>
                <w14:textFill>
                  <w14:solidFill>
                    <w14:srgbClr w14:val="000000">
                      <w14:alpha w14:val="100000"/>
                    </w14:srgbClr>
                  </w14:solidFill>
                </w14:textFill>
              </w:rPr>
              <w:t>|||</w:t>
            </w:r>
            <w:r w:rsidRPr="00F0779A">
              <w:rPr>
                <w:rFonts w:cs="Calibri"/>
                <w:color w:val="000000"/>
                <w:spacing w:val="1"/>
                <w:fitText w:val="330" w:id="-694415609"/>
                <w:lang w:val="en-AU"/>
                <w14:textFill>
                  <w14:solidFill>
                    <w14:srgbClr w14:val="000000">
                      <w14:alpha w14:val="100000"/>
                    </w14:srgbClr>
                  </w14:solidFill>
                </w14:textFill>
              </w:rPr>
              <w:t>|</w:t>
            </w:r>
          </w:p>
        </w:tc>
        <w:tc>
          <w:tcPr>
            <w:tcW w:w="1134" w:type="dxa"/>
          </w:tcPr>
          <w:p w14:paraId="534D51B0" w14:textId="77777777"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auto"/>
                <w:lang w:val="en-AU"/>
              </w:rPr>
            </w:pPr>
            <w:r w:rsidRPr="006905BA">
              <w:rPr>
                <w:rFonts w:cs="Calibri"/>
                <w:color w:val="auto"/>
                <w:lang w:val="en-AU"/>
              </w:rPr>
              <w:t>1.16</w:t>
            </w:r>
          </w:p>
        </w:tc>
        <w:tc>
          <w:tcPr>
            <w:tcW w:w="992" w:type="dxa"/>
          </w:tcPr>
          <w:p w14:paraId="5843A6B3" w14:textId="13BA0956"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auto"/>
                <w:highlight w:val="darkGray"/>
                <w:lang w:val="en-AU"/>
              </w:rPr>
            </w:pPr>
            <w:r w:rsidRPr="00F0779A">
              <w:rPr>
                <w:rFonts w:cs="Calibri"/>
                <w:color w:val="000000"/>
                <w:spacing w:val="53"/>
                <w:shd w:val="solid" w:color="000000" w:fill="000000"/>
                <w:fitText w:val="330" w:id="-694415608"/>
                <w:lang w:val="en-AU"/>
                <w14:textFill>
                  <w14:solidFill>
                    <w14:srgbClr w14:val="000000">
                      <w14:alpha w14:val="100000"/>
                    </w14:srgbClr>
                  </w14:solidFill>
                </w14:textFill>
              </w:rPr>
              <w:t>|||</w:t>
            </w:r>
            <w:r w:rsidRPr="00F0779A">
              <w:rPr>
                <w:rFonts w:cs="Calibri"/>
                <w:color w:val="000000"/>
                <w:spacing w:val="1"/>
                <w:shd w:val="solid" w:color="000000" w:fill="000000"/>
                <w:fitText w:val="330" w:id="-694415608"/>
                <w:lang w:val="en-AU"/>
                <w14:textFill>
                  <w14:solidFill>
                    <w14:srgbClr w14:val="000000">
                      <w14:alpha w14:val="100000"/>
                    </w14:srgbClr>
                  </w14:solidFill>
                </w14:textFill>
              </w:rPr>
              <w:t>|</w:t>
            </w:r>
            <w:r w:rsidR="00DD149D" w:rsidRPr="00DD149D">
              <w:rPr>
                <w:rFonts w:cs="Calibri"/>
                <w:b/>
                <w:bCs/>
                <w:color w:val="auto"/>
                <w:vertAlign w:val="superscript"/>
                <w:lang w:val="en-AU"/>
              </w:rPr>
              <w:t>1</w:t>
            </w:r>
          </w:p>
        </w:tc>
        <w:tc>
          <w:tcPr>
            <w:tcW w:w="799" w:type="dxa"/>
          </w:tcPr>
          <w:p w14:paraId="365F1218" w14:textId="5FB038AB"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w:t>
            </w:r>
            <w:r w:rsidR="00F0779A" w:rsidRPr="00F0779A">
              <w:rPr>
                <w:color w:val="000000"/>
                <w:spacing w:val="53"/>
                <w:shd w:val="solid" w:color="000000" w:fill="000000"/>
                <w:fitText w:val="330" w:id="-694415607"/>
                <w:lang w:val="en-AU"/>
                <w14:textFill>
                  <w14:solidFill>
                    <w14:srgbClr w14:val="000000">
                      <w14:alpha w14:val="100000"/>
                    </w14:srgbClr>
                  </w14:solidFill>
                </w14:textFill>
              </w:rPr>
              <w:t>|||</w:t>
            </w:r>
            <w:r w:rsidR="00F0779A" w:rsidRPr="00F0779A">
              <w:rPr>
                <w:color w:val="000000"/>
                <w:spacing w:val="1"/>
                <w:shd w:val="solid" w:color="000000" w:fill="000000"/>
                <w:fitText w:val="330" w:id="-694415607"/>
                <w:lang w:val="en-AU"/>
                <w14:textFill>
                  <w14:solidFill>
                    <w14:srgbClr w14:val="000000">
                      <w14:alpha w14:val="100000"/>
                    </w14:srgbClr>
                  </w14:solidFill>
                </w14:textFill>
              </w:rPr>
              <w:t>|</w:t>
            </w:r>
            <w:r w:rsidRPr="00217EA0">
              <w:rPr>
                <w:color w:val="auto"/>
                <w:lang w:val="en-AU"/>
              </w:rPr>
              <w:t>%</w:t>
            </w:r>
          </w:p>
        </w:tc>
      </w:tr>
      <w:tr w:rsidR="007900E9" w:rsidRPr="00217EA0" w14:paraId="07C18127" w14:textId="77777777" w:rsidTr="00F0779A">
        <w:tc>
          <w:tcPr>
            <w:cnfStyle w:val="001000000000" w:firstRow="0" w:lastRow="0" w:firstColumn="1" w:lastColumn="0" w:oddVBand="0" w:evenVBand="0" w:oddHBand="0" w:evenHBand="0" w:firstRowFirstColumn="0" w:firstRowLastColumn="0" w:lastRowFirstColumn="0" w:lastRowLastColumn="0"/>
            <w:tcW w:w="4957" w:type="dxa"/>
          </w:tcPr>
          <w:p w14:paraId="3083A549" w14:textId="77777777" w:rsidR="007B07F9" w:rsidRPr="00217EA0" w:rsidRDefault="007B07F9" w:rsidP="00162F79">
            <w:pPr>
              <w:pStyle w:val="TableText"/>
              <w:rPr>
                <w:color w:val="auto"/>
                <w:lang w:val="en-AU"/>
              </w:rPr>
            </w:pPr>
            <w:r w:rsidRPr="00217EA0">
              <w:rPr>
                <w:color w:val="auto"/>
                <w:lang w:val="en-AU"/>
              </w:rPr>
              <w:t>Best fitting (Lognormal) for FOLFOX</w:t>
            </w:r>
          </w:p>
        </w:tc>
        <w:tc>
          <w:tcPr>
            <w:tcW w:w="1134" w:type="dxa"/>
            <w:shd w:val="solid" w:color="000000" w:fill="000000"/>
          </w:tcPr>
          <w:p w14:paraId="4568B0DE" w14:textId="3A00DD7C"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color w:val="000000"/>
                <w:spacing w:val="53"/>
                <w:fitText w:val="330" w:id="-694415606"/>
                <w:lang w:val="en-AU"/>
                <w14:textFill>
                  <w14:solidFill>
                    <w14:srgbClr w14:val="000000">
                      <w14:alpha w14:val="100000"/>
                    </w14:srgbClr>
                  </w14:solidFill>
                </w14:textFill>
              </w:rPr>
              <w:t>|||</w:t>
            </w:r>
            <w:r w:rsidRPr="00F0779A">
              <w:rPr>
                <w:color w:val="000000"/>
                <w:spacing w:val="1"/>
                <w:fitText w:val="330" w:id="-694415606"/>
                <w:lang w:val="en-AU"/>
                <w14:textFill>
                  <w14:solidFill>
                    <w14:srgbClr w14:val="000000">
                      <w14:alpha w14:val="100000"/>
                    </w14:srgbClr>
                  </w14:solidFill>
                </w14:textFill>
              </w:rPr>
              <w:t>|</w:t>
            </w:r>
          </w:p>
        </w:tc>
        <w:tc>
          <w:tcPr>
            <w:tcW w:w="1134" w:type="dxa"/>
          </w:tcPr>
          <w:p w14:paraId="5C561C33" w14:textId="77777777"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6905BA">
              <w:rPr>
                <w:color w:val="auto"/>
                <w:lang w:val="en-AU"/>
              </w:rPr>
              <w:t>1.16</w:t>
            </w:r>
          </w:p>
        </w:tc>
        <w:tc>
          <w:tcPr>
            <w:tcW w:w="992" w:type="dxa"/>
          </w:tcPr>
          <w:p w14:paraId="6E84AB6A" w14:textId="4A6C4051"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color w:val="000000"/>
                <w:spacing w:val="53"/>
                <w:shd w:val="solid" w:color="000000" w:fill="000000"/>
                <w:fitText w:val="330" w:id="-694415605"/>
                <w:lang w:val="en-AU"/>
                <w14:textFill>
                  <w14:solidFill>
                    <w14:srgbClr w14:val="000000">
                      <w14:alpha w14:val="100000"/>
                    </w14:srgbClr>
                  </w14:solidFill>
                </w14:textFill>
              </w:rPr>
              <w:t>|||</w:t>
            </w:r>
            <w:r w:rsidRPr="00F0779A">
              <w:rPr>
                <w:color w:val="000000"/>
                <w:spacing w:val="1"/>
                <w:shd w:val="solid" w:color="000000" w:fill="000000"/>
                <w:fitText w:val="330" w:id="-694415605"/>
                <w:lang w:val="en-AU"/>
                <w14:textFill>
                  <w14:solidFill>
                    <w14:srgbClr w14:val="000000">
                      <w14:alpha w14:val="100000"/>
                    </w14:srgbClr>
                  </w14:solidFill>
                </w14:textFill>
              </w:rPr>
              <w:t>|</w:t>
            </w:r>
            <w:r w:rsidR="00DD149D" w:rsidRPr="00DD149D">
              <w:rPr>
                <w:rFonts w:cs="Calibri"/>
                <w:b/>
                <w:bCs/>
                <w:color w:val="auto"/>
                <w:vertAlign w:val="superscript"/>
                <w:lang w:val="en-AU"/>
              </w:rPr>
              <w:t>1</w:t>
            </w:r>
          </w:p>
        </w:tc>
        <w:tc>
          <w:tcPr>
            <w:tcW w:w="799" w:type="dxa"/>
          </w:tcPr>
          <w:p w14:paraId="72B0E802" w14:textId="19310BE3"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w:t>
            </w:r>
            <w:r w:rsidR="00F0779A" w:rsidRPr="00F0779A">
              <w:rPr>
                <w:color w:val="000000"/>
                <w:spacing w:val="53"/>
                <w:shd w:val="solid" w:color="000000" w:fill="000000"/>
                <w:fitText w:val="330" w:id="-694415604"/>
                <w:lang w:val="en-AU"/>
                <w14:textFill>
                  <w14:solidFill>
                    <w14:srgbClr w14:val="000000">
                      <w14:alpha w14:val="100000"/>
                    </w14:srgbClr>
                  </w14:solidFill>
                </w14:textFill>
              </w:rPr>
              <w:t>|||</w:t>
            </w:r>
            <w:r w:rsidR="00F0779A" w:rsidRPr="00F0779A">
              <w:rPr>
                <w:color w:val="000000"/>
                <w:spacing w:val="1"/>
                <w:shd w:val="solid" w:color="000000" w:fill="000000"/>
                <w:fitText w:val="330" w:id="-694415604"/>
                <w:lang w:val="en-AU"/>
                <w14:textFill>
                  <w14:solidFill>
                    <w14:srgbClr w14:val="000000">
                      <w14:alpha w14:val="100000"/>
                    </w14:srgbClr>
                  </w14:solidFill>
                </w14:textFill>
              </w:rPr>
              <w:t>|</w:t>
            </w:r>
            <w:r w:rsidRPr="00217EA0">
              <w:rPr>
                <w:color w:val="auto"/>
                <w:lang w:val="en-AU"/>
              </w:rPr>
              <w:t>%</w:t>
            </w:r>
          </w:p>
        </w:tc>
      </w:tr>
      <w:tr w:rsidR="007900E9" w:rsidRPr="00217EA0" w14:paraId="19620D9F" w14:textId="77777777" w:rsidTr="00F0779A">
        <w:tc>
          <w:tcPr>
            <w:cnfStyle w:val="001000000000" w:firstRow="0" w:lastRow="0" w:firstColumn="1" w:lastColumn="0" w:oddVBand="0" w:evenVBand="0" w:oddHBand="0" w:evenHBand="0" w:firstRowFirstColumn="0" w:firstRowLastColumn="0" w:lastRowFirstColumn="0" w:lastRowLastColumn="0"/>
            <w:tcW w:w="4957" w:type="dxa"/>
          </w:tcPr>
          <w:p w14:paraId="2584625A" w14:textId="77777777" w:rsidR="007B07F9" w:rsidRPr="00217EA0" w:rsidRDefault="007B07F9" w:rsidP="00162F79">
            <w:pPr>
              <w:pStyle w:val="TableText"/>
              <w:rPr>
                <w:b/>
                <w:bCs/>
                <w:color w:val="auto"/>
                <w:lang w:val="en-AU"/>
              </w:rPr>
            </w:pPr>
            <w:r w:rsidRPr="00217EA0">
              <w:rPr>
                <w:b/>
                <w:bCs/>
                <w:color w:val="auto"/>
                <w:lang w:val="en-AU"/>
              </w:rPr>
              <w:t>OS extrapolation (Log-logistic both arms)</w:t>
            </w:r>
          </w:p>
        </w:tc>
        <w:tc>
          <w:tcPr>
            <w:tcW w:w="1134" w:type="dxa"/>
            <w:tcBorders>
              <w:bottom w:val="single" w:sz="4" w:space="0" w:color="auto"/>
            </w:tcBorders>
          </w:tcPr>
          <w:p w14:paraId="62BDDE7A" w14:textId="77777777"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1134" w:type="dxa"/>
          </w:tcPr>
          <w:p w14:paraId="290CC89C" w14:textId="77777777"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992" w:type="dxa"/>
          </w:tcPr>
          <w:p w14:paraId="6A78DDCA" w14:textId="77777777"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799" w:type="dxa"/>
          </w:tcPr>
          <w:p w14:paraId="39E17569" w14:textId="77777777"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p>
        </w:tc>
      </w:tr>
      <w:tr w:rsidR="007900E9" w:rsidRPr="00217EA0" w14:paraId="00DE338D" w14:textId="50000147" w:rsidTr="00F0779A">
        <w:tc>
          <w:tcPr>
            <w:cnfStyle w:val="001000000000" w:firstRow="0" w:lastRow="0" w:firstColumn="1" w:lastColumn="0" w:oddVBand="0" w:evenVBand="0" w:oddHBand="0" w:evenHBand="0" w:firstRowFirstColumn="0" w:firstRowLastColumn="0" w:lastRowFirstColumn="0" w:lastRowLastColumn="0"/>
            <w:tcW w:w="4957" w:type="dxa"/>
          </w:tcPr>
          <w:p w14:paraId="61B14362" w14:textId="369C1FA6" w:rsidR="007B07F9" w:rsidRPr="00217EA0" w:rsidRDefault="007B07F9" w:rsidP="00162F79">
            <w:pPr>
              <w:pStyle w:val="TableText"/>
              <w:rPr>
                <w:color w:val="auto"/>
                <w:lang w:val="en-AU"/>
              </w:rPr>
            </w:pPr>
            <w:r w:rsidRPr="00217EA0">
              <w:rPr>
                <w:color w:val="auto"/>
                <w:lang w:val="en-AU"/>
              </w:rPr>
              <w:t>Exponential in both arms</w:t>
            </w:r>
          </w:p>
        </w:tc>
        <w:tc>
          <w:tcPr>
            <w:tcW w:w="1134" w:type="dxa"/>
            <w:tcBorders>
              <w:bottom w:val="single" w:sz="4" w:space="0" w:color="auto"/>
            </w:tcBorders>
            <w:shd w:val="solid" w:color="000000" w:fill="000000"/>
          </w:tcPr>
          <w:p w14:paraId="6872F066" w14:textId="08A498DF"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fitText w:val="330" w:id="-694415603"/>
                <w:lang w:val="en-AU"/>
                <w14:textFill>
                  <w14:solidFill>
                    <w14:srgbClr w14:val="000000">
                      <w14:alpha w14:val="100000"/>
                    </w14:srgbClr>
                  </w14:solidFill>
                </w14:textFill>
              </w:rPr>
              <w:t>|||</w:t>
            </w:r>
            <w:r w:rsidRPr="00F0779A">
              <w:rPr>
                <w:rFonts w:cs="Calibri"/>
                <w:color w:val="000000"/>
                <w:spacing w:val="1"/>
                <w:fitText w:val="330" w:id="-694415603"/>
                <w:lang w:val="en-AU"/>
                <w14:textFill>
                  <w14:solidFill>
                    <w14:srgbClr w14:val="000000">
                      <w14:alpha w14:val="100000"/>
                    </w14:srgbClr>
                  </w14:solidFill>
                </w14:textFill>
              </w:rPr>
              <w:t>|</w:t>
            </w:r>
          </w:p>
        </w:tc>
        <w:tc>
          <w:tcPr>
            <w:tcW w:w="1134" w:type="dxa"/>
          </w:tcPr>
          <w:p w14:paraId="1C7D652E" w14:textId="37F29C9B"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6905BA">
              <w:rPr>
                <w:rFonts w:cs="Calibri"/>
                <w:color w:val="auto"/>
                <w:lang w:val="en-AU"/>
              </w:rPr>
              <w:t>1.30</w:t>
            </w:r>
          </w:p>
        </w:tc>
        <w:tc>
          <w:tcPr>
            <w:tcW w:w="992" w:type="dxa"/>
          </w:tcPr>
          <w:p w14:paraId="119F4D50" w14:textId="2BA4BA9E"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shd w:val="solid" w:color="000000" w:fill="000000"/>
                <w:fitText w:val="330" w:id="-694415602"/>
                <w:lang w:val="en-AU"/>
                <w14:textFill>
                  <w14:solidFill>
                    <w14:srgbClr w14:val="000000">
                      <w14:alpha w14:val="100000"/>
                    </w14:srgbClr>
                  </w14:solidFill>
                </w14:textFill>
              </w:rPr>
              <w:t>|||</w:t>
            </w:r>
            <w:r w:rsidRPr="00F0779A">
              <w:rPr>
                <w:rFonts w:cs="Calibri"/>
                <w:color w:val="000000"/>
                <w:spacing w:val="1"/>
                <w:shd w:val="solid" w:color="000000" w:fill="000000"/>
                <w:fitText w:val="330" w:id="-694415602"/>
                <w:lang w:val="en-AU"/>
                <w14:textFill>
                  <w14:solidFill>
                    <w14:srgbClr w14:val="000000">
                      <w14:alpha w14:val="100000"/>
                    </w14:srgbClr>
                  </w14:solidFill>
                </w14:textFill>
              </w:rPr>
              <w:t>|</w:t>
            </w:r>
            <w:r w:rsidR="00DD149D" w:rsidRPr="00DD149D">
              <w:rPr>
                <w:rFonts w:cs="Calibri"/>
                <w:b/>
                <w:bCs/>
                <w:color w:val="auto"/>
                <w:vertAlign w:val="superscript"/>
                <w:lang w:val="en-AU"/>
              </w:rPr>
              <w:t>1</w:t>
            </w:r>
          </w:p>
        </w:tc>
        <w:tc>
          <w:tcPr>
            <w:tcW w:w="799" w:type="dxa"/>
          </w:tcPr>
          <w:p w14:paraId="2765A100" w14:textId="1AC3AE01"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w:t>
            </w:r>
            <w:r w:rsidR="00F0779A" w:rsidRPr="00F0779A">
              <w:rPr>
                <w:color w:val="000000"/>
                <w:spacing w:val="53"/>
                <w:shd w:val="solid" w:color="000000" w:fill="000000"/>
                <w:fitText w:val="330" w:id="-694415601"/>
                <w:lang w:val="en-AU"/>
                <w14:textFill>
                  <w14:solidFill>
                    <w14:srgbClr w14:val="000000">
                      <w14:alpha w14:val="100000"/>
                    </w14:srgbClr>
                  </w14:solidFill>
                </w14:textFill>
              </w:rPr>
              <w:t>|||</w:t>
            </w:r>
            <w:r w:rsidR="00F0779A" w:rsidRPr="00F0779A">
              <w:rPr>
                <w:color w:val="000000"/>
                <w:spacing w:val="1"/>
                <w:shd w:val="solid" w:color="000000" w:fill="000000"/>
                <w:fitText w:val="330" w:id="-694415601"/>
                <w:lang w:val="en-AU"/>
                <w14:textFill>
                  <w14:solidFill>
                    <w14:srgbClr w14:val="000000">
                      <w14:alpha w14:val="100000"/>
                    </w14:srgbClr>
                  </w14:solidFill>
                </w14:textFill>
              </w:rPr>
              <w:t>|</w:t>
            </w:r>
            <w:r w:rsidRPr="00217EA0">
              <w:rPr>
                <w:color w:val="auto"/>
                <w:lang w:val="en-AU"/>
              </w:rPr>
              <w:t>%</w:t>
            </w:r>
          </w:p>
        </w:tc>
      </w:tr>
      <w:tr w:rsidR="007900E9" w:rsidRPr="00217EA0" w14:paraId="5F399984" w14:textId="54065C9C" w:rsidTr="00F0779A">
        <w:tc>
          <w:tcPr>
            <w:cnfStyle w:val="001000000000" w:firstRow="0" w:lastRow="0" w:firstColumn="1" w:lastColumn="0" w:oddVBand="0" w:evenVBand="0" w:oddHBand="0" w:evenHBand="0" w:firstRowFirstColumn="0" w:firstRowLastColumn="0" w:lastRowFirstColumn="0" w:lastRowLastColumn="0"/>
            <w:tcW w:w="4957" w:type="dxa"/>
          </w:tcPr>
          <w:p w14:paraId="676C64B0" w14:textId="7FB701FC" w:rsidR="007B07F9" w:rsidRPr="00217EA0" w:rsidRDefault="007B07F9" w:rsidP="00162F79">
            <w:pPr>
              <w:pStyle w:val="TableText"/>
              <w:rPr>
                <w:color w:val="auto"/>
                <w:lang w:val="en-AU"/>
              </w:rPr>
            </w:pPr>
            <w:r w:rsidRPr="00217EA0">
              <w:rPr>
                <w:color w:val="auto"/>
                <w:lang w:val="en-AU"/>
              </w:rPr>
              <w:t>Weibull in both arms</w:t>
            </w:r>
          </w:p>
        </w:tc>
        <w:tc>
          <w:tcPr>
            <w:tcW w:w="1134" w:type="dxa"/>
            <w:tcBorders>
              <w:bottom w:val="single" w:sz="4" w:space="0" w:color="auto"/>
            </w:tcBorders>
            <w:shd w:val="solid" w:color="000000" w:fill="000000"/>
          </w:tcPr>
          <w:p w14:paraId="445FA42E" w14:textId="5233FD13"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fitText w:val="330" w:id="-694415600"/>
                <w:lang w:val="en-AU"/>
                <w14:textFill>
                  <w14:solidFill>
                    <w14:srgbClr w14:val="000000">
                      <w14:alpha w14:val="100000"/>
                    </w14:srgbClr>
                  </w14:solidFill>
                </w14:textFill>
              </w:rPr>
              <w:t>|||</w:t>
            </w:r>
            <w:r w:rsidRPr="00F0779A">
              <w:rPr>
                <w:rFonts w:cs="Calibri"/>
                <w:color w:val="000000"/>
                <w:spacing w:val="1"/>
                <w:fitText w:val="330" w:id="-694415600"/>
                <w:lang w:val="en-AU"/>
                <w14:textFill>
                  <w14:solidFill>
                    <w14:srgbClr w14:val="000000">
                      <w14:alpha w14:val="100000"/>
                    </w14:srgbClr>
                  </w14:solidFill>
                </w14:textFill>
              </w:rPr>
              <w:t>|</w:t>
            </w:r>
          </w:p>
        </w:tc>
        <w:tc>
          <w:tcPr>
            <w:tcW w:w="1134" w:type="dxa"/>
          </w:tcPr>
          <w:p w14:paraId="242A61C3" w14:textId="26EDFEB3"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6905BA">
              <w:rPr>
                <w:rFonts w:cs="Calibri"/>
                <w:color w:val="auto"/>
                <w:lang w:val="en-AU"/>
              </w:rPr>
              <w:t>0.93</w:t>
            </w:r>
          </w:p>
        </w:tc>
        <w:tc>
          <w:tcPr>
            <w:tcW w:w="992" w:type="dxa"/>
          </w:tcPr>
          <w:p w14:paraId="08F542A5" w14:textId="7AF0E783"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shd w:val="solid" w:color="000000" w:fill="000000"/>
                <w:fitText w:val="330" w:id="-694415616"/>
                <w:lang w:val="en-AU"/>
                <w14:textFill>
                  <w14:solidFill>
                    <w14:srgbClr w14:val="000000">
                      <w14:alpha w14:val="100000"/>
                    </w14:srgbClr>
                  </w14:solidFill>
                </w14:textFill>
              </w:rPr>
              <w:t>|||</w:t>
            </w:r>
            <w:r w:rsidRPr="00F0779A">
              <w:rPr>
                <w:rFonts w:cs="Calibri"/>
                <w:color w:val="000000"/>
                <w:spacing w:val="1"/>
                <w:shd w:val="solid" w:color="000000" w:fill="000000"/>
                <w:fitText w:val="330" w:id="-694415616"/>
                <w:lang w:val="en-AU"/>
                <w14:textFill>
                  <w14:solidFill>
                    <w14:srgbClr w14:val="000000">
                      <w14:alpha w14:val="100000"/>
                    </w14:srgbClr>
                  </w14:solidFill>
                </w14:textFill>
              </w:rPr>
              <w:t>|</w:t>
            </w:r>
            <w:r w:rsidR="00F56C4C" w:rsidRPr="00F56C4C">
              <w:rPr>
                <w:rFonts w:cs="Calibri"/>
                <w:color w:val="auto"/>
                <w:vertAlign w:val="superscript"/>
                <w:lang w:val="en-AU"/>
              </w:rPr>
              <w:t>3</w:t>
            </w:r>
          </w:p>
        </w:tc>
        <w:tc>
          <w:tcPr>
            <w:tcW w:w="799" w:type="dxa"/>
          </w:tcPr>
          <w:p w14:paraId="440A6E63" w14:textId="358BEC64" w:rsidR="007B07F9" w:rsidRPr="00217EA0"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F0779A">
              <w:rPr>
                <w:color w:val="000000"/>
                <w:spacing w:val="53"/>
                <w:shd w:val="solid" w:color="000000" w:fill="000000"/>
                <w:fitText w:val="330" w:id="-694415615"/>
                <w:lang w:val="en-AU"/>
                <w14:textFill>
                  <w14:solidFill>
                    <w14:srgbClr w14:val="000000">
                      <w14:alpha w14:val="100000"/>
                    </w14:srgbClr>
                  </w14:solidFill>
                </w14:textFill>
              </w:rPr>
              <w:t>|||</w:t>
            </w:r>
            <w:r w:rsidRPr="00F0779A">
              <w:rPr>
                <w:color w:val="000000"/>
                <w:spacing w:val="1"/>
                <w:shd w:val="solid" w:color="000000" w:fill="000000"/>
                <w:fitText w:val="330" w:id="-694415615"/>
                <w:lang w:val="en-AU"/>
                <w14:textFill>
                  <w14:solidFill>
                    <w14:srgbClr w14:val="000000">
                      <w14:alpha w14:val="100000"/>
                    </w14:srgbClr>
                  </w14:solidFill>
                </w14:textFill>
              </w:rPr>
              <w:t>|</w:t>
            </w:r>
            <w:r w:rsidR="007B07F9" w:rsidRPr="00217EA0">
              <w:rPr>
                <w:color w:val="auto"/>
                <w:lang w:val="en-AU"/>
              </w:rPr>
              <w:t>%</w:t>
            </w:r>
          </w:p>
        </w:tc>
      </w:tr>
      <w:tr w:rsidR="007900E9" w:rsidRPr="00217EA0" w14:paraId="41E95FE7" w14:textId="18D999CE" w:rsidTr="00F0779A">
        <w:tc>
          <w:tcPr>
            <w:cnfStyle w:val="001000000000" w:firstRow="0" w:lastRow="0" w:firstColumn="1" w:lastColumn="0" w:oddVBand="0" w:evenVBand="0" w:oddHBand="0" w:evenHBand="0" w:firstRowFirstColumn="0" w:firstRowLastColumn="0" w:lastRowFirstColumn="0" w:lastRowLastColumn="0"/>
            <w:tcW w:w="4957" w:type="dxa"/>
          </w:tcPr>
          <w:p w14:paraId="3FC336B8" w14:textId="5B7191C2" w:rsidR="007B07F9" w:rsidRPr="00217EA0" w:rsidRDefault="007B07F9" w:rsidP="00162F79">
            <w:pPr>
              <w:pStyle w:val="TableText"/>
              <w:rPr>
                <w:color w:val="auto"/>
                <w:lang w:val="en-AU"/>
              </w:rPr>
            </w:pPr>
            <w:r w:rsidRPr="00217EA0">
              <w:rPr>
                <w:color w:val="auto"/>
                <w:lang w:val="en-AU"/>
              </w:rPr>
              <w:t>Gompertz in both arms</w:t>
            </w:r>
          </w:p>
        </w:tc>
        <w:tc>
          <w:tcPr>
            <w:tcW w:w="1134" w:type="dxa"/>
            <w:tcBorders>
              <w:bottom w:val="single" w:sz="4" w:space="0" w:color="auto"/>
            </w:tcBorders>
            <w:shd w:val="solid" w:color="000000" w:fill="000000"/>
          </w:tcPr>
          <w:p w14:paraId="3F16FB8C" w14:textId="2F709E5C"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fitText w:val="330" w:id="-694415614"/>
                <w:lang w:val="en-AU"/>
                <w14:textFill>
                  <w14:solidFill>
                    <w14:srgbClr w14:val="000000">
                      <w14:alpha w14:val="100000"/>
                    </w14:srgbClr>
                  </w14:solidFill>
                </w14:textFill>
              </w:rPr>
              <w:t>|||</w:t>
            </w:r>
            <w:r w:rsidRPr="00F0779A">
              <w:rPr>
                <w:rFonts w:cs="Calibri"/>
                <w:color w:val="000000"/>
                <w:spacing w:val="1"/>
                <w:fitText w:val="330" w:id="-694415614"/>
                <w:lang w:val="en-AU"/>
                <w14:textFill>
                  <w14:solidFill>
                    <w14:srgbClr w14:val="000000">
                      <w14:alpha w14:val="100000"/>
                    </w14:srgbClr>
                  </w14:solidFill>
                </w14:textFill>
              </w:rPr>
              <w:t>|</w:t>
            </w:r>
          </w:p>
        </w:tc>
        <w:tc>
          <w:tcPr>
            <w:tcW w:w="1134" w:type="dxa"/>
          </w:tcPr>
          <w:p w14:paraId="6FBD075E" w14:textId="09BE26BD"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6905BA">
              <w:rPr>
                <w:rFonts w:cs="Calibri"/>
                <w:color w:val="auto"/>
                <w:lang w:val="en-AU"/>
              </w:rPr>
              <w:t>0.82</w:t>
            </w:r>
          </w:p>
        </w:tc>
        <w:tc>
          <w:tcPr>
            <w:tcW w:w="992" w:type="dxa"/>
          </w:tcPr>
          <w:p w14:paraId="41D0955D" w14:textId="3AD43FEE"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shd w:val="solid" w:color="000000" w:fill="000000"/>
                <w:fitText w:val="330" w:id="-694415613"/>
                <w:lang w:val="en-AU"/>
                <w14:textFill>
                  <w14:solidFill>
                    <w14:srgbClr w14:val="000000">
                      <w14:alpha w14:val="100000"/>
                    </w14:srgbClr>
                  </w14:solidFill>
                </w14:textFill>
              </w:rPr>
              <w:t>|||</w:t>
            </w:r>
            <w:r w:rsidRPr="00F0779A">
              <w:rPr>
                <w:rFonts w:cs="Calibri"/>
                <w:color w:val="000000"/>
                <w:spacing w:val="1"/>
                <w:shd w:val="solid" w:color="000000" w:fill="000000"/>
                <w:fitText w:val="330" w:id="-694415613"/>
                <w:lang w:val="en-AU"/>
                <w14:textFill>
                  <w14:solidFill>
                    <w14:srgbClr w14:val="000000">
                      <w14:alpha w14:val="100000"/>
                    </w14:srgbClr>
                  </w14:solidFill>
                </w14:textFill>
              </w:rPr>
              <w:t>|</w:t>
            </w:r>
            <w:r w:rsidR="00F56C4C" w:rsidRPr="00F56C4C">
              <w:rPr>
                <w:rFonts w:cs="Calibri"/>
                <w:color w:val="auto"/>
                <w:vertAlign w:val="superscript"/>
                <w:lang w:val="en-AU"/>
              </w:rPr>
              <w:t>3</w:t>
            </w:r>
          </w:p>
        </w:tc>
        <w:tc>
          <w:tcPr>
            <w:tcW w:w="799" w:type="dxa"/>
          </w:tcPr>
          <w:p w14:paraId="79FEE022" w14:textId="55FD87E5" w:rsidR="007B07F9" w:rsidRPr="00217EA0"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F0779A">
              <w:rPr>
                <w:color w:val="000000"/>
                <w:spacing w:val="53"/>
                <w:shd w:val="solid" w:color="000000" w:fill="000000"/>
                <w:fitText w:val="330" w:id="-694415612"/>
                <w:lang w:val="en-AU"/>
                <w14:textFill>
                  <w14:solidFill>
                    <w14:srgbClr w14:val="000000">
                      <w14:alpha w14:val="100000"/>
                    </w14:srgbClr>
                  </w14:solidFill>
                </w14:textFill>
              </w:rPr>
              <w:t>|||</w:t>
            </w:r>
            <w:r w:rsidRPr="00F0779A">
              <w:rPr>
                <w:color w:val="000000"/>
                <w:spacing w:val="1"/>
                <w:shd w:val="solid" w:color="000000" w:fill="000000"/>
                <w:fitText w:val="330" w:id="-694415612"/>
                <w:lang w:val="en-AU"/>
                <w14:textFill>
                  <w14:solidFill>
                    <w14:srgbClr w14:val="000000">
                      <w14:alpha w14:val="100000"/>
                    </w14:srgbClr>
                  </w14:solidFill>
                </w14:textFill>
              </w:rPr>
              <w:t>|</w:t>
            </w:r>
            <w:r w:rsidR="007B07F9" w:rsidRPr="00217EA0">
              <w:rPr>
                <w:color w:val="auto"/>
                <w:lang w:val="en-AU"/>
              </w:rPr>
              <w:t>%</w:t>
            </w:r>
          </w:p>
        </w:tc>
      </w:tr>
      <w:tr w:rsidR="007900E9" w:rsidRPr="00217EA0" w14:paraId="57F4A530" w14:textId="31B7453F" w:rsidTr="00F0779A">
        <w:tc>
          <w:tcPr>
            <w:cnfStyle w:val="001000000000" w:firstRow="0" w:lastRow="0" w:firstColumn="1" w:lastColumn="0" w:oddVBand="0" w:evenVBand="0" w:oddHBand="0" w:evenHBand="0" w:firstRowFirstColumn="0" w:firstRowLastColumn="0" w:lastRowFirstColumn="0" w:lastRowLastColumn="0"/>
            <w:tcW w:w="4957" w:type="dxa"/>
          </w:tcPr>
          <w:p w14:paraId="3110FBCF" w14:textId="4297AC07" w:rsidR="007B07F9" w:rsidRPr="00217EA0" w:rsidRDefault="007B07F9" w:rsidP="00162F79">
            <w:pPr>
              <w:pStyle w:val="TableText"/>
              <w:rPr>
                <w:color w:val="auto"/>
                <w:lang w:val="en-AU"/>
              </w:rPr>
            </w:pPr>
            <w:r w:rsidRPr="00217EA0">
              <w:rPr>
                <w:color w:val="auto"/>
                <w:lang w:val="en-AU"/>
              </w:rPr>
              <w:t>Log normal in both arms</w:t>
            </w:r>
          </w:p>
        </w:tc>
        <w:tc>
          <w:tcPr>
            <w:tcW w:w="1134" w:type="dxa"/>
            <w:tcBorders>
              <w:bottom w:val="single" w:sz="4" w:space="0" w:color="auto"/>
            </w:tcBorders>
            <w:shd w:val="solid" w:color="000000" w:fill="000000"/>
          </w:tcPr>
          <w:p w14:paraId="7398F456" w14:textId="099B919B"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fitText w:val="330" w:id="-694415611"/>
                <w:lang w:val="en-AU"/>
                <w14:textFill>
                  <w14:solidFill>
                    <w14:srgbClr w14:val="000000">
                      <w14:alpha w14:val="100000"/>
                    </w14:srgbClr>
                  </w14:solidFill>
                </w14:textFill>
              </w:rPr>
              <w:t>|||</w:t>
            </w:r>
            <w:r w:rsidRPr="00F0779A">
              <w:rPr>
                <w:rFonts w:cs="Calibri"/>
                <w:color w:val="000000"/>
                <w:spacing w:val="1"/>
                <w:fitText w:val="330" w:id="-694415611"/>
                <w:lang w:val="en-AU"/>
                <w14:textFill>
                  <w14:solidFill>
                    <w14:srgbClr w14:val="000000">
                      <w14:alpha w14:val="100000"/>
                    </w14:srgbClr>
                  </w14:solidFill>
                </w14:textFill>
              </w:rPr>
              <w:t>|</w:t>
            </w:r>
          </w:p>
        </w:tc>
        <w:tc>
          <w:tcPr>
            <w:tcW w:w="1134" w:type="dxa"/>
          </w:tcPr>
          <w:p w14:paraId="4DE273AA" w14:textId="776CCE26"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6905BA">
              <w:rPr>
                <w:rFonts w:cs="Calibri"/>
                <w:color w:val="auto"/>
                <w:lang w:val="en-AU"/>
              </w:rPr>
              <w:t>1.25</w:t>
            </w:r>
          </w:p>
        </w:tc>
        <w:tc>
          <w:tcPr>
            <w:tcW w:w="992" w:type="dxa"/>
          </w:tcPr>
          <w:p w14:paraId="037C144F" w14:textId="6FABC5D5"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shd w:val="solid" w:color="000000" w:fill="000000"/>
                <w:fitText w:val="330" w:id="-694415610"/>
                <w:lang w:val="en-AU"/>
                <w14:textFill>
                  <w14:solidFill>
                    <w14:srgbClr w14:val="000000">
                      <w14:alpha w14:val="100000"/>
                    </w14:srgbClr>
                  </w14:solidFill>
                </w14:textFill>
              </w:rPr>
              <w:t>|||</w:t>
            </w:r>
            <w:r w:rsidRPr="00F0779A">
              <w:rPr>
                <w:rFonts w:cs="Calibri"/>
                <w:color w:val="000000"/>
                <w:spacing w:val="1"/>
                <w:shd w:val="solid" w:color="000000" w:fill="000000"/>
                <w:fitText w:val="330" w:id="-694415610"/>
                <w:lang w:val="en-AU"/>
                <w14:textFill>
                  <w14:solidFill>
                    <w14:srgbClr w14:val="000000">
                      <w14:alpha w14:val="100000"/>
                    </w14:srgbClr>
                  </w14:solidFill>
                </w14:textFill>
              </w:rPr>
              <w:t>|</w:t>
            </w:r>
            <w:r w:rsidR="00DD149D" w:rsidRPr="00DD149D">
              <w:rPr>
                <w:rFonts w:cs="Calibri"/>
                <w:b/>
                <w:bCs/>
                <w:color w:val="auto"/>
                <w:vertAlign w:val="superscript"/>
                <w:lang w:val="en-AU"/>
              </w:rPr>
              <w:t>1</w:t>
            </w:r>
          </w:p>
        </w:tc>
        <w:tc>
          <w:tcPr>
            <w:tcW w:w="799" w:type="dxa"/>
          </w:tcPr>
          <w:p w14:paraId="4A23BC1E" w14:textId="5458DA3B"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w:t>
            </w:r>
            <w:r w:rsidR="00F0779A" w:rsidRPr="00F0779A">
              <w:rPr>
                <w:color w:val="000000"/>
                <w:spacing w:val="53"/>
                <w:shd w:val="solid" w:color="000000" w:fill="000000"/>
                <w:fitText w:val="330" w:id="-694415609"/>
                <w:lang w:val="en-AU"/>
                <w14:textFill>
                  <w14:solidFill>
                    <w14:srgbClr w14:val="000000">
                      <w14:alpha w14:val="100000"/>
                    </w14:srgbClr>
                  </w14:solidFill>
                </w14:textFill>
              </w:rPr>
              <w:t>|||</w:t>
            </w:r>
            <w:r w:rsidR="00F0779A" w:rsidRPr="00F0779A">
              <w:rPr>
                <w:color w:val="000000"/>
                <w:spacing w:val="1"/>
                <w:shd w:val="solid" w:color="000000" w:fill="000000"/>
                <w:fitText w:val="330" w:id="-694415609"/>
                <w:lang w:val="en-AU"/>
                <w14:textFill>
                  <w14:solidFill>
                    <w14:srgbClr w14:val="000000">
                      <w14:alpha w14:val="100000"/>
                    </w14:srgbClr>
                  </w14:solidFill>
                </w14:textFill>
              </w:rPr>
              <w:t>|</w:t>
            </w:r>
            <w:r w:rsidRPr="00217EA0">
              <w:rPr>
                <w:color w:val="auto"/>
                <w:lang w:val="en-AU"/>
              </w:rPr>
              <w:t>%</w:t>
            </w:r>
          </w:p>
        </w:tc>
      </w:tr>
      <w:tr w:rsidR="007900E9" w:rsidRPr="00217EA0" w14:paraId="1D3E2FA2" w14:textId="3D0CFC59" w:rsidTr="00F0779A">
        <w:tc>
          <w:tcPr>
            <w:cnfStyle w:val="001000000000" w:firstRow="0" w:lastRow="0" w:firstColumn="1" w:lastColumn="0" w:oddVBand="0" w:evenVBand="0" w:oddHBand="0" w:evenHBand="0" w:firstRowFirstColumn="0" w:firstRowLastColumn="0" w:lastRowFirstColumn="0" w:lastRowLastColumn="0"/>
            <w:tcW w:w="4957" w:type="dxa"/>
          </w:tcPr>
          <w:p w14:paraId="5F71F78E" w14:textId="1039A118" w:rsidR="007B07F9" w:rsidRPr="00217EA0" w:rsidRDefault="007B07F9" w:rsidP="00162F79">
            <w:pPr>
              <w:pStyle w:val="TableText"/>
              <w:rPr>
                <w:color w:val="auto"/>
                <w:lang w:val="en-AU"/>
              </w:rPr>
            </w:pPr>
            <w:r w:rsidRPr="00217EA0">
              <w:rPr>
                <w:color w:val="auto"/>
                <w:lang w:val="en-AU"/>
              </w:rPr>
              <w:t>Generalised gamma in both arms</w:t>
            </w:r>
          </w:p>
        </w:tc>
        <w:tc>
          <w:tcPr>
            <w:tcW w:w="1134" w:type="dxa"/>
            <w:tcBorders>
              <w:bottom w:val="single" w:sz="4" w:space="0" w:color="auto"/>
            </w:tcBorders>
            <w:shd w:val="solid" w:color="000000" w:fill="000000"/>
          </w:tcPr>
          <w:p w14:paraId="3232E99D" w14:textId="7D931176"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fitText w:val="330" w:id="-694415608"/>
                <w:lang w:val="en-AU"/>
                <w14:textFill>
                  <w14:solidFill>
                    <w14:srgbClr w14:val="000000">
                      <w14:alpha w14:val="100000"/>
                    </w14:srgbClr>
                  </w14:solidFill>
                </w14:textFill>
              </w:rPr>
              <w:t>|||</w:t>
            </w:r>
            <w:r w:rsidRPr="00F0779A">
              <w:rPr>
                <w:rFonts w:cs="Calibri"/>
                <w:color w:val="000000"/>
                <w:spacing w:val="1"/>
                <w:fitText w:val="330" w:id="-694415608"/>
                <w:lang w:val="en-AU"/>
                <w14:textFill>
                  <w14:solidFill>
                    <w14:srgbClr w14:val="000000">
                      <w14:alpha w14:val="100000"/>
                    </w14:srgbClr>
                  </w14:solidFill>
                </w14:textFill>
              </w:rPr>
              <w:t>|</w:t>
            </w:r>
          </w:p>
        </w:tc>
        <w:tc>
          <w:tcPr>
            <w:tcW w:w="1134" w:type="dxa"/>
          </w:tcPr>
          <w:p w14:paraId="6638FC82" w14:textId="1ACB15F7"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6905BA">
              <w:rPr>
                <w:rFonts w:cs="Calibri"/>
                <w:color w:val="auto"/>
                <w:lang w:val="en-AU"/>
              </w:rPr>
              <w:t>0.78</w:t>
            </w:r>
          </w:p>
        </w:tc>
        <w:tc>
          <w:tcPr>
            <w:tcW w:w="992" w:type="dxa"/>
          </w:tcPr>
          <w:p w14:paraId="333BE437" w14:textId="4E5D7E99"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shd w:val="solid" w:color="000000" w:fill="000000"/>
                <w:fitText w:val="330" w:id="-694415607"/>
                <w:lang w:val="en-AU"/>
                <w14:textFill>
                  <w14:solidFill>
                    <w14:srgbClr w14:val="000000">
                      <w14:alpha w14:val="100000"/>
                    </w14:srgbClr>
                  </w14:solidFill>
                </w14:textFill>
              </w:rPr>
              <w:t>|||</w:t>
            </w:r>
            <w:r w:rsidRPr="00F0779A">
              <w:rPr>
                <w:rFonts w:cs="Calibri"/>
                <w:color w:val="000000"/>
                <w:spacing w:val="1"/>
                <w:shd w:val="solid" w:color="000000" w:fill="000000"/>
                <w:fitText w:val="330" w:id="-694415607"/>
                <w:lang w:val="en-AU"/>
                <w14:textFill>
                  <w14:solidFill>
                    <w14:srgbClr w14:val="000000">
                      <w14:alpha w14:val="100000"/>
                    </w14:srgbClr>
                  </w14:solidFill>
                </w14:textFill>
              </w:rPr>
              <w:t>|</w:t>
            </w:r>
            <w:r w:rsidR="004200A4" w:rsidRPr="004200A4">
              <w:rPr>
                <w:rFonts w:cs="Calibri"/>
                <w:color w:val="auto"/>
                <w:vertAlign w:val="superscript"/>
                <w:lang w:val="en-AU"/>
              </w:rPr>
              <w:t>4</w:t>
            </w:r>
          </w:p>
        </w:tc>
        <w:tc>
          <w:tcPr>
            <w:tcW w:w="799" w:type="dxa"/>
          </w:tcPr>
          <w:p w14:paraId="1BAED56B" w14:textId="0F3A2D44" w:rsidR="007B07F9" w:rsidRPr="00217EA0"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F0779A">
              <w:rPr>
                <w:color w:val="000000"/>
                <w:spacing w:val="53"/>
                <w:shd w:val="solid" w:color="000000" w:fill="000000"/>
                <w:fitText w:val="330" w:id="-694415606"/>
                <w:lang w:val="en-AU"/>
                <w14:textFill>
                  <w14:solidFill>
                    <w14:srgbClr w14:val="000000">
                      <w14:alpha w14:val="100000"/>
                    </w14:srgbClr>
                  </w14:solidFill>
                </w14:textFill>
              </w:rPr>
              <w:t>|||</w:t>
            </w:r>
            <w:r w:rsidRPr="00F0779A">
              <w:rPr>
                <w:color w:val="000000"/>
                <w:spacing w:val="1"/>
                <w:shd w:val="solid" w:color="000000" w:fill="000000"/>
                <w:fitText w:val="330" w:id="-694415606"/>
                <w:lang w:val="en-AU"/>
                <w14:textFill>
                  <w14:solidFill>
                    <w14:srgbClr w14:val="000000">
                      <w14:alpha w14:val="100000"/>
                    </w14:srgbClr>
                  </w14:solidFill>
                </w14:textFill>
              </w:rPr>
              <w:t>|</w:t>
            </w:r>
            <w:r w:rsidR="007B07F9" w:rsidRPr="00217EA0">
              <w:rPr>
                <w:color w:val="auto"/>
                <w:lang w:val="en-AU"/>
              </w:rPr>
              <w:t>%</w:t>
            </w:r>
          </w:p>
        </w:tc>
      </w:tr>
      <w:tr w:rsidR="007900E9" w:rsidRPr="00217EA0" w14:paraId="7D0CABE6" w14:textId="0A013561" w:rsidTr="00F0779A">
        <w:tc>
          <w:tcPr>
            <w:cnfStyle w:val="001000000000" w:firstRow="0" w:lastRow="0" w:firstColumn="1" w:lastColumn="0" w:oddVBand="0" w:evenVBand="0" w:oddHBand="0" w:evenHBand="0" w:firstRowFirstColumn="0" w:firstRowLastColumn="0" w:lastRowFirstColumn="0" w:lastRowLastColumn="0"/>
            <w:tcW w:w="4957" w:type="dxa"/>
          </w:tcPr>
          <w:p w14:paraId="75B61172" w14:textId="5EE3A1F1" w:rsidR="007B07F9" w:rsidRPr="00217EA0" w:rsidRDefault="007B07F9" w:rsidP="00162F79">
            <w:pPr>
              <w:pStyle w:val="TableText"/>
              <w:rPr>
                <w:color w:val="auto"/>
                <w:lang w:val="en-AU"/>
              </w:rPr>
            </w:pPr>
            <w:r w:rsidRPr="00217EA0">
              <w:rPr>
                <w:color w:val="auto"/>
                <w:lang w:val="en-AU"/>
              </w:rPr>
              <w:t>Gamma in both arms</w:t>
            </w:r>
          </w:p>
        </w:tc>
        <w:tc>
          <w:tcPr>
            <w:tcW w:w="1134" w:type="dxa"/>
            <w:tcBorders>
              <w:bottom w:val="single" w:sz="4" w:space="0" w:color="auto"/>
            </w:tcBorders>
            <w:shd w:val="solid" w:color="000000" w:fill="000000"/>
          </w:tcPr>
          <w:p w14:paraId="64C83A13" w14:textId="6D4B3D03"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fitText w:val="330" w:id="-694415605"/>
                <w:lang w:val="en-AU"/>
                <w14:textFill>
                  <w14:solidFill>
                    <w14:srgbClr w14:val="000000">
                      <w14:alpha w14:val="100000"/>
                    </w14:srgbClr>
                  </w14:solidFill>
                </w14:textFill>
              </w:rPr>
              <w:t>|||</w:t>
            </w:r>
            <w:r w:rsidRPr="00F0779A">
              <w:rPr>
                <w:rFonts w:cs="Calibri"/>
                <w:color w:val="000000"/>
                <w:spacing w:val="1"/>
                <w:fitText w:val="330" w:id="-694415605"/>
                <w:lang w:val="en-AU"/>
                <w14:textFill>
                  <w14:solidFill>
                    <w14:srgbClr w14:val="000000">
                      <w14:alpha w14:val="100000"/>
                    </w14:srgbClr>
                  </w14:solidFill>
                </w14:textFill>
              </w:rPr>
              <w:t>|</w:t>
            </w:r>
          </w:p>
        </w:tc>
        <w:tc>
          <w:tcPr>
            <w:tcW w:w="1134" w:type="dxa"/>
          </w:tcPr>
          <w:p w14:paraId="7068C7E3" w14:textId="2AF4A5A1"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6905BA">
              <w:rPr>
                <w:rFonts w:cs="Calibri"/>
                <w:color w:val="auto"/>
                <w:lang w:val="en-AU"/>
              </w:rPr>
              <w:t>1.01</w:t>
            </w:r>
          </w:p>
        </w:tc>
        <w:tc>
          <w:tcPr>
            <w:tcW w:w="992" w:type="dxa"/>
          </w:tcPr>
          <w:p w14:paraId="7EC93943" w14:textId="21A26886"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shd w:val="solid" w:color="000000" w:fill="000000"/>
                <w:fitText w:val="330" w:id="-694415604"/>
                <w:lang w:val="en-AU"/>
                <w14:textFill>
                  <w14:solidFill>
                    <w14:srgbClr w14:val="000000">
                      <w14:alpha w14:val="100000"/>
                    </w14:srgbClr>
                  </w14:solidFill>
                </w14:textFill>
              </w:rPr>
              <w:t>|||</w:t>
            </w:r>
            <w:r w:rsidRPr="00F0779A">
              <w:rPr>
                <w:rFonts w:cs="Calibri"/>
                <w:color w:val="000000"/>
                <w:spacing w:val="1"/>
                <w:shd w:val="solid" w:color="000000" w:fill="000000"/>
                <w:fitText w:val="330" w:id="-694415604"/>
                <w:lang w:val="en-AU"/>
                <w14:textFill>
                  <w14:solidFill>
                    <w14:srgbClr w14:val="000000">
                      <w14:alpha w14:val="100000"/>
                    </w14:srgbClr>
                  </w14:solidFill>
                </w14:textFill>
              </w:rPr>
              <w:t>|</w:t>
            </w:r>
            <w:r w:rsidR="006A0675" w:rsidRPr="000F5CFF">
              <w:rPr>
                <w:color w:val="auto"/>
                <w:vertAlign w:val="superscript"/>
                <w:lang w:val="en-AU"/>
              </w:rPr>
              <w:t>2</w:t>
            </w:r>
          </w:p>
        </w:tc>
        <w:tc>
          <w:tcPr>
            <w:tcW w:w="799" w:type="dxa"/>
          </w:tcPr>
          <w:p w14:paraId="08A6AB77" w14:textId="5208B78C" w:rsidR="007B07F9" w:rsidRPr="00217EA0"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F0779A">
              <w:rPr>
                <w:color w:val="000000"/>
                <w:spacing w:val="53"/>
                <w:shd w:val="solid" w:color="000000" w:fill="000000"/>
                <w:fitText w:val="330" w:id="-694415603"/>
                <w:lang w:val="en-AU"/>
                <w14:textFill>
                  <w14:solidFill>
                    <w14:srgbClr w14:val="000000">
                      <w14:alpha w14:val="100000"/>
                    </w14:srgbClr>
                  </w14:solidFill>
                </w14:textFill>
              </w:rPr>
              <w:t>|||</w:t>
            </w:r>
            <w:r w:rsidRPr="00F0779A">
              <w:rPr>
                <w:color w:val="000000"/>
                <w:spacing w:val="1"/>
                <w:shd w:val="solid" w:color="000000" w:fill="000000"/>
                <w:fitText w:val="330" w:id="-694415603"/>
                <w:lang w:val="en-AU"/>
                <w14:textFill>
                  <w14:solidFill>
                    <w14:srgbClr w14:val="000000">
                      <w14:alpha w14:val="100000"/>
                    </w14:srgbClr>
                  </w14:solidFill>
                </w14:textFill>
              </w:rPr>
              <w:t>|</w:t>
            </w:r>
            <w:r w:rsidR="007B07F9" w:rsidRPr="00217EA0">
              <w:rPr>
                <w:color w:val="auto"/>
                <w:lang w:val="en-AU"/>
              </w:rPr>
              <w:t>%</w:t>
            </w:r>
          </w:p>
        </w:tc>
      </w:tr>
      <w:tr w:rsidR="007900E9" w:rsidRPr="00217EA0" w14:paraId="73E58191" w14:textId="77777777" w:rsidTr="00F0779A">
        <w:tc>
          <w:tcPr>
            <w:cnfStyle w:val="001000000000" w:firstRow="0" w:lastRow="0" w:firstColumn="1" w:lastColumn="0" w:oddVBand="0" w:evenVBand="0" w:oddHBand="0" w:evenHBand="0" w:firstRowFirstColumn="0" w:firstRowLastColumn="0" w:lastRowFirstColumn="0" w:lastRowLastColumn="0"/>
            <w:tcW w:w="4957" w:type="dxa"/>
          </w:tcPr>
          <w:p w14:paraId="6A2B952E" w14:textId="6657D6EE" w:rsidR="007B07F9" w:rsidRPr="00217EA0" w:rsidRDefault="007B07F9" w:rsidP="00162F79">
            <w:pPr>
              <w:pStyle w:val="TableText"/>
              <w:rPr>
                <w:color w:val="auto"/>
                <w:lang w:val="en-AU"/>
              </w:rPr>
            </w:pPr>
            <w:r w:rsidRPr="00217EA0">
              <w:rPr>
                <w:color w:val="auto"/>
                <w:lang w:val="en-AU"/>
              </w:rPr>
              <w:t>Best fitting in both arms (Log normal for FUTI and Gompertz for FOLFOX)</w:t>
            </w:r>
          </w:p>
        </w:tc>
        <w:tc>
          <w:tcPr>
            <w:tcW w:w="1134" w:type="dxa"/>
            <w:tcBorders>
              <w:bottom w:val="single" w:sz="4" w:space="0" w:color="auto"/>
            </w:tcBorders>
            <w:shd w:val="solid" w:color="000000" w:fill="000000"/>
          </w:tcPr>
          <w:p w14:paraId="250704DE" w14:textId="4A0D09B7"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auto"/>
                <w:highlight w:val="darkGray"/>
                <w:lang w:val="en-AU"/>
              </w:rPr>
            </w:pPr>
            <w:r w:rsidRPr="00F0779A">
              <w:rPr>
                <w:rFonts w:cs="Calibri"/>
                <w:color w:val="000000"/>
                <w:spacing w:val="53"/>
                <w:fitText w:val="330" w:id="-694415602"/>
                <w:lang w:val="en-AU"/>
                <w14:textFill>
                  <w14:solidFill>
                    <w14:srgbClr w14:val="000000">
                      <w14:alpha w14:val="100000"/>
                    </w14:srgbClr>
                  </w14:solidFill>
                </w14:textFill>
              </w:rPr>
              <w:t>|||</w:t>
            </w:r>
            <w:r w:rsidRPr="00F0779A">
              <w:rPr>
                <w:rFonts w:cs="Calibri"/>
                <w:color w:val="000000"/>
                <w:spacing w:val="1"/>
                <w:fitText w:val="330" w:id="-694415602"/>
                <w:lang w:val="en-AU"/>
                <w14:textFill>
                  <w14:solidFill>
                    <w14:srgbClr w14:val="000000">
                      <w14:alpha w14:val="100000"/>
                    </w14:srgbClr>
                  </w14:solidFill>
                </w14:textFill>
              </w:rPr>
              <w:t>|</w:t>
            </w:r>
          </w:p>
        </w:tc>
        <w:tc>
          <w:tcPr>
            <w:tcW w:w="1134" w:type="dxa"/>
          </w:tcPr>
          <w:p w14:paraId="1952757E" w14:textId="77777777"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auto"/>
                <w:lang w:val="en-AU"/>
              </w:rPr>
            </w:pPr>
            <w:r w:rsidRPr="006905BA">
              <w:rPr>
                <w:rFonts w:cs="Calibri"/>
                <w:color w:val="auto"/>
                <w:lang w:val="en-AU"/>
              </w:rPr>
              <w:t>1.27</w:t>
            </w:r>
          </w:p>
        </w:tc>
        <w:tc>
          <w:tcPr>
            <w:tcW w:w="992" w:type="dxa"/>
          </w:tcPr>
          <w:p w14:paraId="0B722922" w14:textId="78287517"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auto"/>
                <w:highlight w:val="darkGray"/>
                <w:lang w:val="en-AU"/>
              </w:rPr>
            </w:pPr>
            <w:r w:rsidRPr="00F0779A">
              <w:rPr>
                <w:rFonts w:cs="Calibri"/>
                <w:color w:val="000000"/>
                <w:spacing w:val="53"/>
                <w:shd w:val="solid" w:color="000000" w:fill="000000"/>
                <w:fitText w:val="330" w:id="-694415601"/>
                <w:lang w:val="en-AU"/>
                <w14:textFill>
                  <w14:solidFill>
                    <w14:srgbClr w14:val="000000">
                      <w14:alpha w14:val="100000"/>
                    </w14:srgbClr>
                  </w14:solidFill>
                </w14:textFill>
              </w:rPr>
              <w:t>|||</w:t>
            </w:r>
            <w:r w:rsidRPr="00F0779A">
              <w:rPr>
                <w:rFonts w:cs="Calibri"/>
                <w:color w:val="000000"/>
                <w:spacing w:val="1"/>
                <w:shd w:val="solid" w:color="000000" w:fill="000000"/>
                <w:fitText w:val="330" w:id="-694415601"/>
                <w:lang w:val="en-AU"/>
                <w14:textFill>
                  <w14:solidFill>
                    <w14:srgbClr w14:val="000000">
                      <w14:alpha w14:val="100000"/>
                    </w14:srgbClr>
                  </w14:solidFill>
                </w14:textFill>
              </w:rPr>
              <w:t>|</w:t>
            </w:r>
            <w:r w:rsidR="00DD149D" w:rsidRPr="00DD149D">
              <w:rPr>
                <w:rFonts w:cs="Calibri"/>
                <w:b/>
                <w:bCs/>
                <w:color w:val="auto"/>
                <w:vertAlign w:val="superscript"/>
                <w:lang w:val="en-AU"/>
              </w:rPr>
              <w:t>1</w:t>
            </w:r>
          </w:p>
        </w:tc>
        <w:tc>
          <w:tcPr>
            <w:tcW w:w="799" w:type="dxa"/>
          </w:tcPr>
          <w:p w14:paraId="35A0C655" w14:textId="2D0D36F3"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w:t>
            </w:r>
            <w:r w:rsidR="00F0779A" w:rsidRPr="00F0779A">
              <w:rPr>
                <w:color w:val="000000"/>
                <w:spacing w:val="53"/>
                <w:shd w:val="solid" w:color="000000" w:fill="000000"/>
                <w:fitText w:val="330" w:id="-694415600"/>
                <w:lang w:val="en-AU"/>
                <w14:textFill>
                  <w14:solidFill>
                    <w14:srgbClr w14:val="000000">
                      <w14:alpha w14:val="100000"/>
                    </w14:srgbClr>
                  </w14:solidFill>
                </w14:textFill>
              </w:rPr>
              <w:t>|||</w:t>
            </w:r>
            <w:r w:rsidR="00F0779A" w:rsidRPr="00F0779A">
              <w:rPr>
                <w:color w:val="000000"/>
                <w:spacing w:val="1"/>
                <w:shd w:val="solid" w:color="000000" w:fill="000000"/>
                <w:fitText w:val="330" w:id="-694415600"/>
                <w:lang w:val="en-AU"/>
                <w14:textFill>
                  <w14:solidFill>
                    <w14:srgbClr w14:val="000000">
                      <w14:alpha w14:val="100000"/>
                    </w14:srgbClr>
                  </w14:solidFill>
                </w14:textFill>
              </w:rPr>
              <w:t>|</w:t>
            </w:r>
            <w:r w:rsidRPr="00217EA0">
              <w:rPr>
                <w:color w:val="auto"/>
                <w:lang w:val="en-AU"/>
              </w:rPr>
              <w:t>%</w:t>
            </w:r>
          </w:p>
        </w:tc>
      </w:tr>
      <w:tr w:rsidR="007900E9" w:rsidRPr="00217EA0" w14:paraId="5B42F7BA" w14:textId="77777777" w:rsidTr="00F0779A">
        <w:tc>
          <w:tcPr>
            <w:cnfStyle w:val="001000000000" w:firstRow="0" w:lastRow="0" w:firstColumn="1" w:lastColumn="0" w:oddVBand="0" w:evenVBand="0" w:oddHBand="0" w:evenHBand="0" w:firstRowFirstColumn="0" w:firstRowLastColumn="0" w:lastRowFirstColumn="0" w:lastRowLastColumn="0"/>
            <w:tcW w:w="4957" w:type="dxa"/>
          </w:tcPr>
          <w:p w14:paraId="46A89DF2" w14:textId="52DD437F" w:rsidR="007B07F9" w:rsidRPr="00217EA0" w:rsidRDefault="007B07F9" w:rsidP="00162F79">
            <w:pPr>
              <w:pStyle w:val="TableText"/>
              <w:rPr>
                <w:color w:val="auto"/>
                <w:lang w:val="en-AU"/>
              </w:rPr>
            </w:pPr>
            <w:r w:rsidRPr="00217EA0">
              <w:rPr>
                <w:color w:val="auto"/>
                <w:lang w:val="en-AU"/>
              </w:rPr>
              <w:t>Most conservative OS extrapolation combination (Loglogistic for FOLFOX and Generalised Gamma for FUTI)</w:t>
            </w:r>
            <w:r w:rsidR="00732264" w:rsidRPr="00217EA0">
              <w:rPr>
                <w:bCs/>
                <w:color w:val="auto"/>
                <w:vertAlign w:val="superscript"/>
                <w:lang w:val="en-AU"/>
              </w:rPr>
              <w:t xml:space="preserve"> </w:t>
            </w:r>
          </w:p>
        </w:tc>
        <w:tc>
          <w:tcPr>
            <w:tcW w:w="1134" w:type="dxa"/>
            <w:shd w:val="solid" w:color="000000" w:fill="000000"/>
          </w:tcPr>
          <w:p w14:paraId="4DC039EF" w14:textId="2BEF836B"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auto"/>
                <w:highlight w:val="darkGray"/>
                <w:lang w:val="en-AU"/>
              </w:rPr>
            </w:pPr>
            <w:r w:rsidRPr="00F0779A">
              <w:rPr>
                <w:rFonts w:cs="Calibri"/>
                <w:color w:val="000000"/>
                <w:spacing w:val="53"/>
                <w:fitText w:val="330" w:id="-694415616"/>
                <w:lang w:val="en-AU"/>
                <w14:textFill>
                  <w14:solidFill>
                    <w14:srgbClr w14:val="000000">
                      <w14:alpha w14:val="100000"/>
                    </w14:srgbClr>
                  </w14:solidFill>
                </w14:textFill>
              </w:rPr>
              <w:t>|||</w:t>
            </w:r>
            <w:r w:rsidRPr="00F0779A">
              <w:rPr>
                <w:rFonts w:cs="Calibri"/>
                <w:color w:val="000000"/>
                <w:spacing w:val="1"/>
                <w:fitText w:val="330" w:id="-694415616"/>
                <w:lang w:val="en-AU"/>
                <w14:textFill>
                  <w14:solidFill>
                    <w14:srgbClr w14:val="000000">
                      <w14:alpha w14:val="100000"/>
                    </w14:srgbClr>
                  </w14:solidFill>
                </w14:textFill>
              </w:rPr>
              <w:t>|</w:t>
            </w:r>
          </w:p>
        </w:tc>
        <w:tc>
          <w:tcPr>
            <w:tcW w:w="1134" w:type="dxa"/>
          </w:tcPr>
          <w:p w14:paraId="627B6AAD" w14:textId="77777777"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auto"/>
                <w:lang w:val="en-AU"/>
              </w:rPr>
            </w:pPr>
            <w:r w:rsidRPr="006905BA">
              <w:rPr>
                <w:rFonts w:cs="Calibri"/>
                <w:color w:val="auto"/>
                <w:lang w:val="en-AU"/>
              </w:rPr>
              <w:t>0.74</w:t>
            </w:r>
          </w:p>
        </w:tc>
        <w:tc>
          <w:tcPr>
            <w:tcW w:w="992" w:type="dxa"/>
          </w:tcPr>
          <w:p w14:paraId="33B85B6B" w14:textId="064FFED1"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auto"/>
                <w:highlight w:val="darkGray"/>
                <w:lang w:val="en-AU"/>
              </w:rPr>
            </w:pPr>
            <w:r w:rsidRPr="00F0779A">
              <w:rPr>
                <w:rFonts w:cs="Calibri"/>
                <w:color w:val="000000"/>
                <w:spacing w:val="53"/>
                <w:shd w:val="solid" w:color="000000" w:fill="000000"/>
                <w:fitText w:val="330" w:id="-694415615"/>
                <w:lang w:val="en-AU"/>
                <w14:textFill>
                  <w14:solidFill>
                    <w14:srgbClr w14:val="000000">
                      <w14:alpha w14:val="100000"/>
                    </w14:srgbClr>
                  </w14:solidFill>
                </w14:textFill>
              </w:rPr>
              <w:t>|||</w:t>
            </w:r>
            <w:r w:rsidRPr="00F0779A">
              <w:rPr>
                <w:rFonts w:cs="Calibri"/>
                <w:color w:val="000000"/>
                <w:spacing w:val="1"/>
                <w:shd w:val="solid" w:color="000000" w:fill="000000"/>
                <w:fitText w:val="330" w:id="-694415615"/>
                <w:lang w:val="en-AU"/>
                <w14:textFill>
                  <w14:solidFill>
                    <w14:srgbClr w14:val="000000">
                      <w14:alpha w14:val="100000"/>
                    </w14:srgbClr>
                  </w14:solidFill>
                </w14:textFill>
              </w:rPr>
              <w:t>|</w:t>
            </w:r>
            <w:r w:rsidR="004200A4" w:rsidRPr="004200A4">
              <w:rPr>
                <w:rFonts w:cs="Calibri"/>
                <w:color w:val="auto"/>
                <w:vertAlign w:val="superscript"/>
                <w:lang w:val="en-AU"/>
              </w:rPr>
              <w:t>4</w:t>
            </w:r>
          </w:p>
        </w:tc>
        <w:tc>
          <w:tcPr>
            <w:tcW w:w="799" w:type="dxa"/>
          </w:tcPr>
          <w:p w14:paraId="4297F947" w14:textId="4B0EC45E" w:rsidR="007B07F9" w:rsidRPr="00217EA0"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F0779A">
              <w:rPr>
                <w:color w:val="000000"/>
                <w:spacing w:val="53"/>
                <w:shd w:val="solid" w:color="000000" w:fill="000000"/>
                <w:fitText w:val="330" w:id="-694415614"/>
                <w:lang w:val="en-AU"/>
                <w14:textFill>
                  <w14:solidFill>
                    <w14:srgbClr w14:val="000000">
                      <w14:alpha w14:val="100000"/>
                    </w14:srgbClr>
                  </w14:solidFill>
                </w14:textFill>
              </w:rPr>
              <w:t>|||</w:t>
            </w:r>
            <w:r w:rsidRPr="00F0779A">
              <w:rPr>
                <w:color w:val="000000"/>
                <w:spacing w:val="1"/>
                <w:shd w:val="solid" w:color="000000" w:fill="000000"/>
                <w:fitText w:val="330" w:id="-694415614"/>
                <w:lang w:val="en-AU"/>
                <w14:textFill>
                  <w14:solidFill>
                    <w14:srgbClr w14:val="000000">
                      <w14:alpha w14:val="100000"/>
                    </w14:srgbClr>
                  </w14:solidFill>
                </w14:textFill>
              </w:rPr>
              <w:t>|</w:t>
            </w:r>
            <w:r w:rsidR="007B07F9" w:rsidRPr="00217EA0">
              <w:rPr>
                <w:color w:val="auto"/>
                <w:lang w:val="en-AU"/>
              </w:rPr>
              <w:t>%</w:t>
            </w:r>
          </w:p>
        </w:tc>
      </w:tr>
      <w:tr w:rsidR="007900E9" w:rsidRPr="00217EA0" w14:paraId="522D6491" w14:textId="77777777" w:rsidTr="00F0779A">
        <w:tc>
          <w:tcPr>
            <w:cnfStyle w:val="001000000000" w:firstRow="0" w:lastRow="0" w:firstColumn="1" w:lastColumn="0" w:oddVBand="0" w:evenVBand="0" w:oddHBand="0" w:evenHBand="0" w:firstRowFirstColumn="0" w:firstRowLastColumn="0" w:lastRowFirstColumn="0" w:lastRowLastColumn="0"/>
            <w:tcW w:w="4957" w:type="dxa"/>
          </w:tcPr>
          <w:p w14:paraId="332679BB" w14:textId="77777777" w:rsidR="007B07F9" w:rsidRPr="00217EA0" w:rsidRDefault="007B07F9" w:rsidP="00162F79">
            <w:pPr>
              <w:pStyle w:val="TableText"/>
              <w:rPr>
                <w:b/>
                <w:bCs/>
                <w:color w:val="auto"/>
                <w:lang w:val="en-AU"/>
              </w:rPr>
            </w:pPr>
            <w:r w:rsidRPr="00217EA0">
              <w:rPr>
                <w:b/>
                <w:bCs/>
                <w:color w:val="auto"/>
                <w:lang w:val="en-AU"/>
              </w:rPr>
              <w:t>Costs</w:t>
            </w:r>
          </w:p>
        </w:tc>
        <w:tc>
          <w:tcPr>
            <w:tcW w:w="1134" w:type="dxa"/>
            <w:tcBorders>
              <w:bottom w:val="single" w:sz="4" w:space="0" w:color="auto"/>
            </w:tcBorders>
          </w:tcPr>
          <w:p w14:paraId="6618C8A2" w14:textId="77777777" w:rsidR="007B07F9" w:rsidRPr="006D2BE4"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p>
        </w:tc>
        <w:tc>
          <w:tcPr>
            <w:tcW w:w="1134" w:type="dxa"/>
          </w:tcPr>
          <w:p w14:paraId="5FD5D68D" w14:textId="77777777"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992" w:type="dxa"/>
          </w:tcPr>
          <w:p w14:paraId="2994C80D" w14:textId="77777777" w:rsidR="007B07F9" w:rsidRPr="006D2BE4"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p>
        </w:tc>
        <w:tc>
          <w:tcPr>
            <w:tcW w:w="799" w:type="dxa"/>
          </w:tcPr>
          <w:p w14:paraId="4BCB529E" w14:textId="77777777"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p>
        </w:tc>
      </w:tr>
      <w:tr w:rsidR="007900E9" w:rsidRPr="00217EA0" w14:paraId="6D7E652A" w14:textId="51A1A50B" w:rsidTr="00F0779A">
        <w:tc>
          <w:tcPr>
            <w:cnfStyle w:val="001000000000" w:firstRow="0" w:lastRow="0" w:firstColumn="1" w:lastColumn="0" w:oddVBand="0" w:evenVBand="0" w:oddHBand="0" w:evenHBand="0" w:firstRowFirstColumn="0" w:firstRowLastColumn="0" w:lastRowFirstColumn="0" w:lastRowLastColumn="0"/>
            <w:tcW w:w="4957" w:type="dxa"/>
          </w:tcPr>
          <w:p w14:paraId="689E262A" w14:textId="28033B16" w:rsidR="007B07F9" w:rsidRPr="00217EA0" w:rsidRDefault="007B07F9" w:rsidP="00162F79">
            <w:pPr>
              <w:pStyle w:val="TableText"/>
              <w:rPr>
                <w:color w:val="auto"/>
                <w:lang w:val="en-AU"/>
              </w:rPr>
            </w:pPr>
            <w:proofErr w:type="spellStart"/>
            <w:r w:rsidRPr="00217EA0">
              <w:rPr>
                <w:color w:val="auto"/>
                <w:lang w:val="en-AU"/>
              </w:rPr>
              <w:t>Futibatinib</w:t>
            </w:r>
            <w:proofErr w:type="spellEnd"/>
            <w:r w:rsidRPr="00217EA0">
              <w:rPr>
                <w:color w:val="auto"/>
                <w:lang w:val="en-AU"/>
              </w:rPr>
              <w:t xml:space="preserve"> RDI 100% (83.26% in BC)</w:t>
            </w:r>
          </w:p>
        </w:tc>
        <w:tc>
          <w:tcPr>
            <w:tcW w:w="1134" w:type="dxa"/>
            <w:tcBorders>
              <w:bottom w:val="single" w:sz="4" w:space="0" w:color="auto"/>
            </w:tcBorders>
            <w:shd w:val="solid" w:color="000000" w:fill="000000"/>
          </w:tcPr>
          <w:p w14:paraId="162B163E" w14:textId="7FB534B5"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auto"/>
                <w:highlight w:val="darkGray"/>
                <w:lang w:val="en-AU"/>
              </w:rPr>
            </w:pPr>
            <w:r w:rsidRPr="00F0779A">
              <w:rPr>
                <w:rFonts w:cs="Calibri"/>
                <w:color w:val="000000"/>
                <w:spacing w:val="53"/>
                <w:fitText w:val="330" w:id="-694415613"/>
                <w:lang w:val="en-AU"/>
                <w14:textFill>
                  <w14:solidFill>
                    <w14:srgbClr w14:val="000000">
                      <w14:alpha w14:val="100000"/>
                    </w14:srgbClr>
                  </w14:solidFill>
                </w14:textFill>
              </w:rPr>
              <w:t>|||</w:t>
            </w:r>
            <w:r w:rsidRPr="00F0779A">
              <w:rPr>
                <w:rFonts w:cs="Calibri"/>
                <w:color w:val="000000"/>
                <w:spacing w:val="1"/>
                <w:fitText w:val="330" w:id="-694415613"/>
                <w:lang w:val="en-AU"/>
                <w14:textFill>
                  <w14:solidFill>
                    <w14:srgbClr w14:val="000000">
                      <w14:alpha w14:val="100000"/>
                    </w14:srgbClr>
                  </w14:solidFill>
                </w14:textFill>
              </w:rPr>
              <w:t>|</w:t>
            </w:r>
          </w:p>
        </w:tc>
        <w:tc>
          <w:tcPr>
            <w:tcW w:w="1134" w:type="dxa"/>
          </w:tcPr>
          <w:p w14:paraId="0E00FB1A" w14:textId="517B4137"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auto"/>
                <w:lang w:val="en-AU"/>
              </w:rPr>
            </w:pPr>
            <w:r w:rsidRPr="006905BA">
              <w:rPr>
                <w:rFonts w:cs="Calibri"/>
                <w:color w:val="auto"/>
                <w:lang w:val="en-AU"/>
              </w:rPr>
              <w:t>1.16</w:t>
            </w:r>
          </w:p>
        </w:tc>
        <w:tc>
          <w:tcPr>
            <w:tcW w:w="992" w:type="dxa"/>
          </w:tcPr>
          <w:p w14:paraId="56ADDF39" w14:textId="44C32D4B"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auto"/>
                <w:highlight w:val="darkGray"/>
                <w:lang w:val="en-AU"/>
              </w:rPr>
            </w:pPr>
            <w:r w:rsidRPr="00F0779A">
              <w:rPr>
                <w:rFonts w:cs="Calibri"/>
                <w:color w:val="000000"/>
                <w:spacing w:val="53"/>
                <w:shd w:val="solid" w:color="000000" w:fill="000000"/>
                <w:fitText w:val="330" w:id="-694415612"/>
                <w:lang w:val="en-AU"/>
                <w14:textFill>
                  <w14:solidFill>
                    <w14:srgbClr w14:val="000000">
                      <w14:alpha w14:val="100000"/>
                    </w14:srgbClr>
                  </w14:solidFill>
                </w14:textFill>
              </w:rPr>
              <w:t>|||</w:t>
            </w:r>
            <w:r w:rsidRPr="00F0779A">
              <w:rPr>
                <w:rFonts w:cs="Calibri"/>
                <w:color w:val="000000"/>
                <w:spacing w:val="1"/>
                <w:shd w:val="solid" w:color="000000" w:fill="000000"/>
                <w:fitText w:val="330" w:id="-694415612"/>
                <w:lang w:val="en-AU"/>
                <w14:textFill>
                  <w14:solidFill>
                    <w14:srgbClr w14:val="000000">
                      <w14:alpha w14:val="100000"/>
                    </w14:srgbClr>
                  </w14:solidFill>
                </w14:textFill>
              </w:rPr>
              <w:t>|</w:t>
            </w:r>
            <w:r w:rsidR="006A0675" w:rsidRPr="000F5CFF">
              <w:rPr>
                <w:color w:val="auto"/>
                <w:vertAlign w:val="superscript"/>
                <w:lang w:val="en-AU"/>
              </w:rPr>
              <w:t>2</w:t>
            </w:r>
          </w:p>
        </w:tc>
        <w:tc>
          <w:tcPr>
            <w:tcW w:w="799" w:type="dxa"/>
          </w:tcPr>
          <w:p w14:paraId="6759722F" w14:textId="1AED47DC" w:rsidR="007B07F9" w:rsidRPr="00217EA0"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F0779A">
              <w:rPr>
                <w:color w:val="000000"/>
                <w:spacing w:val="53"/>
                <w:shd w:val="solid" w:color="000000" w:fill="000000"/>
                <w:fitText w:val="330" w:id="-694415611"/>
                <w:lang w:val="en-AU"/>
                <w14:textFill>
                  <w14:solidFill>
                    <w14:srgbClr w14:val="000000">
                      <w14:alpha w14:val="100000"/>
                    </w14:srgbClr>
                  </w14:solidFill>
                </w14:textFill>
              </w:rPr>
              <w:t>|||</w:t>
            </w:r>
            <w:r w:rsidRPr="00F0779A">
              <w:rPr>
                <w:color w:val="000000"/>
                <w:spacing w:val="1"/>
                <w:shd w:val="solid" w:color="000000" w:fill="000000"/>
                <w:fitText w:val="330" w:id="-694415611"/>
                <w:lang w:val="en-AU"/>
                <w14:textFill>
                  <w14:solidFill>
                    <w14:srgbClr w14:val="000000">
                      <w14:alpha w14:val="100000"/>
                    </w14:srgbClr>
                  </w14:solidFill>
                </w14:textFill>
              </w:rPr>
              <w:t>|</w:t>
            </w:r>
            <w:r w:rsidR="007B07F9" w:rsidRPr="00217EA0">
              <w:rPr>
                <w:color w:val="auto"/>
                <w:lang w:val="en-AU"/>
              </w:rPr>
              <w:t>%</w:t>
            </w:r>
          </w:p>
        </w:tc>
      </w:tr>
      <w:tr w:rsidR="007900E9" w:rsidRPr="00217EA0" w14:paraId="5D65BF55" w14:textId="77777777" w:rsidTr="00F0779A">
        <w:tc>
          <w:tcPr>
            <w:cnfStyle w:val="001000000000" w:firstRow="0" w:lastRow="0" w:firstColumn="1" w:lastColumn="0" w:oddVBand="0" w:evenVBand="0" w:oddHBand="0" w:evenHBand="0" w:firstRowFirstColumn="0" w:firstRowLastColumn="0" w:lastRowFirstColumn="0" w:lastRowLastColumn="0"/>
            <w:tcW w:w="4957" w:type="dxa"/>
          </w:tcPr>
          <w:p w14:paraId="63B966EC" w14:textId="5567E2CF" w:rsidR="007B07F9" w:rsidRPr="00217EA0" w:rsidRDefault="007B07F9" w:rsidP="00162F79">
            <w:pPr>
              <w:pStyle w:val="TableText"/>
              <w:rPr>
                <w:color w:val="auto"/>
                <w:lang w:val="en-AU"/>
              </w:rPr>
            </w:pPr>
            <w:r w:rsidRPr="00217EA0">
              <w:rPr>
                <w:color w:val="auto"/>
                <w:lang w:val="en-AU"/>
              </w:rPr>
              <w:t xml:space="preserve">Testing assumed 100% MBS/ 0% </w:t>
            </w:r>
            <w:proofErr w:type="spellStart"/>
            <w:r w:rsidRPr="00217EA0">
              <w:rPr>
                <w:color w:val="auto"/>
                <w:lang w:val="en-AU"/>
              </w:rPr>
              <w:t>Omico</w:t>
            </w:r>
            <w:proofErr w:type="spellEnd"/>
            <w:r w:rsidRPr="00217EA0">
              <w:rPr>
                <w:color w:val="auto"/>
                <w:lang w:val="en-AU"/>
              </w:rPr>
              <w:t xml:space="preserve"> (BC: 60%)</w:t>
            </w:r>
            <w:r w:rsidR="00732264" w:rsidRPr="00217EA0">
              <w:rPr>
                <w:bCs/>
                <w:color w:val="auto"/>
                <w:vertAlign w:val="superscript"/>
                <w:lang w:val="en-AU"/>
              </w:rPr>
              <w:t xml:space="preserve"> </w:t>
            </w:r>
          </w:p>
        </w:tc>
        <w:tc>
          <w:tcPr>
            <w:tcW w:w="1134" w:type="dxa"/>
            <w:tcBorders>
              <w:bottom w:val="single" w:sz="4" w:space="0" w:color="auto"/>
            </w:tcBorders>
            <w:shd w:val="solid" w:color="000000" w:fill="000000"/>
          </w:tcPr>
          <w:p w14:paraId="5AAE5216" w14:textId="3FCD142E"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auto"/>
                <w:highlight w:val="darkGray"/>
                <w:lang w:val="en-AU"/>
              </w:rPr>
            </w:pPr>
            <w:r w:rsidRPr="00F0779A">
              <w:rPr>
                <w:rFonts w:cs="Calibri"/>
                <w:color w:val="000000"/>
                <w:spacing w:val="53"/>
                <w:fitText w:val="330" w:id="-694415610"/>
                <w:lang w:val="en-AU"/>
                <w14:textFill>
                  <w14:solidFill>
                    <w14:srgbClr w14:val="000000">
                      <w14:alpha w14:val="100000"/>
                    </w14:srgbClr>
                  </w14:solidFill>
                </w14:textFill>
              </w:rPr>
              <w:t>|||</w:t>
            </w:r>
            <w:r w:rsidRPr="00F0779A">
              <w:rPr>
                <w:rFonts w:cs="Calibri"/>
                <w:color w:val="000000"/>
                <w:spacing w:val="1"/>
                <w:fitText w:val="330" w:id="-694415610"/>
                <w:lang w:val="en-AU"/>
                <w14:textFill>
                  <w14:solidFill>
                    <w14:srgbClr w14:val="000000">
                      <w14:alpha w14:val="100000"/>
                    </w14:srgbClr>
                  </w14:solidFill>
                </w14:textFill>
              </w:rPr>
              <w:t>|</w:t>
            </w:r>
          </w:p>
        </w:tc>
        <w:tc>
          <w:tcPr>
            <w:tcW w:w="1134" w:type="dxa"/>
          </w:tcPr>
          <w:p w14:paraId="6C8FF479" w14:textId="77777777"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auto"/>
                <w:lang w:val="en-AU"/>
              </w:rPr>
            </w:pPr>
            <w:r w:rsidRPr="006905BA">
              <w:rPr>
                <w:rFonts w:cs="Calibri"/>
                <w:color w:val="auto"/>
                <w:lang w:val="en-AU"/>
              </w:rPr>
              <w:t>1.16</w:t>
            </w:r>
          </w:p>
        </w:tc>
        <w:tc>
          <w:tcPr>
            <w:tcW w:w="992" w:type="dxa"/>
          </w:tcPr>
          <w:p w14:paraId="69A2C808" w14:textId="553ADE3D"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auto"/>
                <w:highlight w:val="darkGray"/>
                <w:lang w:val="en-AU"/>
              </w:rPr>
            </w:pPr>
            <w:r w:rsidRPr="00F0779A">
              <w:rPr>
                <w:rFonts w:cs="Calibri"/>
                <w:color w:val="000000"/>
                <w:spacing w:val="53"/>
                <w:shd w:val="solid" w:color="000000" w:fill="000000"/>
                <w:fitText w:val="330" w:id="-694415609"/>
                <w:lang w:val="en-AU"/>
                <w14:textFill>
                  <w14:solidFill>
                    <w14:srgbClr w14:val="000000">
                      <w14:alpha w14:val="100000"/>
                    </w14:srgbClr>
                  </w14:solidFill>
                </w14:textFill>
              </w:rPr>
              <w:t>|||</w:t>
            </w:r>
            <w:r w:rsidRPr="00F0779A">
              <w:rPr>
                <w:rFonts w:cs="Calibri"/>
                <w:color w:val="000000"/>
                <w:spacing w:val="1"/>
                <w:shd w:val="solid" w:color="000000" w:fill="000000"/>
                <w:fitText w:val="330" w:id="-694415609"/>
                <w:lang w:val="en-AU"/>
                <w14:textFill>
                  <w14:solidFill>
                    <w14:srgbClr w14:val="000000">
                      <w14:alpha w14:val="100000"/>
                    </w14:srgbClr>
                  </w14:solidFill>
                </w14:textFill>
              </w:rPr>
              <w:t>|</w:t>
            </w:r>
            <w:r w:rsidR="00DD149D" w:rsidRPr="00DD149D">
              <w:rPr>
                <w:rFonts w:cs="Calibri"/>
                <w:b/>
                <w:bCs/>
                <w:color w:val="auto"/>
                <w:vertAlign w:val="superscript"/>
                <w:lang w:val="en-AU"/>
              </w:rPr>
              <w:t>1</w:t>
            </w:r>
          </w:p>
        </w:tc>
        <w:tc>
          <w:tcPr>
            <w:tcW w:w="799" w:type="dxa"/>
          </w:tcPr>
          <w:p w14:paraId="24E0C156" w14:textId="351782C9" w:rsidR="007B07F9" w:rsidRPr="00217EA0"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F0779A">
              <w:rPr>
                <w:color w:val="000000"/>
                <w:spacing w:val="53"/>
                <w:shd w:val="solid" w:color="000000" w:fill="000000"/>
                <w:fitText w:val="330" w:id="-694415608"/>
                <w:lang w:val="en-AU"/>
                <w14:textFill>
                  <w14:solidFill>
                    <w14:srgbClr w14:val="000000">
                      <w14:alpha w14:val="100000"/>
                    </w14:srgbClr>
                  </w14:solidFill>
                </w14:textFill>
              </w:rPr>
              <w:t>|||</w:t>
            </w:r>
            <w:r w:rsidRPr="00F0779A">
              <w:rPr>
                <w:color w:val="000000"/>
                <w:spacing w:val="1"/>
                <w:shd w:val="solid" w:color="000000" w:fill="000000"/>
                <w:fitText w:val="330" w:id="-694415608"/>
                <w:lang w:val="en-AU"/>
                <w14:textFill>
                  <w14:solidFill>
                    <w14:srgbClr w14:val="000000">
                      <w14:alpha w14:val="100000"/>
                    </w14:srgbClr>
                  </w14:solidFill>
                </w14:textFill>
              </w:rPr>
              <w:t>|</w:t>
            </w:r>
            <w:r w:rsidR="007B07F9" w:rsidRPr="00217EA0">
              <w:rPr>
                <w:color w:val="auto"/>
                <w:lang w:val="en-AU"/>
              </w:rPr>
              <w:t>%</w:t>
            </w:r>
          </w:p>
        </w:tc>
      </w:tr>
      <w:tr w:rsidR="007900E9" w:rsidRPr="00217EA0" w14:paraId="70EF6D27" w14:textId="77777777" w:rsidTr="00F0779A">
        <w:tc>
          <w:tcPr>
            <w:cnfStyle w:val="001000000000" w:firstRow="0" w:lastRow="0" w:firstColumn="1" w:lastColumn="0" w:oddVBand="0" w:evenVBand="0" w:oddHBand="0" w:evenHBand="0" w:firstRowFirstColumn="0" w:firstRowLastColumn="0" w:lastRowFirstColumn="0" w:lastRowLastColumn="0"/>
            <w:tcW w:w="4957" w:type="dxa"/>
          </w:tcPr>
          <w:p w14:paraId="2369F779" w14:textId="4987263F" w:rsidR="007B07F9" w:rsidRPr="00217EA0" w:rsidRDefault="007B07F9" w:rsidP="00162F79">
            <w:pPr>
              <w:pStyle w:val="TableText"/>
              <w:rPr>
                <w:color w:val="auto"/>
                <w:lang w:val="en-AU"/>
              </w:rPr>
            </w:pPr>
            <w:r w:rsidRPr="00217EA0">
              <w:rPr>
                <w:color w:val="auto"/>
                <w:lang w:val="en-AU"/>
              </w:rPr>
              <w:t>Testing assumed 100% MBS and test cost doubled ($700)</w:t>
            </w:r>
            <w:r w:rsidR="00732264" w:rsidRPr="00217EA0">
              <w:rPr>
                <w:bCs/>
                <w:color w:val="auto"/>
                <w:vertAlign w:val="superscript"/>
                <w:lang w:val="en-AU"/>
              </w:rPr>
              <w:t xml:space="preserve"> </w:t>
            </w:r>
          </w:p>
        </w:tc>
        <w:tc>
          <w:tcPr>
            <w:tcW w:w="1134" w:type="dxa"/>
            <w:tcBorders>
              <w:bottom w:val="single" w:sz="4" w:space="0" w:color="auto"/>
            </w:tcBorders>
            <w:shd w:val="solid" w:color="000000" w:fill="000000"/>
          </w:tcPr>
          <w:p w14:paraId="33479D65" w14:textId="46A8CF93"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auto"/>
                <w:highlight w:val="darkGray"/>
                <w:lang w:val="en-AU"/>
              </w:rPr>
            </w:pPr>
            <w:r w:rsidRPr="00F0779A">
              <w:rPr>
                <w:rFonts w:cs="Calibri"/>
                <w:color w:val="000000"/>
                <w:spacing w:val="53"/>
                <w:fitText w:val="330" w:id="-694415607"/>
                <w:lang w:val="en-AU"/>
                <w14:textFill>
                  <w14:solidFill>
                    <w14:srgbClr w14:val="000000">
                      <w14:alpha w14:val="100000"/>
                    </w14:srgbClr>
                  </w14:solidFill>
                </w14:textFill>
              </w:rPr>
              <w:t>|||</w:t>
            </w:r>
            <w:r w:rsidRPr="00F0779A">
              <w:rPr>
                <w:rFonts w:cs="Calibri"/>
                <w:color w:val="000000"/>
                <w:spacing w:val="1"/>
                <w:fitText w:val="330" w:id="-694415607"/>
                <w:lang w:val="en-AU"/>
                <w14:textFill>
                  <w14:solidFill>
                    <w14:srgbClr w14:val="000000">
                      <w14:alpha w14:val="100000"/>
                    </w14:srgbClr>
                  </w14:solidFill>
                </w14:textFill>
              </w:rPr>
              <w:t>|</w:t>
            </w:r>
          </w:p>
        </w:tc>
        <w:tc>
          <w:tcPr>
            <w:tcW w:w="1134" w:type="dxa"/>
          </w:tcPr>
          <w:p w14:paraId="5D6E0D9F" w14:textId="77777777"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auto"/>
                <w:lang w:val="en-AU"/>
              </w:rPr>
            </w:pPr>
            <w:r w:rsidRPr="006905BA">
              <w:rPr>
                <w:rFonts w:cs="Calibri"/>
                <w:color w:val="auto"/>
                <w:lang w:val="en-AU"/>
              </w:rPr>
              <w:t>1.16</w:t>
            </w:r>
          </w:p>
        </w:tc>
        <w:tc>
          <w:tcPr>
            <w:tcW w:w="992" w:type="dxa"/>
          </w:tcPr>
          <w:p w14:paraId="620D761C" w14:textId="6B63170F"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auto"/>
                <w:highlight w:val="darkGray"/>
                <w:lang w:val="en-AU"/>
              </w:rPr>
            </w:pPr>
            <w:r w:rsidRPr="00F0779A">
              <w:rPr>
                <w:rFonts w:cs="Calibri"/>
                <w:color w:val="000000"/>
                <w:spacing w:val="53"/>
                <w:shd w:val="solid" w:color="000000" w:fill="000000"/>
                <w:fitText w:val="330" w:id="-694415606"/>
                <w:lang w:val="en-AU"/>
                <w14:textFill>
                  <w14:solidFill>
                    <w14:srgbClr w14:val="000000">
                      <w14:alpha w14:val="100000"/>
                    </w14:srgbClr>
                  </w14:solidFill>
                </w14:textFill>
              </w:rPr>
              <w:t>|||</w:t>
            </w:r>
            <w:r w:rsidRPr="00F0779A">
              <w:rPr>
                <w:rFonts w:cs="Calibri"/>
                <w:color w:val="000000"/>
                <w:spacing w:val="1"/>
                <w:shd w:val="solid" w:color="000000" w:fill="000000"/>
                <w:fitText w:val="330" w:id="-694415606"/>
                <w:lang w:val="en-AU"/>
                <w14:textFill>
                  <w14:solidFill>
                    <w14:srgbClr w14:val="000000">
                      <w14:alpha w14:val="100000"/>
                    </w14:srgbClr>
                  </w14:solidFill>
                </w14:textFill>
              </w:rPr>
              <w:t>|</w:t>
            </w:r>
            <w:r w:rsidR="004200A4" w:rsidRPr="00DD149D">
              <w:rPr>
                <w:rFonts w:cs="Calibri"/>
                <w:b/>
                <w:bCs/>
                <w:color w:val="auto"/>
                <w:vertAlign w:val="superscript"/>
                <w:lang w:val="en-AU"/>
              </w:rPr>
              <w:t>1</w:t>
            </w:r>
          </w:p>
        </w:tc>
        <w:tc>
          <w:tcPr>
            <w:tcW w:w="799" w:type="dxa"/>
          </w:tcPr>
          <w:p w14:paraId="3978F8D9" w14:textId="2B5869B7" w:rsidR="007B07F9" w:rsidRPr="00217EA0"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F0779A">
              <w:rPr>
                <w:color w:val="000000"/>
                <w:spacing w:val="53"/>
                <w:shd w:val="solid" w:color="000000" w:fill="000000"/>
                <w:fitText w:val="330" w:id="-694415605"/>
                <w:lang w:val="en-AU"/>
                <w14:textFill>
                  <w14:solidFill>
                    <w14:srgbClr w14:val="000000">
                      <w14:alpha w14:val="100000"/>
                    </w14:srgbClr>
                  </w14:solidFill>
                </w14:textFill>
              </w:rPr>
              <w:t>|||</w:t>
            </w:r>
            <w:r w:rsidRPr="00F0779A">
              <w:rPr>
                <w:color w:val="000000"/>
                <w:spacing w:val="1"/>
                <w:shd w:val="solid" w:color="000000" w:fill="000000"/>
                <w:fitText w:val="330" w:id="-694415605"/>
                <w:lang w:val="en-AU"/>
                <w14:textFill>
                  <w14:solidFill>
                    <w14:srgbClr w14:val="000000">
                      <w14:alpha w14:val="100000"/>
                    </w14:srgbClr>
                  </w14:solidFill>
                </w14:textFill>
              </w:rPr>
              <w:t>|</w:t>
            </w:r>
            <w:r w:rsidR="007B07F9" w:rsidRPr="00217EA0">
              <w:rPr>
                <w:color w:val="auto"/>
                <w:lang w:val="en-AU"/>
              </w:rPr>
              <w:t>%</w:t>
            </w:r>
          </w:p>
        </w:tc>
      </w:tr>
      <w:tr w:rsidR="007900E9" w:rsidRPr="00217EA0" w14:paraId="7252E2CB" w14:textId="77777777" w:rsidTr="00F0779A">
        <w:tc>
          <w:tcPr>
            <w:cnfStyle w:val="001000000000" w:firstRow="0" w:lastRow="0" w:firstColumn="1" w:lastColumn="0" w:oddVBand="0" w:evenVBand="0" w:oddHBand="0" w:evenHBand="0" w:firstRowFirstColumn="0" w:firstRowLastColumn="0" w:lastRowFirstColumn="0" w:lastRowLastColumn="0"/>
            <w:tcW w:w="4957" w:type="dxa"/>
          </w:tcPr>
          <w:p w14:paraId="2C3B6695" w14:textId="65D115E8" w:rsidR="007B07F9" w:rsidRPr="00217EA0" w:rsidRDefault="007B07F9" w:rsidP="00162F79">
            <w:pPr>
              <w:pStyle w:val="TableText"/>
              <w:rPr>
                <w:color w:val="auto"/>
                <w:lang w:val="en-AU"/>
              </w:rPr>
            </w:pPr>
            <w:r w:rsidRPr="00217EA0">
              <w:rPr>
                <w:color w:val="auto"/>
                <w:lang w:val="en-AU"/>
              </w:rPr>
              <w:t>FOLFOX admin costs only include MBS item 13950</w:t>
            </w:r>
            <w:r w:rsidR="00732264" w:rsidRPr="00217EA0">
              <w:rPr>
                <w:bCs/>
                <w:color w:val="auto"/>
                <w:vertAlign w:val="superscript"/>
                <w:lang w:val="en-AU"/>
              </w:rPr>
              <w:t xml:space="preserve"> b</w:t>
            </w:r>
          </w:p>
        </w:tc>
        <w:tc>
          <w:tcPr>
            <w:tcW w:w="1134" w:type="dxa"/>
            <w:tcBorders>
              <w:bottom w:val="single" w:sz="4" w:space="0" w:color="auto"/>
            </w:tcBorders>
            <w:shd w:val="solid" w:color="000000" w:fill="000000"/>
          </w:tcPr>
          <w:p w14:paraId="7DDB2DE1" w14:textId="0805CA6D"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auto"/>
                <w:highlight w:val="darkGray"/>
                <w:lang w:val="en-AU"/>
              </w:rPr>
            </w:pPr>
            <w:r w:rsidRPr="00F0779A">
              <w:rPr>
                <w:rFonts w:cs="Calibri"/>
                <w:color w:val="000000"/>
                <w:spacing w:val="53"/>
                <w:fitText w:val="330" w:id="-694415604"/>
                <w:lang w:val="en-AU"/>
                <w14:textFill>
                  <w14:solidFill>
                    <w14:srgbClr w14:val="000000">
                      <w14:alpha w14:val="100000"/>
                    </w14:srgbClr>
                  </w14:solidFill>
                </w14:textFill>
              </w:rPr>
              <w:t>|||</w:t>
            </w:r>
            <w:r w:rsidRPr="00F0779A">
              <w:rPr>
                <w:rFonts w:cs="Calibri"/>
                <w:color w:val="000000"/>
                <w:spacing w:val="1"/>
                <w:fitText w:val="330" w:id="-694415604"/>
                <w:lang w:val="en-AU"/>
                <w14:textFill>
                  <w14:solidFill>
                    <w14:srgbClr w14:val="000000">
                      <w14:alpha w14:val="100000"/>
                    </w14:srgbClr>
                  </w14:solidFill>
                </w14:textFill>
              </w:rPr>
              <w:t>|</w:t>
            </w:r>
          </w:p>
        </w:tc>
        <w:tc>
          <w:tcPr>
            <w:tcW w:w="1134" w:type="dxa"/>
          </w:tcPr>
          <w:p w14:paraId="5C7C0314" w14:textId="77777777"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auto"/>
                <w:lang w:val="en-AU"/>
              </w:rPr>
            </w:pPr>
            <w:r w:rsidRPr="006905BA">
              <w:rPr>
                <w:rFonts w:cs="Calibri"/>
                <w:color w:val="auto"/>
                <w:lang w:val="en-AU"/>
              </w:rPr>
              <w:t>1.16</w:t>
            </w:r>
          </w:p>
        </w:tc>
        <w:tc>
          <w:tcPr>
            <w:tcW w:w="992" w:type="dxa"/>
          </w:tcPr>
          <w:p w14:paraId="1C8EF727" w14:textId="5416EC7D"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auto"/>
                <w:highlight w:val="darkGray"/>
                <w:lang w:val="en-AU"/>
              </w:rPr>
            </w:pPr>
            <w:r w:rsidRPr="00F0779A">
              <w:rPr>
                <w:rFonts w:cs="Calibri"/>
                <w:color w:val="000000"/>
                <w:spacing w:val="53"/>
                <w:shd w:val="solid" w:color="000000" w:fill="000000"/>
                <w:fitText w:val="330" w:id="-694415603"/>
                <w:lang w:val="en-AU"/>
                <w14:textFill>
                  <w14:solidFill>
                    <w14:srgbClr w14:val="000000">
                      <w14:alpha w14:val="100000"/>
                    </w14:srgbClr>
                  </w14:solidFill>
                </w14:textFill>
              </w:rPr>
              <w:t>|||</w:t>
            </w:r>
            <w:r w:rsidRPr="00F0779A">
              <w:rPr>
                <w:rFonts w:cs="Calibri"/>
                <w:color w:val="000000"/>
                <w:spacing w:val="1"/>
                <w:shd w:val="solid" w:color="000000" w:fill="000000"/>
                <w:fitText w:val="330" w:id="-694415603"/>
                <w:lang w:val="en-AU"/>
                <w14:textFill>
                  <w14:solidFill>
                    <w14:srgbClr w14:val="000000">
                      <w14:alpha w14:val="100000"/>
                    </w14:srgbClr>
                  </w14:solidFill>
                </w14:textFill>
              </w:rPr>
              <w:t>|</w:t>
            </w:r>
            <w:r w:rsidR="00DD149D" w:rsidRPr="00DD149D">
              <w:rPr>
                <w:rFonts w:cs="Calibri"/>
                <w:b/>
                <w:bCs/>
                <w:color w:val="auto"/>
                <w:vertAlign w:val="superscript"/>
                <w:lang w:val="en-AU"/>
              </w:rPr>
              <w:t>1</w:t>
            </w:r>
          </w:p>
        </w:tc>
        <w:tc>
          <w:tcPr>
            <w:tcW w:w="799" w:type="dxa"/>
          </w:tcPr>
          <w:p w14:paraId="33AC4153" w14:textId="7BE29309" w:rsidR="007B07F9" w:rsidRPr="00217EA0"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F0779A">
              <w:rPr>
                <w:color w:val="000000"/>
                <w:spacing w:val="53"/>
                <w:shd w:val="solid" w:color="000000" w:fill="000000"/>
                <w:fitText w:val="330" w:id="-694415602"/>
                <w:lang w:val="en-AU"/>
                <w14:textFill>
                  <w14:solidFill>
                    <w14:srgbClr w14:val="000000">
                      <w14:alpha w14:val="100000"/>
                    </w14:srgbClr>
                  </w14:solidFill>
                </w14:textFill>
              </w:rPr>
              <w:t>|||</w:t>
            </w:r>
            <w:r w:rsidRPr="00F0779A">
              <w:rPr>
                <w:color w:val="000000"/>
                <w:spacing w:val="1"/>
                <w:shd w:val="solid" w:color="000000" w:fill="000000"/>
                <w:fitText w:val="330" w:id="-694415602"/>
                <w:lang w:val="en-AU"/>
                <w14:textFill>
                  <w14:solidFill>
                    <w14:srgbClr w14:val="000000">
                      <w14:alpha w14:val="100000"/>
                    </w14:srgbClr>
                  </w14:solidFill>
                </w14:textFill>
              </w:rPr>
              <w:t>|</w:t>
            </w:r>
            <w:r w:rsidR="007B07F9" w:rsidRPr="00217EA0">
              <w:rPr>
                <w:color w:val="auto"/>
                <w:lang w:val="en-AU"/>
              </w:rPr>
              <w:t>%</w:t>
            </w:r>
          </w:p>
        </w:tc>
      </w:tr>
      <w:tr w:rsidR="007900E9" w:rsidRPr="00217EA0" w14:paraId="034CE73F" w14:textId="77777777" w:rsidTr="00F0779A">
        <w:tc>
          <w:tcPr>
            <w:cnfStyle w:val="001000000000" w:firstRow="0" w:lastRow="0" w:firstColumn="1" w:lastColumn="0" w:oddVBand="0" w:evenVBand="0" w:oddHBand="0" w:evenHBand="0" w:firstRowFirstColumn="0" w:firstRowLastColumn="0" w:lastRowFirstColumn="0" w:lastRowLastColumn="0"/>
            <w:tcW w:w="4957" w:type="dxa"/>
          </w:tcPr>
          <w:p w14:paraId="1B84D61F" w14:textId="60D324B6" w:rsidR="007B07F9" w:rsidRPr="00217EA0" w:rsidRDefault="007B07F9" w:rsidP="00162F79">
            <w:pPr>
              <w:pStyle w:val="TableText"/>
              <w:rPr>
                <w:color w:val="auto"/>
                <w:lang w:val="en-AU"/>
              </w:rPr>
            </w:pPr>
            <w:r w:rsidRPr="00217EA0">
              <w:rPr>
                <w:color w:val="auto"/>
                <w:lang w:val="en-AU"/>
              </w:rPr>
              <w:t xml:space="preserve">Remove EOL costs </w:t>
            </w:r>
          </w:p>
        </w:tc>
        <w:tc>
          <w:tcPr>
            <w:tcW w:w="1134" w:type="dxa"/>
            <w:shd w:val="solid" w:color="000000" w:fill="000000"/>
          </w:tcPr>
          <w:p w14:paraId="52172FC3" w14:textId="4C436176"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auto"/>
                <w:highlight w:val="darkGray"/>
                <w:lang w:val="en-AU"/>
              </w:rPr>
            </w:pPr>
            <w:r w:rsidRPr="00F0779A">
              <w:rPr>
                <w:rFonts w:cs="Calibri"/>
                <w:color w:val="000000"/>
                <w:spacing w:val="53"/>
                <w:fitText w:val="330" w:id="-694415601"/>
                <w:lang w:val="en-AU"/>
                <w14:textFill>
                  <w14:solidFill>
                    <w14:srgbClr w14:val="000000">
                      <w14:alpha w14:val="100000"/>
                    </w14:srgbClr>
                  </w14:solidFill>
                </w14:textFill>
              </w:rPr>
              <w:t>|||</w:t>
            </w:r>
            <w:r w:rsidRPr="00F0779A">
              <w:rPr>
                <w:rFonts w:cs="Calibri"/>
                <w:color w:val="000000"/>
                <w:spacing w:val="1"/>
                <w:fitText w:val="330" w:id="-694415601"/>
                <w:lang w:val="en-AU"/>
                <w14:textFill>
                  <w14:solidFill>
                    <w14:srgbClr w14:val="000000">
                      <w14:alpha w14:val="100000"/>
                    </w14:srgbClr>
                  </w14:solidFill>
                </w14:textFill>
              </w:rPr>
              <w:t>|</w:t>
            </w:r>
          </w:p>
        </w:tc>
        <w:tc>
          <w:tcPr>
            <w:tcW w:w="1134" w:type="dxa"/>
          </w:tcPr>
          <w:p w14:paraId="5E903723" w14:textId="77777777"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auto"/>
                <w:lang w:val="en-AU"/>
              </w:rPr>
            </w:pPr>
            <w:r w:rsidRPr="006905BA">
              <w:rPr>
                <w:rFonts w:cs="Calibri"/>
                <w:color w:val="auto"/>
                <w:lang w:val="en-AU"/>
              </w:rPr>
              <w:t>1.16</w:t>
            </w:r>
          </w:p>
        </w:tc>
        <w:tc>
          <w:tcPr>
            <w:tcW w:w="992" w:type="dxa"/>
          </w:tcPr>
          <w:p w14:paraId="5DA017C0" w14:textId="27ADF759"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color w:val="auto"/>
                <w:highlight w:val="darkGray"/>
                <w:lang w:val="en-AU"/>
              </w:rPr>
            </w:pPr>
            <w:r w:rsidRPr="00F0779A">
              <w:rPr>
                <w:rFonts w:cs="Calibri"/>
                <w:color w:val="000000"/>
                <w:spacing w:val="53"/>
                <w:shd w:val="solid" w:color="000000" w:fill="000000"/>
                <w:fitText w:val="330" w:id="-694415600"/>
                <w:lang w:val="en-AU"/>
                <w14:textFill>
                  <w14:solidFill>
                    <w14:srgbClr w14:val="000000">
                      <w14:alpha w14:val="100000"/>
                    </w14:srgbClr>
                  </w14:solidFill>
                </w14:textFill>
              </w:rPr>
              <w:t>|||</w:t>
            </w:r>
            <w:r w:rsidRPr="00F0779A">
              <w:rPr>
                <w:rFonts w:cs="Calibri"/>
                <w:color w:val="000000"/>
                <w:spacing w:val="1"/>
                <w:shd w:val="solid" w:color="000000" w:fill="000000"/>
                <w:fitText w:val="330" w:id="-694415600"/>
                <w:lang w:val="en-AU"/>
                <w14:textFill>
                  <w14:solidFill>
                    <w14:srgbClr w14:val="000000">
                      <w14:alpha w14:val="100000"/>
                    </w14:srgbClr>
                  </w14:solidFill>
                </w14:textFill>
              </w:rPr>
              <w:t>|</w:t>
            </w:r>
            <w:r w:rsidR="004200A4" w:rsidRPr="00DD149D">
              <w:rPr>
                <w:rFonts w:cs="Calibri"/>
                <w:b/>
                <w:bCs/>
                <w:color w:val="auto"/>
                <w:vertAlign w:val="superscript"/>
                <w:lang w:val="en-AU"/>
              </w:rPr>
              <w:t>1</w:t>
            </w:r>
          </w:p>
        </w:tc>
        <w:tc>
          <w:tcPr>
            <w:tcW w:w="799" w:type="dxa"/>
          </w:tcPr>
          <w:p w14:paraId="61BBF904" w14:textId="2436FB1F" w:rsidR="007B07F9" w:rsidRPr="00217EA0"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F0779A">
              <w:rPr>
                <w:color w:val="000000"/>
                <w:spacing w:val="53"/>
                <w:shd w:val="solid" w:color="000000" w:fill="000000"/>
                <w:fitText w:val="330" w:id="-694415360"/>
                <w:lang w:val="en-AU"/>
                <w14:textFill>
                  <w14:solidFill>
                    <w14:srgbClr w14:val="000000">
                      <w14:alpha w14:val="100000"/>
                    </w14:srgbClr>
                  </w14:solidFill>
                </w14:textFill>
              </w:rPr>
              <w:t>|||</w:t>
            </w:r>
            <w:r w:rsidRPr="00F0779A">
              <w:rPr>
                <w:color w:val="000000"/>
                <w:spacing w:val="1"/>
                <w:shd w:val="solid" w:color="000000" w:fill="000000"/>
                <w:fitText w:val="330" w:id="-694415360"/>
                <w:lang w:val="en-AU"/>
                <w14:textFill>
                  <w14:solidFill>
                    <w14:srgbClr w14:val="000000">
                      <w14:alpha w14:val="100000"/>
                    </w14:srgbClr>
                  </w14:solidFill>
                </w14:textFill>
              </w:rPr>
              <w:t>|</w:t>
            </w:r>
            <w:r w:rsidR="007B07F9" w:rsidRPr="00217EA0">
              <w:rPr>
                <w:color w:val="auto"/>
                <w:lang w:val="en-AU"/>
              </w:rPr>
              <w:t>%</w:t>
            </w:r>
          </w:p>
        </w:tc>
      </w:tr>
      <w:tr w:rsidR="007900E9" w:rsidRPr="00217EA0" w14:paraId="505ED388" w14:textId="77777777" w:rsidTr="00F0779A">
        <w:tc>
          <w:tcPr>
            <w:cnfStyle w:val="001000000000" w:firstRow="0" w:lastRow="0" w:firstColumn="1" w:lastColumn="0" w:oddVBand="0" w:evenVBand="0" w:oddHBand="0" w:evenHBand="0" w:firstRowFirstColumn="0" w:firstRowLastColumn="0" w:lastRowFirstColumn="0" w:lastRowLastColumn="0"/>
            <w:tcW w:w="4957" w:type="dxa"/>
          </w:tcPr>
          <w:p w14:paraId="7A9DF067" w14:textId="3924B0BD" w:rsidR="007B07F9" w:rsidRPr="00217EA0" w:rsidRDefault="007B07F9" w:rsidP="00162F79">
            <w:pPr>
              <w:pStyle w:val="TableText"/>
              <w:rPr>
                <w:b/>
                <w:bCs/>
                <w:color w:val="auto"/>
                <w:lang w:val="en-AU"/>
              </w:rPr>
            </w:pPr>
            <w:r w:rsidRPr="00217EA0">
              <w:rPr>
                <w:b/>
                <w:bCs/>
                <w:color w:val="auto"/>
                <w:lang w:val="en-AU"/>
              </w:rPr>
              <w:t>Quality of Life</w:t>
            </w:r>
            <w:r w:rsidR="009674E6" w:rsidRPr="00217EA0">
              <w:rPr>
                <w:b/>
                <w:bCs/>
                <w:color w:val="auto"/>
                <w:lang w:val="en-AU"/>
              </w:rPr>
              <w:t xml:space="preserve"> (BC: FUTI PFS = 0.796, PD = </w:t>
            </w:r>
            <w:r w:rsidR="00D47556" w:rsidRPr="00217EA0">
              <w:rPr>
                <w:b/>
                <w:bCs/>
                <w:color w:val="auto"/>
                <w:lang w:val="en-AU"/>
              </w:rPr>
              <w:t>0.68; FOLFOX PFS = 0.70, PD=0.584)</w:t>
            </w:r>
          </w:p>
        </w:tc>
        <w:tc>
          <w:tcPr>
            <w:tcW w:w="1134" w:type="dxa"/>
            <w:tcBorders>
              <w:bottom w:val="single" w:sz="4" w:space="0" w:color="auto"/>
            </w:tcBorders>
          </w:tcPr>
          <w:p w14:paraId="181C8F24" w14:textId="77777777"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1134" w:type="dxa"/>
          </w:tcPr>
          <w:p w14:paraId="1AAC04F6" w14:textId="77777777"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992" w:type="dxa"/>
          </w:tcPr>
          <w:p w14:paraId="544723A3" w14:textId="77777777"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p>
        </w:tc>
        <w:tc>
          <w:tcPr>
            <w:tcW w:w="799" w:type="dxa"/>
          </w:tcPr>
          <w:p w14:paraId="482F0EFD" w14:textId="77777777"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p>
        </w:tc>
      </w:tr>
      <w:tr w:rsidR="007900E9" w:rsidRPr="00217EA0" w14:paraId="3D4E6911" w14:textId="77777777" w:rsidTr="00F0779A">
        <w:tc>
          <w:tcPr>
            <w:cnfStyle w:val="001000000000" w:firstRow="0" w:lastRow="0" w:firstColumn="1" w:lastColumn="0" w:oddVBand="0" w:evenVBand="0" w:oddHBand="0" w:evenHBand="0" w:firstRowFirstColumn="0" w:firstRowLastColumn="0" w:lastRowFirstColumn="0" w:lastRowLastColumn="0"/>
            <w:tcW w:w="4957" w:type="dxa"/>
          </w:tcPr>
          <w:p w14:paraId="60E5D727" w14:textId="77777777" w:rsidR="007B07F9" w:rsidRPr="00217EA0" w:rsidRDefault="007B07F9" w:rsidP="00162F79">
            <w:pPr>
              <w:pStyle w:val="TableText"/>
              <w:rPr>
                <w:color w:val="auto"/>
                <w:lang w:val="en-AU"/>
              </w:rPr>
            </w:pPr>
            <w:r w:rsidRPr="00217EA0">
              <w:rPr>
                <w:color w:val="auto"/>
                <w:lang w:val="en-AU"/>
              </w:rPr>
              <w:t>PF Utility by state (not drug) - FUTI values</w:t>
            </w:r>
          </w:p>
        </w:tc>
        <w:tc>
          <w:tcPr>
            <w:tcW w:w="1134" w:type="dxa"/>
            <w:tcBorders>
              <w:bottom w:val="single" w:sz="4" w:space="0" w:color="auto"/>
            </w:tcBorders>
            <w:shd w:val="solid" w:color="000000" w:fill="000000"/>
          </w:tcPr>
          <w:p w14:paraId="6C7BEFB2" w14:textId="58EC87ED"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fitText w:val="330" w:id="-694415359"/>
                <w:lang w:val="en-AU"/>
                <w14:textFill>
                  <w14:solidFill>
                    <w14:srgbClr w14:val="000000">
                      <w14:alpha w14:val="100000"/>
                    </w14:srgbClr>
                  </w14:solidFill>
                </w14:textFill>
              </w:rPr>
              <w:t>|||</w:t>
            </w:r>
            <w:r w:rsidRPr="00F0779A">
              <w:rPr>
                <w:rFonts w:cs="Calibri"/>
                <w:color w:val="000000"/>
                <w:spacing w:val="1"/>
                <w:fitText w:val="330" w:id="-694415359"/>
                <w:lang w:val="en-AU"/>
                <w14:textFill>
                  <w14:solidFill>
                    <w14:srgbClr w14:val="000000">
                      <w14:alpha w14:val="100000"/>
                    </w14:srgbClr>
                  </w14:solidFill>
                </w14:textFill>
              </w:rPr>
              <w:t>|</w:t>
            </w:r>
          </w:p>
        </w:tc>
        <w:tc>
          <w:tcPr>
            <w:tcW w:w="1134" w:type="dxa"/>
          </w:tcPr>
          <w:p w14:paraId="69A77B85" w14:textId="77777777"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6905BA">
              <w:rPr>
                <w:rFonts w:cs="Calibri"/>
                <w:color w:val="auto"/>
                <w:lang w:val="en-AU"/>
              </w:rPr>
              <w:t>1.12</w:t>
            </w:r>
          </w:p>
        </w:tc>
        <w:tc>
          <w:tcPr>
            <w:tcW w:w="992" w:type="dxa"/>
          </w:tcPr>
          <w:p w14:paraId="593A80E5" w14:textId="52484FCC"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shd w:val="solid" w:color="000000" w:fill="000000"/>
                <w:fitText w:val="330" w:id="-694415358"/>
                <w:lang w:val="en-AU"/>
                <w14:textFill>
                  <w14:solidFill>
                    <w14:srgbClr w14:val="000000">
                      <w14:alpha w14:val="100000"/>
                    </w14:srgbClr>
                  </w14:solidFill>
                </w14:textFill>
              </w:rPr>
              <w:t>|||</w:t>
            </w:r>
            <w:r w:rsidRPr="00F0779A">
              <w:rPr>
                <w:rFonts w:cs="Calibri"/>
                <w:color w:val="000000"/>
                <w:spacing w:val="1"/>
                <w:shd w:val="solid" w:color="000000" w:fill="000000"/>
                <w:fitText w:val="330" w:id="-694415358"/>
                <w:lang w:val="en-AU"/>
                <w14:textFill>
                  <w14:solidFill>
                    <w14:srgbClr w14:val="000000">
                      <w14:alpha w14:val="100000"/>
                    </w14:srgbClr>
                  </w14:solidFill>
                </w14:textFill>
              </w:rPr>
              <w:t>|</w:t>
            </w:r>
            <w:r w:rsidR="00DD149D" w:rsidRPr="00DD149D">
              <w:rPr>
                <w:rFonts w:cs="Calibri"/>
                <w:b/>
                <w:bCs/>
                <w:color w:val="auto"/>
                <w:vertAlign w:val="superscript"/>
                <w:lang w:val="en-AU"/>
              </w:rPr>
              <w:t>1</w:t>
            </w:r>
          </w:p>
        </w:tc>
        <w:tc>
          <w:tcPr>
            <w:tcW w:w="799" w:type="dxa"/>
          </w:tcPr>
          <w:p w14:paraId="346FBA64" w14:textId="6BA794D9" w:rsidR="007B07F9" w:rsidRPr="00217EA0"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F0779A">
              <w:rPr>
                <w:color w:val="000000"/>
                <w:spacing w:val="53"/>
                <w:shd w:val="solid" w:color="000000" w:fill="000000"/>
                <w:fitText w:val="330" w:id="-694415357"/>
                <w:lang w:val="en-AU"/>
                <w14:textFill>
                  <w14:solidFill>
                    <w14:srgbClr w14:val="000000">
                      <w14:alpha w14:val="100000"/>
                    </w14:srgbClr>
                  </w14:solidFill>
                </w14:textFill>
              </w:rPr>
              <w:t>|||</w:t>
            </w:r>
            <w:r w:rsidRPr="00F0779A">
              <w:rPr>
                <w:color w:val="000000"/>
                <w:spacing w:val="1"/>
                <w:shd w:val="solid" w:color="000000" w:fill="000000"/>
                <w:fitText w:val="330" w:id="-694415357"/>
                <w:lang w:val="en-AU"/>
                <w14:textFill>
                  <w14:solidFill>
                    <w14:srgbClr w14:val="000000">
                      <w14:alpha w14:val="100000"/>
                    </w14:srgbClr>
                  </w14:solidFill>
                </w14:textFill>
              </w:rPr>
              <w:t>|</w:t>
            </w:r>
            <w:r w:rsidR="007B07F9" w:rsidRPr="00217EA0">
              <w:rPr>
                <w:color w:val="auto"/>
                <w:lang w:val="en-AU"/>
              </w:rPr>
              <w:t>%</w:t>
            </w:r>
          </w:p>
        </w:tc>
      </w:tr>
      <w:tr w:rsidR="007900E9" w:rsidRPr="00217EA0" w14:paraId="046E264D" w14:textId="77777777" w:rsidTr="00F0779A">
        <w:tc>
          <w:tcPr>
            <w:cnfStyle w:val="001000000000" w:firstRow="0" w:lastRow="0" w:firstColumn="1" w:lastColumn="0" w:oddVBand="0" w:evenVBand="0" w:oddHBand="0" w:evenHBand="0" w:firstRowFirstColumn="0" w:firstRowLastColumn="0" w:lastRowFirstColumn="0" w:lastRowLastColumn="0"/>
            <w:tcW w:w="4957" w:type="dxa"/>
          </w:tcPr>
          <w:p w14:paraId="042189BF" w14:textId="77777777" w:rsidR="007B07F9" w:rsidRPr="00217EA0" w:rsidRDefault="007B07F9" w:rsidP="00162F79">
            <w:pPr>
              <w:pStyle w:val="TableText"/>
              <w:rPr>
                <w:color w:val="auto"/>
                <w:lang w:val="en-AU"/>
              </w:rPr>
            </w:pPr>
            <w:r w:rsidRPr="00217EA0">
              <w:rPr>
                <w:color w:val="auto"/>
                <w:lang w:val="en-AU"/>
              </w:rPr>
              <w:t>PD Utility by state (not drug) - FUTI values</w:t>
            </w:r>
          </w:p>
        </w:tc>
        <w:tc>
          <w:tcPr>
            <w:tcW w:w="1134" w:type="dxa"/>
            <w:tcBorders>
              <w:bottom w:val="single" w:sz="4" w:space="0" w:color="auto"/>
            </w:tcBorders>
            <w:shd w:val="solid" w:color="000000" w:fill="000000"/>
          </w:tcPr>
          <w:p w14:paraId="15AE0C54" w14:textId="52E7EF27"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fitText w:val="330" w:id="-694415356"/>
                <w:lang w:val="en-AU"/>
                <w14:textFill>
                  <w14:solidFill>
                    <w14:srgbClr w14:val="000000">
                      <w14:alpha w14:val="100000"/>
                    </w14:srgbClr>
                  </w14:solidFill>
                </w14:textFill>
              </w:rPr>
              <w:t>|||</w:t>
            </w:r>
            <w:r w:rsidRPr="00F0779A">
              <w:rPr>
                <w:rFonts w:cs="Calibri"/>
                <w:color w:val="000000"/>
                <w:spacing w:val="1"/>
                <w:fitText w:val="330" w:id="-694415356"/>
                <w:lang w:val="en-AU"/>
                <w14:textFill>
                  <w14:solidFill>
                    <w14:srgbClr w14:val="000000">
                      <w14:alpha w14:val="100000"/>
                    </w14:srgbClr>
                  </w14:solidFill>
                </w14:textFill>
              </w:rPr>
              <w:t>|</w:t>
            </w:r>
          </w:p>
        </w:tc>
        <w:tc>
          <w:tcPr>
            <w:tcW w:w="1134" w:type="dxa"/>
          </w:tcPr>
          <w:p w14:paraId="511B9EDF" w14:textId="77777777"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6905BA">
              <w:rPr>
                <w:rFonts w:cs="Calibri"/>
                <w:color w:val="auto"/>
                <w:lang w:val="en-AU"/>
              </w:rPr>
              <w:t>1.13</w:t>
            </w:r>
          </w:p>
        </w:tc>
        <w:tc>
          <w:tcPr>
            <w:tcW w:w="992" w:type="dxa"/>
          </w:tcPr>
          <w:p w14:paraId="2BAABF3C" w14:textId="40496F5C"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shd w:val="solid" w:color="000000" w:fill="000000"/>
                <w:fitText w:val="330" w:id="-694415355"/>
                <w:lang w:val="en-AU"/>
                <w14:textFill>
                  <w14:solidFill>
                    <w14:srgbClr w14:val="000000">
                      <w14:alpha w14:val="100000"/>
                    </w14:srgbClr>
                  </w14:solidFill>
                </w14:textFill>
              </w:rPr>
              <w:t>|||</w:t>
            </w:r>
            <w:r w:rsidRPr="00F0779A">
              <w:rPr>
                <w:rFonts w:cs="Calibri"/>
                <w:color w:val="000000"/>
                <w:spacing w:val="1"/>
                <w:shd w:val="solid" w:color="000000" w:fill="000000"/>
                <w:fitText w:val="330" w:id="-694415355"/>
                <w:lang w:val="en-AU"/>
                <w14:textFill>
                  <w14:solidFill>
                    <w14:srgbClr w14:val="000000">
                      <w14:alpha w14:val="100000"/>
                    </w14:srgbClr>
                  </w14:solidFill>
                </w14:textFill>
              </w:rPr>
              <w:t>|</w:t>
            </w:r>
            <w:r w:rsidR="00DD149D" w:rsidRPr="00DD149D">
              <w:rPr>
                <w:rFonts w:cs="Calibri"/>
                <w:b/>
                <w:bCs/>
                <w:color w:val="auto"/>
                <w:vertAlign w:val="superscript"/>
                <w:lang w:val="en-AU"/>
              </w:rPr>
              <w:t>1</w:t>
            </w:r>
          </w:p>
        </w:tc>
        <w:tc>
          <w:tcPr>
            <w:tcW w:w="799" w:type="dxa"/>
          </w:tcPr>
          <w:p w14:paraId="50771BB1" w14:textId="00AD0CC1" w:rsidR="007B07F9" w:rsidRPr="00217EA0"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F0779A">
              <w:rPr>
                <w:color w:val="000000"/>
                <w:spacing w:val="53"/>
                <w:shd w:val="solid" w:color="000000" w:fill="000000"/>
                <w:fitText w:val="330" w:id="-694415354"/>
                <w:lang w:val="en-AU"/>
                <w14:textFill>
                  <w14:solidFill>
                    <w14:srgbClr w14:val="000000">
                      <w14:alpha w14:val="100000"/>
                    </w14:srgbClr>
                  </w14:solidFill>
                </w14:textFill>
              </w:rPr>
              <w:t>|||</w:t>
            </w:r>
            <w:r w:rsidRPr="00F0779A">
              <w:rPr>
                <w:color w:val="000000"/>
                <w:spacing w:val="1"/>
                <w:shd w:val="solid" w:color="000000" w:fill="000000"/>
                <w:fitText w:val="330" w:id="-694415354"/>
                <w:lang w:val="en-AU"/>
                <w14:textFill>
                  <w14:solidFill>
                    <w14:srgbClr w14:val="000000">
                      <w14:alpha w14:val="100000"/>
                    </w14:srgbClr>
                  </w14:solidFill>
                </w14:textFill>
              </w:rPr>
              <w:t>|</w:t>
            </w:r>
            <w:r w:rsidR="007B07F9" w:rsidRPr="00217EA0">
              <w:rPr>
                <w:color w:val="auto"/>
                <w:lang w:val="en-AU"/>
              </w:rPr>
              <w:t>%</w:t>
            </w:r>
          </w:p>
        </w:tc>
      </w:tr>
      <w:tr w:rsidR="007900E9" w:rsidRPr="00217EA0" w14:paraId="1F48E2AD" w14:textId="77777777" w:rsidTr="00F0779A">
        <w:tc>
          <w:tcPr>
            <w:cnfStyle w:val="001000000000" w:firstRow="0" w:lastRow="0" w:firstColumn="1" w:lastColumn="0" w:oddVBand="0" w:evenVBand="0" w:oddHBand="0" w:evenHBand="0" w:firstRowFirstColumn="0" w:firstRowLastColumn="0" w:lastRowFirstColumn="0" w:lastRowLastColumn="0"/>
            <w:tcW w:w="4957" w:type="dxa"/>
          </w:tcPr>
          <w:p w14:paraId="744C726E" w14:textId="77777777" w:rsidR="007B07F9" w:rsidRPr="00217EA0" w:rsidRDefault="007B07F9" w:rsidP="00162F79">
            <w:pPr>
              <w:pStyle w:val="TableText"/>
              <w:rPr>
                <w:color w:val="auto"/>
                <w:lang w:val="en-AU"/>
              </w:rPr>
            </w:pPr>
            <w:r w:rsidRPr="00217EA0">
              <w:rPr>
                <w:color w:val="auto"/>
                <w:lang w:val="en-AU"/>
              </w:rPr>
              <w:t>Change utilities to those from durvalumab PBAC submission (PF 0.857; PD 0.766)</w:t>
            </w:r>
          </w:p>
        </w:tc>
        <w:tc>
          <w:tcPr>
            <w:tcW w:w="1134" w:type="dxa"/>
            <w:tcBorders>
              <w:bottom w:val="single" w:sz="4" w:space="0" w:color="auto"/>
            </w:tcBorders>
            <w:shd w:val="solid" w:color="000000" w:fill="000000"/>
          </w:tcPr>
          <w:p w14:paraId="33CEDDEC" w14:textId="22AD45E4"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rFonts w:cs="Calibri"/>
                <w:color w:val="000000"/>
                <w:spacing w:val="53"/>
                <w:fitText w:val="330" w:id="-694415353"/>
                <w:lang w:val="en-AU"/>
                <w14:textFill>
                  <w14:solidFill>
                    <w14:srgbClr w14:val="000000">
                      <w14:alpha w14:val="100000"/>
                    </w14:srgbClr>
                  </w14:solidFill>
                </w14:textFill>
              </w:rPr>
              <w:t>|||</w:t>
            </w:r>
            <w:r w:rsidRPr="00F0779A">
              <w:rPr>
                <w:rFonts w:cs="Calibri"/>
                <w:color w:val="000000"/>
                <w:spacing w:val="1"/>
                <w:fitText w:val="330" w:id="-694415353"/>
                <w:lang w:val="en-AU"/>
                <w14:textFill>
                  <w14:solidFill>
                    <w14:srgbClr w14:val="000000">
                      <w14:alpha w14:val="100000"/>
                    </w14:srgbClr>
                  </w14:solidFill>
                </w14:textFill>
              </w:rPr>
              <w:t>|</w:t>
            </w:r>
          </w:p>
        </w:tc>
        <w:tc>
          <w:tcPr>
            <w:tcW w:w="1134" w:type="dxa"/>
          </w:tcPr>
          <w:p w14:paraId="2224793C" w14:textId="77777777" w:rsidR="007B07F9" w:rsidRPr="006905BA"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6905BA">
              <w:rPr>
                <w:color w:val="auto"/>
                <w:lang w:val="en-AU"/>
              </w:rPr>
              <w:t>1.20</w:t>
            </w:r>
          </w:p>
        </w:tc>
        <w:tc>
          <w:tcPr>
            <w:tcW w:w="992" w:type="dxa"/>
          </w:tcPr>
          <w:p w14:paraId="6C4BA5BF" w14:textId="1D0258B9" w:rsidR="007B07F9"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color w:val="000000"/>
                <w:spacing w:val="53"/>
                <w:shd w:val="solid" w:color="000000" w:fill="000000"/>
                <w:fitText w:val="330" w:id="-694415352"/>
                <w:lang w:val="en-AU"/>
                <w14:textFill>
                  <w14:solidFill>
                    <w14:srgbClr w14:val="000000">
                      <w14:alpha w14:val="100000"/>
                    </w14:srgbClr>
                  </w14:solidFill>
                </w14:textFill>
              </w:rPr>
              <w:t>|||</w:t>
            </w:r>
            <w:r w:rsidRPr="00F0779A">
              <w:rPr>
                <w:color w:val="000000"/>
                <w:spacing w:val="1"/>
                <w:shd w:val="solid" w:color="000000" w:fill="000000"/>
                <w:fitText w:val="330" w:id="-694415352"/>
                <w:lang w:val="en-AU"/>
                <w14:textFill>
                  <w14:solidFill>
                    <w14:srgbClr w14:val="000000">
                      <w14:alpha w14:val="100000"/>
                    </w14:srgbClr>
                  </w14:solidFill>
                </w14:textFill>
              </w:rPr>
              <w:t>|</w:t>
            </w:r>
            <w:r w:rsidR="00DD149D" w:rsidRPr="00DD149D">
              <w:rPr>
                <w:rFonts w:cs="Calibri"/>
                <w:b/>
                <w:bCs/>
                <w:color w:val="auto"/>
                <w:vertAlign w:val="superscript"/>
                <w:lang w:val="en-AU"/>
              </w:rPr>
              <w:t>1</w:t>
            </w:r>
          </w:p>
        </w:tc>
        <w:tc>
          <w:tcPr>
            <w:tcW w:w="799" w:type="dxa"/>
          </w:tcPr>
          <w:p w14:paraId="2D227E02" w14:textId="22AF2B9D" w:rsidR="007B07F9" w:rsidRPr="00217EA0" w:rsidRDefault="007B07F9" w:rsidP="00162F79">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217EA0">
              <w:rPr>
                <w:color w:val="auto"/>
                <w:lang w:val="en-AU"/>
              </w:rPr>
              <w:t>-</w:t>
            </w:r>
            <w:r w:rsidR="00F0779A" w:rsidRPr="00F0779A">
              <w:rPr>
                <w:color w:val="000000"/>
                <w:spacing w:val="53"/>
                <w:shd w:val="solid" w:color="000000" w:fill="000000"/>
                <w:fitText w:val="330" w:id="-694415351"/>
                <w:lang w:val="en-AU"/>
                <w14:textFill>
                  <w14:solidFill>
                    <w14:srgbClr w14:val="000000">
                      <w14:alpha w14:val="100000"/>
                    </w14:srgbClr>
                  </w14:solidFill>
                </w14:textFill>
              </w:rPr>
              <w:t>|||</w:t>
            </w:r>
            <w:r w:rsidR="00F0779A" w:rsidRPr="00F0779A">
              <w:rPr>
                <w:color w:val="000000"/>
                <w:spacing w:val="1"/>
                <w:shd w:val="solid" w:color="000000" w:fill="000000"/>
                <w:fitText w:val="330" w:id="-694415351"/>
                <w:lang w:val="en-AU"/>
                <w14:textFill>
                  <w14:solidFill>
                    <w14:srgbClr w14:val="000000">
                      <w14:alpha w14:val="100000"/>
                    </w14:srgbClr>
                  </w14:solidFill>
                </w14:textFill>
              </w:rPr>
              <w:t>|</w:t>
            </w:r>
            <w:r w:rsidRPr="00217EA0">
              <w:rPr>
                <w:color w:val="auto"/>
                <w:lang w:val="en-AU"/>
              </w:rPr>
              <w:t>%</w:t>
            </w:r>
          </w:p>
        </w:tc>
      </w:tr>
      <w:tr w:rsidR="00E849FC" w:rsidRPr="00217EA0" w14:paraId="3E639BEB" w14:textId="77777777" w:rsidTr="00F0779A">
        <w:tc>
          <w:tcPr>
            <w:cnfStyle w:val="001000000000" w:firstRow="0" w:lastRow="0" w:firstColumn="1" w:lastColumn="0" w:oddVBand="0" w:evenVBand="0" w:oddHBand="0" w:evenHBand="0" w:firstRowFirstColumn="0" w:firstRowLastColumn="0" w:lastRowFirstColumn="0" w:lastRowLastColumn="0"/>
            <w:tcW w:w="4957" w:type="dxa"/>
          </w:tcPr>
          <w:p w14:paraId="269E2EB7" w14:textId="15BB5006" w:rsidR="00E849FC" w:rsidRPr="008C2440" w:rsidRDefault="00E849FC" w:rsidP="00162F79">
            <w:pPr>
              <w:pStyle w:val="TableText"/>
              <w:rPr>
                <w:color w:val="auto"/>
                <w:lang w:val="en-AU"/>
              </w:rPr>
            </w:pPr>
            <w:r w:rsidRPr="00217EA0">
              <w:rPr>
                <w:color w:val="auto"/>
                <w:lang w:val="en-AU"/>
              </w:rPr>
              <w:t xml:space="preserve">Change utilities to those from durvalumab PBAC submission </w:t>
            </w:r>
            <w:r w:rsidRPr="00ED409A">
              <w:rPr>
                <w:color w:val="auto"/>
                <w:lang w:val="en-AU"/>
              </w:rPr>
              <w:t>- After IV decrement</w:t>
            </w:r>
            <w:r w:rsidR="001E39A3">
              <w:rPr>
                <w:color w:val="auto"/>
                <w:lang w:val="en-AU"/>
              </w:rPr>
              <w:t xml:space="preserve"> (-0.025)</w:t>
            </w:r>
            <w:r w:rsidRPr="00ED409A">
              <w:rPr>
                <w:color w:val="auto"/>
                <w:lang w:val="en-AU"/>
              </w:rPr>
              <w:t xml:space="preserve"> in PF state </w:t>
            </w:r>
            <w:r w:rsidRPr="00217EA0">
              <w:rPr>
                <w:color w:val="auto"/>
                <w:lang w:val="en-AU"/>
              </w:rPr>
              <w:t>(</w:t>
            </w:r>
            <w:proofErr w:type="spellStart"/>
            <w:r>
              <w:rPr>
                <w:color w:val="auto"/>
                <w:lang w:val="en-AU"/>
              </w:rPr>
              <w:t>futibatinib</w:t>
            </w:r>
            <w:proofErr w:type="spellEnd"/>
            <w:r>
              <w:rPr>
                <w:color w:val="auto"/>
                <w:lang w:val="en-AU"/>
              </w:rPr>
              <w:t xml:space="preserve">: </w:t>
            </w:r>
            <w:r w:rsidRPr="00217EA0">
              <w:rPr>
                <w:color w:val="auto"/>
                <w:lang w:val="en-AU"/>
              </w:rPr>
              <w:t>PF 0.857; PD 0.766</w:t>
            </w:r>
            <w:r>
              <w:rPr>
                <w:color w:val="auto"/>
                <w:lang w:val="en-AU"/>
              </w:rPr>
              <w:t>; FOLFOX: PF 0.832, PD 0.766</w:t>
            </w:r>
            <w:r w:rsidRPr="00217EA0">
              <w:rPr>
                <w:color w:val="auto"/>
                <w:lang w:val="en-AU"/>
              </w:rPr>
              <w:t>)</w:t>
            </w:r>
            <w:r w:rsidR="001B5EB3" w:rsidRPr="001B5EB3">
              <w:rPr>
                <w:color w:val="auto"/>
                <w:vertAlign w:val="superscript"/>
                <w:lang w:val="en-AU"/>
              </w:rPr>
              <w:t>a</w:t>
            </w:r>
          </w:p>
        </w:tc>
        <w:tc>
          <w:tcPr>
            <w:tcW w:w="1134" w:type="dxa"/>
            <w:shd w:val="solid" w:color="000000" w:fill="000000"/>
          </w:tcPr>
          <w:p w14:paraId="1D72E94A" w14:textId="3742705B" w:rsidR="00E849FC" w:rsidRPr="006D2BE4" w:rsidRDefault="00F0779A" w:rsidP="00162F79">
            <w:pPr>
              <w:pStyle w:val="TableText"/>
              <w:jc w:val="center"/>
              <w:cnfStyle w:val="000000000000" w:firstRow="0" w:lastRow="0" w:firstColumn="0" w:lastColumn="0" w:oddVBand="0" w:evenVBand="0" w:oddHBand="0" w:evenHBand="0" w:firstRowFirstColumn="0" w:firstRowLastColumn="0" w:lastRowFirstColumn="0" w:lastRowLastColumn="0"/>
              <w:rPr>
                <w:rFonts w:cs="Calibri"/>
                <w:highlight w:val="darkGray"/>
              </w:rPr>
            </w:pPr>
            <w:r w:rsidRPr="00F0779A">
              <w:rPr>
                <w:rFonts w:cs="Calibri"/>
                <w:color w:val="000000"/>
                <w:spacing w:val="53"/>
                <w:fitText w:val="330" w:id="-694415350"/>
                <w:lang w:val="en-AU"/>
                <w14:textFill>
                  <w14:solidFill>
                    <w14:srgbClr w14:val="000000">
                      <w14:alpha w14:val="100000"/>
                    </w14:srgbClr>
                  </w14:solidFill>
                </w14:textFill>
              </w:rPr>
              <w:t>|||</w:t>
            </w:r>
            <w:r w:rsidRPr="00F0779A">
              <w:rPr>
                <w:rFonts w:cs="Calibri"/>
                <w:color w:val="000000"/>
                <w:spacing w:val="1"/>
                <w:fitText w:val="330" w:id="-694415350"/>
                <w:lang w:val="en-AU"/>
                <w14:textFill>
                  <w14:solidFill>
                    <w14:srgbClr w14:val="000000">
                      <w14:alpha w14:val="100000"/>
                    </w14:srgbClr>
                  </w14:solidFill>
                </w14:textFill>
              </w:rPr>
              <w:t>|</w:t>
            </w:r>
          </w:p>
        </w:tc>
        <w:tc>
          <w:tcPr>
            <w:tcW w:w="1134" w:type="dxa"/>
          </w:tcPr>
          <w:p w14:paraId="5C6C884F" w14:textId="64D469BD" w:rsidR="00E849FC" w:rsidRPr="006905BA" w:rsidRDefault="00A91479" w:rsidP="00162F79">
            <w:pPr>
              <w:pStyle w:val="TableText"/>
              <w:jc w:val="center"/>
              <w:cnfStyle w:val="000000000000" w:firstRow="0" w:lastRow="0" w:firstColumn="0" w:lastColumn="0" w:oddVBand="0" w:evenVBand="0" w:oddHBand="0" w:evenHBand="0" w:firstRowFirstColumn="0" w:firstRowLastColumn="0" w:lastRowFirstColumn="0" w:lastRowLastColumn="0"/>
            </w:pPr>
            <w:r w:rsidRPr="006905BA">
              <w:t>1.</w:t>
            </w:r>
            <w:r w:rsidR="001B5EB3" w:rsidRPr="006905BA">
              <w:t>22</w:t>
            </w:r>
          </w:p>
        </w:tc>
        <w:tc>
          <w:tcPr>
            <w:tcW w:w="992" w:type="dxa"/>
          </w:tcPr>
          <w:p w14:paraId="4AB62307" w14:textId="6AF487CC" w:rsidR="00E849FC" w:rsidRPr="006D2BE4" w:rsidRDefault="00F0779A" w:rsidP="002E498D">
            <w:pPr>
              <w:pStyle w:val="TableText"/>
              <w:jc w:val="center"/>
              <w:cnfStyle w:val="000000000000" w:firstRow="0" w:lastRow="0" w:firstColumn="0" w:lastColumn="0" w:oddVBand="0" w:evenVBand="0" w:oddHBand="0" w:evenHBand="0" w:firstRowFirstColumn="0" w:firstRowLastColumn="0" w:lastRowFirstColumn="0" w:lastRowLastColumn="0"/>
              <w:rPr>
                <w:color w:val="auto"/>
                <w:highlight w:val="darkGray"/>
                <w:lang w:val="en-AU"/>
              </w:rPr>
            </w:pPr>
            <w:r w:rsidRPr="00F0779A">
              <w:rPr>
                <w:color w:val="000000"/>
                <w:spacing w:val="53"/>
                <w:shd w:val="solid" w:color="000000" w:fill="000000"/>
                <w:fitText w:val="330" w:id="-694415349"/>
                <w:lang w:val="en-AU"/>
                <w14:textFill>
                  <w14:solidFill>
                    <w14:srgbClr w14:val="000000">
                      <w14:alpha w14:val="100000"/>
                    </w14:srgbClr>
                  </w14:solidFill>
                </w14:textFill>
              </w:rPr>
              <w:t>|||</w:t>
            </w:r>
            <w:r w:rsidRPr="00F0779A">
              <w:rPr>
                <w:color w:val="000000"/>
                <w:spacing w:val="1"/>
                <w:shd w:val="solid" w:color="000000" w:fill="000000"/>
                <w:fitText w:val="330" w:id="-694415349"/>
                <w:lang w:val="en-AU"/>
                <w14:textFill>
                  <w14:solidFill>
                    <w14:srgbClr w14:val="000000">
                      <w14:alpha w14:val="100000"/>
                    </w14:srgbClr>
                  </w14:solidFill>
                </w14:textFill>
              </w:rPr>
              <w:t>|</w:t>
            </w:r>
            <w:r w:rsidR="00DD149D" w:rsidRPr="00DD149D">
              <w:rPr>
                <w:rFonts w:cs="Calibri"/>
                <w:b/>
                <w:bCs/>
                <w:color w:val="auto"/>
                <w:vertAlign w:val="superscript"/>
                <w:lang w:val="en-AU"/>
              </w:rPr>
              <w:t>1</w:t>
            </w:r>
          </w:p>
        </w:tc>
        <w:tc>
          <w:tcPr>
            <w:tcW w:w="799" w:type="dxa"/>
          </w:tcPr>
          <w:p w14:paraId="486AA5B3" w14:textId="2FE38F59" w:rsidR="00E849FC" w:rsidRPr="00E849FC" w:rsidRDefault="00E849FC" w:rsidP="002E498D">
            <w:pPr>
              <w:pStyle w:val="TableText"/>
              <w:jc w:val="center"/>
              <w:cnfStyle w:val="000000000000" w:firstRow="0" w:lastRow="0" w:firstColumn="0" w:lastColumn="0" w:oddVBand="0" w:evenVBand="0" w:oddHBand="0" w:evenHBand="0" w:firstRowFirstColumn="0" w:firstRowLastColumn="0" w:lastRowFirstColumn="0" w:lastRowLastColumn="0"/>
              <w:rPr>
                <w:color w:val="auto"/>
                <w:lang w:val="en-AU"/>
              </w:rPr>
            </w:pPr>
            <w:r w:rsidRPr="00E849FC">
              <w:rPr>
                <w:color w:val="auto"/>
                <w:lang w:val="en-AU"/>
              </w:rPr>
              <w:t>-</w:t>
            </w:r>
            <w:r w:rsidR="00F0779A" w:rsidRPr="00DD396E">
              <w:rPr>
                <w:color w:val="000000"/>
                <w:spacing w:val="53"/>
                <w:shd w:val="solid" w:color="000000" w:fill="000000"/>
                <w:fitText w:val="330" w:id="-694415348"/>
                <w:lang w:val="en-AU"/>
                <w14:textFill>
                  <w14:solidFill>
                    <w14:srgbClr w14:val="000000">
                      <w14:alpha w14:val="100000"/>
                    </w14:srgbClr>
                  </w14:solidFill>
                </w14:textFill>
              </w:rPr>
              <w:t>|||</w:t>
            </w:r>
            <w:r w:rsidR="00F0779A" w:rsidRPr="00DD396E">
              <w:rPr>
                <w:color w:val="000000"/>
                <w:spacing w:val="1"/>
                <w:shd w:val="solid" w:color="000000" w:fill="000000"/>
                <w:fitText w:val="330" w:id="-694415348"/>
                <w:lang w:val="en-AU"/>
                <w14:textFill>
                  <w14:solidFill>
                    <w14:srgbClr w14:val="000000">
                      <w14:alpha w14:val="100000"/>
                    </w14:srgbClr>
                  </w14:solidFill>
                </w14:textFill>
              </w:rPr>
              <w:t>|</w:t>
            </w:r>
            <w:r w:rsidRPr="00E849FC">
              <w:rPr>
                <w:color w:val="auto"/>
                <w:lang w:val="en-AU"/>
              </w:rPr>
              <w:t>%</w:t>
            </w:r>
          </w:p>
        </w:tc>
      </w:tr>
    </w:tbl>
    <w:p w14:paraId="279D9458" w14:textId="0C265EE2" w:rsidR="007B07F9" w:rsidRPr="00217EA0" w:rsidRDefault="007B07F9" w:rsidP="00162F79">
      <w:pPr>
        <w:pStyle w:val="TableFooter"/>
        <w:rPr>
          <w:sz w:val="20"/>
        </w:rPr>
      </w:pPr>
      <w:r w:rsidRPr="00217EA0">
        <w:t xml:space="preserve">Source. Attached Economic model, adjusted to remove half cycle correction for </w:t>
      </w:r>
      <w:proofErr w:type="spellStart"/>
      <w:r w:rsidRPr="00217EA0">
        <w:t>futibatinib</w:t>
      </w:r>
      <w:proofErr w:type="spellEnd"/>
      <w:r w:rsidRPr="00217EA0">
        <w:t xml:space="preserve"> acquisition costs and corrected error for half cycle correction in costs and outcomes. </w:t>
      </w:r>
    </w:p>
    <w:p w14:paraId="6350B694" w14:textId="67AFFA31" w:rsidR="007B07F9" w:rsidRDefault="007B07F9" w:rsidP="00162F79">
      <w:pPr>
        <w:pStyle w:val="TableFigureFooter"/>
        <w:widowControl w:val="0"/>
      </w:pPr>
      <w:r w:rsidRPr="00217EA0">
        <w:t xml:space="preserve">AE = adverse events; BC = base case; EOL = end of life; FUTI = </w:t>
      </w:r>
      <w:proofErr w:type="spellStart"/>
      <w:r w:rsidRPr="00217EA0">
        <w:t>futibatinib</w:t>
      </w:r>
      <w:proofErr w:type="spellEnd"/>
      <w:r w:rsidRPr="00217EA0">
        <w:t>; ICER = incremental cost effectiveness ratio; KM = Kaplan Meier; MBS = Medicare Benefits Scheme; OS = overall survival; PBAC = Pharmaceutical Benefits Advisory Committee; PD = progressive disease; PF = progression free disease; QALY = quality adjusted life year; RDI = relative dose intensity</w:t>
      </w:r>
      <w:r w:rsidR="00886240">
        <w:t xml:space="preserve"> </w:t>
      </w:r>
    </w:p>
    <w:p w14:paraId="270E7B1C" w14:textId="1A19D6AC" w:rsidR="00DD149D" w:rsidRDefault="001B5EB3" w:rsidP="00162F79">
      <w:pPr>
        <w:pStyle w:val="TableFigureFooter"/>
        <w:widowControl w:val="0"/>
      </w:pPr>
      <w:proofErr w:type="spellStart"/>
      <w:r w:rsidRPr="005C148F">
        <w:rPr>
          <w:vertAlign w:val="superscript"/>
        </w:rPr>
        <w:t>a</w:t>
      </w:r>
      <w:proofErr w:type="spellEnd"/>
      <w:r w:rsidR="005C148F" w:rsidRPr="005C148F">
        <w:rPr>
          <w:vertAlign w:val="superscript"/>
        </w:rPr>
        <w:t xml:space="preserve"> </w:t>
      </w:r>
      <w:r w:rsidR="005C148F">
        <w:t xml:space="preserve">provided in Pre-PBAC response </w:t>
      </w:r>
    </w:p>
    <w:p w14:paraId="21121E2C" w14:textId="696371B7" w:rsidR="00DD149D" w:rsidRPr="00162F79" w:rsidRDefault="00DD149D" w:rsidP="00162F79">
      <w:pPr>
        <w:pStyle w:val="TableFigureFooter"/>
        <w:widowControl w:val="0"/>
        <w:rPr>
          <w:i/>
          <w:iCs/>
        </w:rPr>
      </w:pPr>
      <w:r w:rsidRPr="00162F79">
        <w:rPr>
          <w:i/>
          <w:iCs/>
        </w:rPr>
        <w:t xml:space="preserve">The redacted values correspond to the following ranges: </w:t>
      </w:r>
    </w:p>
    <w:p w14:paraId="554595CE" w14:textId="583936BB" w:rsidR="000F5CFF" w:rsidRPr="00162F79" w:rsidRDefault="00DD149D" w:rsidP="00162F79">
      <w:pPr>
        <w:pStyle w:val="TableFigureFooter"/>
        <w:widowControl w:val="0"/>
        <w:rPr>
          <w:i/>
          <w:iCs/>
        </w:rPr>
      </w:pPr>
      <w:r w:rsidRPr="00B4379E">
        <w:rPr>
          <w:i/>
          <w:iCs/>
          <w:vertAlign w:val="superscript"/>
        </w:rPr>
        <w:t>1</w:t>
      </w:r>
      <w:r w:rsidRPr="00162F79">
        <w:rPr>
          <w:i/>
          <w:iCs/>
        </w:rPr>
        <w:t xml:space="preserve"> $95,000 to &lt; $115,000</w:t>
      </w:r>
      <w:r w:rsidR="000F5CFF" w:rsidRPr="00162F79">
        <w:rPr>
          <w:i/>
          <w:iCs/>
        </w:rPr>
        <w:t xml:space="preserve"> </w:t>
      </w:r>
    </w:p>
    <w:p w14:paraId="07250888" w14:textId="77777777" w:rsidR="00990AA7" w:rsidRPr="00162F79" w:rsidRDefault="000F5CFF" w:rsidP="00162F79">
      <w:pPr>
        <w:pStyle w:val="TableFigureFooter"/>
        <w:widowControl w:val="0"/>
        <w:rPr>
          <w:i/>
          <w:iCs/>
        </w:rPr>
      </w:pPr>
      <w:r w:rsidRPr="00B4379E">
        <w:rPr>
          <w:i/>
          <w:iCs/>
          <w:vertAlign w:val="superscript"/>
        </w:rPr>
        <w:t xml:space="preserve">2 </w:t>
      </w:r>
      <w:r w:rsidRPr="00162F79">
        <w:rPr>
          <w:i/>
          <w:iCs/>
        </w:rPr>
        <w:t>$115,000 to &lt; $135,000</w:t>
      </w:r>
      <w:r w:rsidR="00990AA7" w:rsidRPr="00162F79">
        <w:rPr>
          <w:i/>
          <w:iCs/>
        </w:rPr>
        <w:t xml:space="preserve"> </w:t>
      </w:r>
    </w:p>
    <w:p w14:paraId="60025BFE" w14:textId="77777777" w:rsidR="004200A4" w:rsidRPr="00162F79" w:rsidRDefault="00990AA7" w:rsidP="00162F79">
      <w:pPr>
        <w:pStyle w:val="TableFigureFooter"/>
        <w:widowControl w:val="0"/>
        <w:rPr>
          <w:i/>
          <w:iCs/>
        </w:rPr>
      </w:pPr>
      <w:r w:rsidRPr="00B4379E">
        <w:rPr>
          <w:i/>
          <w:iCs/>
          <w:vertAlign w:val="superscript"/>
        </w:rPr>
        <w:t>3</w:t>
      </w:r>
      <w:r w:rsidRPr="00162F79">
        <w:rPr>
          <w:i/>
          <w:iCs/>
        </w:rPr>
        <w:t xml:space="preserve"> $135,000 to &lt; $155,000</w:t>
      </w:r>
      <w:r w:rsidR="004200A4" w:rsidRPr="00162F79">
        <w:rPr>
          <w:i/>
          <w:iCs/>
        </w:rPr>
        <w:t xml:space="preserve"> </w:t>
      </w:r>
    </w:p>
    <w:p w14:paraId="364B2306" w14:textId="1D646EE0" w:rsidR="001B5EB3" w:rsidRPr="00162F79" w:rsidRDefault="004200A4" w:rsidP="00162F79">
      <w:pPr>
        <w:pStyle w:val="TableFigureFooter"/>
        <w:widowControl w:val="0"/>
        <w:spacing w:after="120"/>
        <w:rPr>
          <w:i/>
          <w:iCs/>
        </w:rPr>
      </w:pPr>
      <w:r w:rsidRPr="00B4379E">
        <w:rPr>
          <w:i/>
          <w:iCs/>
          <w:vertAlign w:val="superscript"/>
        </w:rPr>
        <w:t xml:space="preserve">4 </w:t>
      </w:r>
      <w:r w:rsidRPr="00162F79">
        <w:rPr>
          <w:i/>
          <w:iCs/>
        </w:rPr>
        <w:t>$155,000 to &lt; $255,000</w:t>
      </w:r>
    </w:p>
    <w:p w14:paraId="0829F6A2" w14:textId="06CDB724" w:rsidR="007B07F9" w:rsidRPr="00217EA0" w:rsidRDefault="00E357D9" w:rsidP="2914E55D">
      <w:pPr>
        <w:pStyle w:val="ListParagraph"/>
        <w:rPr>
          <w:color w:val="auto"/>
        </w:rPr>
      </w:pPr>
      <w:bookmarkStart w:id="87" w:name="_Ref195256524"/>
      <w:r w:rsidRPr="00217EA0">
        <w:rPr>
          <w:color w:val="auto"/>
        </w:rPr>
        <w:t>The evaluation noted that t</w:t>
      </w:r>
      <w:r w:rsidR="007B07F9" w:rsidRPr="00217EA0">
        <w:rPr>
          <w:color w:val="auto"/>
        </w:rPr>
        <w:t xml:space="preserve">he model was most sensitive to choice of OS extrapolation. Using the generalised gamma extrapolation instead of the base case log logistic model in both arms increased the ICER by </w:t>
      </w:r>
      <w:r w:rsidR="00F0779A" w:rsidRPr="00F0779A">
        <w:rPr>
          <w:color w:val="000000"/>
          <w:w w:val="60"/>
          <w:shd w:val="solid" w:color="000000" w:fill="000000"/>
          <w:fitText w:val="470" w:id="-694415347"/>
          <w14:textFill>
            <w14:solidFill>
              <w14:srgbClr w14:val="000000">
                <w14:alpha w14:val="100000"/>
              </w14:srgbClr>
            </w14:solidFill>
          </w14:textFill>
        </w:rPr>
        <w:t>|||  ||</w:t>
      </w:r>
      <w:r w:rsidR="00F0779A" w:rsidRPr="00F0779A">
        <w:rPr>
          <w:color w:val="000000"/>
          <w:spacing w:val="6"/>
          <w:w w:val="60"/>
          <w:shd w:val="solid" w:color="000000" w:fill="000000"/>
          <w:fitText w:val="470" w:id="-694415347"/>
          <w14:textFill>
            <w14:solidFill>
              <w14:srgbClr w14:val="000000">
                <w14:alpha w14:val="100000"/>
              </w14:srgbClr>
            </w14:solidFill>
          </w14:textFill>
        </w:rPr>
        <w:t>|</w:t>
      </w:r>
      <w:r w:rsidR="007B07F9" w:rsidRPr="00217EA0">
        <w:rPr>
          <w:color w:val="auto"/>
        </w:rPr>
        <w:t xml:space="preserve">% to </w:t>
      </w:r>
      <w:r w:rsidR="00530AFA" w:rsidRPr="00530AFA">
        <w:rPr>
          <w:color w:val="auto"/>
        </w:rPr>
        <w:t>$155,000 to &lt; $255,000</w:t>
      </w:r>
      <w:r w:rsidR="007B07F9" w:rsidRPr="00217EA0">
        <w:rPr>
          <w:color w:val="auto"/>
        </w:rPr>
        <w:t>/QALY</w:t>
      </w:r>
      <w:r w:rsidR="00931844" w:rsidRPr="00217EA0">
        <w:rPr>
          <w:color w:val="auto"/>
        </w:rPr>
        <w:t>. However,</w:t>
      </w:r>
      <w:r w:rsidR="003C437B" w:rsidRPr="00217EA0">
        <w:rPr>
          <w:color w:val="auto"/>
        </w:rPr>
        <w:t xml:space="preserve"> the evaluation considered that</w:t>
      </w:r>
      <w:r w:rsidR="00931844" w:rsidRPr="00217EA0">
        <w:rPr>
          <w:color w:val="auto"/>
        </w:rPr>
        <w:t xml:space="preserve"> the sensitivity analyses around OS extrapolation are of limited informativeness given the high degree of uncertainty regarding the MAIC used as the basis for estimates of clinical benefit</w:t>
      </w:r>
      <w:r w:rsidR="002D2768" w:rsidRPr="00217EA0">
        <w:rPr>
          <w:color w:val="auto"/>
        </w:rPr>
        <w:t>, and the ESCs agreed</w:t>
      </w:r>
      <w:r w:rsidR="00931844" w:rsidRPr="00217EA0">
        <w:rPr>
          <w:color w:val="auto"/>
        </w:rPr>
        <w:t xml:space="preserve">. </w:t>
      </w:r>
      <w:r w:rsidR="00F925AD" w:rsidRPr="00217EA0">
        <w:rPr>
          <w:color w:val="auto"/>
        </w:rPr>
        <w:t>The evaluation considered that g</w:t>
      </w:r>
      <w:r w:rsidR="00931844" w:rsidRPr="00217EA0">
        <w:rPr>
          <w:color w:val="auto"/>
        </w:rPr>
        <w:t xml:space="preserve">iven the sensitivity in the parametric extrapolations of OS, it is reasonable to assume that a more modest benefit as reported in Paine 2022 and Borad 2022 would increase the ICER. Moreover, </w:t>
      </w:r>
      <w:r w:rsidR="007052BC" w:rsidRPr="00217EA0">
        <w:rPr>
          <w:color w:val="auto"/>
        </w:rPr>
        <w:t>t</w:t>
      </w:r>
      <w:r w:rsidR="00F925AD" w:rsidRPr="00217EA0">
        <w:rPr>
          <w:color w:val="auto"/>
        </w:rPr>
        <w:t xml:space="preserve">he evaluation noted that </w:t>
      </w:r>
      <w:r w:rsidR="00931844" w:rsidRPr="00217EA0">
        <w:rPr>
          <w:color w:val="auto"/>
        </w:rPr>
        <w:t>the model does not include any convergence of OS benefit which</w:t>
      </w:r>
      <w:r w:rsidR="00F925AD" w:rsidRPr="00217EA0">
        <w:rPr>
          <w:color w:val="auto"/>
        </w:rPr>
        <w:t xml:space="preserve"> the evaluation considered</w:t>
      </w:r>
      <w:r w:rsidR="00931844" w:rsidRPr="00217EA0">
        <w:rPr>
          <w:color w:val="auto"/>
        </w:rPr>
        <w:t xml:space="preserve"> was likely to be optimistic and favours </w:t>
      </w:r>
      <w:proofErr w:type="spellStart"/>
      <w:r w:rsidR="00931844" w:rsidRPr="00217EA0">
        <w:rPr>
          <w:color w:val="auto"/>
        </w:rPr>
        <w:t>futibatinib</w:t>
      </w:r>
      <w:proofErr w:type="spellEnd"/>
      <w:r w:rsidR="00DE33CD" w:rsidRPr="00217EA0">
        <w:rPr>
          <w:color w:val="auto"/>
        </w:rPr>
        <w:t>, particularly as the model is estimating longer life years in both progression free</w:t>
      </w:r>
      <w:r w:rsidR="00C0107D" w:rsidRPr="00217EA0">
        <w:rPr>
          <w:color w:val="auto"/>
        </w:rPr>
        <w:t xml:space="preserve"> (38.6% of all incremental life years)</w:t>
      </w:r>
      <w:r w:rsidR="00DE33CD" w:rsidRPr="00217EA0">
        <w:rPr>
          <w:color w:val="auto"/>
        </w:rPr>
        <w:t xml:space="preserve"> and progressed disease </w:t>
      </w:r>
      <w:r w:rsidR="00C0107D" w:rsidRPr="00217EA0">
        <w:rPr>
          <w:color w:val="auto"/>
        </w:rPr>
        <w:t xml:space="preserve">(61.4% of all incremental life years) </w:t>
      </w:r>
      <w:r w:rsidR="00DE33CD" w:rsidRPr="00217EA0">
        <w:rPr>
          <w:color w:val="auto"/>
        </w:rPr>
        <w:t xml:space="preserve">in the </w:t>
      </w:r>
      <w:proofErr w:type="spellStart"/>
      <w:r w:rsidR="00DE33CD" w:rsidRPr="00217EA0">
        <w:rPr>
          <w:color w:val="auto"/>
        </w:rPr>
        <w:t>futibatinib</w:t>
      </w:r>
      <w:proofErr w:type="spellEnd"/>
      <w:r w:rsidR="00DE33CD" w:rsidRPr="00217EA0">
        <w:rPr>
          <w:color w:val="auto"/>
        </w:rPr>
        <w:t xml:space="preserve"> arm</w:t>
      </w:r>
      <w:r w:rsidR="006570BD" w:rsidRPr="00217EA0">
        <w:rPr>
          <w:color w:val="auto"/>
        </w:rPr>
        <w:t xml:space="preserve"> (see paragraph </w:t>
      </w:r>
      <w:r w:rsidR="006570BD" w:rsidRPr="00217EA0">
        <w:rPr>
          <w:color w:val="auto"/>
        </w:rPr>
        <w:fldChar w:fldCharType="begin"/>
      </w:r>
      <w:r w:rsidR="006570BD" w:rsidRPr="00217EA0">
        <w:rPr>
          <w:color w:val="auto"/>
        </w:rPr>
        <w:instrText xml:space="preserve"> REF _Ref187801439 \r \h </w:instrText>
      </w:r>
      <w:r w:rsidR="00F925AD" w:rsidRPr="00217EA0">
        <w:rPr>
          <w:color w:val="auto"/>
        </w:rPr>
        <w:instrText xml:space="preserve"> \* MERGEFORMAT </w:instrText>
      </w:r>
      <w:r w:rsidR="006570BD" w:rsidRPr="00217EA0">
        <w:rPr>
          <w:color w:val="auto"/>
        </w:rPr>
      </w:r>
      <w:r w:rsidR="006570BD" w:rsidRPr="00217EA0">
        <w:rPr>
          <w:color w:val="auto"/>
        </w:rPr>
        <w:fldChar w:fldCharType="separate"/>
      </w:r>
      <w:r w:rsidR="008378C4">
        <w:rPr>
          <w:color w:val="auto"/>
        </w:rPr>
        <w:t>6.98</w:t>
      </w:r>
      <w:r w:rsidR="006570BD" w:rsidRPr="00217EA0">
        <w:rPr>
          <w:color w:val="auto"/>
        </w:rPr>
        <w:fldChar w:fldCharType="end"/>
      </w:r>
      <w:r w:rsidR="006570BD" w:rsidRPr="00217EA0">
        <w:rPr>
          <w:color w:val="auto"/>
        </w:rPr>
        <w:t>)</w:t>
      </w:r>
      <w:r w:rsidR="00931844" w:rsidRPr="00217EA0">
        <w:rPr>
          <w:color w:val="auto"/>
        </w:rPr>
        <w:t>.</w:t>
      </w:r>
      <w:bookmarkEnd w:id="87"/>
      <w:r w:rsidR="00753146" w:rsidRPr="00217EA0">
        <w:t xml:space="preserve"> </w:t>
      </w:r>
    </w:p>
    <w:p w14:paraId="61470F8F" w14:textId="548FAF74" w:rsidR="007B07F9" w:rsidRPr="00217EA0" w:rsidRDefault="00F925AD" w:rsidP="2914E55D">
      <w:pPr>
        <w:pStyle w:val="ListParagraph"/>
        <w:rPr>
          <w:color w:val="auto"/>
        </w:rPr>
      </w:pPr>
      <w:r w:rsidRPr="00217EA0">
        <w:rPr>
          <w:color w:val="auto"/>
        </w:rPr>
        <w:t>The evaluation noted that s</w:t>
      </w:r>
      <w:r w:rsidR="007B07F9" w:rsidRPr="00217EA0">
        <w:rPr>
          <w:color w:val="auto"/>
        </w:rPr>
        <w:t xml:space="preserve">hortening the time horizon from 10 years to 5 years, as recently recommended by the PBAC in its consideration of </w:t>
      </w:r>
      <w:proofErr w:type="spellStart"/>
      <w:r w:rsidR="007B07F9" w:rsidRPr="00217EA0">
        <w:rPr>
          <w:color w:val="auto"/>
        </w:rPr>
        <w:t>ivosidenib</w:t>
      </w:r>
      <w:proofErr w:type="spellEnd"/>
      <w:r w:rsidR="007B07F9" w:rsidRPr="00217EA0">
        <w:rPr>
          <w:color w:val="auto"/>
        </w:rPr>
        <w:t xml:space="preserve"> for CCA, increased the ICER by </w:t>
      </w:r>
      <w:r w:rsidR="00F0779A" w:rsidRPr="00F0779A">
        <w:rPr>
          <w:color w:val="000000"/>
          <w:w w:val="60"/>
          <w:shd w:val="solid" w:color="000000" w:fill="000000"/>
          <w:fitText w:val="470" w:id="-694415346"/>
          <w14:textFill>
            <w14:solidFill>
              <w14:srgbClr w14:val="000000">
                <w14:alpha w14:val="100000"/>
              </w14:srgbClr>
            </w14:solidFill>
          </w14:textFill>
        </w:rPr>
        <w:t>|||  ||</w:t>
      </w:r>
      <w:r w:rsidR="00F0779A" w:rsidRPr="00F0779A">
        <w:rPr>
          <w:color w:val="000000"/>
          <w:spacing w:val="6"/>
          <w:w w:val="60"/>
          <w:shd w:val="solid" w:color="000000" w:fill="000000"/>
          <w:fitText w:val="470" w:id="-694415346"/>
          <w14:textFill>
            <w14:solidFill>
              <w14:srgbClr w14:val="000000">
                <w14:alpha w14:val="100000"/>
              </w14:srgbClr>
            </w14:solidFill>
          </w14:textFill>
        </w:rPr>
        <w:t>|</w:t>
      </w:r>
      <w:r w:rsidR="007B07F9" w:rsidRPr="00217EA0">
        <w:rPr>
          <w:color w:val="auto"/>
        </w:rPr>
        <w:t xml:space="preserve">% to </w:t>
      </w:r>
      <w:r w:rsidR="00CE58B0" w:rsidRPr="00CE58B0">
        <w:rPr>
          <w:color w:val="auto"/>
        </w:rPr>
        <w:t>$115,000 to &lt; $135,000</w:t>
      </w:r>
      <w:r w:rsidR="007B07F9" w:rsidRPr="00217EA0">
        <w:rPr>
          <w:color w:val="auto"/>
        </w:rPr>
        <w:t>/QALY.</w:t>
      </w:r>
      <w:r w:rsidR="00DA437D" w:rsidRPr="00217EA0">
        <w:rPr>
          <w:color w:val="auto"/>
        </w:rPr>
        <w:t xml:space="preserve"> </w:t>
      </w:r>
      <w:r w:rsidR="008A0920" w:rsidRPr="00217EA0">
        <w:rPr>
          <w:color w:val="auto"/>
        </w:rPr>
        <w:t>The ESCs</w:t>
      </w:r>
      <w:r w:rsidR="00C4685B" w:rsidRPr="00217EA0">
        <w:rPr>
          <w:color w:val="auto"/>
        </w:rPr>
        <w:t xml:space="preserve"> noted that </w:t>
      </w:r>
      <w:r w:rsidR="00DC7F17" w:rsidRPr="00217EA0">
        <w:rPr>
          <w:color w:val="auto"/>
        </w:rPr>
        <w:t>the evidence from FOENIX-CCA2 had a median follow-up of only 25 month</w:t>
      </w:r>
      <w:r w:rsidR="00722311">
        <w:rPr>
          <w:color w:val="auto"/>
        </w:rPr>
        <w:t>s, and</w:t>
      </w:r>
      <w:r w:rsidR="008A0920" w:rsidRPr="00217EA0">
        <w:rPr>
          <w:color w:val="auto"/>
        </w:rPr>
        <w:t xml:space="preserve"> considered a 5</w:t>
      </w:r>
      <w:r w:rsidR="00F972F6" w:rsidRPr="00217EA0">
        <w:rPr>
          <w:color w:val="auto"/>
        </w:rPr>
        <w:t xml:space="preserve"> year</w:t>
      </w:r>
      <w:r w:rsidR="008A0920" w:rsidRPr="00217EA0">
        <w:rPr>
          <w:color w:val="auto"/>
        </w:rPr>
        <w:t xml:space="preserve"> time horizon to be more appropriate.</w:t>
      </w:r>
      <w:r w:rsidR="00BB5899">
        <w:rPr>
          <w:color w:val="auto"/>
        </w:rPr>
        <w:t xml:space="preserve"> </w:t>
      </w:r>
    </w:p>
    <w:p w14:paraId="3E7311A6" w14:textId="42070FB2" w:rsidR="00753146" w:rsidRPr="00217EA0" w:rsidRDefault="00F925AD" w:rsidP="2914E55D">
      <w:pPr>
        <w:pStyle w:val="ListParagraph"/>
        <w:rPr>
          <w:color w:val="auto"/>
        </w:rPr>
      </w:pPr>
      <w:r w:rsidRPr="00217EA0">
        <w:rPr>
          <w:color w:val="auto"/>
        </w:rPr>
        <w:t xml:space="preserve">The </w:t>
      </w:r>
      <w:r w:rsidR="00753146" w:rsidRPr="00217EA0">
        <w:rPr>
          <w:color w:val="auto"/>
        </w:rPr>
        <w:t>PSCR acknowledged a reduction to the time horizon</w:t>
      </w:r>
      <w:r w:rsidRPr="00217EA0">
        <w:rPr>
          <w:color w:val="auto"/>
        </w:rPr>
        <w:t xml:space="preserve"> </w:t>
      </w:r>
      <w:r w:rsidR="00B67003" w:rsidRPr="00217EA0">
        <w:rPr>
          <w:color w:val="auto"/>
        </w:rPr>
        <w:t>and</w:t>
      </w:r>
      <w:r w:rsidR="00753146" w:rsidRPr="00217EA0">
        <w:rPr>
          <w:color w:val="auto"/>
        </w:rPr>
        <w:t>/or a more conservative choice of extrapolated survival curves would increase the ICER and noted that this has been an accepted method to mitigate any residual uncertainty in previous decision making.</w:t>
      </w:r>
      <w:r w:rsidR="00C04F0E" w:rsidRPr="00C04F0E">
        <w:rPr>
          <w:color w:val="auto"/>
        </w:rPr>
        <w:t xml:space="preserve"> </w:t>
      </w:r>
      <w:r w:rsidR="00C04F0E">
        <w:rPr>
          <w:color w:val="auto"/>
        </w:rPr>
        <w:t xml:space="preserve">However, the Pre-PBAC response contended that if the survival curves for FOLFOX are changed to account for </w:t>
      </w:r>
      <w:r w:rsidR="003E5C46" w:rsidRPr="003E5C46">
        <w:rPr>
          <w:i/>
          <w:iCs/>
          <w:color w:val="auto"/>
        </w:rPr>
        <w:t>FGFR2</w:t>
      </w:r>
      <w:r w:rsidR="00C04F0E">
        <w:rPr>
          <w:color w:val="auto"/>
        </w:rPr>
        <w:t xml:space="preserve"> prognostic benefit, then also shortening the time horizon to 5 years would be double counting uncertainty.</w:t>
      </w:r>
    </w:p>
    <w:p w14:paraId="0F551F63" w14:textId="6EFE2057" w:rsidR="007B07F9" w:rsidRPr="00217EA0" w:rsidRDefault="00F925AD" w:rsidP="2914E55D">
      <w:pPr>
        <w:pStyle w:val="ListParagraph"/>
        <w:rPr>
          <w:color w:val="auto"/>
        </w:rPr>
      </w:pPr>
      <w:r w:rsidRPr="00217EA0">
        <w:rPr>
          <w:color w:val="auto"/>
        </w:rPr>
        <w:t>The evaluation noted that t</w:t>
      </w:r>
      <w:r w:rsidR="007B07F9" w:rsidRPr="00217EA0">
        <w:rPr>
          <w:color w:val="auto"/>
        </w:rPr>
        <w:t xml:space="preserve">he model was also sensitive to inputs that affected </w:t>
      </w:r>
      <w:proofErr w:type="spellStart"/>
      <w:r w:rsidR="007B07F9" w:rsidRPr="00217EA0">
        <w:rPr>
          <w:color w:val="auto"/>
        </w:rPr>
        <w:t>futibatinib</w:t>
      </w:r>
      <w:proofErr w:type="spellEnd"/>
      <w:r w:rsidR="007B07F9" w:rsidRPr="00217EA0">
        <w:rPr>
          <w:color w:val="auto"/>
        </w:rPr>
        <w:t xml:space="preserve"> drug acquisition costs. </w:t>
      </w:r>
      <w:r w:rsidR="00166A6E">
        <w:rPr>
          <w:color w:val="auto"/>
        </w:rPr>
        <w:t>T</w:t>
      </w:r>
      <w:r w:rsidRPr="00217EA0">
        <w:rPr>
          <w:color w:val="auto"/>
        </w:rPr>
        <w:t xml:space="preserve">he evaluation noted </w:t>
      </w:r>
      <w:r w:rsidR="007B07F9" w:rsidRPr="00217EA0">
        <w:rPr>
          <w:color w:val="auto"/>
        </w:rPr>
        <w:t xml:space="preserve">it was not possible to simply adjust the costing to account for four weekly dispensing in the model with its </w:t>
      </w:r>
      <w:r w:rsidR="005B5698" w:rsidRPr="00217EA0">
        <w:rPr>
          <w:color w:val="auto"/>
        </w:rPr>
        <w:t>three-weekly</w:t>
      </w:r>
      <w:r w:rsidR="007B07F9" w:rsidRPr="00217EA0">
        <w:rPr>
          <w:color w:val="auto"/>
        </w:rPr>
        <w:t xml:space="preserve"> cycle. It was also not possible to inform the impact of omitting </w:t>
      </w:r>
      <w:r w:rsidR="00DF47B0" w:rsidRPr="00217EA0">
        <w:rPr>
          <w:color w:val="auto"/>
        </w:rPr>
        <w:t xml:space="preserve">utilisation of </w:t>
      </w:r>
      <w:proofErr w:type="spellStart"/>
      <w:r w:rsidR="00DF47B0" w:rsidRPr="00217EA0">
        <w:rPr>
          <w:color w:val="auto"/>
        </w:rPr>
        <w:t>futibatinib</w:t>
      </w:r>
      <w:proofErr w:type="spellEnd"/>
      <w:r w:rsidR="00DF47B0" w:rsidRPr="00217EA0">
        <w:rPr>
          <w:color w:val="auto"/>
        </w:rPr>
        <w:t xml:space="preserve"> </w:t>
      </w:r>
      <w:r w:rsidR="007B07F9" w:rsidRPr="00217EA0">
        <w:rPr>
          <w:color w:val="auto"/>
        </w:rPr>
        <w:t xml:space="preserve">post progression </w:t>
      </w:r>
      <w:r w:rsidR="00DF47B0" w:rsidRPr="00217EA0">
        <w:rPr>
          <w:color w:val="auto"/>
        </w:rPr>
        <w:t xml:space="preserve">or subsequent </w:t>
      </w:r>
      <w:r w:rsidR="003E5C46" w:rsidRPr="003E5C46">
        <w:rPr>
          <w:i/>
          <w:iCs/>
          <w:color w:val="auto"/>
        </w:rPr>
        <w:t>FGFR2</w:t>
      </w:r>
      <w:r w:rsidR="007B07F9" w:rsidRPr="00217EA0">
        <w:rPr>
          <w:color w:val="auto"/>
        </w:rPr>
        <w:t xml:space="preserve"> inhibitor use in the </w:t>
      </w:r>
      <w:proofErr w:type="spellStart"/>
      <w:r w:rsidR="007B07F9" w:rsidRPr="00217EA0">
        <w:rPr>
          <w:color w:val="auto"/>
        </w:rPr>
        <w:t>futibatinib</w:t>
      </w:r>
      <w:proofErr w:type="spellEnd"/>
      <w:r w:rsidR="007B07F9" w:rsidRPr="00217EA0">
        <w:rPr>
          <w:color w:val="auto"/>
        </w:rPr>
        <w:t xml:space="preserve"> arm from the cost side</w:t>
      </w:r>
      <w:r w:rsidR="008F4387" w:rsidRPr="00217EA0">
        <w:rPr>
          <w:color w:val="auto"/>
        </w:rPr>
        <w:t>,</w:t>
      </w:r>
      <w:r w:rsidR="007B07F9" w:rsidRPr="00217EA0">
        <w:rPr>
          <w:color w:val="auto"/>
        </w:rPr>
        <w:t xml:space="preserve"> as the duration of post progression treatment in FOENIX-CCA2 was unknown. Nonetheless, </w:t>
      </w:r>
      <w:r w:rsidRPr="00217EA0">
        <w:rPr>
          <w:color w:val="auto"/>
        </w:rPr>
        <w:t xml:space="preserve">the evaluation considered </w:t>
      </w:r>
      <w:r w:rsidR="007B07F9" w:rsidRPr="00217EA0">
        <w:rPr>
          <w:color w:val="auto"/>
        </w:rPr>
        <w:t xml:space="preserve">it likely that the cost of </w:t>
      </w:r>
      <w:proofErr w:type="spellStart"/>
      <w:r w:rsidR="007B07F9" w:rsidRPr="00217EA0">
        <w:rPr>
          <w:color w:val="auto"/>
        </w:rPr>
        <w:t>futibatinib</w:t>
      </w:r>
      <w:proofErr w:type="spellEnd"/>
      <w:r w:rsidR="007B07F9" w:rsidRPr="00217EA0">
        <w:rPr>
          <w:color w:val="auto"/>
        </w:rPr>
        <w:t xml:space="preserve"> was underestimated, or in the case of post progression </w:t>
      </w:r>
      <w:r w:rsidR="003E5C46" w:rsidRPr="003E5C46">
        <w:rPr>
          <w:i/>
          <w:iCs/>
          <w:color w:val="auto"/>
        </w:rPr>
        <w:t>FGFR2</w:t>
      </w:r>
      <w:r w:rsidR="007B07F9" w:rsidRPr="00217EA0">
        <w:rPr>
          <w:color w:val="auto"/>
        </w:rPr>
        <w:t xml:space="preserve"> inhibitor use, the efficacy of </w:t>
      </w:r>
      <w:proofErr w:type="spellStart"/>
      <w:r w:rsidR="007B07F9" w:rsidRPr="00217EA0">
        <w:rPr>
          <w:color w:val="auto"/>
        </w:rPr>
        <w:t>futibatinib</w:t>
      </w:r>
      <w:proofErr w:type="spellEnd"/>
      <w:r w:rsidR="007B07F9" w:rsidRPr="00217EA0">
        <w:rPr>
          <w:color w:val="auto"/>
        </w:rPr>
        <w:t xml:space="preserve"> on OS may be overestimated.  </w:t>
      </w:r>
    </w:p>
    <w:p w14:paraId="57575E57" w14:textId="457CCC7E" w:rsidR="00931844" w:rsidRPr="00217EA0" w:rsidRDefault="00153591" w:rsidP="2914E55D">
      <w:pPr>
        <w:pStyle w:val="ListParagraph"/>
        <w:rPr>
          <w:color w:val="auto"/>
        </w:rPr>
      </w:pPr>
      <w:r w:rsidRPr="00217EA0">
        <w:rPr>
          <w:color w:val="auto"/>
        </w:rPr>
        <w:t>The evaluation noted that t</w:t>
      </w:r>
      <w:r w:rsidR="007B07F9" w:rsidRPr="00217EA0">
        <w:rPr>
          <w:color w:val="auto"/>
        </w:rPr>
        <w:t xml:space="preserve">he model was not sensitive to test cost assumptions, chemotherapy administration cost assumptions, or disease management cost assumptions. Additionally, the model was minimally sensitive to changes in utility values. </w:t>
      </w:r>
      <w:r w:rsidRPr="00217EA0">
        <w:rPr>
          <w:color w:val="auto"/>
        </w:rPr>
        <w:t>The evaluation considered that t</w:t>
      </w:r>
      <w:r w:rsidR="00931844" w:rsidRPr="00217EA0">
        <w:rPr>
          <w:color w:val="auto"/>
        </w:rPr>
        <w:t xml:space="preserve">his may be attributable to the model assuming patients in the </w:t>
      </w:r>
      <w:proofErr w:type="spellStart"/>
      <w:r w:rsidR="00931844" w:rsidRPr="00217EA0">
        <w:rPr>
          <w:color w:val="auto"/>
        </w:rPr>
        <w:t>futibatinib</w:t>
      </w:r>
      <w:proofErr w:type="spellEnd"/>
      <w:r w:rsidR="00931844" w:rsidRPr="00217EA0">
        <w:rPr>
          <w:color w:val="auto"/>
        </w:rPr>
        <w:t xml:space="preserve"> arm would spend more time in both PFS and PD health states compared to patients in the FOLFOX arm, which may not be reasonable or supported by evidence. </w:t>
      </w:r>
    </w:p>
    <w:p w14:paraId="745F30BA" w14:textId="1FAA2622" w:rsidR="007B07F9" w:rsidRDefault="007B07F9" w:rsidP="2914E55D">
      <w:pPr>
        <w:pStyle w:val="ListParagraph"/>
        <w:rPr>
          <w:color w:val="auto"/>
        </w:rPr>
      </w:pPr>
      <w:bookmarkStart w:id="88" w:name="_Ref190292310"/>
      <w:r w:rsidRPr="00217EA0">
        <w:rPr>
          <w:color w:val="auto"/>
        </w:rPr>
        <w:t>Overall,</w:t>
      </w:r>
      <w:r w:rsidR="00B67003" w:rsidRPr="00217EA0">
        <w:rPr>
          <w:color w:val="auto"/>
        </w:rPr>
        <w:t xml:space="preserve"> the ESCs</w:t>
      </w:r>
      <w:r w:rsidR="00153591" w:rsidRPr="00217EA0">
        <w:rPr>
          <w:color w:val="auto"/>
        </w:rPr>
        <w:t xml:space="preserve"> considered that</w:t>
      </w:r>
      <w:r w:rsidRPr="00217EA0">
        <w:rPr>
          <w:color w:val="auto"/>
        </w:rPr>
        <w:t xml:space="preserve"> it was extremely likely that the submission’s ICER was underestimated due to overestimated incremental </w:t>
      </w:r>
      <w:proofErr w:type="spellStart"/>
      <w:r w:rsidRPr="00217EA0">
        <w:rPr>
          <w:color w:val="auto"/>
        </w:rPr>
        <w:t>futibatinib</w:t>
      </w:r>
      <w:proofErr w:type="spellEnd"/>
      <w:r w:rsidRPr="00217EA0">
        <w:rPr>
          <w:color w:val="auto"/>
        </w:rPr>
        <w:t xml:space="preserve"> benefit and underestimated </w:t>
      </w:r>
      <w:proofErr w:type="spellStart"/>
      <w:r w:rsidRPr="00217EA0">
        <w:rPr>
          <w:color w:val="auto"/>
        </w:rPr>
        <w:t>futibatinib</w:t>
      </w:r>
      <w:proofErr w:type="spellEnd"/>
      <w:r w:rsidRPr="00217EA0">
        <w:rPr>
          <w:color w:val="auto"/>
        </w:rPr>
        <w:t xml:space="preserve"> drug costs.</w:t>
      </w:r>
      <w:bookmarkEnd w:id="88"/>
      <w:r w:rsidRPr="00217EA0">
        <w:rPr>
          <w:color w:val="auto"/>
        </w:rPr>
        <w:t xml:space="preserve">  </w:t>
      </w:r>
    </w:p>
    <w:p w14:paraId="19939EEF" w14:textId="6BCD686B" w:rsidR="00C317F3" w:rsidRPr="00C95CD1" w:rsidRDefault="00CA75B3" w:rsidP="00C95CD1">
      <w:pPr>
        <w:pStyle w:val="4-SubsectionHeading"/>
        <w:rPr>
          <w:rFonts w:asciiTheme="minorHAnsi" w:hAnsiTheme="minorHAnsi"/>
          <w:lang w:eastAsia="en-US"/>
        </w:rPr>
      </w:pPr>
      <w:bookmarkStart w:id="89" w:name="_Toc413139283"/>
      <w:r w:rsidRPr="00C95CD1">
        <w:rPr>
          <w:rFonts w:asciiTheme="minorHAnsi" w:hAnsiTheme="minorHAnsi"/>
          <w:lang w:eastAsia="en-US"/>
        </w:rPr>
        <w:t>Drug</w:t>
      </w:r>
      <w:r w:rsidR="00C317F3" w:rsidRPr="00C95CD1">
        <w:rPr>
          <w:rFonts w:asciiTheme="minorHAnsi" w:hAnsiTheme="minorHAnsi"/>
          <w:lang w:eastAsia="en-US"/>
        </w:rPr>
        <w:t xml:space="preserve"> cost/patient/course</w:t>
      </w:r>
      <w:bookmarkEnd w:id="89"/>
    </w:p>
    <w:p w14:paraId="0970E940" w14:textId="55A2F1B3" w:rsidR="0063554C" w:rsidRPr="00217EA0" w:rsidRDefault="00162AFD" w:rsidP="00861560">
      <w:pPr>
        <w:pStyle w:val="TableFigureHeading"/>
        <w:keepLines/>
        <w:rPr>
          <w:rStyle w:val="CommentReference"/>
          <w:b/>
        </w:rPr>
      </w:pPr>
      <w:r w:rsidRPr="00217EA0">
        <w:t>Table</w:t>
      </w:r>
      <w:r w:rsidR="00671622">
        <w:t xml:space="preserve"> </w:t>
      </w:r>
      <w:r w:rsidR="006A66A8">
        <w:fldChar w:fldCharType="begin"/>
      </w:r>
      <w:r w:rsidR="006A66A8">
        <w:instrText xml:space="preserve"> SEQ Table_PBAC. \* ARABIC </w:instrText>
      </w:r>
      <w:r w:rsidR="006A66A8">
        <w:fldChar w:fldCharType="separate"/>
      </w:r>
      <w:r w:rsidR="008378C4">
        <w:rPr>
          <w:noProof/>
        </w:rPr>
        <w:t>23</w:t>
      </w:r>
      <w:r w:rsidR="006A66A8">
        <w:rPr>
          <w:noProof/>
        </w:rPr>
        <w:fldChar w:fldCharType="end"/>
      </w:r>
      <w:r w:rsidR="00660FA3">
        <w:rPr>
          <w:noProof/>
        </w:rPr>
        <w:t xml:space="preserve">: </w:t>
      </w:r>
      <w:r w:rsidR="0063554C" w:rsidRPr="00217EA0">
        <w:rPr>
          <w:rStyle w:val="CommentReference"/>
          <w:b/>
        </w:rPr>
        <w:t>Drug cost per patient for proposed drug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3: Drug cost per patient for proposed drug"/>
      </w:tblPr>
      <w:tblGrid>
        <w:gridCol w:w="2696"/>
        <w:gridCol w:w="1080"/>
        <w:gridCol w:w="990"/>
        <w:gridCol w:w="990"/>
        <w:gridCol w:w="1080"/>
        <w:gridCol w:w="539"/>
        <w:gridCol w:w="629"/>
        <w:gridCol w:w="1012"/>
      </w:tblGrid>
      <w:tr w:rsidR="007900E9" w:rsidRPr="00217EA0" w14:paraId="5D896C18" w14:textId="77777777" w:rsidTr="00DB7B8F">
        <w:trPr>
          <w:cantSplit/>
          <w:tblHeader/>
          <w:jc w:val="center"/>
        </w:trPr>
        <w:tc>
          <w:tcPr>
            <w:tcW w:w="1495" w:type="pct"/>
            <w:vMerge w:val="restart"/>
            <w:shd w:val="clear" w:color="auto" w:fill="auto"/>
            <w:vAlign w:val="center"/>
          </w:tcPr>
          <w:p w14:paraId="69EF39B7" w14:textId="77777777" w:rsidR="00BB7189" w:rsidRPr="00217EA0" w:rsidRDefault="00BB7189" w:rsidP="00861560">
            <w:pPr>
              <w:pStyle w:val="In-tableHeading"/>
              <w:keepLines/>
              <w:jc w:val="center"/>
              <w:rPr>
                <w:lang w:val="en-AU"/>
              </w:rPr>
            </w:pPr>
          </w:p>
        </w:tc>
        <w:tc>
          <w:tcPr>
            <w:tcW w:w="1697" w:type="pct"/>
            <w:gridSpan w:val="3"/>
            <w:shd w:val="clear" w:color="auto" w:fill="auto"/>
            <w:vAlign w:val="center"/>
          </w:tcPr>
          <w:p w14:paraId="6BF8A205" w14:textId="0B460E65" w:rsidR="00BB7189" w:rsidRPr="00217EA0" w:rsidRDefault="00BB7189" w:rsidP="00861560">
            <w:pPr>
              <w:pStyle w:val="In-tableHeading"/>
              <w:keepLines/>
              <w:jc w:val="center"/>
              <w:rPr>
                <w:lang w:val="en-AU"/>
              </w:rPr>
            </w:pPr>
            <w:proofErr w:type="spellStart"/>
            <w:r w:rsidRPr="00217EA0">
              <w:rPr>
                <w:lang w:val="en-AU"/>
              </w:rPr>
              <w:t>Futibatinib</w:t>
            </w:r>
            <w:proofErr w:type="spellEnd"/>
          </w:p>
        </w:tc>
        <w:tc>
          <w:tcPr>
            <w:tcW w:w="1808" w:type="pct"/>
            <w:gridSpan w:val="4"/>
            <w:shd w:val="clear" w:color="auto" w:fill="FFFFFF" w:themeFill="background1"/>
            <w:vAlign w:val="center"/>
          </w:tcPr>
          <w:p w14:paraId="19B2057E" w14:textId="0715DD83" w:rsidR="00BB7189" w:rsidRPr="00217EA0" w:rsidRDefault="00BB7189" w:rsidP="00861560">
            <w:pPr>
              <w:pStyle w:val="In-tableHeading"/>
              <w:keepLines/>
              <w:jc w:val="center"/>
              <w:rPr>
                <w:lang w:val="en-AU"/>
              </w:rPr>
            </w:pPr>
            <w:r w:rsidRPr="00217EA0">
              <w:rPr>
                <w:lang w:val="en-AU"/>
              </w:rPr>
              <w:t>FOLFOX</w:t>
            </w:r>
          </w:p>
        </w:tc>
      </w:tr>
      <w:tr w:rsidR="007900E9" w:rsidRPr="00217EA0" w14:paraId="54EEC329" w14:textId="77777777" w:rsidTr="00DB7B8F">
        <w:trPr>
          <w:cantSplit/>
          <w:tblHeader/>
          <w:jc w:val="center"/>
        </w:trPr>
        <w:tc>
          <w:tcPr>
            <w:tcW w:w="1495" w:type="pct"/>
            <w:vMerge/>
            <w:shd w:val="clear" w:color="auto" w:fill="auto"/>
            <w:vAlign w:val="center"/>
          </w:tcPr>
          <w:p w14:paraId="4BB0E589" w14:textId="77777777" w:rsidR="0063554C" w:rsidRPr="00217EA0" w:rsidRDefault="0063554C" w:rsidP="00861560">
            <w:pPr>
              <w:pStyle w:val="In-tableHeading"/>
              <w:keepLines/>
              <w:jc w:val="center"/>
              <w:rPr>
                <w:lang w:val="en-AU"/>
              </w:rPr>
            </w:pPr>
          </w:p>
        </w:tc>
        <w:tc>
          <w:tcPr>
            <w:tcW w:w="599" w:type="pct"/>
            <w:shd w:val="clear" w:color="auto" w:fill="auto"/>
            <w:vAlign w:val="center"/>
          </w:tcPr>
          <w:p w14:paraId="5C6295D4" w14:textId="77777777" w:rsidR="0063554C" w:rsidRPr="00217EA0" w:rsidRDefault="0063554C" w:rsidP="00861560">
            <w:pPr>
              <w:pStyle w:val="In-tableHeading"/>
              <w:keepLines/>
              <w:jc w:val="center"/>
              <w:rPr>
                <w:lang w:val="en-AU"/>
              </w:rPr>
            </w:pPr>
            <w:r w:rsidRPr="00217EA0">
              <w:rPr>
                <w:lang w:val="en-AU"/>
              </w:rPr>
              <w:t>Trial dose and duration</w:t>
            </w:r>
          </w:p>
        </w:tc>
        <w:tc>
          <w:tcPr>
            <w:tcW w:w="549" w:type="pct"/>
            <w:shd w:val="clear" w:color="auto" w:fill="auto"/>
            <w:vAlign w:val="center"/>
          </w:tcPr>
          <w:p w14:paraId="4D1AD6C8" w14:textId="77777777" w:rsidR="0063554C" w:rsidRPr="00217EA0" w:rsidRDefault="0063554C" w:rsidP="00861560">
            <w:pPr>
              <w:pStyle w:val="In-tableHeading"/>
              <w:keepLines/>
              <w:jc w:val="center"/>
              <w:rPr>
                <w:lang w:val="en-AU"/>
              </w:rPr>
            </w:pPr>
            <w:r w:rsidRPr="00217EA0">
              <w:rPr>
                <w:lang w:val="en-AU"/>
              </w:rPr>
              <w:t>Model</w:t>
            </w:r>
          </w:p>
        </w:tc>
        <w:tc>
          <w:tcPr>
            <w:tcW w:w="549" w:type="pct"/>
            <w:shd w:val="clear" w:color="auto" w:fill="auto"/>
            <w:vAlign w:val="center"/>
          </w:tcPr>
          <w:p w14:paraId="19AE9EA9" w14:textId="77777777" w:rsidR="0063554C" w:rsidRPr="00217EA0" w:rsidRDefault="0063554C" w:rsidP="00861560">
            <w:pPr>
              <w:pStyle w:val="In-tableHeading"/>
              <w:keepLines/>
              <w:jc w:val="center"/>
              <w:rPr>
                <w:lang w:val="en-AU"/>
              </w:rPr>
            </w:pPr>
            <w:r w:rsidRPr="00217EA0">
              <w:rPr>
                <w:lang w:val="en-AU"/>
              </w:rPr>
              <w:t>Financial estimates</w:t>
            </w:r>
          </w:p>
        </w:tc>
        <w:tc>
          <w:tcPr>
            <w:tcW w:w="599" w:type="pct"/>
            <w:shd w:val="clear" w:color="auto" w:fill="FFFFFF" w:themeFill="background1"/>
            <w:vAlign w:val="center"/>
          </w:tcPr>
          <w:p w14:paraId="144EF0ED" w14:textId="77777777" w:rsidR="0063554C" w:rsidRPr="00217EA0" w:rsidRDefault="0063554C" w:rsidP="00861560">
            <w:pPr>
              <w:pStyle w:val="In-tableHeading"/>
              <w:keepLines/>
              <w:jc w:val="center"/>
              <w:rPr>
                <w:lang w:val="en-AU"/>
              </w:rPr>
            </w:pPr>
            <w:r w:rsidRPr="00217EA0">
              <w:rPr>
                <w:lang w:val="en-AU"/>
              </w:rPr>
              <w:t>Trial dose and duration</w:t>
            </w:r>
          </w:p>
        </w:tc>
        <w:tc>
          <w:tcPr>
            <w:tcW w:w="648" w:type="pct"/>
            <w:gridSpan w:val="2"/>
            <w:shd w:val="clear" w:color="auto" w:fill="FFFFFF" w:themeFill="background1"/>
            <w:vAlign w:val="center"/>
          </w:tcPr>
          <w:p w14:paraId="701A601E" w14:textId="77777777" w:rsidR="0063554C" w:rsidRPr="00217EA0" w:rsidRDefault="0063554C" w:rsidP="00861560">
            <w:pPr>
              <w:pStyle w:val="In-tableHeading"/>
              <w:keepLines/>
              <w:jc w:val="center"/>
              <w:rPr>
                <w:lang w:val="en-AU"/>
              </w:rPr>
            </w:pPr>
            <w:r w:rsidRPr="00217EA0">
              <w:rPr>
                <w:lang w:val="en-AU"/>
              </w:rPr>
              <w:t>Model</w:t>
            </w:r>
          </w:p>
        </w:tc>
        <w:tc>
          <w:tcPr>
            <w:tcW w:w="561" w:type="pct"/>
            <w:shd w:val="clear" w:color="auto" w:fill="FFFFFF" w:themeFill="background1"/>
          </w:tcPr>
          <w:p w14:paraId="279331EB" w14:textId="77777777" w:rsidR="0063554C" w:rsidRPr="00217EA0" w:rsidRDefault="0063554C" w:rsidP="00861560">
            <w:pPr>
              <w:pStyle w:val="In-tableHeading"/>
              <w:keepLines/>
              <w:jc w:val="center"/>
              <w:rPr>
                <w:lang w:val="en-AU"/>
              </w:rPr>
            </w:pPr>
            <w:r w:rsidRPr="00217EA0">
              <w:rPr>
                <w:lang w:val="en-AU"/>
              </w:rPr>
              <w:t>Financial estimates</w:t>
            </w:r>
          </w:p>
        </w:tc>
      </w:tr>
      <w:tr w:rsidR="007900E9" w:rsidRPr="00217EA0" w14:paraId="24A3F706" w14:textId="77777777" w:rsidTr="00DB7B8F">
        <w:trPr>
          <w:cantSplit/>
          <w:trHeight w:val="79"/>
          <w:jc w:val="center"/>
        </w:trPr>
        <w:tc>
          <w:tcPr>
            <w:tcW w:w="1495" w:type="pct"/>
            <w:vMerge w:val="restart"/>
            <w:shd w:val="clear" w:color="auto" w:fill="auto"/>
            <w:vAlign w:val="center"/>
          </w:tcPr>
          <w:p w14:paraId="1BF46AAA" w14:textId="6761D0F9" w:rsidR="00DB7B8F" w:rsidRPr="00217EA0" w:rsidRDefault="00DB7B8F" w:rsidP="00861560">
            <w:pPr>
              <w:pStyle w:val="TableText"/>
              <w:keepNext/>
              <w:keepLines/>
            </w:pPr>
            <w:r w:rsidRPr="00217EA0">
              <w:t>DPMQ</w:t>
            </w:r>
            <w:r w:rsidR="00867E83" w:rsidRPr="00217EA0">
              <w:t>/ (</w:t>
            </w:r>
            <w:r w:rsidRPr="00217EA0">
              <w:t>cost/dose for FOLFOX)</w:t>
            </w:r>
          </w:p>
        </w:tc>
        <w:tc>
          <w:tcPr>
            <w:tcW w:w="599" w:type="pct"/>
            <w:vMerge w:val="restart"/>
            <w:shd w:val="clear" w:color="auto" w:fill="auto"/>
            <w:vAlign w:val="center"/>
          </w:tcPr>
          <w:p w14:paraId="0AACB7EE" w14:textId="4C0D9D3E" w:rsidR="00DB7B8F" w:rsidRPr="00217EA0" w:rsidRDefault="00DB7B8F" w:rsidP="00861560">
            <w:pPr>
              <w:pStyle w:val="TableText"/>
              <w:keepNext/>
              <w:keepLines/>
              <w:jc w:val="center"/>
            </w:pPr>
            <w:r w:rsidRPr="00217EA0">
              <w:t>$</w:t>
            </w:r>
            <w:r w:rsidR="00F0779A" w:rsidRPr="00F0779A">
              <w:rPr>
                <w:color w:val="000000"/>
                <w:spacing w:val="53"/>
                <w:shd w:val="solid" w:color="000000" w:fill="000000"/>
                <w:fitText w:val="330" w:id="-694415345"/>
                <w14:textFill>
                  <w14:solidFill>
                    <w14:srgbClr w14:val="000000">
                      <w14:alpha w14:val="100000"/>
                    </w14:srgbClr>
                  </w14:solidFill>
                </w14:textFill>
              </w:rPr>
              <w:t>|||</w:t>
            </w:r>
            <w:r w:rsidR="00F0779A" w:rsidRPr="00F0779A">
              <w:rPr>
                <w:color w:val="000000"/>
                <w:spacing w:val="1"/>
                <w:shd w:val="solid" w:color="000000" w:fill="000000"/>
                <w:fitText w:val="330" w:id="-694415345"/>
                <w14:textFill>
                  <w14:solidFill>
                    <w14:srgbClr w14:val="000000">
                      <w14:alpha w14:val="100000"/>
                    </w14:srgbClr>
                  </w14:solidFill>
                </w14:textFill>
              </w:rPr>
              <w:t>|</w:t>
            </w:r>
          </w:p>
        </w:tc>
        <w:tc>
          <w:tcPr>
            <w:tcW w:w="549" w:type="pct"/>
            <w:vMerge w:val="restart"/>
            <w:shd w:val="clear" w:color="auto" w:fill="auto"/>
            <w:vAlign w:val="center"/>
          </w:tcPr>
          <w:p w14:paraId="5845244E" w14:textId="193A48A6" w:rsidR="00DB7B8F" w:rsidRPr="00217EA0" w:rsidRDefault="00DB7B8F" w:rsidP="00861560">
            <w:pPr>
              <w:pStyle w:val="TableText"/>
              <w:keepNext/>
              <w:keepLines/>
              <w:jc w:val="center"/>
            </w:pPr>
            <w:r w:rsidRPr="00217EA0">
              <w:t>$</w:t>
            </w:r>
            <w:r w:rsidR="00F0779A" w:rsidRPr="00F0779A">
              <w:rPr>
                <w:color w:val="000000"/>
                <w:spacing w:val="53"/>
                <w:shd w:val="solid" w:color="000000" w:fill="000000"/>
                <w:fitText w:val="330" w:id="-694415344"/>
                <w14:textFill>
                  <w14:solidFill>
                    <w14:srgbClr w14:val="000000">
                      <w14:alpha w14:val="100000"/>
                    </w14:srgbClr>
                  </w14:solidFill>
                </w14:textFill>
              </w:rPr>
              <w:t>|||</w:t>
            </w:r>
            <w:r w:rsidR="00F0779A" w:rsidRPr="00F0779A">
              <w:rPr>
                <w:color w:val="000000"/>
                <w:spacing w:val="1"/>
                <w:shd w:val="solid" w:color="000000" w:fill="000000"/>
                <w:fitText w:val="330" w:id="-694415344"/>
                <w14:textFill>
                  <w14:solidFill>
                    <w14:srgbClr w14:val="000000">
                      <w14:alpha w14:val="100000"/>
                    </w14:srgbClr>
                  </w14:solidFill>
                </w14:textFill>
              </w:rPr>
              <w:t>|</w:t>
            </w:r>
          </w:p>
        </w:tc>
        <w:tc>
          <w:tcPr>
            <w:tcW w:w="549" w:type="pct"/>
            <w:vMerge w:val="restart"/>
            <w:shd w:val="clear" w:color="auto" w:fill="auto"/>
            <w:vAlign w:val="center"/>
          </w:tcPr>
          <w:p w14:paraId="16756A4E" w14:textId="62D886FE" w:rsidR="00DB7B8F" w:rsidRPr="00217EA0" w:rsidRDefault="00DB7B8F" w:rsidP="00861560">
            <w:pPr>
              <w:pStyle w:val="TableText"/>
              <w:keepNext/>
              <w:keepLines/>
              <w:jc w:val="center"/>
            </w:pPr>
            <w:r w:rsidRPr="00217EA0">
              <w:t>$</w:t>
            </w:r>
            <w:r w:rsidR="00F0779A" w:rsidRPr="00F0779A">
              <w:rPr>
                <w:color w:val="000000"/>
                <w:spacing w:val="53"/>
                <w:shd w:val="solid" w:color="000000" w:fill="000000"/>
                <w:fitText w:val="330" w:id="-694415360"/>
                <w14:textFill>
                  <w14:solidFill>
                    <w14:srgbClr w14:val="000000">
                      <w14:alpha w14:val="100000"/>
                    </w14:srgbClr>
                  </w14:solidFill>
                </w14:textFill>
              </w:rPr>
              <w:t>|||</w:t>
            </w:r>
            <w:r w:rsidR="00F0779A" w:rsidRPr="00F0779A">
              <w:rPr>
                <w:color w:val="000000"/>
                <w:spacing w:val="1"/>
                <w:shd w:val="solid" w:color="000000" w:fill="000000"/>
                <w:fitText w:val="330" w:id="-694415360"/>
                <w14:textFill>
                  <w14:solidFill>
                    <w14:srgbClr w14:val="000000">
                      <w14:alpha w14:val="100000"/>
                    </w14:srgbClr>
                  </w14:solidFill>
                </w14:textFill>
              </w:rPr>
              <w:t>|</w:t>
            </w:r>
          </w:p>
        </w:tc>
        <w:tc>
          <w:tcPr>
            <w:tcW w:w="898" w:type="pct"/>
            <w:gridSpan w:val="2"/>
            <w:shd w:val="clear" w:color="auto" w:fill="FFFFFF" w:themeFill="background1"/>
            <w:vAlign w:val="center"/>
          </w:tcPr>
          <w:p w14:paraId="5AF6478E" w14:textId="10108998" w:rsidR="00DB7B8F" w:rsidRPr="00217EA0" w:rsidRDefault="00DB7B8F" w:rsidP="00861560">
            <w:pPr>
              <w:pStyle w:val="TableText"/>
              <w:keepNext/>
              <w:keepLines/>
              <w:jc w:val="center"/>
              <w:rPr>
                <w:b/>
              </w:rPr>
            </w:pPr>
            <w:r w:rsidRPr="00217EA0">
              <w:t>F</w:t>
            </w:r>
          </w:p>
        </w:tc>
        <w:tc>
          <w:tcPr>
            <w:tcW w:w="910" w:type="pct"/>
            <w:gridSpan w:val="2"/>
            <w:shd w:val="clear" w:color="auto" w:fill="FFFFFF" w:themeFill="background1"/>
            <w:vAlign w:val="center"/>
          </w:tcPr>
          <w:p w14:paraId="350890B3" w14:textId="232F64F6" w:rsidR="00DB7B8F" w:rsidRPr="00217EA0" w:rsidRDefault="00DB7B8F" w:rsidP="00861560">
            <w:pPr>
              <w:pStyle w:val="TableText"/>
              <w:keepNext/>
              <w:keepLines/>
              <w:jc w:val="center"/>
              <w:rPr>
                <w:b/>
              </w:rPr>
            </w:pPr>
            <w:r w:rsidRPr="00217EA0">
              <w:t>$143.56</w:t>
            </w:r>
          </w:p>
        </w:tc>
      </w:tr>
      <w:tr w:rsidR="007900E9" w:rsidRPr="00217EA0" w14:paraId="58DD62F8" w14:textId="77777777" w:rsidTr="00DB7B8F">
        <w:trPr>
          <w:cantSplit/>
          <w:trHeight w:val="76"/>
          <w:jc w:val="center"/>
        </w:trPr>
        <w:tc>
          <w:tcPr>
            <w:tcW w:w="1495" w:type="pct"/>
            <w:vMerge/>
            <w:shd w:val="clear" w:color="auto" w:fill="auto"/>
            <w:vAlign w:val="center"/>
          </w:tcPr>
          <w:p w14:paraId="542A7969" w14:textId="77777777" w:rsidR="00DB7B8F" w:rsidRPr="00217EA0" w:rsidRDefault="00DB7B8F" w:rsidP="00861560">
            <w:pPr>
              <w:pStyle w:val="TableText"/>
              <w:keepNext/>
              <w:keepLines/>
            </w:pPr>
          </w:p>
        </w:tc>
        <w:tc>
          <w:tcPr>
            <w:tcW w:w="599" w:type="pct"/>
            <w:vMerge/>
            <w:shd w:val="clear" w:color="auto" w:fill="auto"/>
            <w:vAlign w:val="center"/>
          </w:tcPr>
          <w:p w14:paraId="7C80A61B" w14:textId="77777777" w:rsidR="00DB7B8F" w:rsidRPr="00217EA0" w:rsidRDefault="00DB7B8F" w:rsidP="00861560">
            <w:pPr>
              <w:pStyle w:val="TableText"/>
              <w:keepNext/>
              <w:keepLines/>
              <w:jc w:val="center"/>
            </w:pPr>
          </w:p>
        </w:tc>
        <w:tc>
          <w:tcPr>
            <w:tcW w:w="549" w:type="pct"/>
            <w:vMerge/>
            <w:shd w:val="clear" w:color="auto" w:fill="auto"/>
            <w:vAlign w:val="center"/>
          </w:tcPr>
          <w:p w14:paraId="6E714866" w14:textId="77777777" w:rsidR="00DB7B8F" w:rsidRPr="00217EA0" w:rsidRDefault="00DB7B8F" w:rsidP="00861560">
            <w:pPr>
              <w:pStyle w:val="TableText"/>
              <w:keepNext/>
              <w:keepLines/>
              <w:jc w:val="center"/>
            </w:pPr>
          </w:p>
        </w:tc>
        <w:tc>
          <w:tcPr>
            <w:tcW w:w="549" w:type="pct"/>
            <w:vMerge/>
            <w:shd w:val="clear" w:color="auto" w:fill="auto"/>
            <w:vAlign w:val="center"/>
          </w:tcPr>
          <w:p w14:paraId="0AF37528" w14:textId="77777777" w:rsidR="00DB7B8F" w:rsidRPr="00217EA0" w:rsidRDefault="00DB7B8F" w:rsidP="00861560">
            <w:pPr>
              <w:pStyle w:val="TableText"/>
              <w:keepNext/>
              <w:keepLines/>
              <w:jc w:val="center"/>
            </w:pPr>
          </w:p>
        </w:tc>
        <w:tc>
          <w:tcPr>
            <w:tcW w:w="898" w:type="pct"/>
            <w:gridSpan w:val="2"/>
            <w:shd w:val="clear" w:color="auto" w:fill="FFFFFF" w:themeFill="background1"/>
            <w:vAlign w:val="center"/>
          </w:tcPr>
          <w:p w14:paraId="505FCA9B" w14:textId="370FA833" w:rsidR="00DB7B8F" w:rsidRPr="00217EA0" w:rsidRDefault="00DB7B8F" w:rsidP="00861560">
            <w:pPr>
              <w:pStyle w:val="TableText"/>
              <w:keepNext/>
              <w:keepLines/>
              <w:jc w:val="center"/>
              <w:rPr>
                <w:b/>
              </w:rPr>
            </w:pPr>
            <w:r w:rsidRPr="00217EA0">
              <w:t>O</w:t>
            </w:r>
          </w:p>
        </w:tc>
        <w:tc>
          <w:tcPr>
            <w:tcW w:w="910" w:type="pct"/>
            <w:gridSpan w:val="2"/>
            <w:shd w:val="clear" w:color="auto" w:fill="FFFFFF" w:themeFill="background1"/>
            <w:vAlign w:val="center"/>
          </w:tcPr>
          <w:p w14:paraId="4896B653" w14:textId="0A5B04CD" w:rsidR="00DB7B8F" w:rsidRPr="00217EA0" w:rsidRDefault="00DB7B8F" w:rsidP="00861560">
            <w:pPr>
              <w:pStyle w:val="TableText"/>
              <w:keepNext/>
              <w:keepLines/>
              <w:jc w:val="center"/>
              <w:rPr>
                <w:b/>
              </w:rPr>
            </w:pPr>
            <w:r w:rsidRPr="00217EA0">
              <w:t>$150.77</w:t>
            </w:r>
          </w:p>
        </w:tc>
      </w:tr>
      <w:tr w:rsidR="007900E9" w:rsidRPr="00217EA0" w14:paraId="2A0556CA" w14:textId="77777777" w:rsidTr="00DB7B8F">
        <w:trPr>
          <w:cantSplit/>
          <w:trHeight w:val="76"/>
          <w:jc w:val="center"/>
        </w:trPr>
        <w:tc>
          <w:tcPr>
            <w:tcW w:w="1495" w:type="pct"/>
            <w:vMerge/>
            <w:shd w:val="clear" w:color="auto" w:fill="auto"/>
            <w:vAlign w:val="center"/>
          </w:tcPr>
          <w:p w14:paraId="402AB59C" w14:textId="77777777" w:rsidR="00DB7B8F" w:rsidRPr="00217EA0" w:rsidRDefault="00DB7B8F" w:rsidP="00861560">
            <w:pPr>
              <w:pStyle w:val="TableText"/>
              <w:keepNext/>
              <w:keepLines/>
            </w:pPr>
          </w:p>
        </w:tc>
        <w:tc>
          <w:tcPr>
            <w:tcW w:w="599" w:type="pct"/>
            <w:vMerge/>
            <w:shd w:val="clear" w:color="auto" w:fill="auto"/>
            <w:vAlign w:val="center"/>
          </w:tcPr>
          <w:p w14:paraId="418602A1" w14:textId="77777777" w:rsidR="00DB7B8F" w:rsidRPr="00217EA0" w:rsidRDefault="00DB7B8F" w:rsidP="00861560">
            <w:pPr>
              <w:pStyle w:val="TableText"/>
              <w:keepNext/>
              <w:keepLines/>
              <w:jc w:val="center"/>
            </w:pPr>
          </w:p>
        </w:tc>
        <w:tc>
          <w:tcPr>
            <w:tcW w:w="549" w:type="pct"/>
            <w:vMerge/>
            <w:shd w:val="clear" w:color="auto" w:fill="auto"/>
            <w:vAlign w:val="center"/>
          </w:tcPr>
          <w:p w14:paraId="4D1FB5FA" w14:textId="77777777" w:rsidR="00DB7B8F" w:rsidRPr="00217EA0" w:rsidRDefault="00DB7B8F" w:rsidP="00861560">
            <w:pPr>
              <w:pStyle w:val="TableText"/>
              <w:keepNext/>
              <w:keepLines/>
              <w:jc w:val="center"/>
            </w:pPr>
          </w:p>
        </w:tc>
        <w:tc>
          <w:tcPr>
            <w:tcW w:w="549" w:type="pct"/>
            <w:vMerge/>
            <w:shd w:val="clear" w:color="auto" w:fill="auto"/>
            <w:vAlign w:val="center"/>
          </w:tcPr>
          <w:p w14:paraId="54950957" w14:textId="77777777" w:rsidR="00DB7B8F" w:rsidRPr="00217EA0" w:rsidRDefault="00DB7B8F" w:rsidP="00861560">
            <w:pPr>
              <w:pStyle w:val="TableText"/>
              <w:keepNext/>
              <w:keepLines/>
              <w:jc w:val="center"/>
            </w:pPr>
          </w:p>
        </w:tc>
        <w:tc>
          <w:tcPr>
            <w:tcW w:w="898" w:type="pct"/>
            <w:gridSpan w:val="2"/>
            <w:shd w:val="clear" w:color="auto" w:fill="FFFFFF" w:themeFill="background1"/>
            <w:vAlign w:val="center"/>
          </w:tcPr>
          <w:p w14:paraId="34B63F45" w14:textId="1AF5FF77" w:rsidR="00DB7B8F" w:rsidRPr="00217EA0" w:rsidRDefault="00DB7B8F" w:rsidP="00861560">
            <w:pPr>
              <w:pStyle w:val="TableText"/>
              <w:keepNext/>
              <w:keepLines/>
              <w:jc w:val="center"/>
              <w:rPr>
                <w:b/>
              </w:rPr>
            </w:pPr>
            <w:r w:rsidRPr="00217EA0">
              <w:t>Cf</w:t>
            </w:r>
          </w:p>
        </w:tc>
        <w:tc>
          <w:tcPr>
            <w:tcW w:w="910" w:type="pct"/>
            <w:gridSpan w:val="2"/>
            <w:shd w:val="clear" w:color="auto" w:fill="FFFFFF" w:themeFill="background1"/>
            <w:vAlign w:val="center"/>
          </w:tcPr>
          <w:p w14:paraId="7F16D564" w14:textId="0DE6DA19" w:rsidR="00DB7B8F" w:rsidRPr="00217EA0" w:rsidRDefault="00DB7B8F" w:rsidP="00861560">
            <w:pPr>
              <w:pStyle w:val="TableText"/>
              <w:keepNext/>
              <w:keepLines/>
              <w:jc w:val="center"/>
              <w:rPr>
                <w:b/>
              </w:rPr>
            </w:pPr>
            <w:r w:rsidRPr="00217EA0">
              <w:t>$3.89</w:t>
            </w:r>
          </w:p>
        </w:tc>
      </w:tr>
      <w:tr w:rsidR="007900E9" w:rsidRPr="00217EA0" w14:paraId="1FA51172" w14:textId="77777777" w:rsidTr="00DB7B8F">
        <w:trPr>
          <w:cantSplit/>
          <w:trHeight w:val="76"/>
          <w:jc w:val="center"/>
        </w:trPr>
        <w:tc>
          <w:tcPr>
            <w:tcW w:w="1495" w:type="pct"/>
            <w:vMerge/>
            <w:shd w:val="clear" w:color="auto" w:fill="auto"/>
            <w:vAlign w:val="center"/>
          </w:tcPr>
          <w:p w14:paraId="29DF47CB" w14:textId="77777777" w:rsidR="00DB7B8F" w:rsidRPr="00217EA0" w:rsidRDefault="00DB7B8F" w:rsidP="00861560">
            <w:pPr>
              <w:pStyle w:val="TableText"/>
              <w:keepNext/>
              <w:keepLines/>
            </w:pPr>
          </w:p>
        </w:tc>
        <w:tc>
          <w:tcPr>
            <w:tcW w:w="599" w:type="pct"/>
            <w:vMerge/>
            <w:shd w:val="clear" w:color="auto" w:fill="auto"/>
            <w:vAlign w:val="center"/>
          </w:tcPr>
          <w:p w14:paraId="75D20A5D" w14:textId="77777777" w:rsidR="00DB7B8F" w:rsidRPr="00217EA0" w:rsidRDefault="00DB7B8F" w:rsidP="00861560">
            <w:pPr>
              <w:pStyle w:val="TableText"/>
              <w:keepNext/>
              <w:keepLines/>
              <w:jc w:val="center"/>
            </w:pPr>
          </w:p>
        </w:tc>
        <w:tc>
          <w:tcPr>
            <w:tcW w:w="549" w:type="pct"/>
            <w:vMerge/>
            <w:shd w:val="clear" w:color="auto" w:fill="auto"/>
            <w:vAlign w:val="center"/>
          </w:tcPr>
          <w:p w14:paraId="15E486E7" w14:textId="77777777" w:rsidR="00DB7B8F" w:rsidRPr="00217EA0" w:rsidRDefault="00DB7B8F" w:rsidP="00861560">
            <w:pPr>
              <w:pStyle w:val="TableText"/>
              <w:keepNext/>
              <w:keepLines/>
              <w:jc w:val="center"/>
            </w:pPr>
          </w:p>
        </w:tc>
        <w:tc>
          <w:tcPr>
            <w:tcW w:w="549" w:type="pct"/>
            <w:vMerge/>
            <w:shd w:val="clear" w:color="auto" w:fill="auto"/>
            <w:vAlign w:val="center"/>
          </w:tcPr>
          <w:p w14:paraId="7B17FBCB" w14:textId="77777777" w:rsidR="00DB7B8F" w:rsidRPr="00217EA0" w:rsidRDefault="00DB7B8F" w:rsidP="00861560">
            <w:pPr>
              <w:pStyle w:val="TableText"/>
              <w:keepNext/>
              <w:keepLines/>
              <w:jc w:val="center"/>
            </w:pPr>
          </w:p>
        </w:tc>
        <w:tc>
          <w:tcPr>
            <w:tcW w:w="898" w:type="pct"/>
            <w:gridSpan w:val="2"/>
            <w:shd w:val="clear" w:color="auto" w:fill="FFFFFF" w:themeFill="background1"/>
            <w:vAlign w:val="center"/>
          </w:tcPr>
          <w:p w14:paraId="2D65044A" w14:textId="1813520B" w:rsidR="00DB7B8F" w:rsidRPr="00217EA0" w:rsidRDefault="00DB7B8F" w:rsidP="00861560">
            <w:pPr>
              <w:pStyle w:val="TableText"/>
              <w:keepNext/>
              <w:keepLines/>
              <w:jc w:val="center"/>
              <w:rPr>
                <w:b/>
              </w:rPr>
            </w:pPr>
            <w:r w:rsidRPr="00217EA0">
              <w:t>Total 2-week cycle</w:t>
            </w:r>
          </w:p>
        </w:tc>
        <w:tc>
          <w:tcPr>
            <w:tcW w:w="910" w:type="pct"/>
            <w:gridSpan w:val="2"/>
            <w:shd w:val="clear" w:color="auto" w:fill="FFFFFF" w:themeFill="background1"/>
            <w:vAlign w:val="center"/>
          </w:tcPr>
          <w:p w14:paraId="1B1C16D8" w14:textId="4749CDC3" w:rsidR="00DB7B8F" w:rsidRPr="00217EA0" w:rsidRDefault="00DB7B8F" w:rsidP="00861560">
            <w:pPr>
              <w:pStyle w:val="TableText"/>
              <w:keepNext/>
              <w:keepLines/>
              <w:jc w:val="center"/>
              <w:rPr>
                <w:b/>
              </w:rPr>
            </w:pPr>
            <w:r w:rsidRPr="00217EA0">
              <w:rPr>
                <w:bCs/>
              </w:rPr>
              <w:t>$298.22</w:t>
            </w:r>
          </w:p>
        </w:tc>
      </w:tr>
      <w:tr w:rsidR="007900E9" w:rsidRPr="00217EA0" w14:paraId="53880771" w14:textId="77777777" w:rsidTr="00CE3A7F">
        <w:trPr>
          <w:cantSplit/>
          <w:jc w:val="center"/>
        </w:trPr>
        <w:tc>
          <w:tcPr>
            <w:tcW w:w="1495" w:type="pct"/>
            <w:shd w:val="clear" w:color="auto" w:fill="auto"/>
            <w:vAlign w:val="center"/>
          </w:tcPr>
          <w:p w14:paraId="66C1DDF9" w14:textId="6A105099" w:rsidR="00BB7189" w:rsidRPr="00217EA0" w:rsidRDefault="00BB7189" w:rsidP="00861560">
            <w:pPr>
              <w:pStyle w:val="TableText"/>
              <w:keepNext/>
              <w:keepLines/>
            </w:pPr>
            <w:r w:rsidRPr="00217EA0">
              <w:t>Relative dose intensity</w:t>
            </w:r>
          </w:p>
        </w:tc>
        <w:tc>
          <w:tcPr>
            <w:tcW w:w="599" w:type="pct"/>
            <w:shd w:val="clear" w:color="auto" w:fill="auto"/>
            <w:vAlign w:val="center"/>
          </w:tcPr>
          <w:p w14:paraId="366D90BE" w14:textId="5CBFC30B" w:rsidR="00BB7189" w:rsidRPr="00217EA0" w:rsidRDefault="00BB7189" w:rsidP="00861560">
            <w:pPr>
              <w:pStyle w:val="TableText"/>
              <w:keepNext/>
              <w:keepLines/>
              <w:jc w:val="center"/>
            </w:pPr>
            <w:r w:rsidRPr="00217EA0">
              <w:t>83.26%</w:t>
            </w:r>
          </w:p>
        </w:tc>
        <w:tc>
          <w:tcPr>
            <w:tcW w:w="549" w:type="pct"/>
            <w:shd w:val="clear" w:color="auto" w:fill="auto"/>
            <w:vAlign w:val="center"/>
          </w:tcPr>
          <w:p w14:paraId="2456A975" w14:textId="43AA6479" w:rsidR="00BB7189" w:rsidRPr="00217EA0" w:rsidRDefault="00BB7189" w:rsidP="00861560">
            <w:pPr>
              <w:pStyle w:val="TableText"/>
              <w:keepNext/>
              <w:keepLines/>
              <w:jc w:val="center"/>
            </w:pPr>
            <w:r w:rsidRPr="00217EA0">
              <w:t>83.26%</w:t>
            </w:r>
          </w:p>
        </w:tc>
        <w:tc>
          <w:tcPr>
            <w:tcW w:w="549" w:type="pct"/>
            <w:shd w:val="clear" w:color="auto" w:fill="auto"/>
            <w:vAlign w:val="center"/>
          </w:tcPr>
          <w:p w14:paraId="2BAFBE94" w14:textId="7ADD49E0" w:rsidR="00BB7189" w:rsidRPr="00217EA0" w:rsidRDefault="00BB7189" w:rsidP="00861560">
            <w:pPr>
              <w:pStyle w:val="TableText"/>
              <w:keepNext/>
              <w:keepLines/>
              <w:jc w:val="center"/>
            </w:pPr>
            <w:r w:rsidRPr="00217EA0">
              <w:t>83.26%</w:t>
            </w:r>
          </w:p>
        </w:tc>
        <w:tc>
          <w:tcPr>
            <w:tcW w:w="599" w:type="pct"/>
            <w:shd w:val="clear" w:color="auto" w:fill="auto"/>
            <w:vAlign w:val="center"/>
          </w:tcPr>
          <w:p w14:paraId="102EFBC6" w14:textId="0A7A3889" w:rsidR="00BB7189" w:rsidRPr="00217EA0" w:rsidRDefault="00DB7B8F" w:rsidP="00861560">
            <w:pPr>
              <w:pStyle w:val="TableText"/>
              <w:keepNext/>
              <w:keepLines/>
              <w:jc w:val="center"/>
            </w:pPr>
            <w:r w:rsidRPr="00217EA0">
              <w:t>NR</w:t>
            </w:r>
          </w:p>
        </w:tc>
        <w:tc>
          <w:tcPr>
            <w:tcW w:w="648" w:type="pct"/>
            <w:gridSpan w:val="2"/>
            <w:shd w:val="clear" w:color="auto" w:fill="auto"/>
            <w:vAlign w:val="center"/>
          </w:tcPr>
          <w:p w14:paraId="757DA3C2" w14:textId="57E75428" w:rsidR="00BB7189" w:rsidRPr="00217EA0" w:rsidRDefault="00332D2D" w:rsidP="00861560">
            <w:pPr>
              <w:pStyle w:val="TableText"/>
              <w:keepNext/>
              <w:keepLines/>
              <w:jc w:val="center"/>
              <w:rPr>
                <w:bCs/>
              </w:rPr>
            </w:pPr>
            <w:r w:rsidRPr="00217EA0">
              <w:rPr>
                <w:bCs/>
              </w:rPr>
              <w:t>100%</w:t>
            </w:r>
          </w:p>
        </w:tc>
        <w:tc>
          <w:tcPr>
            <w:tcW w:w="561" w:type="pct"/>
            <w:shd w:val="clear" w:color="auto" w:fill="auto"/>
          </w:tcPr>
          <w:p w14:paraId="70003898" w14:textId="3FF9E219" w:rsidR="00BB7189" w:rsidRPr="00217EA0" w:rsidRDefault="00332D2D" w:rsidP="00861560">
            <w:pPr>
              <w:pStyle w:val="TableText"/>
              <w:keepNext/>
              <w:keepLines/>
              <w:jc w:val="center"/>
              <w:rPr>
                <w:bCs/>
              </w:rPr>
            </w:pPr>
            <w:r w:rsidRPr="00217EA0">
              <w:rPr>
                <w:bCs/>
              </w:rPr>
              <w:t>100%</w:t>
            </w:r>
          </w:p>
        </w:tc>
      </w:tr>
      <w:tr w:rsidR="007900E9" w:rsidRPr="00217EA0" w14:paraId="28D08EA5" w14:textId="77777777" w:rsidTr="00CE3A7F">
        <w:trPr>
          <w:cantSplit/>
          <w:jc w:val="center"/>
        </w:trPr>
        <w:tc>
          <w:tcPr>
            <w:tcW w:w="1495" w:type="pct"/>
            <w:shd w:val="clear" w:color="auto" w:fill="auto"/>
            <w:vAlign w:val="center"/>
          </w:tcPr>
          <w:p w14:paraId="3A946ECB" w14:textId="058A1201" w:rsidR="00BB7189" w:rsidRPr="00217EA0" w:rsidRDefault="00BB7189" w:rsidP="00861560">
            <w:pPr>
              <w:pStyle w:val="TableText"/>
              <w:keepNext/>
              <w:keepLines/>
            </w:pPr>
            <w:r w:rsidRPr="00217EA0">
              <w:t xml:space="preserve">Adjustment for </w:t>
            </w:r>
            <w:r w:rsidR="00867E83" w:rsidRPr="00217EA0">
              <w:t>3-week</w:t>
            </w:r>
            <w:r w:rsidRPr="00217EA0">
              <w:t xml:space="preserve"> model cycle</w:t>
            </w:r>
          </w:p>
        </w:tc>
        <w:tc>
          <w:tcPr>
            <w:tcW w:w="599" w:type="pct"/>
            <w:shd w:val="clear" w:color="auto" w:fill="auto"/>
            <w:vAlign w:val="center"/>
          </w:tcPr>
          <w:p w14:paraId="6B6B3630" w14:textId="2999C643" w:rsidR="00BB7189" w:rsidRPr="00217EA0" w:rsidRDefault="00BB7189" w:rsidP="00861560">
            <w:pPr>
              <w:pStyle w:val="TableText"/>
              <w:keepNext/>
              <w:keepLines/>
              <w:jc w:val="center"/>
            </w:pPr>
            <w:r w:rsidRPr="00217EA0">
              <w:t>NA</w:t>
            </w:r>
          </w:p>
        </w:tc>
        <w:tc>
          <w:tcPr>
            <w:tcW w:w="549" w:type="pct"/>
            <w:shd w:val="clear" w:color="auto" w:fill="auto"/>
            <w:vAlign w:val="center"/>
          </w:tcPr>
          <w:p w14:paraId="0B0AC47B" w14:textId="5899777B" w:rsidR="00BB7189" w:rsidRPr="00217EA0" w:rsidRDefault="00BB7189" w:rsidP="00861560">
            <w:pPr>
              <w:pStyle w:val="TableText"/>
              <w:keepNext/>
              <w:keepLines/>
              <w:jc w:val="center"/>
            </w:pPr>
            <w:r w:rsidRPr="00217EA0">
              <w:t>3/4</w:t>
            </w:r>
          </w:p>
        </w:tc>
        <w:tc>
          <w:tcPr>
            <w:tcW w:w="549" w:type="pct"/>
            <w:shd w:val="clear" w:color="auto" w:fill="auto"/>
            <w:vAlign w:val="center"/>
          </w:tcPr>
          <w:p w14:paraId="37204B85" w14:textId="6CC6B4A7" w:rsidR="00BB7189" w:rsidRPr="00217EA0" w:rsidRDefault="00BB7189" w:rsidP="00861560">
            <w:pPr>
              <w:pStyle w:val="TableText"/>
              <w:keepNext/>
              <w:keepLines/>
              <w:jc w:val="center"/>
            </w:pPr>
            <w:r w:rsidRPr="00217EA0">
              <w:t>NA</w:t>
            </w:r>
          </w:p>
        </w:tc>
        <w:tc>
          <w:tcPr>
            <w:tcW w:w="599" w:type="pct"/>
            <w:shd w:val="clear" w:color="auto" w:fill="auto"/>
            <w:vAlign w:val="center"/>
          </w:tcPr>
          <w:p w14:paraId="6CFE06EE" w14:textId="17F7F6AB" w:rsidR="00BB7189" w:rsidRPr="00217EA0" w:rsidRDefault="00332D2D" w:rsidP="00861560">
            <w:pPr>
              <w:pStyle w:val="TableText"/>
              <w:keepNext/>
              <w:keepLines/>
              <w:jc w:val="center"/>
            </w:pPr>
            <w:r w:rsidRPr="00217EA0">
              <w:t>NA</w:t>
            </w:r>
          </w:p>
        </w:tc>
        <w:tc>
          <w:tcPr>
            <w:tcW w:w="648" w:type="pct"/>
            <w:gridSpan w:val="2"/>
            <w:shd w:val="clear" w:color="auto" w:fill="auto"/>
            <w:vAlign w:val="center"/>
          </w:tcPr>
          <w:p w14:paraId="685CBB97" w14:textId="650774AA" w:rsidR="00BB7189" w:rsidRPr="00217EA0" w:rsidRDefault="0085583F" w:rsidP="00861560">
            <w:pPr>
              <w:pStyle w:val="TableText"/>
              <w:keepNext/>
              <w:keepLines/>
              <w:jc w:val="center"/>
              <w:rPr>
                <w:b/>
              </w:rPr>
            </w:pPr>
            <w:r w:rsidRPr="00217EA0">
              <w:t>3/2</w:t>
            </w:r>
          </w:p>
        </w:tc>
        <w:tc>
          <w:tcPr>
            <w:tcW w:w="561" w:type="pct"/>
            <w:shd w:val="clear" w:color="auto" w:fill="auto"/>
          </w:tcPr>
          <w:p w14:paraId="489575AF" w14:textId="6A3905A0" w:rsidR="00BB7189" w:rsidRPr="00217EA0" w:rsidRDefault="00332D2D" w:rsidP="00861560">
            <w:pPr>
              <w:pStyle w:val="TableText"/>
              <w:keepNext/>
              <w:keepLines/>
              <w:jc w:val="center"/>
              <w:rPr>
                <w:b/>
              </w:rPr>
            </w:pPr>
            <w:r w:rsidRPr="00217EA0">
              <w:t>NA</w:t>
            </w:r>
          </w:p>
        </w:tc>
      </w:tr>
      <w:tr w:rsidR="007900E9" w:rsidRPr="00217EA0" w14:paraId="37B78B04" w14:textId="77777777" w:rsidTr="00CE3A7F">
        <w:trPr>
          <w:cantSplit/>
          <w:trHeight w:val="98"/>
          <w:jc w:val="center"/>
        </w:trPr>
        <w:tc>
          <w:tcPr>
            <w:tcW w:w="1495" w:type="pct"/>
            <w:shd w:val="clear" w:color="auto" w:fill="auto"/>
            <w:vAlign w:val="center"/>
          </w:tcPr>
          <w:p w14:paraId="29F65BAE" w14:textId="41533035" w:rsidR="00BB7189" w:rsidRPr="00217EA0" w:rsidRDefault="00BB7189" w:rsidP="00861560">
            <w:pPr>
              <w:pStyle w:val="TableText"/>
              <w:keepNext/>
              <w:keepLines/>
            </w:pPr>
            <w:r w:rsidRPr="00217EA0">
              <w:t>Cost per model cycle</w:t>
            </w:r>
          </w:p>
        </w:tc>
        <w:tc>
          <w:tcPr>
            <w:tcW w:w="599" w:type="pct"/>
            <w:shd w:val="clear" w:color="auto" w:fill="auto"/>
            <w:vAlign w:val="center"/>
          </w:tcPr>
          <w:p w14:paraId="6B27F348" w14:textId="422A0BC3" w:rsidR="00BB7189" w:rsidRPr="00217EA0" w:rsidRDefault="00BB7189" w:rsidP="00861560">
            <w:pPr>
              <w:pStyle w:val="TableText"/>
              <w:keepNext/>
              <w:keepLines/>
              <w:jc w:val="center"/>
            </w:pPr>
            <w:r w:rsidRPr="00217EA0">
              <w:t>NA</w:t>
            </w:r>
          </w:p>
        </w:tc>
        <w:tc>
          <w:tcPr>
            <w:tcW w:w="549" w:type="pct"/>
            <w:shd w:val="clear" w:color="auto" w:fill="auto"/>
            <w:vAlign w:val="center"/>
          </w:tcPr>
          <w:p w14:paraId="76ACFF86" w14:textId="313AEA87" w:rsidR="00BB7189" w:rsidRPr="00217EA0" w:rsidRDefault="00BB7189" w:rsidP="00861560">
            <w:pPr>
              <w:pStyle w:val="TableText"/>
              <w:keepNext/>
              <w:keepLines/>
              <w:jc w:val="center"/>
            </w:pPr>
            <w:r w:rsidRPr="00217EA0">
              <w:t>$</w:t>
            </w:r>
            <w:r w:rsidR="00F0779A" w:rsidRPr="00F0779A">
              <w:rPr>
                <w:color w:val="000000"/>
                <w:spacing w:val="53"/>
                <w:shd w:val="solid" w:color="000000" w:fill="000000"/>
                <w:fitText w:val="330" w:id="-694415359"/>
                <w14:textFill>
                  <w14:solidFill>
                    <w14:srgbClr w14:val="000000">
                      <w14:alpha w14:val="100000"/>
                    </w14:srgbClr>
                  </w14:solidFill>
                </w14:textFill>
              </w:rPr>
              <w:t>|||</w:t>
            </w:r>
            <w:r w:rsidR="00F0779A" w:rsidRPr="00F0779A">
              <w:rPr>
                <w:color w:val="000000"/>
                <w:spacing w:val="1"/>
                <w:shd w:val="solid" w:color="000000" w:fill="000000"/>
                <w:fitText w:val="330" w:id="-694415359"/>
                <w14:textFill>
                  <w14:solidFill>
                    <w14:srgbClr w14:val="000000">
                      <w14:alpha w14:val="100000"/>
                    </w14:srgbClr>
                  </w14:solidFill>
                </w14:textFill>
              </w:rPr>
              <w:t>|</w:t>
            </w:r>
          </w:p>
        </w:tc>
        <w:tc>
          <w:tcPr>
            <w:tcW w:w="549" w:type="pct"/>
            <w:shd w:val="clear" w:color="auto" w:fill="auto"/>
            <w:vAlign w:val="center"/>
          </w:tcPr>
          <w:p w14:paraId="65D3A6F2" w14:textId="022051E7" w:rsidR="00BB7189" w:rsidRPr="00217EA0" w:rsidRDefault="00BB7189" w:rsidP="00861560">
            <w:pPr>
              <w:pStyle w:val="TableText"/>
              <w:keepNext/>
              <w:keepLines/>
              <w:jc w:val="center"/>
            </w:pPr>
            <w:r w:rsidRPr="00217EA0">
              <w:t>NA</w:t>
            </w:r>
          </w:p>
        </w:tc>
        <w:tc>
          <w:tcPr>
            <w:tcW w:w="599" w:type="pct"/>
            <w:shd w:val="clear" w:color="auto" w:fill="auto"/>
            <w:vAlign w:val="center"/>
          </w:tcPr>
          <w:p w14:paraId="03B88814" w14:textId="1EBEAFCD" w:rsidR="00BB7189" w:rsidRPr="00217EA0" w:rsidRDefault="00332D2D" w:rsidP="00861560">
            <w:pPr>
              <w:pStyle w:val="TableText"/>
              <w:keepNext/>
              <w:keepLines/>
              <w:jc w:val="center"/>
            </w:pPr>
            <w:r w:rsidRPr="00217EA0">
              <w:t>NA</w:t>
            </w:r>
          </w:p>
        </w:tc>
        <w:tc>
          <w:tcPr>
            <w:tcW w:w="648" w:type="pct"/>
            <w:gridSpan w:val="2"/>
            <w:shd w:val="clear" w:color="auto" w:fill="auto"/>
            <w:vAlign w:val="center"/>
          </w:tcPr>
          <w:p w14:paraId="59492BE6" w14:textId="1289937C" w:rsidR="00BB7189" w:rsidRPr="00217EA0" w:rsidRDefault="00677BAE" w:rsidP="00861560">
            <w:pPr>
              <w:pStyle w:val="TableText"/>
              <w:keepNext/>
              <w:keepLines/>
              <w:jc w:val="center"/>
              <w:rPr>
                <w:b/>
              </w:rPr>
            </w:pPr>
            <w:r w:rsidRPr="00217EA0">
              <w:t>$447.34</w:t>
            </w:r>
          </w:p>
        </w:tc>
        <w:tc>
          <w:tcPr>
            <w:tcW w:w="561" w:type="pct"/>
            <w:shd w:val="clear" w:color="auto" w:fill="auto"/>
          </w:tcPr>
          <w:p w14:paraId="6725FF14" w14:textId="2899B6B9" w:rsidR="00BB7189" w:rsidRPr="00217EA0" w:rsidRDefault="00332D2D" w:rsidP="00861560">
            <w:pPr>
              <w:pStyle w:val="TableText"/>
              <w:keepNext/>
              <w:keepLines/>
              <w:jc w:val="center"/>
              <w:rPr>
                <w:b/>
              </w:rPr>
            </w:pPr>
            <w:r w:rsidRPr="00217EA0">
              <w:t>NA</w:t>
            </w:r>
          </w:p>
        </w:tc>
      </w:tr>
      <w:tr w:rsidR="007900E9" w:rsidRPr="00217EA0" w14:paraId="28ABD4B5" w14:textId="77777777" w:rsidTr="00CE3A7F">
        <w:trPr>
          <w:cantSplit/>
          <w:jc w:val="center"/>
        </w:trPr>
        <w:tc>
          <w:tcPr>
            <w:tcW w:w="1495" w:type="pct"/>
            <w:shd w:val="clear" w:color="auto" w:fill="auto"/>
            <w:vAlign w:val="center"/>
          </w:tcPr>
          <w:p w14:paraId="24926D5E" w14:textId="0A6471B5" w:rsidR="00BB7189" w:rsidRPr="00217EA0" w:rsidRDefault="00BB7189" w:rsidP="00861560">
            <w:pPr>
              <w:pStyle w:val="TableText"/>
              <w:keepNext/>
              <w:keepLines/>
            </w:pPr>
            <w:r w:rsidRPr="00217EA0">
              <w:t xml:space="preserve">Average model cycles on treatment </w:t>
            </w:r>
          </w:p>
        </w:tc>
        <w:tc>
          <w:tcPr>
            <w:tcW w:w="599" w:type="pct"/>
            <w:shd w:val="clear" w:color="auto" w:fill="auto"/>
            <w:vAlign w:val="center"/>
          </w:tcPr>
          <w:p w14:paraId="207A7788" w14:textId="77E395D6" w:rsidR="00BB7189" w:rsidRPr="00217EA0" w:rsidRDefault="00BB7189" w:rsidP="00861560">
            <w:pPr>
              <w:pStyle w:val="TableText"/>
              <w:keepNext/>
              <w:keepLines/>
              <w:jc w:val="center"/>
            </w:pPr>
            <w:r w:rsidRPr="00217EA0">
              <w:t>NA</w:t>
            </w:r>
          </w:p>
        </w:tc>
        <w:tc>
          <w:tcPr>
            <w:tcW w:w="549" w:type="pct"/>
            <w:shd w:val="clear" w:color="auto" w:fill="auto"/>
            <w:vAlign w:val="center"/>
          </w:tcPr>
          <w:p w14:paraId="154861B8" w14:textId="42EBC1CE" w:rsidR="00BB7189" w:rsidRPr="00217EA0" w:rsidRDefault="00BB7189" w:rsidP="00861560">
            <w:pPr>
              <w:pStyle w:val="TableText"/>
              <w:keepNext/>
              <w:keepLines/>
              <w:jc w:val="center"/>
            </w:pPr>
            <w:r w:rsidRPr="00217EA0">
              <w:t>19.26</w:t>
            </w:r>
          </w:p>
        </w:tc>
        <w:tc>
          <w:tcPr>
            <w:tcW w:w="549" w:type="pct"/>
            <w:shd w:val="clear" w:color="auto" w:fill="auto"/>
            <w:vAlign w:val="center"/>
          </w:tcPr>
          <w:p w14:paraId="14D983FF" w14:textId="593DED8D" w:rsidR="00BB7189" w:rsidRPr="00217EA0" w:rsidRDefault="00A04A60" w:rsidP="00861560">
            <w:pPr>
              <w:pStyle w:val="TableText"/>
              <w:keepNext/>
              <w:keepLines/>
              <w:jc w:val="center"/>
            </w:pPr>
            <w:r w:rsidRPr="00217EA0">
              <w:t>NA</w:t>
            </w:r>
          </w:p>
        </w:tc>
        <w:tc>
          <w:tcPr>
            <w:tcW w:w="599" w:type="pct"/>
            <w:shd w:val="clear" w:color="auto" w:fill="auto"/>
            <w:vAlign w:val="center"/>
          </w:tcPr>
          <w:p w14:paraId="77A9914B" w14:textId="49AB50CB" w:rsidR="00BB7189" w:rsidRPr="00217EA0" w:rsidRDefault="00DB7B8F" w:rsidP="00861560">
            <w:pPr>
              <w:pStyle w:val="TableText"/>
              <w:keepNext/>
              <w:keepLines/>
              <w:jc w:val="center"/>
            </w:pPr>
            <w:r w:rsidRPr="00217EA0">
              <w:t>NR</w:t>
            </w:r>
          </w:p>
        </w:tc>
        <w:tc>
          <w:tcPr>
            <w:tcW w:w="648" w:type="pct"/>
            <w:gridSpan w:val="2"/>
            <w:shd w:val="clear" w:color="auto" w:fill="auto"/>
            <w:vAlign w:val="center"/>
          </w:tcPr>
          <w:p w14:paraId="3F37EB46" w14:textId="6976D9CB" w:rsidR="00BB7189" w:rsidRPr="00217EA0" w:rsidRDefault="00677BAE" w:rsidP="00861560">
            <w:pPr>
              <w:pStyle w:val="TableText"/>
              <w:keepNext/>
              <w:keepLines/>
              <w:jc w:val="center"/>
              <w:rPr>
                <w:b/>
              </w:rPr>
            </w:pPr>
            <w:r w:rsidRPr="00217EA0">
              <w:t>5.91</w:t>
            </w:r>
          </w:p>
        </w:tc>
        <w:tc>
          <w:tcPr>
            <w:tcW w:w="561" w:type="pct"/>
            <w:shd w:val="clear" w:color="auto" w:fill="auto"/>
          </w:tcPr>
          <w:p w14:paraId="5F49AE2D" w14:textId="304D0DD1" w:rsidR="00BB7189" w:rsidRPr="00217EA0" w:rsidRDefault="00BB7189" w:rsidP="00861560">
            <w:pPr>
              <w:pStyle w:val="TableText"/>
              <w:keepNext/>
              <w:keepLines/>
              <w:jc w:val="center"/>
              <w:rPr>
                <w:b/>
              </w:rPr>
            </w:pPr>
          </w:p>
        </w:tc>
      </w:tr>
      <w:tr w:rsidR="007900E9" w:rsidRPr="00217EA0" w14:paraId="3E520919" w14:textId="77777777" w:rsidTr="00CE3A7F">
        <w:trPr>
          <w:cantSplit/>
          <w:jc w:val="center"/>
        </w:trPr>
        <w:tc>
          <w:tcPr>
            <w:tcW w:w="1495" w:type="pct"/>
            <w:shd w:val="clear" w:color="auto" w:fill="auto"/>
            <w:vAlign w:val="center"/>
          </w:tcPr>
          <w:p w14:paraId="630BEDDB" w14:textId="02373CF4" w:rsidR="00E052C9" w:rsidRPr="00217EA0" w:rsidRDefault="00E052C9" w:rsidP="00861560">
            <w:pPr>
              <w:pStyle w:val="TableText"/>
              <w:keepNext/>
              <w:keepLines/>
            </w:pPr>
            <w:r w:rsidRPr="00217EA0">
              <w:t>Average weeks on treatment</w:t>
            </w:r>
          </w:p>
        </w:tc>
        <w:tc>
          <w:tcPr>
            <w:tcW w:w="599" w:type="pct"/>
            <w:shd w:val="clear" w:color="auto" w:fill="auto"/>
            <w:vAlign w:val="center"/>
          </w:tcPr>
          <w:p w14:paraId="5BB0DD0C" w14:textId="6D8535DD" w:rsidR="00E052C9" w:rsidRPr="00217EA0" w:rsidRDefault="00E052C9" w:rsidP="00861560">
            <w:pPr>
              <w:pStyle w:val="TableText"/>
              <w:keepNext/>
              <w:keepLines/>
              <w:jc w:val="center"/>
              <w:rPr>
                <w:vertAlign w:val="superscript"/>
              </w:rPr>
            </w:pPr>
            <w:r w:rsidRPr="00217EA0">
              <w:t>NR</w:t>
            </w:r>
            <w:r w:rsidR="00652F0C" w:rsidRPr="00217EA0">
              <w:t xml:space="preserve"> </w:t>
            </w:r>
            <w:r w:rsidRPr="00217EA0">
              <w:rPr>
                <w:vertAlign w:val="superscript"/>
              </w:rPr>
              <w:t>a</w:t>
            </w:r>
          </w:p>
        </w:tc>
        <w:tc>
          <w:tcPr>
            <w:tcW w:w="549" w:type="pct"/>
            <w:shd w:val="clear" w:color="auto" w:fill="auto"/>
            <w:vAlign w:val="center"/>
          </w:tcPr>
          <w:p w14:paraId="2B1D042E" w14:textId="0F8E3869" w:rsidR="00E052C9" w:rsidRPr="00217EA0" w:rsidRDefault="00E052C9" w:rsidP="00861560">
            <w:pPr>
              <w:pStyle w:val="TableText"/>
              <w:keepNext/>
              <w:keepLines/>
              <w:jc w:val="center"/>
            </w:pPr>
            <w:r w:rsidRPr="00217EA0">
              <w:t>57.78</w:t>
            </w:r>
          </w:p>
        </w:tc>
        <w:tc>
          <w:tcPr>
            <w:tcW w:w="549" w:type="pct"/>
            <w:shd w:val="clear" w:color="auto" w:fill="auto"/>
            <w:vAlign w:val="center"/>
          </w:tcPr>
          <w:p w14:paraId="133624FE" w14:textId="17DA671C" w:rsidR="00E052C9" w:rsidRPr="00217EA0" w:rsidRDefault="00E052C9" w:rsidP="00861560">
            <w:pPr>
              <w:pStyle w:val="TableText"/>
              <w:keepNext/>
              <w:keepLines/>
              <w:jc w:val="center"/>
            </w:pPr>
            <w:r w:rsidRPr="00217EA0">
              <w:t>56.05</w:t>
            </w:r>
          </w:p>
        </w:tc>
        <w:tc>
          <w:tcPr>
            <w:tcW w:w="599" w:type="pct"/>
            <w:shd w:val="clear" w:color="auto" w:fill="auto"/>
            <w:vAlign w:val="center"/>
          </w:tcPr>
          <w:p w14:paraId="1F35D44E" w14:textId="6657A071" w:rsidR="00E052C9" w:rsidRPr="00217EA0" w:rsidRDefault="00DB7B8F" w:rsidP="00861560">
            <w:pPr>
              <w:pStyle w:val="TableText"/>
              <w:keepNext/>
              <w:keepLines/>
              <w:jc w:val="center"/>
            </w:pPr>
            <w:r w:rsidRPr="00217EA0">
              <w:t>NR</w:t>
            </w:r>
          </w:p>
        </w:tc>
        <w:tc>
          <w:tcPr>
            <w:tcW w:w="648" w:type="pct"/>
            <w:gridSpan w:val="2"/>
            <w:shd w:val="clear" w:color="auto" w:fill="auto"/>
            <w:vAlign w:val="center"/>
          </w:tcPr>
          <w:p w14:paraId="6F1E785E" w14:textId="5E16CAB1" w:rsidR="00E052C9" w:rsidRPr="00217EA0" w:rsidRDefault="00E052C9" w:rsidP="00861560">
            <w:pPr>
              <w:pStyle w:val="TableText"/>
              <w:keepNext/>
              <w:keepLines/>
              <w:jc w:val="center"/>
            </w:pPr>
            <w:r w:rsidRPr="00217EA0">
              <w:t xml:space="preserve">17.74 </w:t>
            </w:r>
          </w:p>
        </w:tc>
        <w:tc>
          <w:tcPr>
            <w:tcW w:w="561" w:type="pct"/>
            <w:shd w:val="clear" w:color="auto" w:fill="auto"/>
          </w:tcPr>
          <w:p w14:paraId="7EFCABA6" w14:textId="6EEF2F87" w:rsidR="00E052C9" w:rsidRPr="00217EA0" w:rsidRDefault="00E052C9" w:rsidP="00861560">
            <w:pPr>
              <w:pStyle w:val="TableText"/>
              <w:keepNext/>
              <w:keepLines/>
              <w:jc w:val="center"/>
            </w:pPr>
            <w:r w:rsidRPr="00217EA0">
              <w:t xml:space="preserve">17.83 </w:t>
            </w:r>
          </w:p>
        </w:tc>
      </w:tr>
      <w:tr w:rsidR="007900E9" w:rsidRPr="00217EA0" w14:paraId="6BB33E0A" w14:textId="77777777" w:rsidTr="00CE3A7F">
        <w:trPr>
          <w:cantSplit/>
          <w:jc w:val="center"/>
        </w:trPr>
        <w:tc>
          <w:tcPr>
            <w:tcW w:w="1495" w:type="pct"/>
            <w:shd w:val="clear" w:color="auto" w:fill="auto"/>
            <w:vAlign w:val="center"/>
          </w:tcPr>
          <w:p w14:paraId="6C33DF6B" w14:textId="141827D1" w:rsidR="00677BAE" w:rsidRPr="00217EA0" w:rsidRDefault="00677BAE" w:rsidP="00861560">
            <w:pPr>
              <w:pStyle w:val="TableText"/>
              <w:keepNext/>
              <w:keepLines/>
            </w:pPr>
            <w:r w:rsidRPr="00217EA0">
              <w:t>Cost per course per patient</w:t>
            </w:r>
          </w:p>
        </w:tc>
        <w:tc>
          <w:tcPr>
            <w:tcW w:w="599" w:type="pct"/>
            <w:shd w:val="clear" w:color="auto" w:fill="auto"/>
            <w:vAlign w:val="center"/>
          </w:tcPr>
          <w:p w14:paraId="1D0EF5D2" w14:textId="6A13987D" w:rsidR="00677BAE" w:rsidRPr="00217EA0" w:rsidRDefault="00712353" w:rsidP="00861560">
            <w:pPr>
              <w:pStyle w:val="TableText"/>
              <w:keepNext/>
              <w:keepLines/>
              <w:jc w:val="center"/>
            </w:pPr>
            <w:r w:rsidRPr="00217EA0">
              <w:t>-</w:t>
            </w:r>
          </w:p>
        </w:tc>
        <w:tc>
          <w:tcPr>
            <w:tcW w:w="549" w:type="pct"/>
            <w:shd w:val="clear" w:color="auto" w:fill="auto"/>
            <w:vAlign w:val="center"/>
          </w:tcPr>
          <w:p w14:paraId="61F94D22" w14:textId="042ACB8E" w:rsidR="00677BAE" w:rsidRPr="00217EA0" w:rsidRDefault="00677BAE" w:rsidP="00861560">
            <w:pPr>
              <w:pStyle w:val="TableText"/>
              <w:keepNext/>
              <w:keepLines/>
              <w:jc w:val="center"/>
            </w:pPr>
            <w:r w:rsidRPr="00217EA0">
              <w:t>$</w:t>
            </w:r>
            <w:r w:rsidR="00F0779A" w:rsidRPr="00F0779A">
              <w:rPr>
                <w:color w:val="000000"/>
                <w:spacing w:val="53"/>
                <w:shd w:val="solid" w:color="000000" w:fill="000000"/>
                <w:fitText w:val="330" w:id="-694415358"/>
                <w14:textFill>
                  <w14:solidFill>
                    <w14:srgbClr w14:val="000000">
                      <w14:alpha w14:val="100000"/>
                    </w14:srgbClr>
                  </w14:solidFill>
                </w14:textFill>
              </w:rPr>
              <w:t>|||</w:t>
            </w:r>
            <w:r w:rsidR="00F0779A" w:rsidRPr="00F0779A">
              <w:rPr>
                <w:color w:val="000000"/>
                <w:spacing w:val="1"/>
                <w:shd w:val="solid" w:color="000000" w:fill="000000"/>
                <w:fitText w:val="330" w:id="-694415358"/>
                <w14:textFill>
                  <w14:solidFill>
                    <w14:srgbClr w14:val="000000">
                      <w14:alpha w14:val="100000"/>
                    </w14:srgbClr>
                  </w14:solidFill>
                </w14:textFill>
              </w:rPr>
              <w:t>|</w:t>
            </w:r>
          </w:p>
        </w:tc>
        <w:tc>
          <w:tcPr>
            <w:tcW w:w="549" w:type="pct"/>
            <w:shd w:val="clear" w:color="auto" w:fill="auto"/>
            <w:vAlign w:val="center"/>
          </w:tcPr>
          <w:p w14:paraId="3410F502" w14:textId="0A010760" w:rsidR="00677BAE" w:rsidRPr="00217EA0" w:rsidRDefault="00DB7B8F" w:rsidP="00861560">
            <w:pPr>
              <w:pStyle w:val="TableText"/>
              <w:keepNext/>
              <w:keepLines/>
              <w:jc w:val="center"/>
            </w:pPr>
            <w:r w:rsidRPr="00217EA0">
              <w:t>$</w:t>
            </w:r>
            <w:r w:rsidR="00F0779A" w:rsidRPr="00F0779A">
              <w:rPr>
                <w:color w:val="000000"/>
                <w:spacing w:val="53"/>
                <w:shd w:val="solid" w:color="000000" w:fill="000000"/>
                <w:fitText w:val="330" w:id="-694415357"/>
                <w14:textFill>
                  <w14:solidFill>
                    <w14:srgbClr w14:val="000000">
                      <w14:alpha w14:val="100000"/>
                    </w14:srgbClr>
                  </w14:solidFill>
                </w14:textFill>
              </w:rPr>
              <w:t>|||</w:t>
            </w:r>
            <w:r w:rsidR="00F0779A" w:rsidRPr="00F0779A">
              <w:rPr>
                <w:color w:val="000000"/>
                <w:spacing w:val="1"/>
                <w:shd w:val="solid" w:color="000000" w:fill="000000"/>
                <w:fitText w:val="330" w:id="-694415357"/>
                <w14:textFill>
                  <w14:solidFill>
                    <w14:srgbClr w14:val="000000">
                      <w14:alpha w14:val="100000"/>
                    </w14:srgbClr>
                  </w14:solidFill>
                </w14:textFill>
              </w:rPr>
              <w:t>|</w:t>
            </w:r>
          </w:p>
        </w:tc>
        <w:tc>
          <w:tcPr>
            <w:tcW w:w="599" w:type="pct"/>
            <w:shd w:val="clear" w:color="auto" w:fill="auto"/>
            <w:vAlign w:val="center"/>
          </w:tcPr>
          <w:p w14:paraId="09941789" w14:textId="5BA4CE12" w:rsidR="00677BAE" w:rsidRPr="00217EA0" w:rsidRDefault="00712353" w:rsidP="00861560">
            <w:pPr>
              <w:pStyle w:val="TableText"/>
              <w:keepNext/>
              <w:keepLines/>
              <w:jc w:val="center"/>
            </w:pPr>
            <w:r w:rsidRPr="00217EA0">
              <w:t>-</w:t>
            </w:r>
          </w:p>
        </w:tc>
        <w:tc>
          <w:tcPr>
            <w:tcW w:w="648" w:type="pct"/>
            <w:gridSpan w:val="2"/>
            <w:shd w:val="clear" w:color="auto" w:fill="auto"/>
            <w:vAlign w:val="center"/>
          </w:tcPr>
          <w:p w14:paraId="11579307" w14:textId="7BD93204" w:rsidR="00677BAE" w:rsidRPr="00217EA0" w:rsidRDefault="00677BAE" w:rsidP="00861560">
            <w:pPr>
              <w:pStyle w:val="TableText"/>
              <w:keepNext/>
              <w:keepLines/>
              <w:jc w:val="center"/>
            </w:pPr>
            <w:r w:rsidRPr="00217EA0">
              <w:t>$2,645.36</w:t>
            </w:r>
          </w:p>
        </w:tc>
        <w:tc>
          <w:tcPr>
            <w:tcW w:w="561" w:type="pct"/>
            <w:shd w:val="clear" w:color="auto" w:fill="auto"/>
          </w:tcPr>
          <w:p w14:paraId="67B0261E" w14:textId="753F1A20" w:rsidR="00677BAE" w:rsidRPr="00217EA0" w:rsidRDefault="009734E9" w:rsidP="00861560">
            <w:pPr>
              <w:pStyle w:val="TableText"/>
              <w:keepNext/>
              <w:keepLines/>
              <w:jc w:val="center"/>
            </w:pPr>
            <w:r w:rsidRPr="00217EA0">
              <w:t>$2,658.63</w:t>
            </w:r>
          </w:p>
        </w:tc>
      </w:tr>
    </w:tbl>
    <w:p w14:paraId="565FEA1C" w14:textId="15F7B049" w:rsidR="0063554C" w:rsidRPr="00217EA0" w:rsidRDefault="0063554C" w:rsidP="00861560">
      <w:pPr>
        <w:pStyle w:val="TableFigureFooter"/>
        <w:keepNext/>
        <w:keepLines/>
      </w:pPr>
      <w:r w:rsidRPr="00217EA0">
        <w:t xml:space="preserve">Source: Table 26, of the trial report, Section 3 workbook, sheet 3a of the utilisation-and-cost-model. </w:t>
      </w:r>
    </w:p>
    <w:p w14:paraId="0F5CD5B2" w14:textId="702082E9" w:rsidR="00A04A60" w:rsidRPr="00217EA0" w:rsidRDefault="00A04A60" w:rsidP="00861560">
      <w:pPr>
        <w:pStyle w:val="TableFooter"/>
        <w:keepNext/>
        <w:keepLines/>
      </w:pPr>
      <w:r w:rsidRPr="00217EA0">
        <w:t xml:space="preserve">DPMQ = Dispensed price per maximum quantity; Cf = calcium folate; F = Fluorouracil; NA </w:t>
      </w:r>
      <w:r w:rsidR="00ED62ED" w:rsidRPr="00217EA0">
        <w:t>=</w:t>
      </w:r>
      <w:r w:rsidRPr="00217EA0">
        <w:t xml:space="preserve"> not applicable; NR = not reported</w:t>
      </w:r>
      <w:r w:rsidR="00987015" w:rsidRPr="00217EA0">
        <w:t>;</w:t>
      </w:r>
      <w:r w:rsidR="00E052C9" w:rsidRPr="00217EA0">
        <w:t xml:space="preserve"> </w:t>
      </w:r>
      <w:r w:rsidRPr="00217EA0">
        <w:t>O = ox</w:t>
      </w:r>
      <w:r w:rsidR="006C1DBC" w:rsidRPr="00217EA0">
        <w:t>al</w:t>
      </w:r>
      <w:r w:rsidRPr="00217EA0">
        <w:t>iplatin</w:t>
      </w:r>
    </w:p>
    <w:p w14:paraId="777EB3E0" w14:textId="26C82E4B" w:rsidR="00A04A60" w:rsidRPr="00217EA0" w:rsidRDefault="00A04A60" w:rsidP="00861560">
      <w:pPr>
        <w:pStyle w:val="TableFooter"/>
        <w:keepNext/>
        <w:keepLines/>
      </w:pPr>
      <w:r w:rsidRPr="00217EA0">
        <w:t>Text in italics indicate values calculated during the evaluation</w:t>
      </w:r>
    </w:p>
    <w:p w14:paraId="2CBA9DE3" w14:textId="5AEB559B" w:rsidR="00BB7189" w:rsidRPr="00217EA0" w:rsidRDefault="00A04A60" w:rsidP="00861560">
      <w:pPr>
        <w:pStyle w:val="TableFigureFooter"/>
        <w:keepNext/>
        <w:keepLines/>
      </w:pPr>
      <w:proofErr w:type="spellStart"/>
      <w:r w:rsidRPr="00217EA0">
        <w:rPr>
          <w:vertAlign w:val="superscript"/>
        </w:rPr>
        <w:t>a</w:t>
      </w:r>
      <w:proofErr w:type="spellEnd"/>
      <w:r w:rsidR="00652F0C" w:rsidRPr="00217EA0">
        <w:rPr>
          <w:vertAlign w:val="superscript"/>
        </w:rPr>
        <w:t xml:space="preserve"> </w:t>
      </w:r>
      <w:r w:rsidR="00BB7189" w:rsidRPr="00217EA0">
        <w:t xml:space="preserve">The submission did not provide a mean duration of treatment in the MAIC </w:t>
      </w:r>
      <w:r w:rsidRPr="00217EA0">
        <w:t>dataset.</w:t>
      </w:r>
      <w:r w:rsidR="00FB1223" w:rsidRPr="00217EA0">
        <w:t xml:space="preserve"> The mean dose duration for the whole study population was 10.65 months (46.15 weeks) which </w:t>
      </w:r>
      <w:r w:rsidR="00F65359" w:rsidRPr="00217EA0">
        <w:t xml:space="preserve">corresponds to a cost </w:t>
      </w:r>
      <w:r w:rsidR="000F7540" w:rsidRPr="00217EA0">
        <w:t>of $</w:t>
      </w:r>
      <w:r w:rsidR="00F0779A" w:rsidRPr="00F0779A">
        <w:rPr>
          <w:color w:val="000000"/>
          <w:spacing w:val="213"/>
          <w:shd w:val="solid" w:color="000000" w:fill="000000"/>
          <w:fitText w:val="290" w:id="-694415356"/>
          <w14:textFill>
            <w14:solidFill>
              <w14:srgbClr w14:val="000000">
                <w14:alpha w14:val="100000"/>
              </w14:srgbClr>
            </w14:solidFill>
          </w14:textFill>
        </w:rPr>
        <w:t>|</w:t>
      </w:r>
      <w:r w:rsidR="00F0779A" w:rsidRPr="00F0779A">
        <w:rPr>
          <w:color w:val="000000"/>
          <w:spacing w:val="1"/>
          <w:shd w:val="solid" w:color="000000" w:fill="000000"/>
          <w:fitText w:val="290" w:id="-694415356"/>
          <w14:textFill>
            <w14:solidFill>
              <w14:srgbClr w14:val="000000">
                <w14:alpha w14:val="100000"/>
              </w14:srgbClr>
            </w14:solidFill>
          </w14:textFill>
        </w:rPr>
        <w:t>|</w:t>
      </w:r>
      <w:r w:rsidR="00FB1223" w:rsidRPr="00217EA0">
        <w:t xml:space="preserve"> </w:t>
      </w:r>
    </w:p>
    <w:p w14:paraId="296803DD" w14:textId="7DE463F7" w:rsidR="009734E9" w:rsidRPr="00217EA0" w:rsidRDefault="009734E9" w:rsidP="00104E11">
      <w:pPr>
        <w:pStyle w:val="TableFigureFooter"/>
        <w:keepLines/>
      </w:pPr>
      <w:r w:rsidRPr="00217EA0">
        <w:t>Note: estimates of cost per course per patient may not exactly match the product of the p</w:t>
      </w:r>
      <w:r w:rsidR="00FB1223" w:rsidRPr="00217EA0">
        <w:t>r</w:t>
      </w:r>
      <w:r w:rsidRPr="00217EA0">
        <w:t xml:space="preserve">esented inputs due to rounding. </w:t>
      </w:r>
    </w:p>
    <w:p w14:paraId="359A96FC" w14:textId="296318AA" w:rsidR="000B6325" w:rsidRPr="00982F1C" w:rsidRDefault="00D159EC" w:rsidP="00982F1C">
      <w:pPr>
        <w:pStyle w:val="ListParagraph"/>
        <w:rPr>
          <w:color w:val="auto"/>
        </w:rPr>
      </w:pPr>
      <w:r w:rsidRPr="00217EA0">
        <w:rPr>
          <w:color w:val="auto"/>
        </w:rPr>
        <w:t>The evaluation noted that t</w:t>
      </w:r>
      <w:r w:rsidR="009734E9" w:rsidRPr="00217EA0">
        <w:rPr>
          <w:color w:val="auto"/>
        </w:rPr>
        <w:t>he</w:t>
      </w:r>
      <w:r w:rsidR="00712353" w:rsidRPr="00217EA0">
        <w:rPr>
          <w:color w:val="auto"/>
        </w:rPr>
        <w:t xml:space="preserve"> drug cost per course per patient of $</w:t>
      </w:r>
      <w:r w:rsidR="00F0779A" w:rsidRPr="00F0779A">
        <w:rPr>
          <w:color w:val="000000"/>
          <w:w w:val="60"/>
          <w:shd w:val="solid" w:color="000000" w:fill="000000"/>
          <w:fitText w:val="470" w:id="-694415355"/>
          <w14:textFill>
            <w14:solidFill>
              <w14:srgbClr w14:val="000000">
                <w14:alpha w14:val="100000"/>
              </w14:srgbClr>
            </w14:solidFill>
          </w14:textFill>
        </w:rPr>
        <w:t>|||  ||</w:t>
      </w:r>
      <w:r w:rsidR="00F0779A" w:rsidRPr="00F0779A">
        <w:rPr>
          <w:color w:val="000000"/>
          <w:spacing w:val="6"/>
          <w:w w:val="60"/>
          <w:shd w:val="solid" w:color="000000" w:fill="000000"/>
          <w:fitText w:val="470" w:id="-694415355"/>
          <w14:textFill>
            <w14:solidFill>
              <w14:srgbClr w14:val="000000">
                <w14:alpha w14:val="100000"/>
              </w14:srgbClr>
            </w14:solidFill>
          </w14:textFill>
        </w:rPr>
        <w:t>|</w:t>
      </w:r>
      <w:r w:rsidR="0085583F" w:rsidRPr="00217EA0">
        <w:rPr>
          <w:color w:val="auto"/>
        </w:rPr>
        <w:t xml:space="preserve"> </w:t>
      </w:r>
      <w:r w:rsidR="009734E9" w:rsidRPr="00217EA0">
        <w:rPr>
          <w:color w:val="auto"/>
        </w:rPr>
        <w:t xml:space="preserve">is </w:t>
      </w:r>
      <w:r w:rsidR="0085583F" w:rsidRPr="00217EA0">
        <w:rPr>
          <w:color w:val="auto"/>
        </w:rPr>
        <w:t>based on a DPMQ of $</w:t>
      </w:r>
      <w:r w:rsidR="00F0779A" w:rsidRPr="00F0779A">
        <w:rPr>
          <w:color w:val="000000"/>
          <w:w w:val="60"/>
          <w:shd w:val="solid" w:color="000000" w:fill="000000"/>
          <w:fitText w:val="470" w:id="-694415354"/>
          <w14:textFill>
            <w14:solidFill>
              <w14:srgbClr w14:val="000000">
                <w14:alpha w14:val="100000"/>
              </w14:srgbClr>
            </w14:solidFill>
          </w14:textFill>
        </w:rPr>
        <w:t>|||  ||</w:t>
      </w:r>
      <w:r w:rsidR="00F0779A" w:rsidRPr="00F0779A">
        <w:rPr>
          <w:color w:val="000000"/>
          <w:spacing w:val="6"/>
          <w:w w:val="60"/>
          <w:shd w:val="solid" w:color="000000" w:fill="000000"/>
          <w:fitText w:val="470" w:id="-694415354"/>
          <w14:textFill>
            <w14:solidFill>
              <w14:srgbClr w14:val="000000">
                <w14:alpha w14:val="100000"/>
              </w14:srgbClr>
            </w14:solidFill>
          </w14:textFill>
        </w:rPr>
        <w:t>|</w:t>
      </w:r>
      <w:r w:rsidR="0085583F" w:rsidRPr="00217EA0">
        <w:rPr>
          <w:color w:val="auto"/>
        </w:rPr>
        <w:t xml:space="preserve"> (28-days), a relative dose intensity of 83.26% and an average of 57.78 weeks on treatment. </w:t>
      </w:r>
      <w:r w:rsidR="006E0B1C" w:rsidRPr="00217EA0">
        <w:rPr>
          <w:color w:val="auto"/>
        </w:rPr>
        <w:t>T</w:t>
      </w:r>
      <w:r w:rsidR="0085583F" w:rsidRPr="00217EA0">
        <w:rPr>
          <w:color w:val="auto"/>
        </w:rPr>
        <w:t xml:space="preserve">he submission stated that </w:t>
      </w:r>
      <w:r w:rsidR="00A41880" w:rsidRPr="00217EA0">
        <w:rPr>
          <w:color w:val="auto"/>
        </w:rPr>
        <w:t>the</w:t>
      </w:r>
      <w:r w:rsidR="0085583F" w:rsidRPr="00217EA0">
        <w:rPr>
          <w:color w:val="auto"/>
        </w:rPr>
        <w:t xml:space="preserve"> mean duration of treatment was not available for the matched adjusted population of FOENIX-CCA2. Consequently, the duration of </w:t>
      </w:r>
      <w:proofErr w:type="spellStart"/>
      <w:r w:rsidR="0085583F" w:rsidRPr="00217EA0">
        <w:rPr>
          <w:color w:val="auto"/>
        </w:rPr>
        <w:t>futibatinib</w:t>
      </w:r>
      <w:proofErr w:type="spellEnd"/>
      <w:r w:rsidR="0085583F" w:rsidRPr="00217EA0">
        <w:rPr>
          <w:color w:val="auto"/>
        </w:rPr>
        <w:t xml:space="preserve"> treatment was based on the modelled mean PFS. </w:t>
      </w:r>
      <w:r w:rsidRPr="00217EA0">
        <w:rPr>
          <w:color w:val="auto"/>
        </w:rPr>
        <w:t>The evaluation considered that t</w:t>
      </w:r>
      <w:r w:rsidR="0085583F" w:rsidRPr="00217EA0">
        <w:rPr>
          <w:color w:val="auto"/>
        </w:rPr>
        <w:t>he submission</w:t>
      </w:r>
      <w:r w:rsidR="00A41880" w:rsidRPr="00217EA0">
        <w:rPr>
          <w:color w:val="auto"/>
        </w:rPr>
        <w:t>’</w:t>
      </w:r>
      <w:r w:rsidR="0085583F" w:rsidRPr="00217EA0">
        <w:rPr>
          <w:color w:val="auto"/>
        </w:rPr>
        <w:t>s financial estimates were largely consistent</w:t>
      </w:r>
      <w:r w:rsidR="00A41880" w:rsidRPr="00217EA0">
        <w:rPr>
          <w:color w:val="auto"/>
        </w:rPr>
        <w:t>,</w:t>
      </w:r>
      <w:r w:rsidR="0085583F" w:rsidRPr="00217EA0">
        <w:rPr>
          <w:color w:val="auto"/>
        </w:rPr>
        <w:t xml:space="preserve"> except they were based on 56.05 weeks of treatment. FOLFOX was estimated to have a cost of $2,645.36 per patient per course based on a total </w:t>
      </w:r>
      <w:r w:rsidR="00867E83" w:rsidRPr="00217EA0">
        <w:rPr>
          <w:color w:val="auto"/>
        </w:rPr>
        <w:t>two-week</w:t>
      </w:r>
      <w:r w:rsidR="0085583F" w:rsidRPr="00217EA0">
        <w:rPr>
          <w:color w:val="auto"/>
        </w:rPr>
        <w:t xml:space="preserve"> cycle cost of fluorouracil, ox</w:t>
      </w:r>
      <w:r w:rsidR="006E0B1C" w:rsidRPr="00217EA0">
        <w:rPr>
          <w:color w:val="auto"/>
        </w:rPr>
        <w:t>al</w:t>
      </w:r>
      <w:r w:rsidR="0085583F" w:rsidRPr="00217EA0">
        <w:rPr>
          <w:color w:val="auto"/>
        </w:rPr>
        <w:t>iplatin and calcium folate of $298.22 and an average duration of treatment of 17.74 weeks.</w:t>
      </w:r>
    </w:p>
    <w:p w14:paraId="64E65173" w14:textId="514DCEE0" w:rsidR="00715CD9" w:rsidRPr="00C95CD1" w:rsidRDefault="00460B6A" w:rsidP="00C95CD1">
      <w:pPr>
        <w:pStyle w:val="4-SubsectionHeading"/>
        <w:rPr>
          <w:rFonts w:asciiTheme="minorHAnsi" w:hAnsiTheme="minorHAnsi"/>
          <w:lang w:eastAsia="en-US"/>
        </w:rPr>
      </w:pPr>
      <w:bookmarkStart w:id="90" w:name="_Toc413139284"/>
      <w:bookmarkStart w:id="91" w:name="_Toc413139286"/>
      <w:r w:rsidRPr="00C95CD1">
        <w:rPr>
          <w:rFonts w:asciiTheme="minorHAnsi" w:hAnsiTheme="minorHAnsi"/>
          <w:lang w:eastAsia="en-US"/>
        </w:rPr>
        <w:t xml:space="preserve">Estimated PBS </w:t>
      </w:r>
      <w:r w:rsidR="0093156C" w:rsidRPr="00C95CD1">
        <w:rPr>
          <w:rFonts w:asciiTheme="minorHAnsi" w:hAnsiTheme="minorHAnsi"/>
          <w:lang w:eastAsia="en-US"/>
        </w:rPr>
        <w:t xml:space="preserve">usage </w:t>
      </w:r>
      <w:r w:rsidR="003C54D2" w:rsidRPr="00C95CD1">
        <w:rPr>
          <w:rFonts w:asciiTheme="minorHAnsi" w:hAnsiTheme="minorHAnsi"/>
          <w:lang w:eastAsia="en-US"/>
        </w:rPr>
        <w:t xml:space="preserve">&amp; </w:t>
      </w:r>
      <w:r w:rsidRPr="00C95CD1">
        <w:rPr>
          <w:rFonts w:asciiTheme="minorHAnsi" w:hAnsiTheme="minorHAnsi"/>
          <w:lang w:eastAsia="en-US"/>
        </w:rPr>
        <w:t>financial implications</w:t>
      </w:r>
      <w:bookmarkStart w:id="92" w:name="_Toc413139285"/>
      <w:bookmarkEnd w:id="90"/>
    </w:p>
    <w:p w14:paraId="3655858B" w14:textId="487C82EA" w:rsidR="00BC4ACE" w:rsidRPr="00E631DA" w:rsidRDefault="00715CD9" w:rsidP="00E631DA">
      <w:pPr>
        <w:pStyle w:val="ListParagraph"/>
      </w:pPr>
      <w:r w:rsidRPr="00E631DA">
        <w:rPr>
          <w:color w:val="auto"/>
        </w:rPr>
        <w:t xml:space="preserve">This submission </w:t>
      </w:r>
      <w:r w:rsidR="00B462C9" w:rsidRPr="00E631DA">
        <w:rPr>
          <w:color w:val="auto"/>
        </w:rPr>
        <w:t>was</w:t>
      </w:r>
      <w:r w:rsidRPr="00E631DA">
        <w:rPr>
          <w:color w:val="auto"/>
        </w:rPr>
        <w:t xml:space="preserve"> considered by DUSC. </w:t>
      </w:r>
    </w:p>
    <w:p w14:paraId="22A9A155" w14:textId="0037BC45" w:rsidR="00715CD9" w:rsidRPr="00217EA0" w:rsidRDefault="00715CD9" w:rsidP="00715CD9">
      <w:pPr>
        <w:pStyle w:val="ListParagraph"/>
        <w:rPr>
          <w:color w:val="auto"/>
        </w:rPr>
      </w:pPr>
      <w:r w:rsidRPr="00E631DA">
        <w:rPr>
          <w:color w:val="auto"/>
        </w:rPr>
        <w:fldChar w:fldCharType="begin"/>
      </w:r>
      <w:r w:rsidRPr="00E631DA">
        <w:rPr>
          <w:color w:val="auto"/>
        </w:rPr>
        <w:instrText xml:space="preserve"> REF _Ref184830831 \h </w:instrText>
      </w:r>
      <w:r w:rsidR="00E631DA">
        <w:rPr>
          <w:color w:val="auto"/>
        </w:rPr>
        <w:instrText xml:space="preserve"> \* MERGEFORMAT </w:instrText>
      </w:r>
      <w:r w:rsidRPr="00E631DA">
        <w:rPr>
          <w:color w:val="auto"/>
        </w:rPr>
      </w:r>
      <w:r w:rsidRPr="00E631DA">
        <w:rPr>
          <w:color w:val="auto"/>
        </w:rPr>
        <w:fldChar w:fldCharType="separate"/>
      </w:r>
      <w:r w:rsidR="008378C4" w:rsidRPr="00217EA0">
        <w:t>Table</w:t>
      </w:r>
      <w:r w:rsidR="008378C4">
        <w:t xml:space="preserve"> 24:</w:t>
      </w:r>
      <w:r w:rsidRPr="00E631DA">
        <w:rPr>
          <w:color w:val="auto"/>
        </w:rPr>
        <w:fldChar w:fldCharType="end"/>
      </w:r>
      <w:r w:rsidR="00710B64">
        <w:rPr>
          <w:color w:val="auto"/>
        </w:rPr>
        <w:t xml:space="preserve"> </w:t>
      </w:r>
      <w:r w:rsidRPr="00217EA0">
        <w:rPr>
          <w:color w:val="auto"/>
        </w:rPr>
        <w:t xml:space="preserve">presents the key inputs </w:t>
      </w:r>
      <w:r w:rsidR="00AB4EA2">
        <w:rPr>
          <w:color w:val="auto"/>
        </w:rPr>
        <w:t>use for</w:t>
      </w:r>
      <w:r w:rsidRPr="00217EA0">
        <w:rPr>
          <w:color w:val="auto"/>
        </w:rPr>
        <w:t xml:space="preserve"> the financial estimates. The submission took an epidemiological approach to derive the financial estimates.</w:t>
      </w:r>
    </w:p>
    <w:p w14:paraId="609F07E1" w14:textId="28C089B6" w:rsidR="00715CD9" w:rsidRPr="00217EA0" w:rsidRDefault="00715CD9" w:rsidP="00FA13F3">
      <w:pPr>
        <w:pStyle w:val="Caption"/>
        <w:rPr>
          <w:szCs w:val="16"/>
        </w:rPr>
      </w:pPr>
      <w:bookmarkStart w:id="93" w:name="_Ref188360199"/>
      <w:bookmarkStart w:id="94" w:name="_Ref184830831"/>
      <w:bookmarkStart w:id="95" w:name="Table_PBAC_23"/>
      <w:r w:rsidRPr="00217EA0">
        <w:t>Table</w:t>
      </w:r>
      <w:r w:rsidR="00CF357A">
        <w:t xml:space="preserve"> </w:t>
      </w:r>
      <w:r w:rsidR="006A66A8">
        <w:fldChar w:fldCharType="begin"/>
      </w:r>
      <w:r w:rsidR="006A66A8">
        <w:instrText xml:space="preserve"> SEQ Table_PBAC. \* ARABIC </w:instrText>
      </w:r>
      <w:r w:rsidR="006A66A8">
        <w:fldChar w:fldCharType="separate"/>
      </w:r>
      <w:r w:rsidR="008378C4">
        <w:rPr>
          <w:noProof/>
        </w:rPr>
        <w:t>24</w:t>
      </w:r>
      <w:r w:rsidR="006A66A8">
        <w:rPr>
          <w:noProof/>
        </w:rPr>
        <w:fldChar w:fldCharType="end"/>
      </w:r>
      <w:bookmarkEnd w:id="93"/>
      <w:r w:rsidR="00710B64">
        <w:rPr>
          <w:noProof/>
        </w:rPr>
        <w:t>:</w:t>
      </w:r>
      <w:bookmarkEnd w:id="94"/>
      <w:bookmarkEnd w:id="95"/>
      <w:r w:rsidR="00710B64">
        <w:rPr>
          <w:rFonts w:eastAsiaTheme="majorEastAsia" w:cstheme="majorBidi"/>
          <w:bCs/>
          <w:szCs w:val="24"/>
          <w:lang w:eastAsia="en-AU"/>
        </w:rPr>
        <w:t xml:space="preserve"> </w:t>
      </w:r>
      <w:r w:rsidRPr="00217EA0">
        <w:rPr>
          <w:rStyle w:val="CommentReference"/>
          <w:b/>
        </w:rPr>
        <w:t>Key inputs for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Table 24: Key inputs for financial estimates"/>
      </w:tblPr>
      <w:tblGrid>
        <w:gridCol w:w="1681"/>
        <w:gridCol w:w="1374"/>
        <w:gridCol w:w="1350"/>
        <w:gridCol w:w="4775"/>
      </w:tblGrid>
      <w:tr w:rsidR="00715CD9" w:rsidRPr="00217EA0" w14:paraId="130F0B22" w14:textId="77777777">
        <w:trPr>
          <w:cantSplit/>
          <w:tblHeader/>
        </w:trPr>
        <w:tc>
          <w:tcPr>
            <w:tcW w:w="1681" w:type="dxa"/>
            <w:vAlign w:val="center"/>
          </w:tcPr>
          <w:p w14:paraId="4FFE1FF3" w14:textId="77777777" w:rsidR="00715CD9" w:rsidRPr="00B66084" w:rsidRDefault="00715CD9">
            <w:pPr>
              <w:pStyle w:val="In-tableHeading"/>
              <w:jc w:val="center"/>
              <w:rPr>
                <w:lang w:val="en-AU"/>
              </w:rPr>
            </w:pPr>
            <w:r w:rsidRPr="00B66084">
              <w:rPr>
                <w:lang w:val="en-AU"/>
              </w:rPr>
              <w:t>Data</w:t>
            </w:r>
          </w:p>
        </w:tc>
        <w:tc>
          <w:tcPr>
            <w:tcW w:w="1374" w:type="dxa"/>
            <w:vAlign w:val="center"/>
          </w:tcPr>
          <w:p w14:paraId="631C859E" w14:textId="77777777" w:rsidR="00715CD9" w:rsidRPr="00B66084" w:rsidRDefault="00715CD9">
            <w:pPr>
              <w:pStyle w:val="In-tableHeading"/>
              <w:jc w:val="center"/>
              <w:rPr>
                <w:lang w:val="en-AU"/>
              </w:rPr>
            </w:pPr>
            <w:r w:rsidRPr="00B66084">
              <w:rPr>
                <w:lang w:val="en-AU"/>
              </w:rPr>
              <w:t>Value</w:t>
            </w:r>
          </w:p>
        </w:tc>
        <w:tc>
          <w:tcPr>
            <w:tcW w:w="1350" w:type="dxa"/>
            <w:vAlign w:val="center"/>
          </w:tcPr>
          <w:p w14:paraId="583EDE28" w14:textId="77777777" w:rsidR="00715CD9" w:rsidRPr="00B66084" w:rsidRDefault="00715CD9">
            <w:pPr>
              <w:pStyle w:val="In-tableHeading"/>
              <w:jc w:val="center"/>
              <w:rPr>
                <w:lang w:val="en-AU"/>
              </w:rPr>
            </w:pPr>
            <w:r w:rsidRPr="00B66084">
              <w:rPr>
                <w:lang w:val="en-AU"/>
              </w:rPr>
              <w:t>Source</w:t>
            </w:r>
          </w:p>
        </w:tc>
        <w:tc>
          <w:tcPr>
            <w:tcW w:w="4775" w:type="dxa"/>
            <w:vAlign w:val="center"/>
          </w:tcPr>
          <w:p w14:paraId="7EDD839D" w14:textId="77777777" w:rsidR="00715CD9" w:rsidRPr="00B66084" w:rsidRDefault="00715CD9">
            <w:pPr>
              <w:pStyle w:val="In-tableHeading"/>
              <w:jc w:val="center"/>
              <w:rPr>
                <w:lang w:val="en-AU"/>
              </w:rPr>
            </w:pPr>
            <w:r w:rsidRPr="00B66084">
              <w:rPr>
                <w:lang w:val="en-AU"/>
              </w:rPr>
              <w:t>Comment</w:t>
            </w:r>
          </w:p>
        </w:tc>
      </w:tr>
      <w:tr w:rsidR="00715CD9" w:rsidRPr="00217EA0" w14:paraId="5E65D9A6" w14:textId="77777777">
        <w:trPr>
          <w:cantSplit/>
        </w:trPr>
        <w:tc>
          <w:tcPr>
            <w:tcW w:w="9180" w:type="dxa"/>
            <w:gridSpan w:val="4"/>
            <w:vAlign w:val="center"/>
          </w:tcPr>
          <w:p w14:paraId="432ADCCF" w14:textId="77777777" w:rsidR="00715CD9" w:rsidRPr="00B66084" w:rsidRDefault="00715CD9">
            <w:pPr>
              <w:pStyle w:val="In-tableHeading"/>
              <w:rPr>
                <w:lang w:val="en-AU"/>
              </w:rPr>
            </w:pPr>
            <w:r w:rsidRPr="00B66084">
              <w:rPr>
                <w:lang w:val="en-AU"/>
              </w:rPr>
              <w:t>Eligible population</w:t>
            </w:r>
          </w:p>
        </w:tc>
      </w:tr>
      <w:tr w:rsidR="00715CD9" w:rsidRPr="00217EA0" w14:paraId="33653C05" w14:textId="77777777">
        <w:trPr>
          <w:cantSplit/>
        </w:trPr>
        <w:tc>
          <w:tcPr>
            <w:tcW w:w="1681" w:type="dxa"/>
            <w:vAlign w:val="center"/>
          </w:tcPr>
          <w:p w14:paraId="045B9717" w14:textId="77777777" w:rsidR="00715CD9" w:rsidRPr="00B66084" w:rsidRDefault="00715CD9">
            <w:pPr>
              <w:pStyle w:val="TableText"/>
            </w:pPr>
            <w:r w:rsidRPr="00B66084">
              <w:t>Australian Population</w:t>
            </w:r>
          </w:p>
        </w:tc>
        <w:tc>
          <w:tcPr>
            <w:tcW w:w="1374" w:type="dxa"/>
            <w:vAlign w:val="center"/>
          </w:tcPr>
          <w:p w14:paraId="48C00268" w14:textId="77777777" w:rsidR="00715CD9" w:rsidRPr="00B66084" w:rsidRDefault="00715CD9">
            <w:pPr>
              <w:pStyle w:val="TableText"/>
            </w:pPr>
            <w:r w:rsidRPr="00B66084">
              <w:t>Estimated Australian population from 18 -100 years of age</w:t>
            </w:r>
          </w:p>
        </w:tc>
        <w:tc>
          <w:tcPr>
            <w:tcW w:w="1350" w:type="dxa"/>
            <w:vAlign w:val="center"/>
          </w:tcPr>
          <w:p w14:paraId="09291A57" w14:textId="77777777" w:rsidR="00715CD9" w:rsidRPr="00B66084" w:rsidRDefault="00715CD9">
            <w:pPr>
              <w:pStyle w:val="TableText"/>
            </w:pPr>
            <w:r w:rsidRPr="00B66084">
              <w:t>ABS Adult population</w:t>
            </w:r>
          </w:p>
        </w:tc>
        <w:tc>
          <w:tcPr>
            <w:tcW w:w="4775" w:type="dxa"/>
            <w:vAlign w:val="center"/>
          </w:tcPr>
          <w:p w14:paraId="08E424D2" w14:textId="5D0EAC86" w:rsidR="00715CD9" w:rsidRPr="00B66084" w:rsidRDefault="00715CD9">
            <w:pPr>
              <w:pStyle w:val="TableText"/>
            </w:pPr>
            <w:r w:rsidRPr="00B66084">
              <w:t xml:space="preserve">The incidence rates taken from the March 2023 submission (and applied below) were from ‘All age-specific incidence (crude)’ therefore </w:t>
            </w:r>
            <w:r w:rsidR="007D5E41">
              <w:t xml:space="preserve">the </w:t>
            </w:r>
            <w:r w:rsidR="009D5417">
              <w:t xml:space="preserve">DUSC </w:t>
            </w:r>
            <w:r w:rsidR="007B4BD8">
              <w:t xml:space="preserve">noted </w:t>
            </w:r>
            <w:r w:rsidRPr="00B66084">
              <w:t xml:space="preserve">exclusion of the population &lt;18 may not be reasonable. </w:t>
            </w:r>
          </w:p>
        </w:tc>
      </w:tr>
      <w:tr w:rsidR="00715CD9" w:rsidRPr="00217EA0" w14:paraId="4C5215ED" w14:textId="77777777">
        <w:trPr>
          <w:cantSplit/>
        </w:trPr>
        <w:tc>
          <w:tcPr>
            <w:tcW w:w="1681" w:type="dxa"/>
            <w:vAlign w:val="center"/>
          </w:tcPr>
          <w:p w14:paraId="4DBC5A57" w14:textId="77777777" w:rsidR="00715CD9" w:rsidRPr="00B66084" w:rsidRDefault="00715CD9">
            <w:pPr>
              <w:pStyle w:val="TableText"/>
            </w:pPr>
            <w:r w:rsidRPr="00B66084">
              <w:t>Liver Cancer Incidence (per 100,000)</w:t>
            </w:r>
          </w:p>
        </w:tc>
        <w:tc>
          <w:tcPr>
            <w:tcW w:w="1374" w:type="dxa"/>
            <w:vAlign w:val="center"/>
          </w:tcPr>
          <w:p w14:paraId="4DE2A33B" w14:textId="77777777" w:rsidR="00715CD9" w:rsidRPr="00B66084" w:rsidRDefault="00715CD9">
            <w:pPr>
              <w:pStyle w:val="TableText"/>
            </w:pPr>
            <w:r w:rsidRPr="00B66084">
              <w:t>Yr 1: 11.5</w:t>
            </w:r>
          </w:p>
          <w:p w14:paraId="0A9CF04B" w14:textId="77777777" w:rsidR="00715CD9" w:rsidRPr="00B66084" w:rsidRDefault="00715CD9">
            <w:pPr>
              <w:pStyle w:val="TableText"/>
            </w:pPr>
            <w:r w:rsidRPr="00B66084">
              <w:t>Yr 2: 11.8</w:t>
            </w:r>
          </w:p>
          <w:p w14:paraId="41BB2944" w14:textId="77777777" w:rsidR="00715CD9" w:rsidRPr="00B66084" w:rsidRDefault="00715CD9">
            <w:pPr>
              <w:pStyle w:val="TableText"/>
            </w:pPr>
            <w:r w:rsidRPr="00B66084">
              <w:t>Yr 3: 12.1</w:t>
            </w:r>
          </w:p>
          <w:p w14:paraId="442ADC23" w14:textId="77777777" w:rsidR="00715CD9" w:rsidRPr="00B66084" w:rsidRDefault="00715CD9">
            <w:pPr>
              <w:pStyle w:val="TableText"/>
            </w:pPr>
            <w:r w:rsidRPr="00B66084">
              <w:t>Yr 4: 12.3</w:t>
            </w:r>
          </w:p>
          <w:p w14:paraId="3B4BFAAA" w14:textId="77777777" w:rsidR="00715CD9" w:rsidRPr="00B66084" w:rsidRDefault="00715CD9">
            <w:pPr>
              <w:pStyle w:val="TableText"/>
            </w:pPr>
            <w:r w:rsidRPr="00B66084">
              <w:t>Yr 5: 12.6</w:t>
            </w:r>
          </w:p>
          <w:p w14:paraId="6CDC1E54" w14:textId="77777777" w:rsidR="00715CD9" w:rsidRPr="00B66084" w:rsidRDefault="00715CD9">
            <w:pPr>
              <w:pStyle w:val="TableText"/>
            </w:pPr>
            <w:r w:rsidRPr="00B66084">
              <w:t>Yr 6: 12.9</w:t>
            </w:r>
          </w:p>
        </w:tc>
        <w:tc>
          <w:tcPr>
            <w:tcW w:w="1350" w:type="dxa"/>
            <w:vAlign w:val="center"/>
          </w:tcPr>
          <w:p w14:paraId="53845CCC" w14:textId="77777777" w:rsidR="00715CD9" w:rsidRPr="00B66084" w:rsidRDefault="00715CD9">
            <w:pPr>
              <w:pStyle w:val="TableText"/>
            </w:pPr>
            <w:r w:rsidRPr="00B66084">
              <w:t>AIHW 2022</w:t>
            </w:r>
          </w:p>
        </w:tc>
        <w:tc>
          <w:tcPr>
            <w:tcW w:w="4775" w:type="dxa"/>
            <w:vMerge w:val="restart"/>
            <w:vAlign w:val="center"/>
          </w:tcPr>
          <w:p w14:paraId="17E8E7B0" w14:textId="00FEF653" w:rsidR="00715CD9" w:rsidRPr="00B66084" w:rsidRDefault="00715CD9">
            <w:pPr>
              <w:pStyle w:val="TableText"/>
            </w:pPr>
            <w:r w:rsidRPr="00B66084">
              <w:t xml:space="preserve">Same as that used in March 2023 Durvalumab submission. The </w:t>
            </w:r>
            <w:proofErr w:type="spellStart"/>
            <w:r w:rsidRPr="00B66084">
              <w:t>ivosidenib</w:t>
            </w:r>
            <w:proofErr w:type="spellEnd"/>
            <w:r w:rsidRPr="00B66084">
              <w:t xml:space="preserve"> submission in July 2024 (Table 16, </w:t>
            </w:r>
            <w:proofErr w:type="spellStart"/>
            <w:r w:rsidRPr="00B66084">
              <w:t>ivosidenib</w:t>
            </w:r>
            <w:proofErr w:type="spellEnd"/>
            <w:r w:rsidRPr="00B66084">
              <w:t xml:space="preserve"> PSD, July 2024 PBAC meeting) based these estimates on commissioned incidence data from AIHW in 2015-2019.</w:t>
            </w:r>
            <w:r w:rsidR="00E54CA8" w:rsidRPr="00B66084">
              <w:t xml:space="preserve"> </w:t>
            </w:r>
          </w:p>
          <w:p w14:paraId="56245EB4" w14:textId="4059FDEF" w:rsidR="00715CD9" w:rsidRPr="00B66084" w:rsidRDefault="00BD3861">
            <w:pPr>
              <w:pStyle w:val="TableText"/>
            </w:pPr>
            <w:r>
              <w:rPr>
                <w:rFonts w:eastAsia="Calibri"/>
              </w:rPr>
              <w:t xml:space="preserve">The DUSC noted </w:t>
            </w:r>
            <w:proofErr w:type="spellStart"/>
            <w:r w:rsidR="00625A50" w:rsidRPr="00B66084">
              <w:rPr>
                <w:rFonts w:eastAsia="Calibri"/>
              </w:rPr>
              <w:t>eCCA</w:t>
            </w:r>
            <w:proofErr w:type="spellEnd"/>
            <w:r w:rsidR="00625A50" w:rsidRPr="00B66084">
              <w:rPr>
                <w:rFonts w:eastAsia="Calibri"/>
              </w:rPr>
              <w:t xml:space="preserve"> estimates were obtained from the AIHW, whereas estimates for </w:t>
            </w:r>
            <w:proofErr w:type="spellStart"/>
            <w:r w:rsidR="00625A50" w:rsidRPr="00B66084">
              <w:rPr>
                <w:rFonts w:eastAsia="Calibri"/>
              </w:rPr>
              <w:t>iCCA</w:t>
            </w:r>
            <w:proofErr w:type="spellEnd"/>
            <w:r w:rsidR="00625A50" w:rsidRPr="00B66084">
              <w:rPr>
                <w:rFonts w:eastAsia="Calibri"/>
              </w:rPr>
              <w:t xml:space="preserve"> were estimated based on the incidence of liver cance</w:t>
            </w:r>
            <w:r w:rsidR="002A0A4F">
              <w:rPr>
                <w:rFonts w:eastAsia="Calibri"/>
              </w:rPr>
              <w:t xml:space="preserve">r. </w:t>
            </w:r>
            <w:r w:rsidR="005B4B6F">
              <w:t>The DUSC noted m</w:t>
            </w:r>
            <w:r w:rsidR="00715CD9" w:rsidRPr="00B66084">
              <w:t xml:space="preserve">ore granular information on incidence of </w:t>
            </w:r>
            <w:proofErr w:type="spellStart"/>
            <w:r w:rsidR="00715CD9" w:rsidRPr="00B66084">
              <w:t>eCCA</w:t>
            </w:r>
            <w:proofErr w:type="spellEnd"/>
            <w:r w:rsidR="00715CD9" w:rsidRPr="00B66084">
              <w:t xml:space="preserve"> and </w:t>
            </w:r>
            <w:proofErr w:type="spellStart"/>
            <w:r w:rsidR="00715CD9" w:rsidRPr="00B66084">
              <w:t>iCCA</w:t>
            </w:r>
            <w:proofErr w:type="spellEnd"/>
            <w:r w:rsidR="00715CD9" w:rsidRPr="00B66084">
              <w:t xml:space="preserve"> was available via AIHW</w:t>
            </w:r>
            <w:r w:rsidR="00715CD9" w:rsidRPr="00B66084">
              <w:rPr>
                <w:rStyle w:val="FootnoteReference"/>
              </w:rPr>
              <w:footnoteReference w:id="13"/>
            </w:r>
            <w:r w:rsidR="00715CD9" w:rsidRPr="00B66084">
              <w:t xml:space="preserve">. In 2020, Under ICD-10 codes C24.8-C24.9 (Overlapping lesions of biliary tract and biliary tract, unspecified), C22.1 (intrahepatic bile duct carcinoma ), both representing </w:t>
            </w:r>
            <w:proofErr w:type="spellStart"/>
            <w:r w:rsidR="00715CD9" w:rsidRPr="00B66084">
              <w:t>iCCA</w:t>
            </w:r>
            <w:proofErr w:type="spellEnd"/>
            <w:r w:rsidR="00715CD9" w:rsidRPr="00B66084">
              <w:t xml:space="preserve">, there were 164 and 638 cases respectively, for a total of 802 </w:t>
            </w:r>
            <w:proofErr w:type="spellStart"/>
            <w:r w:rsidR="00715CD9" w:rsidRPr="00B66084">
              <w:t>iCCA</w:t>
            </w:r>
            <w:proofErr w:type="spellEnd"/>
            <w:r w:rsidR="00715CD9" w:rsidRPr="00B66084">
              <w:t xml:space="preserve"> cases. Representing </w:t>
            </w:r>
            <w:proofErr w:type="spellStart"/>
            <w:r w:rsidR="00715CD9" w:rsidRPr="00B66084">
              <w:t>eCCA</w:t>
            </w:r>
            <w:proofErr w:type="spellEnd"/>
            <w:r w:rsidR="00715CD9" w:rsidRPr="00B66084">
              <w:t>, in ICD-10 code C24.0 (Extrahepatic bile duct) there were 397 cases</w:t>
            </w:r>
            <w:r w:rsidR="005B4B6F">
              <w:t>.</w:t>
            </w:r>
          </w:p>
        </w:tc>
      </w:tr>
      <w:tr w:rsidR="00715CD9" w:rsidRPr="00217EA0" w14:paraId="22135D94" w14:textId="77777777">
        <w:trPr>
          <w:cantSplit/>
        </w:trPr>
        <w:tc>
          <w:tcPr>
            <w:tcW w:w="1681" w:type="dxa"/>
            <w:vAlign w:val="center"/>
          </w:tcPr>
          <w:p w14:paraId="04200C94" w14:textId="77777777" w:rsidR="00715CD9" w:rsidRPr="00B66084" w:rsidRDefault="00715CD9">
            <w:pPr>
              <w:pStyle w:val="TableText"/>
            </w:pPr>
            <w:r w:rsidRPr="00B66084">
              <w:t>EHCC (</w:t>
            </w:r>
            <w:proofErr w:type="spellStart"/>
            <w:r w:rsidRPr="00B66084">
              <w:t>eCCA</w:t>
            </w:r>
            <w:proofErr w:type="spellEnd"/>
            <w:r w:rsidRPr="00B66084">
              <w:t>) incidence (per 100,000)</w:t>
            </w:r>
          </w:p>
        </w:tc>
        <w:tc>
          <w:tcPr>
            <w:tcW w:w="1374" w:type="dxa"/>
            <w:vAlign w:val="center"/>
          </w:tcPr>
          <w:p w14:paraId="5C8F3752" w14:textId="77777777" w:rsidR="00715CD9" w:rsidRPr="00B66084" w:rsidRDefault="00715CD9">
            <w:pPr>
              <w:pStyle w:val="TableText"/>
            </w:pPr>
            <w:r w:rsidRPr="00B66084">
              <w:t>Yr 1-2: 1.7</w:t>
            </w:r>
          </w:p>
          <w:p w14:paraId="7D4A2F69" w14:textId="77777777" w:rsidR="00715CD9" w:rsidRPr="00B66084" w:rsidRDefault="00715CD9">
            <w:pPr>
              <w:pStyle w:val="TableText"/>
            </w:pPr>
            <w:r w:rsidRPr="00B66084">
              <w:t>Yr 3-4: 1.8</w:t>
            </w:r>
          </w:p>
          <w:p w14:paraId="2209BB31" w14:textId="77777777" w:rsidR="00715CD9" w:rsidRPr="00B66084" w:rsidRDefault="00715CD9">
            <w:pPr>
              <w:pStyle w:val="TableText"/>
            </w:pPr>
            <w:r w:rsidRPr="00B66084">
              <w:t>Yr 5-6: 1.9</w:t>
            </w:r>
          </w:p>
        </w:tc>
        <w:tc>
          <w:tcPr>
            <w:tcW w:w="1350" w:type="dxa"/>
            <w:vAlign w:val="center"/>
          </w:tcPr>
          <w:p w14:paraId="6A5F1DF1" w14:textId="77777777" w:rsidR="00715CD9" w:rsidRPr="00B66084" w:rsidRDefault="00715CD9">
            <w:pPr>
              <w:pStyle w:val="TableText"/>
            </w:pPr>
            <w:r w:rsidRPr="00B66084">
              <w:t>AIHW 2022</w:t>
            </w:r>
          </w:p>
        </w:tc>
        <w:tc>
          <w:tcPr>
            <w:tcW w:w="4775" w:type="dxa"/>
            <w:vMerge/>
            <w:vAlign w:val="center"/>
          </w:tcPr>
          <w:p w14:paraId="5E0C89E7" w14:textId="77777777" w:rsidR="00715CD9" w:rsidRPr="00B66084" w:rsidRDefault="00715CD9">
            <w:pPr>
              <w:pStyle w:val="TableText"/>
            </w:pPr>
          </w:p>
        </w:tc>
      </w:tr>
      <w:tr w:rsidR="00715CD9" w:rsidRPr="00217EA0" w14:paraId="77212D80" w14:textId="77777777">
        <w:trPr>
          <w:cantSplit/>
        </w:trPr>
        <w:tc>
          <w:tcPr>
            <w:tcW w:w="1681" w:type="dxa"/>
            <w:vAlign w:val="center"/>
          </w:tcPr>
          <w:p w14:paraId="5BF9B781" w14:textId="77777777" w:rsidR="00715CD9" w:rsidRPr="00B66084" w:rsidRDefault="00715CD9">
            <w:pPr>
              <w:pStyle w:val="TableText"/>
            </w:pPr>
            <w:r w:rsidRPr="00B66084">
              <w:t>IHCC (</w:t>
            </w:r>
            <w:proofErr w:type="spellStart"/>
            <w:r w:rsidRPr="00B66084">
              <w:t>iCCA</w:t>
            </w:r>
            <w:proofErr w:type="spellEnd"/>
            <w:r w:rsidRPr="00B66084">
              <w:t>) incidence (per 100,000)</w:t>
            </w:r>
          </w:p>
        </w:tc>
        <w:tc>
          <w:tcPr>
            <w:tcW w:w="1374" w:type="dxa"/>
            <w:vAlign w:val="center"/>
          </w:tcPr>
          <w:p w14:paraId="1601A74F" w14:textId="77777777" w:rsidR="00715CD9" w:rsidRPr="00B66084" w:rsidRDefault="00715CD9">
            <w:pPr>
              <w:pStyle w:val="TableText"/>
            </w:pPr>
            <w:r w:rsidRPr="00B66084">
              <w:t>Yr 1: 1.725-2.53</w:t>
            </w:r>
          </w:p>
          <w:p w14:paraId="587C3433" w14:textId="77777777" w:rsidR="00715CD9" w:rsidRPr="00B66084" w:rsidRDefault="00715CD9">
            <w:pPr>
              <w:pStyle w:val="TableText"/>
            </w:pPr>
            <w:r w:rsidRPr="00B66084">
              <w:t>Yr 2: 1.77-2.596</w:t>
            </w:r>
          </w:p>
          <w:p w14:paraId="2FEB72B4" w14:textId="77777777" w:rsidR="00715CD9" w:rsidRPr="00B66084" w:rsidRDefault="00715CD9">
            <w:pPr>
              <w:pStyle w:val="TableText"/>
            </w:pPr>
            <w:r w:rsidRPr="00B66084">
              <w:t>Yr 3: 1.815-2.662</w:t>
            </w:r>
          </w:p>
          <w:p w14:paraId="769C25A0" w14:textId="77777777" w:rsidR="00715CD9" w:rsidRPr="00B66084" w:rsidRDefault="00715CD9">
            <w:pPr>
              <w:pStyle w:val="TableText"/>
            </w:pPr>
            <w:r w:rsidRPr="00B66084">
              <w:t>Yr 4: 1.845-2.706</w:t>
            </w:r>
          </w:p>
          <w:p w14:paraId="5F5C5AD7" w14:textId="77777777" w:rsidR="00715CD9" w:rsidRPr="00B66084" w:rsidRDefault="00715CD9">
            <w:pPr>
              <w:pStyle w:val="TableText"/>
            </w:pPr>
            <w:r w:rsidRPr="00B66084">
              <w:t>Yr 5: 1.89-2.772</w:t>
            </w:r>
          </w:p>
          <w:p w14:paraId="7515E3B6" w14:textId="77777777" w:rsidR="00715CD9" w:rsidRPr="00B66084" w:rsidRDefault="00715CD9">
            <w:pPr>
              <w:pStyle w:val="TableText"/>
            </w:pPr>
            <w:r w:rsidRPr="00B66084">
              <w:t>Yr 6: 1.935-2.838</w:t>
            </w:r>
          </w:p>
        </w:tc>
        <w:tc>
          <w:tcPr>
            <w:tcW w:w="1350" w:type="dxa"/>
            <w:vAlign w:val="center"/>
          </w:tcPr>
          <w:p w14:paraId="63CDB5C0" w14:textId="77777777" w:rsidR="00715CD9" w:rsidRPr="00B66084" w:rsidRDefault="00715CD9">
            <w:pPr>
              <w:pStyle w:val="TableText"/>
            </w:pPr>
            <w:r w:rsidRPr="00B66084">
              <w:t xml:space="preserve">Durvalumab March 2023 PSD </w:t>
            </w:r>
          </w:p>
        </w:tc>
        <w:tc>
          <w:tcPr>
            <w:tcW w:w="4775" w:type="dxa"/>
            <w:vAlign w:val="center"/>
          </w:tcPr>
          <w:p w14:paraId="65C271AC" w14:textId="77777777" w:rsidR="00715CD9" w:rsidRPr="00B66084" w:rsidRDefault="00715CD9">
            <w:pPr>
              <w:pStyle w:val="TableText"/>
            </w:pPr>
            <w:r w:rsidRPr="00B66084">
              <w:t xml:space="preserve">In the durvalumab March 2023 submission, it was assumed that 15% of liver cancer patients have </w:t>
            </w:r>
            <w:proofErr w:type="spellStart"/>
            <w:r w:rsidRPr="00B66084">
              <w:t>iCCA</w:t>
            </w:r>
            <w:proofErr w:type="spellEnd"/>
            <w:r w:rsidRPr="00B66084">
              <w:t xml:space="preserve"> based on advisory board opinion and a “literature review” that was not detailed. This was increased to 22% in the durvalumab PSCR. However, the PBAC considered the 15% value to be more plausible (paragraph 5.9, durvalumab PSD, July 2023 PBAC meeting).</w:t>
            </w:r>
          </w:p>
          <w:p w14:paraId="3992A49E" w14:textId="77777777" w:rsidR="00EA79A4" w:rsidRDefault="00715CD9">
            <w:pPr>
              <w:pStyle w:val="TableText"/>
            </w:pPr>
            <w:r w:rsidRPr="00B66084">
              <w:t xml:space="preserve">The base case of the submission used the higher proportion value of 22%. </w:t>
            </w:r>
          </w:p>
          <w:p w14:paraId="4DCF0DAB" w14:textId="77777777" w:rsidR="004652EA" w:rsidRDefault="004652EA">
            <w:pPr>
              <w:pStyle w:val="TableText"/>
            </w:pPr>
          </w:p>
          <w:p w14:paraId="6F8FB50A" w14:textId="49C21817" w:rsidR="00715CD9" w:rsidRPr="00B66084" w:rsidRDefault="00967007">
            <w:pPr>
              <w:pStyle w:val="TableText"/>
              <w:rPr>
                <w:vertAlign w:val="superscript"/>
              </w:rPr>
            </w:pPr>
            <w:r>
              <w:t xml:space="preserve">As noted above, </w:t>
            </w:r>
            <w:proofErr w:type="spellStart"/>
            <w:r>
              <w:t>iCCA</w:t>
            </w:r>
            <w:proofErr w:type="spellEnd"/>
            <w:r>
              <w:t xml:space="preserve"> data is available from AIHW.  </w:t>
            </w:r>
          </w:p>
        </w:tc>
      </w:tr>
      <w:tr w:rsidR="00715CD9" w:rsidRPr="00217EA0" w14:paraId="0D13DCD6" w14:textId="77777777">
        <w:trPr>
          <w:cantSplit/>
        </w:trPr>
        <w:tc>
          <w:tcPr>
            <w:tcW w:w="1681" w:type="dxa"/>
            <w:vAlign w:val="center"/>
          </w:tcPr>
          <w:p w14:paraId="4EDB84DB" w14:textId="77777777" w:rsidR="00715CD9" w:rsidRPr="00B66084" w:rsidRDefault="00715CD9">
            <w:pPr>
              <w:pStyle w:val="TableText"/>
            </w:pPr>
            <w:r w:rsidRPr="00B66084">
              <w:t>Patients (%) diagnosed with advanced BTC (locally advanced, metastatic, recurrent</w:t>
            </w:r>
          </w:p>
        </w:tc>
        <w:tc>
          <w:tcPr>
            <w:tcW w:w="1374" w:type="dxa"/>
            <w:vAlign w:val="center"/>
          </w:tcPr>
          <w:p w14:paraId="56849B0D" w14:textId="77777777" w:rsidR="00715CD9" w:rsidRPr="00B66084" w:rsidRDefault="00715CD9">
            <w:pPr>
              <w:pStyle w:val="TableText"/>
            </w:pPr>
            <w:r w:rsidRPr="00B66084">
              <w:t>80%</w:t>
            </w:r>
          </w:p>
        </w:tc>
        <w:tc>
          <w:tcPr>
            <w:tcW w:w="1350" w:type="dxa"/>
            <w:vAlign w:val="center"/>
          </w:tcPr>
          <w:p w14:paraId="383D253A" w14:textId="77777777" w:rsidR="00715CD9" w:rsidRPr="00B66084" w:rsidRDefault="00715CD9">
            <w:pPr>
              <w:pStyle w:val="TableText"/>
            </w:pPr>
            <w:r w:rsidRPr="00B66084">
              <w:t xml:space="preserve">DUSC estimate in Durvalumab March 2023 PSD. </w:t>
            </w:r>
          </w:p>
        </w:tc>
        <w:tc>
          <w:tcPr>
            <w:tcW w:w="4775" w:type="dxa"/>
            <w:vAlign w:val="center"/>
          </w:tcPr>
          <w:p w14:paraId="1CCA044E" w14:textId="602D4F6B" w:rsidR="00715CD9" w:rsidRPr="00B66084" w:rsidRDefault="00715CD9">
            <w:pPr>
              <w:pStyle w:val="TableText"/>
            </w:pPr>
            <w:r w:rsidRPr="00B66084">
              <w:t xml:space="preserve">This input was also used in the </w:t>
            </w:r>
            <w:proofErr w:type="spellStart"/>
            <w:r w:rsidRPr="00B66084">
              <w:t>ivosidenib</w:t>
            </w:r>
            <w:proofErr w:type="spellEnd"/>
            <w:r w:rsidRPr="00B66084">
              <w:t xml:space="preserve"> July 2024 estimates (Table 16, </w:t>
            </w:r>
            <w:proofErr w:type="spellStart"/>
            <w:r w:rsidRPr="00B66084">
              <w:t>ivosidenib</w:t>
            </w:r>
            <w:proofErr w:type="spellEnd"/>
            <w:r w:rsidRPr="00B66084">
              <w:t xml:space="preserve"> PSD, July 2024 PBAC meeting)</w:t>
            </w:r>
            <w:r w:rsidR="00711B76" w:rsidRPr="00B66084">
              <w:t xml:space="preserve">, and appeared reasonable. </w:t>
            </w:r>
            <w:r w:rsidR="00A12952" w:rsidRPr="00B66084">
              <w:rPr>
                <w:rFonts w:eastAsia="Calibri"/>
              </w:rPr>
              <w:t xml:space="preserve">DUSC noted </w:t>
            </w:r>
            <w:r w:rsidR="00A12952" w:rsidRPr="00B66084">
              <w:rPr>
                <w:rFonts w:eastAsia="Calibri"/>
                <w:lang w:val="en-US"/>
              </w:rPr>
              <w:t>approximately 70-90% of patients with CCA present with either locally advanced or metastatic disease at the time of diagnosis.</w:t>
            </w:r>
            <w:r w:rsidR="00A12952" w:rsidRPr="00B66084">
              <w:rPr>
                <w:rStyle w:val="FootnoteReference"/>
                <w:rFonts w:eastAsia="Calibri"/>
                <w:lang w:val="en-US"/>
              </w:rPr>
              <w:footnoteReference w:id="14"/>
            </w:r>
            <w:r w:rsidR="00A12952" w:rsidRPr="00B66084">
              <w:rPr>
                <w:rFonts w:eastAsia="Calibri"/>
                <w:vertAlign w:val="superscript"/>
                <w:lang w:val="en-US"/>
              </w:rPr>
              <w:t>,</w:t>
            </w:r>
            <w:r w:rsidR="00A12952" w:rsidRPr="00B66084">
              <w:rPr>
                <w:rStyle w:val="FootnoteReference"/>
                <w:rFonts w:eastAsia="Calibri"/>
                <w:lang w:val="en-US"/>
              </w:rPr>
              <w:footnoteReference w:id="15"/>
            </w:r>
            <w:r w:rsidR="00A12952" w:rsidRPr="00B66084">
              <w:rPr>
                <w:rFonts w:eastAsia="Calibri"/>
                <w:vertAlign w:val="superscript"/>
                <w:lang w:val="en-US"/>
              </w:rPr>
              <w:t>,</w:t>
            </w:r>
            <w:r w:rsidR="00A12952" w:rsidRPr="00B66084">
              <w:rPr>
                <w:rStyle w:val="FootnoteReference"/>
                <w:rFonts w:eastAsia="Calibri"/>
                <w:lang w:val="en-US"/>
              </w:rPr>
              <w:footnoteReference w:id="16"/>
            </w:r>
          </w:p>
        </w:tc>
      </w:tr>
      <w:tr w:rsidR="00715CD9" w:rsidRPr="00217EA0" w14:paraId="7D5B034C" w14:textId="77777777">
        <w:trPr>
          <w:cantSplit/>
        </w:trPr>
        <w:tc>
          <w:tcPr>
            <w:tcW w:w="1681" w:type="dxa"/>
            <w:vAlign w:val="center"/>
          </w:tcPr>
          <w:p w14:paraId="4E0BAF92" w14:textId="77777777" w:rsidR="00715CD9" w:rsidRPr="00B66084" w:rsidRDefault="00715CD9">
            <w:pPr>
              <w:pStyle w:val="TableText"/>
            </w:pPr>
            <w:r w:rsidRPr="00B66084">
              <w:t>% of patients taking 1st line durvalumab</w:t>
            </w:r>
          </w:p>
        </w:tc>
        <w:tc>
          <w:tcPr>
            <w:tcW w:w="1374" w:type="dxa"/>
            <w:vAlign w:val="center"/>
          </w:tcPr>
          <w:p w14:paraId="315B45DD" w14:textId="77777777" w:rsidR="00715CD9" w:rsidRPr="00B66084" w:rsidRDefault="00715CD9">
            <w:pPr>
              <w:pStyle w:val="TableText"/>
            </w:pPr>
            <w:r w:rsidRPr="00B66084">
              <w:t>70%</w:t>
            </w:r>
          </w:p>
        </w:tc>
        <w:tc>
          <w:tcPr>
            <w:tcW w:w="1350" w:type="dxa"/>
            <w:vAlign w:val="center"/>
          </w:tcPr>
          <w:p w14:paraId="1593F040" w14:textId="77777777" w:rsidR="00715CD9" w:rsidRPr="00B66084" w:rsidRDefault="00715CD9">
            <w:pPr>
              <w:pStyle w:val="TableText"/>
            </w:pPr>
            <w:r w:rsidRPr="00B66084">
              <w:t xml:space="preserve">Advisory board. </w:t>
            </w:r>
          </w:p>
        </w:tc>
        <w:tc>
          <w:tcPr>
            <w:tcW w:w="4775" w:type="dxa"/>
            <w:vAlign w:val="center"/>
          </w:tcPr>
          <w:p w14:paraId="67748D3B" w14:textId="5A7AEC62" w:rsidR="00715CD9" w:rsidRPr="00B66084" w:rsidRDefault="00715CD9">
            <w:pPr>
              <w:pStyle w:val="TableText"/>
            </w:pPr>
            <w:r w:rsidRPr="00B66084">
              <w:t xml:space="preserve">The </w:t>
            </w:r>
            <w:proofErr w:type="spellStart"/>
            <w:r w:rsidRPr="00B66084">
              <w:t>ivosidenib</w:t>
            </w:r>
            <w:proofErr w:type="spellEnd"/>
            <w:r w:rsidRPr="00B66084">
              <w:t xml:space="preserve"> PSD from the July 2024 PBAC meeting did not indicate the proportion used for this parameter. The uptake of first line durvalumab was uncertain.</w:t>
            </w:r>
            <w:r w:rsidR="0087256F" w:rsidRPr="00B66084">
              <w:rPr>
                <w:rFonts w:eastAsia="Calibri"/>
              </w:rPr>
              <w:t xml:space="preserve"> DUSC considered the eligible population for </w:t>
            </w:r>
            <w:proofErr w:type="spellStart"/>
            <w:r w:rsidR="0087256F" w:rsidRPr="00B66084">
              <w:rPr>
                <w:rFonts w:eastAsia="Calibri"/>
              </w:rPr>
              <w:t>futibatinib</w:t>
            </w:r>
            <w:proofErr w:type="spellEnd"/>
            <w:r w:rsidR="0087256F" w:rsidRPr="00B66084">
              <w:rPr>
                <w:rFonts w:eastAsia="Calibri"/>
              </w:rPr>
              <w:t xml:space="preserve"> could have been derived from the market share of durvalumab. DUSC noted that most patients would be treated with durvalumab with chemotherapy in the first line setting, unless contraindicated.  </w:t>
            </w:r>
          </w:p>
        </w:tc>
      </w:tr>
      <w:tr w:rsidR="00715CD9" w:rsidRPr="00217EA0" w14:paraId="25918AA3" w14:textId="77777777">
        <w:trPr>
          <w:cantSplit/>
        </w:trPr>
        <w:tc>
          <w:tcPr>
            <w:tcW w:w="1681" w:type="dxa"/>
            <w:vAlign w:val="center"/>
          </w:tcPr>
          <w:p w14:paraId="279A65E9" w14:textId="77777777" w:rsidR="00715CD9" w:rsidRPr="00B66084" w:rsidRDefault="00715CD9">
            <w:pPr>
              <w:pStyle w:val="TableText"/>
            </w:pPr>
            <w:r w:rsidRPr="00B66084">
              <w:t>Durvalumab patients progressing to 2L</w:t>
            </w:r>
          </w:p>
        </w:tc>
        <w:tc>
          <w:tcPr>
            <w:tcW w:w="1374" w:type="dxa"/>
            <w:vAlign w:val="center"/>
          </w:tcPr>
          <w:p w14:paraId="69445350" w14:textId="77777777" w:rsidR="00715CD9" w:rsidRPr="00B66084" w:rsidRDefault="00715CD9">
            <w:pPr>
              <w:pStyle w:val="TableText"/>
            </w:pPr>
            <w:r w:rsidRPr="00075E85">
              <w:t>60</w:t>
            </w:r>
            <w:r w:rsidRPr="00B66084">
              <w:t>%</w:t>
            </w:r>
          </w:p>
        </w:tc>
        <w:tc>
          <w:tcPr>
            <w:tcW w:w="1350" w:type="dxa"/>
            <w:vAlign w:val="center"/>
          </w:tcPr>
          <w:p w14:paraId="7D3D22B0" w14:textId="77777777" w:rsidR="00715CD9" w:rsidRPr="00B66084" w:rsidRDefault="00715CD9">
            <w:pPr>
              <w:pStyle w:val="TableText"/>
            </w:pPr>
            <w:r w:rsidRPr="00B66084">
              <w:t>Advisory board</w:t>
            </w:r>
          </w:p>
        </w:tc>
        <w:tc>
          <w:tcPr>
            <w:tcW w:w="4775" w:type="dxa"/>
            <w:vAlign w:val="center"/>
          </w:tcPr>
          <w:p w14:paraId="2D68B918" w14:textId="78AA2F76" w:rsidR="00715CD9" w:rsidRPr="00B66084" w:rsidRDefault="00715CD9">
            <w:pPr>
              <w:pStyle w:val="TableText"/>
            </w:pPr>
            <w:r w:rsidRPr="00B66084">
              <w:t xml:space="preserve">Uncertain and </w:t>
            </w:r>
            <w:r w:rsidR="00E031F3" w:rsidRPr="00B66084">
              <w:t xml:space="preserve">likely to </w:t>
            </w:r>
            <w:r w:rsidRPr="00B66084">
              <w:t xml:space="preserve">be overestimated. In the consideration of </w:t>
            </w:r>
            <w:proofErr w:type="spellStart"/>
            <w:r w:rsidRPr="00B66084">
              <w:t>ivosidenib</w:t>
            </w:r>
            <w:proofErr w:type="spellEnd"/>
            <w:r w:rsidRPr="00B66084">
              <w:t xml:space="preserve"> (Table 16, </w:t>
            </w:r>
            <w:proofErr w:type="spellStart"/>
            <w:r w:rsidRPr="00B66084">
              <w:t>ivosidenib</w:t>
            </w:r>
            <w:proofErr w:type="spellEnd"/>
            <w:r w:rsidRPr="00B66084">
              <w:t xml:space="preserve"> PSD, July 2024 PBAC meeting) the DUSC noted prior studies where patients experience a rapid decline in performance status following progression on 1L therapy and only 15- 25% receive 2L therapy. </w:t>
            </w:r>
            <w:r w:rsidR="007518C3" w:rsidRPr="007518C3">
              <w:t xml:space="preserve">The </w:t>
            </w:r>
            <w:r w:rsidR="007518C3" w:rsidRPr="007518C3">
              <w:rPr>
                <w:rFonts w:eastAsia="Calibri"/>
              </w:rPr>
              <w:t>DUSC considered this to be likely overestimated given that a limited number of patients progress to second line therapy due to issues with liver failure and performance status.</w:t>
            </w:r>
          </w:p>
        </w:tc>
      </w:tr>
      <w:tr w:rsidR="00715CD9" w:rsidRPr="00217EA0" w14:paraId="24423682" w14:textId="77777777">
        <w:trPr>
          <w:cantSplit/>
        </w:trPr>
        <w:tc>
          <w:tcPr>
            <w:tcW w:w="1681" w:type="dxa"/>
            <w:vAlign w:val="center"/>
          </w:tcPr>
          <w:p w14:paraId="5B805C8A" w14:textId="1CE4AE37" w:rsidR="00715CD9" w:rsidRPr="00B66084" w:rsidRDefault="003E5C46">
            <w:pPr>
              <w:pStyle w:val="TableText"/>
            </w:pPr>
            <w:r w:rsidRPr="003E5C46">
              <w:rPr>
                <w:i/>
                <w:iCs/>
              </w:rPr>
              <w:t>FGFR2</w:t>
            </w:r>
            <w:r w:rsidR="00715CD9" w:rsidRPr="00B66084">
              <w:t xml:space="preserve"> aberrations/alterations</w:t>
            </w:r>
          </w:p>
        </w:tc>
        <w:tc>
          <w:tcPr>
            <w:tcW w:w="1374" w:type="dxa"/>
            <w:vAlign w:val="center"/>
          </w:tcPr>
          <w:p w14:paraId="666B055A" w14:textId="77777777" w:rsidR="00715CD9" w:rsidRPr="00B66084" w:rsidRDefault="00715CD9">
            <w:pPr>
              <w:pStyle w:val="TableText"/>
            </w:pPr>
            <w:r w:rsidRPr="00B66084">
              <w:t>20%</w:t>
            </w:r>
          </w:p>
        </w:tc>
        <w:tc>
          <w:tcPr>
            <w:tcW w:w="1350" w:type="dxa"/>
            <w:vAlign w:val="center"/>
          </w:tcPr>
          <w:p w14:paraId="32B94B20" w14:textId="77777777" w:rsidR="00715CD9" w:rsidRPr="00B66084" w:rsidRDefault="00715CD9">
            <w:pPr>
              <w:pStyle w:val="TableText"/>
            </w:pPr>
            <w:r w:rsidRPr="00B66084">
              <w:t>Average of prevalence studies from submission’s diagnostic section</w:t>
            </w:r>
          </w:p>
        </w:tc>
        <w:tc>
          <w:tcPr>
            <w:tcW w:w="4775" w:type="dxa"/>
            <w:vAlign w:val="center"/>
          </w:tcPr>
          <w:p w14:paraId="0983E704" w14:textId="08A70F2D" w:rsidR="00715CD9" w:rsidRPr="00B66084" w:rsidRDefault="00982B8C">
            <w:pPr>
              <w:pStyle w:val="TableText"/>
            </w:pPr>
            <w:r>
              <w:t xml:space="preserve">The PBAC considered it was likely a prevalence of 20% was an overestimate, </w:t>
            </w:r>
            <w:r w:rsidR="008E2E28">
              <w:t>noting t</w:t>
            </w:r>
            <w:r w:rsidR="00A47BE5">
              <w:t xml:space="preserve">he prevalence in </w:t>
            </w:r>
            <w:proofErr w:type="spellStart"/>
            <w:r w:rsidR="00A47BE5">
              <w:t>eCCA</w:t>
            </w:r>
            <w:proofErr w:type="spellEnd"/>
            <w:r w:rsidR="00A47BE5">
              <w:t xml:space="preserve"> (which accounted for </w:t>
            </w:r>
            <w:r w:rsidR="00C1632F">
              <w:t>~</w:t>
            </w:r>
            <w:r w:rsidR="00A47BE5">
              <w:t>80% of CCA</w:t>
            </w:r>
            <w:r w:rsidR="00C1632F">
              <w:t xml:space="preserve"> cases</w:t>
            </w:r>
            <w:r w:rsidR="00A47BE5">
              <w:t xml:space="preserve">) was &lt;1%. </w:t>
            </w:r>
            <w:r w:rsidR="0034554E">
              <w:t xml:space="preserve"> </w:t>
            </w:r>
          </w:p>
        </w:tc>
      </w:tr>
      <w:tr w:rsidR="0073742F" w:rsidRPr="00217EA0" w14:paraId="29C02499" w14:textId="77777777">
        <w:trPr>
          <w:cantSplit/>
        </w:trPr>
        <w:tc>
          <w:tcPr>
            <w:tcW w:w="9180" w:type="dxa"/>
            <w:gridSpan w:val="4"/>
            <w:vAlign w:val="center"/>
          </w:tcPr>
          <w:p w14:paraId="3F794105" w14:textId="0F556639" w:rsidR="0073742F" w:rsidRPr="0073742F" w:rsidRDefault="0073742F">
            <w:pPr>
              <w:pStyle w:val="TableText"/>
              <w:rPr>
                <w:b/>
                <w:bCs/>
              </w:rPr>
            </w:pPr>
            <w:r w:rsidRPr="0073742F">
              <w:rPr>
                <w:b/>
                <w:bCs/>
              </w:rPr>
              <w:t>Test utilisation</w:t>
            </w:r>
          </w:p>
        </w:tc>
      </w:tr>
      <w:tr w:rsidR="0073742F" w:rsidRPr="00217EA0" w14:paraId="525CF215" w14:textId="77777777">
        <w:trPr>
          <w:cantSplit/>
        </w:trPr>
        <w:tc>
          <w:tcPr>
            <w:tcW w:w="1681" w:type="dxa"/>
            <w:vAlign w:val="center"/>
          </w:tcPr>
          <w:p w14:paraId="4B48DBDF" w14:textId="5ED90F13" w:rsidR="0073742F" w:rsidRPr="00B66084" w:rsidDel="003E5C46" w:rsidRDefault="0073742F" w:rsidP="0073742F">
            <w:pPr>
              <w:pStyle w:val="TableText"/>
            </w:pPr>
            <w:r>
              <w:t>Number of tests</w:t>
            </w:r>
          </w:p>
        </w:tc>
        <w:tc>
          <w:tcPr>
            <w:tcW w:w="1374" w:type="dxa"/>
            <w:vAlign w:val="center"/>
          </w:tcPr>
          <w:p w14:paraId="4527CF21" w14:textId="680D1601" w:rsidR="0073742F" w:rsidRPr="00B66084" w:rsidRDefault="00CD54AD" w:rsidP="0073742F">
            <w:pPr>
              <w:pStyle w:val="TableText"/>
            </w:pPr>
            <w:r w:rsidRPr="00CD54AD">
              <w:t>5.2 tests per patient treated</w:t>
            </w:r>
          </w:p>
        </w:tc>
        <w:tc>
          <w:tcPr>
            <w:tcW w:w="1350" w:type="dxa"/>
            <w:vAlign w:val="center"/>
          </w:tcPr>
          <w:p w14:paraId="23420C04" w14:textId="6D09B2E7" w:rsidR="0073742F" w:rsidRPr="00B66084" w:rsidRDefault="001C33C3" w:rsidP="0073742F">
            <w:pPr>
              <w:pStyle w:val="TableText"/>
            </w:pPr>
            <w:r>
              <w:t>Calculation</w:t>
            </w:r>
          </w:p>
        </w:tc>
        <w:tc>
          <w:tcPr>
            <w:tcW w:w="4775" w:type="dxa"/>
            <w:vAlign w:val="center"/>
          </w:tcPr>
          <w:p w14:paraId="2426ECEF" w14:textId="23C331D9" w:rsidR="00C33B02" w:rsidRDefault="00FF1EF5" w:rsidP="0073742F">
            <w:pPr>
              <w:pStyle w:val="TableText"/>
            </w:pPr>
            <w:r>
              <w:t xml:space="preserve">Based on </w:t>
            </w:r>
            <w:r w:rsidRPr="00FF1EF5">
              <w:t xml:space="preserve">multiplying number of patient-years of </w:t>
            </w:r>
            <w:proofErr w:type="spellStart"/>
            <w:r w:rsidRPr="00FF1EF5">
              <w:t>futibatinib</w:t>
            </w:r>
            <w:proofErr w:type="spellEnd"/>
            <w:r w:rsidRPr="00FF1EF5">
              <w:t xml:space="preserve"> in incident patients by 500% (assuming 20% diagnostic yield</w:t>
            </w:r>
            <w:r w:rsidR="00F27A57">
              <w:t>).</w:t>
            </w:r>
          </w:p>
          <w:p w14:paraId="37D3C5ED" w14:textId="578B43E2" w:rsidR="0073742F" w:rsidRPr="00B66084" w:rsidRDefault="0073742F" w:rsidP="0073742F">
            <w:pPr>
              <w:pStyle w:val="TableText"/>
            </w:pPr>
            <w:r w:rsidRPr="008D6EC2">
              <w:t xml:space="preserve">DUSC noted that the proposed MBS Item Descriptor for the test is applicable only once per lifetime and commented that it would be more appropriate to assume the number of tests be based on the population eligible for second line therapy rather than based on the number of patients treated with </w:t>
            </w:r>
            <w:proofErr w:type="spellStart"/>
            <w:r w:rsidRPr="008D6EC2">
              <w:t>futibatinib</w:t>
            </w:r>
            <w:proofErr w:type="spellEnd"/>
            <w:r w:rsidRPr="008D6EC2">
              <w:t>. Additionally, DUSC commented that it would be likely that reflex testing would occur at diagnosis or before progression to first line therapy.</w:t>
            </w:r>
          </w:p>
        </w:tc>
      </w:tr>
      <w:tr w:rsidR="0073742F" w:rsidRPr="00217EA0" w14:paraId="51FD765D" w14:textId="77777777">
        <w:trPr>
          <w:cantSplit/>
        </w:trPr>
        <w:tc>
          <w:tcPr>
            <w:tcW w:w="9180" w:type="dxa"/>
            <w:gridSpan w:val="4"/>
            <w:vAlign w:val="center"/>
          </w:tcPr>
          <w:p w14:paraId="5D16E288" w14:textId="7E24F20D" w:rsidR="0073742F" w:rsidRPr="00324FF6" w:rsidRDefault="0073742F" w:rsidP="0073742F">
            <w:pPr>
              <w:pStyle w:val="TableText"/>
              <w:rPr>
                <w:b/>
                <w:bCs/>
              </w:rPr>
            </w:pPr>
            <w:r w:rsidRPr="00324FF6">
              <w:rPr>
                <w:b/>
                <w:bCs/>
              </w:rPr>
              <w:t xml:space="preserve">Treatment </w:t>
            </w:r>
            <w:r>
              <w:rPr>
                <w:b/>
                <w:bCs/>
              </w:rPr>
              <w:t>utilisation</w:t>
            </w:r>
            <w:r w:rsidRPr="00324FF6">
              <w:rPr>
                <w:b/>
                <w:bCs/>
              </w:rPr>
              <w:t xml:space="preserve"> </w:t>
            </w:r>
          </w:p>
        </w:tc>
      </w:tr>
      <w:tr w:rsidR="0073742F" w:rsidRPr="00217EA0" w14:paraId="21E98D1F" w14:textId="77777777">
        <w:trPr>
          <w:cantSplit/>
        </w:trPr>
        <w:tc>
          <w:tcPr>
            <w:tcW w:w="1681" w:type="dxa"/>
            <w:vAlign w:val="center"/>
          </w:tcPr>
          <w:p w14:paraId="1B31D998" w14:textId="77777777" w:rsidR="0073742F" w:rsidRPr="00B66084" w:rsidRDefault="0073742F" w:rsidP="0073742F">
            <w:pPr>
              <w:pStyle w:val="TableText"/>
            </w:pPr>
            <w:r w:rsidRPr="00B66084">
              <w:t>Patients electing treatment</w:t>
            </w:r>
          </w:p>
        </w:tc>
        <w:tc>
          <w:tcPr>
            <w:tcW w:w="1374" w:type="dxa"/>
            <w:vAlign w:val="center"/>
          </w:tcPr>
          <w:p w14:paraId="627550D1" w14:textId="7A8C93E9" w:rsidR="0073742F" w:rsidRPr="00B66084" w:rsidRDefault="00F0779A" w:rsidP="0073742F">
            <w:pPr>
              <w:pStyle w:val="TableText"/>
            </w:pPr>
            <w:r w:rsidRPr="00F0779A">
              <w:rPr>
                <w:color w:val="000000"/>
                <w:spacing w:val="53"/>
                <w:shd w:val="solid" w:color="000000" w:fill="000000"/>
                <w:fitText w:val="330" w:id="-694415353"/>
                <w14:textFill>
                  <w14:solidFill>
                    <w14:srgbClr w14:val="000000">
                      <w14:alpha w14:val="100000"/>
                    </w14:srgbClr>
                  </w14:solidFill>
                </w14:textFill>
              </w:rPr>
              <w:t>|||</w:t>
            </w:r>
            <w:r w:rsidRPr="00F0779A">
              <w:rPr>
                <w:color w:val="000000"/>
                <w:spacing w:val="1"/>
                <w:shd w:val="solid" w:color="000000" w:fill="000000"/>
                <w:fitText w:val="330" w:id="-694415353"/>
                <w14:textFill>
                  <w14:solidFill>
                    <w14:srgbClr w14:val="000000">
                      <w14:alpha w14:val="100000"/>
                    </w14:srgbClr>
                  </w14:solidFill>
                </w14:textFill>
              </w:rPr>
              <w:t>|</w:t>
            </w:r>
            <w:r w:rsidR="0073742F" w:rsidRPr="00B66084">
              <w:t>%</w:t>
            </w:r>
          </w:p>
        </w:tc>
        <w:tc>
          <w:tcPr>
            <w:tcW w:w="1350" w:type="dxa"/>
            <w:vAlign w:val="center"/>
          </w:tcPr>
          <w:p w14:paraId="49AA4F65" w14:textId="77777777" w:rsidR="0073742F" w:rsidRPr="00B66084" w:rsidRDefault="0073742F" w:rsidP="0073742F">
            <w:pPr>
              <w:pStyle w:val="TableText"/>
            </w:pPr>
            <w:r w:rsidRPr="00B66084">
              <w:t>Advisory board</w:t>
            </w:r>
          </w:p>
        </w:tc>
        <w:tc>
          <w:tcPr>
            <w:tcW w:w="4775" w:type="dxa"/>
            <w:vAlign w:val="center"/>
          </w:tcPr>
          <w:p w14:paraId="25B4BDFE" w14:textId="77777777" w:rsidR="0073742F" w:rsidRPr="00B66084" w:rsidRDefault="0073742F" w:rsidP="0073742F">
            <w:pPr>
              <w:pStyle w:val="TableText"/>
            </w:pPr>
            <w:r w:rsidRPr="00B66084">
              <w:t xml:space="preserve">With regard to </w:t>
            </w:r>
            <w:proofErr w:type="spellStart"/>
            <w:r w:rsidRPr="00B66084">
              <w:t>ivosidenib</w:t>
            </w:r>
            <w:proofErr w:type="spellEnd"/>
            <w:r w:rsidRPr="00B66084">
              <w:t xml:space="preserve"> (Table 16, </w:t>
            </w:r>
            <w:proofErr w:type="spellStart"/>
            <w:r w:rsidRPr="00B66084">
              <w:t>ivosidenib</w:t>
            </w:r>
            <w:proofErr w:type="spellEnd"/>
            <w:r w:rsidRPr="00B66084">
              <w:t xml:space="preserve"> PSD, July 2024 PBAC meeting), DUSC considered this input was inappropriate. DUSC considered that adjusting for patients progressing to 2L treatment incorporates these patients who elect treatment and applying both inputs unnecessarily decreases the population.  </w:t>
            </w:r>
          </w:p>
        </w:tc>
      </w:tr>
      <w:tr w:rsidR="0073742F" w:rsidRPr="00217EA0" w14:paraId="751927EF" w14:textId="77777777">
        <w:trPr>
          <w:cantSplit/>
        </w:trPr>
        <w:tc>
          <w:tcPr>
            <w:tcW w:w="1681" w:type="dxa"/>
            <w:vAlign w:val="center"/>
          </w:tcPr>
          <w:p w14:paraId="17D79B8E" w14:textId="77777777" w:rsidR="0073742F" w:rsidRPr="00B66084" w:rsidRDefault="0073742F" w:rsidP="0073742F">
            <w:pPr>
              <w:pStyle w:val="TableText"/>
            </w:pPr>
            <w:r w:rsidRPr="00B66084">
              <w:t xml:space="preserve">Duration of </w:t>
            </w:r>
            <w:proofErr w:type="spellStart"/>
            <w:r w:rsidRPr="00B66084">
              <w:t>futibatinib</w:t>
            </w:r>
            <w:proofErr w:type="spellEnd"/>
            <w:r w:rsidRPr="00B66084">
              <w:t xml:space="preserve"> treatment</w:t>
            </w:r>
          </w:p>
        </w:tc>
        <w:tc>
          <w:tcPr>
            <w:tcW w:w="1374" w:type="dxa"/>
            <w:vAlign w:val="center"/>
          </w:tcPr>
          <w:p w14:paraId="45776064" w14:textId="77777777" w:rsidR="0073742F" w:rsidRPr="00B66084" w:rsidRDefault="0073742F" w:rsidP="0073742F">
            <w:pPr>
              <w:pStyle w:val="TableText"/>
            </w:pPr>
            <w:r w:rsidRPr="00B66084">
              <w:t>56.05 weeks</w:t>
            </w:r>
          </w:p>
        </w:tc>
        <w:tc>
          <w:tcPr>
            <w:tcW w:w="1350" w:type="dxa"/>
            <w:vAlign w:val="center"/>
          </w:tcPr>
          <w:p w14:paraId="0FB9B2F3" w14:textId="77777777" w:rsidR="0073742F" w:rsidRPr="00B66084" w:rsidRDefault="0073742F" w:rsidP="0073742F">
            <w:pPr>
              <w:pStyle w:val="TableText"/>
            </w:pPr>
            <w:r w:rsidRPr="00B66084">
              <w:t xml:space="preserve">Calculation </w:t>
            </w:r>
          </w:p>
        </w:tc>
        <w:tc>
          <w:tcPr>
            <w:tcW w:w="4775" w:type="dxa"/>
            <w:vAlign w:val="center"/>
          </w:tcPr>
          <w:p w14:paraId="6212C6DA" w14:textId="65415A87" w:rsidR="0073742F" w:rsidRPr="00B66084" w:rsidRDefault="0073742F" w:rsidP="0073742F">
            <w:pPr>
              <w:pStyle w:val="TableText"/>
            </w:pPr>
            <w:r w:rsidRPr="00B66084">
              <w:t xml:space="preserve">Based on median duration of treatment from the 70 </w:t>
            </w:r>
            <w:proofErr w:type="spellStart"/>
            <w:r w:rsidR="00CA6CB5" w:rsidRPr="00B66084">
              <w:t>futibatinib</w:t>
            </w:r>
            <w:proofErr w:type="spellEnd"/>
            <w:r w:rsidRPr="00B66084">
              <w:t xml:space="preserve"> patients included in the MAIC (12.5 months/380.5 days) adjusted to mean duration based on the proportional duration of treatment between mean (284.6 days) and median (276 days) duration for treatment in the whole trial population (difference of 3.1%), such that 380.5 days × 103.1% = 392.3 days, or 56.05 weeks</w:t>
            </w:r>
          </w:p>
          <w:p w14:paraId="05638A57" w14:textId="77777777" w:rsidR="0073742F" w:rsidRPr="00B66084" w:rsidRDefault="0073742F" w:rsidP="0073742F">
            <w:pPr>
              <w:pStyle w:val="TableText"/>
            </w:pPr>
          </w:p>
          <w:p w14:paraId="56BEE9B8" w14:textId="4B5998F2" w:rsidR="0073742F" w:rsidRPr="00B66084" w:rsidRDefault="0073742F" w:rsidP="0073742F">
            <w:pPr>
              <w:pStyle w:val="TableText"/>
            </w:pPr>
            <w:r w:rsidRPr="00B66084">
              <w:t>The economic model based its estimate of drug acquisition cost on mean extrapolated PFS, which was 57.78 weeks.</w:t>
            </w:r>
            <w:r w:rsidRPr="00B66084">
              <w:rPr>
                <w:rFonts w:eastAsia="Calibri"/>
              </w:rPr>
              <w:t xml:space="preserve"> DUSC considered the treatment duration applied in the economic model and financial estimates should align.</w:t>
            </w:r>
          </w:p>
        </w:tc>
      </w:tr>
      <w:tr w:rsidR="0073742F" w:rsidRPr="00217EA0" w14:paraId="54D37BE1" w14:textId="77777777">
        <w:trPr>
          <w:cantSplit/>
        </w:trPr>
        <w:tc>
          <w:tcPr>
            <w:tcW w:w="9180" w:type="dxa"/>
            <w:gridSpan w:val="4"/>
            <w:vAlign w:val="center"/>
          </w:tcPr>
          <w:p w14:paraId="611DF1D6" w14:textId="77777777" w:rsidR="0073742F" w:rsidRPr="00B66084" w:rsidRDefault="0073742F" w:rsidP="0073742F">
            <w:pPr>
              <w:pStyle w:val="TableText"/>
              <w:keepNext/>
              <w:keepLines/>
              <w:rPr>
                <w:b/>
              </w:rPr>
            </w:pPr>
            <w:r w:rsidRPr="00B66084">
              <w:rPr>
                <w:b/>
              </w:rPr>
              <w:t>Costs</w:t>
            </w:r>
          </w:p>
        </w:tc>
      </w:tr>
      <w:tr w:rsidR="0073742F" w:rsidRPr="00217EA0" w14:paraId="6D8982D4" w14:textId="77777777">
        <w:trPr>
          <w:cantSplit/>
        </w:trPr>
        <w:tc>
          <w:tcPr>
            <w:tcW w:w="1681" w:type="dxa"/>
            <w:tcBorders>
              <w:bottom w:val="nil"/>
            </w:tcBorders>
            <w:vAlign w:val="center"/>
          </w:tcPr>
          <w:p w14:paraId="5044381C" w14:textId="77777777" w:rsidR="0073742F" w:rsidRPr="00B66084" w:rsidRDefault="0073742F" w:rsidP="0073742F">
            <w:pPr>
              <w:pStyle w:val="TableText"/>
              <w:keepNext/>
              <w:keepLines/>
            </w:pPr>
            <w:r w:rsidRPr="00B66084">
              <w:t>MBS costs</w:t>
            </w:r>
          </w:p>
        </w:tc>
        <w:tc>
          <w:tcPr>
            <w:tcW w:w="1374" w:type="dxa"/>
            <w:tcBorders>
              <w:bottom w:val="nil"/>
            </w:tcBorders>
            <w:vAlign w:val="center"/>
          </w:tcPr>
          <w:p w14:paraId="64296E0D" w14:textId="77777777" w:rsidR="0073742F" w:rsidRPr="00B66084" w:rsidRDefault="0073742F" w:rsidP="0073742F">
            <w:pPr>
              <w:pStyle w:val="TableText"/>
              <w:keepNext/>
              <w:keepLines/>
            </w:pPr>
          </w:p>
        </w:tc>
        <w:tc>
          <w:tcPr>
            <w:tcW w:w="1350" w:type="dxa"/>
            <w:tcBorders>
              <w:bottom w:val="nil"/>
            </w:tcBorders>
            <w:vAlign w:val="center"/>
          </w:tcPr>
          <w:p w14:paraId="246FC76F" w14:textId="77777777" w:rsidR="0073742F" w:rsidRPr="00B66084" w:rsidRDefault="0073742F" w:rsidP="0073742F">
            <w:pPr>
              <w:pStyle w:val="TableText"/>
              <w:keepNext/>
              <w:keepLines/>
            </w:pPr>
          </w:p>
        </w:tc>
        <w:tc>
          <w:tcPr>
            <w:tcW w:w="4775" w:type="dxa"/>
            <w:tcBorders>
              <w:bottom w:val="nil"/>
            </w:tcBorders>
            <w:vAlign w:val="center"/>
          </w:tcPr>
          <w:p w14:paraId="6F42B793" w14:textId="77777777" w:rsidR="0073742F" w:rsidRPr="00B66084" w:rsidRDefault="0073742F" w:rsidP="0073742F">
            <w:pPr>
              <w:pStyle w:val="TableText"/>
              <w:keepNext/>
              <w:keepLines/>
            </w:pPr>
          </w:p>
        </w:tc>
      </w:tr>
      <w:tr w:rsidR="0073742F" w:rsidRPr="00217EA0" w14:paraId="4BAE7A29" w14:textId="77777777">
        <w:trPr>
          <w:cantSplit/>
          <w:trHeight w:val="227"/>
        </w:trPr>
        <w:tc>
          <w:tcPr>
            <w:tcW w:w="1681" w:type="dxa"/>
            <w:tcBorders>
              <w:top w:val="nil"/>
              <w:bottom w:val="nil"/>
            </w:tcBorders>
            <w:vAlign w:val="center"/>
          </w:tcPr>
          <w:p w14:paraId="4F6CE5BE" w14:textId="173AD918" w:rsidR="0073742F" w:rsidRPr="00B66084" w:rsidRDefault="0073742F" w:rsidP="0073742F">
            <w:pPr>
              <w:pStyle w:val="TableText"/>
              <w:keepNext/>
              <w:keepLines/>
            </w:pPr>
            <w:r w:rsidRPr="00B66084">
              <w:t xml:space="preserve"> </w:t>
            </w:r>
            <w:r w:rsidRPr="003E5C46">
              <w:rPr>
                <w:i/>
                <w:iCs/>
              </w:rPr>
              <w:t>FGFR2</w:t>
            </w:r>
            <w:r w:rsidRPr="00B66084">
              <w:t xml:space="preserve"> RNA testing</w:t>
            </w:r>
          </w:p>
        </w:tc>
        <w:tc>
          <w:tcPr>
            <w:tcW w:w="1374" w:type="dxa"/>
            <w:tcBorders>
              <w:top w:val="nil"/>
              <w:bottom w:val="nil"/>
            </w:tcBorders>
            <w:vAlign w:val="center"/>
          </w:tcPr>
          <w:p w14:paraId="1FB68510" w14:textId="77777777" w:rsidR="0073742F" w:rsidRPr="00B66084" w:rsidRDefault="0073742F" w:rsidP="0073742F">
            <w:pPr>
              <w:pStyle w:val="TableText"/>
              <w:keepNext/>
              <w:keepLines/>
            </w:pPr>
            <w:r w:rsidRPr="00B66084">
              <w:t>$350</w:t>
            </w:r>
          </w:p>
        </w:tc>
        <w:tc>
          <w:tcPr>
            <w:tcW w:w="1350" w:type="dxa"/>
            <w:tcBorders>
              <w:top w:val="nil"/>
              <w:bottom w:val="nil"/>
            </w:tcBorders>
            <w:vAlign w:val="center"/>
          </w:tcPr>
          <w:p w14:paraId="381B84E3" w14:textId="77777777" w:rsidR="0073742F" w:rsidRPr="00B66084" w:rsidRDefault="0073742F" w:rsidP="0073742F">
            <w:pPr>
              <w:pStyle w:val="TableText"/>
              <w:keepNext/>
              <w:keepLines/>
            </w:pPr>
            <w:r w:rsidRPr="00B66084">
              <w:t>Proposed</w:t>
            </w:r>
          </w:p>
        </w:tc>
        <w:tc>
          <w:tcPr>
            <w:tcW w:w="4775" w:type="dxa"/>
            <w:tcBorders>
              <w:top w:val="nil"/>
              <w:bottom w:val="nil"/>
            </w:tcBorders>
            <w:vAlign w:val="center"/>
          </w:tcPr>
          <w:p w14:paraId="12C5DCA6" w14:textId="47A71E59" w:rsidR="0073742F" w:rsidRPr="00B66084" w:rsidRDefault="0073742F" w:rsidP="0073742F">
            <w:pPr>
              <w:pStyle w:val="TableText"/>
              <w:keepNext/>
              <w:keepLines/>
            </w:pPr>
            <w:r w:rsidRPr="00B66084">
              <w:t xml:space="preserve">The financial estimates do not account for </w:t>
            </w:r>
            <w:proofErr w:type="spellStart"/>
            <w:r w:rsidRPr="00B66084">
              <w:t>Omico</w:t>
            </w:r>
            <w:proofErr w:type="spellEnd"/>
            <w:r w:rsidRPr="00B66084">
              <w:t xml:space="preserve"> testing. This was reasonable</w:t>
            </w:r>
            <w:r>
              <w:t>, as i</w:t>
            </w:r>
            <w:r w:rsidRPr="00B66084">
              <w:t xml:space="preserve">t was unlikely testing via </w:t>
            </w:r>
            <w:proofErr w:type="spellStart"/>
            <w:r w:rsidRPr="00B66084">
              <w:t>Omico</w:t>
            </w:r>
            <w:proofErr w:type="spellEnd"/>
            <w:r w:rsidRPr="00B66084">
              <w:t xml:space="preserve"> would continue at the same rate after MBS item recommended. Moreover, patients would be able to claim the MBS rebate even if service is provided through </w:t>
            </w:r>
            <w:proofErr w:type="spellStart"/>
            <w:r w:rsidRPr="00B66084">
              <w:t>Omico</w:t>
            </w:r>
            <w:proofErr w:type="spellEnd"/>
            <w:r w:rsidRPr="00B66084">
              <w:t xml:space="preserve"> providers as long as the provider is eligible and as such the distribution of </w:t>
            </w:r>
            <w:proofErr w:type="spellStart"/>
            <w:r w:rsidRPr="00B66084">
              <w:t>Omico</w:t>
            </w:r>
            <w:proofErr w:type="spellEnd"/>
            <w:r w:rsidRPr="00B66084">
              <w:t xml:space="preserve"> relative to non-</w:t>
            </w:r>
            <w:proofErr w:type="spellStart"/>
            <w:r w:rsidRPr="00B66084">
              <w:t>Omico</w:t>
            </w:r>
            <w:proofErr w:type="spellEnd"/>
            <w:r w:rsidRPr="00B66084">
              <w:t xml:space="preserve"> would not impact the financial estimates.</w:t>
            </w:r>
          </w:p>
        </w:tc>
      </w:tr>
      <w:tr w:rsidR="0073742F" w:rsidRPr="00217EA0" w14:paraId="5C465AF5" w14:textId="77777777">
        <w:trPr>
          <w:cantSplit/>
          <w:trHeight w:val="227"/>
        </w:trPr>
        <w:tc>
          <w:tcPr>
            <w:tcW w:w="1681" w:type="dxa"/>
            <w:tcBorders>
              <w:top w:val="nil"/>
              <w:bottom w:val="nil"/>
            </w:tcBorders>
            <w:vAlign w:val="center"/>
          </w:tcPr>
          <w:p w14:paraId="7F915706" w14:textId="77777777" w:rsidR="0073742F" w:rsidRPr="00B66084" w:rsidRDefault="0073742F" w:rsidP="0073742F">
            <w:pPr>
              <w:pStyle w:val="TableText"/>
              <w:keepNext/>
              <w:keepLines/>
              <w:ind w:left="175"/>
            </w:pPr>
            <w:r w:rsidRPr="00B66084">
              <w:t xml:space="preserve">Ophthalmological monitoring </w:t>
            </w:r>
          </w:p>
        </w:tc>
        <w:tc>
          <w:tcPr>
            <w:tcW w:w="1374" w:type="dxa"/>
            <w:tcBorders>
              <w:top w:val="nil"/>
              <w:bottom w:val="nil"/>
            </w:tcBorders>
            <w:vAlign w:val="center"/>
          </w:tcPr>
          <w:p w14:paraId="05C4831C" w14:textId="77777777" w:rsidR="0073742F" w:rsidRPr="00B66084" w:rsidRDefault="0073742F" w:rsidP="0073742F">
            <w:pPr>
              <w:pStyle w:val="TableText"/>
              <w:keepNext/>
              <w:keepLines/>
            </w:pPr>
            <w:r w:rsidRPr="00B66084">
              <w:t>$45.50</w:t>
            </w:r>
          </w:p>
        </w:tc>
        <w:tc>
          <w:tcPr>
            <w:tcW w:w="1350" w:type="dxa"/>
            <w:tcBorders>
              <w:top w:val="nil"/>
              <w:bottom w:val="nil"/>
            </w:tcBorders>
            <w:vAlign w:val="center"/>
          </w:tcPr>
          <w:p w14:paraId="5EE67B72" w14:textId="77777777" w:rsidR="0073742F" w:rsidRPr="00B66084" w:rsidRDefault="0073742F" w:rsidP="0073742F">
            <w:pPr>
              <w:pStyle w:val="TableText"/>
              <w:keepNext/>
              <w:keepLines/>
            </w:pPr>
            <w:r w:rsidRPr="00B66084">
              <w:t>MBS 11219</w:t>
            </w:r>
          </w:p>
        </w:tc>
        <w:tc>
          <w:tcPr>
            <w:tcW w:w="4775" w:type="dxa"/>
            <w:vMerge w:val="restart"/>
            <w:tcBorders>
              <w:top w:val="nil"/>
            </w:tcBorders>
            <w:vAlign w:val="center"/>
          </w:tcPr>
          <w:p w14:paraId="4B1AC00C" w14:textId="77777777" w:rsidR="0073742F" w:rsidRPr="00B66084" w:rsidRDefault="0073742F" w:rsidP="0073742F">
            <w:pPr>
              <w:pStyle w:val="TableText"/>
              <w:keepNext/>
              <w:keepLines/>
            </w:pPr>
            <w:r w:rsidRPr="00B66084">
              <w:t xml:space="preserve">Consistent with the economic evaluation. </w:t>
            </w:r>
          </w:p>
        </w:tc>
      </w:tr>
      <w:tr w:rsidR="0073742F" w:rsidRPr="00217EA0" w14:paraId="7B54D240" w14:textId="77777777">
        <w:trPr>
          <w:cantSplit/>
          <w:trHeight w:val="227"/>
        </w:trPr>
        <w:tc>
          <w:tcPr>
            <w:tcW w:w="1681" w:type="dxa"/>
            <w:tcBorders>
              <w:top w:val="nil"/>
              <w:bottom w:val="nil"/>
            </w:tcBorders>
            <w:vAlign w:val="center"/>
          </w:tcPr>
          <w:p w14:paraId="121C579A" w14:textId="77777777" w:rsidR="0073742F" w:rsidRPr="00217EA0" w:rsidRDefault="0073742F" w:rsidP="0073742F">
            <w:pPr>
              <w:pStyle w:val="TableText"/>
              <w:ind w:left="175"/>
            </w:pPr>
            <w:r w:rsidRPr="00217EA0">
              <w:t>Chemotherapy admin</w:t>
            </w:r>
          </w:p>
        </w:tc>
        <w:tc>
          <w:tcPr>
            <w:tcW w:w="1374" w:type="dxa"/>
            <w:tcBorders>
              <w:top w:val="nil"/>
              <w:bottom w:val="nil"/>
            </w:tcBorders>
            <w:vAlign w:val="center"/>
          </w:tcPr>
          <w:p w14:paraId="64596651" w14:textId="77777777" w:rsidR="0073742F" w:rsidRPr="00217EA0" w:rsidRDefault="0073742F" w:rsidP="0073742F">
            <w:pPr>
              <w:pStyle w:val="TableText"/>
            </w:pPr>
            <w:r w:rsidRPr="00217EA0">
              <w:t>$123.05</w:t>
            </w:r>
          </w:p>
        </w:tc>
        <w:tc>
          <w:tcPr>
            <w:tcW w:w="1350" w:type="dxa"/>
            <w:tcBorders>
              <w:top w:val="nil"/>
              <w:bottom w:val="nil"/>
            </w:tcBorders>
            <w:vAlign w:val="center"/>
          </w:tcPr>
          <w:p w14:paraId="54B7142E" w14:textId="77777777" w:rsidR="0073742F" w:rsidRPr="00217EA0" w:rsidRDefault="0073742F" w:rsidP="0073742F">
            <w:pPr>
              <w:pStyle w:val="TableText"/>
            </w:pPr>
            <w:r w:rsidRPr="00217EA0">
              <w:t>MBS 13950</w:t>
            </w:r>
          </w:p>
        </w:tc>
        <w:tc>
          <w:tcPr>
            <w:tcW w:w="4775" w:type="dxa"/>
            <w:vMerge/>
            <w:vAlign w:val="center"/>
          </w:tcPr>
          <w:p w14:paraId="0E8E11FD" w14:textId="77777777" w:rsidR="0073742F" w:rsidRPr="00217EA0" w:rsidRDefault="0073742F" w:rsidP="0073742F">
            <w:pPr>
              <w:pStyle w:val="TableText"/>
              <w:rPr>
                <w:i/>
                <w:iCs/>
              </w:rPr>
            </w:pPr>
          </w:p>
        </w:tc>
      </w:tr>
      <w:tr w:rsidR="0073742F" w:rsidRPr="00217EA0" w14:paraId="3914B03E" w14:textId="77777777">
        <w:trPr>
          <w:cantSplit/>
          <w:trHeight w:val="227"/>
        </w:trPr>
        <w:tc>
          <w:tcPr>
            <w:tcW w:w="1681" w:type="dxa"/>
            <w:tcBorders>
              <w:top w:val="nil"/>
              <w:bottom w:val="nil"/>
            </w:tcBorders>
            <w:vAlign w:val="center"/>
          </w:tcPr>
          <w:p w14:paraId="0012DC10" w14:textId="77777777" w:rsidR="0073742F" w:rsidRPr="00217EA0" w:rsidRDefault="0073742F" w:rsidP="0073742F">
            <w:pPr>
              <w:pStyle w:val="TableText"/>
              <w:ind w:left="175"/>
            </w:pPr>
            <w:r w:rsidRPr="00217EA0">
              <w:t>Insertion of CVAD</w:t>
            </w:r>
          </w:p>
        </w:tc>
        <w:tc>
          <w:tcPr>
            <w:tcW w:w="1374" w:type="dxa"/>
            <w:tcBorders>
              <w:top w:val="nil"/>
              <w:bottom w:val="nil"/>
            </w:tcBorders>
            <w:vAlign w:val="center"/>
          </w:tcPr>
          <w:p w14:paraId="6E90FA32" w14:textId="77777777" w:rsidR="0073742F" w:rsidRPr="00217EA0" w:rsidRDefault="0073742F" w:rsidP="0073742F">
            <w:pPr>
              <w:pStyle w:val="TableText"/>
            </w:pPr>
            <w:r w:rsidRPr="00217EA0">
              <w:t>$310.35</w:t>
            </w:r>
          </w:p>
        </w:tc>
        <w:tc>
          <w:tcPr>
            <w:tcW w:w="1350" w:type="dxa"/>
            <w:tcBorders>
              <w:top w:val="nil"/>
              <w:bottom w:val="nil"/>
            </w:tcBorders>
            <w:vAlign w:val="center"/>
          </w:tcPr>
          <w:p w14:paraId="4ADB4CB2" w14:textId="77777777" w:rsidR="0073742F" w:rsidRPr="00217EA0" w:rsidRDefault="0073742F" w:rsidP="0073742F">
            <w:pPr>
              <w:pStyle w:val="TableText"/>
            </w:pPr>
            <w:r w:rsidRPr="00217EA0">
              <w:t>MBS 34528</w:t>
            </w:r>
          </w:p>
        </w:tc>
        <w:tc>
          <w:tcPr>
            <w:tcW w:w="4775" w:type="dxa"/>
            <w:vMerge/>
            <w:vAlign w:val="center"/>
          </w:tcPr>
          <w:p w14:paraId="5A1A2BF1" w14:textId="77777777" w:rsidR="0073742F" w:rsidRPr="00217EA0" w:rsidRDefault="0073742F" w:rsidP="0073742F">
            <w:pPr>
              <w:pStyle w:val="TableText"/>
            </w:pPr>
          </w:p>
        </w:tc>
      </w:tr>
      <w:tr w:rsidR="0073742F" w:rsidRPr="00217EA0" w14:paraId="01A4CA4F" w14:textId="77777777">
        <w:trPr>
          <w:cantSplit/>
          <w:trHeight w:val="227"/>
        </w:trPr>
        <w:tc>
          <w:tcPr>
            <w:tcW w:w="1681" w:type="dxa"/>
            <w:tcBorders>
              <w:top w:val="nil"/>
              <w:bottom w:val="nil"/>
            </w:tcBorders>
            <w:vAlign w:val="center"/>
          </w:tcPr>
          <w:p w14:paraId="69B9FF61" w14:textId="77777777" w:rsidR="0073742F" w:rsidRPr="00217EA0" w:rsidRDefault="0073742F" w:rsidP="0073742F">
            <w:pPr>
              <w:pStyle w:val="TableText"/>
              <w:ind w:left="175"/>
            </w:pPr>
            <w:r w:rsidRPr="00217EA0">
              <w:t>Removal of CVAD</w:t>
            </w:r>
          </w:p>
        </w:tc>
        <w:tc>
          <w:tcPr>
            <w:tcW w:w="1374" w:type="dxa"/>
            <w:tcBorders>
              <w:top w:val="nil"/>
              <w:bottom w:val="nil"/>
            </w:tcBorders>
            <w:vAlign w:val="center"/>
          </w:tcPr>
          <w:p w14:paraId="1F8729AC" w14:textId="77777777" w:rsidR="0073742F" w:rsidRPr="00217EA0" w:rsidRDefault="0073742F" w:rsidP="0073742F">
            <w:pPr>
              <w:pStyle w:val="TableText"/>
            </w:pPr>
            <w:r w:rsidRPr="00217EA0">
              <w:t>$232.60</w:t>
            </w:r>
          </w:p>
        </w:tc>
        <w:tc>
          <w:tcPr>
            <w:tcW w:w="1350" w:type="dxa"/>
            <w:tcBorders>
              <w:top w:val="nil"/>
              <w:bottom w:val="nil"/>
            </w:tcBorders>
            <w:vAlign w:val="center"/>
          </w:tcPr>
          <w:p w14:paraId="1F566183" w14:textId="77777777" w:rsidR="0073742F" w:rsidRPr="00217EA0" w:rsidRDefault="0073742F" w:rsidP="0073742F">
            <w:pPr>
              <w:pStyle w:val="TableText"/>
            </w:pPr>
            <w:r w:rsidRPr="00217EA0">
              <w:t>MBS 34530</w:t>
            </w:r>
          </w:p>
        </w:tc>
        <w:tc>
          <w:tcPr>
            <w:tcW w:w="4775" w:type="dxa"/>
            <w:vMerge/>
            <w:vAlign w:val="center"/>
          </w:tcPr>
          <w:p w14:paraId="4FE790A4" w14:textId="77777777" w:rsidR="0073742F" w:rsidRPr="00217EA0" w:rsidRDefault="0073742F" w:rsidP="0073742F">
            <w:pPr>
              <w:pStyle w:val="TableText"/>
            </w:pPr>
          </w:p>
        </w:tc>
      </w:tr>
      <w:tr w:rsidR="0073742F" w:rsidRPr="00217EA0" w14:paraId="0B9FE768" w14:textId="77777777">
        <w:trPr>
          <w:cantSplit/>
          <w:trHeight w:val="227"/>
        </w:trPr>
        <w:tc>
          <w:tcPr>
            <w:tcW w:w="1681" w:type="dxa"/>
            <w:tcBorders>
              <w:top w:val="nil"/>
              <w:bottom w:val="nil"/>
            </w:tcBorders>
            <w:vAlign w:val="center"/>
          </w:tcPr>
          <w:p w14:paraId="29F1ED4D" w14:textId="77777777" w:rsidR="0073742F" w:rsidRPr="00217EA0" w:rsidRDefault="0073742F" w:rsidP="0073742F">
            <w:pPr>
              <w:pStyle w:val="TableText"/>
              <w:ind w:left="175"/>
            </w:pPr>
            <w:r w:rsidRPr="00217EA0">
              <w:t xml:space="preserve">Anaesthesia </w:t>
            </w:r>
          </w:p>
        </w:tc>
        <w:tc>
          <w:tcPr>
            <w:tcW w:w="1374" w:type="dxa"/>
            <w:tcBorders>
              <w:top w:val="nil"/>
              <w:bottom w:val="nil"/>
            </w:tcBorders>
            <w:vAlign w:val="center"/>
          </w:tcPr>
          <w:p w14:paraId="41296A15" w14:textId="77777777" w:rsidR="0073742F" w:rsidRPr="00217EA0" w:rsidRDefault="0073742F" w:rsidP="0073742F">
            <w:pPr>
              <w:pStyle w:val="TableText"/>
            </w:pPr>
            <w:r w:rsidRPr="00217EA0">
              <w:t>$90.20</w:t>
            </w:r>
          </w:p>
        </w:tc>
        <w:tc>
          <w:tcPr>
            <w:tcW w:w="1350" w:type="dxa"/>
            <w:tcBorders>
              <w:top w:val="nil"/>
              <w:bottom w:val="nil"/>
            </w:tcBorders>
            <w:vAlign w:val="center"/>
          </w:tcPr>
          <w:p w14:paraId="6CD77511" w14:textId="77777777" w:rsidR="0073742F" w:rsidRPr="00217EA0" w:rsidRDefault="0073742F" w:rsidP="0073742F">
            <w:pPr>
              <w:pStyle w:val="TableText"/>
            </w:pPr>
            <w:r w:rsidRPr="00217EA0">
              <w:t>MBS 20400+23010</w:t>
            </w:r>
          </w:p>
        </w:tc>
        <w:tc>
          <w:tcPr>
            <w:tcW w:w="4775" w:type="dxa"/>
            <w:vMerge/>
            <w:vAlign w:val="center"/>
          </w:tcPr>
          <w:p w14:paraId="20B2EFA2" w14:textId="77777777" w:rsidR="0073742F" w:rsidRPr="00217EA0" w:rsidRDefault="0073742F" w:rsidP="0073742F">
            <w:pPr>
              <w:pStyle w:val="TableText"/>
            </w:pPr>
          </w:p>
        </w:tc>
      </w:tr>
      <w:tr w:rsidR="0073742F" w:rsidRPr="00217EA0" w14:paraId="4931AF36" w14:textId="77777777">
        <w:trPr>
          <w:cantSplit/>
          <w:trHeight w:val="227"/>
        </w:trPr>
        <w:tc>
          <w:tcPr>
            <w:tcW w:w="1681" w:type="dxa"/>
            <w:tcBorders>
              <w:top w:val="nil"/>
            </w:tcBorders>
            <w:vAlign w:val="center"/>
          </w:tcPr>
          <w:p w14:paraId="107D342F" w14:textId="77777777" w:rsidR="0073742F" w:rsidRPr="00217EA0" w:rsidRDefault="0073742F" w:rsidP="0073742F">
            <w:pPr>
              <w:pStyle w:val="TableText"/>
              <w:ind w:left="175"/>
            </w:pPr>
            <w:r w:rsidRPr="00217EA0">
              <w:t>Cleaning of CVAD</w:t>
            </w:r>
          </w:p>
        </w:tc>
        <w:tc>
          <w:tcPr>
            <w:tcW w:w="1374" w:type="dxa"/>
            <w:tcBorders>
              <w:top w:val="nil"/>
            </w:tcBorders>
            <w:vAlign w:val="center"/>
          </w:tcPr>
          <w:p w14:paraId="2E47B9C7" w14:textId="77777777" w:rsidR="0073742F" w:rsidRPr="00217EA0" w:rsidRDefault="0073742F" w:rsidP="0073742F">
            <w:pPr>
              <w:pStyle w:val="TableText"/>
            </w:pPr>
            <w:r w:rsidRPr="00217EA0">
              <w:t>$59.80</w:t>
            </w:r>
          </w:p>
        </w:tc>
        <w:tc>
          <w:tcPr>
            <w:tcW w:w="1350" w:type="dxa"/>
            <w:tcBorders>
              <w:top w:val="nil"/>
            </w:tcBorders>
            <w:vAlign w:val="center"/>
          </w:tcPr>
          <w:p w14:paraId="10AEE4CF" w14:textId="77777777" w:rsidR="0073742F" w:rsidRPr="00217EA0" w:rsidRDefault="0073742F" w:rsidP="0073742F">
            <w:pPr>
              <w:pStyle w:val="TableText"/>
            </w:pPr>
            <w:r w:rsidRPr="00217EA0">
              <w:t>MBS 14221</w:t>
            </w:r>
          </w:p>
        </w:tc>
        <w:tc>
          <w:tcPr>
            <w:tcW w:w="4775" w:type="dxa"/>
            <w:vMerge/>
            <w:vAlign w:val="center"/>
          </w:tcPr>
          <w:p w14:paraId="208C80B0" w14:textId="77777777" w:rsidR="0073742F" w:rsidRPr="00217EA0" w:rsidRDefault="0073742F" w:rsidP="0073742F">
            <w:pPr>
              <w:pStyle w:val="TableText"/>
            </w:pPr>
          </w:p>
        </w:tc>
      </w:tr>
    </w:tbl>
    <w:p w14:paraId="121B8B34" w14:textId="77777777" w:rsidR="00715CD9" w:rsidRPr="00217EA0" w:rsidRDefault="00715CD9" w:rsidP="00715CD9">
      <w:pPr>
        <w:pStyle w:val="TableFooter"/>
      </w:pPr>
      <w:r w:rsidRPr="00217EA0">
        <w:t>Source: Tables 4.1-4.4, pp229-233 of the submission and attached financial spreadsheet.</w:t>
      </w:r>
    </w:p>
    <w:p w14:paraId="45B80289" w14:textId="0274C496" w:rsidR="00715CD9" w:rsidRPr="00217EA0" w:rsidRDefault="00715CD9" w:rsidP="00715CD9">
      <w:pPr>
        <w:pStyle w:val="TableFooter"/>
      </w:pPr>
      <w:r w:rsidRPr="00217EA0">
        <w:t>BTC = biliary tract cancer; CVAD = central venous access device; DUSC = drug utilisation sub-committee; EHCC/</w:t>
      </w:r>
      <w:proofErr w:type="spellStart"/>
      <w:r w:rsidRPr="00217EA0">
        <w:t>eCCA</w:t>
      </w:r>
      <w:proofErr w:type="spellEnd"/>
      <w:r w:rsidRPr="00217EA0">
        <w:t xml:space="preserve"> = extra-hepatic cholangiocarcinoma; </w:t>
      </w:r>
      <w:r w:rsidR="003E5C46" w:rsidRPr="003E5C46">
        <w:rPr>
          <w:i/>
          <w:iCs/>
        </w:rPr>
        <w:t>FGFR2</w:t>
      </w:r>
      <w:r w:rsidRPr="00217EA0">
        <w:t xml:space="preserve"> = fibroblast growth factor receptor 2; IHCC/</w:t>
      </w:r>
      <w:proofErr w:type="spellStart"/>
      <w:r w:rsidRPr="00217EA0">
        <w:t>iCCA</w:t>
      </w:r>
      <w:proofErr w:type="spellEnd"/>
      <w:r w:rsidRPr="00217EA0">
        <w:t xml:space="preserve"> = intra-hepatic cholangiocarcinoma; MBS = Medicare Benefits Schedule; PBS = Pharmaceutical Benefits Scheme; PSD = Public Summary Document. RNA = ribonucleic acid</w:t>
      </w:r>
      <w:r w:rsidR="00487D59">
        <w:t xml:space="preserve"> </w:t>
      </w:r>
    </w:p>
    <w:p w14:paraId="3F4627E6" w14:textId="785EC898" w:rsidR="00715CD9" w:rsidRPr="002561A2" w:rsidRDefault="00715CD9" w:rsidP="00715CD9">
      <w:pPr>
        <w:pStyle w:val="ListParagraph"/>
        <w:rPr>
          <w:color w:val="auto"/>
        </w:rPr>
      </w:pPr>
      <w:r w:rsidRPr="002561A2">
        <w:rPr>
          <w:color w:val="auto"/>
        </w:rPr>
        <w:t xml:space="preserve">The submission assumed that in addition to the </w:t>
      </w:r>
      <w:r w:rsidR="00053A8A">
        <w:rPr>
          <w:color w:val="auto"/>
        </w:rPr>
        <w:t>&lt;</w:t>
      </w:r>
      <w:r w:rsidR="007A3B3E">
        <w:rPr>
          <w:color w:val="auto"/>
        </w:rPr>
        <w:t> </w:t>
      </w:r>
      <w:r w:rsidR="00053A8A">
        <w:rPr>
          <w:color w:val="auto"/>
        </w:rPr>
        <w:t xml:space="preserve">500 </w:t>
      </w:r>
      <w:r w:rsidRPr="002561A2">
        <w:rPr>
          <w:color w:val="auto"/>
        </w:rPr>
        <w:t xml:space="preserve">incident patients treated in </w:t>
      </w:r>
      <w:r w:rsidR="00BF4C1E">
        <w:rPr>
          <w:color w:val="auto"/>
        </w:rPr>
        <w:t>Y</w:t>
      </w:r>
      <w:r w:rsidRPr="002561A2">
        <w:rPr>
          <w:color w:val="auto"/>
        </w:rPr>
        <w:t>ear</w:t>
      </w:r>
      <w:r w:rsidR="007A3B3E">
        <w:rPr>
          <w:color w:val="auto"/>
        </w:rPr>
        <w:t> </w:t>
      </w:r>
      <w:r w:rsidRPr="002561A2">
        <w:rPr>
          <w:color w:val="auto"/>
        </w:rPr>
        <w:t xml:space="preserve">1, </w:t>
      </w:r>
      <w:r w:rsidR="00053A8A">
        <w:rPr>
          <w:color w:val="auto"/>
        </w:rPr>
        <w:t>&lt;</w:t>
      </w:r>
      <w:r w:rsidR="007A3B3E">
        <w:rPr>
          <w:color w:val="auto"/>
        </w:rPr>
        <w:t> </w:t>
      </w:r>
      <w:r w:rsidR="00053A8A">
        <w:rPr>
          <w:color w:val="auto"/>
        </w:rPr>
        <w:t>500</w:t>
      </w:r>
      <w:r w:rsidR="00053A8A" w:rsidRPr="002561A2">
        <w:rPr>
          <w:color w:val="auto"/>
        </w:rPr>
        <w:t xml:space="preserve"> </w:t>
      </w:r>
      <w:r w:rsidRPr="002561A2">
        <w:rPr>
          <w:color w:val="auto"/>
        </w:rPr>
        <w:t xml:space="preserve">grandfathered patients would be treated. For the </w:t>
      </w:r>
      <w:r w:rsidR="00053A8A">
        <w:rPr>
          <w:color w:val="auto"/>
        </w:rPr>
        <w:t>&lt;</w:t>
      </w:r>
      <w:r w:rsidR="007A3B3E">
        <w:rPr>
          <w:color w:val="auto"/>
        </w:rPr>
        <w:t> </w:t>
      </w:r>
      <w:r w:rsidR="00053A8A">
        <w:rPr>
          <w:color w:val="auto"/>
        </w:rPr>
        <w:t xml:space="preserve">500 </w:t>
      </w:r>
      <w:r w:rsidRPr="002561A2">
        <w:rPr>
          <w:color w:val="auto"/>
        </w:rPr>
        <w:t xml:space="preserve">grandfathered patients, it was estimated that time on PBS funded </w:t>
      </w:r>
      <w:proofErr w:type="spellStart"/>
      <w:r w:rsidRPr="002561A2">
        <w:rPr>
          <w:color w:val="auto"/>
        </w:rPr>
        <w:t>futibatinib</w:t>
      </w:r>
      <w:proofErr w:type="spellEnd"/>
      <w:r w:rsidRPr="002561A2">
        <w:rPr>
          <w:color w:val="auto"/>
        </w:rPr>
        <w:t xml:space="preserve"> would be six months (26.09 weeks). </w:t>
      </w:r>
    </w:p>
    <w:p w14:paraId="01756C23" w14:textId="77777777" w:rsidR="00715CD9" w:rsidRPr="00217EA0" w:rsidRDefault="00715CD9" w:rsidP="00715CD9">
      <w:pPr>
        <w:pStyle w:val="ListParagraph"/>
        <w:rPr>
          <w:color w:val="auto"/>
        </w:rPr>
      </w:pPr>
      <w:r w:rsidRPr="00217EA0">
        <w:rPr>
          <w:color w:val="auto"/>
        </w:rPr>
        <w:t>The submission noted that in the economic model, time to treatment discontinuation was set to PFS, and thus the median duration of treatment is 12.5 months (380.5 days) using the population from the MAIC (n=70), however the mean duration of treatment is not available from the MAIC population. The submission noted that the duration of treatment for all treated patients (N=103), was a median of 276.0 days and the mean was 284.6 days, a 3.1% difference. As such, the submission assumed a similar relationship between the mean and median duration of treatment in the MAIC and estimated a mean duration of 392.3 days (56.05 weeks) by multiplying median days by 103.1% (380.5 * 103.1%).</w:t>
      </w:r>
    </w:p>
    <w:p w14:paraId="10C23C6E" w14:textId="67426E85" w:rsidR="00715CD9" w:rsidRPr="005639BA" w:rsidRDefault="00715CD9" w:rsidP="00715CD9">
      <w:pPr>
        <w:pStyle w:val="ListParagraph"/>
        <w:rPr>
          <w:color w:val="auto"/>
        </w:rPr>
      </w:pPr>
      <w:r w:rsidRPr="005639BA">
        <w:rPr>
          <w:color w:val="auto"/>
        </w:rPr>
        <w:t xml:space="preserve">However, the economic evaluation was based on mean PFS not median duration of treatment. During the evaluation, this was back calculated by summing all of the per cycle PFS probabilities in the </w:t>
      </w:r>
      <w:proofErr w:type="spellStart"/>
      <w:r w:rsidRPr="005639BA">
        <w:rPr>
          <w:color w:val="auto"/>
        </w:rPr>
        <w:t>futibatinib</w:t>
      </w:r>
      <w:proofErr w:type="spellEnd"/>
      <w:r w:rsidRPr="005639BA">
        <w:rPr>
          <w:color w:val="auto"/>
        </w:rPr>
        <w:t xml:space="preserve"> arm and estimated to be 19.26 three-week cycles, or 57.78 weeks (404.46 days). Consequently, the</w:t>
      </w:r>
      <w:r w:rsidR="002561A2">
        <w:rPr>
          <w:color w:val="auto"/>
        </w:rPr>
        <w:t xml:space="preserve"> evaluation considered that the</w:t>
      </w:r>
      <w:r w:rsidRPr="005639BA">
        <w:rPr>
          <w:color w:val="auto"/>
        </w:rPr>
        <w:t xml:space="preserve"> duration of treatment was underestimated relative to that estimated in the economic evaluation</w:t>
      </w:r>
      <w:r w:rsidR="005639BA" w:rsidRPr="005639BA">
        <w:rPr>
          <w:color w:val="auto"/>
        </w:rPr>
        <w:t>.</w:t>
      </w:r>
    </w:p>
    <w:p w14:paraId="069506E8" w14:textId="0A26CE3D" w:rsidR="00715CD9" w:rsidRPr="008A2F67" w:rsidRDefault="00715CD9" w:rsidP="00715CD9">
      <w:pPr>
        <w:pStyle w:val="ListParagraph"/>
      </w:pPr>
      <w:r w:rsidRPr="008A2F67">
        <w:t xml:space="preserve">Consistent with the economic model, the RDI of </w:t>
      </w:r>
      <w:proofErr w:type="spellStart"/>
      <w:r w:rsidRPr="008A2F67">
        <w:t>futibatinib</w:t>
      </w:r>
      <w:proofErr w:type="spellEnd"/>
      <w:r w:rsidRPr="008A2F67">
        <w:t xml:space="preserve"> was assumed to be 83.26% in the financial estimates, applied to both incident and grandfathered patients. </w:t>
      </w:r>
    </w:p>
    <w:p w14:paraId="1E36A114" w14:textId="77777777" w:rsidR="00715CD9" w:rsidRPr="00217EA0" w:rsidRDefault="00715CD9" w:rsidP="00715CD9">
      <w:pPr>
        <w:pStyle w:val="ListParagraph"/>
        <w:rPr>
          <w:color w:val="auto"/>
        </w:rPr>
      </w:pPr>
      <w:r w:rsidRPr="00217EA0">
        <w:rPr>
          <w:color w:val="auto"/>
        </w:rPr>
        <w:t xml:space="preserve">The submission’s estimated average scripts per incident patient was 11.67 scripts/patient after adjusting for duration of treatment and RDI. </w:t>
      </w:r>
      <w:r w:rsidRPr="00217EA0">
        <w:rPr>
          <w:i/>
          <w:iCs/>
          <w:color w:val="auto"/>
        </w:rPr>
        <w:t xml:space="preserve"> </w:t>
      </w:r>
    </w:p>
    <w:p w14:paraId="30CE2D3C" w14:textId="58107629" w:rsidR="00715CD9" w:rsidRPr="008A2F67" w:rsidRDefault="00715CD9" w:rsidP="00715CD9">
      <w:pPr>
        <w:pStyle w:val="ListParagraph"/>
        <w:rPr>
          <w:color w:val="auto"/>
        </w:rPr>
      </w:pPr>
      <w:r w:rsidRPr="008A2F67">
        <w:rPr>
          <w:color w:val="auto"/>
        </w:rPr>
        <w:t xml:space="preserve">The submission assumed that testing will only occur once patients progress after first line durvalumab, and only in patients who will consider </w:t>
      </w:r>
      <w:proofErr w:type="spellStart"/>
      <w:r w:rsidRPr="008A2F67">
        <w:rPr>
          <w:color w:val="auto"/>
        </w:rPr>
        <w:t>futibatinib</w:t>
      </w:r>
      <w:proofErr w:type="spellEnd"/>
      <w:r w:rsidRPr="008A2F67">
        <w:rPr>
          <w:color w:val="auto"/>
        </w:rPr>
        <w:t xml:space="preserve"> (</w:t>
      </w:r>
      <w:r w:rsidR="00F0779A" w:rsidRPr="00F0779A">
        <w:rPr>
          <w:color w:val="000000"/>
          <w:w w:val="60"/>
          <w:shd w:val="solid" w:color="000000" w:fill="000000"/>
          <w:fitText w:val="470" w:id="-694415352"/>
          <w14:textFill>
            <w14:solidFill>
              <w14:srgbClr w14:val="000000">
                <w14:alpha w14:val="100000"/>
              </w14:srgbClr>
            </w14:solidFill>
          </w14:textFill>
        </w:rPr>
        <w:t>|||  ||</w:t>
      </w:r>
      <w:r w:rsidR="00F0779A" w:rsidRPr="00F0779A">
        <w:rPr>
          <w:color w:val="000000"/>
          <w:spacing w:val="6"/>
          <w:w w:val="60"/>
          <w:shd w:val="solid" w:color="000000" w:fill="000000"/>
          <w:fitText w:val="470" w:id="-694415352"/>
          <w14:textFill>
            <w14:solidFill>
              <w14:srgbClr w14:val="000000">
                <w14:alpha w14:val="100000"/>
              </w14:srgbClr>
            </w14:solidFill>
          </w14:textFill>
        </w:rPr>
        <w:t>|</w:t>
      </w:r>
      <w:r w:rsidRPr="008A2F67">
        <w:rPr>
          <w:color w:val="auto"/>
        </w:rPr>
        <w:t>% uptake rate). This was at a later time point than proposed in the submission, where the test population was proposed to be ‘adult patients with locally advanced or metastatic CCA’, and as such, the</w:t>
      </w:r>
      <w:r w:rsidR="008A2F67" w:rsidRPr="008A2F67">
        <w:rPr>
          <w:color w:val="auto"/>
        </w:rPr>
        <w:t xml:space="preserve"> evaluation and the DUSC</w:t>
      </w:r>
      <w:r w:rsidRPr="008A2F67">
        <w:rPr>
          <w:color w:val="auto"/>
        </w:rPr>
        <w:t xml:space="preserve"> </w:t>
      </w:r>
      <w:r w:rsidR="00DC5730">
        <w:rPr>
          <w:color w:val="auto"/>
        </w:rPr>
        <w:t xml:space="preserve">considered the </w:t>
      </w:r>
      <w:r w:rsidRPr="008A2F67">
        <w:rPr>
          <w:color w:val="auto"/>
        </w:rPr>
        <w:t xml:space="preserve">number of tests may be underestimated. Moreover, if testing was to occur at diagnosis (as proposed by the PASC), the cost of testing will increase further. As such, the </w:t>
      </w:r>
      <w:r w:rsidR="008A2F67">
        <w:rPr>
          <w:color w:val="auto"/>
        </w:rPr>
        <w:t xml:space="preserve">evaluation considered that the </w:t>
      </w:r>
      <w:r w:rsidRPr="008A2F67">
        <w:rPr>
          <w:color w:val="auto"/>
        </w:rPr>
        <w:t xml:space="preserve">submission’s estimates of the cost of </w:t>
      </w:r>
      <w:r w:rsidR="003E5C46" w:rsidRPr="003E5C46">
        <w:rPr>
          <w:i/>
          <w:iCs/>
          <w:color w:val="auto"/>
        </w:rPr>
        <w:t>FGFR2</w:t>
      </w:r>
      <w:r w:rsidRPr="008A2F67">
        <w:rPr>
          <w:color w:val="auto"/>
        </w:rPr>
        <w:t xml:space="preserve"> testing may be underestimated.</w:t>
      </w:r>
    </w:p>
    <w:p w14:paraId="70AA1206" w14:textId="73150978" w:rsidR="00715CD9" w:rsidRPr="00217EA0" w:rsidRDefault="00715CD9" w:rsidP="00715CD9">
      <w:pPr>
        <w:pStyle w:val="ListParagraph"/>
        <w:rPr>
          <w:i/>
          <w:iCs/>
          <w:color w:val="auto"/>
        </w:rPr>
      </w:pPr>
      <w:r w:rsidRPr="00217EA0">
        <w:rPr>
          <w:color w:val="auto"/>
        </w:rPr>
        <w:t xml:space="preserve">Consistent with the economic model (see paragraph </w:t>
      </w:r>
      <w:r w:rsidRPr="00217EA0">
        <w:rPr>
          <w:color w:val="auto"/>
        </w:rPr>
        <w:fldChar w:fldCharType="begin"/>
      </w:r>
      <w:r w:rsidRPr="00217EA0">
        <w:rPr>
          <w:color w:val="auto"/>
        </w:rPr>
        <w:instrText xml:space="preserve"> REF _Ref187804179 \r \h </w:instrText>
      </w:r>
      <w:r w:rsidRPr="00217EA0">
        <w:rPr>
          <w:color w:val="auto"/>
        </w:rPr>
      </w:r>
      <w:r w:rsidRPr="00217EA0">
        <w:rPr>
          <w:color w:val="auto"/>
        </w:rPr>
        <w:fldChar w:fldCharType="separate"/>
      </w:r>
      <w:r w:rsidR="008378C4">
        <w:rPr>
          <w:color w:val="auto"/>
        </w:rPr>
        <w:t>6.85</w:t>
      </w:r>
      <w:r w:rsidRPr="00217EA0">
        <w:rPr>
          <w:color w:val="auto"/>
        </w:rPr>
        <w:fldChar w:fldCharType="end"/>
      </w:r>
      <w:r w:rsidRPr="00217EA0">
        <w:rPr>
          <w:color w:val="auto"/>
        </w:rPr>
        <w:t xml:space="preserve">), in the financial estimates, two OCTs (MBS item 11219) were included for each patient treated with </w:t>
      </w:r>
      <w:proofErr w:type="spellStart"/>
      <w:r w:rsidRPr="00217EA0">
        <w:rPr>
          <w:color w:val="auto"/>
        </w:rPr>
        <w:t>futibatinib</w:t>
      </w:r>
      <w:proofErr w:type="spellEnd"/>
      <w:r w:rsidRPr="00217EA0">
        <w:rPr>
          <w:color w:val="auto"/>
        </w:rPr>
        <w:t>.</w:t>
      </w:r>
    </w:p>
    <w:p w14:paraId="478273B7" w14:textId="7CBCBDFB" w:rsidR="00715CD9" w:rsidRPr="00DC1A92" w:rsidRDefault="00715CD9" w:rsidP="00715CD9">
      <w:pPr>
        <w:pStyle w:val="ListParagraph"/>
        <w:rPr>
          <w:color w:val="auto"/>
        </w:rPr>
      </w:pPr>
      <w:r w:rsidRPr="00DC1A92">
        <w:rPr>
          <w:color w:val="auto"/>
        </w:rPr>
        <w:fldChar w:fldCharType="begin"/>
      </w:r>
      <w:r w:rsidRPr="00DC1A92">
        <w:rPr>
          <w:color w:val="auto"/>
        </w:rPr>
        <w:instrText xml:space="preserve"> REF _Ref184831179 \h  \* MERGEFORMAT </w:instrText>
      </w:r>
      <w:r w:rsidRPr="00DC1A92">
        <w:rPr>
          <w:color w:val="auto"/>
        </w:rPr>
      </w:r>
      <w:r w:rsidRPr="00DC1A92">
        <w:rPr>
          <w:color w:val="auto"/>
        </w:rPr>
        <w:fldChar w:fldCharType="separate"/>
      </w:r>
      <w:r w:rsidR="008378C4" w:rsidRPr="008378C4">
        <w:rPr>
          <w:color w:val="auto"/>
        </w:rPr>
        <w:t>Table 25</w:t>
      </w:r>
      <w:r w:rsidRPr="00DC1A92">
        <w:rPr>
          <w:color w:val="auto"/>
        </w:rPr>
        <w:fldChar w:fldCharType="end"/>
      </w:r>
      <w:r w:rsidR="0004432F" w:rsidRPr="00DC1A92">
        <w:rPr>
          <w:color w:val="auto"/>
        </w:rPr>
        <w:t xml:space="preserve"> </w:t>
      </w:r>
      <w:r w:rsidRPr="00DC1A92">
        <w:rPr>
          <w:color w:val="auto"/>
        </w:rPr>
        <w:t>presents the estimated use and financial implications.</w:t>
      </w:r>
    </w:p>
    <w:p w14:paraId="729E1B8E" w14:textId="1F88518D" w:rsidR="00715CD9" w:rsidRPr="00217EA0" w:rsidRDefault="00715CD9" w:rsidP="00FA13F3">
      <w:pPr>
        <w:pStyle w:val="Caption"/>
      </w:pPr>
      <w:bookmarkStart w:id="96" w:name="_Ref184831179"/>
      <w:r w:rsidRPr="00217EA0">
        <w:t>Table</w:t>
      </w:r>
      <w:r w:rsidR="002C7282">
        <w:t xml:space="preserve"> </w:t>
      </w:r>
      <w:r w:rsidR="006A66A8">
        <w:fldChar w:fldCharType="begin"/>
      </w:r>
      <w:r w:rsidR="006A66A8">
        <w:instrText xml:space="preserve"> SEQ Table_PBAC. \* ARABIC </w:instrText>
      </w:r>
      <w:r w:rsidR="006A66A8">
        <w:fldChar w:fldCharType="separate"/>
      </w:r>
      <w:r w:rsidR="008378C4">
        <w:rPr>
          <w:noProof/>
        </w:rPr>
        <w:t>25</w:t>
      </w:r>
      <w:r w:rsidR="006A66A8">
        <w:rPr>
          <w:noProof/>
        </w:rPr>
        <w:fldChar w:fldCharType="end"/>
      </w:r>
      <w:bookmarkEnd w:id="96"/>
      <w:r w:rsidR="00DC1A92">
        <w:rPr>
          <w:noProof/>
        </w:rPr>
        <w:t>:</w:t>
      </w:r>
      <w:r w:rsidR="00DC1A92">
        <w:t xml:space="preserve"> </w:t>
      </w:r>
      <w:r w:rsidRPr="00217EA0">
        <w:t>Estimated use and financial implications</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5: Estimated use and financial implications"/>
      </w:tblPr>
      <w:tblGrid>
        <w:gridCol w:w="2923"/>
        <w:gridCol w:w="944"/>
        <w:gridCol w:w="1083"/>
        <w:gridCol w:w="1006"/>
        <w:gridCol w:w="1010"/>
        <w:gridCol w:w="1033"/>
        <w:gridCol w:w="938"/>
      </w:tblGrid>
      <w:tr w:rsidR="00A343AD" w:rsidRPr="00217EA0" w14:paraId="0322E296" w14:textId="77777777" w:rsidTr="00A343AD">
        <w:trPr>
          <w:cantSplit/>
          <w:tblHeader/>
        </w:trPr>
        <w:tc>
          <w:tcPr>
            <w:tcW w:w="1635" w:type="pct"/>
            <w:shd w:val="clear" w:color="auto" w:fill="auto"/>
            <w:vAlign w:val="center"/>
          </w:tcPr>
          <w:p w14:paraId="3693FBE4" w14:textId="77777777" w:rsidR="00715CD9" w:rsidRPr="00217EA0" w:rsidRDefault="00715CD9" w:rsidP="007D635A">
            <w:pPr>
              <w:pStyle w:val="TableText"/>
              <w:keepNext/>
              <w:keepLines/>
              <w:jc w:val="center"/>
              <w:rPr>
                <w:b/>
              </w:rPr>
            </w:pPr>
          </w:p>
        </w:tc>
        <w:tc>
          <w:tcPr>
            <w:tcW w:w="528" w:type="pct"/>
            <w:shd w:val="clear" w:color="auto" w:fill="auto"/>
            <w:vAlign w:val="center"/>
          </w:tcPr>
          <w:p w14:paraId="6633237B" w14:textId="77777777" w:rsidR="00715CD9" w:rsidRPr="00217EA0" w:rsidRDefault="00715CD9" w:rsidP="007D635A">
            <w:pPr>
              <w:pStyle w:val="TableText"/>
              <w:keepNext/>
              <w:keepLines/>
              <w:jc w:val="center"/>
              <w:rPr>
                <w:b/>
              </w:rPr>
            </w:pPr>
            <w:r w:rsidRPr="00217EA0">
              <w:rPr>
                <w:b/>
              </w:rPr>
              <w:t>Year 1</w:t>
            </w:r>
          </w:p>
        </w:tc>
        <w:tc>
          <w:tcPr>
            <w:tcW w:w="606" w:type="pct"/>
            <w:shd w:val="clear" w:color="auto" w:fill="auto"/>
            <w:vAlign w:val="center"/>
          </w:tcPr>
          <w:p w14:paraId="52E514BA" w14:textId="77777777" w:rsidR="00715CD9" w:rsidRPr="00217EA0" w:rsidRDefault="00715CD9" w:rsidP="007D635A">
            <w:pPr>
              <w:pStyle w:val="TableText"/>
              <w:keepNext/>
              <w:keepLines/>
              <w:jc w:val="center"/>
              <w:rPr>
                <w:b/>
              </w:rPr>
            </w:pPr>
            <w:r w:rsidRPr="00217EA0">
              <w:rPr>
                <w:b/>
              </w:rPr>
              <w:t>Year 2</w:t>
            </w:r>
          </w:p>
        </w:tc>
        <w:tc>
          <w:tcPr>
            <w:tcW w:w="563" w:type="pct"/>
            <w:shd w:val="clear" w:color="auto" w:fill="auto"/>
            <w:vAlign w:val="center"/>
          </w:tcPr>
          <w:p w14:paraId="395904C1" w14:textId="77777777" w:rsidR="00715CD9" w:rsidRPr="00217EA0" w:rsidRDefault="00715CD9" w:rsidP="007D635A">
            <w:pPr>
              <w:pStyle w:val="TableText"/>
              <w:keepNext/>
              <w:keepLines/>
              <w:jc w:val="center"/>
              <w:rPr>
                <w:b/>
              </w:rPr>
            </w:pPr>
            <w:r w:rsidRPr="00217EA0">
              <w:rPr>
                <w:b/>
              </w:rPr>
              <w:t>Year 3</w:t>
            </w:r>
          </w:p>
        </w:tc>
        <w:tc>
          <w:tcPr>
            <w:tcW w:w="565" w:type="pct"/>
            <w:shd w:val="clear" w:color="auto" w:fill="auto"/>
            <w:vAlign w:val="center"/>
          </w:tcPr>
          <w:p w14:paraId="27182A25" w14:textId="77777777" w:rsidR="00715CD9" w:rsidRPr="00217EA0" w:rsidRDefault="00715CD9" w:rsidP="007D635A">
            <w:pPr>
              <w:pStyle w:val="TableText"/>
              <w:keepNext/>
              <w:keepLines/>
              <w:jc w:val="center"/>
              <w:rPr>
                <w:b/>
              </w:rPr>
            </w:pPr>
            <w:r w:rsidRPr="00217EA0">
              <w:rPr>
                <w:b/>
              </w:rPr>
              <w:t>Year 4</w:t>
            </w:r>
          </w:p>
        </w:tc>
        <w:tc>
          <w:tcPr>
            <w:tcW w:w="578" w:type="pct"/>
            <w:shd w:val="clear" w:color="auto" w:fill="auto"/>
            <w:vAlign w:val="center"/>
          </w:tcPr>
          <w:p w14:paraId="65159299" w14:textId="77777777" w:rsidR="00715CD9" w:rsidRPr="00217EA0" w:rsidRDefault="00715CD9" w:rsidP="007D635A">
            <w:pPr>
              <w:pStyle w:val="TableText"/>
              <w:keepNext/>
              <w:keepLines/>
              <w:jc w:val="center"/>
              <w:rPr>
                <w:b/>
              </w:rPr>
            </w:pPr>
            <w:r w:rsidRPr="00217EA0">
              <w:rPr>
                <w:b/>
              </w:rPr>
              <w:t>Year 5</w:t>
            </w:r>
          </w:p>
        </w:tc>
        <w:tc>
          <w:tcPr>
            <w:tcW w:w="524" w:type="pct"/>
          </w:tcPr>
          <w:p w14:paraId="07A5EA87" w14:textId="77777777" w:rsidR="00715CD9" w:rsidRPr="00217EA0" w:rsidRDefault="00715CD9" w:rsidP="007D635A">
            <w:pPr>
              <w:pStyle w:val="TableText"/>
              <w:keepNext/>
              <w:keepLines/>
              <w:jc w:val="center"/>
              <w:rPr>
                <w:b/>
              </w:rPr>
            </w:pPr>
            <w:r w:rsidRPr="00217EA0">
              <w:rPr>
                <w:b/>
              </w:rPr>
              <w:t>Year 6</w:t>
            </w:r>
          </w:p>
        </w:tc>
      </w:tr>
      <w:tr w:rsidR="00715CD9" w:rsidRPr="00217EA0" w14:paraId="04E7A6A4" w14:textId="77777777">
        <w:tc>
          <w:tcPr>
            <w:tcW w:w="5000" w:type="pct"/>
            <w:gridSpan w:val="7"/>
            <w:shd w:val="clear" w:color="auto" w:fill="auto"/>
            <w:vAlign w:val="center"/>
          </w:tcPr>
          <w:p w14:paraId="6C5B480A" w14:textId="77777777" w:rsidR="00715CD9" w:rsidRPr="00217EA0" w:rsidRDefault="00715CD9" w:rsidP="007D635A">
            <w:pPr>
              <w:pStyle w:val="TableText"/>
              <w:keepNext/>
              <w:keepLines/>
              <w:rPr>
                <w:bCs/>
              </w:rPr>
            </w:pPr>
            <w:r w:rsidRPr="00217EA0">
              <w:rPr>
                <w:bCs/>
              </w:rPr>
              <w:t xml:space="preserve"> </w:t>
            </w:r>
            <w:r w:rsidRPr="00217EA0">
              <w:rPr>
                <w:b/>
              </w:rPr>
              <w:t>Estimated patient numbers</w:t>
            </w:r>
          </w:p>
        </w:tc>
      </w:tr>
      <w:tr w:rsidR="00A343AD" w:rsidRPr="00217EA0" w14:paraId="3ABBE4A3" w14:textId="77777777" w:rsidTr="00A343AD">
        <w:tc>
          <w:tcPr>
            <w:tcW w:w="1635" w:type="pct"/>
            <w:shd w:val="clear" w:color="auto" w:fill="auto"/>
          </w:tcPr>
          <w:p w14:paraId="45F0A77C" w14:textId="77777777" w:rsidR="00715CD9" w:rsidRPr="00217EA0" w:rsidRDefault="00715CD9" w:rsidP="007D635A">
            <w:pPr>
              <w:pStyle w:val="TableText"/>
              <w:keepNext/>
              <w:keepLines/>
              <w:rPr>
                <w:i/>
                <w:iCs/>
              </w:rPr>
            </w:pPr>
            <w:r w:rsidRPr="00217EA0">
              <w:t>Australian Population over 18 years of age</w:t>
            </w:r>
          </w:p>
        </w:tc>
        <w:tc>
          <w:tcPr>
            <w:tcW w:w="528" w:type="pct"/>
            <w:shd w:val="clear" w:color="auto" w:fill="auto"/>
            <w:vAlign w:val="center"/>
          </w:tcPr>
          <w:p w14:paraId="3C562BF2" w14:textId="5EA601E3" w:rsidR="00715CD9" w:rsidRPr="007D046C" w:rsidRDefault="00F0779A" w:rsidP="007D635A">
            <w:pPr>
              <w:pStyle w:val="TableNumber"/>
              <w:keepNext/>
              <w:keepLines/>
              <w:tabs>
                <w:tab w:val="clear" w:pos="396"/>
                <w:tab w:val="decimal" w:pos="0"/>
              </w:tabs>
              <w:rPr>
                <w:highlight w:val="darkGray"/>
                <w:vertAlign w:val="superscript"/>
              </w:rPr>
            </w:pPr>
            <w:r w:rsidRPr="00F0779A">
              <w:rPr>
                <w:color w:val="000000"/>
                <w:spacing w:val="53"/>
                <w:shd w:val="solid" w:color="000000" w:fill="000000"/>
                <w:fitText w:val="330" w:id="-694415351"/>
                <w:lang w:eastAsia="en-AU"/>
                <w14:textFill>
                  <w14:solidFill>
                    <w14:srgbClr w14:val="000000">
                      <w14:alpha w14:val="100000"/>
                    </w14:srgbClr>
                  </w14:solidFill>
                </w14:textFill>
              </w:rPr>
              <w:t>|||</w:t>
            </w:r>
            <w:r w:rsidRPr="00F0779A">
              <w:rPr>
                <w:color w:val="000000"/>
                <w:spacing w:val="1"/>
                <w:shd w:val="solid" w:color="000000" w:fill="000000"/>
                <w:fitText w:val="330" w:id="-694415351"/>
                <w:lang w:eastAsia="en-AU"/>
                <w14:textFill>
                  <w14:solidFill>
                    <w14:srgbClr w14:val="000000">
                      <w14:alpha w14:val="100000"/>
                    </w14:srgbClr>
                  </w14:solidFill>
                </w14:textFill>
              </w:rPr>
              <w:t>|</w:t>
            </w:r>
            <w:r w:rsidR="007D046C" w:rsidRPr="007D046C">
              <w:rPr>
                <w:vertAlign w:val="superscript"/>
                <w:lang w:eastAsia="en-AU"/>
              </w:rPr>
              <w:t>1</w:t>
            </w:r>
          </w:p>
        </w:tc>
        <w:tc>
          <w:tcPr>
            <w:tcW w:w="606" w:type="pct"/>
            <w:shd w:val="clear" w:color="auto" w:fill="auto"/>
            <w:vAlign w:val="center"/>
          </w:tcPr>
          <w:p w14:paraId="50E0ABF8" w14:textId="32D0BB5A" w:rsidR="00715CD9" w:rsidRPr="000A61B9" w:rsidRDefault="00F0779A" w:rsidP="007D635A">
            <w:pPr>
              <w:pStyle w:val="TableText"/>
              <w:keepNext/>
              <w:keepLines/>
              <w:tabs>
                <w:tab w:val="decimal" w:pos="0"/>
              </w:tabs>
              <w:jc w:val="center"/>
              <w:rPr>
                <w:highlight w:val="darkGray"/>
              </w:rPr>
            </w:pPr>
            <w:r w:rsidRPr="00F0779A">
              <w:rPr>
                <w:color w:val="000000"/>
                <w:spacing w:val="53"/>
                <w:shd w:val="solid" w:color="000000" w:fill="000000"/>
                <w:fitText w:val="330" w:id="-694415350"/>
                <w:lang w:eastAsia="en-AU"/>
                <w14:textFill>
                  <w14:solidFill>
                    <w14:srgbClr w14:val="000000">
                      <w14:alpha w14:val="100000"/>
                    </w14:srgbClr>
                  </w14:solidFill>
                </w14:textFill>
              </w:rPr>
              <w:t>|||</w:t>
            </w:r>
            <w:r w:rsidRPr="00F0779A">
              <w:rPr>
                <w:color w:val="000000"/>
                <w:spacing w:val="1"/>
                <w:shd w:val="solid" w:color="000000" w:fill="000000"/>
                <w:fitText w:val="330" w:id="-694415350"/>
                <w:lang w:eastAsia="en-AU"/>
                <w14:textFill>
                  <w14:solidFill>
                    <w14:srgbClr w14:val="000000">
                      <w14:alpha w14:val="100000"/>
                    </w14:srgbClr>
                  </w14:solidFill>
                </w14:textFill>
              </w:rPr>
              <w:t>|</w:t>
            </w:r>
            <w:r w:rsidR="007D046C" w:rsidRPr="007D046C">
              <w:rPr>
                <w:vertAlign w:val="superscript"/>
                <w:lang w:eastAsia="en-AU"/>
              </w:rPr>
              <w:t>1</w:t>
            </w:r>
          </w:p>
        </w:tc>
        <w:tc>
          <w:tcPr>
            <w:tcW w:w="563" w:type="pct"/>
            <w:shd w:val="clear" w:color="auto" w:fill="auto"/>
            <w:vAlign w:val="center"/>
          </w:tcPr>
          <w:p w14:paraId="563226C1" w14:textId="03CE59F0" w:rsidR="00715CD9" w:rsidRPr="000A61B9" w:rsidRDefault="00F0779A" w:rsidP="007D635A">
            <w:pPr>
              <w:pStyle w:val="TableText"/>
              <w:keepNext/>
              <w:keepLines/>
              <w:tabs>
                <w:tab w:val="decimal" w:pos="0"/>
              </w:tabs>
              <w:jc w:val="center"/>
              <w:rPr>
                <w:highlight w:val="darkGray"/>
              </w:rPr>
            </w:pPr>
            <w:r w:rsidRPr="00F0779A">
              <w:rPr>
                <w:color w:val="000000"/>
                <w:spacing w:val="49"/>
                <w:shd w:val="solid" w:color="000000" w:fill="000000"/>
                <w:fitText w:val="320" w:id="-694415349"/>
                <w:lang w:eastAsia="en-AU"/>
                <w14:textFill>
                  <w14:solidFill>
                    <w14:srgbClr w14:val="000000">
                      <w14:alpha w14:val="100000"/>
                    </w14:srgbClr>
                  </w14:solidFill>
                </w14:textFill>
              </w:rPr>
              <w:t>|||</w:t>
            </w:r>
            <w:r w:rsidRPr="00F0779A">
              <w:rPr>
                <w:color w:val="000000"/>
                <w:spacing w:val="3"/>
                <w:shd w:val="solid" w:color="000000" w:fill="000000"/>
                <w:fitText w:val="320" w:id="-694415349"/>
                <w:lang w:eastAsia="en-AU"/>
                <w14:textFill>
                  <w14:solidFill>
                    <w14:srgbClr w14:val="000000">
                      <w14:alpha w14:val="100000"/>
                    </w14:srgbClr>
                  </w14:solidFill>
                </w14:textFill>
              </w:rPr>
              <w:t>|</w:t>
            </w:r>
            <w:r w:rsidR="007D046C" w:rsidRPr="007D046C">
              <w:rPr>
                <w:vertAlign w:val="superscript"/>
                <w:lang w:eastAsia="en-AU"/>
              </w:rPr>
              <w:t>1</w:t>
            </w:r>
          </w:p>
        </w:tc>
        <w:tc>
          <w:tcPr>
            <w:tcW w:w="565" w:type="pct"/>
            <w:shd w:val="clear" w:color="auto" w:fill="auto"/>
            <w:vAlign w:val="center"/>
          </w:tcPr>
          <w:p w14:paraId="5D0595E6" w14:textId="7A226C9F" w:rsidR="00715CD9" w:rsidRPr="000A61B9" w:rsidRDefault="00F0779A" w:rsidP="007D635A">
            <w:pPr>
              <w:pStyle w:val="TableText"/>
              <w:keepNext/>
              <w:keepLines/>
              <w:tabs>
                <w:tab w:val="decimal" w:pos="0"/>
              </w:tabs>
              <w:jc w:val="center"/>
              <w:rPr>
                <w:highlight w:val="darkGray"/>
              </w:rPr>
            </w:pPr>
            <w:r w:rsidRPr="00F0779A">
              <w:rPr>
                <w:color w:val="000000"/>
                <w:spacing w:val="53"/>
                <w:shd w:val="solid" w:color="000000" w:fill="000000"/>
                <w:fitText w:val="330" w:id="-694415348"/>
                <w:lang w:eastAsia="en-AU"/>
                <w14:textFill>
                  <w14:solidFill>
                    <w14:srgbClr w14:val="000000">
                      <w14:alpha w14:val="100000"/>
                    </w14:srgbClr>
                  </w14:solidFill>
                </w14:textFill>
              </w:rPr>
              <w:t>|||</w:t>
            </w:r>
            <w:r w:rsidRPr="00F0779A">
              <w:rPr>
                <w:color w:val="000000"/>
                <w:spacing w:val="1"/>
                <w:shd w:val="solid" w:color="000000" w:fill="000000"/>
                <w:fitText w:val="330" w:id="-694415348"/>
                <w:lang w:eastAsia="en-AU"/>
                <w14:textFill>
                  <w14:solidFill>
                    <w14:srgbClr w14:val="000000">
                      <w14:alpha w14:val="100000"/>
                    </w14:srgbClr>
                  </w14:solidFill>
                </w14:textFill>
              </w:rPr>
              <w:t>|</w:t>
            </w:r>
            <w:r w:rsidR="007D046C" w:rsidRPr="007D046C">
              <w:rPr>
                <w:vertAlign w:val="superscript"/>
                <w:lang w:eastAsia="en-AU"/>
              </w:rPr>
              <w:t>1</w:t>
            </w:r>
          </w:p>
        </w:tc>
        <w:tc>
          <w:tcPr>
            <w:tcW w:w="578" w:type="pct"/>
            <w:shd w:val="clear" w:color="auto" w:fill="auto"/>
            <w:vAlign w:val="center"/>
          </w:tcPr>
          <w:p w14:paraId="3A5485F3" w14:textId="248AB532" w:rsidR="00715CD9" w:rsidRPr="000A61B9" w:rsidRDefault="00F0779A" w:rsidP="007D635A">
            <w:pPr>
              <w:pStyle w:val="TableText"/>
              <w:keepNext/>
              <w:keepLines/>
              <w:tabs>
                <w:tab w:val="decimal" w:pos="0"/>
              </w:tabs>
              <w:jc w:val="center"/>
              <w:rPr>
                <w:highlight w:val="darkGray"/>
              </w:rPr>
            </w:pPr>
            <w:r w:rsidRPr="00F0779A">
              <w:rPr>
                <w:color w:val="000000"/>
                <w:spacing w:val="53"/>
                <w:shd w:val="solid" w:color="000000" w:fill="000000"/>
                <w:fitText w:val="330" w:id="-694415347"/>
                <w:lang w:eastAsia="en-AU"/>
                <w14:textFill>
                  <w14:solidFill>
                    <w14:srgbClr w14:val="000000">
                      <w14:alpha w14:val="100000"/>
                    </w14:srgbClr>
                  </w14:solidFill>
                </w14:textFill>
              </w:rPr>
              <w:t>|||</w:t>
            </w:r>
            <w:r w:rsidRPr="00F0779A">
              <w:rPr>
                <w:color w:val="000000"/>
                <w:spacing w:val="1"/>
                <w:shd w:val="solid" w:color="000000" w:fill="000000"/>
                <w:fitText w:val="330" w:id="-694415347"/>
                <w:lang w:eastAsia="en-AU"/>
                <w14:textFill>
                  <w14:solidFill>
                    <w14:srgbClr w14:val="000000">
                      <w14:alpha w14:val="100000"/>
                    </w14:srgbClr>
                  </w14:solidFill>
                </w14:textFill>
              </w:rPr>
              <w:t>|</w:t>
            </w:r>
            <w:r w:rsidR="007D046C" w:rsidRPr="007D046C">
              <w:rPr>
                <w:vertAlign w:val="superscript"/>
                <w:lang w:eastAsia="en-AU"/>
              </w:rPr>
              <w:t>1</w:t>
            </w:r>
          </w:p>
        </w:tc>
        <w:tc>
          <w:tcPr>
            <w:tcW w:w="524" w:type="pct"/>
            <w:vAlign w:val="center"/>
          </w:tcPr>
          <w:p w14:paraId="57A39C9C" w14:textId="177F6CA5" w:rsidR="00715CD9" w:rsidRPr="000A61B9" w:rsidRDefault="00F0779A" w:rsidP="007D635A">
            <w:pPr>
              <w:pStyle w:val="TableText"/>
              <w:keepNext/>
              <w:keepLines/>
              <w:tabs>
                <w:tab w:val="decimal" w:pos="0"/>
              </w:tabs>
              <w:jc w:val="center"/>
              <w:rPr>
                <w:highlight w:val="darkGray"/>
              </w:rPr>
            </w:pPr>
            <w:r w:rsidRPr="00F0779A">
              <w:rPr>
                <w:color w:val="000000"/>
                <w:spacing w:val="53"/>
                <w:shd w:val="solid" w:color="000000" w:fill="000000"/>
                <w:fitText w:val="330" w:id="-694415346"/>
                <w:lang w:eastAsia="en-AU"/>
                <w14:textFill>
                  <w14:solidFill>
                    <w14:srgbClr w14:val="000000">
                      <w14:alpha w14:val="100000"/>
                    </w14:srgbClr>
                  </w14:solidFill>
                </w14:textFill>
              </w:rPr>
              <w:t>|||</w:t>
            </w:r>
            <w:r w:rsidRPr="00F0779A">
              <w:rPr>
                <w:color w:val="000000"/>
                <w:spacing w:val="1"/>
                <w:shd w:val="solid" w:color="000000" w:fill="000000"/>
                <w:fitText w:val="330" w:id="-694415346"/>
                <w:lang w:eastAsia="en-AU"/>
                <w14:textFill>
                  <w14:solidFill>
                    <w14:srgbClr w14:val="000000">
                      <w14:alpha w14:val="100000"/>
                    </w14:srgbClr>
                  </w14:solidFill>
                </w14:textFill>
              </w:rPr>
              <w:t>|</w:t>
            </w:r>
            <w:r w:rsidR="007D046C" w:rsidRPr="007D046C">
              <w:rPr>
                <w:vertAlign w:val="superscript"/>
                <w:lang w:eastAsia="en-AU"/>
              </w:rPr>
              <w:t>1</w:t>
            </w:r>
          </w:p>
        </w:tc>
      </w:tr>
      <w:tr w:rsidR="00A343AD" w:rsidRPr="00217EA0" w14:paraId="0ECEAB3D" w14:textId="77777777" w:rsidTr="00A343AD">
        <w:tc>
          <w:tcPr>
            <w:tcW w:w="1635" w:type="pct"/>
            <w:shd w:val="clear" w:color="auto" w:fill="auto"/>
          </w:tcPr>
          <w:p w14:paraId="553F247E" w14:textId="77777777" w:rsidR="00715CD9" w:rsidRPr="00A34704" w:rsidRDefault="00715CD9" w:rsidP="007A3B3E">
            <w:pPr>
              <w:pStyle w:val="TableText"/>
              <w:keepLines/>
            </w:pPr>
            <w:r w:rsidRPr="00A34704">
              <w:t>Liver cancer incident population</w:t>
            </w:r>
          </w:p>
        </w:tc>
        <w:tc>
          <w:tcPr>
            <w:tcW w:w="528" w:type="pct"/>
            <w:shd w:val="clear" w:color="auto" w:fill="auto"/>
            <w:vAlign w:val="center"/>
          </w:tcPr>
          <w:p w14:paraId="7267E976" w14:textId="5282F77F" w:rsidR="00715CD9" w:rsidRPr="000A61B9" w:rsidRDefault="00F0779A" w:rsidP="007A3B3E">
            <w:pPr>
              <w:pStyle w:val="TableNumber"/>
              <w:keepLines/>
              <w:tabs>
                <w:tab w:val="clear" w:pos="396"/>
                <w:tab w:val="decimal" w:pos="0"/>
              </w:tabs>
              <w:rPr>
                <w:highlight w:val="darkGray"/>
              </w:rPr>
            </w:pPr>
            <w:r w:rsidRPr="00F0779A">
              <w:rPr>
                <w:rFonts w:cs="Arial"/>
                <w:color w:val="000000"/>
                <w:spacing w:val="53"/>
                <w:szCs w:val="20"/>
                <w:shd w:val="solid" w:color="000000" w:fill="000000"/>
                <w:fitText w:val="330" w:id="-694415345"/>
                <w14:textFill>
                  <w14:solidFill>
                    <w14:srgbClr w14:val="000000">
                      <w14:alpha w14:val="100000"/>
                    </w14:srgbClr>
                  </w14:solidFill>
                </w14:textFill>
              </w:rPr>
              <w:t>|||</w:t>
            </w:r>
            <w:r w:rsidRPr="00F0779A">
              <w:rPr>
                <w:rFonts w:cs="Arial"/>
                <w:color w:val="000000"/>
                <w:spacing w:val="1"/>
                <w:szCs w:val="20"/>
                <w:shd w:val="solid" w:color="000000" w:fill="000000"/>
                <w:fitText w:val="330" w:id="-694415345"/>
                <w14:textFill>
                  <w14:solidFill>
                    <w14:srgbClr w14:val="000000">
                      <w14:alpha w14:val="100000"/>
                    </w14:srgbClr>
                  </w14:solidFill>
                </w14:textFill>
              </w:rPr>
              <w:t>|</w:t>
            </w:r>
            <w:r w:rsidR="008B1A8C" w:rsidRPr="008B1A8C">
              <w:rPr>
                <w:rFonts w:cs="Arial"/>
                <w:szCs w:val="20"/>
                <w:vertAlign w:val="superscript"/>
              </w:rPr>
              <w:t>2</w:t>
            </w:r>
          </w:p>
        </w:tc>
        <w:tc>
          <w:tcPr>
            <w:tcW w:w="606" w:type="pct"/>
            <w:shd w:val="clear" w:color="auto" w:fill="auto"/>
            <w:vAlign w:val="center"/>
          </w:tcPr>
          <w:p w14:paraId="17743F18" w14:textId="7BF13AD5" w:rsidR="00715CD9" w:rsidRPr="000A61B9" w:rsidRDefault="00F0779A" w:rsidP="007A3B3E">
            <w:pPr>
              <w:pStyle w:val="TableText"/>
              <w:keepLines/>
              <w:tabs>
                <w:tab w:val="decimal" w:pos="0"/>
              </w:tabs>
              <w:jc w:val="center"/>
              <w:rPr>
                <w:highlight w:val="darkGray"/>
              </w:rPr>
            </w:pPr>
            <w:r w:rsidRPr="00F0779A">
              <w:rPr>
                <w:rFonts w:cs="Arial"/>
                <w:color w:val="000000"/>
                <w:spacing w:val="53"/>
                <w:szCs w:val="20"/>
                <w:shd w:val="solid" w:color="000000" w:fill="000000"/>
                <w:fitText w:val="330" w:id="-694415344"/>
                <w14:textFill>
                  <w14:solidFill>
                    <w14:srgbClr w14:val="000000">
                      <w14:alpha w14:val="100000"/>
                    </w14:srgbClr>
                  </w14:solidFill>
                </w14:textFill>
              </w:rPr>
              <w:t>|||</w:t>
            </w:r>
            <w:r w:rsidRPr="00F0779A">
              <w:rPr>
                <w:rFonts w:cs="Arial"/>
                <w:color w:val="000000"/>
                <w:spacing w:val="1"/>
                <w:szCs w:val="20"/>
                <w:shd w:val="solid" w:color="000000" w:fill="000000"/>
                <w:fitText w:val="330" w:id="-694415344"/>
                <w14:textFill>
                  <w14:solidFill>
                    <w14:srgbClr w14:val="000000">
                      <w14:alpha w14:val="100000"/>
                    </w14:srgbClr>
                  </w14:solidFill>
                </w14:textFill>
              </w:rPr>
              <w:t>|</w:t>
            </w:r>
            <w:r w:rsidR="008B1A8C" w:rsidRPr="008B1A8C">
              <w:rPr>
                <w:rFonts w:cs="Arial"/>
                <w:szCs w:val="20"/>
                <w:vertAlign w:val="superscript"/>
              </w:rPr>
              <w:t>2</w:t>
            </w:r>
          </w:p>
        </w:tc>
        <w:tc>
          <w:tcPr>
            <w:tcW w:w="563" w:type="pct"/>
            <w:shd w:val="clear" w:color="auto" w:fill="auto"/>
            <w:vAlign w:val="center"/>
          </w:tcPr>
          <w:p w14:paraId="61A52C7F" w14:textId="75CB6965" w:rsidR="00715CD9" w:rsidRPr="000A61B9" w:rsidRDefault="00F0779A" w:rsidP="007A3B3E">
            <w:pPr>
              <w:pStyle w:val="TableText"/>
              <w:keepLines/>
              <w:tabs>
                <w:tab w:val="decimal" w:pos="0"/>
              </w:tabs>
              <w:jc w:val="center"/>
              <w:rPr>
                <w:highlight w:val="darkGray"/>
              </w:rPr>
            </w:pPr>
            <w:r w:rsidRPr="00F0779A">
              <w:rPr>
                <w:rFonts w:cs="Arial"/>
                <w:color w:val="000000"/>
                <w:spacing w:val="49"/>
                <w:szCs w:val="20"/>
                <w:shd w:val="solid" w:color="000000" w:fill="000000"/>
                <w:fitText w:val="320" w:id="-694415360"/>
                <w14:textFill>
                  <w14:solidFill>
                    <w14:srgbClr w14:val="000000">
                      <w14:alpha w14:val="100000"/>
                    </w14:srgbClr>
                  </w14:solidFill>
                </w14:textFill>
              </w:rPr>
              <w:t>|||</w:t>
            </w:r>
            <w:r w:rsidRPr="00F0779A">
              <w:rPr>
                <w:rFonts w:cs="Arial"/>
                <w:color w:val="000000"/>
                <w:spacing w:val="3"/>
                <w:szCs w:val="20"/>
                <w:shd w:val="solid" w:color="000000" w:fill="000000"/>
                <w:fitText w:val="320" w:id="-694415360"/>
                <w14:textFill>
                  <w14:solidFill>
                    <w14:srgbClr w14:val="000000">
                      <w14:alpha w14:val="100000"/>
                    </w14:srgbClr>
                  </w14:solidFill>
                </w14:textFill>
              </w:rPr>
              <w:t>|</w:t>
            </w:r>
            <w:r w:rsidR="008B1A8C" w:rsidRPr="008B1A8C">
              <w:rPr>
                <w:rFonts w:cs="Arial"/>
                <w:szCs w:val="20"/>
                <w:vertAlign w:val="superscript"/>
              </w:rPr>
              <w:t>2</w:t>
            </w:r>
          </w:p>
        </w:tc>
        <w:tc>
          <w:tcPr>
            <w:tcW w:w="565" w:type="pct"/>
            <w:shd w:val="clear" w:color="auto" w:fill="auto"/>
            <w:vAlign w:val="center"/>
          </w:tcPr>
          <w:p w14:paraId="18A8E77F" w14:textId="67490D57" w:rsidR="00715CD9" w:rsidRPr="000A61B9" w:rsidRDefault="00F0779A" w:rsidP="007A3B3E">
            <w:pPr>
              <w:pStyle w:val="TableText"/>
              <w:keepLines/>
              <w:tabs>
                <w:tab w:val="decimal" w:pos="0"/>
              </w:tabs>
              <w:jc w:val="center"/>
              <w:rPr>
                <w:highlight w:val="darkGray"/>
              </w:rPr>
            </w:pPr>
            <w:r w:rsidRPr="00F0779A">
              <w:rPr>
                <w:rFonts w:cs="Arial"/>
                <w:color w:val="000000"/>
                <w:spacing w:val="53"/>
                <w:szCs w:val="20"/>
                <w:shd w:val="solid" w:color="000000" w:fill="000000"/>
                <w:fitText w:val="330" w:id="-694415359"/>
                <w14:textFill>
                  <w14:solidFill>
                    <w14:srgbClr w14:val="000000">
                      <w14:alpha w14:val="100000"/>
                    </w14:srgbClr>
                  </w14:solidFill>
                </w14:textFill>
              </w:rPr>
              <w:t>|||</w:t>
            </w:r>
            <w:r w:rsidRPr="00F0779A">
              <w:rPr>
                <w:rFonts w:cs="Arial"/>
                <w:color w:val="000000"/>
                <w:spacing w:val="1"/>
                <w:szCs w:val="20"/>
                <w:shd w:val="solid" w:color="000000" w:fill="000000"/>
                <w:fitText w:val="330" w:id="-694415359"/>
                <w14:textFill>
                  <w14:solidFill>
                    <w14:srgbClr w14:val="000000">
                      <w14:alpha w14:val="100000"/>
                    </w14:srgbClr>
                  </w14:solidFill>
                </w14:textFill>
              </w:rPr>
              <w:t>|</w:t>
            </w:r>
            <w:r w:rsidR="008B1A8C" w:rsidRPr="008B1A8C">
              <w:rPr>
                <w:rFonts w:cs="Arial"/>
                <w:szCs w:val="20"/>
                <w:vertAlign w:val="superscript"/>
              </w:rPr>
              <w:t>2</w:t>
            </w:r>
          </w:p>
        </w:tc>
        <w:tc>
          <w:tcPr>
            <w:tcW w:w="578" w:type="pct"/>
            <w:shd w:val="clear" w:color="auto" w:fill="auto"/>
            <w:vAlign w:val="center"/>
          </w:tcPr>
          <w:p w14:paraId="22C5A112" w14:textId="43CE32AD" w:rsidR="00715CD9" w:rsidRPr="000A61B9" w:rsidRDefault="00F0779A" w:rsidP="007A3B3E">
            <w:pPr>
              <w:pStyle w:val="TableText"/>
              <w:keepLines/>
              <w:tabs>
                <w:tab w:val="decimal" w:pos="0"/>
              </w:tabs>
              <w:jc w:val="center"/>
              <w:rPr>
                <w:highlight w:val="darkGray"/>
              </w:rPr>
            </w:pPr>
            <w:r w:rsidRPr="00F0779A">
              <w:rPr>
                <w:rFonts w:cs="Arial"/>
                <w:color w:val="000000"/>
                <w:spacing w:val="53"/>
                <w:szCs w:val="20"/>
                <w:shd w:val="solid" w:color="000000" w:fill="000000"/>
                <w:fitText w:val="330" w:id="-694415358"/>
                <w14:textFill>
                  <w14:solidFill>
                    <w14:srgbClr w14:val="000000">
                      <w14:alpha w14:val="100000"/>
                    </w14:srgbClr>
                  </w14:solidFill>
                </w14:textFill>
              </w:rPr>
              <w:t>|||</w:t>
            </w:r>
            <w:r w:rsidRPr="00F0779A">
              <w:rPr>
                <w:rFonts w:cs="Arial"/>
                <w:color w:val="000000"/>
                <w:spacing w:val="1"/>
                <w:szCs w:val="20"/>
                <w:shd w:val="solid" w:color="000000" w:fill="000000"/>
                <w:fitText w:val="330" w:id="-694415358"/>
                <w14:textFill>
                  <w14:solidFill>
                    <w14:srgbClr w14:val="000000">
                      <w14:alpha w14:val="100000"/>
                    </w14:srgbClr>
                  </w14:solidFill>
                </w14:textFill>
              </w:rPr>
              <w:t>|</w:t>
            </w:r>
            <w:r w:rsidR="008B1A8C" w:rsidRPr="008B1A8C">
              <w:rPr>
                <w:rFonts w:cs="Arial"/>
                <w:szCs w:val="20"/>
                <w:vertAlign w:val="superscript"/>
              </w:rPr>
              <w:t>2</w:t>
            </w:r>
          </w:p>
        </w:tc>
        <w:tc>
          <w:tcPr>
            <w:tcW w:w="524" w:type="pct"/>
            <w:vAlign w:val="center"/>
          </w:tcPr>
          <w:p w14:paraId="12C0F048" w14:textId="1DDA17A7" w:rsidR="00715CD9" w:rsidRPr="000A61B9" w:rsidRDefault="00F0779A" w:rsidP="007A3B3E">
            <w:pPr>
              <w:pStyle w:val="TableText"/>
              <w:keepLines/>
              <w:tabs>
                <w:tab w:val="decimal" w:pos="0"/>
              </w:tabs>
              <w:jc w:val="center"/>
              <w:rPr>
                <w:highlight w:val="darkGray"/>
              </w:rPr>
            </w:pPr>
            <w:r w:rsidRPr="00F0779A">
              <w:rPr>
                <w:rFonts w:cs="Arial"/>
                <w:color w:val="000000"/>
                <w:spacing w:val="53"/>
                <w:szCs w:val="20"/>
                <w:shd w:val="solid" w:color="000000" w:fill="000000"/>
                <w:fitText w:val="330" w:id="-694415357"/>
                <w14:textFill>
                  <w14:solidFill>
                    <w14:srgbClr w14:val="000000">
                      <w14:alpha w14:val="100000"/>
                    </w14:srgbClr>
                  </w14:solidFill>
                </w14:textFill>
              </w:rPr>
              <w:t>|||</w:t>
            </w:r>
            <w:r w:rsidRPr="00F0779A">
              <w:rPr>
                <w:rFonts w:cs="Arial"/>
                <w:color w:val="000000"/>
                <w:spacing w:val="1"/>
                <w:szCs w:val="20"/>
                <w:shd w:val="solid" w:color="000000" w:fill="000000"/>
                <w:fitText w:val="330" w:id="-694415357"/>
                <w14:textFill>
                  <w14:solidFill>
                    <w14:srgbClr w14:val="000000">
                      <w14:alpha w14:val="100000"/>
                    </w14:srgbClr>
                  </w14:solidFill>
                </w14:textFill>
              </w:rPr>
              <w:t>|</w:t>
            </w:r>
            <w:r w:rsidR="008B1A8C" w:rsidRPr="008B1A8C">
              <w:rPr>
                <w:rFonts w:cs="Arial"/>
                <w:szCs w:val="20"/>
                <w:vertAlign w:val="superscript"/>
              </w:rPr>
              <w:t>2</w:t>
            </w:r>
          </w:p>
        </w:tc>
      </w:tr>
      <w:tr w:rsidR="00A343AD" w:rsidRPr="00217EA0" w14:paraId="103ECDBA" w14:textId="77777777" w:rsidTr="00A343AD">
        <w:tc>
          <w:tcPr>
            <w:tcW w:w="1635" w:type="pct"/>
            <w:shd w:val="clear" w:color="auto" w:fill="auto"/>
          </w:tcPr>
          <w:p w14:paraId="298BF5AA" w14:textId="77777777" w:rsidR="00715CD9" w:rsidRPr="00A34704" w:rsidRDefault="00715CD9" w:rsidP="007A3B3E">
            <w:pPr>
              <w:pStyle w:val="TableText"/>
              <w:keepLines/>
            </w:pPr>
            <w:r w:rsidRPr="00A34704">
              <w:t>IHCC (22% of liver cancer)</w:t>
            </w:r>
          </w:p>
        </w:tc>
        <w:tc>
          <w:tcPr>
            <w:tcW w:w="528" w:type="pct"/>
            <w:shd w:val="clear" w:color="auto" w:fill="auto"/>
            <w:vAlign w:val="center"/>
          </w:tcPr>
          <w:p w14:paraId="795C3E91" w14:textId="51A3A551" w:rsidR="00715CD9" w:rsidRPr="000A61B9" w:rsidRDefault="00F0779A" w:rsidP="007A3B3E">
            <w:pPr>
              <w:pStyle w:val="TableNumber"/>
              <w:keepLines/>
              <w:tabs>
                <w:tab w:val="clear" w:pos="396"/>
                <w:tab w:val="decimal" w:pos="0"/>
              </w:tabs>
              <w:rPr>
                <w:highlight w:val="darkGray"/>
              </w:rPr>
            </w:pPr>
            <w:r w:rsidRPr="00F0779A">
              <w:rPr>
                <w:rFonts w:cs="Arial"/>
                <w:color w:val="000000"/>
                <w:spacing w:val="53"/>
                <w:szCs w:val="20"/>
                <w:shd w:val="solid" w:color="000000" w:fill="000000"/>
                <w:fitText w:val="330" w:id="-694415356"/>
                <w14:textFill>
                  <w14:solidFill>
                    <w14:srgbClr w14:val="000000">
                      <w14:alpha w14:val="100000"/>
                    </w14:srgbClr>
                  </w14:solidFill>
                </w14:textFill>
              </w:rPr>
              <w:t>|||</w:t>
            </w:r>
            <w:r w:rsidRPr="00F0779A">
              <w:rPr>
                <w:rFonts w:cs="Arial"/>
                <w:color w:val="000000"/>
                <w:spacing w:val="1"/>
                <w:szCs w:val="20"/>
                <w:shd w:val="solid" w:color="000000" w:fill="000000"/>
                <w:fitText w:val="330" w:id="-694415356"/>
                <w14:textFill>
                  <w14:solidFill>
                    <w14:srgbClr w14:val="000000">
                      <w14:alpha w14:val="100000"/>
                    </w14:srgbClr>
                  </w14:solidFill>
                </w14:textFill>
              </w:rPr>
              <w:t>|</w:t>
            </w:r>
            <w:r w:rsidR="008B1A8C" w:rsidRPr="008B1A8C">
              <w:rPr>
                <w:rFonts w:cs="Arial"/>
                <w:szCs w:val="20"/>
                <w:vertAlign w:val="superscript"/>
              </w:rPr>
              <w:t>2</w:t>
            </w:r>
          </w:p>
        </w:tc>
        <w:tc>
          <w:tcPr>
            <w:tcW w:w="606" w:type="pct"/>
            <w:shd w:val="clear" w:color="auto" w:fill="auto"/>
            <w:vAlign w:val="center"/>
          </w:tcPr>
          <w:p w14:paraId="62D92946" w14:textId="539EE51F" w:rsidR="00715CD9" w:rsidRPr="000A61B9" w:rsidRDefault="00F0779A" w:rsidP="007A3B3E">
            <w:pPr>
              <w:pStyle w:val="TableText"/>
              <w:keepLines/>
              <w:tabs>
                <w:tab w:val="decimal" w:pos="0"/>
              </w:tabs>
              <w:jc w:val="center"/>
              <w:rPr>
                <w:highlight w:val="darkGray"/>
              </w:rPr>
            </w:pPr>
            <w:r w:rsidRPr="00F0779A">
              <w:rPr>
                <w:rFonts w:cs="Arial"/>
                <w:color w:val="000000"/>
                <w:spacing w:val="53"/>
                <w:szCs w:val="20"/>
                <w:shd w:val="solid" w:color="000000" w:fill="000000"/>
                <w:fitText w:val="330" w:id="-694415355"/>
                <w14:textFill>
                  <w14:solidFill>
                    <w14:srgbClr w14:val="000000">
                      <w14:alpha w14:val="100000"/>
                    </w14:srgbClr>
                  </w14:solidFill>
                </w14:textFill>
              </w:rPr>
              <w:t>|||</w:t>
            </w:r>
            <w:r w:rsidRPr="00F0779A">
              <w:rPr>
                <w:rFonts w:cs="Arial"/>
                <w:color w:val="000000"/>
                <w:spacing w:val="1"/>
                <w:szCs w:val="20"/>
                <w:shd w:val="solid" w:color="000000" w:fill="000000"/>
                <w:fitText w:val="330" w:id="-694415355"/>
                <w14:textFill>
                  <w14:solidFill>
                    <w14:srgbClr w14:val="000000">
                      <w14:alpha w14:val="100000"/>
                    </w14:srgbClr>
                  </w14:solidFill>
                </w14:textFill>
              </w:rPr>
              <w:t>|</w:t>
            </w:r>
            <w:r w:rsidR="008B1A8C" w:rsidRPr="008B1A8C">
              <w:rPr>
                <w:rFonts w:cs="Arial"/>
                <w:szCs w:val="20"/>
                <w:vertAlign w:val="superscript"/>
              </w:rPr>
              <w:t>2</w:t>
            </w:r>
          </w:p>
        </w:tc>
        <w:tc>
          <w:tcPr>
            <w:tcW w:w="563" w:type="pct"/>
            <w:shd w:val="clear" w:color="auto" w:fill="auto"/>
            <w:vAlign w:val="center"/>
          </w:tcPr>
          <w:p w14:paraId="40115226" w14:textId="65F13806" w:rsidR="00715CD9" w:rsidRPr="000A61B9" w:rsidRDefault="00F0779A" w:rsidP="007A3B3E">
            <w:pPr>
              <w:pStyle w:val="TableText"/>
              <w:keepLines/>
              <w:tabs>
                <w:tab w:val="decimal" w:pos="0"/>
              </w:tabs>
              <w:jc w:val="center"/>
              <w:rPr>
                <w:highlight w:val="darkGray"/>
              </w:rPr>
            </w:pPr>
            <w:r w:rsidRPr="00F0779A">
              <w:rPr>
                <w:rFonts w:cs="Arial"/>
                <w:color w:val="000000"/>
                <w:spacing w:val="49"/>
                <w:szCs w:val="20"/>
                <w:shd w:val="solid" w:color="000000" w:fill="000000"/>
                <w:fitText w:val="320" w:id="-694415354"/>
                <w14:textFill>
                  <w14:solidFill>
                    <w14:srgbClr w14:val="000000">
                      <w14:alpha w14:val="100000"/>
                    </w14:srgbClr>
                  </w14:solidFill>
                </w14:textFill>
              </w:rPr>
              <w:t>|||</w:t>
            </w:r>
            <w:r w:rsidRPr="00F0779A">
              <w:rPr>
                <w:rFonts w:cs="Arial"/>
                <w:color w:val="000000"/>
                <w:spacing w:val="3"/>
                <w:szCs w:val="20"/>
                <w:shd w:val="solid" w:color="000000" w:fill="000000"/>
                <w:fitText w:val="320" w:id="-694415354"/>
                <w14:textFill>
                  <w14:solidFill>
                    <w14:srgbClr w14:val="000000">
                      <w14:alpha w14:val="100000"/>
                    </w14:srgbClr>
                  </w14:solidFill>
                </w14:textFill>
              </w:rPr>
              <w:t>|</w:t>
            </w:r>
            <w:r w:rsidR="008B1A8C" w:rsidRPr="008B1A8C">
              <w:rPr>
                <w:rFonts w:cs="Arial"/>
                <w:szCs w:val="20"/>
                <w:vertAlign w:val="superscript"/>
              </w:rPr>
              <w:t>2</w:t>
            </w:r>
          </w:p>
        </w:tc>
        <w:tc>
          <w:tcPr>
            <w:tcW w:w="565" w:type="pct"/>
            <w:shd w:val="clear" w:color="auto" w:fill="auto"/>
            <w:vAlign w:val="center"/>
          </w:tcPr>
          <w:p w14:paraId="73894EF9" w14:textId="12647547" w:rsidR="00715CD9" w:rsidRPr="000A61B9" w:rsidRDefault="00F0779A" w:rsidP="007A3B3E">
            <w:pPr>
              <w:pStyle w:val="TableText"/>
              <w:keepLines/>
              <w:tabs>
                <w:tab w:val="decimal" w:pos="0"/>
              </w:tabs>
              <w:jc w:val="center"/>
              <w:rPr>
                <w:highlight w:val="darkGray"/>
              </w:rPr>
            </w:pPr>
            <w:r w:rsidRPr="00F0779A">
              <w:rPr>
                <w:rFonts w:cs="Arial"/>
                <w:color w:val="000000"/>
                <w:spacing w:val="53"/>
                <w:szCs w:val="20"/>
                <w:shd w:val="solid" w:color="000000" w:fill="000000"/>
                <w:fitText w:val="330" w:id="-694415353"/>
                <w14:textFill>
                  <w14:solidFill>
                    <w14:srgbClr w14:val="000000">
                      <w14:alpha w14:val="100000"/>
                    </w14:srgbClr>
                  </w14:solidFill>
                </w14:textFill>
              </w:rPr>
              <w:t>|||</w:t>
            </w:r>
            <w:r w:rsidRPr="00F0779A">
              <w:rPr>
                <w:rFonts w:cs="Arial"/>
                <w:color w:val="000000"/>
                <w:spacing w:val="1"/>
                <w:szCs w:val="20"/>
                <w:shd w:val="solid" w:color="000000" w:fill="000000"/>
                <w:fitText w:val="330" w:id="-694415353"/>
                <w14:textFill>
                  <w14:solidFill>
                    <w14:srgbClr w14:val="000000">
                      <w14:alpha w14:val="100000"/>
                    </w14:srgbClr>
                  </w14:solidFill>
                </w14:textFill>
              </w:rPr>
              <w:t>|</w:t>
            </w:r>
            <w:r w:rsidR="008B1A8C" w:rsidRPr="008B1A8C">
              <w:rPr>
                <w:rFonts w:cs="Arial"/>
                <w:szCs w:val="20"/>
                <w:vertAlign w:val="superscript"/>
              </w:rPr>
              <w:t>2</w:t>
            </w:r>
          </w:p>
        </w:tc>
        <w:tc>
          <w:tcPr>
            <w:tcW w:w="578" w:type="pct"/>
            <w:shd w:val="clear" w:color="auto" w:fill="auto"/>
            <w:vAlign w:val="center"/>
          </w:tcPr>
          <w:p w14:paraId="75A7981F" w14:textId="75769921" w:rsidR="00715CD9" w:rsidRPr="000A61B9" w:rsidRDefault="00F0779A" w:rsidP="007A3B3E">
            <w:pPr>
              <w:pStyle w:val="TableText"/>
              <w:keepLines/>
              <w:tabs>
                <w:tab w:val="decimal" w:pos="0"/>
              </w:tabs>
              <w:jc w:val="center"/>
              <w:rPr>
                <w:highlight w:val="darkGray"/>
              </w:rPr>
            </w:pPr>
            <w:r w:rsidRPr="00F0779A">
              <w:rPr>
                <w:rFonts w:cs="Arial"/>
                <w:color w:val="000000"/>
                <w:spacing w:val="53"/>
                <w:szCs w:val="20"/>
                <w:shd w:val="solid" w:color="000000" w:fill="000000"/>
                <w:fitText w:val="330" w:id="-694415352"/>
                <w14:textFill>
                  <w14:solidFill>
                    <w14:srgbClr w14:val="000000">
                      <w14:alpha w14:val="100000"/>
                    </w14:srgbClr>
                  </w14:solidFill>
                </w14:textFill>
              </w:rPr>
              <w:t>|||</w:t>
            </w:r>
            <w:r w:rsidRPr="00F0779A">
              <w:rPr>
                <w:rFonts w:cs="Arial"/>
                <w:color w:val="000000"/>
                <w:spacing w:val="1"/>
                <w:szCs w:val="20"/>
                <w:shd w:val="solid" w:color="000000" w:fill="000000"/>
                <w:fitText w:val="330" w:id="-694415352"/>
                <w14:textFill>
                  <w14:solidFill>
                    <w14:srgbClr w14:val="000000">
                      <w14:alpha w14:val="100000"/>
                    </w14:srgbClr>
                  </w14:solidFill>
                </w14:textFill>
              </w:rPr>
              <w:t>|</w:t>
            </w:r>
            <w:r w:rsidR="008B1A8C" w:rsidRPr="008B1A8C">
              <w:rPr>
                <w:rFonts w:cs="Arial"/>
                <w:szCs w:val="20"/>
                <w:vertAlign w:val="superscript"/>
              </w:rPr>
              <w:t>2</w:t>
            </w:r>
          </w:p>
        </w:tc>
        <w:tc>
          <w:tcPr>
            <w:tcW w:w="524" w:type="pct"/>
            <w:vAlign w:val="center"/>
          </w:tcPr>
          <w:p w14:paraId="3983CC3B" w14:textId="20340D7C" w:rsidR="00715CD9" w:rsidRPr="000A61B9" w:rsidRDefault="00F0779A" w:rsidP="007A3B3E">
            <w:pPr>
              <w:pStyle w:val="TableText"/>
              <w:keepLines/>
              <w:tabs>
                <w:tab w:val="decimal" w:pos="0"/>
              </w:tabs>
              <w:jc w:val="center"/>
              <w:rPr>
                <w:highlight w:val="darkGray"/>
              </w:rPr>
            </w:pPr>
            <w:r w:rsidRPr="00F0779A">
              <w:rPr>
                <w:rFonts w:cs="Arial"/>
                <w:color w:val="000000"/>
                <w:spacing w:val="53"/>
                <w:szCs w:val="20"/>
                <w:shd w:val="solid" w:color="000000" w:fill="000000"/>
                <w:fitText w:val="330" w:id="-694415351"/>
                <w14:textFill>
                  <w14:solidFill>
                    <w14:srgbClr w14:val="000000">
                      <w14:alpha w14:val="100000"/>
                    </w14:srgbClr>
                  </w14:solidFill>
                </w14:textFill>
              </w:rPr>
              <w:t>|||</w:t>
            </w:r>
            <w:r w:rsidRPr="00F0779A">
              <w:rPr>
                <w:rFonts w:cs="Arial"/>
                <w:color w:val="000000"/>
                <w:spacing w:val="1"/>
                <w:szCs w:val="20"/>
                <w:shd w:val="solid" w:color="000000" w:fill="000000"/>
                <w:fitText w:val="330" w:id="-694415351"/>
                <w14:textFill>
                  <w14:solidFill>
                    <w14:srgbClr w14:val="000000">
                      <w14:alpha w14:val="100000"/>
                    </w14:srgbClr>
                  </w14:solidFill>
                </w14:textFill>
              </w:rPr>
              <w:t>|</w:t>
            </w:r>
            <w:r w:rsidR="008B1A8C" w:rsidRPr="008B1A8C">
              <w:rPr>
                <w:rFonts w:cs="Arial"/>
                <w:szCs w:val="20"/>
                <w:vertAlign w:val="superscript"/>
              </w:rPr>
              <w:t>2</w:t>
            </w:r>
          </w:p>
        </w:tc>
      </w:tr>
      <w:tr w:rsidR="00A343AD" w:rsidRPr="00217EA0" w14:paraId="0C40503D" w14:textId="77777777" w:rsidTr="00A343AD">
        <w:tc>
          <w:tcPr>
            <w:tcW w:w="1635" w:type="pct"/>
            <w:shd w:val="clear" w:color="auto" w:fill="auto"/>
          </w:tcPr>
          <w:p w14:paraId="54670753" w14:textId="77777777" w:rsidR="00715CD9" w:rsidRPr="00A34704" w:rsidRDefault="00715CD9" w:rsidP="007A3B3E">
            <w:pPr>
              <w:pStyle w:val="TableText"/>
              <w:keepLines/>
            </w:pPr>
            <w:r w:rsidRPr="00A34704">
              <w:t>EHCC</w:t>
            </w:r>
          </w:p>
        </w:tc>
        <w:tc>
          <w:tcPr>
            <w:tcW w:w="528" w:type="pct"/>
            <w:shd w:val="clear" w:color="auto" w:fill="auto"/>
            <w:vAlign w:val="center"/>
          </w:tcPr>
          <w:p w14:paraId="0F90E22F" w14:textId="0479CDAD" w:rsidR="00715CD9" w:rsidRPr="000A61B9" w:rsidRDefault="00F0779A" w:rsidP="007A3B3E">
            <w:pPr>
              <w:pStyle w:val="TableNumber"/>
              <w:keepLines/>
              <w:tabs>
                <w:tab w:val="clear" w:pos="396"/>
                <w:tab w:val="decimal" w:pos="0"/>
              </w:tabs>
              <w:rPr>
                <w:highlight w:val="darkGray"/>
              </w:rPr>
            </w:pPr>
            <w:r w:rsidRPr="00F0779A">
              <w:rPr>
                <w:rFonts w:cs="Arial"/>
                <w:color w:val="000000"/>
                <w:spacing w:val="53"/>
                <w:szCs w:val="20"/>
                <w:shd w:val="solid" w:color="000000" w:fill="000000"/>
                <w:fitText w:val="330" w:id="-694415350"/>
                <w14:textFill>
                  <w14:solidFill>
                    <w14:srgbClr w14:val="000000">
                      <w14:alpha w14:val="100000"/>
                    </w14:srgbClr>
                  </w14:solidFill>
                </w14:textFill>
              </w:rPr>
              <w:t>|||</w:t>
            </w:r>
            <w:r w:rsidRPr="00F0779A">
              <w:rPr>
                <w:rFonts w:cs="Arial"/>
                <w:color w:val="000000"/>
                <w:spacing w:val="1"/>
                <w:szCs w:val="20"/>
                <w:shd w:val="solid" w:color="000000" w:fill="000000"/>
                <w:fitText w:val="330" w:id="-694415350"/>
                <w14:textFill>
                  <w14:solidFill>
                    <w14:srgbClr w14:val="000000">
                      <w14:alpha w14:val="100000"/>
                    </w14:srgbClr>
                  </w14:solidFill>
                </w14:textFill>
              </w:rPr>
              <w:t>|</w:t>
            </w:r>
            <w:r w:rsidR="00350C41" w:rsidRPr="0012160F">
              <w:rPr>
                <w:vertAlign w:val="superscript"/>
              </w:rPr>
              <w:t>3</w:t>
            </w:r>
          </w:p>
        </w:tc>
        <w:tc>
          <w:tcPr>
            <w:tcW w:w="606" w:type="pct"/>
            <w:shd w:val="clear" w:color="auto" w:fill="auto"/>
            <w:vAlign w:val="center"/>
          </w:tcPr>
          <w:p w14:paraId="4441CF2F" w14:textId="3399984A" w:rsidR="00715CD9" w:rsidRPr="000A61B9" w:rsidRDefault="00F0779A" w:rsidP="007A3B3E">
            <w:pPr>
              <w:pStyle w:val="TableText"/>
              <w:keepLines/>
              <w:tabs>
                <w:tab w:val="decimal" w:pos="0"/>
              </w:tabs>
              <w:jc w:val="center"/>
              <w:rPr>
                <w:highlight w:val="darkGray"/>
              </w:rPr>
            </w:pPr>
            <w:r w:rsidRPr="00F0779A">
              <w:rPr>
                <w:rFonts w:cs="Arial"/>
                <w:color w:val="000000"/>
                <w:spacing w:val="53"/>
                <w:szCs w:val="20"/>
                <w:shd w:val="solid" w:color="000000" w:fill="000000"/>
                <w:fitText w:val="330" w:id="-694415349"/>
                <w14:textFill>
                  <w14:solidFill>
                    <w14:srgbClr w14:val="000000">
                      <w14:alpha w14:val="100000"/>
                    </w14:srgbClr>
                  </w14:solidFill>
                </w14:textFill>
              </w:rPr>
              <w:t>|||</w:t>
            </w:r>
            <w:r w:rsidRPr="00F0779A">
              <w:rPr>
                <w:rFonts w:cs="Arial"/>
                <w:color w:val="000000"/>
                <w:spacing w:val="1"/>
                <w:szCs w:val="20"/>
                <w:shd w:val="solid" w:color="000000" w:fill="000000"/>
                <w:fitText w:val="330" w:id="-694415349"/>
                <w14:textFill>
                  <w14:solidFill>
                    <w14:srgbClr w14:val="000000">
                      <w14:alpha w14:val="100000"/>
                    </w14:srgbClr>
                  </w14:solidFill>
                </w14:textFill>
              </w:rPr>
              <w:t>|</w:t>
            </w:r>
            <w:r w:rsidR="00350C41" w:rsidRPr="0012160F">
              <w:rPr>
                <w:vertAlign w:val="superscript"/>
              </w:rPr>
              <w:t>3</w:t>
            </w:r>
          </w:p>
        </w:tc>
        <w:tc>
          <w:tcPr>
            <w:tcW w:w="563" w:type="pct"/>
            <w:shd w:val="clear" w:color="auto" w:fill="auto"/>
            <w:vAlign w:val="center"/>
          </w:tcPr>
          <w:p w14:paraId="2BB61B10" w14:textId="7407F626" w:rsidR="00715CD9" w:rsidRPr="000A61B9" w:rsidRDefault="00F0779A" w:rsidP="007A3B3E">
            <w:pPr>
              <w:pStyle w:val="TableText"/>
              <w:keepLines/>
              <w:tabs>
                <w:tab w:val="decimal" w:pos="0"/>
              </w:tabs>
              <w:jc w:val="center"/>
              <w:rPr>
                <w:highlight w:val="darkGray"/>
              </w:rPr>
            </w:pPr>
            <w:r w:rsidRPr="00F0779A">
              <w:rPr>
                <w:rFonts w:cs="Arial"/>
                <w:color w:val="000000"/>
                <w:spacing w:val="49"/>
                <w:szCs w:val="20"/>
                <w:shd w:val="solid" w:color="000000" w:fill="000000"/>
                <w:fitText w:val="320" w:id="-694415348"/>
                <w14:textFill>
                  <w14:solidFill>
                    <w14:srgbClr w14:val="000000">
                      <w14:alpha w14:val="100000"/>
                    </w14:srgbClr>
                  </w14:solidFill>
                </w14:textFill>
              </w:rPr>
              <w:t>|||</w:t>
            </w:r>
            <w:r w:rsidRPr="00F0779A">
              <w:rPr>
                <w:rFonts w:cs="Arial"/>
                <w:color w:val="000000"/>
                <w:spacing w:val="3"/>
                <w:szCs w:val="20"/>
                <w:shd w:val="solid" w:color="000000" w:fill="000000"/>
                <w:fitText w:val="320" w:id="-694415348"/>
                <w14:textFill>
                  <w14:solidFill>
                    <w14:srgbClr w14:val="000000">
                      <w14:alpha w14:val="100000"/>
                    </w14:srgbClr>
                  </w14:solidFill>
                </w14:textFill>
              </w:rPr>
              <w:t>|</w:t>
            </w:r>
            <w:r w:rsidR="00350C41" w:rsidRPr="0012160F">
              <w:rPr>
                <w:vertAlign w:val="superscript"/>
              </w:rPr>
              <w:t>3</w:t>
            </w:r>
          </w:p>
        </w:tc>
        <w:tc>
          <w:tcPr>
            <w:tcW w:w="565" w:type="pct"/>
            <w:shd w:val="clear" w:color="auto" w:fill="auto"/>
            <w:vAlign w:val="center"/>
          </w:tcPr>
          <w:p w14:paraId="0438F840" w14:textId="161CC9DE" w:rsidR="00715CD9" w:rsidRPr="000A61B9" w:rsidRDefault="00F0779A" w:rsidP="007A3B3E">
            <w:pPr>
              <w:pStyle w:val="TableText"/>
              <w:keepLines/>
              <w:tabs>
                <w:tab w:val="decimal" w:pos="0"/>
              </w:tabs>
              <w:jc w:val="center"/>
              <w:rPr>
                <w:highlight w:val="darkGray"/>
              </w:rPr>
            </w:pPr>
            <w:r w:rsidRPr="00F0779A">
              <w:rPr>
                <w:rFonts w:cs="Arial"/>
                <w:color w:val="000000"/>
                <w:spacing w:val="53"/>
                <w:szCs w:val="20"/>
                <w:shd w:val="solid" w:color="000000" w:fill="000000"/>
                <w:fitText w:val="330" w:id="-694415347"/>
                <w14:textFill>
                  <w14:solidFill>
                    <w14:srgbClr w14:val="000000">
                      <w14:alpha w14:val="100000"/>
                    </w14:srgbClr>
                  </w14:solidFill>
                </w14:textFill>
              </w:rPr>
              <w:t>|||</w:t>
            </w:r>
            <w:r w:rsidRPr="00F0779A">
              <w:rPr>
                <w:rFonts w:cs="Arial"/>
                <w:color w:val="000000"/>
                <w:spacing w:val="1"/>
                <w:szCs w:val="20"/>
                <w:shd w:val="solid" w:color="000000" w:fill="000000"/>
                <w:fitText w:val="330" w:id="-694415347"/>
                <w14:textFill>
                  <w14:solidFill>
                    <w14:srgbClr w14:val="000000">
                      <w14:alpha w14:val="100000"/>
                    </w14:srgbClr>
                  </w14:solidFill>
                </w14:textFill>
              </w:rPr>
              <w:t>|</w:t>
            </w:r>
            <w:r w:rsidR="00350C41" w:rsidRPr="0012160F">
              <w:rPr>
                <w:vertAlign w:val="superscript"/>
              </w:rPr>
              <w:t>3</w:t>
            </w:r>
          </w:p>
        </w:tc>
        <w:tc>
          <w:tcPr>
            <w:tcW w:w="578" w:type="pct"/>
            <w:shd w:val="clear" w:color="auto" w:fill="auto"/>
            <w:vAlign w:val="center"/>
          </w:tcPr>
          <w:p w14:paraId="18987503" w14:textId="31A328DF" w:rsidR="00715CD9" w:rsidRPr="000A61B9" w:rsidRDefault="00F0779A" w:rsidP="007A3B3E">
            <w:pPr>
              <w:pStyle w:val="TableText"/>
              <w:keepLines/>
              <w:tabs>
                <w:tab w:val="decimal" w:pos="0"/>
              </w:tabs>
              <w:jc w:val="center"/>
              <w:rPr>
                <w:highlight w:val="darkGray"/>
              </w:rPr>
            </w:pPr>
            <w:r w:rsidRPr="00F0779A">
              <w:rPr>
                <w:rFonts w:cs="Arial"/>
                <w:color w:val="000000"/>
                <w:spacing w:val="53"/>
                <w:szCs w:val="20"/>
                <w:shd w:val="solid" w:color="000000" w:fill="000000"/>
                <w:fitText w:val="330" w:id="-694415346"/>
                <w14:textFill>
                  <w14:solidFill>
                    <w14:srgbClr w14:val="000000">
                      <w14:alpha w14:val="100000"/>
                    </w14:srgbClr>
                  </w14:solidFill>
                </w14:textFill>
              </w:rPr>
              <w:t>|||</w:t>
            </w:r>
            <w:r w:rsidRPr="00F0779A">
              <w:rPr>
                <w:rFonts w:cs="Arial"/>
                <w:color w:val="000000"/>
                <w:spacing w:val="1"/>
                <w:szCs w:val="20"/>
                <w:shd w:val="solid" w:color="000000" w:fill="000000"/>
                <w:fitText w:val="330" w:id="-694415346"/>
                <w14:textFill>
                  <w14:solidFill>
                    <w14:srgbClr w14:val="000000">
                      <w14:alpha w14:val="100000"/>
                    </w14:srgbClr>
                  </w14:solidFill>
                </w14:textFill>
              </w:rPr>
              <w:t>|</w:t>
            </w:r>
            <w:r w:rsidR="00350C41" w:rsidRPr="0012160F">
              <w:rPr>
                <w:vertAlign w:val="superscript"/>
              </w:rPr>
              <w:t>3</w:t>
            </w:r>
          </w:p>
        </w:tc>
        <w:tc>
          <w:tcPr>
            <w:tcW w:w="524" w:type="pct"/>
            <w:vAlign w:val="center"/>
          </w:tcPr>
          <w:p w14:paraId="2BCDABB0" w14:textId="18B6FF36" w:rsidR="00715CD9" w:rsidRPr="000A61B9" w:rsidRDefault="00F0779A" w:rsidP="007A3B3E">
            <w:pPr>
              <w:pStyle w:val="TableText"/>
              <w:keepLines/>
              <w:tabs>
                <w:tab w:val="decimal" w:pos="0"/>
              </w:tabs>
              <w:jc w:val="center"/>
              <w:rPr>
                <w:highlight w:val="darkGray"/>
              </w:rPr>
            </w:pPr>
            <w:r w:rsidRPr="00F0779A">
              <w:rPr>
                <w:rFonts w:cs="Arial"/>
                <w:color w:val="000000"/>
                <w:spacing w:val="53"/>
                <w:szCs w:val="20"/>
                <w:shd w:val="solid" w:color="000000" w:fill="000000"/>
                <w:fitText w:val="330" w:id="-694415345"/>
                <w14:textFill>
                  <w14:solidFill>
                    <w14:srgbClr w14:val="000000">
                      <w14:alpha w14:val="100000"/>
                    </w14:srgbClr>
                  </w14:solidFill>
                </w14:textFill>
              </w:rPr>
              <w:t>|||</w:t>
            </w:r>
            <w:r w:rsidRPr="00F0779A">
              <w:rPr>
                <w:rFonts w:cs="Arial"/>
                <w:color w:val="000000"/>
                <w:spacing w:val="1"/>
                <w:szCs w:val="20"/>
                <w:shd w:val="solid" w:color="000000" w:fill="000000"/>
                <w:fitText w:val="330" w:id="-694415345"/>
                <w14:textFill>
                  <w14:solidFill>
                    <w14:srgbClr w14:val="000000">
                      <w14:alpha w14:val="100000"/>
                    </w14:srgbClr>
                  </w14:solidFill>
                </w14:textFill>
              </w:rPr>
              <w:t>|</w:t>
            </w:r>
            <w:r w:rsidR="00350C41" w:rsidRPr="0012160F">
              <w:rPr>
                <w:vertAlign w:val="superscript"/>
              </w:rPr>
              <w:t>3</w:t>
            </w:r>
          </w:p>
        </w:tc>
      </w:tr>
      <w:tr w:rsidR="00A343AD" w:rsidRPr="00217EA0" w14:paraId="177CDB5D" w14:textId="77777777" w:rsidTr="00A343AD">
        <w:tc>
          <w:tcPr>
            <w:tcW w:w="1635" w:type="pct"/>
            <w:shd w:val="clear" w:color="auto" w:fill="auto"/>
          </w:tcPr>
          <w:p w14:paraId="1A52EAB6" w14:textId="77777777" w:rsidR="00715CD9" w:rsidRPr="00A34704" w:rsidRDefault="00715CD9" w:rsidP="007A3B3E">
            <w:pPr>
              <w:pStyle w:val="TableText"/>
              <w:keepLines/>
            </w:pPr>
            <w:r w:rsidRPr="00A34704">
              <w:t>Total incident population</w:t>
            </w:r>
          </w:p>
        </w:tc>
        <w:tc>
          <w:tcPr>
            <w:tcW w:w="528" w:type="pct"/>
            <w:shd w:val="clear" w:color="auto" w:fill="auto"/>
            <w:vAlign w:val="center"/>
          </w:tcPr>
          <w:p w14:paraId="7A030495" w14:textId="5FCFE963" w:rsidR="00715CD9" w:rsidRPr="000A61B9" w:rsidRDefault="00F0779A" w:rsidP="007A3B3E">
            <w:pPr>
              <w:pStyle w:val="TableNumber"/>
              <w:keepLines/>
              <w:tabs>
                <w:tab w:val="clear" w:pos="396"/>
                <w:tab w:val="decimal" w:pos="0"/>
              </w:tabs>
              <w:rPr>
                <w:highlight w:val="darkGray"/>
              </w:rPr>
            </w:pPr>
            <w:r w:rsidRPr="00F0779A">
              <w:rPr>
                <w:color w:val="000000"/>
                <w:spacing w:val="53"/>
                <w:shd w:val="solid" w:color="000000" w:fill="000000"/>
                <w:fitText w:val="330" w:id="-694415344"/>
                <w14:textFill>
                  <w14:solidFill>
                    <w14:srgbClr w14:val="000000">
                      <w14:alpha w14:val="100000"/>
                    </w14:srgbClr>
                  </w14:solidFill>
                </w14:textFill>
              </w:rPr>
              <w:t>|||</w:t>
            </w:r>
            <w:r w:rsidRPr="00F0779A">
              <w:rPr>
                <w:color w:val="000000"/>
                <w:spacing w:val="1"/>
                <w:shd w:val="solid" w:color="000000" w:fill="000000"/>
                <w:fitText w:val="330" w:id="-694415344"/>
                <w14:textFill>
                  <w14:solidFill>
                    <w14:srgbClr w14:val="000000">
                      <w14:alpha w14:val="100000"/>
                    </w14:srgbClr>
                  </w14:solidFill>
                </w14:textFill>
              </w:rPr>
              <w:t>|</w:t>
            </w:r>
            <w:r w:rsidR="008B1A8C" w:rsidRPr="008B1A8C">
              <w:rPr>
                <w:rFonts w:cs="Arial"/>
                <w:szCs w:val="20"/>
                <w:vertAlign w:val="superscript"/>
              </w:rPr>
              <w:t>2</w:t>
            </w:r>
          </w:p>
        </w:tc>
        <w:tc>
          <w:tcPr>
            <w:tcW w:w="606" w:type="pct"/>
            <w:shd w:val="clear" w:color="auto" w:fill="auto"/>
            <w:vAlign w:val="center"/>
          </w:tcPr>
          <w:p w14:paraId="60D3B85F" w14:textId="6A2E5C14" w:rsidR="00715CD9" w:rsidRPr="000A61B9" w:rsidRDefault="00F0779A" w:rsidP="007A3B3E">
            <w:pPr>
              <w:pStyle w:val="TableText"/>
              <w:keepLines/>
              <w:tabs>
                <w:tab w:val="decimal" w:pos="0"/>
              </w:tabs>
              <w:jc w:val="center"/>
              <w:rPr>
                <w:highlight w:val="darkGray"/>
              </w:rPr>
            </w:pPr>
            <w:r w:rsidRPr="00F0779A">
              <w:rPr>
                <w:color w:val="000000"/>
                <w:spacing w:val="53"/>
                <w:shd w:val="solid" w:color="000000" w:fill="000000"/>
                <w:fitText w:val="330" w:id="-694415360"/>
                <w14:textFill>
                  <w14:solidFill>
                    <w14:srgbClr w14:val="000000">
                      <w14:alpha w14:val="100000"/>
                    </w14:srgbClr>
                  </w14:solidFill>
                </w14:textFill>
              </w:rPr>
              <w:t>|||</w:t>
            </w:r>
            <w:r w:rsidRPr="00F0779A">
              <w:rPr>
                <w:color w:val="000000"/>
                <w:spacing w:val="1"/>
                <w:shd w:val="solid" w:color="000000" w:fill="000000"/>
                <w:fitText w:val="330" w:id="-694415360"/>
                <w14:textFill>
                  <w14:solidFill>
                    <w14:srgbClr w14:val="000000">
                      <w14:alpha w14:val="100000"/>
                    </w14:srgbClr>
                  </w14:solidFill>
                </w14:textFill>
              </w:rPr>
              <w:t>|</w:t>
            </w:r>
            <w:r w:rsidR="008B1A8C" w:rsidRPr="008B1A8C">
              <w:rPr>
                <w:rFonts w:cs="Arial"/>
                <w:szCs w:val="20"/>
                <w:vertAlign w:val="superscript"/>
              </w:rPr>
              <w:t>2</w:t>
            </w:r>
          </w:p>
        </w:tc>
        <w:tc>
          <w:tcPr>
            <w:tcW w:w="563" w:type="pct"/>
            <w:shd w:val="clear" w:color="auto" w:fill="auto"/>
            <w:vAlign w:val="center"/>
          </w:tcPr>
          <w:p w14:paraId="3554F23F" w14:textId="4224080F" w:rsidR="00715CD9" w:rsidRPr="000A61B9" w:rsidRDefault="00F0779A" w:rsidP="007A3B3E">
            <w:pPr>
              <w:pStyle w:val="TableText"/>
              <w:keepLines/>
              <w:tabs>
                <w:tab w:val="decimal" w:pos="0"/>
              </w:tabs>
              <w:jc w:val="center"/>
              <w:rPr>
                <w:highlight w:val="darkGray"/>
              </w:rPr>
            </w:pPr>
            <w:r w:rsidRPr="00F0779A">
              <w:rPr>
                <w:color w:val="000000"/>
                <w:spacing w:val="49"/>
                <w:shd w:val="solid" w:color="000000" w:fill="000000"/>
                <w:fitText w:val="320" w:id="-694415359"/>
                <w14:textFill>
                  <w14:solidFill>
                    <w14:srgbClr w14:val="000000">
                      <w14:alpha w14:val="100000"/>
                    </w14:srgbClr>
                  </w14:solidFill>
                </w14:textFill>
              </w:rPr>
              <w:t>|||</w:t>
            </w:r>
            <w:r w:rsidRPr="00F0779A">
              <w:rPr>
                <w:color w:val="000000"/>
                <w:spacing w:val="3"/>
                <w:shd w:val="solid" w:color="000000" w:fill="000000"/>
                <w:fitText w:val="320" w:id="-694415359"/>
                <w14:textFill>
                  <w14:solidFill>
                    <w14:srgbClr w14:val="000000">
                      <w14:alpha w14:val="100000"/>
                    </w14:srgbClr>
                  </w14:solidFill>
                </w14:textFill>
              </w:rPr>
              <w:t>|</w:t>
            </w:r>
            <w:r w:rsidR="008B1A8C" w:rsidRPr="008B1A8C">
              <w:rPr>
                <w:rFonts w:cs="Arial"/>
                <w:szCs w:val="20"/>
                <w:vertAlign w:val="superscript"/>
              </w:rPr>
              <w:t>2</w:t>
            </w:r>
          </w:p>
        </w:tc>
        <w:tc>
          <w:tcPr>
            <w:tcW w:w="565" w:type="pct"/>
            <w:shd w:val="clear" w:color="auto" w:fill="auto"/>
            <w:vAlign w:val="center"/>
          </w:tcPr>
          <w:p w14:paraId="16DE3DA5" w14:textId="21AFE645" w:rsidR="00715CD9" w:rsidRPr="000A61B9" w:rsidRDefault="00F0779A" w:rsidP="007A3B3E">
            <w:pPr>
              <w:pStyle w:val="TableText"/>
              <w:keepLines/>
              <w:tabs>
                <w:tab w:val="decimal" w:pos="0"/>
              </w:tabs>
              <w:jc w:val="center"/>
              <w:rPr>
                <w:highlight w:val="darkGray"/>
              </w:rPr>
            </w:pPr>
            <w:r w:rsidRPr="00F0779A">
              <w:rPr>
                <w:color w:val="000000"/>
                <w:spacing w:val="53"/>
                <w:shd w:val="solid" w:color="000000" w:fill="000000"/>
                <w:fitText w:val="330" w:id="-694415358"/>
                <w14:textFill>
                  <w14:solidFill>
                    <w14:srgbClr w14:val="000000">
                      <w14:alpha w14:val="100000"/>
                    </w14:srgbClr>
                  </w14:solidFill>
                </w14:textFill>
              </w:rPr>
              <w:t>|||</w:t>
            </w:r>
            <w:r w:rsidRPr="00F0779A">
              <w:rPr>
                <w:color w:val="000000"/>
                <w:spacing w:val="1"/>
                <w:shd w:val="solid" w:color="000000" w:fill="000000"/>
                <w:fitText w:val="330" w:id="-694415358"/>
                <w14:textFill>
                  <w14:solidFill>
                    <w14:srgbClr w14:val="000000">
                      <w14:alpha w14:val="100000"/>
                    </w14:srgbClr>
                  </w14:solidFill>
                </w14:textFill>
              </w:rPr>
              <w:t>|</w:t>
            </w:r>
            <w:r w:rsidR="008B1A8C" w:rsidRPr="008B1A8C">
              <w:rPr>
                <w:rFonts w:cs="Arial"/>
                <w:szCs w:val="20"/>
                <w:vertAlign w:val="superscript"/>
              </w:rPr>
              <w:t>2</w:t>
            </w:r>
          </w:p>
        </w:tc>
        <w:tc>
          <w:tcPr>
            <w:tcW w:w="578" w:type="pct"/>
            <w:shd w:val="clear" w:color="auto" w:fill="auto"/>
            <w:vAlign w:val="center"/>
          </w:tcPr>
          <w:p w14:paraId="66EFA5DA" w14:textId="47407D7D" w:rsidR="00715CD9" w:rsidRPr="000A61B9" w:rsidRDefault="00F0779A" w:rsidP="007A3B3E">
            <w:pPr>
              <w:pStyle w:val="TableText"/>
              <w:keepLines/>
              <w:tabs>
                <w:tab w:val="decimal" w:pos="0"/>
              </w:tabs>
              <w:jc w:val="center"/>
              <w:rPr>
                <w:highlight w:val="darkGray"/>
              </w:rPr>
            </w:pPr>
            <w:r w:rsidRPr="00F0779A">
              <w:rPr>
                <w:color w:val="000000"/>
                <w:spacing w:val="53"/>
                <w:shd w:val="solid" w:color="000000" w:fill="000000"/>
                <w:fitText w:val="330" w:id="-694415357"/>
                <w14:textFill>
                  <w14:solidFill>
                    <w14:srgbClr w14:val="000000">
                      <w14:alpha w14:val="100000"/>
                    </w14:srgbClr>
                  </w14:solidFill>
                </w14:textFill>
              </w:rPr>
              <w:t>|||</w:t>
            </w:r>
            <w:r w:rsidRPr="00F0779A">
              <w:rPr>
                <w:color w:val="000000"/>
                <w:spacing w:val="1"/>
                <w:shd w:val="solid" w:color="000000" w:fill="000000"/>
                <w:fitText w:val="330" w:id="-694415357"/>
                <w14:textFill>
                  <w14:solidFill>
                    <w14:srgbClr w14:val="000000">
                      <w14:alpha w14:val="100000"/>
                    </w14:srgbClr>
                  </w14:solidFill>
                </w14:textFill>
              </w:rPr>
              <w:t>|</w:t>
            </w:r>
            <w:r w:rsidR="008B1A8C" w:rsidRPr="008B1A8C">
              <w:rPr>
                <w:rFonts w:cs="Arial"/>
                <w:szCs w:val="20"/>
                <w:vertAlign w:val="superscript"/>
              </w:rPr>
              <w:t>2</w:t>
            </w:r>
          </w:p>
        </w:tc>
        <w:tc>
          <w:tcPr>
            <w:tcW w:w="524" w:type="pct"/>
            <w:vAlign w:val="center"/>
          </w:tcPr>
          <w:p w14:paraId="12BA7DE8" w14:textId="22E33A91" w:rsidR="00715CD9" w:rsidRPr="000A61B9" w:rsidRDefault="00F0779A" w:rsidP="007A3B3E">
            <w:pPr>
              <w:pStyle w:val="TableText"/>
              <w:keepLines/>
              <w:tabs>
                <w:tab w:val="decimal" w:pos="0"/>
              </w:tabs>
              <w:jc w:val="center"/>
              <w:rPr>
                <w:highlight w:val="darkGray"/>
              </w:rPr>
            </w:pPr>
            <w:r w:rsidRPr="00F0779A">
              <w:rPr>
                <w:color w:val="000000"/>
                <w:spacing w:val="53"/>
                <w:shd w:val="solid" w:color="000000" w:fill="000000"/>
                <w:fitText w:val="330" w:id="-694415356"/>
                <w14:textFill>
                  <w14:solidFill>
                    <w14:srgbClr w14:val="000000">
                      <w14:alpha w14:val="100000"/>
                    </w14:srgbClr>
                  </w14:solidFill>
                </w14:textFill>
              </w:rPr>
              <w:t>|||</w:t>
            </w:r>
            <w:r w:rsidRPr="00F0779A">
              <w:rPr>
                <w:color w:val="000000"/>
                <w:spacing w:val="1"/>
                <w:shd w:val="solid" w:color="000000" w:fill="000000"/>
                <w:fitText w:val="330" w:id="-694415356"/>
                <w14:textFill>
                  <w14:solidFill>
                    <w14:srgbClr w14:val="000000">
                      <w14:alpha w14:val="100000"/>
                    </w14:srgbClr>
                  </w14:solidFill>
                </w14:textFill>
              </w:rPr>
              <w:t>|</w:t>
            </w:r>
            <w:r w:rsidR="008B1A8C" w:rsidRPr="008B1A8C">
              <w:rPr>
                <w:rFonts w:cs="Arial"/>
                <w:szCs w:val="20"/>
                <w:vertAlign w:val="superscript"/>
              </w:rPr>
              <w:t>2</w:t>
            </w:r>
          </w:p>
        </w:tc>
      </w:tr>
      <w:tr w:rsidR="00A343AD" w:rsidRPr="00217EA0" w14:paraId="588C0CDC" w14:textId="77777777" w:rsidTr="00A343AD">
        <w:tc>
          <w:tcPr>
            <w:tcW w:w="1635" w:type="pct"/>
            <w:shd w:val="clear" w:color="auto" w:fill="auto"/>
            <w:vAlign w:val="bottom"/>
          </w:tcPr>
          <w:p w14:paraId="2BF84D76" w14:textId="77777777" w:rsidR="00715CD9" w:rsidRPr="00A34704" w:rsidRDefault="00715CD9" w:rsidP="007A3B3E">
            <w:pPr>
              <w:pStyle w:val="TableText"/>
              <w:keepLines/>
            </w:pPr>
            <w:r w:rsidRPr="00A34704">
              <w:t xml:space="preserve">80% Patients diagnosed with advanced CCA (locally advanced, metastatic) </w:t>
            </w:r>
          </w:p>
        </w:tc>
        <w:tc>
          <w:tcPr>
            <w:tcW w:w="528" w:type="pct"/>
            <w:shd w:val="clear" w:color="auto" w:fill="auto"/>
            <w:vAlign w:val="center"/>
          </w:tcPr>
          <w:p w14:paraId="6FC07710" w14:textId="0FFCACFE" w:rsidR="00715CD9" w:rsidRPr="000A61B9" w:rsidRDefault="00F0779A" w:rsidP="007A3B3E">
            <w:pPr>
              <w:pStyle w:val="TableNumber"/>
              <w:keepLines/>
              <w:tabs>
                <w:tab w:val="clear" w:pos="396"/>
                <w:tab w:val="decimal" w:pos="0"/>
              </w:tabs>
              <w:rPr>
                <w:highlight w:val="darkGray"/>
              </w:rPr>
            </w:pPr>
            <w:r w:rsidRPr="00F0779A">
              <w:rPr>
                <w:color w:val="000000"/>
                <w:spacing w:val="53"/>
                <w:shd w:val="solid" w:color="000000" w:fill="000000"/>
                <w:fitText w:val="330" w:id="-694415355"/>
                <w14:textFill>
                  <w14:solidFill>
                    <w14:srgbClr w14:val="000000">
                      <w14:alpha w14:val="100000"/>
                    </w14:srgbClr>
                  </w14:solidFill>
                </w14:textFill>
              </w:rPr>
              <w:t>|||</w:t>
            </w:r>
            <w:r w:rsidRPr="00F0779A">
              <w:rPr>
                <w:color w:val="000000"/>
                <w:spacing w:val="1"/>
                <w:shd w:val="solid" w:color="000000" w:fill="000000"/>
                <w:fitText w:val="330" w:id="-694415355"/>
                <w14:textFill>
                  <w14:solidFill>
                    <w14:srgbClr w14:val="000000">
                      <w14:alpha w14:val="100000"/>
                    </w14:srgbClr>
                  </w14:solidFill>
                </w14:textFill>
              </w:rPr>
              <w:t>|</w:t>
            </w:r>
            <w:r w:rsidR="008B1A8C" w:rsidRPr="008B1A8C">
              <w:rPr>
                <w:rFonts w:cs="Arial"/>
                <w:szCs w:val="20"/>
                <w:vertAlign w:val="superscript"/>
              </w:rPr>
              <w:t>2</w:t>
            </w:r>
          </w:p>
        </w:tc>
        <w:tc>
          <w:tcPr>
            <w:tcW w:w="606" w:type="pct"/>
            <w:shd w:val="clear" w:color="auto" w:fill="auto"/>
            <w:vAlign w:val="center"/>
          </w:tcPr>
          <w:p w14:paraId="45A4A0CA" w14:textId="7BED8FCA" w:rsidR="00715CD9" w:rsidRPr="000A61B9" w:rsidRDefault="00F0779A" w:rsidP="007A3B3E">
            <w:pPr>
              <w:pStyle w:val="TableText"/>
              <w:keepLines/>
              <w:tabs>
                <w:tab w:val="decimal" w:pos="0"/>
              </w:tabs>
              <w:jc w:val="center"/>
              <w:rPr>
                <w:highlight w:val="darkGray"/>
              </w:rPr>
            </w:pPr>
            <w:r w:rsidRPr="00F0779A">
              <w:rPr>
                <w:color w:val="000000"/>
                <w:spacing w:val="53"/>
                <w:shd w:val="solid" w:color="000000" w:fill="000000"/>
                <w:fitText w:val="330" w:id="-694415354"/>
                <w14:textFill>
                  <w14:solidFill>
                    <w14:srgbClr w14:val="000000">
                      <w14:alpha w14:val="100000"/>
                    </w14:srgbClr>
                  </w14:solidFill>
                </w14:textFill>
              </w:rPr>
              <w:t>|||</w:t>
            </w:r>
            <w:r w:rsidRPr="00F0779A">
              <w:rPr>
                <w:color w:val="000000"/>
                <w:spacing w:val="1"/>
                <w:shd w:val="solid" w:color="000000" w:fill="000000"/>
                <w:fitText w:val="330" w:id="-694415354"/>
                <w14:textFill>
                  <w14:solidFill>
                    <w14:srgbClr w14:val="000000">
                      <w14:alpha w14:val="100000"/>
                    </w14:srgbClr>
                  </w14:solidFill>
                </w14:textFill>
              </w:rPr>
              <w:t>|</w:t>
            </w:r>
            <w:r w:rsidR="008B1A8C" w:rsidRPr="008B1A8C">
              <w:rPr>
                <w:rFonts w:cs="Arial"/>
                <w:szCs w:val="20"/>
                <w:vertAlign w:val="superscript"/>
              </w:rPr>
              <w:t>2</w:t>
            </w:r>
          </w:p>
        </w:tc>
        <w:tc>
          <w:tcPr>
            <w:tcW w:w="563" w:type="pct"/>
            <w:shd w:val="clear" w:color="auto" w:fill="auto"/>
            <w:vAlign w:val="center"/>
          </w:tcPr>
          <w:p w14:paraId="57B94883" w14:textId="4A721429" w:rsidR="00715CD9" w:rsidRPr="000A61B9" w:rsidRDefault="00F0779A" w:rsidP="007A3B3E">
            <w:pPr>
              <w:pStyle w:val="TableText"/>
              <w:keepLines/>
              <w:tabs>
                <w:tab w:val="decimal" w:pos="0"/>
              </w:tabs>
              <w:jc w:val="center"/>
              <w:rPr>
                <w:highlight w:val="darkGray"/>
              </w:rPr>
            </w:pPr>
            <w:r w:rsidRPr="00F0779A">
              <w:rPr>
                <w:color w:val="000000"/>
                <w:spacing w:val="49"/>
                <w:shd w:val="solid" w:color="000000" w:fill="000000"/>
                <w:fitText w:val="320" w:id="-694415353"/>
                <w14:textFill>
                  <w14:solidFill>
                    <w14:srgbClr w14:val="000000">
                      <w14:alpha w14:val="100000"/>
                    </w14:srgbClr>
                  </w14:solidFill>
                </w14:textFill>
              </w:rPr>
              <w:t>|||</w:t>
            </w:r>
            <w:r w:rsidRPr="00F0779A">
              <w:rPr>
                <w:color w:val="000000"/>
                <w:spacing w:val="3"/>
                <w:shd w:val="solid" w:color="000000" w:fill="000000"/>
                <w:fitText w:val="320" w:id="-694415353"/>
                <w14:textFill>
                  <w14:solidFill>
                    <w14:srgbClr w14:val="000000">
                      <w14:alpha w14:val="100000"/>
                    </w14:srgbClr>
                  </w14:solidFill>
                </w14:textFill>
              </w:rPr>
              <w:t>|</w:t>
            </w:r>
            <w:r w:rsidR="008B1A8C" w:rsidRPr="008B1A8C">
              <w:rPr>
                <w:rFonts w:cs="Arial"/>
                <w:szCs w:val="20"/>
                <w:vertAlign w:val="superscript"/>
              </w:rPr>
              <w:t>2</w:t>
            </w:r>
          </w:p>
        </w:tc>
        <w:tc>
          <w:tcPr>
            <w:tcW w:w="565" w:type="pct"/>
            <w:shd w:val="clear" w:color="auto" w:fill="auto"/>
            <w:vAlign w:val="center"/>
          </w:tcPr>
          <w:p w14:paraId="7A1FAF57" w14:textId="204C393C" w:rsidR="00715CD9" w:rsidRPr="000A61B9" w:rsidRDefault="00F0779A" w:rsidP="007A3B3E">
            <w:pPr>
              <w:pStyle w:val="TableText"/>
              <w:keepLines/>
              <w:tabs>
                <w:tab w:val="decimal" w:pos="0"/>
              </w:tabs>
              <w:jc w:val="center"/>
              <w:rPr>
                <w:highlight w:val="darkGray"/>
              </w:rPr>
            </w:pPr>
            <w:r w:rsidRPr="00F0779A">
              <w:rPr>
                <w:color w:val="000000"/>
                <w:spacing w:val="53"/>
                <w:shd w:val="solid" w:color="000000" w:fill="000000"/>
                <w:fitText w:val="330" w:id="-694415352"/>
                <w14:textFill>
                  <w14:solidFill>
                    <w14:srgbClr w14:val="000000">
                      <w14:alpha w14:val="100000"/>
                    </w14:srgbClr>
                  </w14:solidFill>
                </w14:textFill>
              </w:rPr>
              <w:t>|||</w:t>
            </w:r>
            <w:r w:rsidRPr="00F0779A">
              <w:rPr>
                <w:color w:val="000000"/>
                <w:spacing w:val="1"/>
                <w:shd w:val="solid" w:color="000000" w:fill="000000"/>
                <w:fitText w:val="330" w:id="-694415352"/>
                <w14:textFill>
                  <w14:solidFill>
                    <w14:srgbClr w14:val="000000">
                      <w14:alpha w14:val="100000"/>
                    </w14:srgbClr>
                  </w14:solidFill>
                </w14:textFill>
              </w:rPr>
              <w:t>|</w:t>
            </w:r>
            <w:r w:rsidR="008B1A8C" w:rsidRPr="008B1A8C">
              <w:rPr>
                <w:rFonts w:cs="Arial"/>
                <w:szCs w:val="20"/>
                <w:vertAlign w:val="superscript"/>
              </w:rPr>
              <w:t>2</w:t>
            </w:r>
          </w:p>
        </w:tc>
        <w:tc>
          <w:tcPr>
            <w:tcW w:w="578" w:type="pct"/>
            <w:shd w:val="clear" w:color="auto" w:fill="auto"/>
            <w:vAlign w:val="center"/>
          </w:tcPr>
          <w:p w14:paraId="2C969012" w14:textId="53258AD5" w:rsidR="00715CD9" w:rsidRPr="000A61B9" w:rsidRDefault="00F0779A" w:rsidP="007A3B3E">
            <w:pPr>
              <w:pStyle w:val="TableText"/>
              <w:keepLines/>
              <w:tabs>
                <w:tab w:val="decimal" w:pos="0"/>
              </w:tabs>
              <w:jc w:val="center"/>
              <w:rPr>
                <w:highlight w:val="darkGray"/>
              </w:rPr>
            </w:pPr>
            <w:r w:rsidRPr="00F0779A">
              <w:rPr>
                <w:color w:val="000000"/>
                <w:spacing w:val="53"/>
                <w:shd w:val="solid" w:color="000000" w:fill="000000"/>
                <w:fitText w:val="330" w:id="-694415351"/>
                <w14:textFill>
                  <w14:solidFill>
                    <w14:srgbClr w14:val="000000">
                      <w14:alpha w14:val="100000"/>
                    </w14:srgbClr>
                  </w14:solidFill>
                </w14:textFill>
              </w:rPr>
              <w:t>|||</w:t>
            </w:r>
            <w:r w:rsidRPr="00F0779A">
              <w:rPr>
                <w:color w:val="000000"/>
                <w:spacing w:val="1"/>
                <w:shd w:val="solid" w:color="000000" w:fill="000000"/>
                <w:fitText w:val="330" w:id="-694415351"/>
                <w14:textFill>
                  <w14:solidFill>
                    <w14:srgbClr w14:val="000000">
                      <w14:alpha w14:val="100000"/>
                    </w14:srgbClr>
                  </w14:solidFill>
                </w14:textFill>
              </w:rPr>
              <w:t>|</w:t>
            </w:r>
            <w:r w:rsidR="008B1A8C" w:rsidRPr="008B1A8C">
              <w:rPr>
                <w:rFonts w:cs="Arial"/>
                <w:szCs w:val="20"/>
                <w:vertAlign w:val="superscript"/>
              </w:rPr>
              <w:t>2</w:t>
            </w:r>
          </w:p>
        </w:tc>
        <w:tc>
          <w:tcPr>
            <w:tcW w:w="524" w:type="pct"/>
            <w:vAlign w:val="center"/>
          </w:tcPr>
          <w:p w14:paraId="2721D8EF" w14:textId="02E5F744" w:rsidR="00715CD9" w:rsidRPr="000A61B9" w:rsidRDefault="00F0779A" w:rsidP="007A3B3E">
            <w:pPr>
              <w:pStyle w:val="TableText"/>
              <w:keepLines/>
              <w:tabs>
                <w:tab w:val="decimal" w:pos="0"/>
              </w:tabs>
              <w:jc w:val="center"/>
              <w:rPr>
                <w:highlight w:val="darkGray"/>
              </w:rPr>
            </w:pPr>
            <w:r w:rsidRPr="00F0779A">
              <w:rPr>
                <w:color w:val="000000"/>
                <w:spacing w:val="53"/>
                <w:shd w:val="solid" w:color="000000" w:fill="000000"/>
                <w:fitText w:val="330" w:id="-694415350"/>
                <w14:textFill>
                  <w14:solidFill>
                    <w14:srgbClr w14:val="000000">
                      <w14:alpha w14:val="100000"/>
                    </w14:srgbClr>
                  </w14:solidFill>
                </w14:textFill>
              </w:rPr>
              <w:t>|||</w:t>
            </w:r>
            <w:r w:rsidRPr="00F0779A">
              <w:rPr>
                <w:color w:val="000000"/>
                <w:spacing w:val="1"/>
                <w:shd w:val="solid" w:color="000000" w:fill="000000"/>
                <w:fitText w:val="330" w:id="-694415350"/>
                <w14:textFill>
                  <w14:solidFill>
                    <w14:srgbClr w14:val="000000">
                      <w14:alpha w14:val="100000"/>
                    </w14:srgbClr>
                  </w14:solidFill>
                </w14:textFill>
              </w:rPr>
              <w:t>|</w:t>
            </w:r>
            <w:r w:rsidR="008B1A8C" w:rsidRPr="008B1A8C">
              <w:rPr>
                <w:rFonts w:cs="Arial"/>
                <w:szCs w:val="20"/>
                <w:vertAlign w:val="superscript"/>
              </w:rPr>
              <w:t>2</w:t>
            </w:r>
          </w:p>
        </w:tc>
      </w:tr>
      <w:tr w:rsidR="00A343AD" w:rsidRPr="00217EA0" w14:paraId="4CECCA2B" w14:textId="77777777" w:rsidTr="00A343AD">
        <w:tc>
          <w:tcPr>
            <w:tcW w:w="1635" w:type="pct"/>
            <w:shd w:val="clear" w:color="auto" w:fill="auto"/>
            <w:vAlign w:val="bottom"/>
          </w:tcPr>
          <w:p w14:paraId="0FD62B11" w14:textId="24BA2080" w:rsidR="00715CD9" w:rsidRPr="00A34704" w:rsidRDefault="00F0779A" w:rsidP="007A3B3E">
            <w:pPr>
              <w:pStyle w:val="TableText"/>
              <w:keepLines/>
            </w:pPr>
            <w:r w:rsidRPr="00F0779A">
              <w:rPr>
                <w:color w:val="000000"/>
                <w:spacing w:val="53"/>
                <w:shd w:val="solid" w:color="000000" w:fill="000000"/>
                <w:fitText w:val="330" w:id="-694415349"/>
                <w14:textFill>
                  <w14:solidFill>
                    <w14:srgbClr w14:val="000000">
                      <w14:alpha w14:val="100000"/>
                    </w14:srgbClr>
                  </w14:solidFill>
                </w14:textFill>
              </w:rPr>
              <w:t>|||</w:t>
            </w:r>
            <w:r w:rsidRPr="00F0779A">
              <w:rPr>
                <w:color w:val="000000"/>
                <w:spacing w:val="1"/>
                <w:shd w:val="solid" w:color="000000" w:fill="000000"/>
                <w:fitText w:val="330" w:id="-694415349"/>
                <w14:textFill>
                  <w14:solidFill>
                    <w14:srgbClr w14:val="000000">
                      <w14:alpha w14:val="100000"/>
                    </w14:srgbClr>
                  </w14:solidFill>
                </w14:textFill>
              </w:rPr>
              <w:t>|</w:t>
            </w:r>
            <w:r w:rsidR="00715CD9" w:rsidRPr="00A34704">
              <w:t>% 1st line treatment (durvalumab) for CCA</w:t>
            </w:r>
          </w:p>
        </w:tc>
        <w:tc>
          <w:tcPr>
            <w:tcW w:w="528" w:type="pct"/>
            <w:shd w:val="clear" w:color="auto" w:fill="auto"/>
            <w:vAlign w:val="center"/>
          </w:tcPr>
          <w:p w14:paraId="263EE82B" w14:textId="507BB4A1" w:rsidR="00715CD9" w:rsidRPr="000A61B9" w:rsidRDefault="00F0779A" w:rsidP="007A3B3E">
            <w:pPr>
              <w:pStyle w:val="TableNumber"/>
              <w:keepLines/>
              <w:tabs>
                <w:tab w:val="clear" w:pos="396"/>
                <w:tab w:val="decimal" w:pos="0"/>
              </w:tabs>
              <w:rPr>
                <w:highlight w:val="darkGray"/>
              </w:rPr>
            </w:pPr>
            <w:r w:rsidRPr="00F0779A">
              <w:rPr>
                <w:color w:val="000000"/>
                <w:spacing w:val="53"/>
                <w:shd w:val="solid" w:color="000000" w:fill="000000"/>
                <w:fitText w:val="330" w:id="-694415348"/>
                <w14:textFill>
                  <w14:solidFill>
                    <w14:srgbClr w14:val="000000">
                      <w14:alpha w14:val="100000"/>
                    </w14:srgbClr>
                  </w14:solidFill>
                </w14:textFill>
              </w:rPr>
              <w:t>|||</w:t>
            </w:r>
            <w:r w:rsidRPr="00F0779A">
              <w:rPr>
                <w:color w:val="000000"/>
                <w:spacing w:val="1"/>
                <w:shd w:val="solid" w:color="000000" w:fill="000000"/>
                <w:fitText w:val="330" w:id="-694415348"/>
                <w14:textFill>
                  <w14:solidFill>
                    <w14:srgbClr w14:val="000000">
                      <w14:alpha w14:val="100000"/>
                    </w14:srgbClr>
                  </w14:solidFill>
                </w14:textFill>
              </w:rPr>
              <w:t>|</w:t>
            </w:r>
            <w:r w:rsidR="008B1A8C" w:rsidRPr="008B1A8C">
              <w:rPr>
                <w:rFonts w:cs="Arial"/>
                <w:szCs w:val="20"/>
                <w:vertAlign w:val="superscript"/>
              </w:rPr>
              <w:t>2</w:t>
            </w:r>
          </w:p>
        </w:tc>
        <w:tc>
          <w:tcPr>
            <w:tcW w:w="606" w:type="pct"/>
            <w:shd w:val="clear" w:color="auto" w:fill="auto"/>
            <w:vAlign w:val="center"/>
          </w:tcPr>
          <w:p w14:paraId="565D8DEA" w14:textId="6BD9474D" w:rsidR="00715CD9" w:rsidRPr="000A61B9" w:rsidRDefault="00F0779A" w:rsidP="007A3B3E">
            <w:pPr>
              <w:pStyle w:val="TableText"/>
              <w:keepLines/>
              <w:tabs>
                <w:tab w:val="decimal" w:pos="0"/>
              </w:tabs>
              <w:jc w:val="center"/>
              <w:rPr>
                <w:highlight w:val="darkGray"/>
              </w:rPr>
            </w:pPr>
            <w:r w:rsidRPr="00F0779A">
              <w:rPr>
                <w:color w:val="000000"/>
                <w:spacing w:val="53"/>
                <w:shd w:val="solid" w:color="000000" w:fill="000000"/>
                <w:fitText w:val="330" w:id="-694415347"/>
                <w14:textFill>
                  <w14:solidFill>
                    <w14:srgbClr w14:val="000000">
                      <w14:alpha w14:val="100000"/>
                    </w14:srgbClr>
                  </w14:solidFill>
                </w14:textFill>
              </w:rPr>
              <w:t>|||</w:t>
            </w:r>
            <w:r w:rsidRPr="00F0779A">
              <w:rPr>
                <w:color w:val="000000"/>
                <w:spacing w:val="1"/>
                <w:shd w:val="solid" w:color="000000" w:fill="000000"/>
                <w:fitText w:val="330" w:id="-694415347"/>
                <w14:textFill>
                  <w14:solidFill>
                    <w14:srgbClr w14:val="000000">
                      <w14:alpha w14:val="100000"/>
                    </w14:srgbClr>
                  </w14:solidFill>
                </w14:textFill>
              </w:rPr>
              <w:t>|</w:t>
            </w:r>
            <w:r w:rsidR="008B1A8C" w:rsidRPr="008B1A8C">
              <w:rPr>
                <w:rFonts w:cs="Arial"/>
                <w:szCs w:val="20"/>
                <w:vertAlign w:val="superscript"/>
              </w:rPr>
              <w:t>2</w:t>
            </w:r>
          </w:p>
        </w:tc>
        <w:tc>
          <w:tcPr>
            <w:tcW w:w="563" w:type="pct"/>
            <w:shd w:val="clear" w:color="auto" w:fill="auto"/>
            <w:vAlign w:val="center"/>
          </w:tcPr>
          <w:p w14:paraId="5E1A311C" w14:textId="7541F6D0" w:rsidR="00715CD9" w:rsidRPr="000A61B9" w:rsidRDefault="00F0779A" w:rsidP="007A3B3E">
            <w:pPr>
              <w:pStyle w:val="TableText"/>
              <w:keepLines/>
              <w:tabs>
                <w:tab w:val="decimal" w:pos="0"/>
              </w:tabs>
              <w:jc w:val="center"/>
              <w:rPr>
                <w:highlight w:val="darkGray"/>
              </w:rPr>
            </w:pPr>
            <w:r w:rsidRPr="00F0779A">
              <w:rPr>
                <w:color w:val="000000"/>
                <w:spacing w:val="49"/>
                <w:shd w:val="solid" w:color="000000" w:fill="000000"/>
                <w:fitText w:val="320" w:id="-694415346"/>
                <w14:textFill>
                  <w14:solidFill>
                    <w14:srgbClr w14:val="000000">
                      <w14:alpha w14:val="100000"/>
                    </w14:srgbClr>
                  </w14:solidFill>
                </w14:textFill>
              </w:rPr>
              <w:t>|||</w:t>
            </w:r>
            <w:r w:rsidRPr="00F0779A">
              <w:rPr>
                <w:color w:val="000000"/>
                <w:spacing w:val="3"/>
                <w:shd w:val="solid" w:color="000000" w:fill="000000"/>
                <w:fitText w:val="320" w:id="-694415346"/>
                <w14:textFill>
                  <w14:solidFill>
                    <w14:srgbClr w14:val="000000">
                      <w14:alpha w14:val="100000"/>
                    </w14:srgbClr>
                  </w14:solidFill>
                </w14:textFill>
              </w:rPr>
              <w:t>|</w:t>
            </w:r>
            <w:r w:rsidR="008B1A8C" w:rsidRPr="008B1A8C">
              <w:rPr>
                <w:rFonts w:cs="Arial"/>
                <w:szCs w:val="20"/>
                <w:vertAlign w:val="superscript"/>
              </w:rPr>
              <w:t>2</w:t>
            </w:r>
          </w:p>
        </w:tc>
        <w:tc>
          <w:tcPr>
            <w:tcW w:w="565" w:type="pct"/>
            <w:shd w:val="clear" w:color="auto" w:fill="auto"/>
            <w:vAlign w:val="center"/>
          </w:tcPr>
          <w:p w14:paraId="2DDAD69D" w14:textId="522308D9" w:rsidR="00715CD9" w:rsidRPr="000A61B9" w:rsidRDefault="00F0779A" w:rsidP="007A3B3E">
            <w:pPr>
              <w:pStyle w:val="TableText"/>
              <w:keepLines/>
              <w:tabs>
                <w:tab w:val="decimal" w:pos="0"/>
              </w:tabs>
              <w:jc w:val="center"/>
              <w:rPr>
                <w:highlight w:val="darkGray"/>
              </w:rPr>
            </w:pPr>
            <w:r w:rsidRPr="00F0779A">
              <w:rPr>
                <w:color w:val="000000"/>
                <w:spacing w:val="53"/>
                <w:shd w:val="solid" w:color="000000" w:fill="000000"/>
                <w:fitText w:val="330" w:id="-694415345"/>
                <w14:textFill>
                  <w14:solidFill>
                    <w14:srgbClr w14:val="000000">
                      <w14:alpha w14:val="100000"/>
                    </w14:srgbClr>
                  </w14:solidFill>
                </w14:textFill>
              </w:rPr>
              <w:t>|||</w:t>
            </w:r>
            <w:r w:rsidRPr="00F0779A">
              <w:rPr>
                <w:color w:val="000000"/>
                <w:spacing w:val="1"/>
                <w:shd w:val="solid" w:color="000000" w:fill="000000"/>
                <w:fitText w:val="330" w:id="-694415345"/>
                <w14:textFill>
                  <w14:solidFill>
                    <w14:srgbClr w14:val="000000">
                      <w14:alpha w14:val="100000"/>
                    </w14:srgbClr>
                  </w14:solidFill>
                </w14:textFill>
              </w:rPr>
              <w:t>|</w:t>
            </w:r>
            <w:r w:rsidR="008B1A8C" w:rsidRPr="008B1A8C">
              <w:rPr>
                <w:rFonts w:cs="Arial"/>
                <w:szCs w:val="20"/>
                <w:vertAlign w:val="superscript"/>
              </w:rPr>
              <w:t>2</w:t>
            </w:r>
          </w:p>
        </w:tc>
        <w:tc>
          <w:tcPr>
            <w:tcW w:w="578" w:type="pct"/>
            <w:shd w:val="clear" w:color="auto" w:fill="auto"/>
            <w:vAlign w:val="center"/>
          </w:tcPr>
          <w:p w14:paraId="3F681DE7" w14:textId="724A321F" w:rsidR="00715CD9" w:rsidRPr="000A61B9" w:rsidRDefault="00F0779A" w:rsidP="007A3B3E">
            <w:pPr>
              <w:pStyle w:val="TableText"/>
              <w:keepLines/>
              <w:tabs>
                <w:tab w:val="decimal" w:pos="0"/>
              </w:tabs>
              <w:jc w:val="center"/>
              <w:rPr>
                <w:highlight w:val="darkGray"/>
              </w:rPr>
            </w:pPr>
            <w:r w:rsidRPr="00F0779A">
              <w:rPr>
                <w:color w:val="000000"/>
                <w:spacing w:val="53"/>
                <w:shd w:val="solid" w:color="000000" w:fill="000000"/>
                <w:fitText w:val="330" w:id="-694415344"/>
                <w14:textFill>
                  <w14:solidFill>
                    <w14:srgbClr w14:val="000000">
                      <w14:alpha w14:val="100000"/>
                    </w14:srgbClr>
                  </w14:solidFill>
                </w14:textFill>
              </w:rPr>
              <w:t>|||</w:t>
            </w:r>
            <w:r w:rsidRPr="00F0779A">
              <w:rPr>
                <w:color w:val="000000"/>
                <w:spacing w:val="1"/>
                <w:shd w:val="solid" w:color="000000" w:fill="000000"/>
                <w:fitText w:val="330" w:id="-694415344"/>
                <w14:textFill>
                  <w14:solidFill>
                    <w14:srgbClr w14:val="000000">
                      <w14:alpha w14:val="100000"/>
                    </w14:srgbClr>
                  </w14:solidFill>
                </w14:textFill>
              </w:rPr>
              <w:t>|</w:t>
            </w:r>
            <w:r w:rsidR="008B1A8C" w:rsidRPr="008B1A8C">
              <w:rPr>
                <w:rFonts w:cs="Arial"/>
                <w:szCs w:val="20"/>
                <w:vertAlign w:val="superscript"/>
              </w:rPr>
              <w:t>2</w:t>
            </w:r>
          </w:p>
        </w:tc>
        <w:tc>
          <w:tcPr>
            <w:tcW w:w="524" w:type="pct"/>
            <w:vAlign w:val="center"/>
          </w:tcPr>
          <w:p w14:paraId="184FEABB" w14:textId="49FCBF69" w:rsidR="00715CD9" w:rsidRPr="000A61B9" w:rsidRDefault="00F0779A" w:rsidP="007A3B3E">
            <w:pPr>
              <w:pStyle w:val="TableText"/>
              <w:keepLines/>
              <w:tabs>
                <w:tab w:val="decimal" w:pos="0"/>
              </w:tabs>
              <w:jc w:val="center"/>
              <w:rPr>
                <w:highlight w:val="darkGray"/>
              </w:rPr>
            </w:pPr>
            <w:r w:rsidRPr="00F0779A">
              <w:rPr>
                <w:color w:val="000000"/>
                <w:spacing w:val="53"/>
                <w:shd w:val="solid" w:color="000000" w:fill="000000"/>
                <w:fitText w:val="330" w:id="-694415360"/>
                <w14:textFill>
                  <w14:solidFill>
                    <w14:srgbClr w14:val="000000">
                      <w14:alpha w14:val="100000"/>
                    </w14:srgbClr>
                  </w14:solidFill>
                </w14:textFill>
              </w:rPr>
              <w:t>|||</w:t>
            </w:r>
            <w:r w:rsidRPr="00F0779A">
              <w:rPr>
                <w:color w:val="000000"/>
                <w:spacing w:val="1"/>
                <w:shd w:val="solid" w:color="000000" w:fill="000000"/>
                <w:fitText w:val="330" w:id="-694415360"/>
                <w14:textFill>
                  <w14:solidFill>
                    <w14:srgbClr w14:val="000000">
                      <w14:alpha w14:val="100000"/>
                    </w14:srgbClr>
                  </w14:solidFill>
                </w14:textFill>
              </w:rPr>
              <w:t>|</w:t>
            </w:r>
            <w:r w:rsidR="008B1A8C" w:rsidRPr="008B1A8C">
              <w:rPr>
                <w:rFonts w:cs="Arial"/>
                <w:szCs w:val="20"/>
                <w:vertAlign w:val="superscript"/>
              </w:rPr>
              <w:t>2</w:t>
            </w:r>
          </w:p>
        </w:tc>
      </w:tr>
      <w:tr w:rsidR="00A343AD" w:rsidRPr="00217EA0" w14:paraId="2B0B0FA2" w14:textId="77777777" w:rsidTr="00A343AD">
        <w:tc>
          <w:tcPr>
            <w:tcW w:w="1635" w:type="pct"/>
            <w:shd w:val="clear" w:color="auto" w:fill="auto"/>
            <w:vAlign w:val="center"/>
          </w:tcPr>
          <w:p w14:paraId="3314C357" w14:textId="77777777" w:rsidR="00715CD9" w:rsidRPr="00A34704" w:rsidRDefault="00715CD9" w:rsidP="007A3B3E">
            <w:pPr>
              <w:pStyle w:val="TableText"/>
              <w:keepLines/>
            </w:pPr>
            <w:r w:rsidRPr="00D510A9">
              <w:t>60</w:t>
            </w:r>
            <w:r w:rsidRPr="00A34704">
              <w:t>% Progress to 2L ECOG PS 0 or 1</w:t>
            </w:r>
          </w:p>
        </w:tc>
        <w:tc>
          <w:tcPr>
            <w:tcW w:w="528" w:type="pct"/>
            <w:shd w:val="clear" w:color="auto" w:fill="auto"/>
            <w:vAlign w:val="center"/>
          </w:tcPr>
          <w:p w14:paraId="3E96B3C7" w14:textId="362C82FB" w:rsidR="00715CD9" w:rsidRPr="000A61B9" w:rsidRDefault="00F0779A" w:rsidP="007A3B3E">
            <w:pPr>
              <w:pStyle w:val="TableNumber"/>
              <w:keepLines/>
              <w:tabs>
                <w:tab w:val="clear" w:pos="396"/>
                <w:tab w:val="decimal" w:pos="0"/>
              </w:tabs>
              <w:rPr>
                <w:highlight w:val="darkGray"/>
              </w:rPr>
            </w:pPr>
            <w:r w:rsidRPr="00F0779A">
              <w:rPr>
                <w:color w:val="000000"/>
                <w:spacing w:val="53"/>
                <w:shd w:val="solid" w:color="000000" w:fill="000000"/>
                <w:fitText w:val="330" w:id="-694415359"/>
                <w14:textFill>
                  <w14:solidFill>
                    <w14:srgbClr w14:val="000000">
                      <w14:alpha w14:val="100000"/>
                    </w14:srgbClr>
                  </w14:solidFill>
                </w14:textFill>
              </w:rPr>
              <w:t>|||</w:t>
            </w:r>
            <w:r w:rsidRPr="00F0779A">
              <w:rPr>
                <w:color w:val="000000"/>
                <w:spacing w:val="1"/>
                <w:shd w:val="solid" w:color="000000" w:fill="000000"/>
                <w:fitText w:val="330" w:id="-694415359"/>
                <w14:textFill>
                  <w14:solidFill>
                    <w14:srgbClr w14:val="000000">
                      <w14:alpha w14:val="100000"/>
                    </w14:srgbClr>
                  </w14:solidFill>
                </w14:textFill>
              </w:rPr>
              <w:t>|</w:t>
            </w:r>
            <w:r w:rsidR="0012160F" w:rsidRPr="0012160F">
              <w:rPr>
                <w:vertAlign w:val="superscript"/>
              </w:rPr>
              <w:t>3</w:t>
            </w:r>
          </w:p>
        </w:tc>
        <w:tc>
          <w:tcPr>
            <w:tcW w:w="606" w:type="pct"/>
            <w:shd w:val="clear" w:color="auto" w:fill="auto"/>
            <w:vAlign w:val="center"/>
          </w:tcPr>
          <w:p w14:paraId="367BA499" w14:textId="6FB89103" w:rsidR="00715CD9" w:rsidRPr="000A61B9" w:rsidRDefault="00F0779A" w:rsidP="007A3B3E">
            <w:pPr>
              <w:pStyle w:val="TableText"/>
              <w:keepLines/>
              <w:tabs>
                <w:tab w:val="decimal" w:pos="0"/>
              </w:tabs>
              <w:jc w:val="center"/>
              <w:rPr>
                <w:highlight w:val="darkGray"/>
              </w:rPr>
            </w:pPr>
            <w:r w:rsidRPr="00F0779A">
              <w:rPr>
                <w:color w:val="000000"/>
                <w:spacing w:val="53"/>
                <w:shd w:val="solid" w:color="000000" w:fill="000000"/>
                <w:fitText w:val="330" w:id="-694415358"/>
                <w14:textFill>
                  <w14:solidFill>
                    <w14:srgbClr w14:val="000000">
                      <w14:alpha w14:val="100000"/>
                    </w14:srgbClr>
                  </w14:solidFill>
                </w14:textFill>
              </w:rPr>
              <w:t>|||</w:t>
            </w:r>
            <w:r w:rsidRPr="00F0779A">
              <w:rPr>
                <w:color w:val="000000"/>
                <w:spacing w:val="1"/>
                <w:shd w:val="solid" w:color="000000" w:fill="000000"/>
                <w:fitText w:val="330" w:id="-694415358"/>
                <w14:textFill>
                  <w14:solidFill>
                    <w14:srgbClr w14:val="000000">
                      <w14:alpha w14:val="100000"/>
                    </w14:srgbClr>
                  </w14:solidFill>
                </w14:textFill>
              </w:rPr>
              <w:t>|</w:t>
            </w:r>
            <w:r w:rsidR="0012160F" w:rsidRPr="0012160F">
              <w:rPr>
                <w:vertAlign w:val="superscript"/>
              </w:rPr>
              <w:t>3</w:t>
            </w:r>
          </w:p>
        </w:tc>
        <w:tc>
          <w:tcPr>
            <w:tcW w:w="563" w:type="pct"/>
            <w:shd w:val="clear" w:color="auto" w:fill="auto"/>
            <w:vAlign w:val="center"/>
          </w:tcPr>
          <w:p w14:paraId="40664A1D" w14:textId="20143E0F" w:rsidR="00715CD9" w:rsidRPr="000A61B9" w:rsidRDefault="00F0779A" w:rsidP="007A3B3E">
            <w:pPr>
              <w:pStyle w:val="TableText"/>
              <w:keepLines/>
              <w:tabs>
                <w:tab w:val="decimal" w:pos="0"/>
              </w:tabs>
              <w:jc w:val="center"/>
              <w:rPr>
                <w:highlight w:val="darkGray"/>
              </w:rPr>
            </w:pPr>
            <w:r w:rsidRPr="00F0779A">
              <w:rPr>
                <w:color w:val="000000"/>
                <w:spacing w:val="49"/>
                <w:shd w:val="solid" w:color="000000" w:fill="000000"/>
                <w:fitText w:val="320" w:id="-694415357"/>
                <w14:textFill>
                  <w14:solidFill>
                    <w14:srgbClr w14:val="000000">
                      <w14:alpha w14:val="100000"/>
                    </w14:srgbClr>
                  </w14:solidFill>
                </w14:textFill>
              </w:rPr>
              <w:t>|||</w:t>
            </w:r>
            <w:r w:rsidRPr="00F0779A">
              <w:rPr>
                <w:color w:val="000000"/>
                <w:spacing w:val="3"/>
                <w:shd w:val="solid" w:color="000000" w:fill="000000"/>
                <w:fitText w:val="320" w:id="-694415357"/>
                <w14:textFill>
                  <w14:solidFill>
                    <w14:srgbClr w14:val="000000">
                      <w14:alpha w14:val="100000"/>
                    </w14:srgbClr>
                  </w14:solidFill>
                </w14:textFill>
              </w:rPr>
              <w:t>|</w:t>
            </w:r>
            <w:r w:rsidR="0012160F" w:rsidRPr="0012160F">
              <w:rPr>
                <w:vertAlign w:val="superscript"/>
              </w:rPr>
              <w:t>3</w:t>
            </w:r>
          </w:p>
        </w:tc>
        <w:tc>
          <w:tcPr>
            <w:tcW w:w="565" w:type="pct"/>
            <w:shd w:val="clear" w:color="auto" w:fill="auto"/>
            <w:vAlign w:val="center"/>
          </w:tcPr>
          <w:p w14:paraId="2F360DC8" w14:textId="688430EC" w:rsidR="00715CD9" w:rsidRPr="000A61B9" w:rsidRDefault="00F0779A" w:rsidP="007A3B3E">
            <w:pPr>
              <w:pStyle w:val="TableText"/>
              <w:keepLines/>
              <w:tabs>
                <w:tab w:val="decimal" w:pos="0"/>
              </w:tabs>
              <w:jc w:val="center"/>
              <w:rPr>
                <w:highlight w:val="darkGray"/>
              </w:rPr>
            </w:pPr>
            <w:r w:rsidRPr="00F0779A">
              <w:rPr>
                <w:color w:val="000000"/>
                <w:spacing w:val="53"/>
                <w:shd w:val="solid" w:color="000000" w:fill="000000"/>
                <w:fitText w:val="330" w:id="-694415356"/>
                <w14:textFill>
                  <w14:solidFill>
                    <w14:srgbClr w14:val="000000">
                      <w14:alpha w14:val="100000"/>
                    </w14:srgbClr>
                  </w14:solidFill>
                </w14:textFill>
              </w:rPr>
              <w:t>|||</w:t>
            </w:r>
            <w:r w:rsidRPr="00F0779A">
              <w:rPr>
                <w:color w:val="000000"/>
                <w:spacing w:val="1"/>
                <w:shd w:val="solid" w:color="000000" w:fill="000000"/>
                <w:fitText w:val="330" w:id="-694415356"/>
                <w14:textFill>
                  <w14:solidFill>
                    <w14:srgbClr w14:val="000000">
                      <w14:alpha w14:val="100000"/>
                    </w14:srgbClr>
                  </w14:solidFill>
                </w14:textFill>
              </w:rPr>
              <w:t>|</w:t>
            </w:r>
            <w:r w:rsidR="0012160F" w:rsidRPr="0012160F">
              <w:rPr>
                <w:vertAlign w:val="superscript"/>
              </w:rPr>
              <w:t>3</w:t>
            </w:r>
          </w:p>
        </w:tc>
        <w:tc>
          <w:tcPr>
            <w:tcW w:w="578" w:type="pct"/>
            <w:shd w:val="clear" w:color="auto" w:fill="auto"/>
            <w:vAlign w:val="center"/>
          </w:tcPr>
          <w:p w14:paraId="47BB83ED" w14:textId="11FD6517" w:rsidR="00715CD9" w:rsidRPr="000A61B9" w:rsidRDefault="00F0779A" w:rsidP="007A3B3E">
            <w:pPr>
              <w:pStyle w:val="TableText"/>
              <w:keepLines/>
              <w:tabs>
                <w:tab w:val="decimal" w:pos="0"/>
              </w:tabs>
              <w:jc w:val="center"/>
              <w:rPr>
                <w:highlight w:val="darkGray"/>
              </w:rPr>
            </w:pPr>
            <w:r w:rsidRPr="00F0779A">
              <w:rPr>
                <w:color w:val="000000"/>
                <w:spacing w:val="53"/>
                <w:shd w:val="solid" w:color="000000" w:fill="000000"/>
                <w:fitText w:val="330" w:id="-694415355"/>
                <w14:textFill>
                  <w14:solidFill>
                    <w14:srgbClr w14:val="000000">
                      <w14:alpha w14:val="100000"/>
                    </w14:srgbClr>
                  </w14:solidFill>
                </w14:textFill>
              </w:rPr>
              <w:t>|||</w:t>
            </w:r>
            <w:r w:rsidRPr="00F0779A">
              <w:rPr>
                <w:color w:val="000000"/>
                <w:spacing w:val="1"/>
                <w:shd w:val="solid" w:color="000000" w:fill="000000"/>
                <w:fitText w:val="330" w:id="-694415355"/>
                <w14:textFill>
                  <w14:solidFill>
                    <w14:srgbClr w14:val="000000">
                      <w14:alpha w14:val="100000"/>
                    </w14:srgbClr>
                  </w14:solidFill>
                </w14:textFill>
              </w:rPr>
              <w:t>|</w:t>
            </w:r>
            <w:r w:rsidR="0012160F" w:rsidRPr="0012160F">
              <w:rPr>
                <w:vertAlign w:val="superscript"/>
              </w:rPr>
              <w:t>3</w:t>
            </w:r>
          </w:p>
        </w:tc>
        <w:tc>
          <w:tcPr>
            <w:tcW w:w="524" w:type="pct"/>
            <w:vAlign w:val="center"/>
          </w:tcPr>
          <w:p w14:paraId="7FC105DE" w14:textId="3DA4A40D" w:rsidR="00715CD9" w:rsidRPr="000A61B9" w:rsidRDefault="00F0779A" w:rsidP="007A3B3E">
            <w:pPr>
              <w:pStyle w:val="TableText"/>
              <w:keepLines/>
              <w:tabs>
                <w:tab w:val="decimal" w:pos="0"/>
              </w:tabs>
              <w:jc w:val="center"/>
              <w:rPr>
                <w:highlight w:val="darkGray"/>
              </w:rPr>
            </w:pPr>
            <w:r w:rsidRPr="00F0779A">
              <w:rPr>
                <w:color w:val="000000"/>
                <w:spacing w:val="53"/>
                <w:shd w:val="solid" w:color="000000" w:fill="000000"/>
                <w:fitText w:val="330" w:id="-694415354"/>
                <w14:textFill>
                  <w14:solidFill>
                    <w14:srgbClr w14:val="000000">
                      <w14:alpha w14:val="100000"/>
                    </w14:srgbClr>
                  </w14:solidFill>
                </w14:textFill>
              </w:rPr>
              <w:t>|||</w:t>
            </w:r>
            <w:r w:rsidRPr="00F0779A">
              <w:rPr>
                <w:color w:val="000000"/>
                <w:spacing w:val="1"/>
                <w:shd w:val="solid" w:color="000000" w:fill="000000"/>
                <w:fitText w:val="330" w:id="-694415354"/>
                <w14:textFill>
                  <w14:solidFill>
                    <w14:srgbClr w14:val="000000">
                      <w14:alpha w14:val="100000"/>
                    </w14:srgbClr>
                  </w14:solidFill>
                </w14:textFill>
              </w:rPr>
              <w:t>|</w:t>
            </w:r>
            <w:r w:rsidR="0012160F" w:rsidRPr="0012160F">
              <w:rPr>
                <w:vertAlign w:val="superscript"/>
              </w:rPr>
              <w:t>3</w:t>
            </w:r>
          </w:p>
        </w:tc>
      </w:tr>
      <w:tr w:rsidR="00715CD9" w:rsidRPr="00217EA0" w14:paraId="1F7C521D" w14:textId="77777777">
        <w:tc>
          <w:tcPr>
            <w:tcW w:w="5000" w:type="pct"/>
            <w:gridSpan w:val="7"/>
            <w:shd w:val="clear" w:color="auto" w:fill="auto"/>
            <w:vAlign w:val="center"/>
          </w:tcPr>
          <w:p w14:paraId="62638899" w14:textId="4DE7E116" w:rsidR="00715CD9" w:rsidRPr="00217EA0" w:rsidRDefault="00715CD9" w:rsidP="007A3B3E">
            <w:pPr>
              <w:pStyle w:val="TableText"/>
              <w:keepLines/>
              <w:tabs>
                <w:tab w:val="decimal" w:pos="0"/>
              </w:tabs>
              <w:rPr>
                <w:b/>
              </w:rPr>
            </w:pPr>
            <w:r w:rsidRPr="00217EA0">
              <w:rPr>
                <w:b/>
              </w:rPr>
              <w:t xml:space="preserve">Estimated extent of use of </w:t>
            </w:r>
            <w:r w:rsidR="003E5C46" w:rsidRPr="003E5C46">
              <w:rPr>
                <w:b/>
                <w:i/>
                <w:iCs/>
              </w:rPr>
              <w:t>FGFR2</w:t>
            </w:r>
            <w:r w:rsidRPr="00217EA0">
              <w:rPr>
                <w:b/>
              </w:rPr>
              <w:t xml:space="preserve"> testing</w:t>
            </w:r>
          </w:p>
        </w:tc>
      </w:tr>
      <w:tr w:rsidR="00A343AD" w:rsidRPr="00827480" w14:paraId="23B753D1" w14:textId="77777777" w:rsidTr="00A343AD">
        <w:tc>
          <w:tcPr>
            <w:tcW w:w="1635" w:type="pct"/>
            <w:shd w:val="clear" w:color="auto" w:fill="auto"/>
            <w:vAlign w:val="center"/>
          </w:tcPr>
          <w:p w14:paraId="7F66F806" w14:textId="77777777" w:rsidR="00715CD9" w:rsidRPr="00827480" w:rsidRDefault="00715CD9" w:rsidP="007A3B3E">
            <w:pPr>
              <w:pStyle w:val="TableText"/>
              <w:keepLines/>
            </w:pPr>
            <w:r w:rsidRPr="00827480">
              <w:t xml:space="preserve">Number of patients tested </w:t>
            </w:r>
            <w:r w:rsidRPr="00827480">
              <w:rPr>
                <w:vertAlign w:val="superscript"/>
              </w:rPr>
              <w:t>a</w:t>
            </w:r>
          </w:p>
        </w:tc>
        <w:tc>
          <w:tcPr>
            <w:tcW w:w="528" w:type="pct"/>
            <w:shd w:val="clear" w:color="auto" w:fill="auto"/>
          </w:tcPr>
          <w:p w14:paraId="2C46080D" w14:textId="5F4C51D4" w:rsidR="00715CD9" w:rsidRPr="000A61B9" w:rsidRDefault="00F0779A" w:rsidP="007A3B3E">
            <w:pPr>
              <w:pStyle w:val="TableNumber"/>
              <w:keepLines/>
              <w:tabs>
                <w:tab w:val="clear" w:pos="396"/>
                <w:tab w:val="decimal" w:pos="0"/>
              </w:tabs>
              <w:rPr>
                <w:highlight w:val="darkGray"/>
              </w:rPr>
            </w:pPr>
            <w:r w:rsidRPr="00F0779A">
              <w:rPr>
                <w:color w:val="000000"/>
                <w:spacing w:val="53"/>
                <w:shd w:val="solid" w:color="000000" w:fill="000000"/>
                <w:fitText w:val="330" w:id="-694415353"/>
                <w14:textFill>
                  <w14:solidFill>
                    <w14:srgbClr w14:val="000000">
                      <w14:alpha w14:val="100000"/>
                    </w14:srgbClr>
                  </w14:solidFill>
                </w14:textFill>
              </w:rPr>
              <w:t>|||</w:t>
            </w:r>
            <w:r w:rsidRPr="00F0779A">
              <w:rPr>
                <w:color w:val="000000"/>
                <w:spacing w:val="1"/>
                <w:shd w:val="solid" w:color="000000" w:fill="000000"/>
                <w:fitText w:val="330" w:id="-694415353"/>
                <w14:textFill>
                  <w14:solidFill>
                    <w14:srgbClr w14:val="000000">
                      <w14:alpha w14:val="100000"/>
                    </w14:srgbClr>
                  </w14:solidFill>
                </w14:textFill>
              </w:rPr>
              <w:t>|</w:t>
            </w:r>
            <w:r w:rsidR="0012160F" w:rsidRPr="0012160F">
              <w:rPr>
                <w:vertAlign w:val="superscript"/>
              </w:rPr>
              <w:t>3</w:t>
            </w:r>
          </w:p>
        </w:tc>
        <w:tc>
          <w:tcPr>
            <w:tcW w:w="606" w:type="pct"/>
            <w:shd w:val="clear" w:color="auto" w:fill="auto"/>
          </w:tcPr>
          <w:p w14:paraId="15AF9698" w14:textId="42FDA27D" w:rsidR="00715CD9" w:rsidRPr="000A61B9" w:rsidRDefault="00F0779A" w:rsidP="007A3B3E">
            <w:pPr>
              <w:pStyle w:val="TableText"/>
              <w:keepLines/>
              <w:tabs>
                <w:tab w:val="decimal" w:pos="0"/>
              </w:tabs>
              <w:jc w:val="center"/>
              <w:rPr>
                <w:highlight w:val="darkGray"/>
              </w:rPr>
            </w:pPr>
            <w:r w:rsidRPr="00F0779A">
              <w:rPr>
                <w:color w:val="000000"/>
                <w:spacing w:val="53"/>
                <w:shd w:val="solid" w:color="000000" w:fill="000000"/>
                <w:fitText w:val="330" w:id="-694415352"/>
                <w14:textFill>
                  <w14:solidFill>
                    <w14:srgbClr w14:val="000000">
                      <w14:alpha w14:val="100000"/>
                    </w14:srgbClr>
                  </w14:solidFill>
                </w14:textFill>
              </w:rPr>
              <w:t>|||</w:t>
            </w:r>
            <w:r w:rsidRPr="00F0779A">
              <w:rPr>
                <w:color w:val="000000"/>
                <w:spacing w:val="1"/>
                <w:shd w:val="solid" w:color="000000" w:fill="000000"/>
                <w:fitText w:val="330" w:id="-694415352"/>
                <w14:textFill>
                  <w14:solidFill>
                    <w14:srgbClr w14:val="000000">
                      <w14:alpha w14:val="100000"/>
                    </w14:srgbClr>
                  </w14:solidFill>
                </w14:textFill>
              </w:rPr>
              <w:t>|</w:t>
            </w:r>
            <w:r w:rsidR="0012160F" w:rsidRPr="0012160F">
              <w:rPr>
                <w:vertAlign w:val="superscript"/>
              </w:rPr>
              <w:t>3</w:t>
            </w:r>
          </w:p>
        </w:tc>
        <w:tc>
          <w:tcPr>
            <w:tcW w:w="563" w:type="pct"/>
            <w:shd w:val="clear" w:color="auto" w:fill="auto"/>
          </w:tcPr>
          <w:p w14:paraId="0C30FDB8" w14:textId="79179051" w:rsidR="00715CD9" w:rsidRPr="000A61B9" w:rsidRDefault="00F0779A" w:rsidP="007A3B3E">
            <w:pPr>
              <w:pStyle w:val="TableText"/>
              <w:keepLines/>
              <w:tabs>
                <w:tab w:val="decimal" w:pos="0"/>
              </w:tabs>
              <w:jc w:val="center"/>
              <w:rPr>
                <w:highlight w:val="darkGray"/>
              </w:rPr>
            </w:pPr>
            <w:r w:rsidRPr="00F0779A">
              <w:rPr>
                <w:color w:val="000000"/>
                <w:spacing w:val="49"/>
                <w:shd w:val="solid" w:color="000000" w:fill="000000"/>
                <w:fitText w:val="320" w:id="-694415351"/>
                <w14:textFill>
                  <w14:solidFill>
                    <w14:srgbClr w14:val="000000">
                      <w14:alpha w14:val="100000"/>
                    </w14:srgbClr>
                  </w14:solidFill>
                </w14:textFill>
              </w:rPr>
              <w:t>|||</w:t>
            </w:r>
            <w:r w:rsidRPr="00F0779A">
              <w:rPr>
                <w:color w:val="000000"/>
                <w:spacing w:val="3"/>
                <w:shd w:val="solid" w:color="000000" w:fill="000000"/>
                <w:fitText w:val="320" w:id="-694415351"/>
                <w14:textFill>
                  <w14:solidFill>
                    <w14:srgbClr w14:val="000000">
                      <w14:alpha w14:val="100000"/>
                    </w14:srgbClr>
                  </w14:solidFill>
                </w14:textFill>
              </w:rPr>
              <w:t>|</w:t>
            </w:r>
            <w:r w:rsidR="0012160F" w:rsidRPr="0012160F">
              <w:rPr>
                <w:vertAlign w:val="superscript"/>
              </w:rPr>
              <w:t>3</w:t>
            </w:r>
          </w:p>
        </w:tc>
        <w:tc>
          <w:tcPr>
            <w:tcW w:w="565" w:type="pct"/>
            <w:shd w:val="clear" w:color="auto" w:fill="auto"/>
          </w:tcPr>
          <w:p w14:paraId="4E822DAC" w14:textId="4E0F0C03" w:rsidR="00715CD9" w:rsidRPr="000A61B9" w:rsidRDefault="00F0779A" w:rsidP="007A3B3E">
            <w:pPr>
              <w:pStyle w:val="TableText"/>
              <w:keepLines/>
              <w:tabs>
                <w:tab w:val="decimal" w:pos="0"/>
              </w:tabs>
              <w:jc w:val="center"/>
              <w:rPr>
                <w:highlight w:val="darkGray"/>
              </w:rPr>
            </w:pPr>
            <w:r w:rsidRPr="00F0779A">
              <w:rPr>
                <w:color w:val="000000"/>
                <w:spacing w:val="53"/>
                <w:shd w:val="solid" w:color="000000" w:fill="000000"/>
                <w:fitText w:val="330" w:id="-694415350"/>
                <w14:textFill>
                  <w14:solidFill>
                    <w14:srgbClr w14:val="000000">
                      <w14:alpha w14:val="100000"/>
                    </w14:srgbClr>
                  </w14:solidFill>
                </w14:textFill>
              </w:rPr>
              <w:t>|||</w:t>
            </w:r>
            <w:r w:rsidRPr="00F0779A">
              <w:rPr>
                <w:color w:val="000000"/>
                <w:spacing w:val="1"/>
                <w:shd w:val="solid" w:color="000000" w:fill="000000"/>
                <w:fitText w:val="330" w:id="-694415350"/>
                <w14:textFill>
                  <w14:solidFill>
                    <w14:srgbClr w14:val="000000">
                      <w14:alpha w14:val="100000"/>
                    </w14:srgbClr>
                  </w14:solidFill>
                </w14:textFill>
              </w:rPr>
              <w:t>|</w:t>
            </w:r>
            <w:r w:rsidR="0012160F" w:rsidRPr="0012160F">
              <w:rPr>
                <w:vertAlign w:val="superscript"/>
              </w:rPr>
              <w:t>3</w:t>
            </w:r>
          </w:p>
        </w:tc>
        <w:tc>
          <w:tcPr>
            <w:tcW w:w="578" w:type="pct"/>
            <w:shd w:val="clear" w:color="auto" w:fill="auto"/>
          </w:tcPr>
          <w:p w14:paraId="731EF14E" w14:textId="1EDC1540" w:rsidR="00715CD9" w:rsidRPr="000A61B9" w:rsidRDefault="00F0779A" w:rsidP="007A3B3E">
            <w:pPr>
              <w:pStyle w:val="TableText"/>
              <w:keepLines/>
              <w:tabs>
                <w:tab w:val="decimal" w:pos="0"/>
              </w:tabs>
              <w:jc w:val="center"/>
              <w:rPr>
                <w:highlight w:val="darkGray"/>
              </w:rPr>
            </w:pPr>
            <w:r w:rsidRPr="00F0779A">
              <w:rPr>
                <w:color w:val="000000"/>
                <w:spacing w:val="53"/>
                <w:shd w:val="solid" w:color="000000" w:fill="000000"/>
                <w:fitText w:val="330" w:id="-694415349"/>
                <w14:textFill>
                  <w14:solidFill>
                    <w14:srgbClr w14:val="000000">
                      <w14:alpha w14:val="100000"/>
                    </w14:srgbClr>
                  </w14:solidFill>
                </w14:textFill>
              </w:rPr>
              <w:t>|||</w:t>
            </w:r>
            <w:r w:rsidRPr="00F0779A">
              <w:rPr>
                <w:color w:val="000000"/>
                <w:spacing w:val="1"/>
                <w:shd w:val="solid" w:color="000000" w:fill="000000"/>
                <w:fitText w:val="330" w:id="-694415349"/>
                <w14:textFill>
                  <w14:solidFill>
                    <w14:srgbClr w14:val="000000">
                      <w14:alpha w14:val="100000"/>
                    </w14:srgbClr>
                  </w14:solidFill>
                </w14:textFill>
              </w:rPr>
              <w:t>|</w:t>
            </w:r>
            <w:r w:rsidR="0012160F" w:rsidRPr="0012160F">
              <w:rPr>
                <w:vertAlign w:val="superscript"/>
              </w:rPr>
              <w:t>3</w:t>
            </w:r>
          </w:p>
        </w:tc>
        <w:tc>
          <w:tcPr>
            <w:tcW w:w="524" w:type="pct"/>
          </w:tcPr>
          <w:p w14:paraId="051C24AA" w14:textId="58E3AA51" w:rsidR="00715CD9" w:rsidRPr="000A61B9" w:rsidRDefault="00F0779A" w:rsidP="007A3B3E">
            <w:pPr>
              <w:pStyle w:val="TableText"/>
              <w:keepLines/>
              <w:tabs>
                <w:tab w:val="decimal" w:pos="0"/>
              </w:tabs>
              <w:jc w:val="center"/>
              <w:rPr>
                <w:highlight w:val="darkGray"/>
              </w:rPr>
            </w:pPr>
            <w:r w:rsidRPr="00F0779A">
              <w:rPr>
                <w:color w:val="000000"/>
                <w:spacing w:val="53"/>
                <w:shd w:val="solid" w:color="000000" w:fill="000000"/>
                <w:fitText w:val="330" w:id="-694415348"/>
                <w14:textFill>
                  <w14:solidFill>
                    <w14:srgbClr w14:val="000000">
                      <w14:alpha w14:val="100000"/>
                    </w14:srgbClr>
                  </w14:solidFill>
                </w14:textFill>
              </w:rPr>
              <w:t>|||</w:t>
            </w:r>
            <w:r w:rsidRPr="00F0779A">
              <w:rPr>
                <w:color w:val="000000"/>
                <w:spacing w:val="1"/>
                <w:shd w:val="solid" w:color="000000" w:fill="000000"/>
                <w:fitText w:val="330" w:id="-694415348"/>
                <w14:textFill>
                  <w14:solidFill>
                    <w14:srgbClr w14:val="000000">
                      <w14:alpha w14:val="100000"/>
                    </w14:srgbClr>
                  </w14:solidFill>
                </w14:textFill>
              </w:rPr>
              <w:t>|</w:t>
            </w:r>
            <w:r w:rsidR="0012160F" w:rsidRPr="0012160F">
              <w:rPr>
                <w:vertAlign w:val="superscript"/>
              </w:rPr>
              <w:t>3</w:t>
            </w:r>
          </w:p>
        </w:tc>
      </w:tr>
      <w:tr w:rsidR="00A343AD" w:rsidRPr="00217EA0" w14:paraId="127C594D" w14:textId="77777777" w:rsidTr="00A343AD">
        <w:tc>
          <w:tcPr>
            <w:tcW w:w="1635" w:type="pct"/>
            <w:shd w:val="clear" w:color="auto" w:fill="auto"/>
            <w:vAlign w:val="center"/>
          </w:tcPr>
          <w:p w14:paraId="4B174C65" w14:textId="77777777" w:rsidR="00715CD9" w:rsidRPr="00217EA0" w:rsidRDefault="00715CD9" w:rsidP="007A3B3E">
            <w:pPr>
              <w:pStyle w:val="TableText"/>
              <w:keepLines/>
            </w:pPr>
            <w:r w:rsidRPr="00217EA0">
              <w:t>Number of patients likely to receive a positive test result</w:t>
            </w:r>
          </w:p>
        </w:tc>
        <w:tc>
          <w:tcPr>
            <w:tcW w:w="528" w:type="pct"/>
            <w:shd w:val="clear" w:color="auto" w:fill="auto"/>
            <w:vAlign w:val="center"/>
          </w:tcPr>
          <w:p w14:paraId="57DAA5DE" w14:textId="06423BC9" w:rsidR="00715CD9" w:rsidRPr="000A61B9" w:rsidRDefault="00F0779A" w:rsidP="007A3B3E">
            <w:pPr>
              <w:pStyle w:val="TableNumber"/>
              <w:keepLines/>
              <w:tabs>
                <w:tab w:val="clear" w:pos="396"/>
                <w:tab w:val="decimal" w:pos="0"/>
              </w:tabs>
              <w:rPr>
                <w:highlight w:val="darkGray"/>
              </w:rPr>
            </w:pPr>
            <w:r w:rsidRPr="00F0779A">
              <w:rPr>
                <w:color w:val="000000"/>
                <w:spacing w:val="53"/>
                <w:shd w:val="solid" w:color="000000" w:fill="000000"/>
                <w:fitText w:val="330" w:id="-694415347"/>
                <w14:textFill>
                  <w14:solidFill>
                    <w14:srgbClr w14:val="000000">
                      <w14:alpha w14:val="100000"/>
                    </w14:srgbClr>
                  </w14:solidFill>
                </w14:textFill>
              </w:rPr>
              <w:t>|||</w:t>
            </w:r>
            <w:r w:rsidRPr="00F0779A">
              <w:rPr>
                <w:color w:val="000000"/>
                <w:spacing w:val="1"/>
                <w:shd w:val="solid" w:color="000000" w:fill="000000"/>
                <w:fitText w:val="330" w:id="-694415347"/>
                <w14:textFill>
                  <w14:solidFill>
                    <w14:srgbClr w14:val="000000">
                      <w14:alpha w14:val="100000"/>
                    </w14:srgbClr>
                  </w14:solidFill>
                </w14:textFill>
              </w:rPr>
              <w:t>|</w:t>
            </w:r>
            <w:r w:rsidR="001C0E39" w:rsidRPr="0012160F">
              <w:rPr>
                <w:vertAlign w:val="superscript"/>
              </w:rPr>
              <w:t>3</w:t>
            </w:r>
          </w:p>
        </w:tc>
        <w:tc>
          <w:tcPr>
            <w:tcW w:w="606" w:type="pct"/>
            <w:shd w:val="clear" w:color="auto" w:fill="auto"/>
            <w:vAlign w:val="center"/>
          </w:tcPr>
          <w:p w14:paraId="7A1A140E" w14:textId="2DD6BEF0" w:rsidR="00715CD9" w:rsidRPr="000A61B9" w:rsidRDefault="00F0779A" w:rsidP="007A3B3E">
            <w:pPr>
              <w:pStyle w:val="TableText"/>
              <w:keepLines/>
              <w:tabs>
                <w:tab w:val="decimal" w:pos="0"/>
              </w:tabs>
              <w:jc w:val="center"/>
              <w:rPr>
                <w:highlight w:val="darkGray"/>
              </w:rPr>
            </w:pPr>
            <w:r w:rsidRPr="00F0779A">
              <w:rPr>
                <w:color w:val="000000"/>
                <w:spacing w:val="53"/>
                <w:shd w:val="solid" w:color="000000" w:fill="000000"/>
                <w:fitText w:val="330" w:id="-694415346"/>
                <w14:textFill>
                  <w14:solidFill>
                    <w14:srgbClr w14:val="000000">
                      <w14:alpha w14:val="100000"/>
                    </w14:srgbClr>
                  </w14:solidFill>
                </w14:textFill>
              </w:rPr>
              <w:t>|||</w:t>
            </w:r>
            <w:r w:rsidRPr="00F0779A">
              <w:rPr>
                <w:color w:val="000000"/>
                <w:spacing w:val="1"/>
                <w:shd w:val="solid" w:color="000000" w:fill="000000"/>
                <w:fitText w:val="330" w:id="-694415346"/>
                <w14:textFill>
                  <w14:solidFill>
                    <w14:srgbClr w14:val="000000">
                      <w14:alpha w14:val="100000"/>
                    </w14:srgbClr>
                  </w14:solidFill>
                </w14:textFill>
              </w:rPr>
              <w:t>|</w:t>
            </w:r>
            <w:r w:rsidR="001C0E39" w:rsidRPr="0012160F">
              <w:rPr>
                <w:vertAlign w:val="superscript"/>
              </w:rPr>
              <w:t>3</w:t>
            </w:r>
          </w:p>
        </w:tc>
        <w:tc>
          <w:tcPr>
            <w:tcW w:w="563" w:type="pct"/>
            <w:shd w:val="clear" w:color="auto" w:fill="auto"/>
            <w:vAlign w:val="center"/>
          </w:tcPr>
          <w:p w14:paraId="55805831" w14:textId="5EBB4CD4" w:rsidR="00715CD9" w:rsidRPr="000A61B9" w:rsidRDefault="00F0779A" w:rsidP="007A3B3E">
            <w:pPr>
              <w:pStyle w:val="TableText"/>
              <w:keepLines/>
              <w:tabs>
                <w:tab w:val="decimal" w:pos="0"/>
              </w:tabs>
              <w:jc w:val="center"/>
              <w:rPr>
                <w:highlight w:val="darkGray"/>
              </w:rPr>
            </w:pPr>
            <w:r w:rsidRPr="00F0779A">
              <w:rPr>
                <w:color w:val="000000"/>
                <w:spacing w:val="49"/>
                <w:shd w:val="solid" w:color="000000" w:fill="000000"/>
                <w:fitText w:val="320" w:id="-694415345"/>
                <w14:textFill>
                  <w14:solidFill>
                    <w14:srgbClr w14:val="000000">
                      <w14:alpha w14:val="100000"/>
                    </w14:srgbClr>
                  </w14:solidFill>
                </w14:textFill>
              </w:rPr>
              <w:t>|||</w:t>
            </w:r>
            <w:r w:rsidRPr="00F0779A">
              <w:rPr>
                <w:color w:val="000000"/>
                <w:spacing w:val="3"/>
                <w:shd w:val="solid" w:color="000000" w:fill="000000"/>
                <w:fitText w:val="320" w:id="-694415345"/>
                <w14:textFill>
                  <w14:solidFill>
                    <w14:srgbClr w14:val="000000">
                      <w14:alpha w14:val="100000"/>
                    </w14:srgbClr>
                  </w14:solidFill>
                </w14:textFill>
              </w:rPr>
              <w:t>|</w:t>
            </w:r>
            <w:r w:rsidR="001C0E39" w:rsidRPr="0012160F">
              <w:rPr>
                <w:vertAlign w:val="superscript"/>
              </w:rPr>
              <w:t>3</w:t>
            </w:r>
          </w:p>
        </w:tc>
        <w:tc>
          <w:tcPr>
            <w:tcW w:w="565" w:type="pct"/>
            <w:shd w:val="clear" w:color="auto" w:fill="auto"/>
            <w:vAlign w:val="center"/>
          </w:tcPr>
          <w:p w14:paraId="37C43A6D" w14:textId="3CB96027" w:rsidR="00715CD9" w:rsidRPr="000A61B9" w:rsidRDefault="00F0779A" w:rsidP="007A3B3E">
            <w:pPr>
              <w:pStyle w:val="TableText"/>
              <w:keepLines/>
              <w:tabs>
                <w:tab w:val="decimal" w:pos="0"/>
              </w:tabs>
              <w:jc w:val="center"/>
              <w:rPr>
                <w:highlight w:val="darkGray"/>
              </w:rPr>
            </w:pPr>
            <w:r w:rsidRPr="00F0779A">
              <w:rPr>
                <w:color w:val="000000"/>
                <w:spacing w:val="53"/>
                <w:shd w:val="solid" w:color="000000" w:fill="000000"/>
                <w:fitText w:val="330" w:id="-694415344"/>
                <w14:textFill>
                  <w14:solidFill>
                    <w14:srgbClr w14:val="000000">
                      <w14:alpha w14:val="100000"/>
                    </w14:srgbClr>
                  </w14:solidFill>
                </w14:textFill>
              </w:rPr>
              <w:t>|||</w:t>
            </w:r>
            <w:r w:rsidRPr="00F0779A">
              <w:rPr>
                <w:color w:val="000000"/>
                <w:spacing w:val="1"/>
                <w:shd w:val="solid" w:color="000000" w:fill="000000"/>
                <w:fitText w:val="330" w:id="-694415344"/>
                <w14:textFill>
                  <w14:solidFill>
                    <w14:srgbClr w14:val="000000">
                      <w14:alpha w14:val="100000"/>
                    </w14:srgbClr>
                  </w14:solidFill>
                </w14:textFill>
              </w:rPr>
              <w:t>|</w:t>
            </w:r>
            <w:r w:rsidR="001C0E39" w:rsidRPr="0012160F">
              <w:rPr>
                <w:vertAlign w:val="superscript"/>
              </w:rPr>
              <w:t>3</w:t>
            </w:r>
          </w:p>
        </w:tc>
        <w:tc>
          <w:tcPr>
            <w:tcW w:w="578" w:type="pct"/>
            <w:shd w:val="clear" w:color="auto" w:fill="auto"/>
            <w:vAlign w:val="center"/>
          </w:tcPr>
          <w:p w14:paraId="7E022D47" w14:textId="5927D35A" w:rsidR="00715CD9" w:rsidRPr="000A61B9" w:rsidRDefault="00F0779A" w:rsidP="007A3B3E">
            <w:pPr>
              <w:pStyle w:val="TableText"/>
              <w:keepLines/>
              <w:tabs>
                <w:tab w:val="decimal" w:pos="0"/>
              </w:tabs>
              <w:jc w:val="center"/>
              <w:rPr>
                <w:highlight w:val="darkGray"/>
              </w:rPr>
            </w:pPr>
            <w:r w:rsidRPr="00F0779A">
              <w:rPr>
                <w:color w:val="000000"/>
                <w:spacing w:val="53"/>
                <w:shd w:val="solid" w:color="000000" w:fill="000000"/>
                <w:fitText w:val="330" w:id="-694415360"/>
                <w14:textFill>
                  <w14:solidFill>
                    <w14:srgbClr w14:val="000000">
                      <w14:alpha w14:val="100000"/>
                    </w14:srgbClr>
                  </w14:solidFill>
                </w14:textFill>
              </w:rPr>
              <w:t>|||</w:t>
            </w:r>
            <w:r w:rsidRPr="00F0779A">
              <w:rPr>
                <w:color w:val="000000"/>
                <w:spacing w:val="1"/>
                <w:shd w:val="solid" w:color="000000" w:fill="000000"/>
                <w:fitText w:val="330" w:id="-694415360"/>
                <w14:textFill>
                  <w14:solidFill>
                    <w14:srgbClr w14:val="000000">
                      <w14:alpha w14:val="100000"/>
                    </w14:srgbClr>
                  </w14:solidFill>
                </w14:textFill>
              </w:rPr>
              <w:t>|</w:t>
            </w:r>
            <w:r w:rsidR="001C0E39" w:rsidRPr="0012160F">
              <w:rPr>
                <w:vertAlign w:val="superscript"/>
              </w:rPr>
              <w:t>3</w:t>
            </w:r>
          </w:p>
        </w:tc>
        <w:tc>
          <w:tcPr>
            <w:tcW w:w="524" w:type="pct"/>
            <w:vAlign w:val="center"/>
          </w:tcPr>
          <w:p w14:paraId="348FFA26" w14:textId="45C1D494" w:rsidR="00715CD9" w:rsidRPr="000A61B9" w:rsidRDefault="00F0779A" w:rsidP="007A3B3E">
            <w:pPr>
              <w:pStyle w:val="TableText"/>
              <w:keepLines/>
              <w:tabs>
                <w:tab w:val="decimal" w:pos="0"/>
              </w:tabs>
              <w:jc w:val="center"/>
              <w:rPr>
                <w:highlight w:val="darkGray"/>
              </w:rPr>
            </w:pPr>
            <w:r w:rsidRPr="00F0779A">
              <w:rPr>
                <w:color w:val="000000"/>
                <w:spacing w:val="53"/>
                <w:shd w:val="solid" w:color="000000" w:fill="000000"/>
                <w:fitText w:val="330" w:id="-694415359"/>
                <w14:textFill>
                  <w14:solidFill>
                    <w14:srgbClr w14:val="000000">
                      <w14:alpha w14:val="100000"/>
                    </w14:srgbClr>
                  </w14:solidFill>
                </w14:textFill>
              </w:rPr>
              <w:t>|||</w:t>
            </w:r>
            <w:r w:rsidRPr="00F0779A">
              <w:rPr>
                <w:color w:val="000000"/>
                <w:spacing w:val="1"/>
                <w:shd w:val="solid" w:color="000000" w:fill="000000"/>
                <w:fitText w:val="330" w:id="-694415359"/>
                <w14:textFill>
                  <w14:solidFill>
                    <w14:srgbClr w14:val="000000">
                      <w14:alpha w14:val="100000"/>
                    </w14:srgbClr>
                  </w14:solidFill>
                </w14:textFill>
              </w:rPr>
              <w:t>|</w:t>
            </w:r>
            <w:r w:rsidR="001C0E39" w:rsidRPr="0012160F">
              <w:rPr>
                <w:vertAlign w:val="superscript"/>
              </w:rPr>
              <w:t>3</w:t>
            </w:r>
          </w:p>
        </w:tc>
      </w:tr>
      <w:tr w:rsidR="00715CD9" w:rsidRPr="00217EA0" w14:paraId="45C3E6C4" w14:textId="77777777">
        <w:tc>
          <w:tcPr>
            <w:tcW w:w="5000" w:type="pct"/>
            <w:gridSpan w:val="7"/>
            <w:shd w:val="clear" w:color="auto" w:fill="auto"/>
            <w:vAlign w:val="center"/>
          </w:tcPr>
          <w:p w14:paraId="477A9C1D" w14:textId="77777777" w:rsidR="00715CD9" w:rsidRPr="00217EA0" w:rsidRDefault="00715CD9" w:rsidP="007A3B3E">
            <w:pPr>
              <w:pStyle w:val="TableText"/>
              <w:keepLines/>
              <w:rPr>
                <w:b/>
              </w:rPr>
            </w:pPr>
            <w:r w:rsidRPr="00217EA0">
              <w:rPr>
                <w:b/>
              </w:rPr>
              <w:t xml:space="preserve">Estimated extent of use of </w:t>
            </w:r>
            <w:proofErr w:type="spellStart"/>
            <w:r w:rsidRPr="00217EA0">
              <w:rPr>
                <w:b/>
              </w:rPr>
              <w:t>futibatinib</w:t>
            </w:r>
            <w:proofErr w:type="spellEnd"/>
          </w:p>
        </w:tc>
      </w:tr>
      <w:tr w:rsidR="00A343AD" w:rsidRPr="00217EA0" w14:paraId="2D31381A" w14:textId="77777777" w:rsidTr="00A343AD">
        <w:tc>
          <w:tcPr>
            <w:tcW w:w="1635" w:type="pct"/>
            <w:shd w:val="clear" w:color="auto" w:fill="auto"/>
            <w:vAlign w:val="center"/>
          </w:tcPr>
          <w:p w14:paraId="0778CC11" w14:textId="77777777" w:rsidR="00715CD9" w:rsidRPr="00217EA0" w:rsidRDefault="00715CD9" w:rsidP="007A3B3E">
            <w:pPr>
              <w:pStyle w:val="TableText"/>
              <w:keepLines/>
              <w:rPr>
                <w:rFonts w:ascii="Times" w:eastAsia="Times New Roman" w:hAnsi="Times" w:cs="Times New Roman"/>
              </w:rPr>
            </w:pPr>
            <w:r w:rsidRPr="00217EA0">
              <w:t>Number of patients likely to be treated with proposed drug</w:t>
            </w:r>
          </w:p>
        </w:tc>
        <w:tc>
          <w:tcPr>
            <w:tcW w:w="528" w:type="pct"/>
            <w:shd w:val="clear" w:color="auto" w:fill="auto"/>
            <w:vAlign w:val="center"/>
          </w:tcPr>
          <w:p w14:paraId="40395A01" w14:textId="1CD6E447" w:rsidR="00715CD9" w:rsidRPr="000A61B9" w:rsidRDefault="00F0779A" w:rsidP="007A3B3E">
            <w:pPr>
              <w:pStyle w:val="TableText"/>
              <w:keepLines/>
              <w:jc w:val="center"/>
              <w:rPr>
                <w:highlight w:val="darkGray"/>
              </w:rPr>
            </w:pPr>
            <w:r w:rsidRPr="00F0779A">
              <w:rPr>
                <w:color w:val="000000"/>
                <w:spacing w:val="53"/>
                <w:shd w:val="solid" w:color="000000" w:fill="000000"/>
                <w:fitText w:val="330" w:id="-694415358"/>
                <w14:textFill>
                  <w14:solidFill>
                    <w14:srgbClr w14:val="000000">
                      <w14:alpha w14:val="100000"/>
                    </w14:srgbClr>
                  </w14:solidFill>
                </w14:textFill>
              </w:rPr>
              <w:t>|||</w:t>
            </w:r>
            <w:r w:rsidRPr="00F0779A">
              <w:rPr>
                <w:color w:val="000000"/>
                <w:spacing w:val="1"/>
                <w:shd w:val="solid" w:color="000000" w:fill="000000"/>
                <w:fitText w:val="330" w:id="-694415358"/>
                <w14:textFill>
                  <w14:solidFill>
                    <w14:srgbClr w14:val="000000">
                      <w14:alpha w14:val="100000"/>
                    </w14:srgbClr>
                  </w14:solidFill>
                </w14:textFill>
              </w:rPr>
              <w:t>|</w:t>
            </w:r>
            <w:r w:rsidR="00E84596" w:rsidRPr="0012160F">
              <w:rPr>
                <w:vertAlign w:val="superscript"/>
              </w:rPr>
              <w:t>3</w:t>
            </w:r>
          </w:p>
        </w:tc>
        <w:tc>
          <w:tcPr>
            <w:tcW w:w="606" w:type="pct"/>
            <w:shd w:val="clear" w:color="auto" w:fill="auto"/>
            <w:vAlign w:val="center"/>
          </w:tcPr>
          <w:p w14:paraId="733EAA2F" w14:textId="02FA6FD4" w:rsidR="00715CD9" w:rsidRPr="000A61B9" w:rsidRDefault="00F0779A" w:rsidP="007A3B3E">
            <w:pPr>
              <w:pStyle w:val="TableText"/>
              <w:keepLines/>
              <w:jc w:val="center"/>
              <w:rPr>
                <w:highlight w:val="darkGray"/>
              </w:rPr>
            </w:pPr>
            <w:r w:rsidRPr="00F0779A">
              <w:rPr>
                <w:color w:val="000000"/>
                <w:spacing w:val="53"/>
                <w:shd w:val="solid" w:color="000000" w:fill="000000"/>
                <w:fitText w:val="330" w:id="-694415357"/>
                <w14:textFill>
                  <w14:solidFill>
                    <w14:srgbClr w14:val="000000">
                      <w14:alpha w14:val="100000"/>
                    </w14:srgbClr>
                  </w14:solidFill>
                </w14:textFill>
              </w:rPr>
              <w:t>|||</w:t>
            </w:r>
            <w:r w:rsidRPr="00F0779A">
              <w:rPr>
                <w:color w:val="000000"/>
                <w:spacing w:val="1"/>
                <w:shd w:val="solid" w:color="000000" w:fill="000000"/>
                <w:fitText w:val="330" w:id="-694415357"/>
                <w14:textFill>
                  <w14:solidFill>
                    <w14:srgbClr w14:val="000000">
                      <w14:alpha w14:val="100000"/>
                    </w14:srgbClr>
                  </w14:solidFill>
                </w14:textFill>
              </w:rPr>
              <w:t>|</w:t>
            </w:r>
            <w:r w:rsidR="00E84596" w:rsidRPr="0012160F">
              <w:rPr>
                <w:vertAlign w:val="superscript"/>
              </w:rPr>
              <w:t>3</w:t>
            </w:r>
          </w:p>
        </w:tc>
        <w:tc>
          <w:tcPr>
            <w:tcW w:w="563" w:type="pct"/>
            <w:shd w:val="clear" w:color="auto" w:fill="auto"/>
            <w:vAlign w:val="center"/>
          </w:tcPr>
          <w:p w14:paraId="4613B466" w14:textId="4A8E6E6C" w:rsidR="00715CD9" w:rsidRPr="000A61B9" w:rsidRDefault="00F0779A" w:rsidP="007A3B3E">
            <w:pPr>
              <w:pStyle w:val="TableText"/>
              <w:keepLines/>
              <w:jc w:val="center"/>
              <w:rPr>
                <w:highlight w:val="darkGray"/>
              </w:rPr>
            </w:pPr>
            <w:r w:rsidRPr="00F0779A">
              <w:rPr>
                <w:color w:val="000000"/>
                <w:spacing w:val="49"/>
                <w:shd w:val="solid" w:color="000000" w:fill="000000"/>
                <w:fitText w:val="320" w:id="-694415356"/>
                <w14:textFill>
                  <w14:solidFill>
                    <w14:srgbClr w14:val="000000">
                      <w14:alpha w14:val="100000"/>
                    </w14:srgbClr>
                  </w14:solidFill>
                </w14:textFill>
              </w:rPr>
              <w:t>|||</w:t>
            </w:r>
            <w:r w:rsidRPr="00F0779A">
              <w:rPr>
                <w:color w:val="000000"/>
                <w:spacing w:val="3"/>
                <w:shd w:val="solid" w:color="000000" w:fill="000000"/>
                <w:fitText w:val="320" w:id="-694415356"/>
                <w14:textFill>
                  <w14:solidFill>
                    <w14:srgbClr w14:val="000000">
                      <w14:alpha w14:val="100000"/>
                    </w14:srgbClr>
                  </w14:solidFill>
                </w14:textFill>
              </w:rPr>
              <w:t>|</w:t>
            </w:r>
            <w:r w:rsidR="00E84596" w:rsidRPr="0012160F">
              <w:rPr>
                <w:vertAlign w:val="superscript"/>
              </w:rPr>
              <w:t>3</w:t>
            </w:r>
          </w:p>
        </w:tc>
        <w:tc>
          <w:tcPr>
            <w:tcW w:w="565" w:type="pct"/>
            <w:shd w:val="clear" w:color="auto" w:fill="auto"/>
            <w:vAlign w:val="center"/>
          </w:tcPr>
          <w:p w14:paraId="7CFC9979" w14:textId="249B8751" w:rsidR="00715CD9" w:rsidRPr="000A61B9" w:rsidRDefault="00F0779A" w:rsidP="007A3B3E">
            <w:pPr>
              <w:pStyle w:val="TableText"/>
              <w:keepLines/>
              <w:jc w:val="center"/>
              <w:rPr>
                <w:highlight w:val="darkGray"/>
              </w:rPr>
            </w:pPr>
            <w:r w:rsidRPr="00F0779A">
              <w:rPr>
                <w:color w:val="000000"/>
                <w:spacing w:val="53"/>
                <w:shd w:val="solid" w:color="000000" w:fill="000000"/>
                <w:fitText w:val="330" w:id="-694415355"/>
                <w14:textFill>
                  <w14:solidFill>
                    <w14:srgbClr w14:val="000000">
                      <w14:alpha w14:val="100000"/>
                    </w14:srgbClr>
                  </w14:solidFill>
                </w14:textFill>
              </w:rPr>
              <w:t>|||</w:t>
            </w:r>
            <w:r w:rsidRPr="00F0779A">
              <w:rPr>
                <w:color w:val="000000"/>
                <w:spacing w:val="1"/>
                <w:shd w:val="solid" w:color="000000" w:fill="000000"/>
                <w:fitText w:val="330" w:id="-694415355"/>
                <w14:textFill>
                  <w14:solidFill>
                    <w14:srgbClr w14:val="000000">
                      <w14:alpha w14:val="100000"/>
                    </w14:srgbClr>
                  </w14:solidFill>
                </w14:textFill>
              </w:rPr>
              <w:t>|</w:t>
            </w:r>
            <w:r w:rsidR="00E84596" w:rsidRPr="0012160F">
              <w:rPr>
                <w:vertAlign w:val="superscript"/>
              </w:rPr>
              <w:t>3</w:t>
            </w:r>
          </w:p>
        </w:tc>
        <w:tc>
          <w:tcPr>
            <w:tcW w:w="578" w:type="pct"/>
            <w:shd w:val="clear" w:color="auto" w:fill="auto"/>
            <w:vAlign w:val="center"/>
          </w:tcPr>
          <w:p w14:paraId="0198B0CB" w14:textId="5CF0B999" w:rsidR="00715CD9" w:rsidRPr="000A61B9" w:rsidRDefault="00F0779A" w:rsidP="007A3B3E">
            <w:pPr>
              <w:pStyle w:val="TableText"/>
              <w:keepLines/>
              <w:jc w:val="center"/>
              <w:rPr>
                <w:highlight w:val="darkGray"/>
              </w:rPr>
            </w:pPr>
            <w:r w:rsidRPr="00F0779A">
              <w:rPr>
                <w:color w:val="000000"/>
                <w:spacing w:val="53"/>
                <w:shd w:val="solid" w:color="000000" w:fill="000000"/>
                <w:fitText w:val="330" w:id="-694415354"/>
                <w14:textFill>
                  <w14:solidFill>
                    <w14:srgbClr w14:val="000000">
                      <w14:alpha w14:val="100000"/>
                    </w14:srgbClr>
                  </w14:solidFill>
                </w14:textFill>
              </w:rPr>
              <w:t>|||</w:t>
            </w:r>
            <w:r w:rsidRPr="00F0779A">
              <w:rPr>
                <w:color w:val="000000"/>
                <w:spacing w:val="1"/>
                <w:shd w:val="solid" w:color="000000" w:fill="000000"/>
                <w:fitText w:val="330" w:id="-694415354"/>
                <w14:textFill>
                  <w14:solidFill>
                    <w14:srgbClr w14:val="000000">
                      <w14:alpha w14:val="100000"/>
                    </w14:srgbClr>
                  </w14:solidFill>
                </w14:textFill>
              </w:rPr>
              <w:t>|</w:t>
            </w:r>
            <w:r w:rsidR="00E84596" w:rsidRPr="0012160F">
              <w:rPr>
                <w:vertAlign w:val="superscript"/>
              </w:rPr>
              <w:t>3</w:t>
            </w:r>
          </w:p>
        </w:tc>
        <w:tc>
          <w:tcPr>
            <w:tcW w:w="524" w:type="pct"/>
            <w:vAlign w:val="center"/>
          </w:tcPr>
          <w:p w14:paraId="59C31CB5" w14:textId="013BE4B2" w:rsidR="00715CD9" w:rsidRPr="000A61B9" w:rsidRDefault="00F0779A" w:rsidP="007A3B3E">
            <w:pPr>
              <w:pStyle w:val="TableText"/>
              <w:keepLines/>
              <w:jc w:val="center"/>
              <w:rPr>
                <w:highlight w:val="darkGray"/>
              </w:rPr>
            </w:pPr>
            <w:r w:rsidRPr="00F0779A">
              <w:rPr>
                <w:color w:val="000000"/>
                <w:spacing w:val="53"/>
                <w:shd w:val="solid" w:color="000000" w:fill="000000"/>
                <w:fitText w:val="330" w:id="-694415353"/>
                <w14:textFill>
                  <w14:solidFill>
                    <w14:srgbClr w14:val="000000">
                      <w14:alpha w14:val="100000"/>
                    </w14:srgbClr>
                  </w14:solidFill>
                </w14:textFill>
              </w:rPr>
              <w:t>|||</w:t>
            </w:r>
            <w:r w:rsidRPr="00F0779A">
              <w:rPr>
                <w:color w:val="000000"/>
                <w:spacing w:val="1"/>
                <w:shd w:val="solid" w:color="000000" w:fill="000000"/>
                <w:fitText w:val="330" w:id="-694415353"/>
                <w14:textFill>
                  <w14:solidFill>
                    <w14:srgbClr w14:val="000000">
                      <w14:alpha w14:val="100000"/>
                    </w14:srgbClr>
                  </w14:solidFill>
                </w14:textFill>
              </w:rPr>
              <w:t>|</w:t>
            </w:r>
            <w:r w:rsidR="00E84596" w:rsidRPr="0012160F">
              <w:rPr>
                <w:vertAlign w:val="superscript"/>
              </w:rPr>
              <w:t>3</w:t>
            </w:r>
          </w:p>
        </w:tc>
      </w:tr>
      <w:tr w:rsidR="00A343AD" w:rsidRPr="00217EA0" w14:paraId="2983BA51" w14:textId="77777777" w:rsidTr="00A343AD">
        <w:tc>
          <w:tcPr>
            <w:tcW w:w="1635" w:type="pct"/>
            <w:shd w:val="clear" w:color="auto" w:fill="auto"/>
            <w:vAlign w:val="center"/>
          </w:tcPr>
          <w:p w14:paraId="54421569" w14:textId="77777777" w:rsidR="00715CD9" w:rsidRPr="00217EA0" w:rsidRDefault="00715CD9" w:rsidP="007A3B3E">
            <w:pPr>
              <w:pStyle w:val="TableText"/>
              <w:keepLines/>
              <w:rPr>
                <w:rFonts w:ascii="Times" w:eastAsia="Times New Roman" w:hAnsi="Times" w:cs="Times New Roman"/>
              </w:rPr>
            </w:pPr>
            <w:r w:rsidRPr="00217EA0">
              <w:t xml:space="preserve">Number of scripts dispensed </w:t>
            </w:r>
            <w:r w:rsidRPr="00217EA0">
              <w:rPr>
                <w:vertAlign w:val="superscript"/>
              </w:rPr>
              <w:t>b</w:t>
            </w:r>
          </w:p>
        </w:tc>
        <w:tc>
          <w:tcPr>
            <w:tcW w:w="528" w:type="pct"/>
            <w:shd w:val="clear" w:color="auto" w:fill="auto"/>
            <w:vAlign w:val="center"/>
          </w:tcPr>
          <w:p w14:paraId="063C406E" w14:textId="46B52AD2" w:rsidR="00715CD9" w:rsidRPr="000A61B9" w:rsidRDefault="00F0779A" w:rsidP="007A3B3E">
            <w:pPr>
              <w:pStyle w:val="TableText"/>
              <w:keepLines/>
              <w:jc w:val="center"/>
              <w:rPr>
                <w:highlight w:val="darkGray"/>
              </w:rPr>
            </w:pPr>
            <w:r w:rsidRPr="00F0779A">
              <w:rPr>
                <w:color w:val="000000"/>
                <w:spacing w:val="53"/>
                <w:szCs w:val="20"/>
                <w:shd w:val="solid" w:color="000000" w:fill="000000"/>
                <w:fitText w:val="330" w:id="-694415352"/>
                <w14:textFill>
                  <w14:solidFill>
                    <w14:srgbClr w14:val="000000">
                      <w14:alpha w14:val="100000"/>
                    </w14:srgbClr>
                  </w14:solidFill>
                </w14:textFill>
              </w:rPr>
              <w:t>|||</w:t>
            </w:r>
            <w:r w:rsidRPr="00F0779A">
              <w:rPr>
                <w:color w:val="000000"/>
                <w:spacing w:val="1"/>
                <w:szCs w:val="20"/>
                <w:shd w:val="solid" w:color="000000" w:fill="000000"/>
                <w:fitText w:val="330" w:id="-694415352"/>
                <w14:textFill>
                  <w14:solidFill>
                    <w14:srgbClr w14:val="000000">
                      <w14:alpha w14:val="100000"/>
                    </w14:srgbClr>
                  </w14:solidFill>
                </w14:textFill>
              </w:rPr>
              <w:t>|</w:t>
            </w:r>
            <w:r w:rsidR="008B1A8C" w:rsidRPr="008B1A8C">
              <w:rPr>
                <w:rFonts w:cs="Arial"/>
                <w:szCs w:val="20"/>
                <w:vertAlign w:val="superscript"/>
              </w:rPr>
              <w:t>2</w:t>
            </w:r>
          </w:p>
        </w:tc>
        <w:tc>
          <w:tcPr>
            <w:tcW w:w="606" w:type="pct"/>
            <w:shd w:val="clear" w:color="auto" w:fill="auto"/>
            <w:vAlign w:val="center"/>
          </w:tcPr>
          <w:p w14:paraId="508062EC" w14:textId="10162A85" w:rsidR="00715CD9" w:rsidRPr="000A61B9" w:rsidRDefault="00F0779A" w:rsidP="007A3B3E">
            <w:pPr>
              <w:pStyle w:val="TableText"/>
              <w:keepLines/>
              <w:jc w:val="center"/>
              <w:rPr>
                <w:highlight w:val="darkGray"/>
              </w:rPr>
            </w:pPr>
            <w:r w:rsidRPr="00F0779A">
              <w:rPr>
                <w:color w:val="000000"/>
                <w:spacing w:val="53"/>
                <w:szCs w:val="20"/>
                <w:shd w:val="solid" w:color="000000" w:fill="000000"/>
                <w:fitText w:val="330" w:id="-694415351"/>
                <w14:textFill>
                  <w14:solidFill>
                    <w14:srgbClr w14:val="000000">
                      <w14:alpha w14:val="100000"/>
                    </w14:srgbClr>
                  </w14:solidFill>
                </w14:textFill>
              </w:rPr>
              <w:t>|||</w:t>
            </w:r>
            <w:r w:rsidRPr="00F0779A">
              <w:rPr>
                <w:color w:val="000000"/>
                <w:spacing w:val="1"/>
                <w:szCs w:val="20"/>
                <w:shd w:val="solid" w:color="000000" w:fill="000000"/>
                <w:fitText w:val="330" w:id="-694415351"/>
                <w14:textFill>
                  <w14:solidFill>
                    <w14:srgbClr w14:val="000000">
                      <w14:alpha w14:val="100000"/>
                    </w14:srgbClr>
                  </w14:solidFill>
                </w14:textFill>
              </w:rPr>
              <w:t>|</w:t>
            </w:r>
            <w:r w:rsidR="008B1A8C" w:rsidRPr="008B1A8C">
              <w:rPr>
                <w:rFonts w:cs="Arial"/>
                <w:szCs w:val="20"/>
                <w:vertAlign w:val="superscript"/>
              </w:rPr>
              <w:t>2</w:t>
            </w:r>
          </w:p>
        </w:tc>
        <w:tc>
          <w:tcPr>
            <w:tcW w:w="563" w:type="pct"/>
            <w:shd w:val="clear" w:color="auto" w:fill="auto"/>
            <w:vAlign w:val="center"/>
          </w:tcPr>
          <w:p w14:paraId="685FE2F4" w14:textId="6F779A8E" w:rsidR="00715CD9" w:rsidRPr="000A61B9" w:rsidRDefault="00F0779A" w:rsidP="007A3B3E">
            <w:pPr>
              <w:pStyle w:val="TableText"/>
              <w:keepLines/>
              <w:jc w:val="center"/>
              <w:rPr>
                <w:highlight w:val="darkGray"/>
              </w:rPr>
            </w:pPr>
            <w:r w:rsidRPr="00F0779A">
              <w:rPr>
                <w:color w:val="000000"/>
                <w:spacing w:val="49"/>
                <w:szCs w:val="20"/>
                <w:shd w:val="solid" w:color="000000" w:fill="000000"/>
                <w:fitText w:val="320" w:id="-694415350"/>
                <w14:textFill>
                  <w14:solidFill>
                    <w14:srgbClr w14:val="000000">
                      <w14:alpha w14:val="100000"/>
                    </w14:srgbClr>
                  </w14:solidFill>
                </w14:textFill>
              </w:rPr>
              <w:t>|||</w:t>
            </w:r>
            <w:r w:rsidRPr="00F0779A">
              <w:rPr>
                <w:color w:val="000000"/>
                <w:spacing w:val="3"/>
                <w:szCs w:val="20"/>
                <w:shd w:val="solid" w:color="000000" w:fill="000000"/>
                <w:fitText w:val="320" w:id="-694415350"/>
                <w14:textFill>
                  <w14:solidFill>
                    <w14:srgbClr w14:val="000000">
                      <w14:alpha w14:val="100000"/>
                    </w14:srgbClr>
                  </w14:solidFill>
                </w14:textFill>
              </w:rPr>
              <w:t>|</w:t>
            </w:r>
            <w:r w:rsidR="008B1A8C" w:rsidRPr="008B1A8C">
              <w:rPr>
                <w:rFonts w:cs="Arial"/>
                <w:szCs w:val="20"/>
                <w:vertAlign w:val="superscript"/>
              </w:rPr>
              <w:t>2</w:t>
            </w:r>
          </w:p>
        </w:tc>
        <w:tc>
          <w:tcPr>
            <w:tcW w:w="565" w:type="pct"/>
            <w:shd w:val="clear" w:color="auto" w:fill="auto"/>
            <w:vAlign w:val="center"/>
          </w:tcPr>
          <w:p w14:paraId="4192A812" w14:textId="40FF2A2E" w:rsidR="00715CD9" w:rsidRPr="000A61B9" w:rsidRDefault="00F0779A" w:rsidP="007A3B3E">
            <w:pPr>
              <w:pStyle w:val="TableText"/>
              <w:keepLines/>
              <w:jc w:val="center"/>
              <w:rPr>
                <w:highlight w:val="darkGray"/>
              </w:rPr>
            </w:pPr>
            <w:r w:rsidRPr="00F0779A">
              <w:rPr>
                <w:color w:val="000000"/>
                <w:spacing w:val="53"/>
                <w:szCs w:val="20"/>
                <w:shd w:val="solid" w:color="000000" w:fill="000000"/>
                <w:fitText w:val="330" w:id="-694415349"/>
                <w14:textFill>
                  <w14:solidFill>
                    <w14:srgbClr w14:val="000000">
                      <w14:alpha w14:val="100000"/>
                    </w14:srgbClr>
                  </w14:solidFill>
                </w14:textFill>
              </w:rPr>
              <w:t>|||</w:t>
            </w:r>
            <w:r w:rsidRPr="00F0779A">
              <w:rPr>
                <w:color w:val="000000"/>
                <w:spacing w:val="1"/>
                <w:szCs w:val="20"/>
                <w:shd w:val="solid" w:color="000000" w:fill="000000"/>
                <w:fitText w:val="330" w:id="-694415349"/>
                <w14:textFill>
                  <w14:solidFill>
                    <w14:srgbClr w14:val="000000">
                      <w14:alpha w14:val="100000"/>
                    </w14:srgbClr>
                  </w14:solidFill>
                </w14:textFill>
              </w:rPr>
              <w:t>|</w:t>
            </w:r>
            <w:r w:rsidR="008B1A8C" w:rsidRPr="008B1A8C">
              <w:rPr>
                <w:rFonts w:cs="Arial"/>
                <w:szCs w:val="20"/>
                <w:vertAlign w:val="superscript"/>
              </w:rPr>
              <w:t>2</w:t>
            </w:r>
          </w:p>
        </w:tc>
        <w:tc>
          <w:tcPr>
            <w:tcW w:w="578" w:type="pct"/>
            <w:shd w:val="clear" w:color="auto" w:fill="auto"/>
            <w:vAlign w:val="center"/>
          </w:tcPr>
          <w:p w14:paraId="324696ED" w14:textId="37B3F826" w:rsidR="00715CD9" w:rsidRPr="000A61B9" w:rsidRDefault="00F0779A" w:rsidP="007A3B3E">
            <w:pPr>
              <w:pStyle w:val="TableText"/>
              <w:keepLines/>
              <w:jc w:val="center"/>
              <w:rPr>
                <w:highlight w:val="darkGray"/>
              </w:rPr>
            </w:pPr>
            <w:r w:rsidRPr="00F0779A">
              <w:rPr>
                <w:color w:val="000000"/>
                <w:spacing w:val="53"/>
                <w:szCs w:val="20"/>
                <w:shd w:val="solid" w:color="000000" w:fill="000000"/>
                <w:fitText w:val="330" w:id="-694415348"/>
                <w14:textFill>
                  <w14:solidFill>
                    <w14:srgbClr w14:val="000000">
                      <w14:alpha w14:val="100000"/>
                    </w14:srgbClr>
                  </w14:solidFill>
                </w14:textFill>
              </w:rPr>
              <w:t>|||</w:t>
            </w:r>
            <w:r w:rsidRPr="00F0779A">
              <w:rPr>
                <w:color w:val="000000"/>
                <w:spacing w:val="1"/>
                <w:szCs w:val="20"/>
                <w:shd w:val="solid" w:color="000000" w:fill="000000"/>
                <w:fitText w:val="330" w:id="-694415348"/>
                <w14:textFill>
                  <w14:solidFill>
                    <w14:srgbClr w14:val="000000">
                      <w14:alpha w14:val="100000"/>
                    </w14:srgbClr>
                  </w14:solidFill>
                </w14:textFill>
              </w:rPr>
              <w:t>|</w:t>
            </w:r>
            <w:r w:rsidR="008B1A8C" w:rsidRPr="008B1A8C">
              <w:rPr>
                <w:rFonts w:cs="Arial"/>
                <w:szCs w:val="20"/>
                <w:vertAlign w:val="superscript"/>
              </w:rPr>
              <w:t>2</w:t>
            </w:r>
          </w:p>
        </w:tc>
        <w:tc>
          <w:tcPr>
            <w:tcW w:w="524" w:type="pct"/>
            <w:vAlign w:val="center"/>
          </w:tcPr>
          <w:p w14:paraId="5918DA83" w14:textId="2E30558B" w:rsidR="00715CD9" w:rsidRPr="000A61B9" w:rsidRDefault="00F0779A" w:rsidP="007A3B3E">
            <w:pPr>
              <w:pStyle w:val="TableText"/>
              <w:keepLines/>
              <w:jc w:val="center"/>
              <w:rPr>
                <w:highlight w:val="darkGray"/>
              </w:rPr>
            </w:pPr>
            <w:r w:rsidRPr="00F0779A">
              <w:rPr>
                <w:color w:val="000000"/>
                <w:spacing w:val="53"/>
                <w:szCs w:val="20"/>
                <w:shd w:val="solid" w:color="000000" w:fill="000000"/>
                <w:fitText w:val="330" w:id="-694415347"/>
                <w14:textFill>
                  <w14:solidFill>
                    <w14:srgbClr w14:val="000000">
                      <w14:alpha w14:val="100000"/>
                    </w14:srgbClr>
                  </w14:solidFill>
                </w14:textFill>
              </w:rPr>
              <w:t>|||</w:t>
            </w:r>
            <w:r w:rsidRPr="00F0779A">
              <w:rPr>
                <w:color w:val="000000"/>
                <w:spacing w:val="1"/>
                <w:szCs w:val="20"/>
                <w:shd w:val="solid" w:color="000000" w:fill="000000"/>
                <w:fitText w:val="330" w:id="-694415347"/>
                <w14:textFill>
                  <w14:solidFill>
                    <w14:srgbClr w14:val="000000">
                      <w14:alpha w14:val="100000"/>
                    </w14:srgbClr>
                  </w14:solidFill>
                </w14:textFill>
              </w:rPr>
              <w:t>|</w:t>
            </w:r>
            <w:r w:rsidR="008B1A8C" w:rsidRPr="008B1A8C">
              <w:rPr>
                <w:rFonts w:cs="Arial"/>
                <w:szCs w:val="20"/>
                <w:vertAlign w:val="superscript"/>
              </w:rPr>
              <w:t>2</w:t>
            </w:r>
          </w:p>
        </w:tc>
      </w:tr>
      <w:tr w:rsidR="00715CD9" w:rsidRPr="00217EA0" w14:paraId="47A3136F" w14:textId="77777777">
        <w:tc>
          <w:tcPr>
            <w:tcW w:w="5000" w:type="pct"/>
            <w:gridSpan w:val="7"/>
            <w:shd w:val="clear" w:color="auto" w:fill="auto"/>
            <w:vAlign w:val="center"/>
          </w:tcPr>
          <w:p w14:paraId="3D8F9064" w14:textId="77777777" w:rsidR="00715CD9" w:rsidRPr="00217EA0" w:rsidRDefault="00715CD9" w:rsidP="007A3B3E">
            <w:pPr>
              <w:pStyle w:val="TableText"/>
              <w:keepLines/>
              <w:rPr>
                <w:bCs/>
              </w:rPr>
            </w:pPr>
            <w:r w:rsidRPr="00217EA0">
              <w:rPr>
                <w:bCs/>
              </w:rPr>
              <w:t xml:space="preserve">Estimated financial implications of </w:t>
            </w:r>
            <w:proofErr w:type="spellStart"/>
            <w:r w:rsidRPr="00217EA0">
              <w:rPr>
                <w:bCs/>
              </w:rPr>
              <w:t>futibatinib</w:t>
            </w:r>
            <w:proofErr w:type="spellEnd"/>
            <w:r w:rsidRPr="00217EA0">
              <w:rPr>
                <w:bCs/>
              </w:rPr>
              <w:t xml:space="preserve"> to the PBS/RPBS</w:t>
            </w:r>
          </w:p>
        </w:tc>
      </w:tr>
      <w:tr w:rsidR="00A343AD" w:rsidRPr="00217EA0" w14:paraId="5660F436" w14:textId="77777777" w:rsidTr="00A343AD">
        <w:tc>
          <w:tcPr>
            <w:tcW w:w="1635" w:type="pct"/>
            <w:shd w:val="clear" w:color="auto" w:fill="auto"/>
            <w:vAlign w:val="center"/>
          </w:tcPr>
          <w:p w14:paraId="562D71A0" w14:textId="77777777" w:rsidR="00715CD9" w:rsidRPr="00217EA0" w:rsidRDefault="00715CD9" w:rsidP="007A3B3E">
            <w:pPr>
              <w:pStyle w:val="TableText"/>
              <w:keepLines/>
            </w:pPr>
            <w:r w:rsidRPr="00217EA0">
              <w:t>Cost to PBS/RPBS less copayments</w:t>
            </w:r>
          </w:p>
        </w:tc>
        <w:tc>
          <w:tcPr>
            <w:tcW w:w="528" w:type="pct"/>
            <w:shd w:val="clear" w:color="auto" w:fill="auto"/>
            <w:vAlign w:val="center"/>
          </w:tcPr>
          <w:p w14:paraId="286CDAF9" w14:textId="1026B913" w:rsidR="00715CD9" w:rsidRPr="000A61B9" w:rsidRDefault="00F0779A" w:rsidP="007A3B3E">
            <w:pPr>
              <w:pStyle w:val="TableText"/>
              <w:keepLines/>
              <w:jc w:val="center"/>
              <w:rPr>
                <w:highlight w:val="darkGray"/>
              </w:rPr>
            </w:pPr>
            <w:r w:rsidRPr="00F0779A">
              <w:rPr>
                <w:color w:val="000000"/>
                <w:spacing w:val="53"/>
                <w:shd w:val="solid" w:color="000000" w:fill="000000"/>
                <w:fitText w:val="330" w:id="-694415346"/>
                <w14:textFill>
                  <w14:solidFill>
                    <w14:srgbClr w14:val="000000">
                      <w14:alpha w14:val="100000"/>
                    </w14:srgbClr>
                  </w14:solidFill>
                </w14:textFill>
              </w:rPr>
              <w:t>|||</w:t>
            </w:r>
            <w:r w:rsidRPr="00F0779A">
              <w:rPr>
                <w:color w:val="000000"/>
                <w:spacing w:val="1"/>
                <w:shd w:val="solid" w:color="000000" w:fill="000000"/>
                <w:fitText w:val="330" w:id="-694415346"/>
                <w14:textFill>
                  <w14:solidFill>
                    <w14:srgbClr w14:val="000000">
                      <w14:alpha w14:val="100000"/>
                    </w14:srgbClr>
                  </w14:solidFill>
                </w14:textFill>
              </w:rPr>
              <w:t>|</w:t>
            </w:r>
            <w:r w:rsidR="00E84596" w:rsidRPr="00E84596">
              <w:rPr>
                <w:vertAlign w:val="superscript"/>
              </w:rPr>
              <w:t>4</w:t>
            </w:r>
          </w:p>
        </w:tc>
        <w:tc>
          <w:tcPr>
            <w:tcW w:w="606" w:type="pct"/>
            <w:shd w:val="clear" w:color="auto" w:fill="auto"/>
            <w:vAlign w:val="center"/>
          </w:tcPr>
          <w:p w14:paraId="73193FBF" w14:textId="63E5267C" w:rsidR="00715CD9" w:rsidRPr="000A61B9" w:rsidRDefault="00F0779A" w:rsidP="007A3B3E">
            <w:pPr>
              <w:pStyle w:val="TableText"/>
              <w:keepLines/>
              <w:jc w:val="center"/>
              <w:rPr>
                <w:highlight w:val="darkGray"/>
              </w:rPr>
            </w:pPr>
            <w:r w:rsidRPr="00F0779A">
              <w:rPr>
                <w:color w:val="000000"/>
                <w:spacing w:val="53"/>
                <w:shd w:val="solid" w:color="000000" w:fill="000000"/>
                <w:fitText w:val="330" w:id="-694415345"/>
                <w14:textFill>
                  <w14:solidFill>
                    <w14:srgbClr w14:val="000000">
                      <w14:alpha w14:val="100000"/>
                    </w14:srgbClr>
                  </w14:solidFill>
                </w14:textFill>
              </w:rPr>
              <w:t>|||</w:t>
            </w:r>
            <w:r w:rsidRPr="00F0779A">
              <w:rPr>
                <w:color w:val="000000"/>
                <w:spacing w:val="1"/>
                <w:shd w:val="solid" w:color="000000" w:fill="000000"/>
                <w:fitText w:val="330" w:id="-694415345"/>
                <w14:textFill>
                  <w14:solidFill>
                    <w14:srgbClr w14:val="000000">
                      <w14:alpha w14:val="100000"/>
                    </w14:srgbClr>
                  </w14:solidFill>
                </w14:textFill>
              </w:rPr>
              <w:t>|</w:t>
            </w:r>
            <w:r w:rsidR="00E84596" w:rsidRPr="00E84596">
              <w:rPr>
                <w:vertAlign w:val="superscript"/>
              </w:rPr>
              <w:t>4</w:t>
            </w:r>
          </w:p>
        </w:tc>
        <w:tc>
          <w:tcPr>
            <w:tcW w:w="563" w:type="pct"/>
            <w:shd w:val="clear" w:color="auto" w:fill="auto"/>
            <w:vAlign w:val="center"/>
          </w:tcPr>
          <w:p w14:paraId="2AAF728E" w14:textId="3C56C3C9" w:rsidR="00715CD9" w:rsidRPr="000A61B9" w:rsidRDefault="00F0779A" w:rsidP="007A3B3E">
            <w:pPr>
              <w:pStyle w:val="TableText"/>
              <w:keepLines/>
              <w:jc w:val="center"/>
              <w:rPr>
                <w:highlight w:val="darkGray"/>
              </w:rPr>
            </w:pPr>
            <w:r w:rsidRPr="00F0779A">
              <w:rPr>
                <w:color w:val="000000"/>
                <w:spacing w:val="49"/>
                <w:shd w:val="solid" w:color="000000" w:fill="000000"/>
                <w:fitText w:val="320" w:id="-694415344"/>
                <w14:textFill>
                  <w14:solidFill>
                    <w14:srgbClr w14:val="000000">
                      <w14:alpha w14:val="100000"/>
                    </w14:srgbClr>
                  </w14:solidFill>
                </w14:textFill>
              </w:rPr>
              <w:t>|||</w:t>
            </w:r>
            <w:r w:rsidRPr="00F0779A">
              <w:rPr>
                <w:color w:val="000000"/>
                <w:spacing w:val="3"/>
                <w:shd w:val="solid" w:color="000000" w:fill="000000"/>
                <w:fitText w:val="320" w:id="-694415344"/>
                <w14:textFill>
                  <w14:solidFill>
                    <w14:srgbClr w14:val="000000">
                      <w14:alpha w14:val="100000"/>
                    </w14:srgbClr>
                  </w14:solidFill>
                </w14:textFill>
              </w:rPr>
              <w:t>|</w:t>
            </w:r>
            <w:r w:rsidR="00E84596" w:rsidRPr="00E84596">
              <w:rPr>
                <w:vertAlign w:val="superscript"/>
              </w:rPr>
              <w:t>4</w:t>
            </w:r>
          </w:p>
        </w:tc>
        <w:tc>
          <w:tcPr>
            <w:tcW w:w="565" w:type="pct"/>
            <w:shd w:val="clear" w:color="auto" w:fill="auto"/>
            <w:vAlign w:val="center"/>
          </w:tcPr>
          <w:p w14:paraId="27CA8848" w14:textId="76D09FAE" w:rsidR="00715CD9" w:rsidRPr="000A61B9" w:rsidRDefault="00F0779A" w:rsidP="007A3B3E">
            <w:pPr>
              <w:pStyle w:val="TableText"/>
              <w:keepLines/>
              <w:jc w:val="center"/>
              <w:rPr>
                <w:highlight w:val="darkGray"/>
              </w:rPr>
            </w:pPr>
            <w:r w:rsidRPr="00F0779A">
              <w:rPr>
                <w:color w:val="000000"/>
                <w:spacing w:val="53"/>
                <w:shd w:val="solid" w:color="000000" w:fill="000000"/>
                <w:fitText w:val="330" w:id="-694415360"/>
                <w14:textFill>
                  <w14:solidFill>
                    <w14:srgbClr w14:val="000000">
                      <w14:alpha w14:val="100000"/>
                    </w14:srgbClr>
                  </w14:solidFill>
                </w14:textFill>
              </w:rPr>
              <w:t>|||</w:t>
            </w:r>
            <w:r w:rsidRPr="00F0779A">
              <w:rPr>
                <w:color w:val="000000"/>
                <w:spacing w:val="1"/>
                <w:shd w:val="solid" w:color="000000" w:fill="000000"/>
                <w:fitText w:val="330" w:id="-694415360"/>
                <w14:textFill>
                  <w14:solidFill>
                    <w14:srgbClr w14:val="000000">
                      <w14:alpha w14:val="100000"/>
                    </w14:srgbClr>
                  </w14:solidFill>
                </w14:textFill>
              </w:rPr>
              <w:t>|</w:t>
            </w:r>
            <w:r w:rsidR="00E84596" w:rsidRPr="00E84596">
              <w:rPr>
                <w:vertAlign w:val="superscript"/>
              </w:rPr>
              <w:t>4</w:t>
            </w:r>
          </w:p>
        </w:tc>
        <w:tc>
          <w:tcPr>
            <w:tcW w:w="578" w:type="pct"/>
            <w:shd w:val="clear" w:color="auto" w:fill="auto"/>
            <w:vAlign w:val="center"/>
          </w:tcPr>
          <w:p w14:paraId="1FDAEBB4" w14:textId="2F3939C9" w:rsidR="00715CD9" w:rsidRPr="000A61B9" w:rsidRDefault="00F0779A" w:rsidP="007A3B3E">
            <w:pPr>
              <w:pStyle w:val="TableText"/>
              <w:keepLines/>
              <w:jc w:val="center"/>
              <w:rPr>
                <w:highlight w:val="darkGray"/>
              </w:rPr>
            </w:pPr>
            <w:r w:rsidRPr="00F0779A">
              <w:rPr>
                <w:color w:val="000000"/>
                <w:spacing w:val="53"/>
                <w:shd w:val="solid" w:color="000000" w:fill="000000"/>
                <w:fitText w:val="330" w:id="-694415359"/>
                <w14:textFill>
                  <w14:solidFill>
                    <w14:srgbClr w14:val="000000">
                      <w14:alpha w14:val="100000"/>
                    </w14:srgbClr>
                  </w14:solidFill>
                </w14:textFill>
              </w:rPr>
              <w:t>|||</w:t>
            </w:r>
            <w:r w:rsidRPr="00F0779A">
              <w:rPr>
                <w:color w:val="000000"/>
                <w:spacing w:val="1"/>
                <w:shd w:val="solid" w:color="000000" w:fill="000000"/>
                <w:fitText w:val="330" w:id="-694415359"/>
                <w14:textFill>
                  <w14:solidFill>
                    <w14:srgbClr w14:val="000000">
                      <w14:alpha w14:val="100000"/>
                    </w14:srgbClr>
                  </w14:solidFill>
                </w14:textFill>
              </w:rPr>
              <w:t>|</w:t>
            </w:r>
            <w:r w:rsidR="00E84596" w:rsidRPr="00E84596">
              <w:rPr>
                <w:vertAlign w:val="superscript"/>
              </w:rPr>
              <w:t>4</w:t>
            </w:r>
          </w:p>
        </w:tc>
        <w:tc>
          <w:tcPr>
            <w:tcW w:w="524" w:type="pct"/>
            <w:vAlign w:val="center"/>
          </w:tcPr>
          <w:p w14:paraId="2C911F0D" w14:textId="68B959A5" w:rsidR="00715CD9" w:rsidRPr="000A61B9" w:rsidRDefault="00F0779A" w:rsidP="007A3B3E">
            <w:pPr>
              <w:pStyle w:val="TableText"/>
              <w:keepLines/>
              <w:jc w:val="center"/>
              <w:rPr>
                <w:highlight w:val="darkGray"/>
              </w:rPr>
            </w:pPr>
            <w:r w:rsidRPr="00F0779A">
              <w:rPr>
                <w:color w:val="000000"/>
                <w:spacing w:val="53"/>
                <w:shd w:val="solid" w:color="000000" w:fill="000000"/>
                <w:fitText w:val="330" w:id="-694415358"/>
                <w14:textFill>
                  <w14:solidFill>
                    <w14:srgbClr w14:val="000000">
                      <w14:alpha w14:val="100000"/>
                    </w14:srgbClr>
                  </w14:solidFill>
                </w14:textFill>
              </w:rPr>
              <w:t>|||</w:t>
            </w:r>
            <w:r w:rsidRPr="00F0779A">
              <w:rPr>
                <w:color w:val="000000"/>
                <w:spacing w:val="1"/>
                <w:shd w:val="solid" w:color="000000" w:fill="000000"/>
                <w:fitText w:val="330" w:id="-694415358"/>
                <w14:textFill>
                  <w14:solidFill>
                    <w14:srgbClr w14:val="000000">
                      <w14:alpha w14:val="100000"/>
                    </w14:srgbClr>
                  </w14:solidFill>
                </w14:textFill>
              </w:rPr>
              <w:t>|</w:t>
            </w:r>
            <w:r w:rsidR="00E84596" w:rsidRPr="00E84596">
              <w:rPr>
                <w:vertAlign w:val="superscript"/>
              </w:rPr>
              <w:t>4</w:t>
            </w:r>
          </w:p>
        </w:tc>
      </w:tr>
      <w:tr w:rsidR="00715CD9" w:rsidRPr="00217EA0" w14:paraId="02921AD9" w14:textId="77777777">
        <w:tc>
          <w:tcPr>
            <w:tcW w:w="5000" w:type="pct"/>
            <w:gridSpan w:val="7"/>
            <w:shd w:val="clear" w:color="auto" w:fill="auto"/>
            <w:vAlign w:val="center"/>
          </w:tcPr>
          <w:p w14:paraId="6085A830" w14:textId="77777777" w:rsidR="00715CD9" w:rsidRPr="00217EA0" w:rsidRDefault="00715CD9" w:rsidP="007A3B3E">
            <w:pPr>
              <w:pStyle w:val="TableText"/>
              <w:keepLines/>
              <w:rPr>
                <w:bCs/>
              </w:rPr>
            </w:pPr>
            <w:r w:rsidRPr="00217EA0">
              <w:rPr>
                <w:bCs/>
              </w:rPr>
              <w:t>Estimated financial implications for reduction in FOLFOX use to the PBS/RPBS</w:t>
            </w:r>
          </w:p>
        </w:tc>
      </w:tr>
      <w:tr w:rsidR="00A343AD" w:rsidRPr="00217EA0" w14:paraId="082791CF" w14:textId="77777777" w:rsidTr="00A343AD">
        <w:tc>
          <w:tcPr>
            <w:tcW w:w="1635" w:type="pct"/>
            <w:shd w:val="clear" w:color="auto" w:fill="auto"/>
            <w:vAlign w:val="center"/>
          </w:tcPr>
          <w:p w14:paraId="3A1CAF67" w14:textId="77777777" w:rsidR="00715CD9" w:rsidRPr="00217EA0" w:rsidRDefault="00715CD9" w:rsidP="007A3B3E">
            <w:pPr>
              <w:pStyle w:val="TableText"/>
              <w:keepLines/>
            </w:pPr>
            <w:r w:rsidRPr="00217EA0">
              <w:t>Cost to PBS/RPBS less copayments</w:t>
            </w:r>
          </w:p>
        </w:tc>
        <w:tc>
          <w:tcPr>
            <w:tcW w:w="528" w:type="pct"/>
            <w:shd w:val="clear" w:color="auto" w:fill="auto"/>
            <w:vAlign w:val="center"/>
          </w:tcPr>
          <w:p w14:paraId="7981E193" w14:textId="3C6CC6A3" w:rsidR="00715CD9" w:rsidRPr="000A61B9" w:rsidRDefault="00F0779A" w:rsidP="007A3B3E">
            <w:pPr>
              <w:pStyle w:val="TableText"/>
              <w:keepLines/>
              <w:jc w:val="center"/>
              <w:rPr>
                <w:bCs/>
                <w:highlight w:val="darkGray"/>
              </w:rPr>
            </w:pPr>
            <w:r w:rsidRPr="00F0779A">
              <w:rPr>
                <w:bCs/>
                <w:color w:val="000000"/>
                <w:spacing w:val="53"/>
                <w:shd w:val="solid" w:color="000000" w:fill="000000"/>
                <w:fitText w:val="330" w:id="-694415357"/>
                <w14:textFill>
                  <w14:solidFill>
                    <w14:srgbClr w14:val="000000">
                      <w14:alpha w14:val="100000"/>
                    </w14:srgbClr>
                  </w14:solidFill>
                </w14:textFill>
              </w:rPr>
              <w:t>|||</w:t>
            </w:r>
            <w:r w:rsidRPr="00F0779A">
              <w:rPr>
                <w:bCs/>
                <w:color w:val="000000"/>
                <w:spacing w:val="1"/>
                <w:shd w:val="solid" w:color="000000" w:fill="000000"/>
                <w:fitText w:val="330" w:id="-694415357"/>
                <w14:textFill>
                  <w14:solidFill>
                    <w14:srgbClr w14:val="000000">
                      <w14:alpha w14:val="100000"/>
                    </w14:srgbClr>
                  </w14:solidFill>
                </w14:textFill>
              </w:rPr>
              <w:t>|</w:t>
            </w:r>
            <w:r w:rsidR="00DC7524" w:rsidRPr="00DC7524">
              <w:rPr>
                <w:bCs/>
                <w:vertAlign w:val="superscript"/>
              </w:rPr>
              <w:t>5</w:t>
            </w:r>
          </w:p>
        </w:tc>
        <w:tc>
          <w:tcPr>
            <w:tcW w:w="606" w:type="pct"/>
            <w:shd w:val="clear" w:color="auto" w:fill="auto"/>
            <w:vAlign w:val="center"/>
          </w:tcPr>
          <w:p w14:paraId="06B7CF79" w14:textId="7F354653" w:rsidR="00715CD9" w:rsidRPr="000A61B9" w:rsidRDefault="00F0779A" w:rsidP="007A3B3E">
            <w:pPr>
              <w:pStyle w:val="TableText"/>
              <w:keepLines/>
              <w:jc w:val="center"/>
              <w:rPr>
                <w:bCs/>
                <w:highlight w:val="darkGray"/>
              </w:rPr>
            </w:pPr>
            <w:r w:rsidRPr="00F0779A">
              <w:rPr>
                <w:bCs/>
                <w:color w:val="000000"/>
                <w:spacing w:val="53"/>
                <w:shd w:val="solid" w:color="000000" w:fill="000000"/>
                <w:fitText w:val="330" w:id="-694415356"/>
                <w14:textFill>
                  <w14:solidFill>
                    <w14:srgbClr w14:val="000000">
                      <w14:alpha w14:val="100000"/>
                    </w14:srgbClr>
                  </w14:solidFill>
                </w14:textFill>
              </w:rPr>
              <w:t>|||</w:t>
            </w:r>
            <w:r w:rsidRPr="00F0779A">
              <w:rPr>
                <w:bCs/>
                <w:color w:val="000000"/>
                <w:spacing w:val="1"/>
                <w:shd w:val="solid" w:color="000000" w:fill="000000"/>
                <w:fitText w:val="330" w:id="-694415356"/>
                <w14:textFill>
                  <w14:solidFill>
                    <w14:srgbClr w14:val="000000">
                      <w14:alpha w14:val="100000"/>
                    </w14:srgbClr>
                  </w14:solidFill>
                </w14:textFill>
              </w:rPr>
              <w:t>|</w:t>
            </w:r>
            <w:r w:rsidR="00825148" w:rsidRPr="00DC7524">
              <w:rPr>
                <w:bCs/>
                <w:vertAlign w:val="superscript"/>
              </w:rPr>
              <w:t>5</w:t>
            </w:r>
          </w:p>
        </w:tc>
        <w:tc>
          <w:tcPr>
            <w:tcW w:w="563" w:type="pct"/>
            <w:shd w:val="clear" w:color="auto" w:fill="auto"/>
            <w:vAlign w:val="center"/>
          </w:tcPr>
          <w:p w14:paraId="549F0D3A" w14:textId="01E4200F" w:rsidR="00715CD9" w:rsidRPr="000A61B9" w:rsidRDefault="00F0779A" w:rsidP="007A3B3E">
            <w:pPr>
              <w:pStyle w:val="TableText"/>
              <w:keepLines/>
              <w:jc w:val="center"/>
              <w:rPr>
                <w:bCs/>
                <w:highlight w:val="darkGray"/>
              </w:rPr>
            </w:pPr>
            <w:r w:rsidRPr="00F0779A">
              <w:rPr>
                <w:bCs/>
                <w:color w:val="000000"/>
                <w:spacing w:val="49"/>
                <w:shd w:val="solid" w:color="000000" w:fill="000000"/>
                <w:fitText w:val="320" w:id="-694415355"/>
                <w14:textFill>
                  <w14:solidFill>
                    <w14:srgbClr w14:val="000000">
                      <w14:alpha w14:val="100000"/>
                    </w14:srgbClr>
                  </w14:solidFill>
                </w14:textFill>
              </w:rPr>
              <w:t>|||</w:t>
            </w:r>
            <w:r w:rsidRPr="00F0779A">
              <w:rPr>
                <w:bCs/>
                <w:color w:val="000000"/>
                <w:spacing w:val="3"/>
                <w:shd w:val="solid" w:color="000000" w:fill="000000"/>
                <w:fitText w:val="320" w:id="-694415355"/>
                <w14:textFill>
                  <w14:solidFill>
                    <w14:srgbClr w14:val="000000">
                      <w14:alpha w14:val="100000"/>
                    </w14:srgbClr>
                  </w14:solidFill>
                </w14:textFill>
              </w:rPr>
              <w:t>|</w:t>
            </w:r>
            <w:r w:rsidR="00825148" w:rsidRPr="00DC7524">
              <w:rPr>
                <w:bCs/>
                <w:vertAlign w:val="superscript"/>
              </w:rPr>
              <w:t>5</w:t>
            </w:r>
          </w:p>
        </w:tc>
        <w:tc>
          <w:tcPr>
            <w:tcW w:w="565" w:type="pct"/>
            <w:shd w:val="clear" w:color="auto" w:fill="auto"/>
            <w:vAlign w:val="center"/>
          </w:tcPr>
          <w:p w14:paraId="74CB53B7" w14:textId="2DB07F60" w:rsidR="00715CD9" w:rsidRPr="000A61B9" w:rsidRDefault="00F0779A" w:rsidP="007A3B3E">
            <w:pPr>
              <w:pStyle w:val="TableText"/>
              <w:keepLines/>
              <w:jc w:val="center"/>
              <w:rPr>
                <w:bCs/>
                <w:highlight w:val="darkGray"/>
              </w:rPr>
            </w:pPr>
            <w:r w:rsidRPr="00F0779A">
              <w:rPr>
                <w:bCs/>
                <w:color w:val="000000"/>
                <w:spacing w:val="53"/>
                <w:shd w:val="solid" w:color="000000" w:fill="000000"/>
                <w:fitText w:val="330" w:id="-694415354"/>
                <w14:textFill>
                  <w14:solidFill>
                    <w14:srgbClr w14:val="000000">
                      <w14:alpha w14:val="100000"/>
                    </w14:srgbClr>
                  </w14:solidFill>
                </w14:textFill>
              </w:rPr>
              <w:t>|||</w:t>
            </w:r>
            <w:r w:rsidRPr="00F0779A">
              <w:rPr>
                <w:bCs/>
                <w:color w:val="000000"/>
                <w:spacing w:val="1"/>
                <w:shd w:val="solid" w:color="000000" w:fill="000000"/>
                <w:fitText w:val="330" w:id="-694415354"/>
                <w14:textFill>
                  <w14:solidFill>
                    <w14:srgbClr w14:val="000000">
                      <w14:alpha w14:val="100000"/>
                    </w14:srgbClr>
                  </w14:solidFill>
                </w14:textFill>
              </w:rPr>
              <w:t>|</w:t>
            </w:r>
            <w:r w:rsidR="00825148" w:rsidRPr="00DC7524">
              <w:rPr>
                <w:bCs/>
                <w:vertAlign w:val="superscript"/>
              </w:rPr>
              <w:t>5</w:t>
            </w:r>
          </w:p>
        </w:tc>
        <w:tc>
          <w:tcPr>
            <w:tcW w:w="578" w:type="pct"/>
            <w:shd w:val="clear" w:color="auto" w:fill="auto"/>
            <w:vAlign w:val="center"/>
          </w:tcPr>
          <w:p w14:paraId="37579808" w14:textId="617420A2" w:rsidR="00715CD9" w:rsidRPr="000A61B9" w:rsidRDefault="00F0779A" w:rsidP="007A3B3E">
            <w:pPr>
              <w:pStyle w:val="TableText"/>
              <w:keepLines/>
              <w:jc w:val="center"/>
              <w:rPr>
                <w:bCs/>
                <w:highlight w:val="darkGray"/>
              </w:rPr>
            </w:pPr>
            <w:r w:rsidRPr="00F0779A">
              <w:rPr>
                <w:bCs/>
                <w:color w:val="000000"/>
                <w:spacing w:val="53"/>
                <w:shd w:val="solid" w:color="000000" w:fill="000000"/>
                <w:fitText w:val="330" w:id="-694415353"/>
                <w14:textFill>
                  <w14:solidFill>
                    <w14:srgbClr w14:val="000000">
                      <w14:alpha w14:val="100000"/>
                    </w14:srgbClr>
                  </w14:solidFill>
                </w14:textFill>
              </w:rPr>
              <w:t>|||</w:t>
            </w:r>
            <w:r w:rsidRPr="00F0779A">
              <w:rPr>
                <w:bCs/>
                <w:color w:val="000000"/>
                <w:spacing w:val="1"/>
                <w:shd w:val="solid" w:color="000000" w:fill="000000"/>
                <w:fitText w:val="330" w:id="-694415353"/>
                <w14:textFill>
                  <w14:solidFill>
                    <w14:srgbClr w14:val="000000">
                      <w14:alpha w14:val="100000"/>
                    </w14:srgbClr>
                  </w14:solidFill>
                </w14:textFill>
              </w:rPr>
              <w:t>|</w:t>
            </w:r>
            <w:r w:rsidR="00825148" w:rsidRPr="00DC7524">
              <w:rPr>
                <w:bCs/>
                <w:vertAlign w:val="superscript"/>
              </w:rPr>
              <w:t>5</w:t>
            </w:r>
          </w:p>
        </w:tc>
        <w:tc>
          <w:tcPr>
            <w:tcW w:w="524" w:type="pct"/>
            <w:vAlign w:val="center"/>
          </w:tcPr>
          <w:p w14:paraId="36702AD2" w14:textId="6761D0F8" w:rsidR="00715CD9" w:rsidRPr="000A61B9" w:rsidRDefault="00F0779A" w:rsidP="007A3B3E">
            <w:pPr>
              <w:pStyle w:val="TableText"/>
              <w:keepLines/>
              <w:jc w:val="center"/>
              <w:rPr>
                <w:bCs/>
                <w:highlight w:val="darkGray"/>
              </w:rPr>
            </w:pPr>
            <w:r w:rsidRPr="00F0779A">
              <w:rPr>
                <w:bCs/>
                <w:color w:val="000000"/>
                <w:spacing w:val="53"/>
                <w:shd w:val="solid" w:color="000000" w:fill="000000"/>
                <w:fitText w:val="330" w:id="-694415352"/>
                <w14:textFill>
                  <w14:solidFill>
                    <w14:srgbClr w14:val="000000">
                      <w14:alpha w14:val="100000"/>
                    </w14:srgbClr>
                  </w14:solidFill>
                </w14:textFill>
              </w:rPr>
              <w:t>|||</w:t>
            </w:r>
            <w:r w:rsidRPr="00F0779A">
              <w:rPr>
                <w:bCs/>
                <w:color w:val="000000"/>
                <w:spacing w:val="1"/>
                <w:shd w:val="solid" w:color="000000" w:fill="000000"/>
                <w:fitText w:val="330" w:id="-694415352"/>
                <w14:textFill>
                  <w14:solidFill>
                    <w14:srgbClr w14:val="000000">
                      <w14:alpha w14:val="100000"/>
                    </w14:srgbClr>
                  </w14:solidFill>
                </w14:textFill>
              </w:rPr>
              <w:t>|</w:t>
            </w:r>
            <w:r w:rsidR="00825148" w:rsidRPr="00DC7524">
              <w:rPr>
                <w:bCs/>
                <w:vertAlign w:val="superscript"/>
              </w:rPr>
              <w:t>5</w:t>
            </w:r>
          </w:p>
        </w:tc>
      </w:tr>
      <w:tr w:rsidR="00A343AD" w:rsidRPr="00217EA0" w14:paraId="0FF07743" w14:textId="77777777" w:rsidTr="00A343AD">
        <w:tc>
          <w:tcPr>
            <w:tcW w:w="1635" w:type="pct"/>
            <w:shd w:val="clear" w:color="auto" w:fill="auto"/>
            <w:vAlign w:val="center"/>
          </w:tcPr>
          <w:p w14:paraId="71116BAB" w14:textId="77777777" w:rsidR="00715CD9" w:rsidRPr="00217EA0" w:rsidRDefault="00715CD9" w:rsidP="007A3B3E">
            <w:pPr>
              <w:pStyle w:val="TableText"/>
              <w:keepLines/>
              <w:rPr>
                <w:b/>
                <w:bCs/>
              </w:rPr>
            </w:pPr>
            <w:r w:rsidRPr="00217EA0">
              <w:rPr>
                <w:b/>
                <w:bCs/>
              </w:rPr>
              <w:t>Net cost to PBS/RPBS</w:t>
            </w:r>
          </w:p>
        </w:tc>
        <w:tc>
          <w:tcPr>
            <w:tcW w:w="528" w:type="pct"/>
            <w:shd w:val="clear" w:color="auto" w:fill="auto"/>
          </w:tcPr>
          <w:p w14:paraId="445C652C" w14:textId="2BA37B47" w:rsidR="00715CD9" w:rsidRPr="000A61B9" w:rsidRDefault="00F0779A" w:rsidP="007A3B3E">
            <w:pPr>
              <w:pStyle w:val="TableText"/>
              <w:keepLines/>
              <w:jc w:val="center"/>
              <w:rPr>
                <w:b/>
                <w:highlight w:val="darkGray"/>
              </w:rPr>
            </w:pPr>
            <w:r w:rsidRPr="00F0779A">
              <w:rPr>
                <w:b/>
                <w:color w:val="000000"/>
                <w:spacing w:val="55"/>
                <w:shd w:val="solid" w:color="000000" w:fill="000000"/>
                <w:fitText w:val="350" w:id="-694415351"/>
                <w14:textFill>
                  <w14:solidFill>
                    <w14:srgbClr w14:val="000000">
                      <w14:alpha w14:val="100000"/>
                    </w14:srgbClr>
                  </w14:solidFill>
                </w14:textFill>
              </w:rPr>
              <w:t>|||</w:t>
            </w:r>
            <w:r w:rsidRPr="00F0779A">
              <w:rPr>
                <w:b/>
                <w:color w:val="000000"/>
                <w:spacing w:val="2"/>
                <w:shd w:val="solid" w:color="000000" w:fill="000000"/>
                <w:fitText w:val="350" w:id="-694415351"/>
                <w14:textFill>
                  <w14:solidFill>
                    <w14:srgbClr w14:val="000000">
                      <w14:alpha w14:val="100000"/>
                    </w14:srgbClr>
                  </w14:solidFill>
                </w14:textFill>
              </w:rPr>
              <w:t>|</w:t>
            </w:r>
            <w:r w:rsidR="00E84596" w:rsidRPr="00E84596">
              <w:rPr>
                <w:b/>
                <w:vertAlign w:val="superscript"/>
              </w:rPr>
              <w:t>4</w:t>
            </w:r>
          </w:p>
        </w:tc>
        <w:tc>
          <w:tcPr>
            <w:tcW w:w="606" w:type="pct"/>
            <w:shd w:val="clear" w:color="auto" w:fill="auto"/>
          </w:tcPr>
          <w:p w14:paraId="27A2321C" w14:textId="0DD48035" w:rsidR="00715CD9" w:rsidRPr="000A61B9" w:rsidRDefault="00F0779A" w:rsidP="007A3B3E">
            <w:pPr>
              <w:pStyle w:val="TableText"/>
              <w:keepLines/>
              <w:jc w:val="center"/>
              <w:rPr>
                <w:b/>
                <w:highlight w:val="darkGray"/>
              </w:rPr>
            </w:pPr>
            <w:r w:rsidRPr="00F0779A">
              <w:rPr>
                <w:b/>
                <w:color w:val="000000"/>
                <w:spacing w:val="55"/>
                <w:shd w:val="solid" w:color="000000" w:fill="000000"/>
                <w:fitText w:val="350" w:id="-694415350"/>
                <w14:textFill>
                  <w14:solidFill>
                    <w14:srgbClr w14:val="000000">
                      <w14:alpha w14:val="100000"/>
                    </w14:srgbClr>
                  </w14:solidFill>
                </w14:textFill>
              </w:rPr>
              <w:t>|||</w:t>
            </w:r>
            <w:r w:rsidRPr="00F0779A">
              <w:rPr>
                <w:b/>
                <w:color w:val="000000"/>
                <w:spacing w:val="2"/>
                <w:shd w:val="solid" w:color="000000" w:fill="000000"/>
                <w:fitText w:val="350" w:id="-694415350"/>
                <w14:textFill>
                  <w14:solidFill>
                    <w14:srgbClr w14:val="000000">
                      <w14:alpha w14:val="100000"/>
                    </w14:srgbClr>
                  </w14:solidFill>
                </w14:textFill>
              </w:rPr>
              <w:t>|</w:t>
            </w:r>
            <w:r w:rsidR="00E84596" w:rsidRPr="00E84596">
              <w:rPr>
                <w:vertAlign w:val="superscript"/>
              </w:rPr>
              <w:t>4</w:t>
            </w:r>
          </w:p>
        </w:tc>
        <w:tc>
          <w:tcPr>
            <w:tcW w:w="563" w:type="pct"/>
            <w:shd w:val="clear" w:color="auto" w:fill="auto"/>
          </w:tcPr>
          <w:p w14:paraId="14692FF2" w14:textId="0C1FEC44" w:rsidR="00715CD9" w:rsidRPr="000A61B9" w:rsidRDefault="00F0779A" w:rsidP="007A3B3E">
            <w:pPr>
              <w:pStyle w:val="TableText"/>
              <w:keepLines/>
              <w:jc w:val="center"/>
              <w:rPr>
                <w:b/>
                <w:highlight w:val="darkGray"/>
              </w:rPr>
            </w:pPr>
            <w:r w:rsidRPr="00F0779A">
              <w:rPr>
                <w:b/>
                <w:color w:val="000000"/>
                <w:spacing w:val="55"/>
                <w:shd w:val="solid" w:color="000000" w:fill="000000"/>
                <w:fitText w:val="350" w:id="-694415349"/>
                <w14:textFill>
                  <w14:solidFill>
                    <w14:srgbClr w14:val="000000">
                      <w14:alpha w14:val="100000"/>
                    </w14:srgbClr>
                  </w14:solidFill>
                </w14:textFill>
              </w:rPr>
              <w:t>|||</w:t>
            </w:r>
            <w:r w:rsidRPr="00F0779A">
              <w:rPr>
                <w:b/>
                <w:color w:val="000000"/>
                <w:spacing w:val="2"/>
                <w:shd w:val="solid" w:color="000000" w:fill="000000"/>
                <w:fitText w:val="350" w:id="-694415349"/>
                <w14:textFill>
                  <w14:solidFill>
                    <w14:srgbClr w14:val="000000">
                      <w14:alpha w14:val="100000"/>
                    </w14:srgbClr>
                  </w14:solidFill>
                </w14:textFill>
              </w:rPr>
              <w:t>|</w:t>
            </w:r>
            <w:r w:rsidR="00E84596" w:rsidRPr="00E84596">
              <w:rPr>
                <w:vertAlign w:val="superscript"/>
              </w:rPr>
              <w:t>4</w:t>
            </w:r>
          </w:p>
        </w:tc>
        <w:tc>
          <w:tcPr>
            <w:tcW w:w="565" w:type="pct"/>
            <w:shd w:val="clear" w:color="auto" w:fill="auto"/>
          </w:tcPr>
          <w:p w14:paraId="22610D3D" w14:textId="5AB4315B" w:rsidR="00715CD9" w:rsidRPr="000A61B9" w:rsidRDefault="00F0779A" w:rsidP="007A3B3E">
            <w:pPr>
              <w:pStyle w:val="TableText"/>
              <w:keepLines/>
              <w:jc w:val="center"/>
              <w:rPr>
                <w:b/>
                <w:highlight w:val="darkGray"/>
              </w:rPr>
            </w:pPr>
            <w:r w:rsidRPr="00F0779A">
              <w:rPr>
                <w:b/>
                <w:color w:val="000000"/>
                <w:spacing w:val="55"/>
                <w:shd w:val="solid" w:color="000000" w:fill="000000"/>
                <w:fitText w:val="350" w:id="-694415348"/>
                <w14:textFill>
                  <w14:solidFill>
                    <w14:srgbClr w14:val="000000">
                      <w14:alpha w14:val="100000"/>
                    </w14:srgbClr>
                  </w14:solidFill>
                </w14:textFill>
              </w:rPr>
              <w:t>|||</w:t>
            </w:r>
            <w:r w:rsidRPr="00F0779A">
              <w:rPr>
                <w:b/>
                <w:color w:val="000000"/>
                <w:spacing w:val="2"/>
                <w:shd w:val="solid" w:color="000000" w:fill="000000"/>
                <w:fitText w:val="350" w:id="-694415348"/>
                <w14:textFill>
                  <w14:solidFill>
                    <w14:srgbClr w14:val="000000">
                      <w14:alpha w14:val="100000"/>
                    </w14:srgbClr>
                  </w14:solidFill>
                </w14:textFill>
              </w:rPr>
              <w:t>|</w:t>
            </w:r>
            <w:r w:rsidR="00E84596" w:rsidRPr="00E84596">
              <w:rPr>
                <w:vertAlign w:val="superscript"/>
              </w:rPr>
              <w:t>4</w:t>
            </w:r>
          </w:p>
        </w:tc>
        <w:tc>
          <w:tcPr>
            <w:tcW w:w="578" w:type="pct"/>
            <w:shd w:val="clear" w:color="auto" w:fill="auto"/>
          </w:tcPr>
          <w:p w14:paraId="0045AB17" w14:textId="435A0CCE" w:rsidR="00715CD9" w:rsidRPr="000A61B9" w:rsidRDefault="00F0779A" w:rsidP="007A3B3E">
            <w:pPr>
              <w:pStyle w:val="TableText"/>
              <w:keepLines/>
              <w:jc w:val="center"/>
              <w:rPr>
                <w:b/>
                <w:highlight w:val="darkGray"/>
              </w:rPr>
            </w:pPr>
            <w:r w:rsidRPr="00F0779A">
              <w:rPr>
                <w:b/>
                <w:color w:val="000000"/>
                <w:spacing w:val="58"/>
                <w:shd w:val="solid" w:color="000000" w:fill="000000"/>
                <w:fitText w:val="360" w:id="-694415347"/>
                <w14:textFill>
                  <w14:solidFill>
                    <w14:srgbClr w14:val="000000">
                      <w14:alpha w14:val="100000"/>
                    </w14:srgbClr>
                  </w14:solidFill>
                </w14:textFill>
              </w:rPr>
              <w:t>|||</w:t>
            </w:r>
            <w:r w:rsidRPr="00F0779A">
              <w:rPr>
                <w:b/>
                <w:color w:val="000000"/>
                <w:spacing w:val="3"/>
                <w:shd w:val="solid" w:color="000000" w:fill="000000"/>
                <w:fitText w:val="360" w:id="-694415347"/>
                <w14:textFill>
                  <w14:solidFill>
                    <w14:srgbClr w14:val="000000">
                      <w14:alpha w14:val="100000"/>
                    </w14:srgbClr>
                  </w14:solidFill>
                </w14:textFill>
              </w:rPr>
              <w:t>|</w:t>
            </w:r>
            <w:r w:rsidR="00E84596" w:rsidRPr="00E84596">
              <w:rPr>
                <w:vertAlign w:val="superscript"/>
              </w:rPr>
              <w:t>4</w:t>
            </w:r>
          </w:p>
        </w:tc>
        <w:tc>
          <w:tcPr>
            <w:tcW w:w="524" w:type="pct"/>
          </w:tcPr>
          <w:p w14:paraId="0BC1413D" w14:textId="06EDD954" w:rsidR="00715CD9" w:rsidRPr="000A61B9" w:rsidRDefault="00F0779A" w:rsidP="007A3B3E">
            <w:pPr>
              <w:pStyle w:val="TableText"/>
              <w:keepLines/>
              <w:jc w:val="center"/>
              <w:rPr>
                <w:b/>
                <w:highlight w:val="darkGray"/>
              </w:rPr>
            </w:pPr>
            <w:r w:rsidRPr="00F0779A">
              <w:rPr>
                <w:b/>
                <w:color w:val="000000"/>
                <w:spacing w:val="58"/>
                <w:shd w:val="solid" w:color="000000" w:fill="000000"/>
                <w:fitText w:val="360" w:id="-694415346"/>
                <w14:textFill>
                  <w14:solidFill>
                    <w14:srgbClr w14:val="000000">
                      <w14:alpha w14:val="100000"/>
                    </w14:srgbClr>
                  </w14:solidFill>
                </w14:textFill>
              </w:rPr>
              <w:t>|||</w:t>
            </w:r>
            <w:r w:rsidRPr="00F0779A">
              <w:rPr>
                <w:b/>
                <w:color w:val="000000"/>
                <w:spacing w:val="3"/>
                <w:shd w:val="solid" w:color="000000" w:fill="000000"/>
                <w:fitText w:val="360" w:id="-694415346"/>
                <w14:textFill>
                  <w14:solidFill>
                    <w14:srgbClr w14:val="000000">
                      <w14:alpha w14:val="100000"/>
                    </w14:srgbClr>
                  </w14:solidFill>
                </w14:textFill>
              </w:rPr>
              <w:t>|</w:t>
            </w:r>
            <w:r w:rsidR="00E84596" w:rsidRPr="00E84596">
              <w:rPr>
                <w:vertAlign w:val="superscript"/>
              </w:rPr>
              <w:t>4</w:t>
            </w:r>
          </w:p>
        </w:tc>
      </w:tr>
      <w:tr w:rsidR="00715CD9" w:rsidRPr="00217EA0" w14:paraId="2A217D39" w14:textId="77777777">
        <w:tc>
          <w:tcPr>
            <w:tcW w:w="5000" w:type="pct"/>
            <w:gridSpan w:val="7"/>
            <w:shd w:val="clear" w:color="auto" w:fill="auto"/>
            <w:vAlign w:val="center"/>
          </w:tcPr>
          <w:p w14:paraId="171C0CBD" w14:textId="53B2F56A" w:rsidR="00715CD9" w:rsidRPr="00217EA0" w:rsidRDefault="00715CD9" w:rsidP="007A3B3E">
            <w:pPr>
              <w:pStyle w:val="TableText"/>
              <w:keepLines/>
              <w:rPr>
                <w:bCs/>
              </w:rPr>
            </w:pPr>
            <w:r w:rsidRPr="00217EA0">
              <w:rPr>
                <w:bCs/>
              </w:rPr>
              <w:t xml:space="preserve">Estimated financial implications of the </w:t>
            </w:r>
            <w:r w:rsidR="003E5C46" w:rsidRPr="003E5C46">
              <w:rPr>
                <w:bCs/>
                <w:i/>
                <w:iCs/>
              </w:rPr>
              <w:t>FGFR2</w:t>
            </w:r>
            <w:r w:rsidRPr="00217EA0">
              <w:rPr>
                <w:bCs/>
              </w:rPr>
              <w:t xml:space="preserve"> testing to the MBS</w:t>
            </w:r>
          </w:p>
        </w:tc>
      </w:tr>
      <w:tr w:rsidR="00A343AD" w:rsidRPr="00217EA0" w14:paraId="5AF35974" w14:textId="77777777" w:rsidTr="00A343AD">
        <w:trPr>
          <w:trHeight w:val="224"/>
        </w:trPr>
        <w:tc>
          <w:tcPr>
            <w:tcW w:w="1635" w:type="pct"/>
            <w:shd w:val="clear" w:color="auto" w:fill="auto"/>
            <w:vAlign w:val="center"/>
          </w:tcPr>
          <w:p w14:paraId="61CDCBA2" w14:textId="77777777" w:rsidR="00715CD9" w:rsidRPr="00217EA0" w:rsidRDefault="00715CD9" w:rsidP="007A3B3E">
            <w:pPr>
              <w:pStyle w:val="TableText"/>
              <w:keepLines/>
            </w:pPr>
            <w:r w:rsidRPr="00217EA0">
              <w:t>Cost to MBS less co-payments (</w:t>
            </w:r>
            <w:r w:rsidRPr="00562300">
              <w:t>80</w:t>
            </w:r>
            <w:r w:rsidRPr="00217EA0">
              <w:t>% rebate)</w:t>
            </w:r>
          </w:p>
        </w:tc>
        <w:tc>
          <w:tcPr>
            <w:tcW w:w="528" w:type="pct"/>
            <w:shd w:val="clear" w:color="auto" w:fill="auto"/>
            <w:vAlign w:val="center"/>
          </w:tcPr>
          <w:p w14:paraId="2F09F8D5" w14:textId="4BD6C5DD" w:rsidR="00715CD9" w:rsidRPr="00384854" w:rsidRDefault="00F0779A" w:rsidP="007A3B3E">
            <w:pPr>
              <w:pStyle w:val="TableText"/>
              <w:keepLines/>
              <w:jc w:val="center"/>
              <w:rPr>
                <w:highlight w:val="darkGray"/>
              </w:rPr>
            </w:pPr>
            <w:r w:rsidRPr="00F0779A">
              <w:rPr>
                <w:color w:val="000000"/>
                <w:spacing w:val="53"/>
                <w:shd w:val="solid" w:color="000000" w:fill="000000"/>
                <w:fitText w:val="330" w:id="-694415345"/>
                <w14:textFill>
                  <w14:solidFill>
                    <w14:srgbClr w14:val="000000">
                      <w14:alpha w14:val="100000"/>
                    </w14:srgbClr>
                  </w14:solidFill>
                </w14:textFill>
              </w:rPr>
              <w:t>|||</w:t>
            </w:r>
            <w:r w:rsidRPr="00F0779A">
              <w:rPr>
                <w:color w:val="000000"/>
                <w:spacing w:val="1"/>
                <w:shd w:val="solid" w:color="000000" w:fill="000000"/>
                <w:fitText w:val="330" w:id="-694415345"/>
                <w14:textFill>
                  <w14:solidFill>
                    <w14:srgbClr w14:val="000000">
                      <w14:alpha w14:val="100000"/>
                    </w14:srgbClr>
                  </w14:solidFill>
                </w14:textFill>
              </w:rPr>
              <w:t>|</w:t>
            </w:r>
            <w:r w:rsidR="00EF20DB" w:rsidRPr="00EF20DB">
              <w:rPr>
                <w:vertAlign w:val="superscript"/>
              </w:rPr>
              <w:t>6</w:t>
            </w:r>
          </w:p>
        </w:tc>
        <w:tc>
          <w:tcPr>
            <w:tcW w:w="606" w:type="pct"/>
            <w:shd w:val="clear" w:color="auto" w:fill="auto"/>
            <w:vAlign w:val="center"/>
          </w:tcPr>
          <w:p w14:paraId="2C9BBF9F" w14:textId="25F1AAFB" w:rsidR="00715CD9" w:rsidRPr="00384854" w:rsidRDefault="00F0779A" w:rsidP="007A3B3E">
            <w:pPr>
              <w:pStyle w:val="TableText"/>
              <w:keepLines/>
              <w:jc w:val="center"/>
              <w:rPr>
                <w:highlight w:val="darkGray"/>
              </w:rPr>
            </w:pPr>
            <w:r w:rsidRPr="00F0779A">
              <w:rPr>
                <w:color w:val="000000"/>
                <w:spacing w:val="53"/>
                <w:shd w:val="solid" w:color="000000" w:fill="000000"/>
                <w:fitText w:val="330" w:id="-694415104"/>
                <w14:textFill>
                  <w14:solidFill>
                    <w14:srgbClr w14:val="000000">
                      <w14:alpha w14:val="100000"/>
                    </w14:srgbClr>
                  </w14:solidFill>
                </w14:textFill>
              </w:rPr>
              <w:t>|||</w:t>
            </w:r>
            <w:r w:rsidRPr="00F0779A">
              <w:rPr>
                <w:color w:val="000000"/>
                <w:spacing w:val="1"/>
                <w:shd w:val="solid" w:color="000000" w:fill="000000"/>
                <w:fitText w:val="330" w:id="-694415104"/>
                <w14:textFill>
                  <w14:solidFill>
                    <w14:srgbClr w14:val="000000">
                      <w14:alpha w14:val="100000"/>
                    </w14:srgbClr>
                  </w14:solidFill>
                </w14:textFill>
              </w:rPr>
              <w:t>|</w:t>
            </w:r>
            <w:r w:rsidR="005D4945" w:rsidRPr="00EF20DB">
              <w:rPr>
                <w:vertAlign w:val="superscript"/>
              </w:rPr>
              <w:t>6</w:t>
            </w:r>
          </w:p>
        </w:tc>
        <w:tc>
          <w:tcPr>
            <w:tcW w:w="563" w:type="pct"/>
            <w:shd w:val="clear" w:color="auto" w:fill="auto"/>
            <w:vAlign w:val="center"/>
          </w:tcPr>
          <w:p w14:paraId="6E131219" w14:textId="05A9BAA9" w:rsidR="00715CD9" w:rsidRPr="00384854" w:rsidRDefault="00F0779A" w:rsidP="007A3B3E">
            <w:pPr>
              <w:pStyle w:val="TableText"/>
              <w:keepLines/>
              <w:jc w:val="center"/>
              <w:rPr>
                <w:highlight w:val="darkGray"/>
              </w:rPr>
            </w:pPr>
            <w:r w:rsidRPr="00F0779A">
              <w:rPr>
                <w:color w:val="000000"/>
                <w:spacing w:val="49"/>
                <w:shd w:val="solid" w:color="000000" w:fill="000000"/>
                <w:fitText w:val="320" w:id="-694415103"/>
                <w14:textFill>
                  <w14:solidFill>
                    <w14:srgbClr w14:val="000000">
                      <w14:alpha w14:val="100000"/>
                    </w14:srgbClr>
                  </w14:solidFill>
                </w14:textFill>
              </w:rPr>
              <w:t>|||</w:t>
            </w:r>
            <w:r w:rsidRPr="00F0779A">
              <w:rPr>
                <w:color w:val="000000"/>
                <w:spacing w:val="3"/>
                <w:shd w:val="solid" w:color="000000" w:fill="000000"/>
                <w:fitText w:val="320" w:id="-694415103"/>
                <w14:textFill>
                  <w14:solidFill>
                    <w14:srgbClr w14:val="000000">
                      <w14:alpha w14:val="100000"/>
                    </w14:srgbClr>
                  </w14:solidFill>
                </w14:textFill>
              </w:rPr>
              <w:t>|</w:t>
            </w:r>
            <w:r w:rsidR="005D4945" w:rsidRPr="005D4945">
              <w:rPr>
                <w:vertAlign w:val="superscript"/>
              </w:rPr>
              <w:t>7</w:t>
            </w:r>
          </w:p>
        </w:tc>
        <w:tc>
          <w:tcPr>
            <w:tcW w:w="565" w:type="pct"/>
            <w:shd w:val="clear" w:color="auto" w:fill="auto"/>
            <w:vAlign w:val="center"/>
          </w:tcPr>
          <w:p w14:paraId="6CAA3307" w14:textId="6ABA3FAF" w:rsidR="00715CD9" w:rsidRPr="00384854" w:rsidRDefault="00F0779A" w:rsidP="007A3B3E">
            <w:pPr>
              <w:pStyle w:val="TableText"/>
              <w:keepLines/>
              <w:jc w:val="center"/>
              <w:rPr>
                <w:highlight w:val="darkGray"/>
              </w:rPr>
            </w:pPr>
            <w:r w:rsidRPr="00F0779A">
              <w:rPr>
                <w:color w:val="000000"/>
                <w:spacing w:val="53"/>
                <w:shd w:val="solid" w:color="000000" w:fill="000000"/>
                <w:fitText w:val="330" w:id="-694415102"/>
                <w14:textFill>
                  <w14:solidFill>
                    <w14:srgbClr w14:val="000000">
                      <w14:alpha w14:val="100000"/>
                    </w14:srgbClr>
                  </w14:solidFill>
                </w14:textFill>
              </w:rPr>
              <w:t>|||</w:t>
            </w:r>
            <w:r w:rsidRPr="00F0779A">
              <w:rPr>
                <w:color w:val="000000"/>
                <w:spacing w:val="1"/>
                <w:shd w:val="solid" w:color="000000" w:fill="000000"/>
                <w:fitText w:val="330" w:id="-694415102"/>
                <w14:textFill>
                  <w14:solidFill>
                    <w14:srgbClr w14:val="000000">
                      <w14:alpha w14:val="100000"/>
                    </w14:srgbClr>
                  </w14:solidFill>
                </w14:textFill>
              </w:rPr>
              <w:t>|</w:t>
            </w:r>
            <w:r w:rsidR="005D4945" w:rsidRPr="005D4945">
              <w:rPr>
                <w:vertAlign w:val="superscript"/>
              </w:rPr>
              <w:t>7</w:t>
            </w:r>
          </w:p>
        </w:tc>
        <w:tc>
          <w:tcPr>
            <w:tcW w:w="578" w:type="pct"/>
            <w:shd w:val="clear" w:color="auto" w:fill="auto"/>
            <w:vAlign w:val="center"/>
          </w:tcPr>
          <w:p w14:paraId="58748DC0" w14:textId="2E9194AA" w:rsidR="00715CD9" w:rsidRPr="00384854" w:rsidRDefault="00F0779A" w:rsidP="007A3B3E">
            <w:pPr>
              <w:pStyle w:val="TableText"/>
              <w:keepLines/>
              <w:jc w:val="center"/>
              <w:rPr>
                <w:highlight w:val="darkGray"/>
              </w:rPr>
            </w:pPr>
            <w:r w:rsidRPr="00F0779A">
              <w:rPr>
                <w:color w:val="000000"/>
                <w:spacing w:val="53"/>
                <w:shd w:val="solid" w:color="000000" w:fill="000000"/>
                <w:fitText w:val="330" w:id="-694415101"/>
                <w14:textFill>
                  <w14:solidFill>
                    <w14:srgbClr w14:val="000000">
                      <w14:alpha w14:val="100000"/>
                    </w14:srgbClr>
                  </w14:solidFill>
                </w14:textFill>
              </w:rPr>
              <w:t>|||</w:t>
            </w:r>
            <w:r w:rsidRPr="00F0779A">
              <w:rPr>
                <w:color w:val="000000"/>
                <w:spacing w:val="1"/>
                <w:shd w:val="solid" w:color="000000" w:fill="000000"/>
                <w:fitText w:val="330" w:id="-694415101"/>
                <w14:textFill>
                  <w14:solidFill>
                    <w14:srgbClr w14:val="000000">
                      <w14:alpha w14:val="100000"/>
                    </w14:srgbClr>
                  </w14:solidFill>
                </w14:textFill>
              </w:rPr>
              <w:t>|</w:t>
            </w:r>
            <w:r w:rsidR="005D4945" w:rsidRPr="005D4945">
              <w:rPr>
                <w:vertAlign w:val="superscript"/>
              </w:rPr>
              <w:t>7</w:t>
            </w:r>
          </w:p>
        </w:tc>
        <w:tc>
          <w:tcPr>
            <w:tcW w:w="524" w:type="pct"/>
            <w:vAlign w:val="center"/>
          </w:tcPr>
          <w:p w14:paraId="0A6EE27C" w14:textId="241264B6" w:rsidR="00715CD9" w:rsidRPr="00384854" w:rsidRDefault="00F0779A" w:rsidP="007A3B3E">
            <w:pPr>
              <w:pStyle w:val="TableText"/>
              <w:keepLines/>
              <w:jc w:val="center"/>
              <w:rPr>
                <w:highlight w:val="darkGray"/>
              </w:rPr>
            </w:pPr>
            <w:r w:rsidRPr="00F0779A">
              <w:rPr>
                <w:color w:val="000000"/>
                <w:spacing w:val="53"/>
                <w:shd w:val="solid" w:color="000000" w:fill="000000"/>
                <w:fitText w:val="330" w:id="-694415100"/>
                <w14:textFill>
                  <w14:solidFill>
                    <w14:srgbClr w14:val="000000">
                      <w14:alpha w14:val="100000"/>
                    </w14:srgbClr>
                  </w14:solidFill>
                </w14:textFill>
              </w:rPr>
              <w:t>|||</w:t>
            </w:r>
            <w:r w:rsidRPr="00F0779A">
              <w:rPr>
                <w:color w:val="000000"/>
                <w:spacing w:val="1"/>
                <w:shd w:val="solid" w:color="000000" w:fill="000000"/>
                <w:fitText w:val="330" w:id="-694415100"/>
                <w14:textFill>
                  <w14:solidFill>
                    <w14:srgbClr w14:val="000000">
                      <w14:alpha w14:val="100000"/>
                    </w14:srgbClr>
                  </w14:solidFill>
                </w14:textFill>
              </w:rPr>
              <w:t>|</w:t>
            </w:r>
            <w:r w:rsidR="005D4945" w:rsidRPr="005D4945">
              <w:rPr>
                <w:vertAlign w:val="superscript"/>
              </w:rPr>
              <w:t>8</w:t>
            </w:r>
          </w:p>
        </w:tc>
      </w:tr>
      <w:tr w:rsidR="00715CD9" w:rsidRPr="00217EA0" w14:paraId="6F5BC950" w14:textId="77777777">
        <w:tc>
          <w:tcPr>
            <w:tcW w:w="5000" w:type="pct"/>
            <w:gridSpan w:val="7"/>
            <w:shd w:val="clear" w:color="auto" w:fill="auto"/>
            <w:vAlign w:val="center"/>
          </w:tcPr>
          <w:p w14:paraId="44BBB000" w14:textId="77777777" w:rsidR="00715CD9" w:rsidRPr="00217EA0" w:rsidRDefault="00715CD9" w:rsidP="007A3B3E">
            <w:pPr>
              <w:pStyle w:val="TableText"/>
              <w:keepLines/>
              <w:rPr>
                <w:bCs/>
              </w:rPr>
            </w:pPr>
            <w:r w:rsidRPr="00217EA0">
              <w:rPr>
                <w:bCs/>
              </w:rPr>
              <w:t>Estimated financial implications of the Optical Coherence tomography (ophthalmological monitoring) to the MBS</w:t>
            </w:r>
          </w:p>
        </w:tc>
      </w:tr>
      <w:tr w:rsidR="00A343AD" w:rsidRPr="00217EA0" w14:paraId="6E5B945B" w14:textId="77777777" w:rsidTr="00A343AD">
        <w:tc>
          <w:tcPr>
            <w:tcW w:w="1635" w:type="pct"/>
            <w:shd w:val="clear" w:color="auto" w:fill="auto"/>
            <w:vAlign w:val="center"/>
          </w:tcPr>
          <w:p w14:paraId="2F46EFAF" w14:textId="77777777" w:rsidR="00715CD9" w:rsidRPr="00217EA0" w:rsidRDefault="00715CD9" w:rsidP="007A3B3E">
            <w:pPr>
              <w:pStyle w:val="TableText"/>
              <w:keepLines/>
            </w:pPr>
            <w:r w:rsidRPr="00217EA0">
              <w:t>Cost to MBS less co-payments (</w:t>
            </w:r>
            <w:r w:rsidRPr="00562300">
              <w:t>80</w:t>
            </w:r>
            <w:r w:rsidRPr="00217EA0">
              <w:t>% rebate)</w:t>
            </w:r>
          </w:p>
        </w:tc>
        <w:tc>
          <w:tcPr>
            <w:tcW w:w="528" w:type="pct"/>
            <w:shd w:val="clear" w:color="auto" w:fill="auto"/>
            <w:vAlign w:val="center"/>
          </w:tcPr>
          <w:p w14:paraId="4F65DC86" w14:textId="4A39FC05" w:rsidR="00715CD9" w:rsidRPr="008212C3" w:rsidRDefault="00F0779A" w:rsidP="007A3B3E">
            <w:pPr>
              <w:pStyle w:val="TableText"/>
              <w:keepLines/>
              <w:jc w:val="center"/>
              <w:rPr>
                <w:highlight w:val="darkGray"/>
              </w:rPr>
            </w:pPr>
            <w:r w:rsidRPr="00F0779A">
              <w:rPr>
                <w:color w:val="000000"/>
                <w:spacing w:val="53"/>
                <w:shd w:val="solid" w:color="000000" w:fill="000000"/>
                <w:fitText w:val="330" w:id="-694415099"/>
                <w14:textFill>
                  <w14:solidFill>
                    <w14:srgbClr w14:val="000000">
                      <w14:alpha w14:val="100000"/>
                    </w14:srgbClr>
                  </w14:solidFill>
                </w14:textFill>
              </w:rPr>
              <w:t>|||</w:t>
            </w:r>
            <w:r w:rsidRPr="00F0779A">
              <w:rPr>
                <w:color w:val="000000"/>
                <w:spacing w:val="1"/>
                <w:shd w:val="solid" w:color="000000" w:fill="000000"/>
                <w:fitText w:val="330" w:id="-694415099"/>
                <w14:textFill>
                  <w14:solidFill>
                    <w14:srgbClr w14:val="000000">
                      <w14:alpha w14:val="100000"/>
                    </w14:srgbClr>
                  </w14:solidFill>
                </w14:textFill>
              </w:rPr>
              <w:t>|</w:t>
            </w:r>
            <w:r w:rsidR="00162D5F" w:rsidRPr="00E84596">
              <w:rPr>
                <w:vertAlign w:val="superscript"/>
              </w:rPr>
              <w:t>4</w:t>
            </w:r>
          </w:p>
        </w:tc>
        <w:tc>
          <w:tcPr>
            <w:tcW w:w="606" w:type="pct"/>
            <w:shd w:val="clear" w:color="auto" w:fill="auto"/>
            <w:vAlign w:val="center"/>
          </w:tcPr>
          <w:p w14:paraId="11C9D341" w14:textId="16A947FE" w:rsidR="00715CD9" w:rsidRPr="008212C3" w:rsidRDefault="00F0779A" w:rsidP="007A3B3E">
            <w:pPr>
              <w:pStyle w:val="TableText"/>
              <w:keepLines/>
              <w:jc w:val="center"/>
              <w:rPr>
                <w:highlight w:val="darkGray"/>
              </w:rPr>
            </w:pPr>
            <w:r w:rsidRPr="00F0779A">
              <w:rPr>
                <w:color w:val="000000"/>
                <w:spacing w:val="53"/>
                <w:shd w:val="solid" w:color="000000" w:fill="000000"/>
                <w:fitText w:val="330" w:id="-694415098"/>
                <w14:textFill>
                  <w14:solidFill>
                    <w14:srgbClr w14:val="000000">
                      <w14:alpha w14:val="100000"/>
                    </w14:srgbClr>
                  </w14:solidFill>
                </w14:textFill>
              </w:rPr>
              <w:t>|||</w:t>
            </w:r>
            <w:r w:rsidRPr="00F0779A">
              <w:rPr>
                <w:color w:val="000000"/>
                <w:spacing w:val="1"/>
                <w:shd w:val="solid" w:color="000000" w:fill="000000"/>
                <w:fitText w:val="330" w:id="-694415098"/>
                <w14:textFill>
                  <w14:solidFill>
                    <w14:srgbClr w14:val="000000">
                      <w14:alpha w14:val="100000"/>
                    </w14:srgbClr>
                  </w14:solidFill>
                </w14:textFill>
              </w:rPr>
              <w:t>|</w:t>
            </w:r>
            <w:r w:rsidR="00162D5F" w:rsidRPr="00E84596">
              <w:rPr>
                <w:vertAlign w:val="superscript"/>
              </w:rPr>
              <w:t>4</w:t>
            </w:r>
          </w:p>
        </w:tc>
        <w:tc>
          <w:tcPr>
            <w:tcW w:w="563" w:type="pct"/>
            <w:shd w:val="clear" w:color="auto" w:fill="auto"/>
            <w:vAlign w:val="center"/>
          </w:tcPr>
          <w:p w14:paraId="06BA1E89" w14:textId="44ACB1C5" w:rsidR="00715CD9" w:rsidRPr="008212C3" w:rsidRDefault="00F0779A" w:rsidP="007A3B3E">
            <w:pPr>
              <w:pStyle w:val="TableText"/>
              <w:keepLines/>
              <w:jc w:val="center"/>
              <w:rPr>
                <w:highlight w:val="darkGray"/>
              </w:rPr>
            </w:pPr>
            <w:r w:rsidRPr="00F0779A">
              <w:rPr>
                <w:color w:val="000000"/>
                <w:spacing w:val="49"/>
                <w:shd w:val="solid" w:color="000000" w:fill="000000"/>
                <w:fitText w:val="320" w:id="-694415097"/>
                <w14:textFill>
                  <w14:solidFill>
                    <w14:srgbClr w14:val="000000">
                      <w14:alpha w14:val="100000"/>
                    </w14:srgbClr>
                  </w14:solidFill>
                </w14:textFill>
              </w:rPr>
              <w:t>|||</w:t>
            </w:r>
            <w:r w:rsidRPr="00F0779A">
              <w:rPr>
                <w:color w:val="000000"/>
                <w:spacing w:val="3"/>
                <w:shd w:val="solid" w:color="000000" w:fill="000000"/>
                <w:fitText w:val="320" w:id="-694415097"/>
                <w14:textFill>
                  <w14:solidFill>
                    <w14:srgbClr w14:val="000000">
                      <w14:alpha w14:val="100000"/>
                    </w14:srgbClr>
                  </w14:solidFill>
                </w14:textFill>
              </w:rPr>
              <w:t>|</w:t>
            </w:r>
            <w:r w:rsidR="00162D5F" w:rsidRPr="00E84596">
              <w:rPr>
                <w:vertAlign w:val="superscript"/>
              </w:rPr>
              <w:t>4</w:t>
            </w:r>
          </w:p>
        </w:tc>
        <w:tc>
          <w:tcPr>
            <w:tcW w:w="565" w:type="pct"/>
            <w:shd w:val="clear" w:color="auto" w:fill="auto"/>
            <w:vAlign w:val="center"/>
          </w:tcPr>
          <w:p w14:paraId="2D3230E8" w14:textId="175A14DE" w:rsidR="00715CD9" w:rsidRPr="008212C3" w:rsidRDefault="00F0779A" w:rsidP="007A3B3E">
            <w:pPr>
              <w:pStyle w:val="TableText"/>
              <w:keepLines/>
              <w:jc w:val="center"/>
              <w:rPr>
                <w:highlight w:val="darkGray"/>
              </w:rPr>
            </w:pPr>
            <w:r w:rsidRPr="00F0779A">
              <w:rPr>
                <w:color w:val="000000"/>
                <w:spacing w:val="53"/>
                <w:shd w:val="solid" w:color="000000" w:fill="000000"/>
                <w:fitText w:val="330" w:id="-694415096"/>
                <w14:textFill>
                  <w14:solidFill>
                    <w14:srgbClr w14:val="000000">
                      <w14:alpha w14:val="100000"/>
                    </w14:srgbClr>
                  </w14:solidFill>
                </w14:textFill>
              </w:rPr>
              <w:t>|||</w:t>
            </w:r>
            <w:r w:rsidRPr="00F0779A">
              <w:rPr>
                <w:color w:val="000000"/>
                <w:spacing w:val="1"/>
                <w:shd w:val="solid" w:color="000000" w:fill="000000"/>
                <w:fitText w:val="330" w:id="-694415096"/>
                <w14:textFill>
                  <w14:solidFill>
                    <w14:srgbClr w14:val="000000">
                      <w14:alpha w14:val="100000"/>
                    </w14:srgbClr>
                  </w14:solidFill>
                </w14:textFill>
              </w:rPr>
              <w:t>|</w:t>
            </w:r>
            <w:r w:rsidR="00162D5F" w:rsidRPr="00E84596">
              <w:rPr>
                <w:vertAlign w:val="superscript"/>
              </w:rPr>
              <w:t>4</w:t>
            </w:r>
          </w:p>
        </w:tc>
        <w:tc>
          <w:tcPr>
            <w:tcW w:w="578" w:type="pct"/>
            <w:shd w:val="clear" w:color="auto" w:fill="auto"/>
            <w:vAlign w:val="center"/>
          </w:tcPr>
          <w:p w14:paraId="798B0487" w14:textId="622FAA2B" w:rsidR="00715CD9" w:rsidRPr="008212C3" w:rsidRDefault="00F0779A" w:rsidP="007A3B3E">
            <w:pPr>
              <w:pStyle w:val="TableText"/>
              <w:keepLines/>
              <w:jc w:val="center"/>
              <w:rPr>
                <w:highlight w:val="darkGray"/>
              </w:rPr>
            </w:pPr>
            <w:r w:rsidRPr="00F0779A">
              <w:rPr>
                <w:color w:val="000000"/>
                <w:spacing w:val="53"/>
                <w:shd w:val="solid" w:color="000000" w:fill="000000"/>
                <w:fitText w:val="330" w:id="-694415095"/>
                <w14:textFill>
                  <w14:solidFill>
                    <w14:srgbClr w14:val="000000">
                      <w14:alpha w14:val="100000"/>
                    </w14:srgbClr>
                  </w14:solidFill>
                </w14:textFill>
              </w:rPr>
              <w:t>|||</w:t>
            </w:r>
            <w:r w:rsidRPr="00F0779A">
              <w:rPr>
                <w:color w:val="000000"/>
                <w:spacing w:val="1"/>
                <w:shd w:val="solid" w:color="000000" w:fill="000000"/>
                <w:fitText w:val="330" w:id="-694415095"/>
                <w14:textFill>
                  <w14:solidFill>
                    <w14:srgbClr w14:val="000000">
                      <w14:alpha w14:val="100000"/>
                    </w14:srgbClr>
                  </w14:solidFill>
                </w14:textFill>
              </w:rPr>
              <w:t>|</w:t>
            </w:r>
            <w:r w:rsidR="00162D5F" w:rsidRPr="00E84596">
              <w:rPr>
                <w:vertAlign w:val="superscript"/>
              </w:rPr>
              <w:t>4</w:t>
            </w:r>
          </w:p>
        </w:tc>
        <w:tc>
          <w:tcPr>
            <w:tcW w:w="524" w:type="pct"/>
            <w:vAlign w:val="center"/>
          </w:tcPr>
          <w:p w14:paraId="65399D7C" w14:textId="3B6F7631" w:rsidR="00715CD9" w:rsidRPr="008212C3" w:rsidRDefault="00F0779A" w:rsidP="007A3B3E">
            <w:pPr>
              <w:pStyle w:val="TableText"/>
              <w:keepLines/>
              <w:jc w:val="center"/>
              <w:rPr>
                <w:highlight w:val="darkGray"/>
              </w:rPr>
            </w:pPr>
            <w:r w:rsidRPr="00F0779A">
              <w:rPr>
                <w:color w:val="000000"/>
                <w:spacing w:val="53"/>
                <w:shd w:val="solid" w:color="000000" w:fill="000000"/>
                <w:fitText w:val="330" w:id="-694415094"/>
                <w14:textFill>
                  <w14:solidFill>
                    <w14:srgbClr w14:val="000000">
                      <w14:alpha w14:val="100000"/>
                    </w14:srgbClr>
                  </w14:solidFill>
                </w14:textFill>
              </w:rPr>
              <w:t>|||</w:t>
            </w:r>
            <w:r w:rsidRPr="00F0779A">
              <w:rPr>
                <w:color w:val="000000"/>
                <w:spacing w:val="1"/>
                <w:shd w:val="solid" w:color="000000" w:fill="000000"/>
                <w:fitText w:val="330" w:id="-694415094"/>
                <w14:textFill>
                  <w14:solidFill>
                    <w14:srgbClr w14:val="000000">
                      <w14:alpha w14:val="100000"/>
                    </w14:srgbClr>
                  </w14:solidFill>
                </w14:textFill>
              </w:rPr>
              <w:t>|</w:t>
            </w:r>
            <w:r w:rsidR="00EF20DB" w:rsidRPr="00E84596">
              <w:rPr>
                <w:vertAlign w:val="superscript"/>
              </w:rPr>
              <w:t>4</w:t>
            </w:r>
          </w:p>
        </w:tc>
      </w:tr>
      <w:tr w:rsidR="00715CD9" w:rsidRPr="00217EA0" w14:paraId="150A73B6" w14:textId="77777777">
        <w:tc>
          <w:tcPr>
            <w:tcW w:w="5000" w:type="pct"/>
            <w:gridSpan w:val="7"/>
            <w:shd w:val="clear" w:color="auto" w:fill="auto"/>
            <w:vAlign w:val="center"/>
          </w:tcPr>
          <w:p w14:paraId="4A575FFE" w14:textId="77777777" w:rsidR="00715CD9" w:rsidRPr="00217EA0" w:rsidRDefault="00715CD9" w:rsidP="007A3B3E">
            <w:pPr>
              <w:pStyle w:val="TableText"/>
              <w:keepLines/>
              <w:rPr>
                <w:bCs/>
              </w:rPr>
            </w:pPr>
            <w:r w:rsidRPr="00217EA0">
              <w:rPr>
                <w:bCs/>
              </w:rPr>
              <w:t>Estimated financial implications for FOLFOX associated costs to the MBS</w:t>
            </w:r>
          </w:p>
        </w:tc>
      </w:tr>
      <w:tr w:rsidR="00A343AD" w:rsidRPr="00217EA0" w14:paraId="47ADD9DF" w14:textId="77777777" w:rsidTr="00A343AD">
        <w:tc>
          <w:tcPr>
            <w:tcW w:w="1635" w:type="pct"/>
            <w:shd w:val="clear" w:color="auto" w:fill="auto"/>
            <w:vAlign w:val="center"/>
          </w:tcPr>
          <w:p w14:paraId="4D05B7D3" w14:textId="77777777" w:rsidR="00715CD9" w:rsidRPr="00217EA0" w:rsidRDefault="00715CD9" w:rsidP="007A3B3E">
            <w:pPr>
              <w:pStyle w:val="TableText"/>
              <w:keepLines/>
            </w:pPr>
            <w:r w:rsidRPr="00217EA0">
              <w:t>Cost to MBS less co-payments (</w:t>
            </w:r>
            <w:r w:rsidRPr="00562300">
              <w:t>80</w:t>
            </w:r>
            <w:r w:rsidRPr="00217EA0">
              <w:t>% rebate)</w:t>
            </w:r>
          </w:p>
        </w:tc>
        <w:tc>
          <w:tcPr>
            <w:tcW w:w="528" w:type="pct"/>
            <w:shd w:val="clear" w:color="auto" w:fill="auto"/>
            <w:vAlign w:val="center"/>
          </w:tcPr>
          <w:p w14:paraId="6F6A0805" w14:textId="1B860862" w:rsidR="00715CD9" w:rsidRPr="008212C3" w:rsidRDefault="00F0779A" w:rsidP="007A3B3E">
            <w:pPr>
              <w:pStyle w:val="TableText"/>
              <w:keepLines/>
              <w:jc w:val="center"/>
              <w:rPr>
                <w:highlight w:val="darkGray"/>
              </w:rPr>
            </w:pPr>
            <w:r w:rsidRPr="00F0779A">
              <w:rPr>
                <w:color w:val="000000"/>
                <w:spacing w:val="53"/>
                <w:shd w:val="solid" w:color="000000" w:fill="000000"/>
                <w:fitText w:val="330" w:id="-694415093"/>
                <w14:textFill>
                  <w14:solidFill>
                    <w14:srgbClr w14:val="000000">
                      <w14:alpha w14:val="100000"/>
                    </w14:srgbClr>
                  </w14:solidFill>
                </w14:textFill>
              </w:rPr>
              <w:t>|||</w:t>
            </w:r>
            <w:r w:rsidRPr="00F0779A">
              <w:rPr>
                <w:color w:val="000000"/>
                <w:spacing w:val="1"/>
                <w:shd w:val="solid" w:color="000000" w:fill="000000"/>
                <w:fitText w:val="330" w:id="-694415093"/>
                <w14:textFill>
                  <w14:solidFill>
                    <w14:srgbClr w14:val="000000">
                      <w14:alpha w14:val="100000"/>
                    </w14:srgbClr>
                  </w14:solidFill>
                </w14:textFill>
              </w:rPr>
              <w:t>|</w:t>
            </w:r>
            <w:r w:rsidR="009E2AB6" w:rsidRPr="00DC7524">
              <w:rPr>
                <w:bCs/>
                <w:vertAlign w:val="superscript"/>
              </w:rPr>
              <w:t>5</w:t>
            </w:r>
          </w:p>
        </w:tc>
        <w:tc>
          <w:tcPr>
            <w:tcW w:w="606" w:type="pct"/>
            <w:shd w:val="clear" w:color="auto" w:fill="auto"/>
            <w:vAlign w:val="center"/>
          </w:tcPr>
          <w:p w14:paraId="51C29702" w14:textId="49006D3F" w:rsidR="00715CD9" w:rsidRPr="008212C3" w:rsidRDefault="00F0779A" w:rsidP="007A3B3E">
            <w:pPr>
              <w:pStyle w:val="TableText"/>
              <w:keepLines/>
              <w:jc w:val="center"/>
              <w:rPr>
                <w:highlight w:val="darkGray"/>
              </w:rPr>
            </w:pPr>
            <w:r w:rsidRPr="00F0779A">
              <w:rPr>
                <w:color w:val="000000"/>
                <w:spacing w:val="53"/>
                <w:shd w:val="solid" w:color="000000" w:fill="000000"/>
                <w:fitText w:val="330" w:id="-694415092"/>
                <w14:textFill>
                  <w14:solidFill>
                    <w14:srgbClr w14:val="000000">
                      <w14:alpha w14:val="100000"/>
                    </w14:srgbClr>
                  </w14:solidFill>
                </w14:textFill>
              </w:rPr>
              <w:t>|||</w:t>
            </w:r>
            <w:r w:rsidRPr="00F0779A">
              <w:rPr>
                <w:color w:val="000000"/>
                <w:spacing w:val="1"/>
                <w:shd w:val="solid" w:color="000000" w:fill="000000"/>
                <w:fitText w:val="330" w:id="-694415092"/>
                <w14:textFill>
                  <w14:solidFill>
                    <w14:srgbClr w14:val="000000">
                      <w14:alpha w14:val="100000"/>
                    </w14:srgbClr>
                  </w14:solidFill>
                </w14:textFill>
              </w:rPr>
              <w:t>|</w:t>
            </w:r>
            <w:r w:rsidR="009E2AB6" w:rsidRPr="00DC7524">
              <w:rPr>
                <w:bCs/>
                <w:vertAlign w:val="superscript"/>
              </w:rPr>
              <w:t>5</w:t>
            </w:r>
          </w:p>
        </w:tc>
        <w:tc>
          <w:tcPr>
            <w:tcW w:w="563" w:type="pct"/>
            <w:shd w:val="clear" w:color="auto" w:fill="auto"/>
            <w:vAlign w:val="center"/>
          </w:tcPr>
          <w:p w14:paraId="312816D9" w14:textId="6C865A80" w:rsidR="00715CD9" w:rsidRPr="008212C3" w:rsidRDefault="00F0779A" w:rsidP="007A3B3E">
            <w:pPr>
              <w:pStyle w:val="TableText"/>
              <w:keepLines/>
              <w:jc w:val="center"/>
              <w:rPr>
                <w:highlight w:val="darkGray"/>
              </w:rPr>
            </w:pPr>
            <w:r w:rsidRPr="00F0779A">
              <w:rPr>
                <w:color w:val="000000"/>
                <w:spacing w:val="49"/>
                <w:shd w:val="solid" w:color="000000" w:fill="000000"/>
                <w:fitText w:val="320" w:id="-694415091"/>
                <w14:textFill>
                  <w14:solidFill>
                    <w14:srgbClr w14:val="000000">
                      <w14:alpha w14:val="100000"/>
                    </w14:srgbClr>
                  </w14:solidFill>
                </w14:textFill>
              </w:rPr>
              <w:t>|||</w:t>
            </w:r>
            <w:r w:rsidRPr="00F0779A">
              <w:rPr>
                <w:color w:val="000000"/>
                <w:spacing w:val="3"/>
                <w:shd w:val="solid" w:color="000000" w:fill="000000"/>
                <w:fitText w:val="320" w:id="-694415091"/>
                <w14:textFill>
                  <w14:solidFill>
                    <w14:srgbClr w14:val="000000">
                      <w14:alpha w14:val="100000"/>
                    </w14:srgbClr>
                  </w14:solidFill>
                </w14:textFill>
              </w:rPr>
              <w:t>|</w:t>
            </w:r>
            <w:r w:rsidR="009E2AB6" w:rsidRPr="00DC7524">
              <w:rPr>
                <w:bCs/>
                <w:vertAlign w:val="superscript"/>
              </w:rPr>
              <w:t>5</w:t>
            </w:r>
          </w:p>
        </w:tc>
        <w:tc>
          <w:tcPr>
            <w:tcW w:w="565" w:type="pct"/>
            <w:shd w:val="clear" w:color="auto" w:fill="auto"/>
            <w:vAlign w:val="center"/>
          </w:tcPr>
          <w:p w14:paraId="6A01449E" w14:textId="102EF637" w:rsidR="00715CD9" w:rsidRPr="008212C3" w:rsidRDefault="00F0779A" w:rsidP="007A3B3E">
            <w:pPr>
              <w:pStyle w:val="TableText"/>
              <w:keepLines/>
              <w:jc w:val="center"/>
              <w:rPr>
                <w:highlight w:val="darkGray"/>
              </w:rPr>
            </w:pPr>
            <w:r w:rsidRPr="00F0779A">
              <w:rPr>
                <w:color w:val="000000"/>
                <w:spacing w:val="53"/>
                <w:shd w:val="solid" w:color="000000" w:fill="000000"/>
                <w:fitText w:val="330" w:id="-694415090"/>
                <w14:textFill>
                  <w14:solidFill>
                    <w14:srgbClr w14:val="000000">
                      <w14:alpha w14:val="100000"/>
                    </w14:srgbClr>
                  </w14:solidFill>
                </w14:textFill>
              </w:rPr>
              <w:t>|||</w:t>
            </w:r>
            <w:r w:rsidRPr="00F0779A">
              <w:rPr>
                <w:color w:val="000000"/>
                <w:spacing w:val="1"/>
                <w:shd w:val="solid" w:color="000000" w:fill="000000"/>
                <w:fitText w:val="330" w:id="-694415090"/>
                <w14:textFill>
                  <w14:solidFill>
                    <w14:srgbClr w14:val="000000">
                      <w14:alpha w14:val="100000"/>
                    </w14:srgbClr>
                  </w14:solidFill>
                </w14:textFill>
              </w:rPr>
              <w:t>|</w:t>
            </w:r>
            <w:r w:rsidR="009E2AB6" w:rsidRPr="00DC7524">
              <w:rPr>
                <w:bCs/>
                <w:vertAlign w:val="superscript"/>
              </w:rPr>
              <w:t>5</w:t>
            </w:r>
          </w:p>
        </w:tc>
        <w:tc>
          <w:tcPr>
            <w:tcW w:w="578" w:type="pct"/>
            <w:shd w:val="clear" w:color="auto" w:fill="auto"/>
            <w:vAlign w:val="center"/>
          </w:tcPr>
          <w:p w14:paraId="4DB24DAB" w14:textId="01536EFF" w:rsidR="00715CD9" w:rsidRPr="008212C3" w:rsidRDefault="00F0779A" w:rsidP="007A3B3E">
            <w:pPr>
              <w:pStyle w:val="TableText"/>
              <w:keepLines/>
              <w:jc w:val="center"/>
              <w:rPr>
                <w:highlight w:val="darkGray"/>
              </w:rPr>
            </w:pPr>
            <w:r w:rsidRPr="00F0779A">
              <w:rPr>
                <w:color w:val="000000"/>
                <w:spacing w:val="53"/>
                <w:shd w:val="solid" w:color="000000" w:fill="000000"/>
                <w:fitText w:val="330" w:id="-694415089"/>
                <w14:textFill>
                  <w14:solidFill>
                    <w14:srgbClr w14:val="000000">
                      <w14:alpha w14:val="100000"/>
                    </w14:srgbClr>
                  </w14:solidFill>
                </w14:textFill>
              </w:rPr>
              <w:t>|||</w:t>
            </w:r>
            <w:r w:rsidRPr="00F0779A">
              <w:rPr>
                <w:color w:val="000000"/>
                <w:spacing w:val="1"/>
                <w:shd w:val="solid" w:color="000000" w:fill="000000"/>
                <w:fitText w:val="330" w:id="-694415089"/>
                <w14:textFill>
                  <w14:solidFill>
                    <w14:srgbClr w14:val="000000">
                      <w14:alpha w14:val="100000"/>
                    </w14:srgbClr>
                  </w14:solidFill>
                </w14:textFill>
              </w:rPr>
              <w:t>|</w:t>
            </w:r>
            <w:r w:rsidR="009E2AB6" w:rsidRPr="00DC7524">
              <w:rPr>
                <w:bCs/>
                <w:vertAlign w:val="superscript"/>
              </w:rPr>
              <w:t>5</w:t>
            </w:r>
          </w:p>
        </w:tc>
        <w:tc>
          <w:tcPr>
            <w:tcW w:w="524" w:type="pct"/>
            <w:vAlign w:val="center"/>
          </w:tcPr>
          <w:p w14:paraId="4C5A8504" w14:textId="630369DF" w:rsidR="00715CD9" w:rsidRPr="008212C3" w:rsidRDefault="00F0779A" w:rsidP="007A3B3E">
            <w:pPr>
              <w:pStyle w:val="TableText"/>
              <w:keepLines/>
              <w:jc w:val="center"/>
              <w:rPr>
                <w:highlight w:val="darkGray"/>
              </w:rPr>
            </w:pPr>
            <w:r w:rsidRPr="00F0779A">
              <w:rPr>
                <w:color w:val="000000"/>
                <w:spacing w:val="53"/>
                <w:shd w:val="solid" w:color="000000" w:fill="000000"/>
                <w:fitText w:val="330" w:id="-694415088"/>
                <w14:textFill>
                  <w14:solidFill>
                    <w14:srgbClr w14:val="000000">
                      <w14:alpha w14:val="100000"/>
                    </w14:srgbClr>
                  </w14:solidFill>
                </w14:textFill>
              </w:rPr>
              <w:t>|||</w:t>
            </w:r>
            <w:r w:rsidRPr="00F0779A">
              <w:rPr>
                <w:color w:val="000000"/>
                <w:spacing w:val="1"/>
                <w:shd w:val="solid" w:color="000000" w:fill="000000"/>
                <w:fitText w:val="330" w:id="-694415088"/>
                <w14:textFill>
                  <w14:solidFill>
                    <w14:srgbClr w14:val="000000">
                      <w14:alpha w14:val="100000"/>
                    </w14:srgbClr>
                  </w14:solidFill>
                </w14:textFill>
              </w:rPr>
              <w:t>|</w:t>
            </w:r>
            <w:r w:rsidR="00AC3679" w:rsidRPr="00DC7524">
              <w:rPr>
                <w:bCs/>
                <w:vertAlign w:val="superscript"/>
              </w:rPr>
              <w:t>5</w:t>
            </w:r>
          </w:p>
        </w:tc>
      </w:tr>
      <w:tr w:rsidR="00A343AD" w:rsidRPr="00217EA0" w14:paraId="0C03918C" w14:textId="77777777" w:rsidTr="00A343AD">
        <w:tc>
          <w:tcPr>
            <w:tcW w:w="1635" w:type="pct"/>
            <w:shd w:val="clear" w:color="auto" w:fill="auto"/>
            <w:vAlign w:val="center"/>
          </w:tcPr>
          <w:p w14:paraId="738C1DAB" w14:textId="77777777" w:rsidR="00715CD9" w:rsidRPr="00217EA0" w:rsidRDefault="00715CD9" w:rsidP="007A3B3E">
            <w:pPr>
              <w:pStyle w:val="TableText"/>
              <w:keepLines/>
              <w:rPr>
                <w:b/>
                <w:bCs/>
              </w:rPr>
            </w:pPr>
            <w:r w:rsidRPr="00217EA0">
              <w:rPr>
                <w:b/>
                <w:bCs/>
              </w:rPr>
              <w:t>Net cost to MBS</w:t>
            </w:r>
          </w:p>
        </w:tc>
        <w:tc>
          <w:tcPr>
            <w:tcW w:w="528" w:type="pct"/>
            <w:shd w:val="clear" w:color="auto" w:fill="auto"/>
            <w:vAlign w:val="center"/>
          </w:tcPr>
          <w:p w14:paraId="615B2B45" w14:textId="41529DD3" w:rsidR="00715CD9" w:rsidRPr="008212C3" w:rsidRDefault="00F0779A" w:rsidP="007A3B3E">
            <w:pPr>
              <w:pStyle w:val="TableText"/>
              <w:keepLines/>
              <w:jc w:val="center"/>
              <w:rPr>
                <w:b/>
                <w:bCs/>
                <w:highlight w:val="darkGray"/>
              </w:rPr>
            </w:pPr>
            <w:r w:rsidRPr="00F0779A">
              <w:rPr>
                <w:b/>
                <w:bCs/>
                <w:color w:val="000000"/>
                <w:spacing w:val="55"/>
                <w:shd w:val="solid" w:color="000000" w:fill="000000"/>
                <w:fitText w:val="350" w:id="-694415104"/>
                <w14:textFill>
                  <w14:solidFill>
                    <w14:srgbClr w14:val="000000">
                      <w14:alpha w14:val="100000"/>
                    </w14:srgbClr>
                  </w14:solidFill>
                </w14:textFill>
              </w:rPr>
              <w:t>|||</w:t>
            </w:r>
            <w:r w:rsidRPr="00F0779A">
              <w:rPr>
                <w:b/>
                <w:bCs/>
                <w:color w:val="000000"/>
                <w:spacing w:val="2"/>
                <w:shd w:val="solid" w:color="000000" w:fill="000000"/>
                <w:fitText w:val="350" w:id="-694415104"/>
                <w14:textFill>
                  <w14:solidFill>
                    <w14:srgbClr w14:val="000000">
                      <w14:alpha w14:val="100000"/>
                    </w14:srgbClr>
                  </w14:solidFill>
                </w14:textFill>
              </w:rPr>
              <w:t>|</w:t>
            </w:r>
            <w:r w:rsidR="00AC3679" w:rsidRPr="00DC7524">
              <w:rPr>
                <w:bCs/>
                <w:vertAlign w:val="superscript"/>
              </w:rPr>
              <w:t>5</w:t>
            </w:r>
          </w:p>
        </w:tc>
        <w:tc>
          <w:tcPr>
            <w:tcW w:w="606" w:type="pct"/>
            <w:shd w:val="clear" w:color="auto" w:fill="auto"/>
            <w:vAlign w:val="center"/>
          </w:tcPr>
          <w:p w14:paraId="0197E38A" w14:textId="341114B2" w:rsidR="00715CD9" w:rsidRPr="008212C3" w:rsidRDefault="00F0779A" w:rsidP="007A3B3E">
            <w:pPr>
              <w:pStyle w:val="TableText"/>
              <w:keepLines/>
              <w:jc w:val="center"/>
              <w:rPr>
                <w:b/>
                <w:bCs/>
                <w:highlight w:val="darkGray"/>
              </w:rPr>
            </w:pPr>
            <w:r w:rsidRPr="00F0779A">
              <w:rPr>
                <w:b/>
                <w:bCs/>
                <w:color w:val="000000"/>
                <w:spacing w:val="55"/>
                <w:shd w:val="solid" w:color="000000" w:fill="000000"/>
                <w:fitText w:val="350" w:id="-694415103"/>
                <w14:textFill>
                  <w14:solidFill>
                    <w14:srgbClr w14:val="000000">
                      <w14:alpha w14:val="100000"/>
                    </w14:srgbClr>
                  </w14:solidFill>
                </w14:textFill>
              </w:rPr>
              <w:t>|||</w:t>
            </w:r>
            <w:r w:rsidRPr="00F0779A">
              <w:rPr>
                <w:b/>
                <w:bCs/>
                <w:color w:val="000000"/>
                <w:spacing w:val="2"/>
                <w:shd w:val="solid" w:color="000000" w:fill="000000"/>
                <w:fitText w:val="350" w:id="-694415103"/>
                <w14:textFill>
                  <w14:solidFill>
                    <w14:srgbClr w14:val="000000">
                      <w14:alpha w14:val="100000"/>
                    </w14:srgbClr>
                  </w14:solidFill>
                </w14:textFill>
              </w:rPr>
              <w:t>|</w:t>
            </w:r>
            <w:r w:rsidR="00162D5F" w:rsidRPr="00E84596">
              <w:rPr>
                <w:vertAlign w:val="superscript"/>
              </w:rPr>
              <w:t>4</w:t>
            </w:r>
          </w:p>
        </w:tc>
        <w:tc>
          <w:tcPr>
            <w:tcW w:w="563" w:type="pct"/>
            <w:shd w:val="clear" w:color="auto" w:fill="auto"/>
            <w:vAlign w:val="center"/>
          </w:tcPr>
          <w:p w14:paraId="3B00E712" w14:textId="1D36AAAF" w:rsidR="00715CD9" w:rsidRPr="008212C3" w:rsidRDefault="00F0779A" w:rsidP="007A3B3E">
            <w:pPr>
              <w:pStyle w:val="TableText"/>
              <w:keepLines/>
              <w:jc w:val="center"/>
              <w:rPr>
                <w:b/>
                <w:bCs/>
                <w:highlight w:val="darkGray"/>
              </w:rPr>
            </w:pPr>
            <w:r w:rsidRPr="00F0779A">
              <w:rPr>
                <w:b/>
                <w:bCs/>
                <w:color w:val="000000"/>
                <w:spacing w:val="55"/>
                <w:shd w:val="solid" w:color="000000" w:fill="000000"/>
                <w:fitText w:val="350" w:id="-694415102"/>
                <w14:textFill>
                  <w14:solidFill>
                    <w14:srgbClr w14:val="000000">
                      <w14:alpha w14:val="100000"/>
                    </w14:srgbClr>
                  </w14:solidFill>
                </w14:textFill>
              </w:rPr>
              <w:t>|||</w:t>
            </w:r>
            <w:r w:rsidRPr="00F0779A">
              <w:rPr>
                <w:b/>
                <w:bCs/>
                <w:color w:val="000000"/>
                <w:spacing w:val="2"/>
                <w:shd w:val="solid" w:color="000000" w:fill="000000"/>
                <w:fitText w:val="350" w:id="-694415102"/>
                <w14:textFill>
                  <w14:solidFill>
                    <w14:srgbClr w14:val="000000">
                      <w14:alpha w14:val="100000"/>
                    </w14:srgbClr>
                  </w14:solidFill>
                </w14:textFill>
              </w:rPr>
              <w:t>|</w:t>
            </w:r>
            <w:r w:rsidR="00162D5F" w:rsidRPr="00E84596">
              <w:rPr>
                <w:vertAlign w:val="superscript"/>
              </w:rPr>
              <w:t>4</w:t>
            </w:r>
          </w:p>
        </w:tc>
        <w:tc>
          <w:tcPr>
            <w:tcW w:w="565" w:type="pct"/>
            <w:shd w:val="clear" w:color="auto" w:fill="auto"/>
            <w:vAlign w:val="center"/>
          </w:tcPr>
          <w:p w14:paraId="2CAD7163" w14:textId="2BF41BA0" w:rsidR="00715CD9" w:rsidRPr="008212C3" w:rsidRDefault="00F0779A" w:rsidP="007A3B3E">
            <w:pPr>
              <w:pStyle w:val="TableText"/>
              <w:keepLines/>
              <w:jc w:val="center"/>
              <w:rPr>
                <w:b/>
                <w:bCs/>
                <w:highlight w:val="darkGray"/>
              </w:rPr>
            </w:pPr>
            <w:r w:rsidRPr="00F0779A">
              <w:rPr>
                <w:b/>
                <w:bCs/>
                <w:color w:val="000000"/>
                <w:spacing w:val="55"/>
                <w:shd w:val="solid" w:color="000000" w:fill="000000"/>
                <w:fitText w:val="350" w:id="-694415101"/>
                <w14:textFill>
                  <w14:solidFill>
                    <w14:srgbClr w14:val="000000">
                      <w14:alpha w14:val="100000"/>
                    </w14:srgbClr>
                  </w14:solidFill>
                </w14:textFill>
              </w:rPr>
              <w:t>|||</w:t>
            </w:r>
            <w:r w:rsidRPr="00F0779A">
              <w:rPr>
                <w:b/>
                <w:bCs/>
                <w:color w:val="000000"/>
                <w:spacing w:val="2"/>
                <w:shd w:val="solid" w:color="000000" w:fill="000000"/>
                <w:fitText w:val="350" w:id="-694415101"/>
                <w14:textFill>
                  <w14:solidFill>
                    <w14:srgbClr w14:val="000000">
                      <w14:alpha w14:val="100000"/>
                    </w14:srgbClr>
                  </w14:solidFill>
                </w14:textFill>
              </w:rPr>
              <w:t>|</w:t>
            </w:r>
            <w:r w:rsidR="00162D5F" w:rsidRPr="00E84596">
              <w:rPr>
                <w:vertAlign w:val="superscript"/>
              </w:rPr>
              <w:t>4</w:t>
            </w:r>
          </w:p>
        </w:tc>
        <w:tc>
          <w:tcPr>
            <w:tcW w:w="578" w:type="pct"/>
            <w:shd w:val="clear" w:color="auto" w:fill="auto"/>
            <w:vAlign w:val="center"/>
          </w:tcPr>
          <w:p w14:paraId="14E3ABB9" w14:textId="5744268F" w:rsidR="00715CD9" w:rsidRPr="008212C3" w:rsidRDefault="00F0779A" w:rsidP="007A3B3E">
            <w:pPr>
              <w:pStyle w:val="TableText"/>
              <w:keepLines/>
              <w:jc w:val="center"/>
              <w:rPr>
                <w:b/>
                <w:bCs/>
                <w:highlight w:val="darkGray"/>
              </w:rPr>
            </w:pPr>
            <w:r w:rsidRPr="00F0779A">
              <w:rPr>
                <w:b/>
                <w:bCs/>
                <w:color w:val="000000"/>
                <w:spacing w:val="58"/>
                <w:shd w:val="solid" w:color="000000" w:fill="000000"/>
                <w:fitText w:val="360" w:id="-694415100"/>
                <w14:textFill>
                  <w14:solidFill>
                    <w14:srgbClr w14:val="000000">
                      <w14:alpha w14:val="100000"/>
                    </w14:srgbClr>
                  </w14:solidFill>
                </w14:textFill>
              </w:rPr>
              <w:t>|||</w:t>
            </w:r>
            <w:r w:rsidRPr="00F0779A">
              <w:rPr>
                <w:b/>
                <w:bCs/>
                <w:color w:val="000000"/>
                <w:spacing w:val="3"/>
                <w:shd w:val="solid" w:color="000000" w:fill="000000"/>
                <w:fitText w:val="360" w:id="-694415100"/>
                <w14:textFill>
                  <w14:solidFill>
                    <w14:srgbClr w14:val="000000">
                      <w14:alpha w14:val="100000"/>
                    </w14:srgbClr>
                  </w14:solidFill>
                </w14:textFill>
              </w:rPr>
              <w:t>|</w:t>
            </w:r>
            <w:r w:rsidR="00162D5F" w:rsidRPr="00E84596">
              <w:rPr>
                <w:vertAlign w:val="superscript"/>
              </w:rPr>
              <w:t>4</w:t>
            </w:r>
          </w:p>
        </w:tc>
        <w:tc>
          <w:tcPr>
            <w:tcW w:w="524" w:type="pct"/>
            <w:vAlign w:val="center"/>
          </w:tcPr>
          <w:p w14:paraId="7D3F99FE" w14:textId="58586F0E" w:rsidR="00715CD9" w:rsidRPr="008212C3" w:rsidRDefault="00F0779A" w:rsidP="007A3B3E">
            <w:pPr>
              <w:pStyle w:val="TableText"/>
              <w:keepLines/>
              <w:jc w:val="center"/>
              <w:rPr>
                <w:b/>
                <w:bCs/>
                <w:highlight w:val="darkGray"/>
              </w:rPr>
            </w:pPr>
            <w:r w:rsidRPr="00F0779A">
              <w:rPr>
                <w:b/>
                <w:bCs/>
                <w:color w:val="000000"/>
                <w:spacing w:val="58"/>
                <w:shd w:val="solid" w:color="000000" w:fill="000000"/>
                <w:fitText w:val="360" w:id="-694415099"/>
                <w14:textFill>
                  <w14:solidFill>
                    <w14:srgbClr w14:val="000000">
                      <w14:alpha w14:val="100000"/>
                    </w14:srgbClr>
                  </w14:solidFill>
                </w14:textFill>
              </w:rPr>
              <w:t>|||</w:t>
            </w:r>
            <w:r w:rsidRPr="00F0779A">
              <w:rPr>
                <w:b/>
                <w:bCs/>
                <w:color w:val="000000"/>
                <w:spacing w:val="3"/>
                <w:shd w:val="solid" w:color="000000" w:fill="000000"/>
                <w:fitText w:val="360" w:id="-694415099"/>
                <w14:textFill>
                  <w14:solidFill>
                    <w14:srgbClr w14:val="000000">
                      <w14:alpha w14:val="100000"/>
                    </w14:srgbClr>
                  </w14:solidFill>
                </w14:textFill>
              </w:rPr>
              <w:t>|</w:t>
            </w:r>
            <w:r w:rsidR="00162D5F" w:rsidRPr="00E84596">
              <w:rPr>
                <w:vertAlign w:val="superscript"/>
              </w:rPr>
              <w:t>4</w:t>
            </w:r>
          </w:p>
        </w:tc>
      </w:tr>
      <w:tr w:rsidR="00715CD9" w:rsidRPr="00217EA0" w14:paraId="38BB649E" w14:textId="77777777">
        <w:tc>
          <w:tcPr>
            <w:tcW w:w="5000" w:type="pct"/>
            <w:gridSpan w:val="7"/>
            <w:shd w:val="clear" w:color="auto" w:fill="auto"/>
            <w:vAlign w:val="center"/>
          </w:tcPr>
          <w:p w14:paraId="7FF36D77" w14:textId="77777777" w:rsidR="00715CD9" w:rsidRPr="00217EA0" w:rsidRDefault="00715CD9" w:rsidP="007A3B3E">
            <w:pPr>
              <w:pStyle w:val="TableText"/>
              <w:keepLines/>
              <w:rPr>
                <w:b/>
              </w:rPr>
            </w:pPr>
            <w:r w:rsidRPr="00217EA0">
              <w:rPr>
                <w:b/>
              </w:rPr>
              <w:t xml:space="preserve">Net financial implications </w:t>
            </w:r>
          </w:p>
        </w:tc>
      </w:tr>
      <w:tr w:rsidR="00A343AD" w:rsidRPr="00217EA0" w14:paraId="1F2648B8" w14:textId="77777777" w:rsidTr="00A343AD">
        <w:tc>
          <w:tcPr>
            <w:tcW w:w="1635" w:type="pct"/>
            <w:shd w:val="clear" w:color="auto" w:fill="auto"/>
            <w:vAlign w:val="center"/>
          </w:tcPr>
          <w:p w14:paraId="080FDAF1" w14:textId="77777777" w:rsidR="00715CD9" w:rsidRPr="00217EA0" w:rsidRDefault="00715CD9" w:rsidP="007A3B3E">
            <w:pPr>
              <w:pStyle w:val="TableText"/>
              <w:keepLines/>
            </w:pPr>
            <w:r w:rsidRPr="00217EA0">
              <w:t>Net cost to PBS/RPBS</w:t>
            </w:r>
          </w:p>
        </w:tc>
        <w:tc>
          <w:tcPr>
            <w:tcW w:w="528" w:type="pct"/>
            <w:shd w:val="clear" w:color="auto" w:fill="auto"/>
          </w:tcPr>
          <w:p w14:paraId="634F0559" w14:textId="49ED082A" w:rsidR="00715CD9" w:rsidRPr="008212C3" w:rsidRDefault="00F0779A" w:rsidP="007A3B3E">
            <w:pPr>
              <w:pStyle w:val="TableText"/>
              <w:keepLines/>
              <w:jc w:val="center"/>
              <w:rPr>
                <w:bCs/>
                <w:highlight w:val="darkGray"/>
              </w:rPr>
            </w:pPr>
            <w:r w:rsidRPr="00F0779A">
              <w:rPr>
                <w:bCs/>
                <w:color w:val="000000"/>
                <w:spacing w:val="53"/>
                <w:shd w:val="solid" w:color="000000" w:fill="000000"/>
                <w:fitText w:val="330" w:id="-694415098"/>
                <w14:textFill>
                  <w14:solidFill>
                    <w14:srgbClr w14:val="000000">
                      <w14:alpha w14:val="100000"/>
                    </w14:srgbClr>
                  </w14:solidFill>
                </w14:textFill>
              </w:rPr>
              <w:t>|||</w:t>
            </w:r>
            <w:r w:rsidRPr="00F0779A">
              <w:rPr>
                <w:bCs/>
                <w:color w:val="000000"/>
                <w:spacing w:val="1"/>
                <w:shd w:val="solid" w:color="000000" w:fill="000000"/>
                <w:fitText w:val="330" w:id="-694415098"/>
                <w14:textFill>
                  <w14:solidFill>
                    <w14:srgbClr w14:val="000000">
                      <w14:alpha w14:val="100000"/>
                    </w14:srgbClr>
                  </w14:solidFill>
                </w14:textFill>
              </w:rPr>
              <w:t>|</w:t>
            </w:r>
            <w:r w:rsidR="0096591C" w:rsidRPr="00E84596">
              <w:rPr>
                <w:vertAlign w:val="superscript"/>
              </w:rPr>
              <w:t>4</w:t>
            </w:r>
          </w:p>
        </w:tc>
        <w:tc>
          <w:tcPr>
            <w:tcW w:w="606" w:type="pct"/>
            <w:shd w:val="clear" w:color="auto" w:fill="auto"/>
          </w:tcPr>
          <w:p w14:paraId="698D1134" w14:textId="48A14D92" w:rsidR="00715CD9" w:rsidRPr="008212C3" w:rsidRDefault="00F0779A" w:rsidP="007A3B3E">
            <w:pPr>
              <w:pStyle w:val="TableText"/>
              <w:keepLines/>
              <w:jc w:val="center"/>
              <w:rPr>
                <w:bCs/>
                <w:highlight w:val="darkGray"/>
              </w:rPr>
            </w:pPr>
            <w:r w:rsidRPr="00F0779A">
              <w:rPr>
                <w:bCs/>
                <w:color w:val="000000"/>
                <w:spacing w:val="53"/>
                <w:shd w:val="solid" w:color="000000" w:fill="000000"/>
                <w:fitText w:val="330" w:id="-694415097"/>
                <w14:textFill>
                  <w14:solidFill>
                    <w14:srgbClr w14:val="000000">
                      <w14:alpha w14:val="100000"/>
                    </w14:srgbClr>
                  </w14:solidFill>
                </w14:textFill>
              </w:rPr>
              <w:t>|||</w:t>
            </w:r>
            <w:r w:rsidRPr="00F0779A">
              <w:rPr>
                <w:bCs/>
                <w:color w:val="000000"/>
                <w:spacing w:val="1"/>
                <w:shd w:val="solid" w:color="000000" w:fill="000000"/>
                <w:fitText w:val="330" w:id="-694415097"/>
                <w14:textFill>
                  <w14:solidFill>
                    <w14:srgbClr w14:val="000000">
                      <w14:alpha w14:val="100000"/>
                    </w14:srgbClr>
                  </w14:solidFill>
                </w14:textFill>
              </w:rPr>
              <w:t>|</w:t>
            </w:r>
            <w:r w:rsidR="0096591C" w:rsidRPr="00E84596">
              <w:rPr>
                <w:vertAlign w:val="superscript"/>
              </w:rPr>
              <w:t>4</w:t>
            </w:r>
          </w:p>
        </w:tc>
        <w:tc>
          <w:tcPr>
            <w:tcW w:w="563" w:type="pct"/>
            <w:shd w:val="clear" w:color="auto" w:fill="auto"/>
          </w:tcPr>
          <w:p w14:paraId="63D9EAFB" w14:textId="16413523" w:rsidR="00715CD9" w:rsidRPr="008212C3" w:rsidRDefault="00F0779A" w:rsidP="007A3B3E">
            <w:pPr>
              <w:pStyle w:val="TableText"/>
              <w:keepLines/>
              <w:jc w:val="center"/>
              <w:rPr>
                <w:bCs/>
                <w:highlight w:val="darkGray"/>
              </w:rPr>
            </w:pPr>
            <w:r w:rsidRPr="00F0779A">
              <w:rPr>
                <w:bCs/>
                <w:color w:val="000000"/>
                <w:spacing w:val="49"/>
                <w:shd w:val="solid" w:color="000000" w:fill="000000"/>
                <w:fitText w:val="320" w:id="-694415096"/>
                <w14:textFill>
                  <w14:solidFill>
                    <w14:srgbClr w14:val="000000">
                      <w14:alpha w14:val="100000"/>
                    </w14:srgbClr>
                  </w14:solidFill>
                </w14:textFill>
              </w:rPr>
              <w:t>|||</w:t>
            </w:r>
            <w:r w:rsidRPr="00F0779A">
              <w:rPr>
                <w:bCs/>
                <w:color w:val="000000"/>
                <w:spacing w:val="3"/>
                <w:shd w:val="solid" w:color="000000" w:fill="000000"/>
                <w:fitText w:val="320" w:id="-694415096"/>
                <w14:textFill>
                  <w14:solidFill>
                    <w14:srgbClr w14:val="000000">
                      <w14:alpha w14:val="100000"/>
                    </w14:srgbClr>
                  </w14:solidFill>
                </w14:textFill>
              </w:rPr>
              <w:t>|</w:t>
            </w:r>
            <w:r w:rsidR="0096591C" w:rsidRPr="00E84596">
              <w:rPr>
                <w:vertAlign w:val="superscript"/>
              </w:rPr>
              <w:t>4</w:t>
            </w:r>
          </w:p>
        </w:tc>
        <w:tc>
          <w:tcPr>
            <w:tcW w:w="565" w:type="pct"/>
            <w:shd w:val="clear" w:color="auto" w:fill="auto"/>
          </w:tcPr>
          <w:p w14:paraId="3A187906" w14:textId="77E21AC5" w:rsidR="00715CD9" w:rsidRPr="008212C3" w:rsidRDefault="00F0779A" w:rsidP="007A3B3E">
            <w:pPr>
              <w:pStyle w:val="TableText"/>
              <w:keepLines/>
              <w:jc w:val="center"/>
              <w:rPr>
                <w:bCs/>
                <w:highlight w:val="darkGray"/>
              </w:rPr>
            </w:pPr>
            <w:r w:rsidRPr="00F0779A">
              <w:rPr>
                <w:bCs/>
                <w:color w:val="000000"/>
                <w:spacing w:val="53"/>
                <w:shd w:val="solid" w:color="000000" w:fill="000000"/>
                <w:fitText w:val="330" w:id="-694415095"/>
                <w14:textFill>
                  <w14:solidFill>
                    <w14:srgbClr w14:val="000000">
                      <w14:alpha w14:val="100000"/>
                    </w14:srgbClr>
                  </w14:solidFill>
                </w14:textFill>
              </w:rPr>
              <w:t>|||</w:t>
            </w:r>
            <w:r w:rsidRPr="00F0779A">
              <w:rPr>
                <w:bCs/>
                <w:color w:val="000000"/>
                <w:spacing w:val="1"/>
                <w:shd w:val="solid" w:color="000000" w:fill="000000"/>
                <w:fitText w:val="330" w:id="-694415095"/>
                <w14:textFill>
                  <w14:solidFill>
                    <w14:srgbClr w14:val="000000">
                      <w14:alpha w14:val="100000"/>
                    </w14:srgbClr>
                  </w14:solidFill>
                </w14:textFill>
              </w:rPr>
              <w:t>|</w:t>
            </w:r>
            <w:r w:rsidR="0096591C" w:rsidRPr="00E84596">
              <w:rPr>
                <w:vertAlign w:val="superscript"/>
              </w:rPr>
              <w:t>4</w:t>
            </w:r>
          </w:p>
        </w:tc>
        <w:tc>
          <w:tcPr>
            <w:tcW w:w="578" w:type="pct"/>
            <w:shd w:val="clear" w:color="auto" w:fill="auto"/>
          </w:tcPr>
          <w:p w14:paraId="57E7ACDA" w14:textId="59BFB71B" w:rsidR="00715CD9" w:rsidRPr="008212C3" w:rsidRDefault="00F0779A" w:rsidP="007A3B3E">
            <w:pPr>
              <w:pStyle w:val="TableText"/>
              <w:keepLines/>
              <w:jc w:val="center"/>
              <w:rPr>
                <w:bCs/>
                <w:highlight w:val="darkGray"/>
              </w:rPr>
            </w:pPr>
            <w:r w:rsidRPr="00F0779A">
              <w:rPr>
                <w:bCs/>
                <w:color w:val="000000"/>
                <w:spacing w:val="53"/>
                <w:shd w:val="solid" w:color="000000" w:fill="000000"/>
                <w:fitText w:val="330" w:id="-694415094"/>
                <w14:textFill>
                  <w14:solidFill>
                    <w14:srgbClr w14:val="000000">
                      <w14:alpha w14:val="100000"/>
                    </w14:srgbClr>
                  </w14:solidFill>
                </w14:textFill>
              </w:rPr>
              <w:t>|||</w:t>
            </w:r>
            <w:r w:rsidRPr="00F0779A">
              <w:rPr>
                <w:bCs/>
                <w:color w:val="000000"/>
                <w:spacing w:val="1"/>
                <w:shd w:val="solid" w:color="000000" w:fill="000000"/>
                <w:fitText w:val="330" w:id="-694415094"/>
                <w14:textFill>
                  <w14:solidFill>
                    <w14:srgbClr w14:val="000000">
                      <w14:alpha w14:val="100000"/>
                    </w14:srgbClr>
                  </w14:solidFill>
                </w14:textFill>
              </w:rPr>
              <w:t>|</w:t>
            </w:r>
            <w:r w:rsidR="0096591C" w:rsidRPr="00E84596">
              <w:rPr>
                <w:vertAlign w:val="superscript"/>
              </w:rPr>
              <w:t>4</w:t>
            </w:r>
          </w:p>
        </w:tc>
        <w:tc>
          <w:tcPr>
            <w:tcW w:w="524" w:type="pct"/>
          </w:tcPr>
          <w:p w14:paraId="6DDF0095" w14:textId="42D11322" w:rsidR="00715CD9" w:rsidRPr="008212C3" w:rsidRDefault="00F0779A" w:rsidP="007A3B3E">
            <w:pPr>
              <w:pStyle w:val="TableText"/>
              <w:keepLines/>
              <w:jc w:val="center"/>
              <w:rPr>
                <w:bCs/>
                <w:highlight w:val="darkGray"/>
              </w:rPr>
            </w:pPr>
            <w:r w:rsidRPr="00F0779A">
              <w:rPr>
                <w:bCs/>
                <w:color w:val="000000"/>
                <w:spacing w:val="53"/>
                <w:shd w:val="solid" w:color="000000" w:fill="000000"/>
                <w:fitText w:val="330" w:id="-694415093"/>
                <w14:textFill>
                  <w14:solidFill>
                    <w14:srgbClr w14:val="000000">
                      <w14:alpha w14:val="100000"/>
                    </w14:srgbClr>
                  </w14:solidFill>
                </w14:textFill>
              </w:rPr>
              <w:t>|||</w:t>
            </w:r>
            <w:r w:rsidRPr="00F0779A">
              <w:rPr>
                <w:bCs/>
                <w:color w:val="000000"/>
                <w:spacing w:val="1"/>
                <w:shd w:val="solid" w:color="000000" w:fill="000000"/>
                <w:fitText w:val="330" w:id="-694415093"/>
                <w14:textFill>
                  <w14:solidFill>
                    <w14:srgbClr w14:val="000000">
                      <w14:alpha w14:val="100000"/>
                    </w14:srgbClr>
                  </w14:solidFill>
                </w14:textFill>
              </w:rPr>
              <w:t>|</w:t>
            </w:r>
            <w:r w:rsidR="0096591C" w:rsidRPr="00E84596">
              <w:rPr>
                <w:vertAlign w:val="superscript"/>
              </w:rPr>
              <w:t>4</w:t>
            </w:r>
          </w:p>
        </w:tc>
      </w:tr>
      <w:tr w:rsidR="00A343AD" w:rsidRPr="00217EA0" w14:paraId="389B6338" w14:textId="77777777" w:rsidTr="00A343AD">
        <w:tc>
          <w:tcPr>
            <w:tcW w:w="1635" w:type="pct"/>
            <w:shd w:val="clear" w:color="auto" w:fill="auto"/>
            <w:vAlign w:val="center"/>
          </w:tcPr>
          <w:p w14:paraId="1AC08699" w14:textId="77777777" w:rsidR="00715CD9" w:rsidRPr="00217EA0" w:rsidRDefault="00715CD9" w:rsidP="007A3B3E">
            <w:pPr>
              <w:pStyle w:val="TableText"/>
              <w:keepLines/>
              <w:rPr>
                <w:rFonts w:ascii="Times" w:eastAsia="Times New Roman" w:hAnsi="Times" w:cs="Times New Roman"/>
              </w:rPr>
            </w:pPr>
            <w:r w:rsidRPr="00217EA0">
              <w:t>Net cost to MBS</w:t>
            </w:r>
          </w:p>
        </w:tc>
        <w:tc>
          <w:tcPr>
            <w:tcW w:w="528" w:type="pct"/>
            <w:shd w:val="clear" w:color="auto" w:fill="auto"/>
            <w:vAlign w:val="center"/>
          </w:tcPr>
          <w:p w14:paraId="66F8678F" w14:textId="36D8668A" w:rsidR="00715CD9" w:rsidRPr="008212C3" w:rsidRDefault="00F0779A" w:rsidP="007A3B3E">
            <w:pPr>
              <w:pStyle w:val="TableText"/>
              <w:keepLines/>
              <w:jc w:val="center"/>
              <w:rPr>
                <w:highlight w:val="darkGray"/>
              </w:rPr>
            </w:pPr>
            <w:r w:rsidRPr="00F0779A">
              <w:rPr>
                <w:color w:val="000000"/>
                <w:spacing w:val="53"/>
                <w:shd w:val="solid" w:color="000000" w:fill="000000"/>
                <w:fitText w:val="330" w:id="-694415092"/>
                <w14:textFill>
                  <w14:solidFill>
                    <w14:srgbClr w14:val="000000">
                      <w14:alpha w14:val="100000"/>
                    </w14:srgbClr>
                  </w14:solidFill>
                </w14:textFill>
              </w:rPr>
              <w:t>|||</w:t>
            </w:r>
            <w:r w:rsidRPr="00F0779A">
              <w:rPr>
                <w:color w:val="000000"/>
                <w:spacing w:val="1"/>
                <w:shd w:val="solid" w:color="000000" w:fill="000000"/>
                <w:fitText w:val="330" w:id="-694415092"/>
                <w14:textFill>
                  <w14:solidFill>
                    <w14:srgbClr w14:val="000000">
                      <w14:alpha w14:val="100000"/>
                    </w14:srgbClr>
                  </w14:solidFill>
                </w14:textFill>
              </w:rPr>
              <w:t>|</w:t>
            </w:r>
            <w:r w:rsidR="001D2117" w:rsidRPr="00DC7524">
              <w:rPr>
                <w:bCs/>
                <w:vertAlign w:val="superscript"/>
              </w:rPr>
              <w:t>5</w:t>
            </w:r>
          </w:p>
        </w:tc>
        <w:tc>
          <w:tcPr>
            <w:tcW w:w="606" w:type="pct"/>
            <w:shd w:val="clear" w:color="auto" w:fill="auto"/>
            <w:vAlign w:val="center"/>
          </w:tcPr>
          <w:p w14:paraId="62A9B9D4" w14:textId="5079296A" w:rsidR="00715CD9" w:rsidRPr="008212C3" w:rsidRDefault="00F0779A" w:rsidP="007A3B3E">
            <w:pPr>
              <w:pStyle w:val="TableText"/>
              <w:keepLines/>
              <w:jc w:val="center"/>
              <w:rPr>
                <w:highlight w:val="darkGray"/>
              </w:rPr>
            </w:pPr>
            <w:r w:rsidRPr="00F0779A">
              <w:rPr>
                <w:color w:val="000000"/>
                <w:spacing w:val="53"/>
                <w:shd w:val="solid" w:color="000000" w:fill="000000"/>
                <w:fitText w:val="330" w:id="-694415091"/>
                <w14:textFill>
                  <w14:solidFill>
                    <w14:srgbClr w14:val="000000">
                      <w14:alpha w14:val="100000"/>
                    </w14:srgbClr>
                  </w14:solidFill>
                </w14:textFill>
              </w:rPr>
              <w:t>|||</w:t>
            </w:r>
            <w:r w:rsidRPr="00F0779A">
              <w:rPr>
                <w:color w:val="000000"/>
                <w:spacing w:val="1"/>
                <w:shd w:val="solid" w:color="000000" w:fill="000000"/>
                <w:fitText w:val="330" w:id="-694415091"/>
                <w14:textFill>
                  <w14:solidFill>
                    <w14:srgbClr w14:val="000000">
                      <w14:alpha w14:val="100000"/>
                    </w14:srgbClr>
                  </w14:solidFill>
                </w14:textFill>
              </w:rPr>
              <w:t>|</w:t>
            </w:r>
            <w:r w:rsidR="00162D5F" w:rsidRPr="00E84596">
              <w:rPr>
                <w:vertAlign w:val="superscript"/>
              </w:rPr>
              <w:t>4</w:t>
            </w:r>
          </w:p>
        </w:tc>
        <w:tc>
          <w:tcPr>
            <w:tcW w:w="563" w:type="pct"/>
            <w:shd w:val="clear" w:color="auto" w:fill="auto"/>
            <w:vAlign w:val="center"/>
          </w:tcPr>
          <w:p w14:paraId="244AF4E6" w14:textId="03A055EE" w:rsidR="00715CD9" w:rsidRPr="008212C3" w:rsidRDefault="00F0779A" w:rsidP="007A3B3E">
            <w:pPr>
              <w:pStyle w:val="TableText"/>
              <w:keepLines/>
              <w:jc w:val="center"/>
              <w:rPr>
                <w:highlight w:val="darkGray"/>
              </w:rPr>
            </w:pPr>
            <w:r w:rsidRPr="00F0779A">
              <w:rPr>
                <w:color w:val="000000"/>
                <w:spacing w:val="49"/>
                <w:shd w:val="solid" w:color="000000" w:fill="000000"/>
                <w:fitText w:val="320" w:id="-694415090"/>
                <w14:textFill>
                  <w14:solidFill>
                    <w14:srgbClr w14:val="000000">
                      <w14:alpha w14:val="100000"/>
                    </w14:srgbClr>
                  </w14:solidFill>
                </w14:textFill>
              </w:rPr>
              <w:t>|||</w:t>
            </w:r>
            <w:r w:rsidRPr="00F0779A">
              <w:rPr>
                <w:color w:val="000000"/>
                <w:spacing w:val="3"/>
                <w:shd w:val="solid" w:color="000000" w:fill="000000"/>
                <w:fitText w:val="320" w:id="-694415090"/>
                <w14:textFill>
                  <w14:solidFill>
                    <w14:srgbClr w14:val="000000">
                      <w14:alpha w14:val="100000"/>
                    </w14:srgbClr>
                  </w14:solidFill>
                </w14:textFill>
              </w:rPr>
              <w:t>|</w:t>
            </w:r>
            <w:r w:rsidR="00162D5F" w:rsidRPr="00E84596">
              <w:rPr>
                <w:vertAlign w:val="superscript"/>
              </w:rPr>
              <w:t>4</w:t>
            </w:r>
          </w:p>
        </w:tc>
        <w:tc>
          <w:tcPr>
            <w:tcW w:w="565" w:type="pct"/>
            <w:shd w:val="clear" w:color="auto" w:fill="auto"/>
            <w:vAlign w:val="center"/>
          </w:tcPr>
          <w:p w14:paraId="6AA1F132" w14:textId="5AD97CA8" w:rsidR="00715CD9" w:rsidRPr="008212C3" w:rsidRDefault="00F0779A" w:rsidP="007A3B3E">
            <w:pPr>
              <w:pStyle w:val="TableText"/>
              <w:keepLines/>
              <w:jc w:val="center"/>
              <w:rPr>
                <w:highlight w:val="darkGray"/>
              </w:rPr>
            </w:pPr>
            <w:r w:rsidRPr="00F0779A">
              <w:rPr>
                <w:color w:val="000000"/>
                <w:spacing w:val="53"/>
                <w:shd w:val="solid" w:color="000000" w:fill="000000"/>
                <w:fitText w:val="330" w:id="-694415089"/>
                <w14:textFill>
                  <w14:solidFill>
                    <w14:srgbClr w14:val="000000">
                      <w14:alpha w14:val="100000"/>
                    </w14:srgbClr>
                  </w14:solidFill>
                </w14:textFill>
              </w:rPr>
              <w:t>|||</w:t>
            </w:r>
            <w:r w:rsidRPr="00F0779A">
              <w:rPr>
                <w:color w:val="000000"/>
                <w:spacing w:val="1"/>
                <w:shd w:val="solid" w:color="000000" w:fill="000000"/>
                <w:fitText w:val="330" w:id="-694415089"/>
                <w14:textFill>
                  <w14:solidFill>
                    <w14:srgbClr w14:val="000000">
                      <w14:alpha w14:val="100000"/>
                    </w14:srgbClr>
                  </w14:solidFill>
                </w14:textFill>
              </w:rPr>
              <w:t>|</w:t>
            </w:r>
            <w:r w:rsidR="00162D5F" w:rsidRPr="00E84596">
              <w:rPr>
                <w:vertAlign w:val="superscript"/>
              </w:rPr>
              <w:t>4</w:t>
            </w:r>
          </w:p>
        </w:tc>
        <w:tc>
          <w:tcPr>
            <w:tcW w:w="578" w:type="pct"/>
            <w:shd w:val="clear" w:color="auto" w:fill="auto"/>
            <w:vAlign w:val="center"/>
          </w:tcPr>
          <w:p w14:paraId="61AEFC9B" w14:textId="3EBF62CE" w:rsidR="00715CD9" w:rsidRPr="008212C3" w:rsidRDefault="00F0779A" w:rsidP="007A3B3E">
            <w:pPr>
              <w:pStyle w:val="TableText"/>
              <w:keepLines/>
              <w:jc w:val="center"/>
              <w:rPr>
                <w:highlight w:val="darkGray"/>
              </w:rPr>
            </w:pPr>
            <w:r w:rsidRPr="00F0779A">
              <w:rPr>
                <w:color w:val="000000"/>
                <w:spacing w:val="53"/>
                <w:shd w:val="solid" w:color="000000" w:fill="000000"/>
                <w:fitText w:val="330" w:id="-694415088"/>
                <w14:textFill>
                  <w14:solidFill>
                    <w14:srgbClr w14:val="000000">
                      <w14:alpha w14:val="100000"/>
                    </w14:srgbClr>
                  </w14:solidFill>
                </w14:textFill>
              </w:rPr>
              <w:t>|||</w:t>
            </w:r>
            <w:r w:rsidRPr="00F0779A">
              <w:rPr>
                <w:color w:val="000000"/>
                <w:spacing w:val="1"/>
                <w:shd w:val="solid" w:color="000000" w:fill="000000"/>
                <w:fitText w:val="330" w:id="-694415088"/>
                <w14:textFill>
                  <w14:solidFill>
                    <w14:srgbClr w14:val="000000">
                      <w14:alpha w14:val="100000"/>
                    </w14:srgbClr>
                  </w14:solidFill>
                </w14:textFill>
              </w:rPr>
              <w:t>|</w:t>
            </w:r>
            <w:r w:rsidR="00162D5F" w:rsidRPr="00E84596">
              <w:rPr>
                <w:vertAlign w:val="superscript"/>
              </w:rPr>
              <w:t>4</w:t>
            </w:r>
          </w:p>
        </w:tc>
        <w:tc>
          <w:tcPr>
            <w:tcW w:w="524" w:type="pct"/>
            <w:vAlign w:val="center"/>
          </w:tcPr>
          <w:p w14:paraId="111DA04D" w14:textId="575564F5" w:rsidR="00715CD9" w:rsidRPr="008212C3" w:rsidRDefault="00F0779A" w:rsidP="007A3B3E">
            <w:pPr>
              <w:pStyle w:val="TableText"/>
              <w:keepLines/>
              <w:jc w:val="center"/>
              <w:rPr>
                <w:highlight w:val="darkGray"/>
              </w:rPr>
            </w:pPr>
            <w:r w:rsidRPr="00F0779A">
              <w:rPr>
                <w:color w:val="000000"/>
                <w:spacing w:val="53"/>
                <w:shd w:val="solid" w:color="000000" w:fill="000000"/>
                <w:fitText w:val="330" w:id="-694415104"/>
                <w14:textFill>
                  <w14:solidFill>
                    <w14:srgbClr w14:val="000000">
                      <w14:alpha w14:val="100000"/>
                    </w14:srgbClr>
                  </w14:solidFill>
                </w14:textFill>
              </w:rPr>
              <w:t>|||</w:t>
            </w:r>
            <w:r w:rsidRPr="00F0779A">
              <w:rPr>
                <w:color w:val="000000"/>
                <w:spacing w:val="1"/>
                <w:shd w:val="solid" w:color="000000" w:fill="000000"/>
                <w:fitText w:val="330" w:id="-694415104"/>
                <w14:textFill>
                  <w14:solidFill>
                    <w14:srgbClr w14:val="000000">
                      <w14:alpha w14:val="100000"/>
                    </w14:srgbClr>
                  </w14:solidFill>
                </w14:textFill>
              </w:rPr>
              <w:t>|</w:t>
            </w:r>
            <w:r w:rsidR="00162D5F" w:rsidRPr="00E84596">
              <w:rPr>
                <w:vertAlign w:val="superscript"/>
              </w:rPr>
              <w:t>4</w:t>
            </w:r>
          </w:p>
        </w:tc>
      </w:tr>
      <w:tr w:rsidR="00A343AD" w:rsidRPr="00217EA0" w14:paraId="5C85B02E" w14:textId="77777777" w:rsidTr="00A343AD">
        <w:tc>
          <w:tcPr>
            <w:tcW w:w="1635" w:type="pct"/>
            <w:shd w:val="clear" w:color="auto" w:fill="auto"/>
            <w:vAlign w:val="center"/>
          </w:tcPr>
          <w:p w14:paraId="3C3A2C7E" w14:textId="77777777" w:rsidR="00715CD9" w:rsidRPr="00217EA0" w:rsidRDefault="00715CD9" w:rsidP="007A3B3E">
            <w:pPr>
              <w:pStyle w:val="TableText"/>
              <w:keepLines/>
              <w:rPr>
                <w:b/>
                <w:bCs/>
              </w:rPr>
            </w:pPr>
            <w:r w:rsidRPr="00217EA0">
              <w:rPr>
                <w:b/>
                <w:bCs/>
              </w:rPr>
              <w:t>Net cost to PBS/RPBS/MBS</w:t>
            </w:r>
          </w:p>
        </w:tc>
        <w:tc>
          <w:tcPr>
            <w:tcW w:w="528" w:type="pct"/>
            <w:shd w:val="clear" w:color="auto" w:fill="auto"/>
            <w:vAlign w:val="center"/>
          </w:tcPr>
          <w:p w14:paraId="1EC9ACC0" w14:textId="54D14A4C" w:rsidR="00715CD9" w:rsidRPr="008212C3" w:rsidRDefault="00F0779A" w:rsidP="007A3B3E">
            <w:pPr>
              <w:pStyle w:val="TableText"/>
              <w:keepLines/>
              <w:jc w:val="center"/>
              <w:rPr>
                <w:highlight w:val="darkGray"/>
              </w:rPr>
            </w:pPr>
            <w:r w:rsidRPr="00F0779A">
              <w:rPr>
                <w:b/>
                <w:color w:val="000000"/>
                <w:spacing w:val="55"/>
                <w:shd w:val="solid" w:color="000000" w:fill="000000"/>
                <w:fitText w:val="350" w:id="-694415103"/>
                <w14:textFill>
                  <w14:solidFill>
                    <w14:srgbClr w14:val="000000">
                      <w14:alpha w14:val="100000"/>
                    </w14:srgbClr>
                  </w14:solidFill>
                </w14:textFill>
              </w:rPr>
              <w:t>|||</w:t>
            </w:r>
            <w:r w:rsidRPr="00F0779A">
              <w:rPr>
                <w:b/>
                <w:color w:val="000000"/>
                <w:spacing w:val="2"/>
                <w:shd w:val="solid" w:color="000000" w:fill="000000"/>
                <w:fitText w:val="350" w:id="-694415103"/>
                <w14:textFill>
                  <w14:solidFill>
                    <w14:srgbClr w14:val="000000">
                      <w14:alpha w14:val="100000"/>
                    </w14:srgbClr>
                  </w14:solidFill>
                </w14:textFill>
              </w:rPr>
              <w:t>|</w:t>
            </w:r>
            <w:r w:rsidR="0096591C" w:rsidRPr="00E84596">
              <w:rPr>
                <w:vertAlign w:val="superscript"/>
              </w:rPr>
              <w:t>4</w:t>
            </w:r>
          </w:p>
        </w:tc>
        <w:tc>
          <w:tcPr>
            <w:tcW w:w="606" w:type="pct"/>
            <w:shd w:val="clear" w:color="auto" w:fill="auto"/>
            <w:vAlign w:val="center"/>
          </w:tcPr>
          <w:p w14:paraId="39F50676" w14:textId="72FB76D1" w:rsidR="00715CD9" w:rsidRPr="008212C3" w:rsidRDefault="00F0779A" w:rsidP="007A3B3E">
            <w:pPr>
              <w:pStyle w:val="TableText"/>
              <w:keepLines/>
              <w:jc w:val="center"/>
              <w:rPr>
                <w:highlight w:val="darkGray"/>
              </w:rPr>
            </w:pPr>
            <w:r w:rsidRPr="00F0779A">
              <w:rPr>
                <w:b/>
                <w:color w:val="000000"/>
                <w:spacing w:val="55"/>
                <w:shd w:val="solid" w:color="000000" w:fill="000000"/>
                <w:fitText w:val="350" w:id="-694415102"/>
                <w14:textFill>
                  <w14:solidFill>
                    <w14:srgbClr w14:val="000000">
                      <w14:alpha w14:val="100000"/>
                    </w14:srgbClr>
                  </w14:solidFill>
                </w14:textFill>
              </w:rPr>
              <w:t>|||</w:t>
            </w:r>
            <w:r w:rsidRPr="00F0779A">
              <w:rPr>
                <w:b/>
                <w:color w:val="000000"/>
                <w:spacing w:val="2"/>
                <w:shd w:val="solid" w:color="000000" w:fill="000000"/>
                <w:fitText w:val="350" w:id="-694415102"/>
                <w14:textFill>
                  <w14:solidFill>
                    <w14:srgbClr w14:val="000000">
                      <w14:alpha w14:val="100000"/>
                    </w14:srgbClr>
                  </w14:solidFill>
                </w14:textFill>
              </w:rPr>
              <w:t>|</w:t>
            </w:r>
            <w:r w:rsidR="0096591C" w:rsidRPr="00E84596">
              <w:rPr>
                <w:vertAlign w:val="superscript"/>
              </w:rPr>
              <w:t>4</w:t>
            </w:r>
          </w:p>
        </w:tc>
        <w:tc>
          <w:tcPr>
            <w:tcW w:w="563" w:type="pct"/>
            <w:shd w:val="clear" w:color="auto" w:fill="auto"/>
            <w:vAlign w:val="center"/>
          </w:tcPr>
          <w:p w14:paraId="0805A600" w14:textId="2E349BAA" w:rsidR="00715CD9" w:rsidRPr="008212C3" w:rsidRDefault="00F0779A" w:rsidP="007A3B3E">
            <w:pPr>
              <w:pStyle w:val="TableText"/>
              <w:keepLines/>
              <w:jc w:val="center"/>
              <w:rPr>
                <w:highlight w:val="darkGray"/>
              </w:rPr>
            </w:pPr>
            <w:r w:rsidRPr="00F0779A">
              <w:rPr>
                <w:b/>
                <w:color w:val="000000"/>
                <w:spacing w:val="55"/>
                <w:shd w:val="solid" w:color="000000" w:fill="000000"/>
                <w:fitText w:val="350" w:id="-694415101"/>
                <w14:textFill>
                  <w14:solidFill>
                    <w14:srgbClr w14:val="000000">
                      <w14:alpha w14:val="100000"/>
                    </w14:srgbClr>
                  </w14:solidFill>
                </w14:textFill>
              </w:rPr>
              <w:t>|||</w:t>
            </w:r>
            <w:r w:rsidRPr="00F0779A">
              <w:rPr>
                <w:b/>
                <w:color w:val="000000"/>
                <w:spacing w:val="2"/>
                <w:shd w:val="solid" w:color="000000" w:fill="000000"/>
                <w:fitText w:val="350" w:id="-694415101"/>
                <w14:textFill>
                  <w14:solidFill>
                    <w14:srgbClr w14:val="000000">
                      <w14:alpha w14:val="100000"/>
                    </w14:srgbClr>
                  </w14:solidFill>
                </w14:textFill>
              </w:rPr>
              <w:t>|</w:t>
            </w:r>
            <w:r w:rsidR="0096591C" w:rsidRPr="00E84596">
              <w:rPr>
                <w:vertAlign w:val="superscript"/>
              </w:rPr>
              <w:t>4</w:t>
            </w:r>
          </w:p>
        </w:tc>
        <w:tc>
          <w:tcPr>
            <w:tcW w:w="565" w:type="pct"/>
            <w:shd w:val="clear" w:color="auto" w:fill="auto"/>
            <w:vAlign w:val="center"/>
          </w:tcPr>
          <w:p w14:paraId="5BBE0C44" w14:textId="24595325" w:rsidR="00715CD9" w:rsidRPr="008212C3" w:rsidRDefault="00F0779A" w:rsidP="007A3B3E">
            <w:pPr>
              <w:pStyle w:val="TableText"/>
              <w:keepLines/>
              <w:jc w:val="center"/>
              <w:rPr>
                <w:highlight w:val="darkGray"/>
              </w:rPr>
            </w:pPr>
            <w:r w:rsidRPr="00F0779A">
              <w:rPr>
                <w:b/>
                <w:color w:val="000000"/>
                <w:spacing w:val="55"/>
                <w:shd w:val="solid" w:color="000000" w:fill="000000"/>
                <w:fitText w:val="350" w:id="-694415100"/>
                <w14:textFill>
                  <w14:solidFill>
                    <w14:srgbClr w14:val="000000">
                      <w14:alpha w14:val="100000"/>
                    </w14:srgbClr>
                  </w14:solidFill>
                </w14:textFill>
              </w:rPr>
              <w:t>|||</w:t>
            </w:r>
            <w:r w:rsidRPr="00F0779A">
              <w:rPr>
                <w:b/>
                <w:color w:val="000000"/>
                <w:spacing w:val="2"/>
                <w:shd w:val="solid" w:color="000000" w:fill="000000"/>
                <w:fitText w:val="350" w:id="-694415100"/>
                <w14:textFill>
                  <w14:solidFill>
                    <w14:srgbClr w14:val="000000">
                      <w14:alpha w14:val="100000"/>
                    </w14:srgbClr>
                  </w14:solidFill>
                </w14:textFill>
              </w:rPr>
              <w:t>|</w:t>
            </w:r>
            <w:r w:rsidR="0096591C" w:rsidRPr="00E84596">
              <w:rPr>
                <w:vertAlign w:val="superscript"/>
              </w:rPr>
              <w:t>4</w:t>
            </w:r>
          </w:p>
        </w:tc>
        <w:tc>
          <w:tcPr>
            <w:tcW w:w="578" w:type="pct"/>
            <w:shd w:val="clear" w:color="auto" w:fill="auto"/>
            <w:vAlign w:val="center"/>
          </w:tcPr>
          <w:p w14:paraId="24E9645F" w14:textId="0FDFC811" w:rsidR="00715CD9" w:rsidRPr="008212C3" w:rsidRDefault="00F0779A" w:rsidP="007A3B3E">
            <w:pPr>
              <w:pStyle w:val="TableText"/>
              <w:keepLines/>
              <w:jc w:val="center"/>
              <w:rPr>
                <w:highlight w:val="darkGray"/>
              </w:rPr>
            </w:pPr>
            <w:r w:rsidRPr="00F0779A">
              <w:rPr>
                <w:b/>
                <w:color w:val="000000"/>
                <w:spacing w:val="58"/>
                <w:shd w:val="solid" w:color="000000" w:fill="000000"/>
                <w:fitText w:val="360" w:id="-694415099"/>
                <w14:textFill>
                  <w14:solidFill>
                    <w14:srgbClr w14:val="000000">
                      <w14:alpha w14:val="100000"/>
                    </w14:srgbClr>
                  </w14:solidFill>
                </w14:textFill>
              </w:rPr>
              <w:t>|||</w:t>
            </w:r>
            <w:r w:rsidRPr="00F0779A">
              <w:rPr>
                <w:b/>
                <w:color w:val="000000"/>
                <w:spacing w:val="3"/>
                <w:shd w:val="solid" w:color="000000" w:fill="000000"/>
                <w:fitText w:val="360" w:id="-694415099"/>
                <w14:textFill>
                  <w14:solidFill>
                    <w14:srgbClr w14:val="000000">
                      <w14:alpha w14:val="100000"/>
                    </w14:srgbClr>
                  </w14:solidFill>
                </w14:textFill>
              </w:rPr>
              <w:t>|</w:t>
            </w:r>
            <w:r w:rsidR="0096591C" w:rsidRPr="00E84596">
              <w:rPr>
                <w:vertAlign w:val="superscript"/>
              </w:rPr>
              <w:t>4</w:t>
            </w:r>
          </w:p>
        </w:tc>
        <w:tc>
          <w:tcPr>
            <w:tcW w:w="524" w:type="pct"/>
            <w:vAlign w:val="center"/>
          </w:tcPr>
          <w:p w14:paraId="28BC57EC" w14:textId="2BC1C7E9" w:rsidR="00715CD9" w:rsidRPr="008212C3" w:rsidRDefault="00F0779A" w:rsidP="007A3B3E">
            <w:pPr>
              <w:pStyle w:val="TableText"/>
              <w:keepLines/>
              <w:jc w:val="center"/>
              <w:rPr>
                <w:highlight w:val="darkGray"/>
              </w:rPr>
            </w:pPr>
            <w:r>
              <w:rPr>
                <w:b/>
                <w:color w:val="000000"/>
                <w:spacing w:val="58"/>
                <w:shd w:val="solid" w:color="000000" w:fill="000000"/>
                <w:fitText w:val="360" w:id="-694415098"/>
                <w14:textFill>
                  <w14:solidFill>
                    <w14:srgbClr w14:val="000000">
                      <w14:alpha w14:val="100000"/>
                    </w14:srgbClr>
                  </w14:solidFill>
                </w14:textFill>
              </w:rPr>
              <w:t>|||</w:t>
            </w:r>
            <w:r>
              <w:rPr>
                <w:b/>
                <w:color w:val="000000"/>
                <w:spacing w:val="2"/>
                <w:shd w:val="solid" w:color="000000" w:fill="000000"/>
                <w:fitText w:val="360" w:id="-694415098"/>
                <w14:textFill>
                  <w14:solidFill>
                    <w14:srgbClr w14:val="000000">
                      <w14:alpha w14:val="100000"/>
                    </w14:srgbClr>
                  </w14:solidFill>
                </w14:textFill>
              </w:rPr>
              <w:t>|</w:t>
            </w:r>
            <w:r w:rsidR="00162D5F" w:rsidRPr="00E84596">
              <w:rPr>
                <w:vertAlign w:val="superscript"/>
              </w:rPr>
              <w:t>4</w:t>
            </w:r>
          </w:p>
        </w:tc>
      </w:tr>
    </w:tbl>
    <w:p w14:paraId="0FC4BE70" w14:textId="77777777" w:rsidR="00715CD9" w:rsidRPr="00217EA0" w:rsidRDefault="00715CD9" w:rsidP="007A3B3E">
      <w:pPr>
        <w:pStyle w:val="TableFooter"/>
        <w:keepLines/>
      </w:pPr>
      <w:r w:rsidRPr="00217EA0">
        <w:t>Source: Attached financial spreadsheet.</w:t>
      </w:r>
    </w:p>
    <w:p w14:paraId="09CA8D7B" w14:textId="77777777" w:rsidR="00715CD9" w:rsidRPr="00217EA0" w:rsidRDefault="00715CD9" w:rsidP="007A3B3E">
      <w:pPr>
        <w:pStyle w:val="TableFooter"/>
        <w:keepLines/>
      </w:pPr>
      <w:proofErr w:type="spellStart"/>
      <w:r w:rsidRPr="00217EA0">
        <w:rPr>
          <w:vertAlign w:val="superscript"/>
        </w:rPr>
        <w:t>a</w:t>
      </w:r>
      <w:proofErr w:type="spellEnd"/>
      <w:r w:rsidRPr="00217EA0">
        <w:rPr>
          <w:vertAlign w:val="superscript"/>
        </w:rPr>
        <w:t xml:space="preserve"> </w:t>
      </w:r>
      <w:r w:rsidRPr="00217EA0">
        <w:t xml:space="preserve">The submission did not present an estimate of number of patients tested. During the evaluation the implied estimates were calculated based on the submission’s estimate of number of units of testing presented in the financial workbook, which was estimated by multiplying the number of patient years of </w:t>
      </w:r>
      <w:proofErr w:type="spellStart"/>
      <w:r w:rsidRPr="00217EA0">
        <w:t>futibatinib</w:t>
      </w:r>
      <w:proofErr w:type="spellEnd"/>
      <w:r w:rsidRPr="00217EA0">
        <w:t xml:space="preserve"> treatment in the incident population (12.5 months; 1.04 patient years per patient treated) by 500% (based on an assumed 20% prevalence).</w:t>
      </w:r>
    </w:p>
    <w:p w14:paraId="3AA26367" w14:textId="77777777" w:rsidR="00715CD9" w:rsidRPr="00217EA0" w:rsidRDefault="00715CD9" w:rsidP="007A3B3E">
      <w:pPr>
        <w:pStyle w:val="TableFooter"/>
        <w:keepLines/>
      </w:pPr>
      <w:r w:rsidRPr="00217EA0">
        <w:rPr>
          <w:vertAlign w:val="superscript"/>
        </w:rPr>
        <w:t xml:space="preserve">b </w:t>
      </w:r>
      <w:r w:rsidRPr="00217EA0">
        <w:t>Based on 11.67 scripts per patient per year for incident patients and 5.43 per patient for year for grandfathered patients. The numbers do not equal the scripts multiplied by the patient numbers because the financial spreadsheet adjusts the eligible patients for duration of treatment longer than 12 months</w:t>
      </w:r>
    </w:p>
    <w:p w14:paraId="3526B83B" w14:textId="77777777" w:rsidR="007D046C" w:rsidRDefault="00715CD9" w:rsidP="007A3B3E">
      <w:pPr>
        <w:pStyle w:val="TableFooter"/>
        <w:keepLines/>
      </w:pPr>
      <w:r w:rsidRPr="00217EA0">
        <w:t xml:space="preserve">CCA = cholangiocarcinoma; ECOG PS = Eastern Cooperative Oncology Group performance score; EHCC = extra-hepatic 2L = second line; cholangiocarcinoma; </w:t>
      </w:r>
      <w:r w:rsidR="003E5C46" w:rsidRPr="003E5C46">
        <w:rPr>
          <w:i/>
          <w:iCs/>
        </w:rPr>
        <w:t>FGFR2</w:t>
      </w:r>
      <w:r w:rsidRPr="00217EA0">
        <w:t xml:space="preserve"> = fibroblast growth factor receptor 2; IHCC = intra-hepatic cholangiocarcinoma</w:t>
      </w:r>
      <w:r w:rsidR="007D046C">
        <w:t xml:space="preserve"> </w:t>
      </w:r>
    </w:p>
    <w:p w14:paraId="7262AF7E" w14:textId="77777777" w:rsidR="008B1A8C" w:rsidRPr="007A3B3E" w:rsidRDefault="007D046C" w:rsidP="007A3B3E">
      <w:pPr>
        <w:pStyle w:val="TableFooter"/>
        <w:keepLines/>
        <w:rPr>
          <w:i/>
          <w:iCs/>
        </w:rPr>
      </w:pPr>
      <w:r w:rsidRPr="007A3B3E">
        <w:rPr>
          <w:i/>
          <w:iCs/>
        </w:rPr>
        <w:t xml:space="preserve">The redacted values correspond to the following ranges: </w:t>
      </w:r>
    </w:p>
    <w:p w14:paraId="1FB9D72C" w14:textId="275BCE10" w:rsidR="007D046C" w:rsidRPr="007A3B3E" w:rsidRDefault="008B1A8C" w:rsidP="007A3B3E">
      <w:pPr>
        <w:pStyle w:val="TableFooter"/>
        <w:keepLines/>
        <w:rPr>
          <w:i/>
          <w:iCs/>
        </w:rPr>
      </w:pPr>
      <w:r w:rsidRPr="007A3B3E">
        <w:rPr>
          <w:i/>
          <w:iCs/>
          <w:vertAlign w:val="superscript"/>
        </w:rPr>
        <w:t>1</w:t>
      </w:r>
      <w:r w:rsidRPr="007A3B3E">
        <w:rPr>
          <w:i/>
          <w:iCs/>
        </w:rPr>
        <w:t xml:space="preserve"> &gt; 10,000,000</w:t>
      </w:r>
      <w:r w:rsidR="0012160F" w:rsidRPr="007A3B3E">
        <w:rPr>
          <w:i/>
          <w:iCs/>
        </w:rPr>
        <w:t xml:space="preserve"> </w:t>
      </w:r>
    </w:p>
    <w:p w14:paraId="17738640" w14:textId="77777777" w:rsidR="0012160F" w:rsidRPr="007A3B3E" w:rsidRDefault="0012160F" w:rsidP="007A3B3E">
      <w:pPr>
        <w:pStyle w:val="TableFooter"/>
        <w:keepLines/>
        <w:rPr>
          <w:i/>
          <w:iCs/>
        </w:rPr>
      </w:pPr>
      <w:r w:rsidRPr="007A3B3E">
        <w:rPr>
          <w:i/>
          <w:iCs/>
          <w:vertAlign w:val="superscript"/>
        </w:rPr>
        <w:t>2</w:t>
      </w:r>
      <w:r w:rsidRPr="007A3B3E">
        <w:rPr>
          <w:i/>
          <w:iCs/>
        </w:rPr>
        <w:t xml:space="preserve"> 500 to &lt; 5,000</w:t>
      </w:r>
    </w:p>
    <w:p w14:paraId="74597F38" w14:textId="77777777" w:rsidR="009D42D7" w:rsidRPr="007A3B3E" w:rsidRDefault="0012160F" w:rsidP="007A3B3E">
      <w:pPr>
        <w:pStyle w:val="TableFooter"/>
        <w:keepLines/>
        <w:rPr>
          <w:i/>
          <w:iCs/>
        </w:rPr>
      </w:pPr>
      <w:r w:rsidRPr="007A3B3E">
        <w:rPr>
          <w:i/>
          <w:iCs/>
          <w:vertAlign w:val="superscript"/>
        </w:rPr>
        <w:t>3</w:t>
      </w:r>
      <w:r w:rsidRPr="007A3B3E">
        <w:rPr>
          <w:i/>
          <w:iCs/>
        </w:rPr>
        <w:t xml:space="preserve"> &lt;500</w:t>
      </w:r>
      <w:r w:rsidR="009D42D7" w:rsidRPr="007A3B3E">
        <w:rPr>
          <w:i/>
          <w:iCs/>
        </w:rPr>
        <w:t xml:space="preserve"> </w:t>
      </w:r>
    </w:p>
    <w:p w14:paraId="568290D2" w14:textId="77777777" w:rsidR="004F3148" w:rsidRPr="007A3B3E" w:rsidRDefault="009D42D7" w:rsidP="007A3B3E">
      <w:pPr>
        <w:pStyle w:val="TableFooter"/>
        <w:keepLines/>
        <w:rPr>
          <w:i/>
          <w:iCs/>
        </w:rPr>
      </w:pPr>
      <w:r w:rsidRPr="007A3B3E">
        <w:rPr>
          <w:i/>
          <w:iCs/>
          <w:vertAlign w:val="superscript"/>
        </w:rPr>
        <w:t>4</w:t>
      </w:r>
      <w:r w:rsidRPr="007A3B3E">
        <w:rPr>
          <w:i/>
          <w:iCs/>
        </w:rPr>
        <w:t xml:space="preserve"> $0 to &lt; $10 million</w:t>
      </w:r>
      <w:r w:rsidR="004D55BB" w:rsidRPr="007A3B3E">
        <w:rPr>
          <w:i/>
          <w:iCs/>
        </w:rPr>
        <w:t xml:space="preserve"> </w:t>
      </w:r>
    </w:p>
    <w:p w14:paraId="6F73E509" w14:textId="00BEF830" w:rsidR="00715CD9" w:rsidRPr="00217EA0" w:rsidRDefault="004F3148" w:rsidP="007A3B3E">
      <w:pPr>
        <w:pStyle w:val="TableFooter"/>
        <w:keepLines/>
      </w:pPr>
      <w:r w:rsidRPr="007A3B3E">
        <w:rPr>
          <w:i/>
          <w:iCs/>
          <w:vertAlign w:val="superscript"/>
        </w:rPr>
        <w:t>5</w:t>
      </w:r>
      <w:r w:rsidRPr="007A3B3E">
        <w:rPr>
          <w:i/>
          <w:iCs/>
        </w:rPr>
        <w:t xml:space="preserve"> net cost saving</w:t>
      </w:r>
    </w:p>
    <w:p w14:paraId="4C2681B5" w14:textId="75B28E52" w:rsidR="00715CD9" w:rsidRPr="00DF4B40" w:rsidRDefault="00715CD9" w:rsidP="00715CD9">
      <w:pPr>
        <w:pStyle w:val="ListParagraph"/>
        <w:rPr>
          <w:color w:val="auto"/>
        </w:rPr>
      </w:pPr>
      <w:r w:rsidRPr="00DF4B40">
        <w:rPr>
          <w:color w:val="auto"/>
        </w:rPr>
        <w:t xml:space="preserve">The total net cost to the PBS/RPBS of listing </w:t>
      </w:r>
      <w:proofErr w:type="spellStart"/>
      <w:r w:rsidRPr="00DF4B40">
        <w:rPr>
          <w:color w:val="auto"/>
        </w:rPr>
        <w:t>futibatinib</w:t>
      </w:r>
      <w:proofErr w:type="spellEnd"/>
      <w:r w:rsidRPr="00DF4B40">
        <w:rPr>
          <w:color w:val="auto"/>
        </w:rPr>
        <w:t xml:space="preserve"> was estimated to be </w:t>
      </w:r>
      <w:r w:rsidR="00E132E8" w:rsidRPr="00E132E8">
        <w:rPr>
          <w:color w:val="auto"/>
        </w:rPr>
        <w:t>$0</w:t>
      </w:r>
      <w:r w:rsidR="00584FB8">
        <w:rPr>
          <w:color w:val="auto"/>
        </w:rPr>
        <w:t> </w:t>
      </w:r>
      <w:r w:rsidR="00E132E8" w:rsidRPr="00E132E8">
        <w:rPr>
          <w:color w:val="auto"/>
        </w:rPr>
        <w:t>to</w:t>
      </w:r>
      <w:r w:rsidR="00584FB8">
        <w:rPr>
          <w:color w:val="auto"/>
        </w:rPr>
        <w:t> </w:t>
      </w:r>
      <w:r w:rsidR="00E132E8" w:rsidRPr="00E132E8">
        <w:rPr>
          <w:color w:val="auto"/>
        </w:rPr>
        <w:t>&lt;</w:t>
      </w:r>
      <w:r w:rsidR="00584FB8">
        <w:rPr>
          <w:color w:val="auto"/>
        </w:rPr>
        <w:t> </w:t>
      </w:r>
      <w:r w:rsidR="00E132E8" w:rsidRPr="00E132E8">
        <w:rPr>
          <w:color w:val="auto"/>
        </w:rPr>
        <w:t>$10</w:t>
      </w:r>
      <w:r w:rsidR="00584FB8">
        <w:rPr>
          <w:color w:val="auto"/>
        </w:rPr>
        <w:t> </w:t>
      </w:r>
      <w:r w:rsidR="00E132E8" w:rsidRPr="00E132E8">
        <w:rPr>
          <w:color w:val="auto"/>
        </w:rPr>
        <w:t xml:space="preserve">million </w:t>
      </w:r>
      <w:r w:rsidRPr="00DF4B40">
        <w:rPr>
          <w:color w:val="auto"/>
        </w:rPr>
        <w:t xml:space="preserve">in Year 1, increasing to </w:t>
      </w:r>
      <w:r w:rsidR="00E132E8" w:rsidRPr="00E132E8">
        <w:rPr>
          <w:color w:val="auto"/>
        </w:rPr>
        <w:t>$0</w:t>
      </w:r>
      <w:r w:rsidR="00584FB8">
        <w:rPr>
          <w:color w:val="auto"/>
        </w:rPr>
        <w:t> </w:t>
      </w:r>
      <w:r w:rsidR="00E132E8" w:rsidRPr="00E132E8">
        <w:rPr>
          <w:color w:val="auto"/>
        </w:rPr>
        <w:t>to</w:t>
      </w:r>
      <w:r w:rsidR="00584FB8">
        <w:rPr>
          <w:color w:val="auto"/>
        </w:rPr>
        <w:t> </w:t>
      </w:r>
      <w:r w:rsidR="00E132E8" w:rsidRPr="00E132E8">
        <w:rPr>
          <w:color w:val="auto"/>
        </w:rPr>
        <w:t>&lt;</w:t>
      </w:r>
      <w:r w:rsidR="00584FB8">
        <w:rPr>
          <w:color w:val="auto"/>
        </w:rPr>
        <w:t> </w:t>
      </w:r>
      <w:r w:rsidR="00E132E8" w:rsidRPr="00E132E8">
        <w:rPr>
          <w:color w:val="auto"/>
        </w:rPr>
        <w:t>$10</w:t>
      </w:r>
      <w:r w:rsidR="00584FB8">
        <w:rPr>
          <w:color w:val="auto"/>
        </w:rPr>
        <w:t> </w:t>
      </w:r>
      <w:r w:rsidR="00E132E8" w:rsidRPr="00E132E8">
        <w:rPr>
          <w:color w:val="auto"/>
        </w:rPr>
        <w:t xml:space="preserve">million </w:t>
      </w:r>
      <w:r w:rsidRPr="00DF4B40">
        <w:rPr>
          <w:color w:val="auto"/>
        </w:rPr>
        <w:t xml:space="preserve">in Year 6, and a total of </w:t>
      </w:r>
      <w:r w:rsidR="004D1C8C" w:rsidRPr="004D1C8C">
        <w:rPr>
          <w:color w:val="auto"/>
        </w:rPr>
        <w:t>$50</w:t>
      </w:r>
      <w:r w:rsidR="00584FB8">
        <w:rPr>
          <w:color w:val="auto"/>
        </w:rPr>
        <w:t> </w:t>
      </w:r>
      <w:r w:rsidR="004D1C8C" w:rsidRPr="004D1C8C">
        <w:rPr>
          <w:color w:val="auto"/>
        </w:rPr>
        <w:t>million</w:t>
      </w:r>
      <w:r w:rsidR="00584FB8">
        <w:rPr>
          <w:color w:val="auto"/>
        </w:rPr>
        <w:t> </w:t>
      </w:r>
      <w:r w:rsidR="004D1C8C" w:rsidRPr="004D1C8C">
        <w:rPr>
          <w:color w:val="auto"/>
        </w:rPr>
        <w:t>to</w:t>
      </w:r>
      <w:r w:rsidR="00584FB8">
        <w:rPr>
          <w:color w:val="auto"/>
        </w:rPr>
        <w:t> </w:t>
      </w:r>
      <w:r w:rsidR="004D1C8C" w:rsidRPr="004D1C8C">
        <w:rPr>
          <w:color w:val="auto"/>
        </w:rPr>
        <w:t>&lt;</w:t>
      </w:r>
      <w:r w:rsidR="00584FB8">
        <w:rPr>
          <w:color w:val="auto"/>
        </w:rPr>
        <w:t> </w:t>
      </w:r>
      <w:r w:rsidR="004D1C8C" w:rsidRPr="004D1C8C">
        <w:rPr>
          <w:color w:val="auto"/>
        </w:rPr>
        <w:t>$60</w:t>
      </w:r>
      <w:r w:rsidR="00584FB8">
        <w:rPr>
          <w:color w:val="auto"/>
        </w:rPr>
        <w:t> </w:t>
      </w:r>
      <w:r w:rsidR="004D1C8C" w:rsidRPr="004D1C8C">
        <w:rPr>
          <w:color w:val="auto"/>
        </w:rPr>
        <w:t>million</w:t>
      </w:r>
      <w:r w:rsidR="00183467">
        <w:rPr>
          <w:color w:val="auto"/>
        </w:rPr>
        <w:t xml:space="preserve"> </w:t>
      </w:r>
      <w:r w:rsidRPr="00DF4B40">
        <w:rPr>
          <w:color w:val="auto"/>
        </w:rPr>
        <w:t xml:space="preserve">in the first six years of listing. </w:t>
      </w:r>
    </w:p>
    <w:p w14:paraId="546495C5" w14:textId="50855959" w:rsidR="007A4E92" w:rsidRDefault="00725D7A" w:rsidP="007A4E92">
      <w:pPr>
        <w:pStyle w:val="ListParagraph"/>
      </w:pPr>
      <w:bookmarkStart w:id="97" w:name="_Ref195184247"/>
      <w:r>
        <w:t>The DUSC provided the following advi</w:t>
      </w:r>
      <w:r w:rsidR="00361424">
        <w:t>c</w:t>
      </w:r>
      <w:r>
        <w:t>e with regards to drug utilisation</w:t>
      </w:r>
      <w:r w:rsidR="007A4E92">
        <w:t>:</w:t>
      </w:r>
      <w:bookmarkEnd w:id="97"/>
    </w:p>
    <w:p w14:paraId="782E4356" w14:textId="694DC274" w:rsidR="00725D7A" w:rsidRDefault="00725D7A" w:rsidP="002F14F8">
      <w:pPr>
        <w:pStyle w:val="ListParagraph"/>
        <w:numPr>
          <w:ilvl w:val="0"/>
          <w:numId w:val="18"/>
        </w:numPr>
        <w:ind w:left="1134" w:hanging="425"/>
      </w:pPr>
      <w:r>
        <w:t xml:space="preserve">it </w:t>
      </w:r>
      <w:r w:rsidRPr="002F14F8">
        <w:rPr>
          <w:color w:val="auto"/>
        </w:rPr>
        <w:t>noted</w:t>
      </w:r>
      <w:r>
        <w:t xml:space="preserve"> more granular information regarding the incidence estimates are available from the AIHW. </w:t>
      </w:r>
    </w:p>
    <w:p w14:paraId="21DA3700" w14:textId="10CCE02A" w:rsidR="00725D7A" w:rsidRDefault="00725D7A" w:rsidP="003017F2">
      <w:pPr>
        <w:pStyle w:val="ListParagraph"/>
        <w:numPr>
          <w:ilvl w:val="0"/>
          <w:numId w:val="18"/>
        </w:numPr>
        <w:ind w:left="1134" w:hanging="425"/>
      </w:pPr>
      <w:r>
        <w:t xml:space="preserve">it considered the number of patients progressing to second line therapy to be </w:t>
      </w:r>
      <w:r w:rsidRPr="003017F2">
        <w:rPr>
          <w:color w:val="auto"/>
        </w:rPr>
        <w:t>overestimated</w:t>
      </w:r>
      <w:r>
        <w:t xml:space="preserve">. </w:t>
      </w:r>
    </w:p>
    <w:p w14:paraId="4B7CBF1C" w14:textId="497CE37A" w:rsidR="00725D7A" w:rsidRDefault="00725D7A" w:rsidP="003017F2">
      <w:pPr>
        <w:pStyle w:val="ListParagraph"/>
        <w:numPr>
          <w:ilvl w:val="0"/>
          <w:numId w:val="18"/>
        </w:numPr>
        <w:ind w:left="1134" w:hanging="425"/>
      </w:pPr>
      <w:r>
        <w:t>it considered the number of tests per patient to be underestimated.</w:t>
      </w:r>
    </w:p>
    <w:p w14:paraId="0BBC7349" w14:textId="3D26D9EF" w:rsidR="00725D7A" w:rsidRDefault="00725D7A" w:rsidP="003D692B">
      <w:pPr>
        <w:pStyle w:val="ListParagraph"/>
        <w:numPr>
          <w:ilvl w:val="0"/>
          <w:numId w:val="18"/>
        </w:numPr>
        <w:ind w:left="1134" w:hanging="425"/>
      </w:pPr>
      <w:r>
        <w:t xml:space="preserve">it considered that the inclusion of treatment uptake rate for </w:t>
      </w:r>
      <w:proofErr w:type="spellStart"/>
      <w:r>
        <w:t>futibatinib</w:t>
      </w:r>
      <w:proofErr w:type="spellEnd"/>
      <w:r>
        <w:t xml:space="preserve"> patients double counts the proportion of patients who progress to second line therapy with ECOG PS 0 or 1.</w:t>
      </w:r>
    </w:p>
    <w:p w14:paraId="6E96615D" w14:textId="47B7C076" w:rsidR="00BF2106" w:rsidRPr="00BF2106" w:rsidRDefault="00725D7A" w:rsidP="00F859AD">
      <w:pPr>
        <w:pStyle w:val="ListParagraph"/>
        <w:numPr>
          <w:ilvl w:val="0"/>
          <w:numId w:val="18"/>
        </w:numPr>
        <w:ind w:left="1134" w:hanging="425"/>
      </w:pPr>
      <w:r>
        <w:t>it considered the treatment duration applied in the economic model and financial estimates should align.</w:t>
      </w:r>
    </w:p>
    <w:p w14:paraId="622207E6" w14:textId="7086C9CC" w:rsidR="00715CD9" w:rsidRPr="00C95CD1" w:rsidRDefault="00715CD9" w:rsidP="00C95CD1">
      <w:pPr>
        <w:pStyle w:val="4-SubsectionHeading"/>
        <w:rPr>
          <w:rFonts w:asciiTheme="minorHAnsi" w:hAnsiTheme="minorHAnsi"/>
          <w:lang w:eastAsia="en-US"/>
        </w:rPr>
      </w:pPr>
      <w:r w:rsidRPr="00C95CD1">
        <w:rPr>
          <w:rFonts w:asciiTheme="minorHAnsi" w:hAnsiTheme="minorHAnsi"/>
          <w:lang w:eastAsia="en-US"/>
        </w:rPr>
        <w:t>Quality use of medicines</w:t>
      </w:r>
    </w:p>
    <w:p w14:paraId="4E95F87E" w14:textId="77777777" w:rsidR="00715CD9" w:rsidRPr="00217EA0" w:rsidRDefault="00715CD9" w:rsidP="00715CD9">
      <w:pPr>
        <w:pStyle w:val="ListParagraph"/>
        <w:rPr>
          <w:color w:val="auto"/>
        </w:rPr>
      </w:pPr>
      <w:r w:rsidRPr="00217EA0">
        <w:rPr>
          <w:color w:val="auto"/>
        </w:rPr>
        <w:t xml:space="preserve">The submission described the risk management plan (RMP) developed for </w:t>
      </w:r>
      <w:proofErr w:type="spellStart"/>
      <w:r w:rsidRPr="00217EA0">
        <w:rPr>
          <w:color w:val="auto"/>
        </w:rPr>
        <w:t>futibatinib</w:t>
      </w:r>
      <w:proofErr w:type="spellEnd"/>
      <w:r w:rsidRPr="00217EA0">
        <w:rPr>
          <w:color w:val="auto"/>
        </w:rPr>
        <w:t xml:space="preserve"> for the treatment of adult patients with locally advanced or metastatic cholangiocarcinoma with a fibroblast growth factor receptor 2 fusion or rearrangement that have progressed after at least one prior line of systemic therapy.</w:t>
      </w:r>
    </w:p>
    <w:p w14:paraId="5391065A" w14:textId="77777777" w:rsidR="00763245" w:rsidRDefault="00715CD9" w:rsidP="00763245">
      <w:pPr>
        <w:pStyle w:val="ListParagraph"/>
        <w:rPr>
          <w:color w:val="auto"/>
        </w:rPr>
      </w:pPr>
      <w:r w:rsidRPr="00217EA0">
        <w:rPr>
          <w:color w:val="auto"/>
        </w:rPr>
        <w:t xml:space="preserve">The plan identifies a number of important risks and missing information to be addressed. In addition to the measures to address these risks, the submission noted that information about adverse reactions is continuously collected and regularly analysed so that immediate action can be taken, as necessary. These measures constitute routine pharmacovigilance activities. </w:t>
      </w:r>
      <w:r w:rsidR="00763245" w:rsidRPr="00D3127C">
        <w:rPr>
          <w:color w:val="auto"/>
        </w:rPr>
        <w:t xml:space="preserve">DUSC noted that the most recent Periodic Benefit-Risk Evaluation report identified risks for </w:t>
      </w:r>
      <w:proofErr w:type="spellStart"/>
      <w:r w:rsidR="00763245" w:rsidRPr="00D3127C">
        <w:rPr>
          <w:color w:val="auto"/>
        </w:rPr>
        <w:t>futibatinib</w:t>
      </w:r>
      <w:proofErr w:type="spellEnd"/>
      <w:r w:rsidR="00763245" w:rsidRPr="00D3127C">
        <w:rPr>
          <w:color w:val="auto"/>
        </w:rPr>
        <w:t xml:space="preserve"> included serious retinal detachment</w:t>
      </w:r>
      <w:r w:rsidR="00763245">
        <w:rPr>
          <w:color w:val="auto"/>
        </w:rPr>
        <w:t xml:space="preserve">, and </w:t>
      </w:r>
      <w:r w:rsidR="00763245" w:rsidRPr="00D3127C">
        <w:rPr>
          <w:color w:val="auto"/>
        </w:rPr>
        <w:t>the costs associated with ophthalmological monitoring were accounted for in the submission.</w:t>
      </w:r>
    </w:p>
    <w:p w14:paraId="1EB5462D" w14:textId="77777777" w:rsidR="00715CD9" w:rsidRDefault="00715CD9" w:rsidP="00715CD9">
      <w:pPr>
        <w:pStyle w:val="ListParagraph"/>
        <w:rPr>
          <w:color w:val="auto"/>
        </w:rPr>
      </w:pPr>
      <w:r w:rsidRPr="00217EA0">
        <w:rPr>
          <w:color w:val="auto"/>
        </w:rPr>
        <w:t xml:space="preserve">The submission considered that the Australian Product Information (PI) is the primary tool to communicate the benefits and risks with </w:t>
      </w:r>
      <w:proofErr w:type="spellStart"/>
      <w:r w:rsidRPr="00217EA0">
        <w:rPr>
          <w:color w:val="auto"/>
        </w:rPr>
        <w:t>futibatinib</w:t>
      </w:r>
      <w:proofErr w:type="spellEnd"/>
      <w:r w:rsidRPr="00217EA0">
        <w:rPr>
          <w:color w:val="auto"/>
        </w:rPr>
        <w:t xml:space="preserve"> use.</w:t>
      </w:r>
    </w:p>
    <w:p w14:paraId="64C020B4" w14:textId="6A02BDD0" w:rsidR="00673D6D" w:rsidRDefault="007F11B1">
      <w:pPr>
        <w:pStyle w:val="ListParagraph"/>
        <w:rPr>
          <w:color w:val="auto"/>
        </w:rPr>
      </w:pPr>
      <w:r w:rsidRPr="0056263E">
        <w:rPr>
          <w:color w:val="auto"/>
        </w:rPr>
        <w:t xml:space="preserve">The PBAC noted that although the submission claimed the </w:t>
      </w:r>
      <w:r w:rsidR="006974E6" w:rsidRPr="006974E6">
        <w:rPr>
          <w:color w:val="auto"/>
        </w:rPr>
        <w:t xml:space="preserve">risk management plan </w:t>
      </w:r>
      <w:r w:rsidRPr="0056263E">
        <w:rPr>
          <w:color w:val="auto"/>
        </w:rPr>
        <w:t xml:space="preserve">was </w:t>
      </w:r>
      <w:r w:rsidR="006974E6" w:rsidRPr="006974E6">
        <w:rPr>
          <w:color w:val="auto"/>
        </w:rPr>
        <w:t>developed with focus on serious retinal detachment and teratogenicity</w:t>
      </w:r>
      <w:r w:rsidRPr="0056263E">
        <w:rPr>
          <w:color w:val="auto"/>
        </w:rPr>
        <w:t>, n</w:t>
      </w:r>
      <w:r w:rsidR="006974E6" w:rsidRPr="006974E6">
        <w:rPr>
          <w:color w:val="auto"/>
        </w:rPr>
        <w:t xml:space="preserve">o </w:t>
      </w:r>
      <w:r w:rsidRPr="0056263E">
        <w:rPr>
          <w:color w:val="auto"/>
        </w:rPr>
        <w:t>health care professional</w:t>
      </w:r>
      <w:r w:rsidR="0056263E" w:rsidRPr="0056263E">
        <w:rPr>
          <w:color w:val="auto"/>
        </w:rPr>
        <w:t>,</w:t>
      </w:r>
      <w:r w:rsidR="006974E6" w:rsidRPr="006974E6">
        <w:rPr>
          <w:color w:val="auto"/>
        </w:rPr>
        <w:t xml:space="preserve"> nor patient education </w:t>
      </w:r>
      <w:r w:rsidR="0056263E" w:rsidRPr="0056263E">
        <w:rPr>
          <w:color w:val="auto"/>
        </w:rPr>
        <w:t xml:space="preserve">has been </w:t>
      </w:r>
      <w:r w:rsidR="006974E6" w:rsidRPr="006974E6">
        <w:rPr>
          <w:color w:val="auto"/>
        </w:rPr>
        <w:t>proposed re</w:t>
      </w:r>
      <w:r w:rsidR="0056263E" w:rsidRPr="0056263E">
        <w:rPr>
          <w:color w:val="auto"/>
        </w:rPr>
        <w:t>garding</w:t>
      </w:r>
      <w:r w:rsidR="006974E6" w:rsidRPr="006974E6">
        <w:rPr>
          <w:color w:val="auto"/>
        </w:rPr>
        <w:t xml:space="preserve"> retinal detachment</w:t>
      </w:r>
      <w:r w:rsidR="0056263E" w:rsidRPr="0056263E">
        <w:rPr>
          <w:color w:val="auto"/>
        </w:rPr>
        <w:t xml:space="preserve">, and considered that this should be addressed. </w:t>
      </w:r>
    </w:p>
    <w:p w14:paraId="1E41979D" w14:textId="0CF0F58D" w:rsidR="00D61648" w:rsidRPr="0056263E" w:rsidRDefault="007D635A" w:rsidP="007D635A">
      <w:pPr>
        <w:pStyle w:val="ListParagraph"/>
        <w:rPr>
          <w:color w:val="auto"/>
        </w:rPr>
      </w:pPr>
      <w:r w:rsidRPr="007D635A">
        <w:rPr>
          <w:color w:val="auto"/>
        </w:rPr>
        <w:t xml:space="preserve">DUSC considered it unlikely that </w:t>
      </w:r>
      <w:proofErr w:type="spellStart"/>
      <w:r w:rsidRPr="007D635A">
        <w:rPr>
          <w:color w:val="auto"/>
        </w:rPr>
        <w:t>futibatinib</w:t>
      </w:r>
      <w:proofErr w:type="spellEnd"/>
      <w:r w:rsidRPr="007D635A">
        <w:rPr>
          <w:color w:val="auto"/>
        </w:rPr>
        <w:t xml:space="preserve"> would be used beyond the requested restriction</w:t>
      </w:r>
      <w:r>
        <w:rPr>
          <w:color w:val="auto"/>
        </w:rPr>
        <w:t xml:space="preserve">, and </w:t>
      </w:r>
      <w:r w:rsidRPr="007D635A">
        <w:rPr>
          <w:color w:val="auto"/>
        </w:rPr>
        <w:t xml:space="preserve">noted the dosing and administration schedule of </w:t>
      </w:r>
      <w:proofErr w:type="spellStart"/>
      <w:r w:rsidRPr="007D635A">
        <w:rPr>
          <w:color w:val="auto"/>
        </w:rPr>
        <w:t>futibatinib</w:t>
      </w:r>
      <w:proofErr w:type="spellEnd"/>
      <w:r w:rsidRPr="007D635A">
        <w:rPr>
          <w:color w:val="auto"/>
        </w:rPr>
        <w:t xml:space="preserve"> and considered it would improve treatment access for patients in rural and remote areas</w:t>
      </w:r>
      <w:r>
        <w:rPr>
          <w:color w:val="auto"/>
        </w:rPr>
        <w:t>.</w:t>
      </w:r>
    </w:p>
    <w:p w14:paraId="2B51ED9D" w14:textId="77777777" w:rsidR="00715CD9" w:rsidRPr="00C95CD1" w:rsidRDefault="00715CD9" w:rsidP="00C95CD1">
      <w:pPr>
        <w:pStyle w:val="4-SubsectionHeading"/>
        <w:rPr>
          <w:rFonts w:asciiTheme="minorHAnsi" w:hAnsiTheme="minorHAnsi"/>
          <w:lang w:eastAsia="en-US"/>
        </w:rPr>
      </w:pPr>
      <w:r w:rsidRPr="00C95CD1">
        <w:rPr>
          <w:rFonts w:asciiTheme="minorHAnsi" w:hAnsiTheme="minorHAnsi"/>
          <w:lang w:eastAsia="en-US"/>
        </w:rPr>
        <w:t>Financial management – risk sharing arrangements</w:t>
      </w:r>
    </w:p>
    <w:p w14:paraId="40B1F6D5" w14:textId="6A2C3FAD" w:rsidR="00965CB8" w:rsidRPr="00217EA0" w:rsidRDefault="00715CD9" w:rsidP="00B462C9">
      <w:pPr>
        <w:pStyle w:val="ListParagraph"/>
        <w:rPr>
          <w:color w:val="auto"/>
        </w:rPr>
      </w:pPr>
      <w:r w:rsidRPr="00217EA0">
        <w:rPr>
          <w:color w:val="auto"/>
        </w:rPr>
        <w:t xml:space="preserve">The submission considered that due to the small and identifiable population (through testing for </w:t>
      </w:r>
      <w:r w:rsidR="003E5C46" w:rsidRPr="003E5C46">
        <w:rPr>
          <w:i/>
          <w:iCs/>
          <w:color w:val="auto"/>
        </w:rPr>
        <w:t>FGFR2</w:t>
      </w:r>
      <w:r w:rsidRPr="00217EA0">
        <w:rPr>
          <w:i/>
          <w:iCs/>
          <w:color w:val="auto"/>
        </w:rPr>
        <w:t xml:space="preserve"> </w:t>
      </w:r>
      <w:r w:rsidRPr="00217EA0">
        <w:rPr>
          <w:color w:val="auto"/>
        </w:rPr>
        <w:t>fusions or rearrangements) and the minor cost to PBS budgets, no risk sharing arrangement was proposed.</w:t>
      </w:r>
    </w:p>
    <w:bookmarkEnd w:id="91"/>
    <w:bookmarkEnd w:id="92"/>
    <w:p w14:paraId="71FEA6BB" w14:textId="1A55E741" w:rsidR="00066C13" w:rsidRPr="00217EA0" w:rsidRDefault="0027242C" w:rsidP="00C95CD1">
      <w:pPr>
        <w:ind w:firstLine="720"/>
        <w:rPr>
          <w:i/>
        </w:rPr>
      </w:pPr>
      <w:r>
        <w:rPr>
          <w:i/>
        </w:rPr>
        <w:t>F</w:t>
      </w:r>
      <w:r w:rsidR="00066C13" w:rsidRPr="00217EA0">
        <w:rPr>
          <w:i/>
        </w:rPr>
        <w:t>or more detail on PBAC’s view, see section 7 PBAC outcome.</w:t>
      </w:r>
    </w:p>
    <w:p w14:paraId="298ED976" w14:textId="77777777" w:rsidR="002B448D" w:rsidRPr="008E3F41" w:rsidRDefault="002B448D" w:rsidP="008C6149">
      <w:pPr>
        <w:pStyle w:val="PBACESHeading1"/>
      </w:pPr>
      <w:bookmarkStart w:id="98" w:name="_Hlk76381249"/>
      <w:bookmarkStart w:id="99" w:name="_Hlk76377955"/>
      <w:bookmarkStart w:id="100" w:name="_Toc107927639"/>
      <w:bookmarkStart w:id="101" w:name="_Toc187865662"/>
      <w:r w:rsidRPr="008E3F41">
        <w:t>PBAC Outcome</w:t>
      </w:r>
    </w:p>
    <w:p w14:paraId="11FBC386" w14:textId="72720312" w:rsidR="00576EE4" w:rsidRDefault="00576EE4">
      <w:pPr>
        <w:pStyle w:val="ListParagraph"/>
      </w:pPr>
      <w:r w:rsidRPr="00576EE4">
        <w:t xml:space="preserve">The PBAC did not recommend </w:t>
      </w:r>
      <w:r w:rsidR="00A9226D">
        <w:t xml:space="preserve">the listing of </w:t>
      </w:r>
      <w:proofErr w:type="spellStart"/>
      <w:r w:rsidRPr="00576EE4">
        <w:t>futibatinib</w:t>
      </w:r>
      <w:proofErr w:type="spellEnd"/>
      <w:r w:rsidRPr="00576EE4">
        <w:t xml:space="preserve"> for the treatment of patients with locally advanced or metastatic cholangiocarcinoma (CCA) who have previously progressed on systemic therapy and have a </w:t>
      </w:r>
      <w:r w:rsidR="00263487" w:rsidRPr="00217EA0">
        <w:t>fibroblast growth factor receptor 2 (</w:t>
      </w:r>
      <w:r w:rsidR="003E5C46" w:rsidRPr="003E5C46">
        <w:rPr>
          <w:i/>
          <w:iCs/>
        </w:rPr>
        <w:t>FGFR2</w:t>
      </w:r>
      <w:r w:rsidR="00263487" w:rsidRPr="00217EA0">
        <w:t xml:space="preserve">) </w:t>
      </w:r>
      <w:r w:rsidRPr="00576EE4">
        <w:t>fusion or rearrangement. The PBAC considered that there was a high clinical need for treatments for patients with</w:t>
      </w:r>
      <w:r w:rsidR="00FA1D37">
        <w:t xml:space="preserve"> CCA</w:t>
      </w:r>
      <w:r w:rsidRPr="00576EE4">
        <w:t xml:space="preserve">, </w:t>
      </w:r>
      <w:r w:rsidR="00D333F3">
        <w:t xml:space="preserve">particularly those with </w:t>
      </w:r>
      <w:r w:rsidR="00D333F3" w:rsidRPr="00576EE4">
        <w:t xml:space="preserve">locally advanced or metastatic </w:t>
      </w:r>
      <w:r w:rsidR="00D333F3">
        <w:t>disease, where the</w:t>
      </w:r>
      <w:r w:rsidR="006E79E0">
        <w:t xml:space="preserve"> </w:t>
      </w:r>
      <w:r w:rsidRPr="00576EE4">
        <w:t>prognosis</w:t>
      </w:r>
      <w:r w:rsidR="00D333F3">
        <w:t xml:space="preserve"> i</w:t>
      </w:r>
      <w:r w:rsidR="005D20B7">
        <w:t>s</w:t>
      </w:r>
      <w:r w:rsidR="00D333F3">
        <w:t xml:space="preserve"> generally</w:t>
      </w:r>
      <w:r w:rsidR="00197CB8">
        <w:t xml:space="preserve"> poor</w:t>
      </w:r>
      <w:r w:rsidRPr="00576EE4">
        <w:t xml:space="preserve">. The PBAC noted that based on the available clinical evidence the magnitude of clinical benefit was highly uncertain. The PBAC considered the economic model would need to be amended to include a more conservative and realistic estimate of clinical benefit to increase the reliability of the incremental cost-effectiveness ratio (ICER). The PBAC considered </w:t>
      </w:r>
      <w:proofErr w:type="spellStart"/>
      <w:r w:rsidRPr="00576EE4">
        <w:t>futibatinib</w:t>
      </w:r>
      <w:proofErr w:type="spellEnd"/>
      <w:r w:rsidRPr="00576EE4">
        <w:t xml:space="preserve"> would be cost-effective with an ICER </w:t>
      </w:r>
      <w:r w:rsidR="00BF5B0C">
        <w:t>less than</w:t>
      </w:r>
      <w:r w:rsidR="0046508D">
        <w:t xml:space="preserve"> </w:t>
      </w:r>
      <w:r w:rsidR="001639B2" w:rsidRPr="001639B2">
        <w:t>$55,000</w:t>
      </w:r>
      <w:r w:rsidR="008549E3">
        <w:t> </w:t>
      </w:r>
      <w:r w:rsidR="001639B2" w:rsidRPr="001639B2">
        <w:t>to</w:t>
      </w:r>
      <w:r w:rsidR="008549E3">
        <w:t> </w:t>
      </w:r>
      <w:r w:rsidR="001639B2" w:rsidRPr="001639B2">
        <w:t>&lt;</w:t>
      </w:r>
      <w:r w:rsidR="008549E3">
        <w:t> </w:t>
      </w:r>
      <w:r w:rsidR="001639B2" w:rsidRPr="001639B2">
        <w:t xml:space="preserve">$75,000 </w:t>
      </w:r>
      <w:r w:rsidRPr="00576EE4">
        <w:t xml:space="preserve">per QALY. </w:t>
      </w:r>
      <w:r w:rsidR="00C23693">
        <w:t>T</w:t>
      </w:r>
      <w:r w:rsidR="00C23693" w:rsidRPr="00C23693">
        <w:t xml:space="preserve">he PBAC noted the estimated number of patients that would be treated with </w:t>
      </w:r>
      <w:proofErr w:type="spellStart"/>
      <w:r w:rsidR="00C23693" w:rsidRPr="00C23693">
        <w:t>futibatinib</w:t>
      </w:r>
      <w:proofErr w:type="spellEnd"/>
      <w:r w:rsidR="00C23693" w:rsidRPr="00C23693">
        <w:t xml:space="preserve"> was uncertain</w:t>
      </w:r>
      <w:r w:rsidR="00B571D6">
        <w:t xml:space="preserve"> and</w:t>
      </w:r>
      <w:r w:rsidR="00C23693" w:rsidRPr="00C23693">
        <w:t xml:space="preserve"> would need revision to more accurately reflect the prevalence of CCA and the number of patients with a </w:t>
      </w:r>
      <w:r w:rsidR="003E5C46" w:rsidRPr="003E5C46">
        <w:rPr>
          <w:i/>
          <w:iCs/>
        </w:rPr>
        <w:t>FGFR2</w:t>
      </w:r>
      <w:r w:rsidR="00C23693" w:rsidRPr="00C23693">
        <w:t xml:space="preserve"> fusion or rearrangement. </w:t>
      </w:r>
      <w:r w:rsidRPr="00576EE4">
        <w:t xml:space="preserve">The PBAC considered the outstanding issues could be addressed in an early re-entry submission. </w:t>
      </w:r>
      <w:r w:rsidR="005A320B">
        <w:t>However, t</w:t>
      </w:r>
      <w:r w:rsidRPr="00576EE4">
        <w:t>he PBAC noted that if MSAC is not of a mind to recommend the proposed testing component, an integrated resubmission would be required, which would not be suitable for the early re-entry pathway.</w:t>
      </w:r>
    </w:p>
    <w:p w14:paraId="768F51A4" w14:textId="77777777" w:rsidR="00F30C90" w:rsidRPr="00F30C90" w:rsidRDefault="00F30C90" w:rsidP="00F30C90">
      <w:pPr>
        <w:pStyle w:val="ListParagraph"/>
      </w:pPr>
      <w:r w:rsidRPr="00F30C90">
        <w:t>The primary reason for this outcome was due to the economic evaluation.</w:t>
      </w:r>
    </w:p>
    <w:p w14:paraId="73B5B5D6" w14:textId="3699C15C" w:rsidR="00061A28" w:rsidRDefault="00FC7B00" w:rsidP="00FC7B00">
      <w:pPr>
        <w:pStyle w:val="ListParagraph"/>
        <w:rPr>
          <w:rFonts w:cs="Arial"/>
          <w:snapToGrid w:val="0"/>
        </w:rPr>
      </w:pPr>
      <w:r w:rsidRPr="00FC7B00">
        <w:rPr>
          <w:rFonts w:cs="Arial"/>
          <w:snapToGrid w:val="0"/>
        </w:rPr>
        <w:t xml:space="preserve">The PBAC noted that survival outcomes for patients with </w:t>
      </w:r>
      <w:r w:rsidR="0075156C">
        <w:rPr>
          <w:rFonts w:cs="Arial"/>
          <w:snapToGrid w:val="0"/>
        </w:rPr>
        <w:t>CCA</w:t>
      </w:r>
      <w:r w:rsidR="0075156C" w:rsidRPr="00FC7B00">
        <w:rPr>
          <w:rFonts w:cs="Arial"/>
          <w:snapToGrid w:val="0"/>
        </w:rPr>
        <w:t xml:space="preserve"> </w:t>
      </w:r>
      <w:r w:rsidRPr="00FC7B00">
        <w:rPr>
          <w:rFonts w:cs="Arial"/>
          <w:snapToGrid w:val="0"/>
        </w:rPr>
        <w:t>are very poor, with a 2% 5-year survival rate for patients with metastatic disease. The PBAC considered there is a high clinical need for more effective therapies for</w:t>
      </w:r>
      <w:r w:rsidR="00FC6911">
        <w:rPr>
          <w:rFonts w:cs="Arial"/>
          <w:snapToGrid w:val="0"/>
        </w:rPr>
        <w:t xml:space="preserve"> CAA</w:t>
      </w:r>
      <w:r w:rsidRPr="00FC7B00">
        <w:rPr>
          <w:rFonts w:cs="Arial"/>
          <w:snapToGrid w:val="0"/>
        </w:rPr>
        <w:t xml:space="preserve"> and noted that </w:t>
      </w:r>
      <w:proofErr w:type="spellStart"/>
      <w:r w:rsidR="00E83331">
        <w:rPr>
          <w:rFonts w:cs="Arial"/>
          <w:snapToGrid w:val="0"/>
        </w:rPr>
        <w:t>futibatinib</w:t>
      </w:r>
      <w:proofErr w:type="spellEnd"/>
      <w:r w:rsidRPr="00FC7B00">
        <w:rPr>
          <w:rFonts w:cs="Arial"/>
          <w:snapToGrid w:val="0"/>
        </w:rPr>
        <w:t xml:space="preserve"> is targeted to the small subset of patients</w:t>
      </w:r>
      <w:r w:rsidR="000E1BEE">
        <w:rPr>
          <w:rFonts w:cs="Arial"/>
          <w:snapToGrid w:val="0"/>
        </w:rPr>
        <w:t xml:space="preserve"> </w:t>
      </w:r>
      <w:r w:rsidRPr="00FC7B00">
        <w:rPr>
          <w:rFonts w:cs="Arial"/>
          <w:snapToGrid w:val="0"/>
        </w:rPr>
        <w:t xml:space="preserve">whose tumours have a </w:t>
      </w:r>
      <w:r w:rsidR="003E5C46" w:rsidRPr="003E5C46">
        <w:rPr>
          <w:rFonts w:cs="Arial"/>
          <w:i/>
          <w:iCs/>
          <w:snapToGrid w:val="0"/>
        </w:rPr>
        <w:t>FGFR2</w:t>
      </w:r>
      <w:r w:rsidR="007A74A1">
        <w:rPr>
          <w:rFonts w:cs="Arial"/>
          <w:snapToGrid w:val="0"/>
        </w:rPr>
        <w:t xml:space="preserve"> fusion or rearrangement</w:t>
      </w:r>
      <w:r w:rsidRPr="00FC7B00">
        <w:rPr>
          <w:rFonts w:cs="Arial"/>
          <w:snapToGrid w:val="0"/>
        </w:rPr>
        <w:t xml:space="preserve">. </w:t>
      </w:r>
    </w:p>
    <w:p w14:paraId="58940AEA" w14:textId="72DC10B0" w:rsidR="003025C5" w:rsidRDefault="00A57801" w:rsidP="001A63F3">
      <w:pPr>
        <w:pStyle w:val="ListParagraph"/>
        <w:rPr>
          <w:color w:val="0D0D0D" w:themeColor="text1" w:themeTint="F2"/>
        </w:rPr>
      </w:pPr>
      <w:r w:rsidRPr="00A57801">
        <w:rPr>
          <w:color w:val="0D0D0D" w:themeColor="text1" w:themeTint="F2"/>
        </w:rPr>
        <w:t xml:space="preserve">The PBAC noted the integrated codependent submission requested: 1) the </w:t>
      </w:r>
      <w:r w:rsidR="009338DB" w:rsidRPr="00767A61">
        <w:rPr>
          <w:color w:val="0D0D0D" w:themeColor="text1" w:themeTint="F2"/>
        </w:rPr>
        <w:t xml:space="preserve">Medicare Benefits Schedule (MBS) listing of testing of tumour tissue to detect </w:t>
      </w:r>
      <w:r w:rsidR="003E5C46" w:rsidRPr="003E5C46">
        <w:rPr>
          <w:i/>
          <w:iCs/>
          <w:color w:val="0D0D0D" w:themeColor="text1" w:themeTint="F2"/>
        </w:rPr>
        <w:t>FGFR2</w:t>
      </w:r>
      <w:r w:rsidR="009338DB" w:rsidRPr="00767A61">
        <w:rPr>
          <w:color w:val="0D0D0D" w:themeColor="text1" w:themeTint="F2"/>
        </w:rPr>
        <w:t xml:space="preserve"> fusions or rearrangements</w:t>
      </w:r>
      <w:r w:rsidRPr="00A57801">
        <w:rPr>
          <w:color w:val="0D0D0D" w:themeColor="text1" w:themeTint="F2"/>
        </w:rPr>
        <w:t xml:space="preserve">, and 2) the PBS listing of </w:t>
      </w:r>
      <w:proofErr w:type="spellStart"/>
      <w:r w:rsidR="0022567F" w:rsidRPr="00767A61">
        <w:rPr>
          <w:color w:val="0D0D0D" w:themeColor="text1" w:themeTint="F2"/>
        </w:rPr>
        <w:t>futibatinib</w:t>
      </w:r>
      <w:proofErr w:type="spellEnd"/>
      <w:r w:rsidR="0022567F" w:rsidRPr="00767A61">
        <w:rPr>
          <w:color w:val="0D0D0D" w:themeColor="text1" w:themeTint="F2"/>
        </w:rPr>
        <w:t xml:space="preserve"> for the treatment of locally advanced or metastatic cholangiocarcinoma (CCA) in patients with </w:t>
      </w:r>
      <w:r w:rsidR="003E5C46" w:rsidRPr="003E5C46">
        <w:rPr>
          <w:i/>
          <w:iCs/>
          <w:color w:val="0D0D0D" w:themeColor="text1" w:themeTint="F2"/>
        </w:rPr>
        <w:t>FGFR2</w:t>
      </w:r>
      <w:r w:rsidR="0022567F" w:rsidRPr="00767A61">
        <w:rPr>
          <w:color w:val="0D0D0D" w:themeColor="text1" w:themeTint="F2"/>
        </w:rPr>
        <w:t xml:space="preserve"> fusion or rearrangement</w:t>
      </w:r>
      <w:r w:rsidRPr="00A57801">
        <w:rPr>
          <w:color w:val="0D0D0D" w:themeColor="text1" w:themeTint="F2"/>
        </w:rPr>
        <w:t xml:space="preserve">. </w:t>
      </w:r>
    </w:p>
    <w:p w14:paraId="563674E4" w14:textId="4B69428A" w:rsidR="00DE7504" w:rsidRPr="00DE7504" w:rsidRDefault="00A57801" w:rsidP="00DE7504">
      <w:pPr>
        <w:pStyle w:val="ListParagraph"/>
        <w:rPr>
          <w:color w:val="0D0D0D" w:themeColor="text1" w:themeTint="F2"/>
        </w:rPr>
      </w:pPr>
      <w:r w:rsidRPr="001A63F3">
        <w:rPr>
          <w:color w:val="0D0D0D" w:themeColor="text1" w:themeTint="F2"/>
        </w:rPr>
        <w:t xml:space="preserve">The PBAC considered it is likely that there is a </w:t>
      </w:r>
      <w:proofErr w:type="spellStart"/>
      <w:r w:rsidRPr="001A63F3">
        <w:rPr>
          <w:color w:val="0D0D0D" w:themeColor="text1" w:themeTint="F2"/>
        </w:rPr>
        <w:t>codependency</w:t>
      </w:r>
      <w:proofErr w:type="spellEnd"/>
      <w:r w:rsidRPr="001A63F3">
        <w:rPr>
          <w:color w:val="0D0D0D" w:themeColor="text1" w:themeTint="F2"/>
        </w:rPr>
        <w:t xml:space="preserve"> between </w:t>
      </w:r>
      <w:proofErr w:type="spellStart"/>
      <w:r w:rsidR="00635095">
        <w:rPr>
          <w:color w:val="0D0D0D" w:themeColor="text1" w:themeTint="F2"/>
        </w:rPr>
        <w:t>futibatinib</w:t>
      </w:r>
      <w:proofErr w:type="spellEnd"/>
      <w:r w:rsidRPr="001A63F3">
        <w:rPr>
          <w:color w:val="0D0D0D" w:themeColor="text1" w:themeTint="F2"/>
        </w:rPr>
        <w:t xml:space="preserve"> and </w:t>
      </w:r>
      <w:r w:rsidR="003E5C46" w:rsidRPr="003E5C46">
        <w:rPr>
          <w:i/>
          <w:iCs/>
          <w:color w:val="0D0D0D" w:themeColor="text1" w:themeTint="F2"/>
        </w:rPr>
        <w:t>FGFR2</w:t>
      </w:r>
      <w:r w:rsidRPr="001A63F3">
        <w:rPr>
          <w:color w:val="0D0D0D" w:themeColor="text1" w:themeTint="F2"/>
        </w:rPr>
        <w:t xml:space="preserve"> testing based on the biological rationale as described in paragraph </w:t>
      </w:r>
      <w:r w:rsidR="00B93B3A">
        <w:rPr>
          <w:color w:val="0D0D0D" w:themeColor="text1" w:themeTint="F2"/>
        </w:rPr>
        <w:fldChar w:fldCharType="begin"/>
      </w:r>
      <w:r w:rsidR="00B93B3A">
        <w:rPr>
          <w:color w:val="0D0D0D" w:themeColor="text1" w:themeTint="F2"/>
        </w:rPr>
        <w:instrText xml:space="preserve"> REF _Ref194356721 \r \h </w:instrText>
      </w:r>
      <w:r w:rsidR="00B93B3A">
        <w:rPr>
          <w:color w:val="0D0D0D" w:themeColor="text1" w:themeTint="F2"/>
        </w:rPr>
      </w:r>
      <w:r w:rsidR="00B93B3A">
        <w:rPr>
          <w:color w:val="0D0D0D" w:themeColor="text1" w:themeTint="F2"/>
        </w:rPr>
        <w:fldChar w:fldCharType="separate"/>
      </w:r>
      <w:r w:rsidR="008378C4">
        <w:rPr>
          <w:color w:val="0D0D0D" w:themeColor="text1" w:themeTint="F2"/>
        </w:rPr>
        <w:t>6.67</w:t>
      </w:r>
      <w:r w:rsidR="00B93B3A">
        <w:rPr>
          <w:color w:val="0D0D0D" w:themeColor="text1" w:themeTint="F2"/>
        </w:rPr>
        <w:fldChar w:fldCharType="end"/>
      </w:r>
      <w:r w:rsidRPr="001A63F3">
        <w:rPr>
          <w:color w:val="0D0D0D" w:themeColor="text1" w:themeTint="F2"/>
        </w:rPr>
        <w:t xml:space="preserve"> and there is therefore a reasonable rationale for restricting the use of </w:t>
      </w:r>
      <w:proofErr w:type="spellStart"/>
      <w:r w:rsidR="009341CF">
        <w:rPr>
          <w:color w:val="0D0D0D" w:themeColor="text1" w:themeTint="F2"/>
        </w:rPr>
        <w:t>futibatinib</w:t>
      </w:r>
      <w:proofErr w:type="spellEnd"/>
      <w:r w:rsidRPr="001A63F3">
        <w:rPr>
          <w:color w:val="0D0D0D" w:themeColor="text1" w:themeTint="F2"/>
        </w:rPr>
        <w:t xml:space="preserve"> to patients with tumours with </w:t>
      </w:r>
      <w:r w:rsidR="003E5C46" w:rsidRPr="003E5C46">
        <w:rPr>
          <w:i/>
          <w:iCs/>
          <w:color w:val="0D0D0D" w:themeColor="text1" w:themeTint="F2"/>
        </w:rPr>
        <w:t>FGFR2</w:t>
      </w:r>
      <w:r w:rsidR="00A27DB9">
        <w:rPr>
          <w:i/>
          <w:iCs/>
          <w:color w:val="0D0D0D" w:themeColor="text1" w:themeTint="F2"/>
        </w:rPr>
        <w:t xml:space="preserve"> </w:t>
      </w:r>
      <w:r w:rsidR="00A27DB9" w:rsidRPr="00C5180B">
        <w:rPr>
          <w:color w:val="0D0D0D" w:themeColor="text1" w:themeTint="F2"/>
        </w:rPr>
        <w:t>fusions or rearrangements</w:t>
      </w:r>
      <w:r w:rsidRPr="001A63F3">
        <w:rPr>
          <w:color w:val="0D0D0D" w:themeColor="text1" w:themeTint="F2"/>
        </w:rPr>
        <w:t xml:space="preserve">. The PBAC noted that consideration of the proposed MBS item for </w:t>
      </w:r>
      <w:r w:rsidR="003E5C46" w:rsidRPr="003E5C46">
        <w:rPr>
          <w:i/>
          <w:iCs/>
          <w:color w:val="0D0D0D" w:themeColor="text1" w:themeTint="F2"/>
        </w:rPr>
        <w:t>FGFR2</w:t>
      </w:r>
      <w:r w:rsidRPr="001A63F3">
        <w:rPr>
          <w:color w:val="0D0D0D" w:themeColor="text1" w:themeTint="F2"/>
        </w:rPr>
        <w:t xml:space="preserve"> testing for patients with CCA, to determine access to </w:t>
      </w:r>
      <w:proofErr w:type="spellStart"/>
      <w:r w:rsidR="00834D2A">
        <w:rPr>
          <w:color w:val="0D0D0D" w:themeColor="text1" w:themeTint="F2"/>
        </w:rPr>
        <w:t>futibatinib</w:t>
      </w:r>
      <w:proofErr w:type="spellEnd"/>
      <w:r w:rsidRPr="001A63F3">
        <w:rPr>
          <w:color w:val="0D0D0D" w:themeColor="text1" w:themeTint="F2"/>
        </w:rPr>
        <w:t xml:space="preserve"> was a matter for MSAC consideration. </w:t>
      </w:r>
    </w:p>
    <w:p w14:paraId="47829220" w14:textId="781ACD78" w:rsidR="00386EEF" w:rsidRPr="00386EEF" w:rsidRDefault="00AA6F01" w:rsidP="00DE7504">
      <w:pPr>
        <w:pStyle w:val="ListParagraph"/>
      </w:pPr>
      <w:r>
        <w:t xml:space="preserve">The PBAC considered it would be appropriate for </w:t>
      </w:r>
      <w:proofErr w:type="spellStart"/>
      <w:r w:rsidR="00AA3C8B">
        <w:t>futibatinib</w:t>
      </w:r>
      <w:proofErr w:type="spellEnd"/>
      <w:r w:rsidR="00AA3C8B">
        <w:t xml:space="preserve"> </w:t>
      </w:r>
      <w:r w:rsidR="00A60357">
        <w:t xml:space="preserve">to be </w:t>
      </w:r>
      <w:r w:rsidR="00AA3C8B">
        <w:t xml:space="preserve">listed </w:t>
      </w:r>
      <w:r w:rsidR="00A60357">
        <w:t>for patients with locally advanced or metastatic CCA</w:t>
      </w:r>
      <w:r w:rsidR="001C460F">
        <w:t xml:space="preserve"> </w:t>
      </w:r>
      <w:r w:rsidR="00BE5766" w:rsidRPr="00576EE4">
        <w:t>who have previously progressed on systemic therapy</w:t>
      </w:r>
      <w:r w:rsidR="00BE5766">
        <w:t xml:space="preserve"> and </w:t>
      </w:r>
      <w:r w:rsidR="00AA3C8B">
        <w:t xml:space="preserve">who have evidence of an </w:t>
      </w:r>
      <w:r w:rsidR="00AA3C8B" w:rsidRPr="00AA3C8B">
        <w:rPr>
          <w:i/>
          <w:iCs/>
        </w:rPr>
        <w:t>FGRF2</w:t>
      </w:r>
      <w:r w:rsidR="00AA3C8B">
        <w:t xml:space="preserve"> fusion or rearrangement. The PBAC agreed with the ESCs that </w:t>
      </w:r>
      <w:r w:rsidR="00A11054">
        <w:t xml:space="preserve">it can be difficult to differentiate between intrahepatic and extrahepatic </w:t>
      </w:r>
      <w:proofErr w:type="gramStart"/>
      <w:r w:rsidR="00A11054">
        <w:t>CCA</w:t>
      </w:r>
      <w:proofErr w:type="gramEnd"/>
      <w:r w:rsidR="00A11054">
        <w:t xml:space="preserve"> and </w:t>
      </w:r>
      <w:r w:rsidR="00FF0F32">
        <w:t xml:space="preserve">it was likely </w:t>
      </w:r>
      <w:proofErr w:type="spellStart"/>
      <w:r w:rsidR="00FF0F32">
        <w:t>futibat</w:t>
      </w:r>
      <w:r w:rsidR="00C12310">
        <w:t>in</w:t>
      </w:r>
      <w:r w:rsidR="00FF0F32">
        <w:t>ib</w:t>
      </w:r>
      <w:proofErr w:type="spellEnd"/>
      <w:r w:rsidR="00FF0F32">
        <w:t xml:space="preserve"> would provide </w:t>
      </w:r>
      <w:r w:rsidR="00C33D44">
        <w:t xml:space="preserve">benefit </w:t>
      </w:r>
      <w:r w:rsidR="00FF0F32">
        <w:t xml:space="preserve">in the small </w:t>
      </w:r>
      <w:r w:rsidR="0038366D">
        <w:t xml:space="preserve">population of </w:t>
      </w:r>
      <w:r w:rsidR="00C33D44">
        <w:t>patients with non-</w:t>
      </w:r>
      <w:proofErr w:type="spellStart"/>
      <w:r w:rsidR="00C33D44">
        <w:t>iCCA</w:t>
      </w:r>
      <w:proofErr w:type="spellEnd"/>
      <w:r w:rsidR="00FF0F32">
        <w:t xml:space="preserve"> who have an </w:t>
      </w:r>
      <w:r w:rsidR="00FF0F32" w:rsidRPr="00FF0F32">
        <w:rPr>
          <w:i/>
          <w:iCs/>
        </w:rPr>
        <w:t>FGFR2</w:t>
      </w:r>
      <w:r w:rsidR="00FF0F32">
        <w:t xml:space="preserve"> fusion or rearrangement</w:t>
      </w:r>
      <w:r w:rsidR="00C33D44">
        <w:t xml:space="preserve">.  </w:t>
      </w:r>
    </w:p>
    <w:p w14:paraId="77B17E92" w14:textId="7050B013" w:rsidR="00ED7003" w:rsidRPr="003E136C" w:rsidRDefault="00A44654">
      <w:pPr>
        <w:pStyle w:val="ListParagraph"/>
        <w:rPr>
          <w:color w:val="auto"/>
        </w:rPr>
      </w:pPr>
      <w:r w:rsidRPr="00217EA0">
        <w:t xml:space="preserve">The submission nominated </w:t>
      </w:r>
      <w:r w:rsidR="00255BED" w:rsidRPr="00217EA0">
        <w:t>FOLFOX</w:t>
      </w:r>
      <w:r w:rsidR="00255BED">
        <w:t xml:space="preserve"> </w:t>
      </w:r>
      <w:r w:rsidR="00255BED" w:rsidRPr="00217EA0">
        <w:t>chemotherapy</w:t>
      </w:r>
      <w:r w:rsidR="00255BED" w:rsidRPr="003E136C">
        <w:rPr>
          <w:rStyle w:val="InstructionalTextChar"/>
          <w:color w:val="auto"/>
        </w:rPr>
        <w:t xml:space="preserve"> </w:t>
      </w:r>
      <w:r w:rsidR="00255BED">
        <w:t>(</w:t>
      </w:r>
      <w:r w:rsidR="00255BED" w:rsidRPr="00217EA0">
        <w:t>as modified FOLFOX6</w:t>
      </w:r>
      <w:r w:rsidR="00255BED">
        <w:t>)</w:t>
      </w:r>
      <w:r w:rsidR="00255BED" w:rsidRPr="00217EA0">
        <w:t xml:space="preserve"> </w:t>
      </w:r>
      <w:r w:rsidRPr="00217EA0">
        <w:t xml:space="preserve">as the </w:t>
      </w:r>
      <w:r w:rsidR="00B76C9E">
        <w:t>primary</w:t>
      </w:r>
      <w:r w:rsidR="00766B82">
        <w:t xml:space="preserve"> comparator in the first-line setting</w:t>
      </w:r>
      <w:r w:rsidR="00B76C9E">
        <w:t xml:space="preserve">, and </w:t>
      </w:r>
      <w:r w:rsidRPr="00217EA0">
        <w:t>palliative care with active symptom control (ASC) in the second- and subsequent line settings for patients with poor performance status</w:t>
      </w:r>
      <w:r w:rsidR="000327CB">
        <w:t>,</w:t>
      </w:r>
      <w:r w:rsidRPr="00217EA0">
        <w:t xml:space="preserve"> or those who elect no further treatment</w:t>
      </w:r>
      <w:r w:rsidR="0078018F">
        <w:t xml:space="preserve">. </w:t>
      </w:r>
      <w:r w:rsidR="00ED7003" w:rsidRPr="003E136C">
        <w:rPr>
          <w:color w:val="auto"/>
        </w:rPr>
        <w:t xml:space="preserve">The </w:t>
      </w:r>
      <w:r w:rsidR="000B5337" w:rsidRPr="003E136C">
        <w:rPr>
          <w:color w:val="auto"/>
        </w:rPr>
        <w:t>PBAC noted</w:t>
      </w:r>
      <w:r w:rsidR="00971463">
        <w:rPr>
          <w:color w:val="auto"/>
        </w:rPr>
        <w:t xml:space="preserve"> </w:t>
      </w:r>
      <w:proofErr w:type="spellStart"/>
      <w:r w:rsidR="00ED7003" w:rsidRPr="003E136C">
        <w:rPr>
          <w:color w:val="auto"/>
        </w:rPr>
        <w:t>ivosidenib</w:t>
      </w:r>
      <w:proofErr w:type="spellEnd"/>
      <w:r w:rsidR="00167D3E">
        <w:rPr>
          <w:color w:val="auto"/>
        </w:rPr>
        <w:t xml:space="preserve"> (recommended for CCA in November 2024)</w:t>
      </w:r>
      <w:r w:rsidR="00ED7003" w:rsidRPr="003E136C">
        <w:rPr>
          <w:color w:val="auto"/>
        </w:rPr>
        <w:t xml:space="preserve"> </w:t>
      </w:r>
      <w:r w:rsidR="003C614B">
        <w:rPr>
          <w:color w:val="auto"/>
        </w:rPr>
        <w:t xml:space="preserve">is not </w:t>
      </w:r>
      <w:r w:rsidR="00210481">
        <w:rPr>
          <w:color w:val="auto"/>
        </w:rPr>
        <w:t>a comparator</w:t>
      </w:r>
      <w:r w:rsidR="007669B2" w:rsidRPr="003E136C">
        <w:rPr>
          <w:color w:val="auto"/>
        </w:rPr>
        <w:t>,</w:t>
      </w:r>
      <w:r w:rsidR="00ED7003" w:rsidRPr="003E136C">
        <w:rPr>
          <w:color w:val="auto"/>
        </w:rPr>
        <w:t xml:space="preserve"> as</w:t>
      </w:r>
      <w:r w:rsidR="00E859FB" w:rsidRPr="00E859FB">
        <w:rPr>
          <w:i/>
          <w:iCs/>
          <w:color w:val="auto"/>
        </w:rPr>
        <w:t xml:space="preserve"> IDH1</w:t>
      </w:r>
      <w:r w:rsidR="00ED7003" w:rsidRPr="003E136C">
        <w:rPr>
          <w:color w:val="auto"/>
        </w:rPr>
        <w:t xml:space="preserve"> and </w:t>
      </w:r>
      <w:r w:rsidR="003E5C46" w:rsidRPr="003E5C46">
        <w:rPr>
          <w:i/>
          <w:iCs/>
          <w:color w:val="auto"/>
        </w:rPr>
        <w:t>FGFR2</w:t>
      </w:r>
      <w:r w:rsidR="00ED7003" w:rsidRPr="003E136C">
        <w:rPr>
          <w:color w:val="auto"/>
        </w:rPr>
        <w:t xml:space="preserve"> variants are generally considered </w:t>
      </w:r>
      <w:r w:rsidR="007669B2" w:rsidRPr="003E136C">
        <w:rPr>
          <w:color w:val="auto"/>
        </w:rPr>
        <w:t xml:space="preserve">to be </w:t>
      </w:r>
      <w:r w:rsidR="00ED7003" w:rsidRPr="003E136C">
        <w:rPr>
          <w:color w:val="auto"/>
        </w:rPr>
        <w:t>mutually exclusive</w:t>
      </w:r>
      <w:r w:rsidR="007669B2" w:rsidRPr="003E136C">
        <w:rPr>
          <w:color w:val="auto"/>
        </w:rPr>
        <w:t xml:space="preserve">, but that </w:t>
      </w:r>
      <w:proofErr w:type="spellStart"/>
      <w:r w:rsidR="00ED7003" w:rsidRPr="003E136C">
        <w:rPr>
          <w:color w:val="auto"/>
        </w:rPr>
        <w:t>pemigatinib</w:t>
      </w:r>
      <w:proofErr w:type="spellEnd"/>
      <w:r w:rsidR="00ED7003" w:rsidRPr="003E136C">
        <w:rPr>
          <w:color w:val="auto"/>
        </w:rPr>
        <w:t xml:space="preserve">, an inhibitor of </w:t>
      </w:r>
      <w:r w:rsidR="00ED7003" w:rsidRPr="009E5533">
        <w:rPr>
          <w:i/>
          <w:iCs/>
          <w:color w:val="auto"/>
        </w:rPr>
        <w:t>FGFR</w:t>
      </w:r>
      <w:r w:rsidR="007669B2" w:rsidRPr="003E136C">
        <w:rPr>
          <w:color w:val="auto"/>
        </w:rPr>
        <w:t xml:space="preserve"> with </w:t>
      </w:r>
      <w:r w:rsidR="00ED7003" w:rsidRPr="003E136C">
        <w:rPr>
          <w:color w:val="auto"/>
        </w:rPr>
        <w:t>provisional TGA approval may be considered a near market comparator</w:t>
      </w:r>
      <w:r w:rsidR="00160433">
        <w:rPr>
          <w:color w:val="auto"/>
        </w:rPr>
        <w:t xml:space="preserve">. The PBAC noted no </w:t>
      </w:r>
      <w:r w:rsidR="00E57FEA">
        <w:rPr>
          <w:color w:val="auto"/>
        </w:rPr>
        <w:t xml:space="preserve">comparison to </w:t>
      </w:r>
      <w:proofErr w:type="spellStart"/>
      <w:r w:rsidR="00E57FEA">
        <w:rPr>
          <w:color w:val="auto"/>
        </w:rPr>
        <w:t>pemigat</w:t>
      </w:r>
      <w:r w:rsidR="00686899">
        <w:rPr>
          <w:color w:val="auto"/>
        </w:rPr>
        <w:t>i</w:t>
      </w:r>
      <w:r w:rsidR="00E57FEA">
        <w:rPr>
          <w:color w:val="auto"/>
        </w:rPr>
        <w:t>nib</w:t>
      </w:r>
      <w:proofErr w:type="spellEnd"/>
      <w:r w:rsidR="00E57FEA">
        <w:rPr>
          <w:color w:val="auto"/>
        </w:rPr>
        <w:t xml:space="preserve"> was provided in the submission. </w:t>
      </w:r>
      <w:r w:rsidR="00190B21">
        <w:rPr>
          <w:color w:val="auto"/>
        </w:rPr>
        <w:t xml:space="preserve"> </w:t>
      </w:r>
    </w:p>
    <w:p w14:paraId="3F798CDD" w14:textId="296CD81A" w:rsidR="00185F8D" w:rsidRDefault="00310386">
      <w:pPr>
        <w:pStyle w:val="ListParagraph"/>
        <w:rPr>
          <w:color w:val="auto"/>
        </w:rPr>
      </w:pPr>
      <w:r w:rsidRPr="00142212">
        <w:rPr>
          <w:color w:val="auto"/>
        </w:rPr>
        <w:t>The submission was based on FOENIX-CCA2</w:t>
      </w:r>
      <w:r w:rsidR="004F23B2" w:rsidRPr="00142212">
        <w:rPr>
          <w:color w:val="auto"/>
        </w:rPr>
        <w:t xml:space="preserve"> (n=103)</w:t>
      </w:r>
      <w:r w:rsidRPr="00142212">
        <w:rPr>
          <w:color w:val="auto"/>
        </w:rPr>
        <w:t>, an open-label, single-arm, phase</w:t>
      </w:r>
      <w:r w:rsidR="00CF621B">
        <w:rPr>
          <w:color w:val="auto"/>
        </w:rPr>
        <w:t> </w:t>
      </w:r>
      <w:r w:rsidRPr="00142212">
        <w:rPr>
          <w:color w:val="auto"/>
        </w:rPr>
        <w:t xml:space="preserve">2 trial of </w:t>
      </w:r>
      <w:proofErr w:type="spellStart"/>
      <w:r w:rsidRPr="00142212">
        <w:rPr>
          <w:color w:val="auto"/>
        </w:rPr>
        <w:t>futibatinib</w:t>
      </w:r>
      <w:proofErr w:type="spellEnd"/>
      <w:r w:rsidRPr="00142212">
        <w:rPr>
          <w:color w:val="auto"/>
        </w:rPr>
        <w:t xml:space="preserve"> in patients with unresectable or metastatic </w:t>
      </w:r>
      <w:r w:rsidR="003E5C46" w:rsidRPr="003E5C46">
        <w:rPr>
          <w:i/>
          <w:iCs/>
          <w:color w:val="auto"/>
        </w:rPr>
        <w:t>FGFR2</w:t>
      </w:r>
      <w:r w:rsidRPr="00142212">
        <w:rPr>
          <w:color w:val="auto"/>
        </w:rPr>
        <w:t xml:space="preserve"> fusion-positive or </w:t>
      </w:r>
      <w:r w:rsidR="003E5C46" w:rsidRPr="003E5C46">
        <w:rPr>
          <w:i/>
          <w:iCs/>
          <w:color w:val="auto"/>
        </w:rPr>
        <w:t>FGFR2</w:t>
      </w:r>
      <w:r w:rsidRPr="00142212">
        <w:rPr>
          <w:color w:val="auto"/>
        </w:rPr>
        <w:t xml:space="preserve"> rearrangement-positive </w:t>
      </w:r>
      <w:proofErr w:type="spellStart"/>
      <w:r w:rsidRPr="00142212">
        <w:rPr>
          <w:color w:val="auto"/>
        </w:rPr>
        <w:t>iCCA</w:t>
      </w:r>
      <w:proofErr w:type="spellEnd"/>
      <w:r w:rsidRPr="00142212">
        <w:rPr>
          <w:color w:val="auto"/>
        </w:rPr>
        <w:t>, and disease progression after one or more previous lines of systemic therapy; and</w:t>
      </w:r>
      <w:r w:rsidR="00C02C42" w:rsidRPr="00142212">
        <w:rPr>
          <w:color w:val="auto"/>
        </w:rPr>
        <w:t xml:space="preserve"> </w:t>
      </w:r>
      <w:r w:rsidRPr="00142212">
        <w:rPr>
          <w:color w:val="auto"/>
        </w:rPr>
        <w:t>ABC-06</w:t>
      </w:r>
      <w:r w:rsidR="004804D3">
        <w:rPr>
          <w:color w:val="auto"/>
        </w:rPr>
        <w:t xml:space="preserve"> </w:t>
      </w:r>
      <w:r w:rsidR="004F23B2" w:rsidRPr="00142212">
        <w:rPr>
          <w:color w:val="auto"/>
        </w:rPr>
        <w:t>(n=81)</w:t>
      </w:r>
      <w:r w:rsidRPr="00142212">
        <w:rPr>
          <w:color w:val="auto"/>
        </w:rPr>
        <w:t>, an open-label randomised phase 3 trial of ASC and FOLFOX in patients with locally advanced or metastatic biliary tract cancer (including CCA and gallbladder or ampullary carcinoma).</w:t>
      </w:r>
      <w:r w:rsidR="00C02C42" w:rsidRPr="00142212">
        <w:rPr>
          <w:color w:val="auto"/>
        </w:rPr>
        <w:t xml:space="preserve"> These trials </w:t>
      </w:r>
      <w:r w:rsidRPr="00142212">
        <w:rPr>
          <w:color w:val="auto"/>
        </w:rPr>
        <w:t xml:space="preserve">formed the basis of an unanchored matched adjusted indirect comparison (MAIC) of </w:t>
      </w:r>
      <w:proofErr w:type="spellStart"/>
      <w:r w:rsidRPr="00142212">
        <w:rPr>
          <w:color w:val="auto"/>
        </w:rPr>
        <w:t>futibatinib</w:t>
      </w:r>
      <w:proofErr w:type="spellEnd"/>
      <w:r w:rsidRPr="00142212">
        <w:rPr>
          <w:color w:val="auto"/>
        </w:rPr>
        <w:t xml:space="preserve"> versus FOLFOX</w:t>
      </w:r>
      <w:r w:rsidR="00D60351">
        <w:rPr>
          <w:color w:val="auto"/>
        </w:rPr>
        <w:t xml:space="preserve">. </w:t>
      </w:r>
      <w:r w:rsidR="00145A62">
        <w:t xml:space="preserve">The PBAC noted the improvements in efficacy with </w:t>
      </w:r>
      <w:proofErr w:type="spellStart"/>
      <w:r w:rsidR="00145A62">
        <w:t>futi</w:t>
      </w:r>
      <w:r w:rsidR="00AD4C06">
        <w:t>batinib</w:t>
      </w:r>
      <w:proofErr w:type="spellEnd"/>
      <w:r w:rsidR="00145A62">
        <w:t xml:space="preserve"> compared to FOLFOX based on the MAIC: adjusted PFS HR = </w:t>
      </w:r>
      <w:r w:rsidR="00AE04DB">
        <w:t>0.30</w:t>
      </w:r>
      <w:r w:rsidR="00145A62">
        <w:t xml:space="preserve"> (95% CI</w:t>
      </w:r>
      <w:r w:rsidR="00AE04DB">
        <w:t>: 0.22, 0.41</w:t>
      </w:r>
      <w:r w:rsidR="00145A62">
        <w:t>)</w:t>
      </w:r>
      <w:r w:rsidR="0002083A">
        <w:t xml:space="preserve"> and </w:t>
      </w:r>
      <w:r w:rsidR="00145A62">
        <w:t xml:space="preserve">OS HR = </w:t>
      </w:r>
      <w:r w:rsidR="00AE04DB">
        <w:t>0.24</w:t>
      </w:r>
      <w:r w:rsidR="00145A62">
        <w:t xml:space="preserve"> (95% CI</w:t>
      </w:r>
      <w:r w:rsidR="00AE04DB">
        <w:t>: 0.18</w:t>
      </w:r>
      <w:r w:rsidR="001965B6">
        <w:t xml:space="preserve">, </w:t>
      </w:r>
      <w:r w:rsidR="00AE04DB">
        <w:t>0.32</w:t>
      </w:r>
      <w:r w:rsidR="00145A62">
        <w:t>)</w:t>
      </w:r>
      <w:r w:rsidR="0002083A">
        <w:t>.</w:t>
      </w:r>
      <w:r w:rsidR="00145A62">
        <w:t xml:space="preserve"> </w:t>
      </w:r>
      <w:r w:rsidR="00D37C1E">
        <w:rPr>
          <w:color w:val="auto"/>
        </w:rPr>
        <w:t>However, t</w:t>
      </w:r>
      <w:r w:rsidR="00185F8D" w:rsidRPr="00142212">
        <w:rPr>
          <w:color w:val="auto"/>
        </w:rPr>
        <w:t>he PBAC considered that the magnitude of clinical benefit was likely overestimated due to differences in baseline characteristics (</w:t>
      </w:r>
      <w:r w:rsidR="00185F8D">
        <w:rPr>
          <w:color w:val="auto"/>
        </w:rPr>
        <w:t xml:space="preserve">in particular </w:t>
      </w:r>
      <w:r w:rsidR="00185F8D" w:rsidRPr="003E5C46">
        <w:rPr>
          <w:i/>
          <w:iCs/>
          <w:color w:val="auto"/>
        </w:rPr>
        <w:t>FGFR2</w:t>
      </w:r>
      <w:r w:rsidR="00185F8D" w:rsidRPr="00142212">
        <w:rPr>
          <w:color w:val="auto"/>
        </w:rPr>
        <w:t xml:space="preserve"> status</w:t>
      </w:r>
      <w:r w:rsidR="008906DF">
        <w:rPr>
          <w:color w:val="auto"/>
        </w:rPr>
        <w:t xml:space="preserve"> which may </w:t>
      </w:r>
      <w:r w:rsidR="004F795E">
        <w:rPr>
          <w:color w:val="auto"/>
        </w:rPr>
        <w:t>be a prognostic factor</w:t>
      </w:r>
      <w:r w:rsidR="00185F8D">
        <w:rPr>
          <w:color w:val="auto"/>
        </w:rPr>
        <w:t>)</w:t>
      </w:r>
      <w:r w:rsidR="00185F8D" w:rsidRPr="00142212">
        <w:rPr>
          <w:color w:val="auto"/>
        </w:rPr>
        <w:t xml:space="preserve">, and the unanchored nature of the MAIC, which confers a high risk of bias to unknown treatment effect modifiers. </w:t>
      </w:r>
      <w:r w:rsidR="00417C82" w:rsidRPr="00417C82">
        <w:rPr>
          <w:color w:val="auto"/>
        </w:rPr>
        <w:t xml:space="preserve">The PBAC noted that the adjustments applied as part of the MAIC increased the estimated </w:t>
      </w:r>
      <w:r w:rsidR="007A6945">
        <w:rPr>
          <w:color w:val="auto"/>
        </w:rPr>
        <w:t xml:space="preserve">PFS and </w:t>
      </w:r>
      <w:r w:rsidR="00417C82" w:rsidRPr="00417C82">
        <w:rPr>
          <w:color w:val="auto"/>
        </w:rPr>
        <w:t xml:space="preserve">OS for </w:t>
      </w:r>
      <w:proofErr w:type="spellStart"/>
      <w:r w:rsidR="00417C82" w:rsidRPr="00417C82">
        <w:rPr>
          <w:color w:val="auto"/>
        </w:rPr>
        <w:t>futi</w:t>
      </w:r>
      <w:r w:rsidR="00CC09C5">
        <w:rPr>
          <w:color w:val="auto"/>
        </w:rPr>
        <w:t>batinib</w:t>
      </w:r>
      <w:proofErr w:type="spellEnd"/>
      <w:r w:rsidR="00D63956">
        <w:rPr>
          <w:color w:val="auto"/>
        </w:rPr>
        <w:t>,</w:t>
      </w:r>
      <w:r w:rsidR="00417C82" w:rsidRPr="00417C82">
        <w:rPr>
          <w:color w:val="auto"/>
        </w:rPr>
        <w:t xml:space="preserve"> despite</w:t>
      </w:r>
      <w:r w:rsidR="00CC09C5">
        <w:rPr>
          <w:color w:val="auto"/>
        </w:rPr>
        <w:t xml:space="preserve"> </w:t>
      </w:r>
      <w:proofErr w:type="spellStart"/>
      <w:r w:rsidR="008D3696">
        <w:rPr>
          <w:color w:val="auto"/>
        </w:rPr>
        <w:t>it</w:t>
      </w:r>
      <w:proofErr w:type="spellEnd"/>
      <w:r w:rsidR="008D3696">
        <w:rPr>
          <w:color w:val="auto"/>
        </w:rPr>
        <w:t xml:space="preserve"> </w:t>
      </w:r>
      <w:r w:rsidR="008D3696" w:rsidRPr="008D3696">
        <w:rPr>
          <w:color w:val="auto"/>
        </w:rPr>
        <w:t>accounting for the</w:t>
      </w:r>
      <w:r w:rsidR="008D3696">
        <w:rPr>
          <w:color w:val="auto"/>
        </w:rPr>
        <w:t xml:space="preserve"> FOLFOX</w:t>
      </w:r>
      <w:r w:rsidR="008D3696" w:rsidRPr="008D3696">
        <w:rPr>
          <w:color w:val="auto"/>
        </w:rPr>
        <w:t xml:space="preserve"> trial patients being older and having a worse </w:t>
      </w:r>
      <w:r w:rsidR="000C17C6">
        <w:rPr>
          <w:color w:val="auto"/>
        </w:rPr>
        <w:t>performance status</w:t>
      </w:r>
      <w:r w:rsidR="008D3696" w:rsidRPr="008D3696">
        <w:rPr>
          <w:color w:val="auto"/>
        </w:rPr>
        <w:t xml:space="preserve"> compared with the patients in the</w:t>
      </w:r>
      <w:r w:rsidR="008D3696">
        <w:rPr>
          <w:color w:val="auto"/>
        </w:rPr>
        <w:t xml:space="preserve"> </w:t>
      </w:r>
      <w:proofErr w:type="spellStart"/>
      <w:r w:rsidR="008D3696">
        <w:rPr>
          <w:color w:val="auto"/>
        </w:rPr>
        <w:t>futibatinib</w:t>
      </w:r>
      <w:proofErr w:type="spellEnd"/>
      <w:r w:rsidR="008D3696" w:rsidRPr="008D3696">
        <w:rPr>
          <w:color w:val="auto"/>
        </w:rPr>
        <w:t xml:space="preserve"> trial</w:t>
      </w:r>
      <w:r w:rsidR="002C2787">
        <w:rPr>
          <w:color w:val="auto"/>
        </w:rPr>
        <w:t>, which</w:t>
      </w:r>
      <w:r w:rsidR="001F4A97">
        <w:rPr>
          <w:color w:val="auto"/>
        </w:rPr>
        <w:t xml:space="preserve"> </w:t>
      </w:r>
      <w:r w:rsidR="001F4A97" w:rsidRPr="003F3962">
        <w:rPr>
          <w:color w:val="auto"/>
        </w:rPr>
        <w:t>further raise</w:t>
      </w:r>
      <w:r w:rsidR="001F4A97">
        <w:rPr>
          <w:color w:val="auto"/>
        </w:rPr>
        <w:t>d</w:t>
      </w:r>
      <w:r w:rsidR="001F4A97" w:rsidRPr="003F3962">
        <w:rPr>
          <w:color w:val="auto"/>
        </w:rPr>
        <w:t xml:space="preserve"> questions regarding the reliability of the MAIC</w:t>
      </w:r>
      <w:r w:rsidR="00185F8D" w:rsidRPr="003F3962">
        <w:rPr>
          <w:color w:val="auto"/>
        </w:rPr>
        <w:t>. The</w:t>
      </w:r>
      <w:r w:rsidR="00185F8D">
        <w:rPr>
          <w:color w:val="auto"/>
        </w:rPr>
        <w:t xml:space="preserve"> PBAC considered that the clinical claim of superiority for </w:t>
      </w:r>
      <w:proofErr w:type="spellStart"/>
      <w:r w:rsidR="00185F8D">
        <w:rPr>
          <w:color w:val="auto"/>
        </w:rPr>
        <w:t>futibatinib</w:t>
      </w:r>
      <w:proofErr w:type="spellEnd"/>
      <w:r w:rsidR="00185F8D">
        <w:rPr>
          <w:color w:val="auto"/>
        </w:rPr>
        <w:t xml:space="preserve"> compared to FOLFOX was reasonable, but that the magnitude of benefit was highly uncertain.</w:t>
      </w:r>
    </w:p>
    <w:p w14:paraId="35186744" w14:textId="70B0AEC0" w:rsidR="00CD6455" w:rsidRDefault="0088588E">
      <w:pPr>
        <w:pStyle w:val="ListParagraph"/>
        <w:rPr>
          <w:color w:val="auto"/>
        </w:rPr>
      </w:pPr>
      <w:r w:rsidRPr="00142212">
        <w:rPr>
          <w:color w:val="auto"/>
        </w:rPr>
        <w:t xml:space="preserve">Additional indirect comparisons identified during the evaluation </w:t>
      </w:r>
      <w:r w:rsidR="00AC6765">
        <w:rPr>
          <w:color w:val="auto"/>
        </w:rPr>
        <w:t xml:space="preserve">(Paine 2022, Borad 2022), </w:t>
      </w:r>
      <w:r w:rsidRPr="00142212">
        <w:rPr>
          <w:color w:val="auto"/>
        </w:rPr>
        <w:t xml:space="preserve">comparing </w:t>
      </w:r>
      <w:proofErr w:type="spellStart"/>
      <w:r w:rsidRPr="00142212">
        <w:rPr>
          <w:color w:val="auto"/>
        </w:rPr>
        <w:t>futibatinib</w:t>
      </w:r>
      <w:proofErr w:type="spellEnd"/>
      <w:r w:rsidRPr="00142212">
        <w:rPr>
          <w:color w:val="auto"/>
        </w:rPr>
        <w:t xml:space="preserve"> and FOLFOX for patients with </w:t>
      </w:r>
      <w:r w:rsidR="003E5C46" w:rsidRPr="003E5C46">
        <w:rPr>
          <w:i/>
          <w:iCs/>
          <w:color w:val="auto"/>
        </w:rPr>
        <w:t>FGFR2</w:t>
      </w:r>
      <w:r w:rsidRPr="00142212">
        <w:rPr>
          <w:color w:val="auto"/>
        </w:rPr>
        <w:t xml:space="preserve"> alterations (both arms</w:t>
      </w:r>
      <w:r w:rsidR="00EB343B">
        <w:rPr>
          <w:color w:val="auto"/>
        </w:rPr>
        <w:t xml:space="preserve">, which </w:t>
      </w:r>
      <w:r w:rsidR="00380A72">
        <w:rPr>
          <w:color w:val="auto"/>
        </w:rPr>
        <w:t>account</w:t>
      </w:r>
      <w:r w:rsidR="004D1126">
        <w:rPr>
          <w:color w:val="auto"/>
        </w:rPr>
        <w:t>ed</w:t>
      </w:r>
      <w:r w:rsidR="00380A72">
        <w:rPr>
          <w:color w:val="auto"/>
        </w:rPr>
        <w:t xml:space="preserve"> for the potential prognostic </w:t>
      </w:r>
      <w:r w:rsidR="00644603">
        <w:rPr>
          <w:color w:val="auto"/>
        </w:rPr>
        <w:t xml:space="preserve">influence of </w:t>
      </w:r>
      <w:r w:rsidR="00380A72" w:rsidRPr="004D1126">
        <w:rPr>
          <w:i/>
          <w:iCs/>
          <w:color w:val="auto"/>
        </w:rPr>
        <w:t>FGFR2</w:t>
      </w:r>
      <w:r w:rsidR="00380A72">
        <w:rPr>
          <w:color w:val="auto"/>
        </w:rPr>
        <w:t xml:space="preserve"> status</w:t>
      </w:r>
      <w:r w:rsidRPr="00142212">
        <w:rPr>
          <w:color w:val="auto"/>
        </w:rPr>
        <w:t xml:space="preserve">) reported a less favourable adjusted HR for PFS (0.48-0.53 vs 0.30) and OS (0.48-0.49 vs 0.24) for </w:t>
      </w:r>
      <w:proofErr w:type="spellStart"/>
      <w:r w:rsidRPr="00142212">
        <w:rPr>
          <w:color w:val="auto"/>
        </w:rPr>
        <w:t>futibatinib</w:t>
      </w:r>
      <w:proofErr w:type="spellEnd"/>
      <w:r w:rsidRPr="00142212">
        <w:rPr>
          <w:color w:val="auto"/>
        </w:rPr>
        <w:t xml:space="preserve"> compared to chemotherapy</w:t>
      </w:r>
      <w:r w:rsidR="00AA00E9">
        <w:rPr>
          <w:color w:val="auto"/>
        </w:rPr>
        <w:t xml:space="preserve"> vs those presented in the submission</w:t>
      </w:r>
      <w:r w:rsidRPr="00142212">
        <w:rPr>
          <w:color w:val="auto"/>
        </w:rPr>
        <w:t xml:space="preserve">. </w:t>
      </w:r>
      <w:r w:rsidR="005A6A6E">
        <w:rPr>
          <w:color w:val="auto"/>
        </w:rPr>
        <w:t>T</w:t>
      </w:r>
      <w:r w:rsidR="00204EEC">
        <w:rPr>
          <w:color w:val="auto"/>
        </w:rPr>
        <w:t xml:space="preserve">he PBAC noted this supported its consideration that the MAIC likely overestimated the magnitude of clinical benefit </w:t>
      </w:r>
      <w:r w:rsidR="00D64BF1">
        <w:rPr>
          <w:color w:val="auto"/>
        </w:rPr>
        <w:t xml:space="preserve">of </w:t>
      </w:r>
      <w:proofErr w:type="spellStart"/>
      <w:r w:rsidR="00D64BF1">
        <w:rPr>
          <w:color w:val="auto"/>
        </w:rPr>
        <w:t>futibatinib</w:t>
      </w:r>
      <w:proofErr w:type="spellEnd"/>
      <w:r w:rsidR="00D64BF1">
        <w:rPr>
          <w:color w:val="auto"/>
        </w:rPr>
        <w:t xml:space="preserve">. </w:t>
      </w:r>
    </w:p>
    <w:p w14:paraId="4678D267" w14:textId="35793D13" w:rsidR="00725B7D" w:rsidRPr="00141167" w:rsidRDefault="00725B7D">
      <w:pPr>
        <w:pStyle w:val="ListParagraph"/>
        <w:rPr>
          <w:color w:val="auto"/>
        </w:rPr>
      </w:pPr>
      <w:r w:rsidRPr="00141167">
        <w:rPr>
          <w:color w:val="auto"/>
        </w:rPr>
        <w:t xml:space="preserve">The submission also presented a MAIC of </w:t>
      </w:r>
      <w:proofErr w:type="spellStart"/>
      <w:r w:rsidRPr="00141167">
        <w:rPr>
          <w:color w:val="auto"/>
        </w:rPr>
        <w:t>futibatinib</w:t>
      </w:r>
      <w:proofErr w:type="spellEnd"/>
      <w:r w:rsidRPr="00141167">
        <w:rPr>
          <w:color w:val="auto"/>
        </w:rPr>
        <w:t xml:space="preserve"> compared to ASC for OS. The PBAC considered that the submission’s claim of superior efficacy versus ASC </w:t>
      </w:r>
      <w:r w:rsidR="00CB1413" w:rsidRPr="00141167">
        <w:rPr>
          <w:color w:val="auto"/>
        </w:rPr>
        <w:t>was reasonable</w:t>
      </w:r>
      <w:r w:rsidR="00BB0280" w:rsidRPr="00141167">
        <w:rPr>
          <w:color w:val="auto"/>
        </w:rPr>
        <w:t xml:space="preserve"> </w:t>
      </w:r>
      <w:r w:rsidR="00141167" w:rsidRPr="00141167">
        <w:rPr>
          <w:color w:val="auto"/>
        </w:rPr>
        <w:t xml:space="preserve">but that it was not well supported by the evidence as </w:t>
      </w:r>
      <w:r w:rsidR="00141167">
        <w:rPr>
          <w:color w:val="auto"/>
        </w:rPr>
        <w:t xml:space="preserve">the MAIC </w:t>
      </w:r>
      <w:r w:rsidRPr="00141167">
        <w:rPr>
          <w:color w:val="auto"/>
        </w:rPr>
        <w:t>generally had the same limitations as that versus FOLFOX</w:t>
      </w:r>
      <w:r w:rsidR="00141167">
        <w:rPr>
          <w:color w:val="auto"/>
        </w:rPr>
        <w:t xml:space="preserve">, and </w:t>
      </w:r>
      <w:r w:rsidRPr="00141167">
        <w:rPr>
          <w:color w:val="auto"/>
        </w:rPr>
        <w:t xml:space="preserve">the claim of superior efficacy was only based on OS, and not PFS or ORR. </w:t>
      </w:r>
    </w:p>
    <w:p w14:paraId="2D962E3C" w14:textId="331B5019" w:rsidR="0052707D" w:rsidRPr="0029560D" w:rsidRDefault="00150063" w:rsidP="0029560D">
      <w:pPr>
        <w:pStyle w:val="ListParagraph"/>
        <w:rPr>
          <w:color w:val="auto"/>
        </w:rPr>
      </w:pPr>
      <w:r w:rsidRPr="003D6891">
        <w:rPr>
          <w:color w:val="auto"/>
        </w:rPr>
        <w:t xml:space="preserve">The submission did not present any comparative safety data between </w:t>
      </w:r>
      <w:proofErr w:type="spellStart"/>
      <w:r w:rsidRPr="003D6891">
        <w:rPr>
          <w:color w:val="auto"/>
        </w:rPr>
        <w:t>futibatinib</w:t>
      </w:r>
      <w:proofErr w:type="spellEnd"/>
      <w:r w:rsidRPr="003D6891">
        <w:rPr>
          <w:color w:val="auto"/>
        </w:rPr>
        <w:t xml:space="preserve"> and FOLFOX</w:t>
      </w:r>
      <w:r w:rsidR="00C10A08" w:rsidRPr="003D6891">
        <w:rPr>
          <w:color w:val="auto"/>
        </w:rPr>
        <w:t xml:space="preserve">. The PBAC noted </w:t>
      </w:r>
      <w:r w:rsidR="00814161">
        <w:rPr>
          <w:color w:val="auto"/>
        </w:rPr>
        <w:t>AEs reported in FOENIX-CCA2</w:t>
      </w:r>
      <w:r w:rsidR="00FA6128">
        <w:rPr>
          <w:color w:val="auto"/>
        </w:rPr>
        <w:t xml:space="preserve">: </w:t>
      </w:r>
      <w:r w:rsidR="00FC4CFD">
        <w:rPr>
          <w:color w:val="auto"/>
        </w:rPr>
        <w:t>although</w:t>
      </w:r>
      <w:r w:rsidR="00C10A08" w:rsidRPr="003D6891">
        <w:rPr>
          <w:color w:val="auto"/>
        </w:rPr>
        <w:t xml:space="preserve"> </w:t>
      </w:r>
      <w:r w:rsidR="003A6D63" w:rsidRPr="003D6891">
        <w:rPr>
          <w:color w:val="auto"/>
        </w:rPr>
        <w:t>frequent</w:t>
      </w:r>
      <w:r w:rsidR="00FC4CFD">
        <w:rPr>
          <w:color w:val="auto"/>
        </w:rPr>
        <w:t xml:space="preserve"> (80%)</w:t>
      </w:r>
      <w:r w:rsidR="003A6D63" w:rsidRPr="003D6891">
        <w:rPr>
          <w:color w:val="auto"/>
        </w:rPr>
        <w:t xml:space="preserve">, </w:t>
      </w:r>
      <w:r w:rsidR="00FE2AE1" w:rsidRPr="003D6891">
        <w:rPr>
          <w:color w:val="auto"/>
        </w:rPr>
        <w:t>lab abnormalities in the FOENIX-CCA2 trial</w:t>
      </w:r>
      <w:r w:rsidR="00FE2AE1">
        <w:rPr>
          <w:color w:val="auto"/>
        </w:rPr>
        <w:t xml:space="preserve"> were</w:t>
      </w:r>
      <w:r w:rsidR="003A6D63" w:rsidRPr="003D6891">
        <w:rPr>
          <w:color w:val="auto"/>
        </w:rPr>
        <w:t xml:space="preserve"> </w:t>
      </w:r>
      <w:r w:rsidR="00571CD4" w:rsidRPr="003D6891">
        <w:rPr>
          <w:color w:val="auto"/>
        </w:rPr>
        <w:t>mostly</w:t>
      </w:r>
      <w:r w:rsidR="003A6D63" w:rsidRPr="003D6891">
        <w:rPr>
          <w:color w:val="auto"/>
        </w:rPr>
        <w:t xml:space="preserve"> </w:t>
      </w:r>
      <w:r w:rsidR="00571CD4" w:rsidRPr="003D6891">
        <w:rPr>
          <w:color w:val="auto"/>
        </w:rPr>
        <w:t xml:space="preserve">asymptomatic </w:t>
      </w:r>
      <w:r w:rsidR="007E722A">
        <w:rPr>
          <w:color w:val="auto"/>
        </w:rPr>
        <w:t>(</w:t>
      </w:r>
      <w:r w:rsidR="00FE2AE1">
        <w:rPr>
          <w:color w:val="auto"/>
        </w:rPr>
        <w:t>e</w:t>
      </w:r>
      <w:r w:rsidR="00D96F1E">
        <w:rPr>
          <w:color w:val="auto"/>
        </w:rPr>
        <w:t>.</w:t>
      </w:r>
      <w:r w:rsidR="00FE2AE1">
        <w:rPr>
          <w:color w:val="auto"/>
        </w:rPr>
        <w:t>g</w:t>
      </w:r>
      <w:r w:rsidR="00D96F1E">
        <w:rPr>
          <w:color w:val="auto"/>
        </w:rPr>
        <w:t>.,</w:t>
      </w:r>
      <w:r w:rsidR="00A410FA" w:rsidRPr="003D6891">
        <w:rPr>
          <w:color w:val="auto"/>
        </w:rPr>
        <w:t xml:space="preserve"> </w:t>
      </w:r>
      <w:r w:rsidR="00A410FA" w:rsidRPr="00BA7A53">
        <w:rPr>
          <w:color w:val="auto"/>
        </w:rPr>
        <w:t>h</w:t>
      </w:r>
      <w:r w:rsidR="00A410FA" w:rsidRPr="00805996">
        <w:rPr>
          <w:color w:val="auto"/>
        </w:rPr>
        <w:t>yperphosphatemia (11%)</w:t>
      </w:r>
      <w:r w:rsidR="00A410FA" w:rsidRPr="00BA7A53">
        <w:rPr>
          <w:color w:val="auto"/>
        </w:rPr>
        <w:t xml:space="preserve"> and e</w:t>
      </w:r>
      <w:r w:rsidR="00A410FA" w:rsidRPr="00805996">
        <w:rPr>
          <w:color w:val="auto"/>
        </w:rPr>
        <w:t>levated AST (10%)</w:t>
      </w:r>
      <w:r w:rsidR="007E722A" w:rsidRPr="00BA7A53">
        <w:rPr>
          <w:color w:val="auto"/>
        </w:rPr>
        <w:t xml:space="preserve">), and </w:t>
      </w:r>
      <w:r w:rsidR="00814161">
        <w:rPr>
          <w:color w:val="auto"/>
        </w:rPr>
        <w:t>that although</w:t>
      </w:r>
      <w:r w:rsidR="0072390B" w:rsidRPr="00BA7A53">
        <w:rPr>
          <w:color w:val="auto"/>
        </w:rPr>
        <w:t xml:space="preserve"> </w:t>
      </w:r>
      <w:r w:rsidR="00814161" w:rsidRPr="00BA7A53">
        <w:rPr>
          <w:color w:val="auto"/>
        </w:rPr>
        <w:t xml:space="preserve">grade 1-2 </w:t>
      </w:r>
      <w:r w:rsidR="004F2D50" w:rsidRPr="004F2D50">
        <w:rPr>
          <w:color w:val="auto"/>
        </w:rPr>
        <w:t>retinopathy</w:t>
      </w:r>
      <w:r w:rsidR="00814161" w:rsidRPr="00BA7A53">
        <w:rPr>
          <w:color w:val="auto"/>
        </w:rPr>
        <w:t xml:space="preserve"> occurr</w:t>
      </w:r>
      <w:r w:rsidR="00814161">
        <w:rPr>
          <w:color w:val="auto"/>
        </w:rPr>
        <w:t>ed</w:t>
      </w:r>
      <w:r w:rsidR="004F2D50" w:rsidRPr="004F2D50">
        <w:rPr>
          <w:color w:val="auto"/>
        </w:rPr>
        <w:t xml:space="preserve"> in 8% </w:t>
      </w:r>
      <w:r w:rsidR="00814161" w:rsidRPr="00BA7A53">
        <w:rPr>
          <w:color w:val="auto"/>
        </w:rPr>
        <w:t>of patients</w:t>
      </w:r>
      <w:r w:rsidR="00FA6128">
        <w:rPr>
          <w:color w:val="auto"/>
        </w:rPr>
        <w:t xml:space="preserve">, </w:t>
      </w:r>
      <w:r w:rsidR="00F07FF3">
        <w:rPr>
          <w:color w:val="auto"/>
        </w:rPr>
        <w:t xml:space="preserve">the </w:t>
      </w:r>
      <w:r w:rsidR="004F2D50" w:rsidRPr="004F2D50">
        <w:rPr>
          <w:color w:val="auto"/>
        </w:rPr>
        <w:t>TGA ACM</w:t>
      </w:r>
      <w:r w:rsidR="00F07FF3">
        <w:rPr>
          <w:color w:val="auto"/>
        </w:rPr>
        <w:t xml:space="preserve"> advised that</w:t>
      </w:r>
      <w:r w:rsidR="00F07FF3" w:rsidRPr="00BA7A53">
        <w:rPr>
          <w:color w:val="auto"/>
        </w:rPr>
        <w:t xml:space="preserve"> </w:t>
      </w:r>
      <w:r w:rsidR="003D6891" w:rsidRPr="00BA7A53">
        <w:rPr>
          <w:color w:val="auto"/>
        </w:rPr>
        <w:t>retinal detachment</w:t>
      </w:r>
      <w:r w:rsidR="00F07FF3">
        <w:rPr>
          <w:color w:val="auto"/>
        </w:rPr>
        <w:t xml:space="preserve"> is rare and occurs slowly, so can be </w:t>
      </w:r>
      <w:r w:rsidR="00564077">
        <w:rPr>
          <w:color w:val="auto"/>
        </w:rPr>
        <w:t xml:space="preserve">picked up in screening of </w:t>
      </w:r>
      <w:r w:rsidR="00935F16" w:rsidRPr="00BA7A53">
        <w:rPr>
          <w:color w:val="auto"/>
        </w:rPr>
        <w:t>patients reporting</w:t>
      </w:r>
      <w:r w:rsidR="004F2D50" w:rsidRPr="004F2D50">
        <w:rPr>
          <w:color w:val="auto"/>
        </w:rPr>
        <w:t xml:space="preserve"> </w:t>
      </w:r>
      <w:r w:rsidR="00E12865" w:rsidRPr="00BA7A53">
        <w:rPr>
          <w:color w:val="auto"/>
        </w:rPr>
        <w:t>symptoms (e</w:t>
      </w:r>
      <w:r w:rsidR="007C3707">
        <w:rPr>
          <w:color w:val="auto"/>
        </w:rPr>
        <w:t>.</w:t>
      </w:r>
      <w:r w:rsidR="00E12865" w:rsidRPr="00BA7A53">
        <w:rPr>
          <w:color w:val="auto"/>
        </w:rPr>
        <w:t>g</w:t>
      </w:r>
      <w:r w:rsidR="007C3707">
        <w:rPr>
          <w:color w:val="auto"/>
        </w:rPr>
        <w:t>.,</w:t>
      </w:r>
      <w:r w:rsidR="00E12865" w:rsidRPr="00BA7A53">
        <w:rPr>
          <w:color w:val="auto"/>
        </w:rPr>
        <w:t xml:space="preserve"> </w:t>
      </w:r>
      <w:r w:rsidR="004F2D50" w:rsidRPr="004F2D50">
        <w:rPr>
          <w:color w:val="auto"/>
        </w:rPr>
        <w:t>flashes</w:t>
      </w:r>
      <w:r w:rsidR="00935F16" w:rsidRPr="00BA7A53">
        <w:rPr>
          <w:color w:val="auto"/>
        </w:rPr>
        <w:t xml:space="preserve">, </w:t>
      </w:r>
      <w:r w:rsidR="004F2D50" w:rsidRPr="004F2D50">
        <w:rPr>
          <w:color w:val="auto"/>
        </w:rPr>
        <w:t>floaters</w:t>
      </w:r>
      <w:r w:rsidR="00935F16" w:rsidRPr="00BA7A53">
        <w:rPr>
          <w:color w:val="auto"/>
        </w:rPr>
        <w:t xml:space="preserve">, or </w:t>
      </w:r>
      <w:r w:rsidR="004F2D50" w:rsidRPr="004F2D50">
        <w:rPr>
          <w:color w:val="auto"/>
        </w:rPr>
        <w:t>decreased visio</w:t>
      </w:r>
      <w:r w:rsidR="00E12865" w:rsidRPr="00BA7A53">
        <w:rPr>
          <w:color w:val="auto"/>
        </w:rPr>
        <w:t xml:space="preserve">n). The </w:t>
      </w:r>
      <w:r w:rsidR="00A130B8">
        <w:rPr>
          <w:color w:val="auto"/>
        </w:rPr>
        <w:t xml:space="preserve">PBAC </w:t>
      </w:r>
      <w:r w:rsidR="00564077">
        <w:rPr>
          <w:color w:val="auto"/>
        </w:rPr>
        <w:t>also noted t</w:t>
      </w:r>
      <w:r w:rsidR="00AD51FD" w:rsidRPr="00BA7A53">
        <w:rPr>
          <w:color w:val="auto"/>
        </w:rPr>
        <w:t xml:space="preserve">he </w:t>
      </w:r>
      <w:r w:rsidR="00725B7D" w:rsidRPr="00BA7A53">
        <w:rPr>
          <w:color w:val="auto"/>
        </w:rPr>
        <w:t xml:space="preserve">known toxicity of FOLFOX treatment, </w:t>
      </w:r>
      <w:r w:rsidR="00C10A08" w:rsidRPr="00BA7A53">
        <w:rPr>
          <w:color w:val="auto"/>
        </w:rPr>
        <w:t xml:space="preserve">and </w:t>
      </w:r>
      <w:r w:rsidR="00AD51FD" w:rsidRPr="00BA7A53">
        <w:rPr>
          <w:color w:val="auto"/>
        </w:rPr>
        <w:t>issues associated with</w:t>
      </w:r>
      <w:r w:rsidR="001D3BED" w:rsidRPr="00BA7A53">
        <w:rPr>
          <w:color w:val="auto"/>
        </w:rPr>
        <w:t xml:space="preserve"> IV</w:t>
      </w:r>
      <w:r w:rsidR="0097735C" w:rsidRPr="00BA7A53">
        <w:rPr>
          <w:color w:val="auto"/>
        </w:rPr>
        <w:t xml:space="preserve"> administration</w:t>
      </w:r>
      <w:r w:rsidR="001D3BED" w:rsidRPr="00BA7A53">
        <w:rPr>
          <w:color w:val="auto"/>
        </w:rPr>
        <w:t xml:space="preserve">. </w:t>
      </w:r>
      <w:r w:rsidR="000E3B03" w:rsidRPr="00BA7A53">
        <w:rPr>
          <w:color w:val="auto"/>
        </w:rPr>
        <w:t xml:space="preserve">The PBAC considered the clinical claim of </w:t>
      </w:r>
      <w:r w:rsidR="00340E0C">
        <w:rPr>
          <w:color w:val="auto"/>
        </w:rPr>
        <w:t xml:space="preserve">superior </w:t>
      </w:r>
      <w:r w:rsidR="000E3B03" w:rsidRPr="00BA7A53">
        <w:rPr>
          <w:color w:val="auto"/>
        </w:rPr>
        <w:t xml:space="preserve">safety for </w:t>
      </w:r>
      <w:proofErr w:type="spellStart"/>
      <w:r w:rsidR="000E3B03" w:rsidRPr="00BA7A53">
        <w:rPr>
          <w:color w:val="auto"/>
        </w:rPr>
        <w:t>futibatinib</w:t>
      </w:r>
      <w:proofErr w:type="spellEnd"/>
      <w:r w:rsidR="000E3B03" w:rsidRPr="00BA7A53">
        <w:rPr>
          <w:color w:val="auto"/>
        </w:rPr>
        <w:t xml:space="preserve"> compared with FOLFOX</w:t>
      </w:r>
      <w:r w:rsidR="001427B3">
        <w:rPr>
          <w:color w:val="auto"/>
        </w:rPr>
        <w:t xml:space="preserve"> may be plausible</w:t>
      </w:r>
      <w:r w:rsidR="00F025C7">
        <w:rPr>
          <w:color w:val="auto"/>
        </w:rPr>
        <w:t xml:space="preserve"> although there was </w:t>
      </w:r>
      <w:r w:rsidR="00B46719">
        <w:rPr>
          <w:color w:val="auto"/>
        </w:rPr>
        <w:t>limited</w:t>
      </w:r>
      <w:r w:rsidR="00F025C7">
        <w:rPr>
          <w:color w:val="auto"/>
        </w:rPr>
        <w:t xml:space="preserve"> evidence to support this</w:t>
      </w:r>
      <w:r w:rsidR="000E3B03" w:rsidRPr="00BA7A53">
        <w:rPr>
          <w:color w:val="auto"/>
        </w:rPr>
        <w:t xml:space="preserve">. </w:t>
      </w:r>
      <w:r w:rsidR="00ED73CD" w:rsidRPr="00BA7A53">
        <w:rPr>
          <w:color w:val="auto"/>
        </w:rPr>
        <w:t xml:space="preserve">The PBAC considered that the claim of inferior comparative safety compared to ASC was reasonable. </w:t>
      </w:r>
    </w:p>
    <w:p w14:paraId="38CD43E0" w14:textId="6A58A83C" w:rsidR="00E02188" w:rsidRDefault="009A2FCC" w:rsidP="00E02188">
      <w:pPr>
        <w:pStyle w:val="ListParagraph"/>
      </w:pPr>
      <w:bookmarkStart w:id="102" w:name="_Ref195258069"/>
      <w:r w:rsidRPr="00470CB4">
        <w:rPr>
          <w:color w:val="auto"/>
        </w:rPr>
        <w:t xml:space="preserve">The submission presented an economic evaluation based on the results of the MAIC. The </w:t>
      </w:r>
      <w:r w:rsidR="00D6791F" w:rsidRPr="00470CB4">
        <w:rPr>
          <w:color w:val="auto"/>
        </w:rPr>
        <w:t xml:space="preserve">PBAC agreed with the </w:t>
      </w:r>
      <w:r w:rsidRPr="00470CB4">
        <w:rPr>
          <w:color w:val="auto"/>
        </w:rPr>
        <w:t xml:space="preserve">ESCs that </w:t>
      </w:r>
      <w:r w:rsidR="00D6791F" w:rsidRPr="00470CB4">
        <w:rPr>
          <w:color w:val="auto"/>
        </w:rPr>
        <w:t>as</w:t>
      </w:r>
      <w:r w:rsidRPr="00470CB4">
        <w:rPr>
          <w:color w:val="auto"/>
        </w:rPr>
        <w:t xml:space="preserve"> the underlying clinical benefit used to inform the economic evaluation was uncertain, the economic model presented was likely not reflective of the true cost effectiveness of </w:t>
      </w:r>
      <w:proofErr w:type="spellStart"/>
      <w:r w:rsidRPr="00470CB4">
        <w:rPr>
          <w:color w:val="auto"/>
        </w:rPr>
        <w:t>futibatinib</w:t>
      </w:r>
      <w:proofErr w:type="spellEnd"/>
      <w:r w:rsidRPr="00470CB4">
        <w:rPr>
          <w:color w:val="auto"/>
        </w:rPr>
        <w:t>.</w:t>
      </w:r>
      <w:r w:rsidR="00B72D7A" w:rsidRPr="00470CB4">
        <w:rPr>
          <w:color w:val="auto"/>
        </w:rPr>
        <w:t xml:space="preserve"> </w:t>
      </w:r>
      <w:r w:rsidR="00DB7875">
        <w:rPr>
          <w:color w:val="auto"/>
        </w:rPr>
        <w:t>The PBAC</w:t>
      </w:r>
      <w:r w:rsidR="00E04459">
        <w:rPr>
          <w:color w:val="auto"/>
        </w:rPr>
        <w:t xml:space="preserve"> noted</w:t>
      </w:r>
      <w:r w:rsidR="000F0F7D">
        <w:rPr>
          <w:color w:val="auto"/>
        </w:rPr>
        <w:t xml:space="preserve"> the </w:t>
      </w:r>
      <w:r w:rsidR="00A10143">
        <w:rPr>
          <w:color w:val="auto"/>
        </w:rPr>
        <w:t xml:space="preserve">economic model resulted in an </w:t>
      </w:r>
      <w:r w:rsidR="00E04459">
        <w:rPr>
          <w:color w:val="auto"/>
        </w:rPr>
        <w:t xml:space="preserve">undiscounted life year gain of 2.48 over the 10 year time horizon of the model and considered </w:t>
      </w:r>
      <w:r w:rsidR="00A10143">
        <w:rPr>
          <w:color w:val="auto"/>
        </w:rPr>
        <w:t xml:space="preserve">that was </w:t>
      </w:r>
      <w:r w:rsidR="00406CDB">
        <w:rPr>
          <w:color w:val="auto"/>
        </w:rPr>
        <w:t>implausibl</w:t>
      </w:r>
      <w:r w:rsidR="00E5292F">
        <w:rPr>
          <w:color w:val="auto"/>
        </w:rPr>
        <w:t xml:space="preserve">y </w:t>
      </w:r>
      <w:r w:rsidR="004A4A84">
        <w:rPr>
          <w:color w:val="auto"/>
        </w:rPr>
        <w:t>larg</w:t>
      </w:r>
      <w:r w:rsidR="00064FAA">
        <w:rPr>
          <w:color w:val="auto"/>
        </w:rPr>
        <w:t>e</w:t>
      </w:r>
      <w:r w:rsidR="00E04459">
        <w:rPr>
          <w:color w:val="auto"/>
        </w:rPr>
        <w:t>.</w:t>
      </w:r>
      <w:r w:rsidR="00406CDB">
        <w:rPr>
          <w:color w:val="auto"/>
        </w:rPr>
        <w:t xml:space="preserve"> </w:t>
      </w:r>
      <w:r w:rsidR="00CD70DB">
        <w:rPr>
          <w:color w:val="auto"/>
        </w:rPr>
        <w:t xml:space="preserve">The PBAC </w:t>
      </w:r>
      <w:r w:rsidR="006C2724">
        <w:rPr>
          <w:color w:val="auto"/>
        </w:rPr>
        <w:t xml:space="preserve">agreed with the ESC that </w:t>
      </w:r>
      <w:r w:rsidR="00CD70DB">
        <w:rPr>
          <w:color w:val="auto"/>
        </w:rPr>
        <w:t xml:space="preserve">the economic model should include a more conservative estimate of </w:t>
      </w:r>
      <w:r w:rsidR="000B6478">
        <w:rPr>
          <w:color w:val="auto"/>
        </w:rPr>
        <w:t xml:space="preserve">the </w:t>
      </w:r>
      <w:r w:rsidR="00CD70DB">
        <w:rPr>
          <w:color w:val="auto"/>
        </w:rPr>
        <w:t>modelled clinical benefit</w:t>
      </w:r>
      <w:r w:rsidR="00A510BE">
        <w:rPr>
          <w:color w:val="auto"/>
        </w:rPr>
        <w:t xml:space="preserve"> but </w:t>
      </w:r>
      <w:r w:rsidR="004A4F55">
        <w:rPr>
          <w:color w:val="auto"/>
        </w:rPr>
        <w:t xml:space="preserve">noted </w:t>
      </w:r>
      <w:r w:rsidR="00A510BE">
        <w:rPr>
          <w:color w:val="auto"/>
        </w:rPr>
        <w:t>the model did not include this operability</w:t>
      </w:r>
      <w:r w:rsidR="000B6478">
        <w:rPr>
          <w:color w:val="auto"/>
        </w:rPr>
        <w:t>.</w:t>
      </w:r>
      <w:r w:rsidR="0030797A" w:rsidRPr="0030797A">
        <w:t xml:space="preserve"> </w:t>
      </w:r>
      <w:r w:rsidR="0030797A" w:rsidRPr="0030797A">
        <w:rPr>
          <w:color w:val="auto"/>
        </w:rPr>
        <w:t xml:space="preserve">The PBAC </w:t>
      </w:r>
      <w:r w:rsidR="00F46531">
        <w:rPr>
          <w:color w:val="auto"/>
        </w:rPr>
        <w:t>noted</w:t>
      </w:r>
      <w:r w:rsidR="0030797A" w:rsidRPr="0030797A">
        <w:rPr>
          <w:color w:val="auto"/>
        </w:rPr>
        <w:t xml:space="preserve"> that the MAIC results from Paine 2022 or Borad 2022 were more </w:t>
      </w:r>
      <w:r w:rsidR="001826D0">
        <w:rPr>
          <w:color w:val="auto"/>
        </w:rPr>
        <w:t>conservative</w:t>
      </w:r>
      <w:r w:rsidR="0030797A" w:rsidRPr="0030797A">
        <w:rPr>
          <w:color w:val="auto"/>
        </w:rPr>
        <w:t xml:space="preserve">, and </w:t>
      </w:r>
      <w:r w:rsidR="001826D0">
        <w:rPr>
          <w:color w:val="auto"/>
        </w:rPr>
        <w:t xml:space="preserve">considered </w:t>
      </w:r>
      <w:r w:rsidR="0030797A" w:rsidRPr="0030797A">
        <w:rPr>
          <w:color w:val="auto"/>
        </w:rPr>
        <w:t>that the model should be aligned with that OS HR: 0.48-0.49 (vs 0.24).</w:t>
      </w:r>
      <w:bookmarkEnd w:id="102"/>
    </w:p>
    <w:p w14:paraId="42A6E189" w14:textId="3DB6B356" w:rsidR="002A25FD" w:rsidRPr="00FA3000" w:rsidRDefault="002A25FD" w:rsidP="00FA3000">
      <w:pPr>
        <w:pStyle w:val="ListParagraph"/>
        <w:rPr>
          <w:b/>
          <w:bCs/>
          <w:color w:val="auto"/>
        </w:rPr>
      </w:pPr>
      <w:bookmarkStart w:id="103" w:name="_Ref194454992"/>
      <w:r w:rsidRPr="00217EA0">
        <w:rPr>
          <w:color w:val="auto"/>
        </w:rPr>
        <w:t xml:space="preserve">The </w:t>
      </w:r>
      <w:r w:rsidR="00B777A2">
        <w:rPr>
          <w:color w:val="auto"/>
        </w:rPr>
        <w:t xml:space="preserve">PBAC noted the economic model </w:t>
      </w:r>
      <w:r w:rsidRPr="00217EA0">
        <w:rPr>
          <w:color w:val="auto"/>
        </w:rPr>
        <w:t>assumed a time horizon of 10 years</w:t>
      </w:r>
      <w:r w:rsidR="00B777A2">
        <w:rPr>
          <w:color w:val="auto"/>
        </w:rPr>
        <w:t xml:space="preserve"> with no convergence of OS </w:t>
      </w:r>
      <w:r w:rsidR="009F7734">
        <w:rPr>
          <w:color w:val="auto"/>
        </w:rPr>
        <w:t>modelled</w:t>
      </w:r>
      <w:r w:rsidR="004957B4">
        <w:rPr>
          <w:color w:val="auto"/>
        </w:rPr>
        <w:t xml:space="preserve">. </w:t>
      </w:r>
      <w:r w:rsidR="00411247">
        <w:t>T</w:t>
      </w:r>
      <w:r w:rsidR="00B129D7">
        <w:t>he PBAC agreed with t</w:t>
      </w:r>
      <w:r w:rsidRPr="00FA3000">
        <w:rPr>
          <w:color w:val="auto"/>
        </w:rPr>
        <w:t>he evaluation that</w:t>
      </w:r>
      <w:r w:rsidR="005C4F43" w:rsidRPr="005C4F43">
        <w:t xml:space="preserve"> </w:t>
      </w:r>
      <w:r w:rsidR="005C4F43" w:rsidRPr="00217EA0">
        <w:t>a 10-year time horizon i</w:t>
      </w:r>
      <w:r w:rsidR="005C4F43">
        <w:t>ncrease</w:t>
      </w:r>
      <w:r w:rsidR="00FD3495">
        <w:t>d</w:t>
      </w:r>
      <w:r w:rsidR="005C4F43">
        <w:t xml:space="preserve"> the </w:t>
      </w:r>
      <w:r w:rsidR="005C4F43" w:rsidRPr="0000746A">
        <w:t>uncertain</w:t>
      </w:r>
      <w:r w:rsidR="005C4F43">
        <w:t>ty in the model results</w:t>
      </w:r>
      <w:r w:rsidRPr="00FA3000">
        <w:rPr>
          <w:color w:val="auto"/>
        </w:rPr>
        <w:t xml:space="preserve"> g</w:t>
      </w:r>
      <w:r w:rsidRPr="00217EA0">
        <w:t xml:space="preserve">iven the limited duration of follow-up of the two studies and the general uncertainty regarding the </w:t>
      </w:r>
      <w:r w:rsidR="00C6523A">
        <w:t>incremental survival</w:t>
      </w:r>
      <w:r w:rsidR="004A28E3" w:rsidRPr="0000746A">
        <w:t>. The PBAC</w:t>
      </w:r>
      <w:r w:rsidR="00EF7C84" w:rsidRPr="0000746A">
        <w:t xml:space="preserve"> considered that a 5-year time horizon, in line with </w:t>
      </w:r>
      <w:r w:rsidR="004A28E3" w:rsidRPr="0000746A">
        <w:t xml:space="preserve">the PBAC’s consideration of </w:t>
      </w:r>
      <w:proofErr w:type="spellStart"/>
      <w:r w:rsidR="00FA3000" w:rsidRPr="0000746A">
        <w:t>ivosidenib</w:t>
      </w:r>
      <w:proofErr w:type="spellEnd"/>
      <w:r w:rsidR="00FA3000" w:rsidRPr="0000746A">
        <w:t xml:space="preserve"> for</w:t>
      </w:r>
      <w:r w:rsidR="00E859FB" w:rsidRPr="0000746A">
        <w:rPr>
          <w:i/>
          <w:iCs/>
        </w:rPr>
        <w:t xml:space="preserve"> IDH1</w:t>
      </w:r>
      <w:r w:rsidR="00FA3000" w:rsidRPr="0000746A">
        <w:t xml:space="preserve"> positive CCA</w:t>
      </w:r>
      <w:r w:rsidR="004A28E3" w:rsidRPr="0000746A">
        <w:t xml:space="preserve"> </w:t>
      </w:r>
      <w:r w:rsidR="00FA3000" w:rsidRPr="0000746A">
        <w:t xml:space="preserve">(paragraph 7.11, </w:t>
      </w:r>
      <w:proofErr w:type="spellStart"/>
      <w:r w:rsidR="00FA3000" w:rsidRPr="0000746A">
        <w:t>ivosidenib</w:t>
      </w:r>
      <w:proofErr w:type="spellEnd"/>
      <w:r w:rsidR="00FA3000" w:rsidRPr="0000746A">
        <w:t xml:space="preserve"> PSD, July 2024 PBAC meeting)</w:t>
      </w:r>
      <w:r w:rsidR="00143255" w:rsidRPr="0000746A">
        <w:t>,</w:t>
      </w:r>
      <w:r w:rsidR="00FA3000" w:rsidRPr="0000746A">
        <w:t xml:space="preserve"> </w:t>
      </w:r>
      <w:r w:rsidR="00EF7C84" w:rsidRPr="0000746A">
        <w:t xml:space="preserve">would </w:t>
      </w:r>
      <w:r w:rsidR="001D08B4">
        <w:t xml:space="preserve">result in a more reliable estimate of the </w:t>
      </w:r>
      <w:r w:rsidR="00136403">
        <w:t>benefits</w:t>
      </w:r>
      <w:r w:rsidRPr="0000746A">
        <w:t>.</w:t>
      </w:r>
      <w:bookmarkEnd w:id="103"/>
      <w:r w:rsidRPr="00217EA0">
        <w:t xml:space="preserve"> </w:t>
      </w:r>
    </w:p>
    <w:p w14:paraId="3A99AAE7" w14:textId="55A8B61D" w:rsidR="009D451A" w:rsidRDefault="002A25FD" w:rsidP="003F054D">
      <w:pPr>
        <w:pStyle w:val="ListParagraph"/>
        <w:rPr>
          <w:color w:val="auto"/>
        </w:rPr>
      </w:pPr>
      <w:bookmarkStart w:id="104" w:name="_Ref194454996"/>
      <w:bookmarkStart w:id="105" w:name="_Ref195258071"/>
      <w:r w:rsidRPr="00217EA0">
        <w:rPr>
          <w:color w:val="auto"/>
        </w:rPr>
        <w:t>The submission estimated treatment</w:t>
      </w:r>
      <w:r w:rsidR="005021F0">
        <w:rPr>
          <w:color w:val="auto"/>
        </w:rPr>
        <w:t>-</w:t>
      </w:r>
      <w:r w:rsidRPr="00217EA0">
        <w:rPr>
          <w:color w:val="auto"/>
        </w:rPr>
        <w:t>specific health state utilities</w:t>
      </w:r>
      <w:r w:rsidR="003F3370">
        <w:rPr>
          <w:color w:val="auto"/>
        </w:rPr>
        <w:t xml:space="preserve">, with </w:t>
      </w:r>
      <w:r w:rsidRPr="00217EA0">
        <w:rPr>
          <w:color w:val="auto"/>
        </w:rPr>
        <w:t>differen</w:t>
      </w:r>
      <w:r w:rsidR="00A90DFA">
        <w:rPr>
          <w:color w:val="auto"/>
        </w:rPr>
        <w:t>t</w:t>
      </w:r>
      <w:r w:rsidRPr="00217EA0">
        <w:rPr>
          <w:color w:val="auto"/>
        </w:rPr>
        <w:t xml:space="preserve"> </w:t>
      </w:r>
      <w:r w:rsidR="001672F6">
        <w:rPr>
          <w:color w:val="auto"/>
        </w:rPr>
        <w:t>progression free (</w:t>
      </w:r>
      <w:r w:rsidRPr="00217EA0">
        <w:rPr>
          <w:color w:val="auto"/>
        </w:rPr>
        <w:t>PF</w:t>
      </w:r>
      <w:r w:rsidR="001672F6">
        <w:rPr>
          <w:color w:val="auto"/>
        </w:rPr>
        <w:t>)</w:t>
      </w:r>
      <w:r w:rsidRPr="00217EA0">
        <w:rPr>
          <w:color w:val="auto"/>
        </w:rPr>
        <w:t xml:space="preserve"> </w:t>
      </w:r>
      <w:r w:rsidR="00D27709">
        <w:rPr>
          <w:color w:val="auto"/>
        </w:rPr>
        <w:t xml:space="preserve">and </w:t>
      </w:r>
      <w:r w:rsidR="001672F6">
        <w:rPr>
          <w:color w:val="auto"/>
        </w:rPr>
        <w:t>progressive disease (</w:t>
      </w:r>
      <w:r w:rsidR="00D27709">
        <w:rPr>
          <w:color w:val="auto"/>
        </w:rPr>
        <w:t>PD</w:t>
      </w:r>
      <w:r w:rsidR="001672F6">
        <w:rPr>
          <w:color w:val="auto"/>
        </w:rPr>
        <w:t>)</w:t>
      </w:r>
      <w:r w:rsidR="00D27709">
        <w:rPr>
          <w:color w:val="auto"/>
        </w:rPr>
        <w:t xml:space="preserve"> </w:t>
      </w:r>
      <w:r w:rsidRPr="00217EA0">
        <w:rPr>
          <w:color w:val="auto"/>
        </w:rPr>
        <w:t xml:space="preserve">health state utilities based on the assumption of greater toxicity associated with FOLFOX. </w:t>
      </w:r>
      <w:r w:rsidR="00A90DFA">
        <w:rPr>
          <w:color w:val="auto"/>
        </w:rPr>
        <w:t xml:space="preserve">However, the PBAC agreed with the </w:t>
      </w:r>
      <w:r w:rsidRPr="00217EA0">
        <w:rPr>
          <w:color w:val="auto"/>
        </w:rPr>
        <w:t xml:space="preserve">evaluation </w:t>
      </w:r>
      <w:r w:rsidR="00EB2556">
        <w:rPr>
          <w:color w:val="auto"/>
        </w:rPr>
        <w:t>and the ESC</w:t>
      </w:r>
      <w:r w:rsidR="00F9464E">
        <w:rPr>
          <w:color w:val="auto"/>
        </w:rPr>
        <w:t>s</w:t>
      </w:r>
      <w:r w:rsidR="00EB2556">
        <w:rPr>
          <w:color w:val="auto"/>
        </w:rPr>
        <w:t xml:space="preserve"> that </w:t>
      </w:r>
      <w:r w:rsidRPr="00217EA0">
        <w:rPr>
          <w:color w:val="auto"/>
        </w:rPr>
        <w:t xml:space="preserve">that </w:t>
      </w:r>
      <w:r w:rsidR="00F47DE2" w:rsidRPr="00217EA0">
        <w:rPr>
          <w:color w:val="auto"/>
        </w:rPr>
        <w:t>differen</w:t>
      </w:r>
      <w:r w:rsidR="009876BC">
        <w:rPr>
          <w:color w:val="auto"/>
        </w:rPr>
        <w:t xml:space="preserve">ce between treatment arms </w:t>
      </w:r>
      <w:r w:rsidR="00F47DE2" w:rsidRPr="00217EA0">
        <w:rPr>
          <w:color w:val="auto"/>
        </w:rPr>
        <w:t xml:space="preserve">in post-progression utilities </w:t>
      </w:r>
      <w:r w:rsidR="003F054D">
        <w:rPr>
          <w:color w:val="auto"/>
        </w:rPr>
        <w:t xml:space="preserve">was not supported </w:t>
      </w:r>
      <w:r w:rsidR="00F47DE2" w:rsidRPr="00217EA0">
        <w:rPr>
          <w:color w:val="auto"/>
        </w:rPr>
        <w:t xml:space="preserve">given both </w:t>
      </w:r>
      <w:proofErr w:type="spellStart"/>
      <w:r w:rsidR="00F47DE2" w:rsidRPr="00217EA0">
        <w:rPr>
          <w:color w:val="auto"/>
        </w:rPr>
        <w:t>futibatinib</w:t>
      </w:r>
      <w:proofErr w:type="spellEnd"/>
      <w:r w:rsidR="00F47DE2" w:rsidRPr="00217EA0">
        <w:rPr>
          <w:color w:val="auto"/>
        </w:rPr>
        <w:t xml:space="preserve"> and FOLFOX would have been ceased</w:t>
      </w:r>
      <w:r w:rsidR="003F054D">
        <w:rPr>
          <w:color w:val="auto"/>
        </w:rPr>
        <w:t xml:space="preserve">, and </w:t>
      </w:r>
      <w:r w:rsidR="00F442E7">
        <w:rPr>
          <w:color w:val="auto"/>
        </w:rPr>
        <w:t xml:space="preserve">this </w:t>
      </w:r>
      <w:r w:rsidRPr="00217EA0">
        <w:rPr>
          <w:color w:val="auto"/>
        </w:rPr>
        <w:t xml:space="preserve">biased the results in favour of </w:t>
      </w:r>
      <w:proofErr w:type="spellStart"/>
      <w:r w:rsidRPr="00217EA0">
        <w:rPr>
          <w:color w:val="auto"/>
        </w:rPr>
        <w:t>futibatinib</w:t>
      </w:r>
      <w:proofErr w:type="spellEnd"/>
      <w:r w:rsidR="009D451A" w:rsidRPr="00217EA0">
        <w:rPr>
          <w:color w:val="auto"/>
        </w:rPr>
        <w:t>.</w:t>
      </w:r>
      <w:bookmarkEnd w:id="104"/>
      <w:r w:rsidR="00401EDD">
        <w:rPr>
          <w:color w:val="auto"/>
        </w:rPr>
        <w:t xml:space="preserve"> </w:t>
      </w:r>
      <w:r w:rsidR="00F64087">
        <w:rPr>
          <w:color w:val="auto"/>
        </w:rPr>
        <w:t>The P</w:t>
      </w:r>
      <w:r w:rsidR="007A2327">
        <w:rPr>
          <w:color w:val="auto"/>
        </w:rPr>
        <w:t>BA</w:t>
      </w:r>
      <w:r w:rsidR="00F64087">
        <w:rPr>
          <w:color w:val="auto"/>
        </w:rPr>
        <w:t xml:space="preserve">C considered it would be more appropriate to apply the same </w:t>
      </w:r>
      <w:r w:rsidR="007A2327">
        <w:rPr>
          <w:color w:val="auto"/>
        </w:rPr>
        <w:t>utilities to the PF and PD health states</w:t>
      </w:r>
      <w:r w:rsidR="00103D7B">
        <w:rPr>
          <w:color w:val="auto"/>
        </w:rPr>
        <w:t xml:space="preserve"> </w:t>
      </w:r>
      <w:r w:rsidR="00816BE7">
        <w:rPr>
          <w:color w:val="auto"/>
        </w:rPr>
        <w:t>in each treatment arm</w:t>
      </w:r>
      <w:r w:rsidR="007A2327">
        <w:rPr>
          <w:color w:val="auto"/>
        </w:rPr>
        <w:t>.</w:t>
      </w:r>
      <w:bookmarkEnd w:id="105"/>
      <w:r w:rsidR="007A2327">
        <w:rPr>
          <w:color w:val="auto"/>
        </w:rPr>
        <w:t xml:space="preserve">  </w:t>
      </w:r>
    </w:p>
    <w:p w14:paraId="32972CC0" w14:textId="26A8A9A4" w:rsidR="009C0A3F" w:rsidRPr="00841413" w:rsidRDefault="009C0A3F" w:rsidP="009C0A3F">
      <w:pPr>
        <w:pStyle w:val="ListParagraph"/>
      </w:pPr>
      <w:r>
        <w:rPr>
          <w:color w:val="auto"/>
        </w:rPr>
        <w:t xml:space="preserve">The PBAC noted a number of other issues with the model, including use of PFS curves instead of </w:t>
      </w:r>
      <w:r w:rsidR="00297129">
        <w:rPr>
          <w:color w:val="auto"/>
        </w:rPr>
        <w:t xml:space="preserve">time to treatment discontinuation </w:t>
      </w:r>
      <w:r>
        <w:rPr>
          <w:color w:val="auto"/>
        </w:rPr>
        <w:t xml:space="preserve">to estimate treatment duration (see paragraph </w:t>
      </w:r>
      <w:r>
        <w:rPr>
          <w:color w:val="auto"/>
        </w:rPr>
        <w:fldChar w:fldCharType="begin"/>
      </w:r>
      <w:r>
        <w:rPr>
          <w:color w:val="auto"/>
        </w:rPr>
        <w:instrText xml:space="preserve"> REF _Ref195255821 \r \h </w:instrText>
      </w:r>
      <w:r>
        <w:rPr>
          <w:color w:val="auto"/>
        </w:rPr>
      </w:r>
      <w:r>
        <w:rPr>
          <w:color w:val="auto"/>
        </w:rPr>
        <w:fldChar w:fldCharType="separate"/>
      </w:r>
      <w:r w:rsidR="008378C4">
        <w:rPr>
          <w:color w:val="auto"/>
        </w:rPr>
        <w:t>6.78</w:t>
      </w:r>
      <w:r>
        <w:rPr>
          <w:color w:val="auto"/>
        </w:rPr>
        <w:fldChar w:fldCharType="end"/>
      </w:r>
      <w:r>
        <w:rPr>
          <w:color w:val="auto"/>
        </w:rPr>
        <w:t xml:space="preserve">), inclusion of terminal care costs (see paragraph </w:t>
      </w:r>
      <w:r>
        <w:rPr>
          <w:color w:val="auto"/>
        </w:rPr>
        <w:fldChar w:fldCharType="begin"/>
      </w:r>
      <w:r>
        <w:rPr>
          <w:color w:val="auto"/>
        </w:rPr>
        <w:instrText xml:space="preserve"> REF _Ref195255916 \r \h </w:instrText>
      </w:r>
      <w:r>
        <w:rPr>
          <w:color w:val="auto"/>
        </w:rPr>
      </w:r>
      <w:r>
        <w:rPr>
          <w:color w:val="auto"/>
        </w:rPr>
        <w:fldChar w:fldCharType="separate"/>
      </w:r>
      <w:r w:rsidR="008378C4">
        <w:rPr>
          <w:color w:val="auto"/>
        </w:rPr>
        <w:t>6.89</w:t>
      </w:r>
      <w:r>
        <w:rPr>
          <w:color w:val="auto"/>
        </w:rPr>
        <w:fldChar w:fldCharType="end"/>
      </w:r>
      <w:r>
        <w:rPr>
          <w:color w:val="auto"/>
        </w:rPr>
        <w:t>) and uncertainties regarding the extrapolation functions applied (see paragraph</w:t>
      </w:r>
      <w:r w:rsidR="0011162F">
        <w:rPr>
          <w:color w:val="auto"/>
        </w:rPr>
        <w:t xml:space="preserve"> </w:t>
      </w:r>
      <w:r w:rsidR="007E074D">
        <w:rPr>
          <w:color w:val="auto"/>
        </w:rPr>
        <w:fldChar w:fldCharType="begin"/>
      </w:r>
      <w:r w:rsidR="007E074D">
        <w:rPr>
          <w:color w:val="auto"/>
        </w:rPr>
        <w:instrText xml:space="preserve"> REF _Ref195256524 \r \h </w:instrText>
      </w:r>
      <w:r w:rsidR="007E074D">
        <w:rPr>
          <w:color w:val="auto"/>
        </w:rPr>
      </w:r>
      <w:r w:rsidR="007E074D">
        <w:rPr>
          <w:color w:val="auto"/>
        </w:rPr>
        <w:fldChar w:fldCharType="separate"/>
      </w:r>
      <w:r w:rsidR="008378C4">
        <w:rPr>
          <w:color w:val="auto"/>
        </w:rPr>
        <w:t>6.101</w:t>
      </w:r>
      <w:r w:rsidR="007E074D">
        <w:rPr>
          <w:color w:val="auto"/>
        </w:rPr>
        <w:fldChar w:fldCharType="end"/>
      </w:r>
      <w:r>
        <w:rPr>
          <w:color w:val="auto"/>
        </w:rPr>
        <w:t xml:space="preserve">). </w:t>
      </w:r>
      <w:r w:rsidR="00297129">
        <w:rPr>
          <w:color w:val="auto"/>
        </w:rPr>
        <w:t xml:space="preserve">However, the </w:t>
      </w:r>
      <w:r w:rsidR="003F6B0A">
        <w:rPr>
          <w:color w:val="auto"/>
        </w:rPr>
        <w:t xml:space="preserve">PBAC noted the </w:t>
      </w:r>
      <w:r w:rsidR="00297129">
        <w:rPr>
          <w:color w:val="auto"/>
        </w:rPr>
        <w:t xml:space="preserve">main limitation of the model remained the implausible clinical benefit </w:t>
      </w:r>
      <w:proofErr w:type="gramStart"/>
      <w:r w:rsidR="00297129">
        <w:rPr>
          <w:color w:val="auto"/>
        </w:rPr>
        <w:t>modelled</w:t>
      </w:r>
      <w:proofErr w:type="gramEnd"/>
      <w:r w:rsidR="00297129">
        <w:rPr>
          <w:color w:val="auto"/>
        </w:rPr>
        <w:t xml:space="preserve"> and it was difficult to interpret the sensitivity </w:t>
      </w:r>
      <w:r w:rsidR="003F6B0A">
        <w:rPr>
          <w:color w:val="auto"/>
        </w:rPr>
        <w:t xml:space="preserve">analyses related to these issues.  </w:t>
      </w:r>
    </w:p>
    <w:p w14:paraId="121CC64D" w14:textId="77525B60" w:rsidR="008540FA" w:rsidRDefault="001A3A3C">
      <w:pPr>
        <w:pStyle w:val="ListParagraph"/>
        <w:rPr>
          <w:color w:val="auto"/>
        </w:rPr>
      </w:pPr>
      <w:bookmarkStart w:id="106" w:name="_Ref194456681"/>
      <w:r w:rsidRPr="0038635F">
        <w:rPr>
          <w:color w:val="auto"/>
        </w:rPr>
        <w:t>The submission took an epidemiological approach to derive the financial estimates.</w:t>
      </w:r>
      <w:r w:rsidR="004A23AE" w:rsidRPr="0038635F">
        <w:rPr>
          <w:color w:val="auto"/>
        </w:rPr>
        <w:t xml:space="preserve"> </w:t>
      </w:r>
      <w:r w:rsidR="006557FA" w:rsidRPr="0038635F">
        <w:rPr>
          <w:color w:val="auto"/>
        </w:rPr>
        <w:t xml:space="preserve">The PBAC agreed with the DUSC that </w:t>
      </w:r>
      <w:r w:rsidR="000E219D">
        <w:rPr>
          <w:color w:val="auto"/>
        </w:rPr>
        <w:t xml:space="preserve">a number of inputs needed to be revised as outlined in paragraph </w:t>
      </w:r>
      <w:r w:rsidR="000E219D">
        <w:rPr>
          <w:color w:val="auto"/>
        </w:rPr>
        <w:fldChar w:fldCharType="begin"/>
      </w:r>
      <w:r w:rsidR="000E219D">
        <w:rPr>
          <w:color w:val="auto"/>
        </w:rPr>
        <w:instrText xml:space="preserve"> REF _Ref195184247 \r \h </w:instrText>
      </w:r>
      <w:r w:rsidR="000E219D">
        <w:rPr>
          <w:color w:val="auto"/>
        </w:rPr>
      </w:r>
      <w:r w:rsidR="000E219D">
        <w:rPr>
          <w:color w:val="auto"/>
        </w:rPr>
        <w:fldChar w:fldCharType="separate"/>
      </w:r>
      <w:r w:rsidR="008378C4">
        <w:rPr>
          <w:color w:val="auto"/>
        </w:rPr>
        <w:t>6.119</w:t>
      </w:r>
      <w:r w:rsidR="000E219D">
        <w:rPr>
          <w:color w:val="auto"/>
        </w:rPr>
        <w:fldChar w:fldCharType="end"/>
      </w:r>
      <w:r w:rsidR="000E219D">
        <w:rPr>
          <w:color w:val="auto"/>
        </w:rPr>
        <w:t xml:space="preserve">. </w:t>
      </w:r>
      <w:r w:rsidR="009A41B9">
        <w:rPr>
          <w:color w:val="auto"/>
        </w:rPr>
        <w:t xml:space="preserve">Additionally, </w:t>
      </w:r>
      <w:r w:rsidR="009A41B9">
        <w:t>t</w:t>
      </w:r>
      <w:r w:rsidR="00E94DEB">
        <w:t xml:space="preserve">he PBAC considered </w:t>
      </w:r>
      <w:r w:rsidR="009A41B9">
        <w:t xml:space="preserve">the </w:t>
      </w:r>
      <w:r w:rsidR="008D767B">
        <w:t xml:space="preserve">prevalence of </w:t>
      </w:r>
      <w:r w:rsidR="003E5C46" w:rsidRPr="003E5C46">
        <w:rPr>
          <w:i/>
          <w:iCs/>
        </w:rPr>
        <w:t>FGFR2</w:t>
      </w:r>
      <w:r w:rsidR="00E94DEB" w:rsidRPr="00E94DEB">
        <w:t xml:space="preserve"> </w:t>
      </w:r>
      <w:r w:rsidR="008540FA">
        <w:t>fusion</w:t>
      </w:r>
      <w:r w:rsidR="00224C14">
        <w:t xml:space="preserve"> or </w:t>
      </w:r>
      <w:r w:rsidR="008540FA">
        <w:t>rearrangement</w:t>
      </w:r>
      <w:r w:rsidR="008D767B">
        <w:t>s</w:t>
      </w:r>
      <w:r w:rsidR="008540FA">
        <w:t xml:space="preserve"> </w:t>
      </w:r>
      <w:r w:rsidR="009A41B9">
        <w:rPr>
          <w:color w:val="auto"/>
        </w:rPr>
        <w:t xml:space="preserve">was likely overestimated and should be revised to account </w:t>
      </w:r>
      <w:r w:rsidR="00C85D3F">
        <w:rPr>
          <w:color w:val="auto"/>
        </w:rPr>
        <w:t xml:space="preserve">for the low prevalence </w:t>
      </w:r>
      <w:r w:rsidR="000F7434">
        <w:rPr>
          <w:color w:val="auto"/>
        </w:rPr>
        <w:t>(</w:t>
      </w:r>
      <w:r w:rsidR="00A62D1F">
        <w:rPr>
          <w:rFonts w:cstheme="minorHAnsi"/>
          <w:color w:val="auto"/>
        </w:rPr>
        <w:t>≤</w:t>
      </w:r>
      <w:r w:rsidR="000F7434">
        <w:rPr>
          <w:color w:val="auto"/>
        </w:rPr>
        <w:t xml:space="preserve">1%) </w:t>
      </w:r>
      <w:r w:rsidR="00C85D3F">
        <w:rPr>
          <w:color w:val="auto"/>
        </w:rPr>
        <w:t xml:space="preserve">in </w:t>
      </w:r>
      <w:proofErr w:type="spellStart"/>
      <w:r w:rsidR="00C85D3F">
        <w:rPr>
          <w:color w:val="auto"/>
        </w:rPr>
        <w:t>eCCA</w:t>
      </w:r>
      <w:proofErr w:type="spellEnd"/>
      <w:r w:rsidR="00C85D3F">
        <w:rPr>
          <w:color w:val="auto"/>
        </w:rPr>
        <w:t xml:space="preserve"> patients. </w:t>
      </w:r>
    </w:p>
    <w:bookmarkEnd w:id="106"/>
    <w:p w14:paraId="0BD6BE3C" w14:textId="5A60AAD0" w:rsidR="002B448D" w:rsidRPr="001E03C5" w:rsidRDefault="002B448D" w:rsidP="001E03C5">
      <w:pPr>
        <w:pStyle w:val="ListParagraph"/>
        <w:rPr>
          <w:color w:val="auto"/>
        </w:rPr>
      </w:pPr>
      <w:r w:rsidRPr="001E03C5">
        <w:rPr>
          <w:color w:val="auto"/>
        </w:rPr>
        <w:t xml:space="preserve">The PBAC considered the outstanding issues could be easily resolved in a simple resubmission for </w:t>
      </w:r>
      <w:proofErr w:type="spellStart"/>
      <w:r w:rsidR="00113511" w:rsidRPr="001E03C5">
        <w:rPr>
          <w:color w:val="auto"/>
        </w:rPr>
        <w:t>futibatinib</w:t>
      </w:r>
      <w:proofErr w:type="spellEnd"/>
      <w:r w:rsidRPr="001E03C5">
        <w:rPr>
          <w:color w:val="auto"/>
        </w:rPr>
        <w:t xml:space="preserve"> using the early re-entry pathway</w:t>
      </w:r>
      <w:r w:rsidR="002713EB" w:rsidRPr="001E03C5">
        <w:rPr>
          <w:color w:val="auto"/>
        </w:rPr>
        <w:t>.</w:t>
      </w:r>
      <w:r w:rsidRPr="001E03C5">
        <w:rPr>
          <w:color w:val="auto"/>
        </w:rPr>
        <w:t xml:space="preserve"> If the sponsor accepts this pathway, the following changes may address these outstanding issues without requiring further re-evaluation. </w:t>
      </w:r>
    </w:p>
    <w:p w14:paraId="61700B3B" w14:textId="26C6EFA0" w:rsidR="00496E83" w:rsidRPr="00BD4569" w:rsidRDefault="00496E83" w:rsidP="00BD4569">
      <w:pPr>
        <w:pStyle w:val="PBACESParagraphBulletPoint"/>
      </w:pPr>
      <w:r w:rsidRPr="00BD4569">
        <w:t>Revision of the economic model</w:t>
      </w:r>
      <w:r w:rsidR="00933C89">
        <w:t xml:space="preserve"> as outlined</w:t>
      </w:r>
      <w:r w:rsidR="009A0396">
        <w:t xml:space="preserve"> </w:t>
      </w:r>
      <w:r w:rsidR="00933C89">
        <w:t>in paragraph</w:t>
      </w:r>
      <w:r w:rsidR="007B084A">
        <w:t>s</w:t>
      </w:r>
      <w:r w:rsidR="00933C89">
        <w:t xml:space="preserve"> </w:t>
      </w:r>
      <w:r w:rsidR="007B084A">
        <w:fldChar w:fldCharType="begin"/>
      </w:r>
      <w:r w:rsidR="007B084A">
        <w:instrText xml:space="preserve"> REF _Ref195258069 \r \h </w:instrText>
      </w:r>
      <w:r w:rsidR="007B084A">
        <w:fldChar w:fldCharType="separate"/>
      </w:r>
      <w:r w:rsidR="008378C4">
        <w:t>7.12</w:t>
      </w:r>
      <w:r w:rsidR="007B084A">
        <w:fldChar w:fldCharType="end"/>
      </w:r>
      <w:r w:rsidR="007B084A">
        <w:t xml:space="preserve"> to </w:t>
      </w:r>
      <w:r w:rsidR="007B084A">
        <w:fldChar w:fldCharType="begin"/>
      </w:r>
      <w:r w:rsidR="007B084A">
        <w:instrText xml:space="preserve"> REF _Ref195258071 \r \h </w:instrText>
      </w:r>
      <w:r w:rsidR="007B084A">
        <w:fldChar w:fldCharType="separate"/>
      </w:r>
      <w:r w:rsidR="008378C4">
        <w:t>7.14</w:t>
      </w:r>
      <w:r w:rsidR="007B084A">
        <w:fldChar w:fldCharType="end"/>
      </w:r>
      <w:r w:rsidRPr="00BD4569">
        <w:t>.</w:t>
      </w:r>
    </w:p>
    <w:p w14:paraId="226BC3AE" w14:textId="0954CC27" w:rsidR="00496E83" w:rsidRPr="00BD4569" w:rsidRDefault="00496E83" w:rsidP="00BD4569">
      <w:pPr>
        <w:pStyle w:val="PBACESParagraphBulletPoint"/>
      </w:pPr>
      <w:r w:rsidRPr="00BD4569">
        <w:t xml:space="preserve">Reduced price to give an ICER </w:t>
      </w:r>
      <w:r w:rsidR="006B6EB9">
        <w:t>less than</w:t>
      </w:r>
      <w:r w:rsidR="008F4FFE" w:rsidRPr="00576EE4">
        <w:t xml:space="preserve"> </w:t>
      </w:r>
      <w:r w:rsidR="001639B2" w:rsidRPr="001639B2">
        <w:t xml:space="preserve">$55,000 to &lt; $75,000 </w:t>
      </w:r>
      <w:r w:rsidR="00E14653">
        <w:t xml:space="preserve">per </w:t>
      </w:r>
      <w:r w:rsidRPr="00BD4569">
        <w:t xml:space="preserve">QALY </w:t>
      </w:r>
      <w:r w:rsidR="00E14653">
        <w:t xml:space="preserve">gained </w:t>
      </w:r>
      <w:r w:rsidR="00140988">
        <w:t xml:space="preserve">(consistent with other treatments for CCA) </w:t>
      </w:r>
      <w:r w:rsidRPr="00BD4569">
        <w:t>using the revised model.</w:t>
      </w:r>
    </w:p>
    <w:p w14:paraId="1B3EBD9C" w14:textId="0D9AE529" w:rsidR="00496E83" w:rsidRPr="00BD4569" w:rsidRDefault="00496E83" w:rsidP="00BD4569">
      <w:pPr>
        <w:pStyle w:val="PBACESParagraphBulletPoint"/>
      </w:pPr>
      <w:r w:rsidRPr="00BD4569">
        <w:t>Revision of the financial estimates</w:t>
      </w:r>
      <w:r w:rsidR="00CD50FD">
        <w:t>,</w:t>
      </w:r>
      <w:r w:rsidRPr="00BD4569">
        <w:t xml:space="preserve"> as </w:t>
      </w:r>
      <w:r w:rsidR="00CD50FD">
        <w:t>outlined in</w:t>
      </w:r>
      <w:r w:rsidR="00CD50FD" w:rsidRPr="00BD4569">
        <w:t xml:space="preserve"> </w:t>
      </w:r>
      <w:r w:rsidRPr="00BD4569">
        <w:t xml:space="preserve">paragraph </w:t>
      </w:r>
      <w:r w:rsidR="003F7A39">
        <w:fldChar w:fldCharType="begin"/>
      </w:r>
      <w:r w:rsidR="003F7A39">
        <w:instrText xml:space="preserve"> REF _Ref194456681 \r \h </w:instrText>
      </w:r>
      <w:r w:rsidR="003F7A39">
        <w:fldChar w:fldCharType="separate"/>
      </w:r>
      <w:r w:rsidR="008378C4">
        <w:t>7.16</w:t>
      </w:r>
      <w:r w:rsidR="003F7A39">
        <w:fldChar w:fldCharType="end"/>
      </w:r>
      <w:r w:rsidRPr="00BD4569">
        <w:t>.</w:t>
      </w:r>
    </w:p>
    <w:p w14:paraId="41A70F89" w14:textId="7567D691" w:rsidR="002B448D" w:rsidRPr="00C76AA4" w:rsidRDefault="003F7A39" w:rsidP="0063269C">
      <w:pPr>
        <w:pStyle w:val="ListParagraph"/>
        <w:rPr>
          <w:color w:val="auto"/>
        </w:rPr>
      </w:pPr>
      <w:r w:rsidRPr="0063269C">
        <w:rPr>
          <w:color w:val="auto"/>
        </w:rPr>
        <w:t>T</w:t>
      </w:r>
      <w:r w:rsidRPr="001E03C5">
        <w:rPr>
          <w:color w:val="auto"/>
        </w:rPr>
        <w:t xml:space="preserve">he PBAC noted that if MSAC is not of a mind to recommend the proposed testing component, an integrated resubmission would be required, which would not be </w:t>
      </w:r>
      <w:r w:rsidRPr="00C76AA4">
        <w:rPr>
          <w:color w:val="auto"/>
        </w:rPr>
        <w:t xml:space="preserve">suitable for the early re-entry pathway. </w:t>
      </w:r>
      <w:r w:rsidR="002B448D" w:rsidRPr="00C76AA4">
        <w:rPr>
          <w:color w:val="auto"/>
        </w:rPr>
        <w:t>The early re-entry resubmission must be lodged by week 7 of the current PBAC cycle or the next cycle. If the issues cannot be addressed by the sponsor in a simple resubmission and the early re-entry timing is not acceptable, a standard re-entry pathway is available.</w:t>
      </w:r>
    </w:p>
    <w:p w14:paraId="4691DDC3" w14:textId="52A0ED77" w:rsidR="002B448D" w:rsidRPr="00C76AA4" w:rsidRDefault="002B448D" w:rsidP="00773A03">
      <w:pPr>
        <w:pStyle w:val="ListParagraph"/>
        <w:rPr>
          <w:rFonts w:cs="Arial"/>
          <w:bCs/>
          <w:i/>
          <w:iCs/>
          <w:snapToGrid w:val="0"/>
        </w:rPr>
      </w:pPr>
      <w:r w:rsidRPr="00C76AA4">
        <w:rPr>
          <w:color w:val="auto"/>
        </w:rPr>
        <w:t xml:space="preserve">The PBAC noted that this submission is eligible for an Independent Review. </w:t>
      </w:r>
    </w:p>
    <w:p w14:paraId="64F567D1" w14:textId="5DBDBB63" w:rsidR="002B448D" w:rsidRPr="00AE3C7A" w:rsidRDefault="002B448D" w:rsidP="002B448D">
      <w:pPr>
        <w:spacing w:before="240" w:after="0"/>
        <w:rPr>
          <w:rFonts w:cs="Arial"/>
          <w:b/>
          <w:bCs/>
          <w:snapToGrid w:val="0"/>
        </w:rPr>
      </w:pPr>
      <w:r w:rsidRPr="00AE3C7A">
        <w:rPr>
          <w:rFonts w:cs="Arial"/>
          <w:b/>
          <w:bCs/>
          <w:snapToGrid w:val="0"/>
        </w:rPr>
        <w:t>Outcome:</w:t>
      </w:r>
    </w:p>
    <w:p w14:paraId="359C9EEF" w14:textId="4C5039B8" w:rsidR="002B448D" w:rsidRDefault="002B448D" w:rsidP="002B448D">
      <w:pPr>
        <w:rPr>
          <w:rFonts w:cs="Arial"/>
          <w:bCs/>
          <w:snapToGrid w:val="0"/>
        </w:rPr>
      </w:pPr>
      <w:r w:rsidRPr="0090616B">
        <w:rPr>
          <w:rFonts w:cs="Arial"/>
          <w:bCs/>
          <w:snapToGrid w:val="0"/>
        </w:rPr>
        <w:t>Not recommended</w:t>
      </w:r>
      <w:bookmarkEnd w:id="98"/>
      <w:bookmarkEnd w:id="99"/>
      <w:bookmarkEnd w:id="100"/>
      <w:bookmarkEnd w:id="101"/>
    </w:p>
    <w:p w14:paraId="670617F9" w14:textId="77777777" w:rsidR="0010771C" w:rsidRPr="0010771C" w:rsidRDefault="0010771C" w:rsidP="0010771C">
      <w:pPr>
        <w:keepNext/>
        <w:numPr>
          <w:ilvl w:val="0"/>
          <w:numId w:val="17"/>
        </w:numPr>
        <w:spacing w:before="240" w:after="120"/>
        <w:jc w:val="left"/>
        <w:outlineLvl w:val="0"/>
        <w:rPr>
          <w:rFonts w:eastAsia="Times New Roman" w:cs="Arial"/>
          <w:b/>
          <w:snapToGrid w:val="0"/>
          <w:sz w:val="32"/>
          <w:szCs w:val="32"/>
          <w:lang w:eastAsia="en-AU"/>
        </w:rPr>
      </w:pPr>
      <w:r w:rsidRPr="0010771C">
        <w:rPr>
          <w:rFonts w:eastAsia="Times New Roman" w:cs="Arial"/>
          <w:b/>
          <w:snapToGrid w:val="0"/>
          <w:sz w:val="32"/>
          <w:szCs w:val="32"/>
          <w:lang w:eastAsia="en-AU"/>
        </w:rPr>
        <w:t>Context for Decision</w:t>
      </w:r>
    </w:p>
    <w:p w14:paraId="6FD2904F" w14:textId="77777777" w:rsidR="0010771C" w:rsidRPr="0010771C" w:rsidRDefault="0010771C" w:rsidP="0010771C">
      <w:pPr>
        <w:spacing w:before="0" w:after="120"/>
        <w:ind w:left="720"/>
        <w:rPr>
          <w:rFonts w:ascii="Calibri" w:eastAsia="Times New Roman" w:hAnsi="Calibri" w:cs="Arial"/>
          <w:bCs/>
          <w:szCs w:val="24"/>
          <w:lang w:val="en-GB" w:eastAsia="en-AU"/>
        </w:rPr>
      </w:pPr>
      <w:r w:rsidRPr="0010771C">
        <w:rPr>
          <w:rFonts w:ascii="Calibri" w:eastAsia="Times New Roman" w:hAnsi="Calibri" w:cs="Arial"/>
          <w:bCs/>
          <w:szCs w:val="24"/>
          <w:lang w:val="en-GB" w:eastAsia="en-AU"/>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BF71344" w14:textId="77777777" w:rsidR="0010771C" w:rsidRPr="0010771C" w:rsidRDefault="0010771C" w:rsidP="0010771C">
      <w:pPr>
        <w:keepNext/>
        <w:numPr>
          <w:ilvl w:val="0"/>
          <w:numId w:val="17"/>
        </w:numPr>
        <w:spacing w:before="240" w:after="120"/>
        <w:jc w:val="left"/>
        <w:outlineLvl w:val="0"/>
        <w:rPr>
          <w:rFonts w:eastAsia="Times New Roman" w:cs="Arial"/>
          <w:b/>
          <w:snapToGrid w:val="0"/>
          <w:sz w:val="32"/>
          <w:szCs w:val="32"/>
          <w:lang w:eastAsia="en-AU"/>
        </w:rPr>
      </w:pPr>
      <w:r w:rsidRPr="0010771C">
        <w:rPr>
          <w:rFonts w:eastAsia="Times New Roman" w:cs="Arial"/>
          <w:b/>
          <w:snapToGrid w:val="0"/>
          <w:sz w:val="32"/>
          <w:szCs w:val="32"/>
          <w:lang w:eastAsia="en-AU"/>
        </w:rPr>
        <w:t>Sponsor’s Comment</w:t>
      </w:r>
    </w:p>
    <w:p w14:paraId="6BFF1820" w14:textId="0C308607" w:rsidR="0010771C" w:rsidRPr="0090616B" w:rsidRDefault="00833551" w:rsidP="00AE3C7A">
      <w:pPr>
        <w:spacing w:after="120"/>
        <w:ind w:left="720"/>
        <w:rPr>
          <w:rFonts w:cs="Arial"/>
          <w:bCs/>
          <w:snapToGrid w:val="0"/>
        </w:rPr>
      </w:pPr>
      <w:r w:rsidRPr="00833551">
        <w:rPr>
          <w:rFonts w:ascii="Calibri" w:eastAsia="Calibri" w:hAnsi="Calibri" w:cs="Arial"/>
          <w:bCs/>
        </w:rPr>
        <w:t xml:space="preserve">The Sponsor is pleased that the PBAC has acknowledged the high clinical need for treatments in the proposed patient population and is committed to working with the PBAC and the Department to facilitate sustainable patient access to </w:t>
      </w:r>
      <w:proofErr w:type="spellStart"/>
      <w:r w:rsidRPr="00833551">
        <w:rPr>
          <w:rFonts w:ascii="Calibri" w:eastAsia="Calibri" w:hAnsi="Calibri" w:cs="Arial"/>
          <w:bCs/>
        </w:rPr>
        <w:t>futibatinib</w:t>
      </w:r>
      <w:proofErr w:type="spellEnd"/>
      <w:r w:rsidRPr="00833551">
        <w:rPr>
          <w:rFonts w:ascii="Calibri" w:eastAsia="Calibri" w:hAnsi="Calibri" w:cs="Arial"/>
          <w:bCs/>
        </w:rPr>
        <w:t xml:space="preserve"> as soon as possible.</w:t>
      </w:r>
    </w:p>
    <w:sectPr w:rsidR="0010771C" w:rsidRPr="0090616B" w:rsidSect="00807FE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EA302" w14:textId="77777777" w:rsidR="00E01D5A" w:rsidRDefault="00E01D5A" w:rsidP="00BA3306">
      <w:pPr>
        <w:spacing w:before="0" w:after="0"/>
      </w:pPr>
      <w:r>
        <w:separator/>
      </w:r>
    </w:p>
    <w:p w14:paraId="7860777D" w14:textId="77777777" w:rsidR="00E01D5A" w:rsidRDefault="00E01D5A"/>
  </w:endnote>
  <w:endnote w:type="continuationSeparator" w:id="0">
    <w:p w14:paraId="2DEF0ED7" w14:textId="77777777" w:rsidR="00E01D5A" w:rsidRDefault="00E01D5A" w:rsidP="00BA3306">
      <w:pPr>
        <w:spacing w:before="0" w:after="0"/>
      </w:pPr>
      <w:r>
        <w:continuationSeparator/>
      </w:r>
    </w:p>
    <w:p w14:paraId="4719075A" w14:textId="77777777" w:rsidR="00E01D5A" w:rsidRDefault="00E01D5A"/>
  </w:endnote>
  <w:endnote w:type="continuationNotice" w:id="1">
    <w:p w14:paraId="60FAA571" w14:textId="77777777" w:rsidR="00E01D5A" w:rsidRDefault="00E01D5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C0EA2" w14:textId="77777777" w:rsidR="008C57A5" w:rsidRDefault="008C5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AE4EE" w14:textId="77777777" w:rsidR="00807FEB" w:rsidRPr="00807FEB" w:rsidRDefault="00807FEB" w:rsidP="00807FEB">
    <w:pPr>
      <w:pStyle w:val="Footer"/>
      <w:tabs>
        <w:tab w:val="center" w:pos="4678"/>
        <w:tab w:val="right" w:pos="9356"/>
      </w:tabs>
      <w:jc w:val="center"/>
      <w:rPr>
        <w:rFonts w:ascii="Calibri" w:hAnsi="Calibri" w:cs="Calibri"/>
        <w:szCs w:val="24"/>
      </w:rPr>
    </w:pPr>
  </w:p>
  <w:p w14:paraId="616046F2" w14:textId="06A7A0A7" w:rsidR="002B448D" w:rsidRPr="00807FEB" w:rsidRDefault="002B448D" w:rsidP="00807FEB">
    <w:pPr>
      <w:pStyle w:val="Footer"/>
      <w:tabs>
        <w:tab w:val="center" w:pos="4678"/>
        <w:tab w:val="right" w:pos="9356"/>
      </w:tabs>
      <w:jc w:val="center"/>
      <w:rPr>
        <w:rFonts w:ascii="Calibri" w:hAnsi="Calibri" w:cs="Calibri"/>
        <w:szCs w:val="24"/>
      </w:rPr>
    </w:pPr>
    <w:r w:rsidRPr="00807FEB">
      <w:rPr>
        <w:rFonts w:ascii="Calibri" w:hAnsi="Calibri" w:cs="Calibri"/>
        <w:szCs w:val="24"/>
      </w:rPr>
      <w:fldChar w:fldCharType="begin"/>
    </w:r>
    <w:r w:rsidRPr="00807FEB">
      <w:rPr>
        <w:rFonts w:ascii="Calibri" w:hAnsi="Calibri" w:cs="Calibri"/>
        <w:szCs w:val="24"/>
      </w:rPr>
      <w:instrText xml:space="preserve"> PAGE   \* MERGEFORMAT </w:instrText>
    </w:r>
    <w:r w:rsidRPr="00807FEB">
      <w:rPr>
        <w:rFonts w:ascii="Calibri" w:hAnsi="Calibri" w:cs="Calibri"/>
        <w:szCs w:val="24"/>
      </w:rPr>
      <w:fldChar w:fldCharType="separate"/>
    </w:r>
    <w:r w:rsidRPr="00807FEB">
      <w:rPr>
        <w:rFonts w:ascii="Calibri" w:hAnsi="Calibri" w:cs="Calibri"/>
        <w:b/>
        <w:bCs/>
        <w:noProof/>
        <w:szCs w:val="24"/>
      </w:rPr>
      <w:t>14</w:t>
    </w:r>
    <w:r w:rsidRPr="00807FEB">
      <w:rPr>
        <w:rFonts w:ascii="Calibri" w:hAnsi="Calibri" w:cs="Calibri"/>
        <w:b/>
        <w:bCs/>
        <w:noProof/>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6C7D4" w14:textId="77777777" w:rsidR="008C57A5" w:rsidRDefault="008C5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19B9A" w14:textId="77777777" w:rsidR="00E01D5A" w:rsidRDefault="00E01D5A" w:rsidP="00BA3306">
      <w:pPr>
        <w:spacing w:before="0" w:after="0"/>
      </w:pPr>
      <w:r>
        <w:separator/>
      </w:r>
    </w:p>
    <w:p w14:paraId="730B30CB" w14:textId="77777777" w:rsidR="00E01D5A" w:rsidRDefault="00E01D5A"/>
  </w:footnote>
  <w:footnote w:type="continuationSeparator" w:id="0">
    <w:p w14:paraId="507C7D55" w14:textId="77777777" w:rsidR="00E01D5A" w:rsidRDefault="00E01D5A" w:rsidP="00BA3306">
      <w:pPr>
        <w:spacing w:before="0" w:after="0"/>
      </w:pPr>
      <w:r>
        <w:continuationSeparator/>
      </w:r>
    </w:p>
    <w:p w14:paraId="52E112D3" w14:textId="77777777" w:rsidR="00E01D5A" w:rsidRDefault="00E01D5A"/>
  </w:footnote>
  <w:footnote w:type="continuationNotice" w:id="1">
    <w:p w14:paraId="3FB3A676" w14:textId="77777777" w:rsidR="00E01D5A" w:rsidRDefault="00E01D5A">
      <w:pPr>
        <w:spacing w:before="0" w:after="0"/>
      </w:pPr>
    </w:p>
  </w:footnote>
  <w:footnote w:id="2">
    <w:p w14:paraId="190E766F" w14:textId="27E1FDEC" w:rsidR="00491D18" w:rsidRDefault="00491D18">
      <w:pPr>
        <w:pStyle w:val="FootnoteText"/>
      </w:pPr>
      <w:r>
        <w:rPr>
          <w:rStyle w:val="FootnoteReference"/>
        </w:rPr>
        <w:footnoteRef/>
      </w:r>
      <w:r>
        <w:t xml:space="preserve"> </w:t>
      </w:r>
      <w:r w:rsidRPr="00491D18">
        <w:t>Cherny NI, Dafni U, Bogaerts J, et al: ESMO-Magnitude of Clinical Benefit Scale version 1.1. Annals of Oncology 28:2340-2366, 2017]</w:t>
      </w:r>
    </w:p>
  </w:footnote>
  <w:footnote w:id="3">
    <w:p w14:paraId="30E8B9C4" w14:textId="77777777" w:rsidR="003A47EF" w:rsidRPr="008811A1" w:rsidRDefault="003A47EF" w:rsidP="003A47EF">
      <w:pPr>
        <w:pStyle w:val="FootnoteText"/>
      </w:pPr>
      <w:r w:rsidRPr="008811A1">
        <w:rPr>
          <w:rStyle w:val="FootnoteReference"/>
        </w:rPr>
        <w:footnoteRef/>
      </w:r>
      <w:r w:rsidRPr="008811A1">
        <w:t xml:space="preserve"> Paine A et al. (2022) CO78 Matching-Adjusted Indirect Comparison of </w:t>
      </w:r>
      <w:r w:rsidRPr="008811A1">
        <w:t xml:space="preserve">Futibatinib Versus Chemotherapy and Pemigatinib in Cholangiocarcinoma Patients With FGFR2 Fusions/Rearrangements. Value in Health, Volume 25, Issue 12 Page S33. </w:t>
      </w:r>
      <w:hyperlink r:id="rId1" w:history="1">
        <w:r w:rsidRPr="008811A1">
          <w:rPr>
            <w:rStyle w:val="Hyperlink"/>
          </w:rPr>
          <w:t>https://doi.org/10.1016/j.jval.2022.09.157</w:t>
        </w:r>
      </w:hyperlink>
      <w:r w:rsidRPr="008811A1">
        <w:t xml:space="preserve">.  </w:t>
      </w:r>
    </w:p>
    <w:p w14:paraId="6B2B5E3B" w14:textId="77777777" w:rsidR="003A47EF" w:rsidRPr="008811A1" w:rsidRDefault="003A47EF" w:rsidP="003A47EF">
      <w:pPr>
        <w:pStyle w:val="FootnoteText"/>
      </w:pPr>
      <w:r w:rsidRPr="008811A1">
        <w:t>Poster available at https://www.ispor.org/docs/default-source/euro2022/isporeu22thomco78-pdf.pdf?sfvrsn=6ebb5668_0   Accessed 26/11/24</w:t>
      </w:r>
    </w:p>
  </w:footnote>
  <w:footnote w:id="4">
    <w:p w14:paraId="7857CBA7" w14:textId="18F49596" w:rsidR="003A47EF" w:rsidRPr="008811A1" w:rsidRDefault="003A47EF" w:rsidP="003A47EF">
      <w:pPr>
        <w:pStyle w:val="FootnoteText"/>
      </w:pPr>
      <w:r w:rsidRPr="008811A1">
        <w:rPr>
          <w:rStyle w:val="FootnoteReference"/>
        </w:rPr>
        <w:footnoteRef/>
      </w:r>
      <w:r w:rsidRPr="008811A1">
        <w:t xml:space="preserve"> </w:t>
      </w:r>
      <w:hyperlink r:id="rId2" w:tooltip="articles by this author" w:history="1">
        <w:r w:rsidRPr="008811A1">
          <w:rPr>
            <w:rStyle w:val="Hyperlink"/>
          </w:rPr>
          <w:t>Mitesh J. Borad et al.</w:t>
        </w:r>
      </w:hyperlink>
      <w:r w:rsidRPr="008811A1">
        <w:t xml:space="preserve">, Indirect treatment comparison of </w:t>
      </w:r>
      <w:r w:rsidRPr="008811A1">
        <w:t>futibatinib with chemotherapy and pemigatinib in cholangiocarcinoma with </w:t>
      </w:r>
      <w:r w:rsidRPr="008811A1">
        <w:rPr>
          <w:i/>
          <w:iCs/>
        </w:rPr>
        <w:t>FGFR2 </w:t>
      </w:r>
      <w:r w:rsidRPr="008811A1">
        <w:t>fusions/rearrangements.. </w:t>
      </w:r>
      <w:r w:rsidRPr="008811A1">
        <w:rPr>
          <w:i/>
          <w:iCs/>
        </w:rPr>
        <w:t>JCO</w:t>
      </w:r>
      <w:r w:rsidRPr="008811A1">
        <w:t> 40, 440-440(2022). DOI:</w:t>
      </w:r>
      <w:hyperlink r:id="rId3" w:tooltip="Link to DOI" w:history="1">
        <w:r w:rsidRPr="008811A1">
          <w:rPr>
            <w:rStyle w:val="Hyperlink"/>
          </w:rPr>
          <w:t>10.1200/JCO.2022.40.4_suppl.440</w:t>
        </w:r>
      </w:hyperlink>
      <w:r w:rsidRPr="008811A1">
        <w:t>. Accessed 26/11/24</w:t>
      </w:r>
    </w:p>
  </w:footnote>
  <w:footnote w:id="5">
    <w:p w14:paraId="2C0FCFC5" w14:textId="2141C984" w:rsidR="00F6190C" w:rsidRDefault="00F6190C">
      <w:pPr>
        <w:pStyle w:val="FootnoteText"/>
      </w:pPr>
      <w:r>
        <w:rPr>
          <w:rStyle w:val="FootnoteReference"/>
        </w:rPr>
        <w:footnoteRef/>
      </w:r>
      <w:r>
        <w:t xml:space="preserve"> </w:t>
      </w:r>
      <w:r w:rsidRPr="00F6190C">
        <w:t xml:space="preserve">Note that the results presented in </w:t>
      </w:r>
      <w:r>
        <w:t>paragraph</w:t>
      </w:r>
      <w:r w:rsidR="00531703">
        <w:t>s</w:t>
      </w:r>
      <w:r>
        <w:t xml:space="preserve"> 6.28</w:t>
      </w:r>
      <w:r w:rsidR="00531703">
        <w:t xml:space="preserve"> and 6.29</w:t>
      </w:r>
      <w:r>
        <w:t xml:space="preserve"> </w:t>
      </w:r>
      <w:r w:rsidRPr="00F6190C">
        <w:t>are derived from analyses conducted by the applicant for the purposes of informing the PBAC and MSAC consideration. Interpretation of the results and their application should therefore be limited to seeking to understand the basis for the PBAC and MSAC outcome and should not be used for any other purpose.</w:t>
      </w:r>
    </w:p>
  </w:footnote>
  <w:footnote w:id="6">
    <w:p w14:paraId="1F30A801" w14:textId="2CF08EB0" w:rsidR="00422BA1" w:rsidRDefault="00422BA1">
      <w:pPr>
        <w:pStyle w:val="FootnoteText"/>
      </w:pPr>
      <w:r>
        <w:rPr>
          <w:rStyle w:val="FootnoteReference"/>
        </w:rPr>
        <w:footnoteRef/>
      </w:r>
      <w:r>
        <w:t xml:space="preserve"> </w:t>
      </w:r>
      <w:r w:rsidRPr="00F6190C">
        <w:t xml:space="preserve">Note that the results presented in </w:t>
      </w:r>
      <w:r>
        <w:t xml:space="preserve">paragraphs 6.30 to 6.34 </w:t>
      </w:r>
      <w:r w:rsidRPr="00F6190C">
        <w:t>are derived from analyses conducted by the applicant for the purposes of informing the PBAC and MSAC consideration. Interpretation of the results and their application should therefore be limited to seeking to understand the basis for the PBAC and MSAC outcome and should not be used for any other purpose.</w:t>
      </w:r>
    </w:p>
  </w:footnote>
  <w:footnote w:id="7">
    <w:p w14:paraId="2E7EC202" w14:textId="5F4BE99C" w:rsidR="00832CC4" w:rsidRDefault="00832CC4">
      <w:pPr>
        <w:pStyle w:val="FootnoteText"/>
      </w:pPr>
      <w:r>
        <w:rPr>
          <w:rStyle w:val="FootnoteReference"/>
        </w:rPr>
        <w:footnoteRef/>
      </w:r>
      <w:r>
        <w:t xml:space="preserve"> </w:t>
      </w:r>
      <w:r w:rsidRPr="00F6190C">
        <w:t xml:space="preserve">Note that the results presented in </w:t>
      </w:r>
      <w:r>
        <w:t xml:space="preserve">paragraphs 6.35 to 6.38 </w:t>
      </w:r>
      <w:r w:rsidRPr="00F6190C">
        <w:t>are derived from analyses conducted by the applicant for the purposes of informing the PBAC and MSAC consideration. Interpretation of the results and their application should therefore be limited to seeking to understand the basis for the PBAC and MSAC outcome and should not be used for any other purpose.</w:t>
      </w:r>
    </w:p>
  </w:footnote>
  <w:footnote w:id="8">
    <w:p w14:paraId="56035437" w14:textId="7E296B16" w:rsidR="0032564F" w:rsidRDefault="0032564F">
      <w:pPr>
        <w:pStyle w:val="FootnoteText"/>
      </w:pPr>
      <w:r>
        <w:rPr>
          <w:rStyle w:val="FootnoteReference"/>
        </w:rPr>
        <w:footnoteRef/>
      </w:r>
      <w:r>
        <w:t xml:space="preserve"> </w:t>
      </w:r>
      <w:r w:rsidRPr="00F6190C">
        <w:t xml:space="preserve">Note that the results presented in </w:t>
      </w:r>
      <w:r>
        <w:t xml:space="preserve">paragraph 6.39 </w:t>
      </w:r>
      <w:r w:rsidRPr="00F6190C">
        <w:t>are derived from analyses conducted by the applicant for the purposes of informing the PBAC and MSAC consideration. Interpretation of the results and their application should therefore be limited to seeking to understand the basis for the PBAC and MSAC outcome and should not be used for any other purpose.</w:t>
      </w:r>
    </w:p>
  </w:footnote>
  <w:footnote w:id="9">
    <w:p w14:paraId="7AAB6427" w14:textId="749C9C59" w:rsidR="0032564F" w:rsidRDefault="0032564F">
      <w:pPr>
        <w:pStyle w:val="FootnoteText"/>
      </w:pPr>
      <w:r>
        <w:rPr>
          <w:rStyle w:val="FootnoteReference"/>
        </w:rPr>
        <w:footnoteRef/>
      </w:r>
      <w:r>
        <w:t xml:space="preserve"> </w:t>
      </w:r>
      <w:r w:rsidRPr="00F6190C">
        <w:t xml:space="preserve">Note that the results presented in </w:t>
      </w:r>
      <w:r>
        <w:t>paragraph 6.</w:t>
      </w:r>
      <w:r w:rsidR="00C54BFA">
        <w:t>40 to 6.42</w:t>
      </w:r>
      <w:r>
        <w:t xml:space="preserve"> </w:t>
      </w:r>
      <w:r w:rsidRPr="00F6190C">
        <w:t>are derived from analyses conducted by the applicant for the purposes of informing the PBAC and MSAC consideration. Interpretation of the results and their application should therefore be limited to seeking to understand the basis for the PBAC and MSAC outcome and should not be used for any other purpose.</w:t>
      </w:r>
    </w:p>
  </w:footnote>
  <w:footnote w:id="10">
    <w:p w14:paraId="28DC6086" w14:textId="4D6EAB60" w:rsidR="00C54BFA" w:rsidRDefault="00C54BFA">
      <w:pPr>
        <w:pStyle w:val="FootnoteText"/>
      </w:pPr>
      <w:r>
        <w:rPr>
          <w:rStyle w:val="FootnoteReference"/>
        </w:rPr>
        <w:footnoteRef/>
      </w:r>
      <w:r>
        <w:t xml:space="preserve"> </w:t>
      </w:r>
      <w:r w:rsidRPr="00F6190C">
        <w:t xml:space="preserve">Note that the results presented in </w:t>
      </w:r>
      <w:r>
        <w:t xml:space="preserve">paragraph 6.43 </w:t>
      </w:r>
      <w:r w:rsidRPr="00F6190C">
        <w:t>are derived from analyses conducted by the applicant for the purposes of informing the PBAC and MSAC consideration. Interpretation of the results and their application should therefore be limited to seeking to understand the basis for the PBAC and MSAC outcome and should not be used for any other purpose.</w:t>
      </w:r>
    </w:p>
  </w:footnote>
  <w:footnote w:id="11">
    <w:p w14:paraId="6B5D0EA9" w14:textId="3ADE1BA9" w:rsidR="00C54BFA" w:rsidRDefault="00C54BFA">
      <w:pPr>
        <w:pStyle w:val="FootnoteText"/>
      </w:pPr>
      <w:r>
        <w:rPr>
          <w:rStyle w:val="FootnoteReference"/>
        </w:rPr>
        <w:footnoteRef/>
      </w:r>
      <w:r>
        <w:t xml:space="preserve"> </w:t>
      </w:r>
      <w:r w:rsidRPr="00F6190C">
        <w:t xml:space="preserve">Note that the results presented in </w:t>
      </w:r>
      <w:r>
        <w:t xml:space="preserve">paragraphs 6.44 and 6.45 </w:t>
      </w:r>
      <w:r w:rsidRPr="00F6190C">
        <w:t>are derived from analyses conducted by the applicant for the purposes of informing the PBAC and MSAC consideration. Interpretation of the results and their application should therefore be limited to seeking to understand the basis for the PBAC and MSAC outcome and should not be used for any other purpose.</w:t>
      </w:r>
    </w:p>
  </w:footnote>
  <w:footnote w:id="12">
    <w:p w14:paraId="58F85505" w14:textId="77777777" w:rsidR="00AE6F3B" w:rsidRPr="008811A1" w:rsidRDefault="00AE6F3B" w:rsidP="00AE6F3B">
      <w:pPr>
        <w:pStyle w:val="FootnoteText"/>
      </w:pPr>
      <w:r w:rsidRPr="008811A1">
        <w:rPr>
          <w:rStyle w:val="FootnoteReference"/>
        </w:rPr>
        <w:footnoteRef/>
      </w:r>
      <w:r w:rsidRPr="008811A1">
        <w:t xml:space="preserve">   Abou-Alfa G, et al. SO-4 Progression-free survival in patients with cholangiocarcinoma with FGFR2 fusions or rearrangements: A FIGHT-202 post-hoc analysis of prior systemic therapy response. Ann Oncol. 2021;32:S203-4.</w:t>
      </w:r>
    </w:p>
  </w:footnote>
  <w:footnote w:id="13">
    <w:p w14:paraId="2B652C6D" w14:textId="77777777" w:rsidR="00715CD9" w:rsidRPr="00155C9E" w:rsidRDefault="00715CD9" w:rsidP="00715CD9">
      <w:pPr>
        <w:pStyle w:val="FootnoteText"/>
        <w:rPr>
          <w:lang w:val="en-US"/>
        </w:rPr>
      </w:pPr>
      <w:r>
        <w:rPr>
          <w:rStyle w:val="FootnoteReference"/>
        </w:rPr>
        <w:footnoteRef/>
      </w:r>
      <w:r>
        <w:t xml:space="preserve"> </w:t>
      </w:r>
      <w:hyperlink r:id="rId4" w:history="1">
        <w:r w:rsidRPr="00155C9E">
          <w:rPr>
            <w:rStyle w:val="Hyperlink"/>
          </w:rPr>
          <w:t>https://www.aihw.gov.au/reports/cancer/cancer-data-in-australia/contents/stage</w:t>
        </w:r>
      </w:hyperlink>
      <w:r>
        <w:t xml:space="preserve"> </w:t>
      </w:r>
    </w:p>
  </w:footnote>
  <w:footnote w:id="14">
    <w:p w14:paraId="454C9616" w14:textId="77777777" w:rsidR="00A12952" w:rsidRDefault="00A12952" w:rsidP="00A12952">
      <w:pPr>
        <w:pStyle w:val="FootnoteText"/>
      </w:pPr>
      <w:r>
        <w:rPr>
          <w:rStyle w:val="FootnoteReference"/>
        </w:rPr>
        <w:footnoteRef/>
      </w:r>
      <w:r>
        <w:t xml:space="preserve"> </w:t>
      </w:r>
      <w:r w:rsidRPr="00090494">
        <w:t xml:space="preserve">Valle JW, </w:t>
      </w:r>
      <w:r w:rsidRPr="00090494">
        <w:t>Borbath I, Khan SA, et al. Biliary cancer: ESMO Clinical Practice Guidelines for diagnosis, treatment and follow-up. </w:t>
      </w:r>
      <w:r w:rsidRPr="00090494">
        <w:rPr>
          <w:i/>
          <w:iCs/>
        </w:rPr>
        <w:t>Ann Oncol</w:t>
      </w:r>
      <w:r w:rsidRPr="00090494">
        <w:t>. 2016;27(suppl 5):v28-v37. doi:10.1093/annonc/mdw324</w:t>
      </w:r>
    </w:p>
  </w:footnote>
  <w:footnote w:id="15">
    <w:p w14:paraId="26269825" w14:textId="77777777" w:rsidR="00A12952" w:rsidRDefault="00A12952" w:rsidP="00A12952">
      <w:pPr>
        <w:pStyle w:val="FootnoteText"/>
      </w:pPr>
      <w:r>
        <w:rPr>
          <w:rStyle w:val="FootnoteReference"/>
        </w:rPr>
        <w:footnoteRef/>
      </w:r>
      <w:r>
        <w:t xml:space="preserve"> </w:t>
      </w:r>
      <w:r w:rsidRPr="00CF59C6">
        <w:t>Ilyas SI, Gores GJ. Pathogenesis, diagnosis, and management of cholangiocarcinoma. </w:t>
      </w:r>
      <w:r w:rsidRPr="00CF59C6">
        <w:rPr>
          <w:i/>
          <w:iCs/>
        </w:rPr>
        <w:t>Gastroenterology</w:t>
      </w:r>
      <w:r w:rsidRPr="00CF59C6">
        <w:t>. 2013;145(6):1215-1229. doi:10.1053/j.gastro.2013.10.013</w:t>
      </w:r>
    </w:p>
  </w:footnote>
  <w:footnote w:id="16">
    <w:p w14:paraId="31A7883A" w14:textId="77777777" w:rsidR="00A12952" w:rsidRDefault="00A12952" w:rsidP="00A12952">
      <w:pPr>
        <w:pStyle w:val="FootnoteText"/>
      </w:pPr>
      <w:r>
        <w:rPr>
          <w:rStyle w:val="FootnoteReference"/>
        </w:rPr>
        <w:footnoteRef/>
      </w:r>
      <w:r>
        <w:t xml:space="preserve"> </w:t>
      </w:r>
      <w:r w:rsidRPr="00F101AB">
        <w:t>Razumilava N, Gores GJ. Classification, diagnosis, and management of cholangiocarcinoma. </w:t>
      </w:r>
      <w:r w:rsidRPr="00F101AB">
        <w:rPr>
          <w:i/>
          <w:iCs/>
        </w:rPr>
        <w:t>Clin Gastroenterol Hepatol</w:t>
      </w:r>
      <w:r w:rsidRPr="00F101AB">
        <w:t>. 2013;11(1):13-e4. doi:10.1016/j.cgh.2012.09.009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78FA" w14:textId="77777777" w:rsidR="008C57A5" w:rsidRDefault="008C57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7CDDD" w14:textId="66D334C0" w:rsidR="00DD7C4C" w:rsidRPr="00DA180B" w:rsidRDefault="003D75DA" w:rsidP="00DD7C4C">
    <w:pPr>
      <w:pStyle w:val="Header"/>
      <w:jc w:val="center"/>
      <w:rPr>
        <w:i/>
        <w:iCs/>
        <w:szCs w:val="24"/>
      </w:rPr>
    </w:pPr>
    <w:r w:rsidRPr="00162F79">
      <w:rPr>
        <w:rFonts w:ascii="Calibri" w:eastAsia="Times New Roman" w:hAnsi="Calibri" w:cs="Arial"/>
        <w:i/>
        <w:iCs/>
        <w:szCs w:val="24"/>
        <w:lang w:eastAsia="en-AU"/>
      </w:rPr>
      <w:t xml:space="preserve">Public Summary Document </w:t>
    </w:r>
    <w:r w:rsidR="00DD7C4C" w:rsidRPr="00DA180B">
      <w:rPr>
        <w:i/>
        <w:iCs/>
        <w:szCs w:val="24"/>
      </w:rPr>
      <w:t>– March 2025 PBAC Meeting</w:t>
    </w:r>
  </w:p>
  <w:p w14:paraId="4F6F08ED" w14:textId="77777777" w:rsidR="003D75DA" w:rsidRPr="00DA180B" w:rsidRDefault="003D75DA" w:rsidP="00DD7C4C">
    <w:pPr>
      <w:pStyle w:val="Header"/>
      <w:jc w:val="center"/>
      <w:rPr>
        <w:rFonts w:ascii="Calibri" w:hAnsi="Calibri" w:cs="Calibri"/>
        <w:i/>
        <w:iCs/>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8F83F" w14:textId="77777777" w:rsidR="008C57A5" w:rsidRDefault="008C5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E8E4"/>
    <w:multiLevelType w:val="hybridMultilevel"/>
    <w:tmpl w:val="10CCCBE8"/>
    <w:lvl w:ilvl="0" w:tplc="22D6F4A8">
      <w:start w:val="1"/>
      <w:numFmt w:val="bullet"/>
      <w:lvlText w:val=""/>
      <w:lvlJc w:val="left"/>
      <w:pPr>
        <w:ind w:left="720" w:hanging="360"/>
      </w:pPr>
      <w:rPr>
        <w:rFonts w:ascii="Symbol" w:hAnsi="Symbol" w:hint="default"/>
      </w:rPr>
    </w:lvl>
    <w:lvl w:ilvl="1" w:tplc="84F4F2E6">
      <w:start w:val="1"/>
      <w:numFmt w:val="bullet"/>
      <w:lvlText w:val="o"/>
      <w:lvlJc w:val="left"/>
      <w:pPr>
        <w:ind w:left="1440" w:hanging="360"/>
      </w:pPr>
      <w:rPr>
        <w:rFonts w:ascii="Courier New" w:hAnsi="Courier New" w:hint="default"/>
      </w:rPr>
    </w:lvl>
    <w:lvl w:ilvl="2" w:tplc="FCF4E2F0">
      <w:start w:val="1"/>
      <w:numFmt w:val="bullet"/>
      <w:lvlText w:val=""/>
      <w:lvlJc w:val="left"/>
      <w:pPr>
        <w:ind w:left="2160" w:hanging="360"/>
      </w:pPr>
      <w:rPr>
        <w:rFonts w:ascii="Wingdings" w:hAnsi="Wingdings" w:hint="default"/>
      </w:rPr>
    </w:lvl>
    <w:lvl w:ilvl="3" w:tplc="CCB85192">
      <w:start w:val="1"/>
      <w:numFmt w:val="bullet"/>
      <w:lvlText w:val=""/>
      <w:lvlJc w:val="left"/>
      <w:pPr>
        <w:ind w:left="2880" w:hanging="360"/>
      </w:pPr>
      <w:rPr>
        <w:rFonts w:ascii="Symbol" w:hAnsi="Symbol" w:hint="default"/>
      </w:rPr>
    </w:lvl>
    <w:lvl w:ilvl="4" w:tplc="C8D655C4">
      <w:start w:val="1"/>
      <w:numFmt w:val="bullet"/>
      <w:lvlText w:val="o"/>
      <w:lvlJc w:val="left"/>
      <w:pPr>
        <w:ind w:left="3600" w:hanging="360"/>
      </w:pPr>
      <w:rPr>
        <w:rFonts w:ascii="Courier New" w:hAnsi="Courier New" w:hint="default"/>
      </w:rPr>
    </w:lvl>
    <w:lvl w:ilvl="5" w:tplc="B13CDD20">
      <w:start w:val="1"/>
      <w:numFmt w:val="bullet"/>
      <w:lvlText w:val=""/>
      <w:lvlJc w:val="left"/>
      <w:pPr>
        <w:ind w:left="4320" w:hanging="360"/>
      </w:pPr>
      <w:rPr>
        <w:rFonts w:ascii="Wingdings" w:hAnsi="Wingdings" w:hint="default"/>
      </w:rPr>
    </w:lvl>
    <w:lvl w:ilvl="6" w:tplc="A91E6F84">
      <w:start w:val="1"/>
      <w:numFmt w:val="bullet"/>
      <w:lvlText w:val=""/>
      <w:lvlJc w:val="left"/>
      <w:pPr>
        <w:ind w:left="5040" w:hanging="360"/>
      </w:pPr>
      <w:rPr>
        <w:rFonts w:ascii="Symbol" w:hAnsi="Symbol" w:hint="default"/>
      </w:rPr>
    </w:lvl>
    <w:lvl w:ilvl="7" w:tplc="9170F258">
      <w:start w:val="1"/>
      <w:numFmt w:val="bullet"/>
      <w:lvlText w:val="o"/>
      <w:lvlJc w:val="left"/>
      <w:pPr>
        <w:ind w:left="5760" w:hanging="360"/>
      </w:pPr>
      <w:rPr>
        <w:rFonts w:ascii="Courier New" w:hAnsi="Courier New" w:hint="default"/>
      </w:rPr>
    </w:lvl>
    <w:lvl w:ilvl="8" w:tplc="ADE83636">
      <w:start w:val="1"/>
      <w:numFmt w:val="bullet"/>
      <w:lvlText w:val=""/>
      <w:lvlJc w:val="left"/>
      <w:pPr>
        <w:ind w:left="6480" w:hanging="360"/>
      </w:pPr>
      <w:rPr>
        <w:rFonts w:ascii="Wingdings" w:hAnsi="Wingdings" w:hint="default"/>
      </w:rPr>
    </w:lvl>
  </w:abstractNum>
  <w:abstractNum w:abstractNumId="1" w15:restartNumberingAfterBreak="0">
    <w:nsid w:val="09617AC2"/>
    <w:multiLevelType w:val="multilevel"/>
    <w:tmpl w:val="92846974"/>
    <w:styleLink w:val="Style1"/>
    <w:lvl w:ilvl="0">
      <w:start w:val="1"/>
      <w:numFmt w:val="bulle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A87B59"/>
    <w:multiLevelType w:val="hybridMultilevel"/>
    <w:tmpl w:val="B6A0B506"/>
    <w:lvl w:ilvl="0" w:tplc="25081B66">
      <w:start w:val="1"/>
      <w:numFmt w:val="bullet"/>
      <w:lvlText w:val=""/>
      <w:lvlJc w:val="left"/>
      <w:pPr>
        <w:ind w:left="720" w:hanging="360"/>
      </w:pPr>
      <w:rPr>
        <w:rFonts w:ascii="Symbol" w:hAnsi="Symbol"/>
      </w:rPr>
    </w:lvl>
    <w:lvl w:ilvl="1" w:tplc="85D6E7D0">
      <w:start w:val="1"/>
      <w:numFmt w:val="bullet"/>
      <w:lvlText w:val=""/>
      <w:lvlJc w:val="left"/>
      <w:pPr>
        <w:ind w:left="720" w:hanging="360"/>
      </w:pPr>
      <w:rPr>
        <w:rFonts w:ascii="Symbol" w:hAnsi="Symbol"/>
      </w:rPr>
    </w:lvl>
    <w:lvl w:ilvl="2" w:tplc="C302D3CC">
      <w:start w:val="1"/>
      <w:numFmt w:val="bullet"/>
      <w:lvlText w:val=""/>
      <w:lvlJc w:val="left"/>
      <w:pPr>
        <w:ind w:left="720" w:hanging="360"/>
      </w:pPr>
      <w:rPr>
        <w:rFonts w:ascii="Symbol" w:hAnsi="Symbol"/>
      </w:rPr>
    </w:lvl>
    <w:lvl w:ilvl="3" w:tplc="C4F2F688">
      <w:start w:val="1"/>
      <w:numFmt w:val="bullet"/>
      <w:lvlText w:val=""/>
      <w:lvlJc w:val="left"/>
      <w:pPr>
        <w:ind w:left="720" w:hanging="360"/>
      </w:pPr>
      <w:rPr>
        <w:rFonts w:ascii="Symbol" w:hAnsi="Symbol"/>
      </w:rPr>
    </w:lvl>
    <w:lvl w:ilvl="4" w:tplc="44D4CD06">
      <w:start w:val="1"/>
      <w:numFmt w:val="bullet"/>
      <w:lvlText w:val=""/>
      <w:lvlJc w:val="left"/>
      <w:pPr>
        <w:ind w:left="720" w:hanging="360"/>
      </w:pPr>
      <w:rPr>
        <w:rFonts w:ascii="Symbol" w:hAnsi="Symbol"/>
      </w:rPr>
    </w:lvl>
    <w:lvl w:ilvl="5" w:tplc="1E306DFC">
      <w:start w:val="1"/>
      <w:numFmt w:val="bullet"/>
      <w:lvlText w:val=""/>
      <w:lvlJc w:val="left"/>
      <w:pPr>
        <w:ind w:left="720" w:hanging="360"/>
      </w:pPr>
      <w:rPr>
        <w:rFonts w:ascii="Symbol" w:hAnsi="Symbol"/>
      </w:rPr>
    </w:lvl>
    <w:lvl w:ilvl="6" w:tplc="EC18EDF0">
      <w:start w:val="1"/>
      <w:numFmt w:val="bullet"/>
      <w:lvlText w:val=""/>
      <w:lvlJc w:val="left"/>
      <w:pPr>
        <w:ind w:left="720" w:hanging="360"/>
      </w:pPr>
      <w:rPr>
        <w:rFonts w:ascii="Symbol" w:hAnsi="Symbol"/>
      </w:rPr>
    </w:lvl>
    <w:lvl w:ilvl="7" w:tplc="D3446CDE">
      <w:start w:val="1"/>
      <w:numFmt w:val="bullet"/>
      <w:lvlText w:val=""/>
      <w:lvlJc w:val="left"/>
      <w:pPr>
        <w:ind w:left="720" w:hanging="360"/>
      </w:pPr>
      <w:rPr>
        <w:rFonts w:ascii="Symbol" w:hAnsi="Symbol"/>
      </w:rPr>
    </w:lvl>
    <w:lvl w:ilvl="8" w:tplc="FAF418AA">
      <w:start w:val="1"/>
      <w:numFmt w:val="bullet"/>
      <w:lvlText w:val=""/>
      <w:lvlJc w:val="left"/>
      <w:pPr>
        <w:ind w:left="720" w:hanging="360"/>
      </w:pPr>
      <w:rPr>
        <w:rFonts w:ascii="Symbol" w:hAnsi="Symbol"/>
      </w:rPr>
    </w:lvl>
  </w:abstractNum>
  <w:abstractNum w:abstractNumId="4" w15:restartNumberingAfterBreak="0">
    <w:nsid w:val="14287D5D"/>
    <w:multiLevelType w:val="multilevel"/>
    <w:tmpl w:val="E15C487E"/>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bullet"/>
      <w:lvlText w:val=""/>
      <w:lvlJc w:val="left"/>
      <w:pPr>
        <w:ind w:left="360" w:hanging="360"/>
      </w:pPr>
      <w:rPr>
        <w:rFonts w:ascii="Symbol" w:hAnsi="Symbol" w:hint="default"/>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34013"/>
    <w:multiLevelType w:val="multilevel"/>
    <w:tmpl w:val="E5BAAC60"/>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A490F8C"/>
    <w:multiLevelType w:val="multilevel"/>
    <w:tmpl w:val="B3ECD226"/>
    <w:lvl w:ilvl="0">
      <w:start w:val="1"/>
      <w:numFmt w:val="decimal"/>
      <w:pStyle w:val="Heading1"/>
      <w:lvlText w:val="%1"/>
      <w:lvlJc w:val="left"/>
      <w:pPr>
        <w:ind w:left="432" w:hanging="432"/>
      </w:pPr>
      <w:rPr>
        <w:rFonts w:hint="default"/>
        <w:b/>
      </w:rPr>
    </w:lvl>
    <w:lvl w:ilvl="1">
      <w:start w:val="1"/>
      <w:numFmt w:val="upperLetter"/>
      <w:pStyle w:val="Heading1subheading"/>
      <w:lvlText w:val="%1%2"/>
      <w:lvlJc w:val="left"/>
      <w:pPr>
        <w:ind w:left="576" w:hanging="576"/>
      </w:pPr>
      <w:rPr>
        <w:rFonts w:hint="default"/>
      </w:rPr>
    </w:lvl>
    <w:lvl w:ilvl="2">
      <w:start w:val="1"/>
      <w:numFmt w:val="decimal"/>
      <w:pStyle w:val="Heading2SECTION2"/>
      <w:lvlText w:val="%1%2.%3"/>
      <w:lvlJc w:val="left"/>
      <w:pPr>
        <w:ind w:left="0" w:firstLine="0"/>
      </w:pPr>
      <w:rPr>
        <w:rFonts w:hint="default"/>
      </w:rPr>
    </w:lvl>
    <w:lvl w:ilvl="3">
      <w:start w:val="1"/>
      <w:numFmt w:val="decimal"/>
      <w:lvlRestart w:val="1"/>
      <w:pStyle w:val="Heading2"/>
      <w:lvlText w:val="%1.%4"/>
      <w:lvlJc w:val="left"/>
      <w:pPr>
        <w:ind w:left="864" w:hanging="864"/>
      </w:pPr>
      <w:rPr>
        <w:rFonts w:hint="default"/>
      </w:rPr>
    </w:lvl>
    <w:lvl w:ilvl="4">
      <w:start w:val="1"/>
      <w:numFmt w:val="decimal"/>
      <w:lvlRestart w:val="3"/>
      <w:pStyle w:val="Heading2Clinical"/>
      <w:lvlText w:val="%1%2.%5"/>
      <w:lvlJc w:val="left"/>
      <w:pPr>
        <w:ind w:left="0" w:firstLine="0"/>
      </w:pPr>
      <w:rPr>
        <w:rFonts w:hint="default"/>
      </w:rPr>
    </w:lvl>
    <w:lvl w:ilvl="5">
      <w:start w:val="1"/>
      <w:numFmt w:val="none"/>
      <w:pStyle w:val="Heading3"/>
      <w:suff w:val="nothing"/>
      <w:lvlText w:val=""/>
      <w:lvlJc w:val="left"/>
      <w:pPr>
        <w:ind w:left="0" w:firstLine="0"/>
      </w:pPr>
      <w:rPr>
        <w:rFonts w:hint="default"/>
      </w:rPr>
    </w:lvl>
    <w:lvl w:ilvl="6">
      <w:start w:val="1"/>
      <w:numFmt w:val="none"/>
      <w:pStyle w:val="Heading4"/>
      <w:suff w:val="nothing"/>
      <w:lvlText w:val=""/>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AA30E73"/>
    <w:multiLevelType w:val="multilevel"/>
    <w:tmpl w:val="E15C487E"/>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bullet"/>
      <w:lvlText w:val=""/>
      <w:lvlJc w:val="left"/>
      <w:pPr>
        <w:ind w:left="360" w:hanging="360"/>
      </w:pPr>
      <w:rPr>
        <w:rFonts w:ascii="Symbol" w:hAnsi="Symbol" w:hint="default"/>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BE660E"/>
    <w:multiLevelType w:val="multilevel"/>
    <w:tmpl w:val="F7065136"/>
    <w:lvl w:ilvl="0">
      <w:start w:val="1"/>
      <w:numFmt w:val="decimal"/>
      <w:pStyle w:val="ListAlphabeticalLevel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72026CB"/>
    <w:multiLevelType w:val="hybridMultilevel"/>
    <w:tmpl w:val="0B2CDB6E"/>
    <w:lvl w:ilvl="0" w:tplc="04090001">
      <w:start w:val="1"/>
      <w:numFmt w:val="bullet"/>
      <w:pStyle w:val="ListNumb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50599"/>
    <w:multiLevelType w:val="hybridMultilevel"/>
    <w:tmpl w:val="F6FA5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D26AAF"/>
    <w:multiLevelType w:val="hybridMultilevel"/>
    <w:tmpl w:val="A28C4980"/>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3" w15:restartNumberingAfterBreak="0">
    <w:nsid w:val="34EC7742"/>
    <w:multiLevelType w:val="hybridMultilevel"/>
    <w:tmpl w:val="03FA0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E970EB"/>
    <w:multiLevelType w:val="hybridMultilevel"/>
    <w:tmpl w:val="8DAC81D2"/>
    <w:lvl w:ilvl="0" w:tplc="F9F83DC2">
      <w:start w:val="1"/>
      <w:numFmt w:val="bullet"/>
      <w:lvlText w:val=""/>
      <w:lvlJc w:val="left"/>
      <w:pPr>
        <w:ind w:left="1880" w:hanging="360"/>
      </w:pPr>
      <w:rPr>
        <w:rFonts w:ascii="Symbol" w:hAnsi="Symbol"/>
      </w:rPr>
    </w:lvl>
    <w:lvl w:ilvl="1" w:tplc="A34885CA">
      <w:start w:val="1"/>
      <w:numFmt w:val="bullet"/>
      <w:lvlText w:val=""/>
      <w:lvlJc w:val="left"/>
      <w:pPr>
        <w:ind w:left="1880" w:hanging="360"/>
      </w:pPr>
      <w:rPr>
        <w:rFonts w:ascii="Symbol" w:hAnsi="Symbol"/>
      </w:rPr>
    </w:lvl>
    <w:lvl w:ilvl="2" w:tplc="0AEEC5EC">
      <w:start w:val="1"/>
      <w:numFmt w:val="bullet"/>
      <w:lvlText w:val=""/>
      <w:lvlJc w:val="left"/>
      <w:pPr>
        <w:ind w:left="1880" w:hanging="360"/>
      </w:pPr>
      <w:rPr>
        <w:rFonts w:ascii="Symbol" w:hAnsi="Symbol"/>
      </w:rPr>
    </w:lvl>
    <w:lvl w:ilvl="3" w:tplc="A88C9856">
      <w:start w:val="1"/>
      <w:numFmt w:val="bullet"/>
      <w:lvlText w:val=""/>
      <w:lvlJc w:val="left"/>
      <w:pPr>
        <w:ind w:left="1880" w:hanging="360"/>
      </w:pPr>
      <w:rPr>
        <w:rFonts w:ascii="Symbol" w:hAnsi="Symbol"/>
      </w:rPr>
    </w:lvl>
    <w:lvl w:ilvl="4" w:tplc="AA809C14">
      <w:start w:val="1"/>
      <w:numFmt w:val="bullet"/>
      <w:lvlText w:val=""/>
      <w:lvlJc w:val="left"/>
      <w:pPr>
        <w:ind w:left="1880" w:hanging="360"/>
      </w:pPr>
      <w:rPr>
        <w:rFonts w:ascii="Symbol" w:hAnsi="Symbol"/>
      </w:rPr>
    </w:lvl>
    <w:lvl w:ilvl="5" w:tplc="274C07B2">
      <w:start w:val="1"/>
      <w:numFmt w:val="bullet"/>
      <w:lvlText w:val=""/>
      <w:lvlJc w:val="left"/>
      <w:pPr>
        <w:ind w:left="1880" w:hanging="360"/>
      </w:pPr>
      <w:rPr>
        <w:rFonts w:ascii="Symbol" w:hAnsi="Symbol"/>
      </w:rPr>
    </w:lvl>
    <w:lvl w:ilvl="6" w:tplc="91F632C0">
      <w:start w:val="1"/>
      <w:numFmt w:val="bullet"/>
      <w:lvlText w:val=""/>
      <w:lvlJc w:val="left"/>
      <w:pPr>
        <w:ind w:left="1880" w:hanging="360"/>
      </w:pPr>
      <w:rPr>
        <w:rFonts w:ascii="Symbol" w:hAnsi="Symbol"/>
      </w:rPr>
    </w:lvl>
    <w:lvl w:ilvl="7" w:tplc="730054C6">
      <w:start w:val="1"/>
      <w:numFmt w:val="bullet"/>
      <w:lvlText w:val=""/>
      <w:lvlJc w:val="left"/>
      <w:pPr>
        <w:ind w:left="1880" w:hanging="360"/>
      </w:pPr>
      <w:rPr>
        <w:rFonts w:ascii="Symbol" w:hAnsi="Symbol"/>
      </w:rPr>
    </w:lvl>
    <w:lvl w:ilvl="8" w:tplc="9AB815B6">
      <w:start w:val="1"/>
      <w:numFmt w:val="bullet"/>
      <w:lvlText w:val=""/>
      <w:lvlJc w:val="left"/>
      <w:pPr>
        <w:ind w:left="1880" w:hanging="360"/>
      </w:pPr>
      <w:rPr>
        <w:rFonts w:ascii="Symbol" w:hAnsi="Symbol"/>
      </w:rPr>
    </w:lvl>
  </w:abstractNum>
  <w:abstractNum w:abstractNumId="15" w15:restartNumberingAfterBreak="0">
    <w:nsid w:val="3B1A01B1"/>
    <w:multiLevelType w:val="hybridMultilevel"/>
    <w:tmpl w:val="4A3AE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95746"/>
    <w:multiLevelType w:val="hybridMultilevel"/>
    <w:tmpl w:val="28BC0FCE"/>
    <w:styleLink w:val="Style2"/>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0564420"/>
    <w:multiLevelType w:val="hybridMultilevel"/>
    <w:tmpl w:val="A2900FE2"/>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9"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080AC6"/>
    <w:multiLevelType w:val="hybridMultilevel"/>
    <w:tmpl w:val="0D385BC6"/>
    <w:lvl w:ilvl="0" w:tplc="17789CF8">
      <w:start w:val="1"/>
      <w:numFmt w:val="bullet"/>
      <w:lvlText w:val=""/>
      <w:lvlJc w:val="left"/>
      <w:pPr>
        <w:ind w:left="2520" w:hanging="360"/>
      </w:pPr>
      <w:rPr>
        <w:rFonts w:ascii="Symbol" w:hAnsi="Symbol"/>
      </w:rPr>
    </w:lvl>
    <w:lvl w:ilvl="1" w:tplc="4D622D32">
      <w:start w:val="1"/>
      <w:numFmt w:val="bullet"/>
      <w:lvlText w:val=""/>
      <w:lvlJc w:val="left"/>
      <w:pPr>
        <w:ind w:left="2520" w:hanging="360"/>
      </w:pPr>
      <w:rPr>
        <w:rFonts w:ascii="Symbol" w:hAnsi="Symbol"/>
      </w:rPr>
    </w:lvl>
    <w:lvl w:ilvl="2" w:tplc="2B5A8A42">
      <w:start w:val="1"/>
      <w:numFmt w:val="bullet"/>
      <w:lvlText w:val=""/>
      <w:lvlJc w:val="left"/>
      <w:pPr>
        <w:ind w:left="2520" w:hanging="360"/>
      </w:pPr>
      <w:rPr>
        <w:rFonts w:ascii="Symbol" w:hAnsi="Symbol"/>
      </w:rPr>
    </w:lvl>
    <w:lvl w:ilvl="3" w:tplc="B1D0EDA8">
      <w:start w:val="1"/>
      <w:numFmt w:val="bullet"/>
      <w:lvlText w:val=""/>
      <w:lvlJc w:val="left"/>
      <w:pPr>
        <w:ind w:left="2520" w:hanging="360"/>
      </w:pPr>
      <w:rPr>
        <w:rFonts w:ascii="Symbol" w:hAnsi="Symbol"/>
      </w:rPr>
    </w:lvl>
    <w:lvl w:ilvl="4" w:tplc="D7E87336">
      <w:start w:val="1"/>
      <w:numFmt w:val="bullet"/>
      <w:lvlText w:val=""/>
      <w:lvlJc w:val="left"/>
      <w:pPr>
        <w:ind w:left="2520" w:hanging="360"/>
      </w:pPr>
      <w:rPr>
        <w:rFonts w:ascii="Symbol" w:hAnsi="Symbol"/>
      </w:rPr>
    </w:lvl>
    <w:lvl w:ilvl="5" w:tplc="4D229EEE">
      <w:start w:val="1"/>
      <w:numFmt w:val="bullet"/>
      <w:lvlText w:val=""/>
      <w:lvlJc w:val="left"/>
      <w:pPr>
        <w:ind w:left="2520" w:hanging="360"/>
      </w:pPr>
      <w:rPr>
        <w:rFonts w:ascii="Symbol" w:hAnsi="Symbol"/>
      </w:rPr>
    </w:lvl>
    <w:lvl w:ilvl="6" w:tplc="7EC81B64">
      <w:start w:val="1"/>
      <w:numFmt w:val="bullet"/>
      <w:lvlText w:val=""/>
      <w:lvlJc w:val="left"/>
      <w:pPr>
        <w:ind w:left="2520" w:hanging="360"/>
      </w:pPr>
      <w:rPr>
        <w:rFonts w:ascii="Symbol" w:hAnsi="Symbol"/>
      </w:rPr>
    </w:lvl>
    <w:lvl w:ilvl="7" w:tplc="398AF3A8">
      <w:start w:val="1"/>
      <w:numFmt w:val="bullet"/>
      <w:lvlText w:val=""/>
      <w:lvlJc w:val="left"/>
      <w:pPr>
        <w:ind w:left="2520" w:hanging="360"/>
      </w:pPr>
      <w:rPr>
        <w:rFonts w:ascii="Symbol" w:hAnsi="Symbol"/>
      </w:rPr>
    </w:lvl>
    <w:lvl w:ilvl="8" w:tplc="1BB2FF80">
      <w:start w:val="1"/>
      <w:numFmt w:val="bullet"/>
      <w:lvlText w:val=""/>
      <w:lvlJc w:val="left"/>
      <w:pPr>
        <w:ind w:left="2520" w:hanging="360"/>
      </w:pPr>
      <w:rPr>
        <w:rFonts w:ascii="Symbol" w:hAnsi="Symbol"/>
      </w:rPr>
    </w:lvl>
  </w:abstractNum>
  <w:abstractNum w:abstractNumId="21" w15:restartNumberingAfterBreak="0">
    <w:nsid w:val="65EA0456"/>
    <w:multiLevelType w:val="hybridMultilevel"/>
    <w:tmpl w:val="08AC20D2"/>
    <w:lvl w:ilvl="0" w:tplc="64F479D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716FC"/>
    <w:multiLevelType w:val="hybridMultilevel"/>
    <w:tmpl w:val="D31EAA9C"/>
    <w:lvl w:ilvl="0" w:tplc="91B2C8B8">
      <w:start w:val="1"/>
      <w:numFmt w:val="bullet"/>
      <w:lvlText w:val=""/>
      <w:lvlJc w:val="left"/>
      <w:pPr>
        <w:ind w:left="1260" w:hanging="360"/>
      </w:pPr>
      <w:rPr>
        <w:rFonts w:ascii="Symbol" w:hAnsi="Symbol"/>
      </w:rPr>
    </w:lvl>
    <w:lvl w:ilvl="1" w:tplc="CF488866">
      <w:start w:val="1"/>
      <w:numFmt w:val="bullet"/>
      <w:lvlText w:val=""/>
      <w:lvlJc w:val="left"/>
      <w:pPr>
        <w:ind w:left="1260" w:hanging="360"/>
      </w:pPr>
      <w:rPr>
        <w:rFonts w:ascii="Symbol" w:hAnsi="Symbol"/>
      </w:rPr>
    </w:lvl>
    <w:lvl w:ilvl="2" w:tplc="11AA0D8C">
      <w:start w:val="1"/>
      <w:numFmt w:val="bullet"/>
      <w:lvlText w:val=""/>
      <w:lvlJc w:val="left"/>
      <w:pPr>
        <w:ind w:left="1260" w:hanging="360"/>
      </w:pPr>
      <w:rPr>
        <w:rFonts w:ascii="Symbol" w:hAnsi="Symbol"/>
      </w:rPr>
    </w:lvl>
    <w:lvl w:ilvl="3" w:tplc="06E49D10">
      <w:start w:val="1"/>
      <w:numFmt w:val="bullet"/>
      <w:lvlText w:val=""/>
      <w:lvlJc w:val="left"/>
      <w:pPr>
        <w:ind w:left="1260" w:hanging="360"/>
      </w:pPr>
      <w:rPr>
        <w:rFonts w:ascii="Symbol" w:hAnsi="Symbol"/>
      </w:rPr>
    </w:lvl>
    <w:lvl w:ilvl="4" w:tplc="D966C5D0">
      <w:start w:val="1"/>
      <w:numFmt w:val="bullet"/>
      <w:lvlText w:val=""/>
      <w:lvlJc w:val="left"/>
      <w:pPr>
        <w:ind w:left="1260" w:hanging="360"/>
      </w:pPr>
      <w:rPr>
        <w:rFonts w:ascii="Symbol" w:hAnsi="Symbol"/>
      </w:rPr>
    </w:lvl>
    <w:lvl w:ilvl="5" w:tplc="57E43034">
      <w:start w:val="1"/>
      <w:numFmt w:val="bullet"/>
      <w:lvlText w:val=""/>
      <w:lvlJc w:val="left"/>
      <w:pPr>
        <w:ind w:left="1260" w:hanging="360"/>
      </w:pPr>
      <w:rPr>
        <w:rFonts w:ascii="Symbol" w:hAnsi="Symbol"/>
      </w:rPr>
    </w:lvl>
    <w:lvl w:ilvl="6" w:tplc="A7E2282E">
      <w:start w:val="1"/>
      <w:numFmt w:val="bullet"/>
      <w:lvlText w:val=""/>
      <w:lvlJc w:val="left"/>
      <w:pPr>
        <w:ind w:left="1260" w:hanging="360"/>
      </w:pPr>
      <w:rPr>
        <w:rFonts w:ascii="Symbol" w:hAnsi="Symbol"/>
      </w:rPr>
    </w:lvl>
    <w:lvl w:ilvl="7" w:tplc="AEF2244C">
      <w:start w:val="1"/>
      <w:numFmt w:val="bullet"/>
      <w:lvlText w:val=""/>
      <w:lvlJc w:val="left"/>
      <w:pPr>
        <w:ind w:left="1260" w:hanging="360"/>
      </w:pPr>
      <w:rPr>
        <w:rFonts w:ascii="Symbol" w:hAnsi="Symbol"/>
      </w:rPr>
    </w:lvl>
    <w:lvl w:ilvl="8" w:tplc="FC70EADE">
      <w:start w:val="1"/>
      <w:numFmt w:val="bullet"/>
      <w:lvlText w:val=""/>
      <w:lvlJc w:val="left"/>
      <w:pPr>
        <w:ind w:left="1260" w:hanging="360"/>
      </w:pPr>
      <w:rPr>
        <w:rFonts w:ascii="Symbol" w:hAnsi="Symbol"/>
      </w:rPr>
    </w:lvl>
  </w:abstractNum>
  <w:abstractNum w:abstractNumId="23" w15:restartNumberingAfterBreak="0">
    <w:nsid w:val="784D033C"/>
    <w:multiLevelType w:val="multilevel"/>
    <w:tmpl w:val="6DB05D5C"/>
    <w:styleLink w:val="Style3"/>
    <w:lvl w:ilvl="0">
      <w:start w:val="1"/>
      <w:numFmt w:val="decimal"/>
      <w:pStyle w:val="PBACESHeading1"/>
      <w:lvlText w:val="%1"/>
      <w:lvlJc w:val="left"/>
      <w:pPr>
        <w:ind w:left="720" w:hanging="720"/>
      </w:pPr>
      <w:rPr>
        <w:rFonts w:hint="default"/>
        <w:b/>
      </w:rPr>
    </w:lvl>
    <w:lvl w:ilvl="1">
      <w:start w:val="1"/>
      <w:numFmt w:val="none"/>
      <w:pStyle w:val="PBACESHeadingCAPS"/>
      <w:suff w:val="nothing"/>
      <w:lvlText w:val=""/>
      <w:lvlJc w:val="left"/>
      <w:pPr>
        <w:ind w:left="720" w:hanging="720"/>
      </w:pPr>
      <w:rPr>
        <w:rFonts w:hint="default"/>
      </w:rPr>
    </w:lvl>
    <w:lvl w:ilvl="2">
      <w:start w:val="1"/>
      <w:numFmt w:val="none"/>
      <w:lvlRestart w:val="1"/>
      <w:pStyle w:val="PBACESHeading2"/>
      <w:suff w:val="nothing"/>
      <w:lvlText w:val=""/>
      <w:lvlJc w:val="left"/>
      <w:pPr>
        <w:ind w:left="720" w:hanging="720"/>
      </w:pPr>
      <w:rPr>
        <w:rFonts w:hint="default"/>
      </w:rPr>
    </w:lvl>
    <w:lvl w:ilvl="3">
      <w:start w:val="1"/>
      <w:numFmt w:val="none"/>
      <w:lvlRestart w:val="1"/>
      <w:pStyle w:val="PBACESHeading3"/>
      <w:suff w:val="nothing"/>
      <w:lvlText w:val=""/>
      <w:lvlJc w:val="left"/>
      <w:pPr>
        <w:ind w:left="1080" w:hanging="1080"/>
      </w:pPr>
      <w:rPr>
        <w:rFonts w:hint="default"/>
      </w:rPr>
    </w:lvl>
    <w:lvl w:ilvl="4">
      <w:start w:val="1"/>
      <w:numFmt w:val="decimal"/>
      <w:lvlRestart w:val="1"/>
      <w:pStyle w:val="ListParagraph"/>
      <w:lvlText w:val="%1.%5"/>
      <w:lvlJc w:val="left"/>
      <w:pPr>
        <w:ind w:left="720" w:hanging="720"/>
      </w:pPr>
      <w:rPr>
        <w:rFonts w:hint="default"/>
        <w:i w:val="0"/>
        <w:iCs w:val="0"/>
        <w:color w:val="auto"/>
      </w:rPr>
    </w:lvl>
    <w:lvl w:ilvl="5">
      <w:start w:val="1"/>
      <w:numFmt w:val="decimal"/>
      <w:lvlRestart w:val="1"/>
      <w:pStyle w:val="MSACHeading1"/>
      <w:lvlText w:val="%6"/>
      <w:lvlJc w:val="left"/>
      <w:pPr>
        <w:ind w:left="720" w:hanging="720"/>
      </w:pPr>
      <w:rPr>
        <w:rFonts w:hint="default"/>
      </w:rPr>
    </w:lvl>
    <w:lvl w:ilvl="6">
      <w:start w:val="1"/>
      <w:numFmt w:val="none"/>
      <w:pStyle w:val="MSACESHeading2"/>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D754805"/>
    <w:multiLevelType w:val="hybridMultilevel"/>
    <w:tmpl w:val="4F7814DA"/>
    <w:lvl w:ilvl="0" w:tplc="523A0C9E">
      <w:start w:val="1"/>
      <w:numFmt w:val="bullet"/>
      <w:lvlText w:val=""/>
      <w:lvlJc w:val="left"/>
      <w:pPr>
        <w:ind w:left="1880" w:hanging="360"/>
      </w:pPr>
      <w:rPr>
        <w:rFonts w:ascii="Symbol" w:hAnsi="Symbol"/>
      </w:rPr>
    </w:lvl>
    <w:lvl w:ilvl="1" w:tplc="47AE6338">
      <w:start w:val="1"/>
      <w:numFmt w:val="bullet"/>
      <w:lvlText w:val=""/>
      <w:lvlJc w:val="left"/>
      <w:pPr>
        <w:ind w:left="1880" w:hanging="360"/>
      </w:pPr>
      <w:rPr>
        <w:rFonts w:ascii="Symbol" w:hAnsi="Symbol"/>
      </w:rPr>
    </w:lvl>
    <w:lvl w:ilvl="2" w:tplc="EF16A7D6">
      <w:start w:val="1"/>
      <w:numFmt w:val="bullet"/>
      <w:lvlText w:val=""/>
      <w:lvlJc w:val="left"/>
      <w:pPr>
        <w:ind w:left="1880" w:hanging="360"/>
      </w:pPr>
      <w:rPr>
        <w:rFonts w:ascii="Symbol" w:hAnsi="Symbol"/>
      </w:rPr>
    </w:lvl>
    <w:lvl w:ilvl="3" w:tplc="5090F644">
      <w:start w:val="1"/>
      <w:numFmt w:val="bullet"/>
      <w:lvlText w:val=""/>
      <w:lvlJc w:val="left"/>
      <w:pPr>
        <w:ind w:left="1880" w:hanging="360"/>
      </w:pPr>
      <w:rPr>
        <w:rFonts w:ascii="Symbol" w:hAnsi="Symbol"/>
      </w:rPr>
    </w:lvl>
    <w:lvl w:ilvl="4" w:tplc="5A20E9D8">
      <w:start w:val="1"/>
      <w:numFmt w:val="bullet"/>
      <w:lvlText w:val=""/>
      <w:lvlJc w:val="left"/>
      <w:pPr>
        <w:ind w:left="1880" w:hanging="360"/>
      </w:pPr>
      <w:rPr>
        <w:rFonts w:ascii="Symbol" w:hAnsi="Symbol"/>
      </w:rPr>
    </w:lvl>
    <w:lvl w:ilvl="5" w:tplc="956A7910">
      <w:start w:val="1"/>
      <w:numFmt w:val="bullet"/>
      <w:lvlText w:val=""/>
      <w:lvlJc w:val="left"/>
      <w:pPr>
        <w:ind w:left="1880" w:hanging="360"/>
      </w:pPr>
      <w:rPr>
        <w:rFonts w:ascii="Symbol" w:hAnsi="Symbol"/>
      </w:rPr>
    </w:lvl>
    <w:lvl w:ilvl="6" w:tplc="F18669F6">
      <w:start w:val="1"/>
      <w:numFmt w:val="bullet"/>
      <w:lvlText w:val=""/>
      <w:lvlJc w:val="left"/>
      <w:pPr>
        <w:ind w:left="1880" w:hanging="360"/>
      </w:pPr>
      <w:rPr>
        <w:rFonts w:ascii="Symbol" w:hAnsi="Symbol"/>
      </w:rPr>
    </w:lvl>
    <w:lvl w:ilvl="7" w:tplc="9B883602">
      <w:start w:val="1"/>
      <w:numFmt w:val="bullet"/>
      <w:lvlText w:val=""/>
      <w:lvlJc w:val="left"/>
      <w:pPr>
        <w:ind w:left="1880" w:hanging="360"/>
      </w:pPr>
      <w:rPr>
        <w:rFonts w:ascii="Symbol" w:hAnsi="Symbol"/>
      </w:rPr>
    </w:lvl>
    <w:lvl w:ilvl="8" w:tplc="43A46B94">
      <w:start w:val="1"/>
      <w:numFmt w:val="bullet"/>
      <w:lvlText w:val=""/>
      <w:lvlJc w:val="left"/>
      <w:pPr>
        <w:ind w:left="1880" w:hanging="360"/>
      </w:pPr>
      <w:rPr>
        <w:rFonts w:ascii="Symbol" w:hAnsi="Symbol"/>
      </w:rPr>
    </w:lvl>
  </w:abstractNum>
  <w:num w:numId="1" w16cid:durableId="1943294745">
    <w:abstractNumId w:val="11"/>
  </w:num>
  <w:num w:numId="2" w16cid:durableId="268393627">
    <w:abstractNumId w:val="6"/>
  </w:num>
  <w:num w:numId="3" w16cid:durableId="1728722686">
    <w:abstractNumId w:val="5"/>
  </w:num>
  <w:num w:numId="4" w16cid:durableId="2098357730">
    <w:abstractNumId w:val="23"/>
    <w:lvlOverride w:ilvl="4">
      <w:lvl w:ilvl="4">
        <w:start w:val="1"/>
        <w:numFmt w:val="decimal"/>
        <w:lvlRestart w:val="1"/>
        <w:pStyle w:val="ListParagraph"/>
        <w:lvlText w:val="%1.%5"/>
        <w:lvlJc w:val="left"/>
        <w:pPr>
          <w:ind w:left="720" w:hanging="720"/>
        </w:pPr>
        <w:rPr>
          <w:rFonts w:hint="default"/>
          <w:b w:val="0"/>
          <w:bCs w:val="0"/>
          <w:i w:val="0"/>
          <w:iCs w:val="0"/>
          <w:color w:val="auto"/>
        </w:rPr>
      </w:lvl>
    </w:lvlOverride>
  </w:num>
  <w:num w:numId="5" w16cid:durableId="1831209707">
    <w:abstractNumId w:val="1"/>
  </w:num>
  <w:num w:numId="6" w16cid:durableId="1119836982">
    <w:abstractNumId w:val="19"/>
  </w:num>
  <w:num w:numId="7" w16cid:durableId="3575890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9446458">
    <w:abstractNumId w:val="17"/>
  </w:num>
  <w:num w:numId="9" w16cid:durableId="1716932451">
    <w:abstractNumId w:val="2"/>
  </w:num>
  <w:num w:numId="10" w16cid:durableId="210267045">
    <w:abstractNumId w:val="16"/>
  </w:num>
  <w:num w:numId="11" w16cid:durableId="1415203797">
    <w:abstractNumId w:val="21"/>
  </w:num>
  <w:num w:numId="12" w16cid:durableId="633366062">
    <w:abstractNumId w:val="0"/>
  </w:num>
  <w:num w:numId="13" w16cid:durableId="603420347">
    <w:abstractNumId w:val="10"/>
  </w:num>
  <w:num w:numId="14" w16cid:durableId="812285612">
    <w:abstractNumId w:val="8"/>
  </w:num>
  <w:num w:numId="15" w16cid:durableId="715273947">
    <w:abstractNumId w:val="9"/>
  </w:num>
  <w:num w:numId="16" w16cid:durableId="1291858004">
    <w:abstractNumId w:val="18"/>
  </w:num>
  <w:num w:numId="17" w16cid:durableId="265121265">
    <w:abstractNumId w:val="23"/>
  </w:num>
  <w:num w:numId="18" w16cid:durableId="264074759">
    <w:abstractNumId w:val="12"/>
  </w:num>
  <w:num w:numId="19" w16cid:durableId="2137530420">
    <w:abstractNumId w:val="13"/>
  </w:num>
  <w:num w:numId="20" w16cid:durableId="1463957945">
    <w:abstractNumId w:val="3"/>
  </w:num>
  <w:num w:numId="21" w16cid:durableId="1135483778">
    <w:abstractNumId w:val="24"/>
  </w:num>
  <w:num w:numId="22" w16cid:durableId="1059010572">
    <w:abstractNumId w:val="20"/>
  </w:num>
  <w:num w:numId="23" w16cid:durableId="87360530">
    <w:abstractNumId w:val="22"/>
  </w:num>
  <w:num w:numId="24" w16cid:durableId="540245893">
    <w:abstractNumId w:val="14"/>
  </w:num>
  <w:num w:numId="25" w16cid:durableId="1906524793">
    <w:abstractNumId w:val="7"/>
  </w:num>
  <w:num w:numId="26" w16cid:durableId="1385181374">
    <w:abstractNumId w:val="4"/>
  </w:num>
  <w:num w:numId="27" w16cid:durableId="1249656161">
    <w:abstractNumId w:val="23"/>
    <w:lvlOverride w:ilvl="4">
      <w:lvl w:ilvl="4">
        <w:start w:val="1"/>
        <w:numFmt w:val="decimal"/>
        <w:lvlRestart w:val="1"/>
        <w:pStyle w:val="ListParagraph"/>
        <w:lvlText w:val="%1.%5"/>
        <w:lvlJc w:val="left"/>
        <w:pPr>
          <w:ind w:left="720" w:hanging="720"/>
        </w:pPr>
        <w:rPr>
          <w:rFonts w:hint="default"/>
          <w:b w:val="0"/>
          <w:bCs w:val="0"/>
          <w:i w:val="0"/>
          <w:iCs w:val="0"/>
          <w:color w:val="auto"/>
        </w:rPr>
      </w:lvl>
    </w:lvlOverride>
  </w:num>
  <w:num w:numId="28" w16cid:durableId="307058437">
    <w:abstractNumId w:val="23"/>
    <w:lvlOverride w:ilvl="4">
      <w:lvl w:ilvl="4">
        <w:start w:val="1"/>
        <w:numFmt w:val="decimal"/>
        <w:lvlRestart w:val="1"/>
        <w:pStyle w:val="ListParagraph"/>
        <w:lvlText w:val="%1.%5"/>
        <w:lvlJc w:val="left"/>
        <w:pPr>
          <w:ind w:left="720" w:hanging="720"/>
        </w:pPr>
        <w:rPr>
          <w:rFonts w:hint="default"/>
          <w:b w:val="0"/>
          <w:bCs w:val="0"/>
          <w:i w:val="0"/>
          <w:iCs w:val="0"/>
          <w:color w:val="auto"/>
        </w:rPr>
      </w:lvl>
    </w:lvlOverride>
  </w:num>
  <w:num w:numId="29" w16cid:durableId="781876540">
    <w:abstractNumId w:val="23"/>
    <w:lvlOverride w:ilvl="4">
      <w:lvl w:ilvl="4">
        <w:start w:val="1"/>
        <w:numFmt w:val="decimal"/>
        <w:lvlRestart w:val="1"/>
        <w:pStyle w:val="ListParagraph"/>
        <w:lvlText w:val="%1.%5"/>
        <w:lvlJc w:val="left"/>
        <w:pPr>
          <w:ind w:left="720" w:hanging="720"/>
        </w:pPr>
        <w:rPr>
          <w:rFonts w:hint="default"/>
          <w:b w:val="0"/>
          <w:bCs w:val="0"/>
          <w:i w:val="0"/>
          <w:iCs w:val="0"/>
          <w:color w:val="auto"/>
        </w:rPr>
      </w:lvl>
    </w:lvlOverride>
  </w:num>
  <w:num w:numId="30" w16cid:durableId="1007295717">
    <w:abstractNumId w:val="23"/>
    <w:lvlOverride w:ilvl="4">
      <w:lvl w:ilvl="4">
        <w:start w:val="1"/>
        <w:numFmt w:val="decimal"/>
        <w:lvlRestart w:val="1"/>
        <w:pStyle w:val="ListParagraph"/>
        <w:lvlText w:val="%1.%5"/>
        <w:lvlJc w:val="left"/>
        <w:pPr>
          <w:ind w:left="720" w:hanging="720"/>
        </w:pPr>
        <w:rPr>
          <w:rFonts w:hint="default"/>
          <w:b w:val="0"/>
          <w:bCs w:val="0"/>
          <w:i w:val="0"/>
          <w:iCs w:val="0"/>
          <w:color w:val="auto"/>
        </w:rPr>
      </w:lvl>
    </w:lvlOverride>
  </w:num>
  <w:num w:numId="31" w16cid:durableId="1920483842">
    <w:abstractNumId w:val="23"/>
    <w:lvlOverride w:ilvl="4">
      <w:lvl w:ilvl="4">
        <w:start w:val="1"/>
        <w:numFmt w:val="decimal"/>
        <w:lvlRestart w:val="1"/>
        <w:pStyle w:val="ListParagraph"/>
        <w:lvlText w:val="%1.%5"/>
        <w:lvlJc w:val="left"/>
        <w:pPr>
          <w:ind w:left="720" w:hanging="720"/>
        </w:pPr>
        <w:rPr>
          <w:rFonts w:hint="default"/>
          <w:b w:val="0"/>
          <w:bCs w:val="0"/>
          <w:i w:val="0"/>
          <w:iCs w:val="0"/>
          <w:color w:val="auto"/>
        </w:rPr>
      </w:lvl>
    </w:lvlOverride>
  </w:num>
  <w:num w:numId="32" w16cid:durableId="1260336492">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Formatting/>
  <w:styleLockTheme/>
  <w:styleLockQFSet/>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82"/>
    <w:rsid w:val="000003F7"/>
    <w:rsid w:val="000008BD"/>
    <w:rsid w:val="0000095B"/>
    <w:rsid w:val="00000BA9"/>
    <w:rsid w:val="00001329"/>
    <w:rsid w:val="000014F1"/>
    <w:rsid w:val="0000170B"/>
    <w:rsid w:val="00001AB4"/>
    <w:rsid w:val="00001B7F"/>
    <w:rsid w:val="00001FB7"/>
    <w:rsid w:val="00002295"/>
    <w:rsid w:val="0000268C"/>
    <w:rsid w:val="00002AE9"/>
    <w:rsid w:val="00002F34"/>
    <w:rsid w:val="000035BB"/>
    <w:rsid w:val="00003C8E"/>
    <w:rsid w:val="00003D46"/>
    <w:rsid w:val="00004051"/>
    <w:rsid w:val="000040F3"/>
    <w:rsid w:val="00004658"/>
    <w:rsid w:val="0000572B"/>
    <w:rsid w:val="00005A1B"/>
    <w:rsid w:val="00005B1A"/>
    <w:rsid w:val="000060F9"/>
    <w:rsid w:val="000062E0"/>
    <w:rsid w:val="00006C2A"/>
    <w:rsid w:val="00007335"/>
    <w:rsid w:val="0000746A"/>
    <w:rsid w:val="000079BF"/>
    <w:rsid w:val="00007BD9"/>
    <w:rsid w:val="00007F29"/>
    <w:rsid w:val="0001066F"/>
    <w:rsid w:val="000108B2"/>
    <w:rsid w:val="000109AA"/>
    <w:rsid w:val="0001141A"/>
    <w:rsid w:val="0001195C"/>
    <w:rsid w:val="0001212F"/>
    <w:rsid w:val="000123A7"/>
    <w:rsid w:val="0001281E"/>
    <w:rsid w:val="00012B30"/>
    <w:rsid w:val="00012CAB"/>
    <w:rsid w:val="00012E85"/>
    <w:rsid w:val="00012EEE"/>
    <w:rsid w:val="00012FD6"/>
    <w:rsid w:val="00012FEC"/>
    <w:rsid w:val="000131C9"/>
    <w:rsid w:val="00013222"/>
    <w:rsid w:val="0001354E"/>
    <w:rsid w:val="000135B2"/>
    <w:rsid w:val="00013E19"/>
    <w:rsid w:val="00014259"/>
    <w:rsid w:val="000142C1"/>
    <w:rsid w:val="0001443C"/>
    <w:rsid w:val="00014C5E"/>
    <w:rsid w:val="00014DFD"/>
    <w:rsid w:val="00014E13"/>
    <w:rsid w:val="000150D9"/>
    <w:rsid w:val="00015290"/>
    <w:rsid w:val="0001548D"/>
    <w:rsid w:val="00015B2B"/>
    <w:rsid w:val="000168CB"/>
    <w:rsid w:val="00016B3F"/>
    <w:rsid w:val="00016CF7"/>
    <w:rsid w:val="00016FCF"/>
    <w:rsid w:val="000170E1"/>
    <w:rsid w:val="000176F7"/>
    <w:rsid w:val="00020343"/>
    <w:rsid w:val="000203BB"/>
    <w:rsid w:val="000205CC"/>
    <w:rsid w:val="0002083A"/>
    <w:rsid w:val="00020885"/>
    <w:rsid w:val="0002095B"/>
    <w:rsid w:val="00020A6A"/>
    <w:rsid w:val="0002117B"/>
    <w:rsid w:val="000213C0"/>
    <w:rsid w:val="000215A4"/>
    <w:rsid w:val="0002194F"/>
    <w:rsid w:val="00021F2F"/>
    <w:rsid w:val="000226AA"/>
    <w:rsid w:val="000229BF"/>
    <w:rsid w:val="00023139"/>
    <w:rsid w:val="00023192"/>
    <w:rsid w:val="0002333B"/>
    <w:rsid w:val="000239BE"/>
    <w:rsid w:val="00023CD6"/>
    <w:rsid w:val="000249E3"/>
    <w:rsid w:val="0002501A"/>
    <w:rsid w:val="000254A8"/>
    <w:rsid w:val="00025896"/>
    <w:rsid w:val="00025B1B"/>
    <w:rsid w:val="00025E5A"/>
    <w:rsid w:val="00025E84"/>
    <w:rsid w:val="00025ED0"/>
    <w:rsid w:val="00025F70"/>
    <w:rsid w:val="0002651D"/>
    <w:rsid w:val="00026528"/>
    <w:rsid w:val="00026AF7"/>
    <w:rsid w:val="00027239"/>
    <w:rsid w:val="0002767D"/>
    <w:rsid w:val="00030189"/>
    <w:rsid w:val="00030520"/>
    <w:rsid w:val="00030C35"/>
    <w:rsid w:val="00030D9F"/>
    <w:rsid w:val="00030F88"/>
    <w:rsid w:val="0003179C"/>
    <w:rsid w:val="00031810"/>
    <w:rsid w:val="00031914"/>
    <w:rsid w:val="00031FE3"/>
    <w:rsid w:val="000323F2"/>
    <w:rsid w:val="000327CB"/>
    <w:rsid w:val="00032B0C"/>
    <w:rsid w:val="00032FEF"/>
    <w:rsid w:val="00033373"/>
    <w:rsid w:val="00033C96"/>
    <w:rsid w:val="00033CE1"/>
    <w:rsid w:val="000341AC"/>
    <w:rsid w:val="000343E2"/>
    <w:rsid w:val="00034404"/>
    <w:rsid w:val="00034949"/>
    <w:rsid w:val="0003497C"/>
    <w:rsid w:val="00034A0C"/>
    <w:rsid w:val="00034E06"/>
    <w:rsid w:val="00035373"/>
    <w:rsid w:val="00035578"/>
    <w:rsid w:val="000359BA"/>
    <w:rsid w:val="000365BA"/>
    <w:rsid w:val="000366EE"/>
    <w:rsid w:val="000367B1"/>
    <w:rsid w:val="000367D6"/>
    <w:rsid w:val="00036AF5"/>
    <w:rsid w:val="00036D05"/>
    <w:rsid w:val="00037538"/>
    <w:rsid w:val="00037D2E"/>
    <w:rsid w:val="00037F06"/>
    <w:rsid w:val="00037FF9"/>
    <w:rsid w:val="000400D8"/>
    <w:rsid w:val="000403D4"/>
    <w:rsid w:val="00040509"/>
    <w:rsid w:val="00040603"/>
    <w:rsid w:val="000406F9"/>
    <w:rsid w:val="00040793"/>
    <w:rsid w:val="00041165"/>
    <w:rsid w:val="000411D8"/>
    <w:rsid w:val="0004150B"/>
    <w:rsid w:val="000416D6"/>
    <w:rsid w:val="00041948"/>
    <w:rsid w:val="000419B9"/>
    <w:rsid w:val="0004204C"/>
    <w:rsid w:val="00042255"/>
    <w:rsid w:val="0004268D"/>
    <w:rsid w:val="0004278A"/>
    <w:rsid w:val="00042D7B"/>
    <w:rsid w:val="00042DD2"/>
    <w:rsid w:val="00043861"/>
    <w:rsid w:val="00043D01"/>
    <w:rsid w:val="00043EE0"/>
    <w:rsid w:val="00043F7C"/>
    <w:rsid w:val="00044159"/>
    <w:rsid w:val="0004432F"/>
    <w:rsid w:val="0004441D"/>
    <w:rsid w:val="0004449D"/>
    <w:rsid w:val="0004466E"/>
    <w:rsid w:val="000446AB"/>
    <w:rsid w:val="00044AF9"/>
    <w:rsid w:val="00044ED9"/>
    <w:rsid w:val="00044FB7"/>
    <w:rsid w:val="00044FE1"/>
    <w:rsid w:val="00045A02"/>
    <w:rsid w:val="00045A17"/>
    <w:rsid w:val="00045EB1"/>
    <w:rsid w:val="00045ED4"/>
    <w:rsid w:val="000461CF"/>
    <w:rsid w:val="000474D4"/>
    <w:rsid w:val="0004758F"/>
    <w:rsid w:val="000477CF"/>
    <w:rsid w:val="00047867"/>
    <w:rsid w:val="000478C7"/>
    <w:rsid w:val="000478DA"/>
    <w:rsid w:val="0005075B"/>
    <w:rsid w:val="00050AED"/>
    <w:rsid w:val="00051047"/>
    <w:rsid w:val="000510BA"/>
    <w:rsid w:val="00051576"/>
    <w:rsid w:val="00051BF5"/>
    <w:rsid w:val="00051EB4"/>
    <w:rsid w:val="000522EE"/>
    <w:rsid w:val="00052561"/>
    <w:rsid w:val="0005265C"/>
    <w:rsid w:val="00052BCD"/>
    <w:rsid w:val="00053087"/>
    <w:rsid w:val="00053295"/>
    <w:rsid w:val="000534F3"/>
    <w:rsid w:val="000536F6"/>
    <w:rsid w:val="0005379C"/>
    <w:rsid w:val="00053A8A"/>
    <w:rsid w:val="00053F26"/>
    <w:rsid w:val="00054171"/>
    <w:rsid w:val="00054A95"/>
    <w:rsid w:val="00055158"/>
    <w:rsid w:val="000551EE"/>
    <w:rsid w:val="0005595C"/>
    <w:rsid w:val="00055996"/>
    <w:rsid w:val="00055DCD"/>
    <w:rsid w:val="00055EFE"/>
    <w:rsid w:val="00056740"/>
    <w:rsid w:val="00056C22"/>
    <w:rsid w:val="000578D9"/>
    <w:rsid w:val="00057F28"/>
    <w:rsid w:val="00057F71"/>
    <w:rsid w:val="000601C1"/>
    <w:rsid w:val="0006045C"/>
    <w:rsid w:val="0006111F"/>
    <w:rsid w:val="0006118F"/>
    <w:rsid w:val="000616A7"/>
    <w:rsid w:val="00061864"/>
    <w:rsid w:val="000619DF"/>
    <w:rsid w:val="00061A28"/>
    <w:rsid w:val="00061C37"/>
    <w:rsid w:val="00061D30"/>
    <w:rsid w:val="00061E1A"/>
    <w:rsid w:val="00062018"/>
    <w:rsid w:val="00062067"/>
    <w:rsid w:val="0006259C"/>
    <w:rsid w:val="000626EB"/>
    <w:rsid w:val="0006287B"/>
    <w:rsid w:val="00063412"/>
    <w:rsid w:val="0006360E"/>
    <w:rsid w:val="000638E2"/>
    <w:rsid w:val="00063C2F"/>
    <w:rsid w:val="00063DEB"/>
    <w:rsid w:val="00063E00"/>
    <w:rsid w:val="000640FD"/>
    <w:rsid w:val="000643FA"/>
    <w:rsid w:val="0006442F"/>
    <w:rsid w:val="000647BD"/>
    <w:rsid w:val="00064A3D"/>
    <w:rsid w:val="00064D04"/>
    <w:rsid w:val="00064E30"/>
    <w:rsid w:val="00064E49"/>
    <w:rsid w:val="00064FAA"/>
    <w:rsid w:val="00065383"/>
    <w:rsid w:val="00065610"/>
    <w:rsid w:val="000659A6"/>
    <w:rsid w:val="00065A36"/>
    <w:rsid w:val="00065C62"/>
    <w:rsid w:val="00065CDE"/>
    <w:rsid w:val="00065D7C"/>
    <w:rsid w:val="00065DE6"/>
    <w:rsid w:val="00065E4A"/>
    <w:rsid w:val="00065F4A"/>
    <w:rsid w:val="00066027"/>
    <w:rsid w:val="000661CE"/>
    <w:rsid w:val="00066587"/>
    <w:rsid w:val="0006658E"/>
    <w:rsid w:val="00066C13"/>
    <w:rsid w:val="00066D55"/>
    <w:rsid w:val="00066F14"/>
    <w:rsid w:val="000676E5"/>
    <w:rsid w:val="000677DE"/>
    <w:rsid w:val="00070243"/>
    <w:rsid w:val="0007063B"/>
    <w:rsid w:val="000708AA"/>
    <w:rsid w:val="000709F8"/>
    <w:rsid w:val="00070D75"/>
    <w:rsid w:val="00070F2E"/>
    <w:rsid w:val="000712DF"/>
    <w:rsid w:val="000713CE"/>
    <w:rsid w:val="00071790"/>
    <w:rsid w:val="00071DA6"/>
    <w:rsid w:val="000721FB"/>
    <w:rsid w:val="00072B93"/>
    <w:rsid w:val="00073004"/>
    <w:rsid w:val="00073106"/>
    <w:rsid w:val="00073A78"/>
    <w:rsid w:val="00073BA4"/>
    <w:rsid w:val="0007415F"/>
    <w:rsid w:val="000741F5"/>
    <w:rsid w:val="0007426D"/>
    <w:rsid w:val="00074A38"/>
    <w:rsid w:val="00074B59"/>
    <w:rsid w:val="00074BA4"/>
    <w:rsid w:val="00074C82"/>
    <w:rsid w:val="00075E34"/>
    <w:rsid w:val="00075E85"/>
    <w:rsid w:val="000763E1"/>
    <w:rsid w:val="000763EC"/>
    <w:rsid w:val="00076857"/>
    <w:rsid w:val="00076EEF"/>
    <w:rsid w:val="000772AA"/>
    <w:rsid w:val="0007776D"/>
    <w:rsid w:val="00077ABE"/>
    <w:rsid w:val="00077DAD"/>
    <w:rsid w:val="00077EB1"/>
    <w:rsid w:val="00077F1E"/>
    <w:rsid w:val="0008047E"/>
    <w:rsid w:val="00080813"/>
    <w:rsid w:val="000809BC"/>
    <w:rsid w:val="00080FF3"/>
    <w:rsid w:val="00081393"/>
    <w:rsid w:val="0008166F"/>
    <w:rsid w:val="000816DF"/>
    <w:rsid w:val="00081C56"/>
    <w:rsid w:val="00082422"/>
    <w:rsid w:val="000825EF"/>
    <w:rsid w:val="00082868"/>
    <w:rsid w:val="000829F7"/>
    <w:rsid w:val="00082BEC"/>
    <w:rsid w:val="00082E4C"/>
    <w:rsid w:val="00082EDE"/>
    <w:rsid w:val="00083053"/>
    <w:rsid w:val="000834ED"/>
    <w:rsid w:val="0008360B"/>
    <w:rsid w:val="0008362B"/>
    <w:rsid w:val="000836AF"/>
    <w:rsid w:val="000838CB"/>
    <w:rsid w:val="00083A37"/>
    <w:rsid w:val="000846AE"/>
    <w:rsid w:val="000847B8"/>
    <w:rsid w:val="000847FE"/>
    <w:rsid w:val="00084B18"/>
    <w:rsid w:val="00084C96"/>
    <w:rsid w:val="00084EE0"/>
    <w:rsid w:val="00084F0B"/>
    <w:rsid w:val="000850EB"/>
    <w:rsid w:val="00086133"/>
    <w:rsid w:val="000861B0"/>
    <w:rsid w:val="00086519"/>
    <w:rsid w:val="00086B70"/>
    <w:rsid w:val="00086B80"/>
    <w:rsid w:val="00087808"/>
    <w:rsid w:val="00087878"/>
    <w:rsid w:val="000878AB"/>
    <w:rsid w:val="00087BCA"/>
    <w:rsid w:val="00090388"/>
    <w:rsid w:val="00090EB6"/>
    <w:rsid w:val="00090EC5"/>
    <w:rsid w:val="000911AF"/>
    <w:rsid w:val="00091466"/>
    <w:rsid w:val="00091673"/>
    <w:rsid w:val="0009169D"/>
    <w:rsid w:val="00091D0A"/>
    <w:rsid w:val="00091D18"/>
    <w:rsid w:val="00091F1B"/>
    <w:rsid w:val="00091FDD"/>
    <w:rsid w:val="0009204B"/>
    <w:rsid w:val="00092329"/>
    <w:rsid w:val="00092727"/>
    <w:rsid w:val="00092945"/>
    <w:rsid w:val="00092A5A"/>
    <w:rsid w:val="00092C6A"/>
    <w:rsid w:val="00092D5F"/>
    <w:rsid w:val="00092DD7"/>
    <w:rsid w:val="000935A4"/>
    <w:rsid w:val="00093A0A"/>
    <w:rsid w:val="00093EC6"/>
    <w:rsid w:val="00094007"/>
    <w:rsid w:val="0009449F"/>
    <w:rsid w:val="00094803"/>
    <w:rsid w:val="00094C33"/>
    <w:rsid w:val="00094CDE"/>
    <w:rsid w:val="00094D1B"/>
    <w:rsid w:val="00094ECF"/>
    <w:rsid w:val="00094EE2"/>
    <w:rsid w:val="00095744"/>
    <w:rsid w:val="00095B3C"/>
    <w:rsid w:val="00095C7D"/>
    <w:rsid w:val="00095D05"/>
    <w:rsid w:val="00095DCC"/>
    <w:rsid w:val="000963A1"/>
    <w:rsid w:val="0009688E"/>
    <w:rsid w:val="00096BCD"/>
    <w:rsid w:val="00097C20"/>
    <w:rsid w:val="00097F4A"/>
    <w:rsid w:val="000A012D"/>
    <w:rsid w:val="000A01FB"/>
    <w:rsid w:val="000A027E"/>
    <w:rsid w:val="000A052B"/>
    <w:rsid w:val="000A0557"/>
    <w:rsid w:val="000A06FF"/>
    <w:rsid w:val="000A0773"/>
    <w:rsid w:val="000A0816"/>
    <w:rsid w:val="000A0B3D"/>
    <w:rsid w:val="000A128D"/>
    <w:rsid w:val="000A130E"/>
    <w:rsid w:val="000A198A"/>
    <w:rsid w:val="000A1F7B"/>
    <w:rsid w:val="000A2694"/>
    <w:rsid w:val="000A2957"/>
    <w:rsid w:val="000A29D3"/>
    <w:rsid w:val="000A2A86"/>
    <w:rsid w:val="000A2D1F"/>
    <w:rsid w:val="000A2EF1"/>
    <w:rsid w:val="000A2F8C"/>
    <w:rsid w:val="000A2FAD"/>
    <w:rsid w:val="000A3538"/>
    <w:rsid w:val="000A36D9"/>
    <w:rsid w:val="000A3BB3"/>
    <w:rsid w:val="000A3D99"/>
    <w:rsid w:val="000A3F4C"/>
    <w:rsid w:val="000A4377"/>
    <w:rsid w:val="000A4B1A"/>
    <w:rsid w:val="000A59D8"/>
    <w:rsid w:val="000A5AC1"/>
    <w:rsid w:val="000A5BFD"/>
    <w:rsid w:val="000A5D44"/>
    <w:rsid w:val="000A5E01"/>
    <w:rsid w:val="000A5FDE"/>
    <w:rsid w:val="000A61B9"/>
    <w:rsid w:val="000A6257"/>
    <w:rsid w:val="000A688D"/>
    <w:rsid w:val="000A6AAA"/>
    <w:rsid w:val="000A6FBD"/>
    <w:rsid w:val="000A7333"/>
    <w:rsid w:val="000A737D"/>
    <w:rsid w:val="000A7AB7"/>
    <w:rsid w:val="000A7CE1"/>
    <w:rsid w:val="000A7EA5"/>
    <w:rsid w:val="000B08A3"/>
    <w:rsid w:val="000B111E"/>
    <w:rsid w:val="000B1168"/>
    <w:rsid w:val="000B12CD"/>
    <w:rsid w:val="000B140C"/>
    <w:rsid w:val="000B14FE"/>
    <w:rsid w:val="000B1D8C"/>
    <w:rsid w:val="000B1EF4"/>
    <w:rsid w:val="000B1FB4"/>
    <w:rsid w:val="000B2853"/>
    <w:rsid w:val="000B2956"/>
    <w:rsid w:val="000B2BE3"/>
    <w:rsid w:val="000B32DC"/>
    <w:rsid w:val="000B35EA"/>
    <w:rsid w:val="000B35F9"/>
    <w:rsid w:val="000B3695"/>
    <w:rsid w:val="000B43C0"/>
    <w:rsid w:val="000B48C8"/>
    <w:rsid w:val="000B491F"/>
    <w:rsid w:val="000B4FF1"/>
    <w:rsid w:val="000B5337"/>
    <w:rsid w:val="000B56CD"/>
    <w:rsid w:val="000B574D"/>
    <w:rsid w:val="000B5783"/>
    <w:rsid w:val="000B58AD"/>
    <w:rsid w:val="000B5A6B"/>
    <w:rsid w:val="000B5C73"/>
    <w:rsid w:val="000B6169"/>
    <w:rsid w:val="000B6325"/>
    <w:rsid w:val="000B6478"/>
    <w:rsid w:val="000B68F0"/>
    <w:rsid w:val="000B6B56"/>
    <w:rsid w:val="000B6B69"/>
    <w:rsid w:val="000B6B83"/>
    <w:rsid w:val="000B6B87"/>
    <w:rsid w:val="000B72C3"/>
    <w:rsid w:val="000B7588"/>
    <w:rsid w:val="000B79F9"/>
    <w:rsid w:val="000B7AED"/>
    <w:rsid w:val="000B7D38"/>
    <w:rsid w:val="000C003B"/>
    <w:rsid w:val="000C0142"/>
    <w:rsid w:val="000C03F9"/>
    <w:rsid w:val="000C0501"/>
    <w:rsid w:val="000C0660"/>
    <w:rsid w:val="000C0AE7"/>
    <w:rsid w:val="000C0D30"/>
    <w:rsid w:val="000C0E63"/>
    <w:rsid w:val="000C0F30"/>
    <w:rsid w:val="000C0F94"/>
    <w:rsid w:val="000C11CC"/>
    <w:rsid w:val="000C15E0"/>
    <w:rsid w:val="000C1700"/>
    <w:rsid w:val="000C17C6"/>
    <w:rsid w:val="000C1E34"/>
    <w:rsid w:val="000C21F7"/>
    <w:rsid w:val="000C23C5"/>
    <w:rsid w:val="000C26A6"/>
    <w:rsid w:val="000C28F4"/>
    <w:rsid w:val="000C29ED"/>
    <w:rsid w:val="000C2B69"/>
    <w:rsid w:val="000C3039"/>
    <w:rsid w:val="000C3692"/>
    <w:rsid w:val="000C38D3"/>
    <w:rsid w:val="000C3E80"/>
    <w:rsid w:val="000C4094"/>
    <w:rsid w:val="000C4570"/>
    <w:rsid w:val="000C46B9"/>
    <w:rsid w:val="000C48A2"/>
    <w:rsid w:val="000C4A68"/>
    <w:rsid w:val="000C4DE8"/>
    <w:rsid w:val="000C5018"/>
    <w:rsid w:val="000C53D7"/>
    <w:rsid w:val="000C5A75"/>
    <w:rsid w:val="000C5EE4"/>
    <w:rsid w:val="000C6244"/>
    <w:rsid w:val="000C668E"/>
    <w:rsid w:val="000C6A40"/>
    <w:rsid w:val="000C70DD"/>
    <w:rsid w:val="000C73A6"/>
    <w:rsid w:val="000C73D7"/>
    <w:rsid w:val="000C7883"/>
    <w:rsid w:val="000C7932"/>
    <w:rsid w:val="000C793A"/>
    <w:rsid w:val="000C7B1E"/>
    <w:rsid w:val="000C7C40"/>
    <w:rsid w:val="000C7ECD"/>
    <w:rsid w:val="000D0023"/>
    <w:rsid w:val="000D015C"/>
    <w:rsid w:val="000D024B"/>
    <w:rsid w:val="000D06BF"/>
    <w:rsid w:val="000D0A81"/>
    <w:rsid w:val="000D0C69"/>
    <w:rsid w:val="000D0E6D"/>
    <w:rsid w:val="000D0FFE"/>
    <w:rsid w:val="000D1414"/>
    <w:rsid w:val="000D154F"/>
    <w:rsid w:val="000D169F"/>
    <w:rsid w:val="000D18F5"/>
    <w:rsid w:val="000D1A02"/>
    <w:rsid w:val="000D1AB4"/>
    <w:rsid w:val="000D21AC"/>
    <w:rsid w:val="000D2576"/>
    <w:rsid w:val="000D2A61"/>
    <w:rsid w:val="000D2B14"/>
    <w:rsid w:val="000D2CCC"/>
    <w:rsid w:val="000D3051"/>
    <w:rsid w:val="000D3153"/>
    <w:rsid w:val="000D3596"/>
    <w:rsid w:val="000D39EF"/>
    <w:rsid w:val="000D3F4A"/>
    <w:rsid w:val="000D4440"/>
    <w:rsid w:val="000D44EE"/>
    <w:rsid w:val="000D4793"/>
    <w:rsid w:val="000D4ADD"/>
    <w:rsid w:val="000D5375"/>
    <w:rsid w:val="000D5A2B"/>
    <w:rsid w:val="000D5DE8"/>
    <w:rsid w:val="000D6482"/>
    <w:rsid w:val="000D6C7F"/>
    <w:rsid w:val="000D6D36"/>
    <w:rsid w:val="000D7194"/>
    <w:rsid w:val="000D7286"/>
    <w:rsid w:val="000D779D"/>
    <w:rsid w:val="000D794A"/>
    <w:rsid w:val="000D7A9C"/>
    <w:rsid w:val="000D7EE2"/>
    <w:rsid w:val="000E0135"/>
    <w:rsid w:val="000E02A2"/>
    <w:rsid w:val="000E0462"/>
    <w:rsid w:val="000E04A2"/>
    <w:rsid w:val="000E05CE"/>
    <w:rsid w:val="000E07CD"/>
    <w:rsid w:val="000E0CF4"/>
    <w:rsid w:val="000E0E6C"/>
    <w:rsid w:val="000E1BEE"/>
    <w:rsid w:val="000E1DD3"/>
    <w:rsid w:val="000E2102"/>
    <w:rsid w:val="000E219D"/>
    <w:rsid w:val="000E240A"/>
    <w:rsid w:val="000E29A4"/>
    <w:rsid w:val="000E31FD"/>
    <w:rsid w:val="000E3A1F"/>
    <w:rsid w:val="000E3B03"/>
    <w:rsid w:val="000E3EA2"/>
    <w:rsid w:val="000E3F51"/>
    <w:rsid w:val="000E4920"/>
    <w:rsid w:val="000E4C2E"/>
    <w:rsid w:val="000E527A"/>
    <w:rsid w:val="000E5319"/>
    <w:rsid w:val="000E546D"/>
    <w:rsid w:val="000E5ABB"/>
    <w:rsid w:val="000E607C"/>
    <w:rsid w:val="000E6EFD"/>
    <w:rsid w:val="000E7019"/>
    <w:rsid w:val="000E7029"/>
    <w:rsid w:val="000E742B"/>
    <w:rsid w:val="000E7674"/>
    <w:rsid w:val="000E79DE"/>
    <w:rsid w:val="000E7A07"/>
    <w:rsid w:val="000E7BBF"/>
    <w:rsid w:val="000E7E53"/>
    <w:rsid w:val="000F0331"/>
    <w:rsid w:val="000F0364"/>
    <w:rsid w:val="000F08AD"/>
    <w:rsid w:val="000F0C98"/>
    <w:rsid w:val="000F0F7D"/>
    <w:rsid w:val="000F1064"/>
    <w:rsid w:val="000F113E"/>
    <w:rsid w:val="000F15D0"/>
    <w:rsid w:val="000F181F"/>
    <w:rsid w:val="000F243A"/>
    <w:rsid w:val="000F2534"/>
    <w:rsid w:val="000F2C5F"/>
    <w:rsid w:val="000F2CD9"/>
    <w:rsid w:val="000F313A"/>
    <w:rsid w:val="000F3263"/>
    <w:rsid w:val="000F332A"/>
    <w:rsid w:val="000F3652"/>
    <w:rsid w:val="000F3C9C"/>
    <w:rsid w:val="000F41B5"/>
    <w:rsid w:val="000F4387"/>
    <w:rsid w:val="000F4753"/>
    <w:rsid w:val="000F4AF7"/>
    <w:rsid w:val="000F4EAC"/>
    <w:rsid w:val="000F515E"/>
    <w:rsid w:val="000F54DA"/>
    <w:rsid w:val="000F595D"/>
    <w:rsid w:val="000F5C6B"/>
    <w:rsid w:val="000F5CF8"/>
    <w:rsid w:val="000F5CFF"/>
    <w:rsid w:val="000F624D"/>
    <w:rsid w:val="000F698D"/>
    <w:rsid w:val="000F6B6B"/>
    <w:rsid w:val="000F6FED"/>
    <w:rsid w:val="000F7400"/>
    <w:rsid w:val="000F7434"/>
    <w:rsid w:val="000F7490"/>
    <w:rsid w:val="000F7540"/>
    <w:rsid w:val="000F7AF4"/>
    <w:rsid w:val="000F7C75"/>
    <w:rsid w:val="0010002A"/>
    <w:rsid w:val="0010037D"/>
    <w:rsid w:val="00100410"/>
    <w:rsid w:val="00100509"/>
    <w:rsid w:val="0010086D"/>
    <w:rsid w:val="001008CD"/>
    <w:rsid w:val="00100A60"/>
    <w:rsid w:val="0010121E"/>
    <w:rsid w:val="0010134A"/>
    <w:rsid w:val="001013E8"/>
    <w:rsid w:val="00101597"/>
    <w:rsid w:val="0010176B"/>
    <w:rsid w:val="001017EE"/>
    <w:rsid w:val="001018A8"/>
    <w:rsid w:val="00101D7F"/>
    <w:rsid w:val="0010308A"/>
    <w:rsid w:val="001035C8"/>
    <w:rsid w:val="0010395D"/>
    <w:rsid w:val="00103B56"/>
    <w:rsid w:val="00103B9B"/>
    <w:rsid w:val="00103D7B"/>
    <w:rsid w:val="001042A0"/>
    <w:rsid w:val="00104A1D"/>
    <w:rsid w:val="00104A99"/>
    <w:rsid w:val="00104E11"/>
    <w:rsid w:val="00105030"/>
    <w:rsid w:val="0010504D"/>
    <w:rsid w:val="00105052"/>
    <w:rsid w:val="001054F7"/>
    <w:rsid w:val="001059D6"/>
    <w:rsid w:val="00106053"/>
    <w:rsid w:val="00106212"/>
    <w:rsid w:val="00106700"/>
    <w:rsid w:val="001069A7"/>
    <w:rsid w:val="001071EC"/>
    <w:rsid w:val="0010771C"/>
    <w:rsid w:val="00110127"/>
    <w:rsid w:val="001106A2"/>
    <w:rsid w:val="00110A0B"/>
    <w:rsid w:val="00110CEF"/>
    <w:rsid w:val="00110F7A"/>
    <w:rsid w:val="0011145B"/>
    <w:rsid w:val="0011156A"/>
    <w:rsid w:val="0011162F"/>
    <w:rsid w:val="00111667"/>
    <w:rsid w:val="00111951"/>
    <w:rsid w:val="00111A3E"/>
    <w:rsid w:val="00111D80"/>
    <w:rsid w:val="00111FAC"/>
    <w:rsid w:val="00112005"/>
    <w:rsid w:val="00112081"/>
    <w:rsid w:val="00112124"/>
    <w:rsid w:val="00112240"/>
    <w:rsid w:val="00112A90"/>
    <w:rsid w:val="00112EC9"/>
    <w:rsid w:val="00112F1A"/>
    <w:rsid w:val="00113511"/>
    <w:rsid w:val="0011357F"/>
    <w:rsid w:val="001136A7"/>
    <w:rsid w:val="00113889"/>
    <w:rsid w:val="001141F3"/>
    <w:rsid w:val="00115152"/>
    <w:rsid w:val="001151EC"/>
    <w:rsid w:val="001156F5"/>
    <w:rsid w:val="001159F4"/>
    <w:rsid w:val="00115CCE"/>
    <w:rsid w:val="00115CF8"/>
    <w:rsid w:val="00115D20"/>
    <w:rsid w:val="00115E13"/>
    <w:rsid w:val="00115EB4"/>
    <w:rsid w:val="0011603D"/>
    <w:rsid w:val="0011623B"/>
    <w:rsid w:val="001162D7"/>
    <w:rsid w:val="001167DB"/>
    <w:rsid w:val="00116855"/>
    <w:rsid w:val="00116FEE"/>
    <w:rsid w:val="00117093"/>
    <w:rsid w:val="001172AF"/>
    <w:rsid w:val="00117457"/>
    <w:rsid w:val="00117B14"/>
    <w:rsid w:val="00117E6E"/>
    <w:rsid w:val="001206BD"/>
    <w:rsid w:val="001208CC"/>
    <w:rsid w:val="001209A1"/>
    <w:rsid w:val="00120AD2"/>
    <w:rsid w:val="00120D0A"/>
    <w:rsid w:val="00121384"/>
    <w:rsid w:val="0012160F"/>
    <w:rsid w:val="00121A8A"/>
    <w:rsid w:val="00121CAF"/>
    <w:rsid w:val="00121D1D"/>
    <w:rsid w:val="001220F1"/>
    <w:rsid w:val="001221C9"/>
    <w:rsid w:val="00122295"/>
    <w:rsid w:val="00122439"/>
    <w:rsid w:val="00122B98"/>
    <w:rsid w:val="00122C04"/>
    <w:rsid w:val="00122D20"/>
    <w:rsid w:val="0012301A"/>
    <w:rsid w:val="00123227"/>
    <w:rsid w:val="0012338E"/>
    <w:rsid w:val="00123401"/>
    <w:rsid w:val="0012397E"/>
    <w:rsid w:val="00123E81"/>
    <w:rsid w:val="00124263"/>
    <w:rsid w:val="00124291"/>
    <w:rsid w:val="001243AC"/>
    <w:rsid w:val="001244F8"/>
    <w:rsid w:val="00124824"/>
    <w:rsid w:val="00124C5A"/>
    <w:rsid w:val="00124DC6"/>
    <w:rsid w:val="00124EE3"/>
    <w:rsid w:val="0012508B"/>
    <w:rsid w:val="0012523C"/>
    <w:rsid w:val="0012551A"/>
    <w:rsid w:val="00125673"/>
    <w:rsid w:val="00125832"/>
    <w:rsid w:val="001258A4"/>
    <w:rsid w:val="0012602C"/>
    <w:rsid w:val="001261CC"/>
    <w:rsid w:val="001267CD"/>
    <w:rsid w:val="0012701F"/>
    <w:rsid w:val="001276F2"/>
    <w:rsid w:val="001279A9"/>
    <w:rsid w:val="001279AE"/>
    <w:rsid w:val="00130420"/>
    <w:rsid w:val="00130423"/>
    <w:rsid w:val="001309CC"/>
    <w:rsid w:val="00130C9A"/>
    <w:rsid w:val="00130E6B"/>
    <w:rsid w:val="0013119E"/>
    <w:rsid w:val="001311CF"/>
    <w:rsid w:val="00131419"/>
    <w:rsid w:val="001323D6"/>
    <w:rsid w:val="00132402"/>
    <w:rsid w:val="0013245A"/>
    <w:rsid w:val="0013261B"/>
    <w:rsid w:val="001328A6"/>
    <w:rsid w:val="00132C37"/>
    <w:rsid w:val="001330D1"/>
    <w:rsid w:val="00133166"/>
    <w:rsid w:val="001332CE"/>
    <w:rsid w:val="00133622"/>
    <w:rsid w:val="0013389D"/>
    <w:rsid w:val="00133A01"/>
    <w:rsid w:val="00133B1C"/>
    <w:rsid w:val="00133EEA"/>
    <w:rsid w:val="00133FB1"/>
    <w:rsid w:val="00134096"/>
    <w:rsid w:val="00134B53"/>
    <w:rsid w:val="00134DEF"/>
    <w:rsid w:val="00135050"/>
    <w:rsid w:val="00135214"/>
    <w:rsid w:val="00135753"/>
    <w:rsid w:val="00135AAA"/>
    <w:rsid w:val="00135AC8"/>
    <w:rsid w:val="00135BE3"/>
    <w:rsid w:val="00135D19"/>
    <w:rsid w:val="00135FCE"/>
    <w:rsid w:val="00136399"/>
    <w:rsid w:val="00136403"/>
    <w:rsid w:val="001364B4"/>
    <w:rsid w:val="00136950"/>
    <w:rsid w:val="00136E76"/>
    <w:rsid w:val="00136F0F"/>
    <w:rsid w:val="001370D3"/>
    <w:rsid w:val="0013728D"/>
    <w:rsid w:val="0013731D"/>
    <w:rsid w:val="0013786C"/>
    <w:rsid w:val="001378A8"/>
    <w:rsid w:val="00137E74"/>
    <w:rsid w:val="001401EE"/>
    <w:rsid w:val="00140238"/>
    <w:rsid w:val="0014041F"/>
    <w:rsid w:val="0014048A"/>
    <w:rsid w:val="001404A8"/>
    <w:rsid w:val="0014064C"/>
    <w:rsid w:val="00140918"/>
    <w:rsid w:val="00140988"/>
    <w:rsid w:val="00140991"/>
    <w:rsid w:val="00140A20"/>
    <w:rsid w:val="00140AED"/>
    <w:rsid w:val="00140B4A"/>
    <w:rsid w:val="00140C4A"/>
    <w:rsid w:val="00140CA0"/>
    <w:rsid w:val="00140DC7"/>
    <w:rsid w:val="00141167"/>
    <w:rsid w:val="0014126C"/>
    <w:rsid w:val="00141787"/>
    <w:rsid w:val="00141B05"/>
    <w:rsid w:val="00141B8C"/>
    <w:rsid w:val="00141D26"/>
    <w:rsid w:val="00141EFB"/>
    <w:rsid w:val="00142028"/>
    <w:rsid w:val="00142212"/>
    <w:rsid w:val="00142267"/>
    <w:rsid w:val="001424AC"/>
    <w:rsid w:val="001425F9"/>
    <w:rsid w:val="001427B3"/>
    <w:rsid w:val="00142852"/>
    <w:rsid w:val="0014287B"/>
    <w:rsid w:val="00142963"/>
    <w:rsid w:val="00142990"/>
    <w:rsid w:val="001429F4"/>
    <w:rsid w:val="00142ED4"/>
    <w:rsid w:val="00143255"/>
    <w:rsid w:val="001435DF"/>
    <w:rsid w:val="00143FF1"/>
    <w:rsid w:val="00144B4C"/>
    <w:rsid w:val="00145040"/>
    <w:rsid w:val="001453A9"/>
    <w:rsid w:val="00145444"/>
    <w:rsid w:val="00145A62"/>
    <w:rsid w:val="0014627C"/>
    <w:rsid w:val="001462EB"/>
    <w:rsid w:val="001464B9"/>
    <w:rsid w:val="001468C6"/>
    <w:rsid w:val="00146C47"/>
    <w:rsid w:val="00147231"/>
    <w:rsid w:val="00147253"/>
    <w:rsid w:val="00147265"/>
    <w:rsid w:val="00147334"/>
    <w:rsid w:val="0014752A"/>
    <w:rsid w:val="00147705"/>
    <w:rsid w:val="00147B23"/>
    <w:rsid w:val="00147BA9"/>
    <w:rsid w:val="00150063"/>
    <w:rsid w:val="0015150F"/>
    <w:rsid w:val="00151A6A"/>
    <w:rsid w:val="00151DAB"/>
    <w:rsid w:val="001520D6"/>
    <w:rsid w:val="0015232F"/>
    <w:rsid w:val="0015247C"/>
    <w:rsid w:val="00152635"/>
    <w:rsid w:val="00152C8C"/>
    <w:rsid w:val="0015319A"/>
    <w:rsid w:val="001533D6"/>
    <w:rsid w:val="001533D7"/>
    <w:rsid w:val="0015355A"/>
    <w:rsid w:val="00153591"/>
    <w:rsid w:val="00153A3C"/>
    <w:rsid w:val="00153A4F"/>
    <w:rsid w:val="00153DAE"/>
    <w:rsid w:val="00153E0E"/>
    <w:rsid w:val="00154263"/>
    <w:rsid w:val="001545AE"/>
    <w:rsid w:val="00154735"/>
    <w:rsid w:val="00154A30"/>
    <w:rsid w:val="00154B94"/>
    <w:rsid w:val="00154F4E"/>
    <w:rsid w:val="00155C9E"/>
    <w:rsid w:val="001563C1"/>
    <w:rsid w:val="0015739F"/>
    <w:rsid w:val="0015758A"/>
    <w:rsid w:val="0015785A"/>
    <w:rsid w:val="00157D42"/>
    <w:rsid w:val="00157EE5"/>
    <w:rsid w:val="0016004F"/>
    <w:rsid w:val="00160433"/>
    <w:rsid w:val="00160758"/>
    <w:rsid w:val="00160888"/>
    <w:rsid w:val="001609A4"/>
    <w:rsid w:val="00160A93"/>
    <w:rsid w:val="001610F5"/>
    <w:rsid w:val="0016117D"/>
    <w:rsid w:val="0016127F"/>
    <w:rsid w:val="001613EF"/>
    <w:rsid w:val="001618BB"/>
    <w:rsid w:val="00161946"/>
    <w:rsid w:val="00161A75"/>
    <w:rsid w:val="00161A8E"/>
    <w:rsid w:val="00161C91"/>
    <w:rsid w:val="00162266"/>
    <w:rsid w:val="00162308"/>
    <w:rsid w:val="001623A2"/>
    <w:rsid w:val="00162420"/>
    <w:rsid w:val="001625ED"/>
    <w:rsid w:val="00162897"/>
    <w:rsid w:val="00162AFD"/>
    <w:rsid w:val="00162B2C"/>
    <w:rsid w:val="00162D5F"/>
    <w:rsid w:val="00162F79"/>
    <w:rsid w:val="00163598"/>
    <w:rsid w:val="001639B2"/>
    <w:rsid w:val="00163D5A"/>
    <w:rsid w:val="001640C0"/>
    <w:rsid w:val="00164549"/>
    <w:rsid w:val="0016467A"/>
    <w:rsid w:val="00164A45"/>
    <w:rsid w:val="00164F51"/>
    <w:rsid w:val="00165A37"/>
    <w:rsid w:val="00165A49"/>
    <w:rsid w:val="00165AD6"/>
    <w:rsid w:val="00165D46"/>
    <w:rsid w:val="001662CD"/>
    <w:rsid w:val="00166487"/>
    <w:rsid w:val="001667A9"/>
    <w:rsid w:val="001669A9"/>
    <w:rsid w:val="00166A6E"/>
    <w:rsid w:val="0016713E"/>
    <w:rsid w:val="00167257"/>
    <w:rsid w:val="001672F6"/>
    <w:rsid w:val="001674C5"/>
    <w:rsid w:val="00167C37"/>
    <w:rsid w:val="00167D3E"/>
    <w:rsid w:val="00167F45"/>
    <w:rsid w:val="0016D580"/>
    <w:rsid w:val="001701DA"/>
    <w:rsid w:val="001702DC"/>
    <w:rsid w:val="001703C3"/>
    <w:rsid w:val="0017080B"/>
    <w:rsid w:val="001709D4"/>
    <w:rsid w:val="001711B1"/>
    <w:rsid w:val="0017139D"/>
    <w:rsid w:val="00171D8E"/>
    <w:rsid w:val="00171E40"/>
    <w:rsid w:val="0017210D"/>
    <w:rsid w:val="00172505"/>
    <w:rsid w:val="0017255C"/>
    <w:rsid w:val="001729E7"/>
    <w:rsid w:val="00173577"/>
    <w:rsid w:val="0017383E"/>
    <w:rsid w:val="00173A04"/>
    <w:rsid w:val="00173C51"/>
    <w:rsid w:val="00173E55"/>
    <w:rsid w:val="00173F4E"/>
    <w:rsid w:val="00174058"/>
    <w:rsid w:val="0017478B"/>
    <w:rsid w:val="00174C4B"/>
    <w:rsid w:val="0017564E"/>
    <w:rsid w:val="001758D6"/>
    <w:rsid w:val="00175A3F"/>
    <w:rsid w:val="00176538"/>
    <w:rsid w:val="00176658"/>
    <w:rsid w:val="00176AA5"/>
    <w:rsid w:val="00176BB1"/>
    <w:rsid w:val="00176BF8"/>
    <w:rsid w:val="00176D07"/>
    <w:rsid w:val="00176D49"/>
    <w:rsid w:val="001770A7"/>
    <w:rsid w:val="001770E4"/>
    <w:rsid w:val="0017720E"/>
    <w:rsid w:val="001772CC"/>
    <w:rsid w:val="00177893"/>
    <w:rsid w:val="00177A2A"/>
    <w:rsid w:val="00177C07"/>
    <w:rsid w:val="00180217"/>
    <w:rsid w:val="00180631"/>
    <w:rsid w:val="00180905"/>
    <w:rsid w:val="00180E52"/>
    <w:rsid w:val="00180F7B"/>
    <w:rsid w:val="00180FB9"/>
    <w:rsid w:val="001810B7"/>
    <w:rsid w:val="0018141A"/>
    <w:rsid w:val="00181666"/>
    <w:rsid w:val="00181794"/>
    <w:rsid w:val="0018246C"/>
    <w:rsid w:val="001826D0"/>
    <w:rsid w:val="0018276D"/>
    <w:rsid w:val="00182D7E"/>
    <w:rsid w:val="00182EFA"/>
    <w:rsid w:val="0018321C"/>
    <w:rsid w:val="00183413"/>
    <w:rsid w:val="00183467"/>
    <w:rsid w:val="0018373E"/>
    <w:rsid w:val="001839C0"/>
    <w:rsid w:val="00183A87"/>
    <w:rsid w:val="00183AAF"/>
    <w:rsid w:val="00183C07"/>
    <w:rsid w:val="00183CAF"/>
    <w:rsid w:val="00184221"/>
    <w:rsid w:val="0018443E"/>
    <w:rsid w:val="001853A6"/>
    <w:rsid w:val="00185B7C"/>
    <w:rsid w:val="00185BAE"/>
    <w:rsid w:val="00185C35"/>
    <w:rsid w:val="00185F8D"/>
    <w:rsid w:val="00186307"/>
    <w:rsid w:val="001863F7"/>
    <w:rsid w:val="00186479"/>
    <w:rsid w:val="00186A63"/>
    <w:rsid w:val="00186CDE"/>
    <w:rsid w:val="00186EBC"/>
    <w:rsid w:val="00186F6C"/>
    <w:rsid w:val="00186FE6"/>
    <w:rsid w:val="00187362"/>
    <w:rsid w:val="00187AA1"/>
    <w:rsid w:val="00187CEE"/>
    <w:rsid w:val="001904C2"/>
    <w:rsid w:val="00190B21"/>
    <w:rsid w:val="0019110B"/>
    <w:rsid w:val="00191130"/>
    <w:rsid w:val="00191188"/>
    <w:rsid w:val="001913D3"/>
    <w:rsid w:val="0019164B"/>
    <w:rsid w:val="00191689"/>
    <w:rsid w:val="001916C0"/>
    <w:rsid w:val="0019171B"/>
    <w:rsid w:val="00191B1A"/>
    <w:rsid w:val="00191DAB"/>
    <w:rsid w:val="001922E7"/>
    <w:rsid w:val="0019306B"/>
    <w:rsid w:val="0019349D"/>
    <w:rsid w:val="00193C16"/>
    <w:rsid w:val="0019433C"/>
    <w:rsid w:val="001945C3"/>
    <w:rsid w:val="00194B64"/>
    <w:rsid w:val="00194BA4"/>
    <w:rsid w:val="00194BC6"/>
    <w:rsid w:val="00195201"/>
    <w:rsid w:val="00195263"/>
    <w:rsid w:val="001952BB"/>
    <w:rsid w:val="001953D1"/>
    <w:rsid w:val="0019585A"/>
    <w:rsid w:val="00195AFD"/>
    <w:rsid w:val="00195C01"/>
    <w:rsid w:val="00195DA4"/>
    <w:rsid w:val="001965B6"/>
    <w:rsid w:val="001968C2"/>
    <w:rsid w:val="001969DE"/>
    <w:rsid w:val="00196B27"/>
    <w:rsid w:val="00196BE4"/>
    <w:rsid w:val="00196F66"/>
    <w:rsid w:val="00197229"/>
    <w:rsid w:val="001972E8"/>
    <w:rsid w:val="001975E2"/>
    <w:rsid w:val="00197682"/>
    <w:rsid w:val="001979E6"/>
    <w:rsid w:val="00197CB8"/>
    <w:rsid w:val="00197CF8"/>
    <w:rsid w:val="00197D31"/>
    <w:rsid w:val="001A0142"/>
    <w:rsid w:val="001A06DB"/>
    <w:rsid w:val="001A0B75"/>
    <w:rsid w:val="001A0D32"/>
    <w:rsid w:val="001A0E95"/>
    <w:rsid w:val="001A1195"/>
    <w:rsid w:val="001A1299"/>
    <w:rsid w:val="001A13BF"/>
    <w:rsid w:val="001A1B89"/>
    <w:rsid w:val="001A20DC"/>
    <w:rsid w:val="001A235C"/>
    <w:rsid w:val="001A270B"/>
    <w:rsid w:val="001A3161"/>
    <w:rsid w:val="001A35FB"/>
    <w:rsid w:val="001A3A3C"/>
    <w:rsid w:val="001A3B5B"/>
    <w:rsid w:val="001A3DC9"/>
    <w:rsid w:val="001A4118"/>
    <w:rsid w:val="001A4603"/>
    <w:rsid w:val="001A478B"/>
    <w:rsid w:val="001A4A0E"/>
    <w:rsid w:val="001A4BA0"/>
    <w:rsid w:val="001A508B"/>
    <w:rsid w:val="001A544A"/>
    <w:rsid w:val="001A576E"/>
    <w:rsid w:val="001A63F3"/>
    <w:rsid w:val="001A648B"/>
    <w:rsid w:val="001A6659"/>
    <w:rsid w:val="001A66FA"/>
    <w:rsid w:val="001A738D"/>
    <w:rsid w:val="001A76F3"/>
    <w:rsid w:val="001A7EEB"/>
    <w:rsid w:val="001B00CE"/>
    <w:rsid w:val="001B00DD"/>
    <w:rsid w:val="001B01C2"/>
    <w:rsid w:val="001B0D50"/>
    <w:rsid w:val="001B1260"/>
    <w:rsid w:val="001B12A9"/>
    <w:rsid w:val="001B13BC"/>
    <w:rsid w:val="001B14D8"/>
    <w:rsid w:val="001B1892"/>
    <w:rsid w:val="001B197F"/>
    <w:rsid w:val="001B1BAD"/>
    <w:rsid w:val="001B1C0F"/>
    <w:rsid w:val="001B1D75"/>
    <w:rsid w:val="001B2429"/>
    <w:rsid w:val="001B2630"/>
    <w:rsid w:val="001B26A9"/>
    <w:rsid w:val="001B28C4"/>
    <w:rsid w:val="001B2DF2"/>
    <w:rsid w:val="001B2E06"/>
    <w:rsid w:val="001B3313"/>
    <w:rsid w:val="001B3558"/>
    <w:rsid w:val="001B37FE"/>
    <w:rsid w:val="001B39C0"/>
    <w:rsid w:val="001B3C2D"/>
    <w:rsid w:val="001B3CE7"/>
    <w:rsid w:val="001B4182"/>
    <w:rsid w:val="001B50F0"/>
    <w:rsid w:val="001B585B"/>
    <w:rsid w:val="001B5ACB"/>
    <w:rsid w:val="001B5B6B"/>
    <w:rsid w:val="001B5D05"/>
    <w:rsid w:val="001B5D97"/>
    <w:rsid w:val="001B5E2C"/>
    <w:rsid w:val="001B5EB3"/>
    <w:rsid w:val="001B5ECD"/>
    <w:rsid w:val="001B6054"/>
    <w:rsid w:val="001B6161"/>
    <w:rsid w:val="001B6209"/>
    <w:rsid w:val="001B6389"/>
    <w:rsid w:val="001B64ED"/>
    <w:rsid w:val="001B65D8"/>
    <w:rsid w:val="001B6718"/>
    <w:rsid w:val="001B6EA8"/>
    <w:rsid w:val="001B7034"/>
    <w:rsid w:val="001B72FD"/>
    <w:rsid w:val="001B7AAA"/>
    <w:rsid w:val="001B7B01"/>
    <w:rsid w:val="001B7D51"/>
    <w:rsid w:val="001B7DA7"/>
    <w:rsid w:val="001B7EFF"/>
    <w:rsid w:val="001C04CC"/>
    <w:rsid w:val="001C051E"/>
    <w:rsid w:val="001C06AA"/>
    <w:rsid w:val="001C0BE2"/>
    <w:rsid w:val="001C0BFD"/>
    <w:rsid w:val="001C0E39"/>
    <w:rsid w:val="001C0F47"/>
    <w:rsid w:val="001C113E"/>
    <w:rsid w:val="001C118C"/>
    <w:rsid w:val="001C19AC"/>
    <w:rsid w:val="001C1B09"/>
    <w:rsid w:val="001C1C5F"/>
    <w:rsid w:val="001C2323"/>
    <w:rsid w:val="001C245A"/>
    <w:rsid w:val="001C2678"/>
    <w:rsid w:val="001C28CD"/>
    <w:rsid w:val="001C2C47"/>
    <w:rsid w:val="001C33C3"/>
    <w:rsid w:val="001C37DD"/>
    <w:rsid w:val="001C3AD4"/>
    <w:rsid w:val="001C3B86"/>
    <w:rsid w:val="001C40A1"/>
    <w:rsid w:val="001C40C2"/>
    <w:rsid w:val="001C41CB"/>
    <w:rsid w:val="001C45A5"/>
    <w:rsid w:val="001C460F"/>
    <w:rsid w:val="001C4640"/>
    <w:rsid w:val="001C470B"/>
    <w:rsid w:val="001C4F4D"/>
    <w:rsid w:val="001C5D08"/>
    <w:rsid w:val="001C5D25"/>
    <w:rsid w:val="001C6039"/>
    <w:rsid w:val="001C6080"/>
    <w:rsid w:val="001C66C4"/>
    <w:rsid w:val="001C688F"/>
    <w:rsid w:val="001C69D7"/>
    <w:rsid w:val="001C6D84"/>
    <w:rsid w:val="001C73FE"/>
    <w:rsid w:val="001C7497"/>
    <w:rsid w:val="001C796E"/>
    <w:rsid w:val="001C7A00"/>
    <w:rsid w:val="001C7D17"/>
    <w:rsid w:val="001C7D1B"/>
    <w:rsid w:val="001C7F73"/>
    <w:rsid w:val="001D086B"/>
    <w:rsid w:val="001D08B4"/>
    <w:rsid w:val="001D0ECF"/>
    <w:rsid w:val="001D1074"/>
    <w:rsid w:val="001D1700"/>
    <w:rsid w:val="001D1DF8"/>
    <w:rsid w:val="001D20F0"/>
    <w:rsid w:val="001D2117"/>
    <w:rsid w:val="001D242F"/>
    <w:rsid w:val="001D259F"/>
    <w:rsid w:val="001D26B7"/>
    <w:rsid w:val="001D2AB4"/>
    <w:rsid w:val="001D33EF"/>
    <w:rsid w:val="001D3A8A"/>
    <w:rsid w:val="001D3BED"/>
    <w:rsid w:val="001D4681"/>
    <w:rsid w:val="001D49F5"/>
    <w:rsid w:val="001D4F69"/>
    <w:rsid w:val="001D5253"/>
    <w:rsid w:val="001D52C1"/>
    <w:rsid w:val="001D5ABB"/>
    <w:rsid w:val="001D5D47"/>
    <w:rsid w:val="001D5DE3"/>
    <w:rsid w:val="001D639E"/>
    <w:rsid w:val="001D6AAA"/>
    <w:rsid w:val="001D6C61"/>
    <w:rsid w:val="001D6CF7"/>
    <w:rsid w:val="001D6D68"/>
    <w:rsid w:val="001D6F1D"/>
    <w:rsid w:val="001D7022"/>
    <w:rsid w:val="001D7211"/>
    <w:rsid w:val="001D7293"/>
    <w:rsid w:val="001D7325"/>
    <w:rsid w:val="001D73F7"/>
    <w:rsid w:val="001D7710"/>
    <w:rsid w:val="001D7CF1"/>
    <w:rsid w:val="001E03C5"/>
    <w:rsid w:val="001E0994"/>
    <w:rsid w:val="001E0B0D"/>
    <w:rsid w:val="001E1517"/>
    <w:rsid w:val="001E1827"/>
    <w:rsid w:val="001E1CE7"/>
    <w:rsid w:val="001E2395"/>
    <w:rsid w:val="001E248D"/>
    <w:rsid w:val="001E25EC"/>
    <w:rsid w:val="001E25FC"/>
    <w:rsid w:val="001E2860"/>
    <w:rsid w:val="001E2C79"/>
    <w:rsid w:val="001E2D2E"/>
    <w:rsid w:val="001E2ED8"/>
    <w:rsid w:val="001E302C"/>
    <w:rsid w:val="001E32BB"/>
    <w:rsid w:val="001E34A3"/>
    <w:rsid w:val="001E39A3"/>
    <w:rsid w:val="001E3D6E"/>
    <w:rsid w:val="001E4315"/>
    <w:rsid w:val="001E44B4"/>
    <w:rsid w:val="001E45BB"/>
    <w:rsid w:val="001E4849"/>
    <w:rsid w:val="001E4E98"/>
    <w:rsid w:val="001E5896"/>
    <w:rsid w:val="001E5918"/>
    <w:rsid w:val="001E5B12"/>
    <w:rsid w:val="001E62CE"/>
    <w:rsid w:val="001E64F3"/>
    <w:rsid w:val="001E665E"/>
    <w:rsid w:val="001E6E53"/>
    <w:rsid w:val="001E71F1"/>
    <w:rsid w:val="001E725E"/>
    <w:rsid w:val="001E7848"/>
    <w:rsid w:val="001E7A24"/>
    <w:rsid w:val="001E7E59"/>
    <w:rsid w:val="001E7ED8"/>
    <w:rsid w:val="001F056E"/>
    <w:rsid w:val="001F073C"/>
    <w:rsid w:val="001F0845"/>
    <w:rsid w:val="001F0D0A"/>
    <w:rsid w:val="001F0DCE"/>
    <w:rsid w:val="001F0FFE"/>
    <w:rsid w:val="001F1135"/>
    <w:rsid w:val="001F1B0C"/>
    <w:rsid w:val="001F1D31"/>
    <w:rsid w:val="001F1F50"/>
    <w:rsid w:val="001F22CE"/>
    <w:rsid w:val="001F28E6"/>
    <w:rsid w:val="001F2912"/>
    <w:rsid w:val="001F2B7A"/>
    <w:rsid w:val="001F2F47"/>
    <w:rsid w:val="001F36DC"/>
    <w:rsid w:val="001F3929"/>
    <w:rsid w:val="001F393A"/>
    <w:rsid w:val="001F3F1F"/>
    <w:rsid w:val="001F41F1"/>
    <w:rsid w:val="001F462B"/>
    <w:rsid w:val="001F481C"/>
    <w:rsid w:val="001F4A97"/>
    <w:rsid w:val="001F4F9A"/>
    <w:rsid w:val="001F5016"/>
    <w:rsid w:val="001F519E"/>
    <w:rsid w:val="001F576E"/>
    <w:rsid w:val="001F5E3F"/>
    <w:rsid w:val="001F5EE5"/>
    <w:rsid w:val="001F5FA5"/>
    <w:rsid w:val="001F6896"/>
    <w:rsid w:val="001F68D2"/>
    <w:rsid w:val="001F6AAD"/>
    <w:rsid w:val="001F74BC"/>
    <w:rsid w:val="001F7725"/>
    <w:rsid w:val="001F7CF1"/>
    <w:rsid w:val="001F7F7E"/>
    <w:rsid w:val="001F7FA1"/>
    <w:rsid w:val="00200296"/>
    <w:rsid w:val="002005C5"/>
    <w:rsid w:val="002008AE"/>
    <w:rsid w:val="00200CF1"/>
    <w:rsid w:val="00200F9E"/>
    <w:rsid w:val="002018EB"/>
    <w:rsid w:val="002019B8"/>
    <w:rsid w:val="00201ADB"/>
    <w:rsid w:val="00201BC7"/>
    <w:rsid w:val="00201D53"/>
    <w:rsid w:val="00201F6A"/>
    <w:rsid w:val="0020201F"/>
    <w:rsid w:val="00202084"/>
    <w:rsid w:val="002021B2"/>
    <w:rsid w:val="002028C5"/>
    <w:rsid w:val="00202993"/>
    <w:rsid w:val="00202B61"/>
    <w:rsid w:val="0020344C"/>
    <w:rsid w:val="00203D8B"/>
    <w:rsid w:val="002041D1"/>
    <w:rsid w:val="00204382"/>
    <w:rsid w:val="0020471C"/>
    <w:rsid w:val="00204B5D"/>
    <w:rsid w:val="00204B6C"/>
    <w:rsid w:val="00204D5B"/>
    <w:rsid w:val="00204EEC"/>
    <w:rsid w:val="00204FDC"/>
    <w:rsid w:val="00205071"/>
    <w:rsid w:val="0020510A"/>
    <w:rsid w:val="002054D0"/>
    <w:rsid w:val="002054DF"/>
    <w:rsid w:val="002055B0"/>
    <w:rsid w:val="0020565A"/>
    <w:rsid w:val="002058E5"/>
    <w:rsid w:val="0020608D"/>
    <w:rsid w:val="00206392"/>
    <w:rsid w:val="00206B9E"/>
    <w:rsid w:val="00206C77"/>
    <w:rsid w:val="002072FA"/>
    <w:rsid w:val="0020744E"/>
    <w:rsid w:val="002078F8"/>
    <w:rsid w:val="00207C52"/>
    <w:rsid w:val="00207C71"/>
    <w:rsid w:val="00210481"/>
    <w:rsid w:val="002104C4"/>
    <w:rsid w:val="0021071A"/>
    <w:rsid w:val="00210FAA"/>
    <w:rsid w:val="00211010"/>
    <w:rsid w:val="002110C8"/>
    <w:rsid w:val="00211265"/>
    <w:rsid w:val="00211340"/>
    <w:rsid w:val="00211B23"/>
    <w:rsid w:val="00211F51"/>
    <w:rsid w:val="002122CE"/>
    <w:rsid w:val="002125BC"/>
    <w:rsid w:val="002133D3"/>
    <w:rsid w:val="002134EE"/>
    <w:rsid w:val="00213CC6"/>
    <w:rsid w:val="00214438"/>
    <w:rsid w:val="00214B5C"/>
    <w:rsid w:val="00214CFF"/>
    <w:rsid w:val="00215787"/>
    <w:rsid w:val="00215B63"/>
    <w:rsid w:val="00215BE6"/>
    <w:rsid w:val="00215D32"/>
    <w:rsid w:val="00215FB6"/>
    <w:rsid w:val="002165E1"/>
    <w:rsid w:val="00216742"/>
    <w:rsid w:val="00216816"/>
    <w:rsid w:val="00216CD4"/>
    <w:rsid w:val="00216D3A"/>
    <w:rsid w:val="00217873"/>
    <w:rsid w:val="002179EB"/>
    <w:rsid w:val="00217EA0"/>
    <w:rsid w:val="002205E6"/>
    <w:rsid w:val="002205EB"/>
    <w:rsid w:val="00220E87"/>
    <w:rsid w:val="00220FE5"/>
    <w:rsid w:val="0022112C"/>
    <w:rsid w:val="00221281"/>
    <w:rsid w:val="0022174B"/>
    <w:rsid w:val="00221820"/>
    <w:rsid w:val="00221983"/>
    <w:rsid w:val="00221C04"/>
    <w:rsid w:val="002220AD"/>
    <w:rsid w:val="002220B6"/>
    <w:rsid w:val="0022222A"/>
    <w:rsid w:val="00222240"/>
    <w:rsid w:val="0022254D"/>
    <w:rsid w:val="0022282D"/>
    <w:rsid w:val="00222C06"/>
    <w:rsid w:val="00223152"/>
    <w:rsid w:val="0022316E"/>
    <w:rsid w:val="00223282"/>
    <w:rsid w:val="0022329F"/>
    <w:rsid w:val="002234A6"/>
    <w:rsid w:val="00223829"/>
    <w:rsid w:val="00223B03"/>
    <w:rsid w:val="00223BCE"/>
    <w:rsid w:val="002246F6"/>
    <w:rsid w:val="00224C14"/>
    <w:rsid w:val="00224FB2"/>
    <w:rsid w:val="002250C2"/>
    <w:rsid w:val="00225226"/>
    <w:rsid w:val="0022530A"/>
    <w:rsid w:val="0022567F"/>
    <w:rsid w:val="00225D88"/>
    <w:rsid w:val="00225FCB"/>
    <w:rsid w:val="002262C0"/>
    <w:rsid w:val="00226E33"/>
    <w:rsid w:val="002271C4"/>
    <w:rsid w:val="002273AD"/>
    <w:rsid w:val="00227D10"/>
    <w:rsid w:val="002300D6"/>
    <w:rsid w:val="00230533"/>
    <w:rsid w:val="00230BAF"/>
    <w:rsid w:val="00231133"/>
    <w:rsid w:val="002319FB"/>
    <w:rsid w:val="00231A18"/>
    <w:rsid w:val="00232510"/>
    <w:rsid w:val="002325E9"/>
    <w:rsid w:val="00232D97"/>
    <w:rsid w:val="00232DAC"/>
    <w:rsid w:val="00232E72"/>
    <w:rsid w:val="00233207"/>
    <w:rsid w:val="00233279"/>
    <w:rsid w:val="00233296"/>
    <w:rsid w:val="002333F3"/>
    <w:rsid w:val="00233714"/>
    <w:rsid w:val="00233AF4"/>
    <w:rsid w:val="00233B8E"/>
    <w:rsid w:val="00233F1F"/>
    <w:rsid w:val="00233FC5"/>
    <w:rsid w:val="002340D4"/>
    <w:rsid w:val="00234110"/>
    <w:rsid w:val="002341D4"/>
    <w:rsid w:val="00234259"/>
    <w:rsid w:val="00234403"/>
    <w:rsid w:val="0023450E"/>
    <w:rsid w:val="002345F2"/>
    <w:rsid w:val="00234A4B"/>
    <w:rsid w:val="00234C73"/>
    <w:rsid w:val="0023501F"/>
    <w:rsid w:val="002354BF"/>
    <w:rsid w:val="0023571A"/>
    <w:rsid w:val="0023594D"/>
    <w:rsid w:val="002359E3"/>
    <w:rsid w:val="00235C8B"/>
    <w:rsid w:val="00236156"/>
    <w:rsid w:val="00236168"/>
    <w:rsid w:val="0023624C"/>
    <w:rsid w:val="0023624E"/>
    <w:rsid w:val="002363A0"/>
    <w:rsid w:val="0023663E"/>
    <w:rsid w:val="00236DE8"/>
    <w:rsid w:val="002373F8"/>
    <w:rsid w:val="0023783E"/>
    <w:rsid w:val="00237F09"/>
    <w:rsid w:val="00240051"/>
    <w:rsid w:val="00240444"/>
    <w:rsid w:val="002406E1"/>
    <w:rsid w:val="00240D0F"/>
    <w:rsid w:val="0024108F"/>
    <w:rsid w:val="002411F9"/>
    <w:rsid w:val="00241463"/>
    <w:rsid w:val="002419D6"/>
    <w:rsid w:val="00242050"/>
    <w:rsid w:val="002425EA"/>
    <w:rsid w:val="0024260B"/>
    <w:rsid w:val="00242906"/>
    <w:rsid w:val="00242A35"/>
    <w:rsid w:val="00242BC3"/>
    <w:rsid w:val="00242C90"/>
    <w:rsid w:val="00242EA0"/>
    <w:rsid w:val="0024354F"/>
    <w:rsid w:val="00243685"/>
    <w:rsid w:val="0024399E"/>
    <w:rsid w:val="00243C83"/>
    <w:rsid w:val="00243E2D"/>
    <w:rsid w:val="00243F24"/>
    <w:rsid w:val="0024459C"/>
    <w:rsid w:val="002448C0"/>
    <w:rsid w:val="00244A00"/>
    <w:rsid w:val="00245050"/>
    <w:rsid w:val="0024540A"/>
    <w:rsid w:val="002456A1"/>
    <w:rsid w:val="002459D3"/>
    <w:rsid w:val="00245AD1"/>
    <w:rsid w:val="00245AD9"/>
    <w:rsid w:val="00245BCD"/>
    <w:rsid w:val="00246A42"/>
    <w:rsid w:val="00246BDF"/>
    <w:rsid w:val="00246ECC"/>
    <w:rsid w:val="002470BB"/>
    <w:rsid w:val="00247237"/>
    <w:rsid w:val="00250365"/>
    <w:rsid w:val="002503E5"/>
    <w:rsid w:val="0025081D"/>
    <w:rsid w:val="00250FBD"/>
    <w:rsid w:val="0025112D"/>
    <w:rsid w:val="00251168"/>
    <w:rsid w:val="00251476"/>
    <w:rsid w:val="0025147D"/>
    <w:rsid w:val="00251E87"/>
    <w:rsid w:val="002522FC"/>
    <w:rsid w:val="0025237B"/>
    <w:rsid w:val="002526AD"/>
    <w:rsid w:val="00252859"/>
    <w:rsid w:val="00252C8F"/>
    <w:rsid w:val="00252D61"/>
    <w:rsid w:val="00252E34"/>
    <w:rsid w:val="00252F39"/>
    <w:rsid w:val="002530DE"/>
    <w:rsid w:val="002530E7"/>
    <w:rsid w:val="002532B4"/>
    <w:rsid w:val="0025374A"/>
    <w:rsid w:val="00253922"/>
    <w:rsid w:val="00253B8B"/>
    <w:rsid w:val="00253CC6"/>
    <w:rsid w:val="00253F36"/>
    <w:rsid w:val="002541AD"/>
    <w:rsid w:val="002541DE"/>
    <w:rsid w:val="00254637"/>
    <w:rsid w:val="0025467F"/>
    <w:rsid w:val="002546FB"/>
    <w:rsid w:val="00254704"/>
    <w:rsid w:val="0025487C"/>
    <w:rsid w:val="00254AE2"/>
    <w:rsid w:val="00254E15"/>
    <w:rsid w:val="00254EEB"/>
    <w:rsid w:val="00254F0B"/>
    <w:rsid w:val="00254F66"/>
    <w:rsid w:val="00255174"/>
    <w:rsid w:val="002552A8"/>
    <w:rsid w:val="0025551D"/>
    <w:rsid w:val="002557A0"/>
    <w:rsid w:val="002558F1"/>
    <w:rsid w:val="00255988"/>
    <w:rsid w:val="00255BED"/>
    <w:rsid w:val="00256132"/>
    <w:rsid w:val="0025613F"/>
    <w:rsid w:val="002561A2"/>
    <w:rsid w:val="00256278"/>
    <w:rsid w:val="0025643D"/>
    <w:rsid w:val="00256FE5"/>
    <w:rsid w:val="00257012"/>
    <w:rsid w:val="0025706F"/>
    <w:rsid w:val="00257327"/>
    <w:rsid w:val="0025762F"/>
    <w:rsid w:val="00257B1E"/>
    <w:rsid w:val="00257C43"/>
    <w:rsid w:val="00257F91"/>
    <w:rsid w:val="0026014A"/>
    <w:rsid w:val="00260316"/>
    <w:rsid w:val="0026031B"/>
    <w:rsid w:val="0026054E"/>
    <w:rsid w:val="00260A1D"/>
    <w:rsid w:val="00260CB3"/>
    <w:rsid w:val="00260CF9"/>
    <w:rsid w:val="00261471"/>
    <w:rsid w:val="00261BA6"/>
    <w:rsid w:val="00261DC6"/>
    <w:rsid w:val="00262060"/>
    <w:rsid w:val="002623FB"/>
    <w:rsid w:val="002627F7"/>
    <w:rsid w:val="00262895"/>
    <w:rsid w:val="00262C13"/>
    <w:rsid w:val="00262E3F"/>
    <w:rsid w:val="00262E4C"/>
    <w:rsid w:val="00263487"/>
    <w:rsid w:val="00263A45"/>
    <w:rsid w:val="00263B5D"/>
    <w:rsid w:val="002645AF"/>
    <w:rsid w:val="00264623"/>
    <w:rsid w:val="00264773"/>
    <w:rsid w:val="002649BF"/>
    <w:rsid w:val="00264AE1"/>
    <w:rsid w:val="00264B29"/>
    <w:rsid w:val="00264E52"/>
    <w:rsid w:val="00264F20"/>
    <w:rsid w:val="002651FC"/>
    <w:rsid w:val="002654BB"/>
    <w:rsid w:val="00265874"/>
    <w:rsid w:val="002659A6"/>
    <w:rsid w:val="00265BDC"/>
    <w:rsid w:val="00265D1F"/>
    <w:rsid w:val="00265EEE"/>
    <w:rsid w:val="002665B3"/>
    <w:rsid w:val="00266B99"/>
    <w:rsid w:val="00267032"/>
    <w:rsid w:val="00267496"/>
    <w:rsid w:val="00270168"/>
    <w:rsid w:val="0027075B"/>
    <w:rsid w:val="00270899"/>
    <w:rsid w:val="00270AC6"/>
    <w:rsid w:val="00270BA2"/>
    <w:rsid w:val="00270BBC"/>
    <w:rsid w:val="00270EC5"/>
    <w:rsid w:val="00271139"/>
    <w:rsid w:val="002713EB"/>
    <w:rsid w:val="00271537"/>
    <w:rsid w:val="002715E7"/>
    <w:rsid w:val="00271BD7"/>
    <w:rsid w:val="0027242C"/>
    <w:rsid w:val="00272941"/>
    <w:rsid w:val="00272C77"/>
    <w:rsid w:val="002731D7"/>
    <w:rsid w:val="0027331C"/>
    <w:rsid w:val="00273459"/>
    <w:rsid w:val="0027358E"/>
    <w:rsid w:val="002737BE"/>
    <w:rsid w:val="002748F2"/>
    <w:rsid w:val="002749C1"/>
    <w:rsid w:val="00274E6B"/>
    <w:rsid w:val="0027575E"/>
    <w:rsid w:val="002757E6"/>
    <w:rsid w:val="002757FC"/>
    <w:rsid w:val="002759D2"/>
    <w:rsid w:val="002769E0"/>
    <w:rsid w:val="00276A4D"/>
    <w:rsid w:val="00276C8A"/>
    <w:rsid w:val="00276C8F"/>
    <w:rsid w:val="00277352"/>
    <w:rsid w:val="00277566"/>
    <w:rsid w:val="002777BB"/>
    <w:rsid w:val="00277D40"/>
    <w:rsid w:val="002801F4"/>
    <w:rsid w:val="00280321"/>
    <w:rsid w:val="002805BA"/>
    <w:rsid w:val="0028066D"/>
    <w:rsid w:val="00280B09"/>
    <w:rsid w:val="00280B5B"/>
    <w:rsid w:val="00280D8D"/>
    <w:rsid w:val="00280E59"/>
    <w:rsid w:val="002816AE"/>
    <w:rsid w:val="00281708"/>
    <w:rsid w:val="0028195C"/>
    <w:rsid w:val="00281CAE"/>
    <w:rsid w:val="00281DCF"/>
    <w:rsid w:val="00282356"/>
    <w:rsid w:val="00282A13"/>
    <w:rsid w:val="00282F07"/>
    <w:rsid w:val="00283238"/>
    <w:rsid w:val="0028325F"/>
    <w:rsid w:val="002836DF"/>
    <w:rsid w:val="002839AB"/>
    <w:rsid w:val="00283C7D"/>
    <w:rsid w:val="002840A1"/>
    <w:rsid w:val="00284416"/>
    <w:rsid w:val="002845DD"/>
    <w:rsid w:val="00284989"/>
    <w:rsid w:val="00284C29"/>
    <w:rsid w:val="00285775"/>
    <w:rsid w:val="0028586F"/>
    <w:rsid w:val="00285ACB"/>
    <w:rsid w:val="00285D32"/>
    <w:rsid w:val="002861AB"/>
    <w:rsid w:val="002863B9"/>
    <w:rsid w:val="00286E76"/>
    <w:rsid w:val="0028704D"/>
    <w:rsid w:val="00287596"/>
    <w:rsid w:val="0028777E"/>
    <w:rsid w:val="002877EB"/>
    <w:rsid w:val="00287DE8"/>
    <w:rsid w:val="00287E1E"/>
    <w:rsid w:val="00287E9C"/>
    <w:rsid w:val="002909E8"/>
    <w:rsid w:val="00290F97"/>
    <w:rsid w:val="00291004"/>
    <w:rsid w:val="002912AC"/>
    <w:rsid w:val="00291576"/>
    <w:rsid w:val="0029177F"/>
    <w:rsid w:val="00291928"/>
    <w:rsid w:val="00291CD7"/>
    <w:rsid w:val="0029220A"/>
    <w:rsid w:val="002923DF"/>
    <w:rsid w:val="00292765"/>
    <w:rsid w:val="0029289C"/>
    <w:rsid w:val="002928F4"/>
    <w:rsid w:val="00292923"/>
    <w:rsid w:val="00292DE9"/>
    <w:rsid w:val="00293431"/>
    <w:rsid w:val="00293818"/>
    <w:rsid w:val="00293A1D"/>
    <w:rsid w:val="00293C37"/>
    <w:rsid w:val="00293D47"/>
    <w:rsid w:val="002942D2"/>
    <w:rsid w:val="002946E6"/>
    <w:rsid w:val="00294BD9"/>
    <w:rsid w:val="00294FE0"/>
    <w:rsid w:val="0029560D"/>
    <w:rsid w:val="002958BE"/>
    <w:rsid w:val="00295E76"/>
    <w:rsid w:val="00295F94"/>
    <w:rsid w:val="002960DA"/>
    <w:rsid w:val="002961B3"/>
    <w:rsid w:val="002962CC"/>
    <w:rsid w:val="00296A5F"/>
    <w:rsid w:val="00296A64"/>
    <w:rsid w:val="00296D5D"/>
    <w:rsid w:val="0029710E"/>
    <w:rsid w:val="00297129"/>
    <w:rsid w:val="002972A3"/>
    <w:rsid w:val="002974F2"/>
    <w:rsid w:val="00297730"/>
    <w:rsid w:val="002977D0"/>
    <w:rsid w:val="00297BB1"/>
    <w:rsid w:val="002A0A4F"/>
    <w:rsid w:val="002A1185"/>
    <w:rsid w:val="002A1EB0"/>
    <w:rsid w:val="002A2035"/>
    <w:rsid w:val="002A25AF"/>
    <w:rsid w:val="002A25FD"/>
    <w:rsid w:val="002A27D2"/>
    <w:rsid w:val="002A2A4D"/>
    <w:rsid w:val="002A2A8B"/>
    <w:rsid w:val="002A2C50"/>
    <w:rsid w:val="002A2DC9"/>
    <w:rsid w:val="002A3036"/>
    <w:rsid w:val="002A36C7"/>
    <w:rsid w:val="002A3811"/>
    <w:rsid w:val="002A391F"/>
    <w:rsid w:val="002A3D4B"/>
    <w:rsid w:val="002A4103"/>
    <w:rsid w:val="002A4171"/>
    <w:rsid w:val="002A4207"/>
    <w:rsid w:val="002A4503"/>
    <w:rsid w:val="002A4F4C"/>
    <w:rsid w:val="002A4FD7"/>
    <w:rsid w:val="002A500B"/>
    <w:rsid w:val="002A511B"/>
    <w:rsid w:val="002A54A8"/>
    <w:rsid w:val="002A566E"/>
    <w:rsid w:val="002A5A12"/>
    <w:rsid w:val="002A5A7B"/>
    <w:rsid w:val="002A6017"/>
    <w:rsid w:val="002A6471"/>
    <w:rsid w:val="002A6477"/>
    <w:rsid w:val="002A64A7"/>
    <w:rsid w:val="002A68DC"/>
    <w:rsid w:val="002A6DB0"/>
    <w:rsid w:val="002A6EFF"/>
    <w:rsid w:val="002A6F90"/>
    <w:rsid w:val="002A7321"/>
    <w:rsid w:val="002A7722"/>
    <w:rsid w:val="002A7897"/>
    <w:rsid w:val="002A78B6"/>
    <w:rsid w:val="002A78B9"/>
    <w:rsid w:val="002A791D"/>
    <w:rsid w:val="002A7CAF"/>
    <w:rsid w:val="002B0162"/>
    <w:rsid w:val="002B05B8"/>
    <w:rsid w:val="002B0A3C"/>
    <w:rsid w:val="002B123B"/>
    <w:rsid w:val="002B1428"/>
    <w:rsid w:val="002B199F"/>
    <w:rsid w:val="002B21C0"/>
    <w:rsid w:val="002B26B0"/>
    <w:rsid w:val="002B27F9"/>
    <w:rsid w:val="002B28CD"/>
    <w:rsid w:val="002B29CB"/>
    <w:rsid w:val="002B2B88"/>
    <w:rsid w:val="002B2C43"/>
    <w:rsid w:val="002B306A"/>
    <w:rsid w:val="002B3091"/>
    <w:rsid w:val="002B30AC"/>
    <w:rsid w:val="002B3451"/>
    <w:rsid w:val="002B3BFB"/>
    <w:rsid w:val="002B3CD8"/>
    <w:rsid w:val="002B4264"/>
    <w:rsid w:val="002B448D"/>
    <w:rsid w:val="002B46D4"/>
    <w:rsid w:val="002B4941"/>
    <w:rsid w:val="002B49B4"/>
    <w:rsid w:val="002B4E28"/>
    <w:rsid w:val="002B4FB6"/>
    <w:rsid w:val="002B529F"/>
    <w:rsid w:val="002B5584"/>
    <w:rsid w:val="002B564F"/>
    <w:rsid w:val="002B5929"/>
    <w:rsid w:val="002B5B68"/>
    <w:rsid w:val="002B5BEB"/>
    <w:rsid w:val="002B5CE0"/>
    <w:rsid w:val="002B5D74"/>
    <w:rsid w:val="002B5D8A"/>
    <w:rsid w:val="002B6259"/>
    <w:rsid w:val="002B67CA"/>
    <w:rsid w:val="002B6817"/>
    <w:rsid w:val="002B6971"/>
    <w:rsid w:val="002B6C2A"/>
    <w:rsid w:val="002B6CC6"/>
    <w:rsid w:val="002B707D"/>
    <w:rsid w:val="002B7270"/>
    <w:rsid w:val="002B72AB"/>
    <w:rsid w:val="002B7302"/>
    <w:rsid w:val="002B7435"/>
    <w:rsid w:val="002B767D"/>
    <w:rsid w:val="002B7ADB"/>
    <w:rsid w:val="002B7F36"/>
    <w:rsid w:val="002C00F5"/>
    <w:rsid w:val="002C0511"/>
    <w:rsid w:val="002C0F26"/>
    <w:rsid w:val="002C1543"/>
    <w:rsid w:val="002C17C7"/>
    <w:rsid w:val="002C1BBC"/>
    <w:rsid w:val="002C1D2F"/>
    <w:rsid w:val="002C2154"/>
    <w:rsid w:val="002C247C"/>
    <w:rsid w:val="002C2731"/>
    <w:rsid w:val="002C2787"/>
    <w:rsid w:val="002C31EC"/>
    <w:rsid w:val="002C3381"/>
    <w:rsid w:val="002C349E"/>
    <w:rsid w:val="002C34C6"/>
    <w:rsid w:val="002C578A"/>
    <w:rsid w:val="002C578C"/>
    <w:rsid w:val="002C5BFD"/>
    <w:rsid w:val="002C618A"/>
    <w:rsid w:val="002C6342"/>
    <w:rsid w:val="002C6456"/>
    <w:rsid w:val="002C664A"/>
    <w:rsid w:val="002C6907"/>
    <w:rsid w:val="002C6DA5"/>
    <w:rsid w:val="002C7069"/>
    <w:rsid w:val="002C719E"/>
    <w:rsid w:val="002C7282"/>
    <w:rsid w:val="002C7290"/>
    <w:rsid w:val="002C73A2"/>
    <w:rsid w:val="002C7B11"/>
    <w:rsid w:val="002C7B88"/>
    <w:rsid w:val="002C7C13"/>
    <w:rsid w:val="002D00ED"/>
    <w:rsid w:val="002D06C1"/>
    <w:rsid w:val="002D0B93"/>
    <w:rsid w:val="002D0CF4"/>
    <w:rsid w:val="002D0EE1"/>
    <w:rsid w:val="002D0EF2"/>
    <w:rsid w:val="002D1242"/>
    <w:rsid w:val="002D12E0"/>
    <w:rsid w:val="002D1F27"/>
    <w:rsid w:val="002D1FBD"/>
    <w:rsid w:val="002D1FCA"/>
    <w:rsid w:val="002D208C"/>
    <w:rsid w:val="002D20F9"/>
    <w:rsid w:val="002D230A"/>
    <w:rsid w:val="002D23E6"/>
    <w:rsid w:val="002D24AC"/>
    <w:rsid w:val="002D2768"/>
    <w:rsid w:val="002D2FCA"/>
    <w:rsid w:val="002D3374"/>
    <w:rsid w:val="002D37CF"/>
    <w:rsid w:val="002D3901"/>
    <w:rsid w:val="002D3A0E"/>
    <w:rsid w:val="002D3EE2"/>
    <w:rsid w:val="002D4334"/>
    <w:rsid w:val="002D4AA7"/>
    <w:rsid w:val="002D5192"/>
    <w:rsid w:val="002D5490"/>
    <w:rsid w:val="002D56C7"/>
    <w:rsid w:val="002D6044"/>
    <w:rsid w:val="002D637D"/>
    <w:rsid w:val="002D6C17"/>
    <w:rsid w:val="002D6CDF"/>
    <w:rsid w:val="002D7823"/>
    <w:rsid w:val="002D7CCA"/>
    <w:rsid w:val="002E0407"/>
    <w:rsid w:val="002E04DB"/>
    <w:rsid w:val="002E04E5"/>
    <w:rsid w:val="002E0513"/>
    <w:rsid w:val="002E0889"/>
    <w:rsid w:val="002E0983"/>
    <w:rsid w:val="002E0E68"/>
    <w:rsid w:val="002E1562"/>
    <w:rsid w:val="002E16CB"/>
    <w:rsid w:val="002E18EF"/>
    <w:rsid w:val="002E1B26"/>
    <w:rsid w:val="002E2522"/>
    <w:rsid w:val="002E2824"/>
    <w:rsid w:val="002E2ACE"/>
    <w:rsid w:val="002E2E45"/>
    <w:rsid w:val="002E2F5A"/>
    <w:rsid w:val="002E31BC"/>
    <w:rsid w:val="002E35EE"/>
    <w:rsid w:val="002E389F"/>
    <w:rsid w:val="002E4293"/>
    <w:rsid w:val="002E466F"/>
    <w:rsid w:val="002E489A"/>
    <w:rsid w:val="002E496D"/>
    <w:rsid w:val="002E498D"/>
    <w:rsid w:val="002E4B6D"/>
    <w:rsid w:val="002E4BA9"/>
    <w:rsid w:val="002E4C2D"/>
    <w:rsid w:val="002E4F3E"/>
    <w:rsid w:val="002E517B"/>
    <w:rsid w:val="002E5285"/>
    <w:rsid w:val="002E562B"/>
    <w:rsid w:val="002E5DDE"/>
    <w:rsid w:val="002E5DEA"/>
    <w:rsid w:val="002E5EE1"/>
    <w:rsid w:val="002E61B3"/>
    <w:rsid w:val="002E64D0"/>
    <w:rsid w:val="002E66A0"/>
    <w:rsid w:val="002E6CBB"/>
    <w:rsid w:val="002E724A"/>
    <w:rsid w:val="002E7668"/>
    <w:rsid w:val="002E7F3B"/>
    <w:rsid w:val="002F0167"/>
    <w:rsid w:val="002F078A"/>
    <w:rsid w:val="002F082A"/>
    <w:rsid w:val="002F0FD4"/>
    <w:rsid w:val="002F14EA"/>
    <w:rsid w:val="002F14F8"/>
    <w:rsid w:val="002F17AB"/>
    <w:rsid w:val="002F2014"/>
    <w:rsid w:val="002F217E"/>
    <w:rsid w:val="002F22DE"/>
    <w:rsid w:val="002F26E6"/>
    <w:rsid w:val="002F2893"/>
    <w:rsid w:val="002F2E94"/>
    <w:rsid w:val="002F311E"/>
    <w:rsid w:val="002F313A"/>
    <w:rsid w:val="002F345B"/>
    <w:rsid w:val="002F39BA"/>
    <w:rsid w:val="002F3CBD"/>
    <w:rsid w:val="002F4183"/>
    <w:rsid w:val="002F42BE"/>
    <w:rsid w:val="002F4515"/>
    <w:rsid w:val="002F48F8"/>
    <w:rsid w:val="002F4F27"/>
    <w:rsid w:val="002F500C"/>
    <w:rsid w:val="002F5109"/>
    <w:rsid w:val="002F5175"/>
    <w:rsid w:val="002F5856"/>
    <w:rsid w:val="002F5929"/>
    <w:rsid w:val="002F5FEC"/>
    <w:rsid w:val="002F60E6"/>
    <w:rsid w:val="002F632D"/>
    <w:rsid w:val="002F6478"/>
    <w:rsid w:val="002F6A5C"/>
    <w:rsid w:val="002F6B25"/>
    <w:rsid w:val="002F6E9C"/>
    <w:rsid w:val="002F71B8"/>
    <w:rsid w:val="002F71F4"/>
    <w:rsid w:val="002F745B"/>
    <w:rsid w:val="002F7993"/>
    <w:rsid w:val="002F79D8"/>
    <w:rsid w:val="002F79E7"/>
    <w:rsid w:val="002F7A30"/>
    <w:rsid w:val="002F7C40"/>
    <w:rsid w:val="002F7F9B"/>
    <w:rsid w:val="0030036C"/>
    <w:rsid w:val="00300718"/>
    <w:rsid w:val="00300D7C"/>
    <w:rsid w:val="00301180"/>
    <w:rsid w:val="003017F2"/>
    <w:rsid w:val="00301E18"/>
    <w:rsid w:val="00301EA1"/>
    <w:rsid w:val="00301EF0"/>
    <w:rsid w:val="00301F26"/>
    <w:rsid w:val="003025C5"/>
    <w:rsid w:val="003026DB"/>
    <w:rsid w:val="0030276E"/>
    <w:rsid w:val="00302850"/>
    <w:rsid w:val="0030293A"/>
    <w:rsid w:val="0030298D"/>
    <w:rsid w:val="00302CC1"/>
    <w:rsid w:val="00302FCC"/>
    <w:rsid w:val="00303069"/>
    <w:rsid w:val="0030308F"/>
    <w:rsid w:val="00303147"/>
    <w:rsid w:val="0030328B"/>
    <w:rsid w:val="003035EA"/>
    <w:rsid w:val="00304198"/>
    <w:rsid w:val="00304B60"/>
    <w:rsid w:val="00304D85"/>
    <w:rsid w:val="00304E0F"/>
    <w:rsid w:val="00304E7C"/>
    <w:rsid w:val="003057E3"/>
    <w:rsid w:val="003059AD"/>
    <w:rsid w:val="00305E0B"/>
    <w:rsid w:val="00305F0A"/>
    <w:rsid w:val="00305F9D"/>
    <w:rsid w:val="003061F6"/>
    <w:rsid w:val="003062AE"/>
    <w:rsid w:val="00306349"/>
    <w:rsid w:val="003065BB"/>
    <w:rsid w:val="003065BE"/>
    <w:rsid w:val="003065FC"/>
    <w:rsid w:val="0030676A"/>
    <w:rsid w:val="00306E6E"/>
    <w:rsid w:val="00306F0C"/>
    <w:rsid w:val="003072EC"/>
    <w:rsid w:val="0030797A"/>
    <w:rsid w:val="00307C0A"/>
    <w:rsid w:val="00307C4C"/>
    <w:rsid w:val="003100D0"/>
    <w:rsid w:val="0031033B"/>
    <w:rsid w:val="00310386"/>
    <w:rsid w:val="00310894"/>
    <w:rsid w:val="00310E37"/>
    <w:rsid w:val="00310FE1"/>
    <w:rsid w:val="00311496"/>
    <w:rsid w:val="003117BA"/>
    <w:rsid w:val="003118EE"/>
    <w:rsid w:val="00311DD0"/>
    <w:rsid w:val="00311ED6"/>
    <w:rsid w:val="00312638"/>
    <w:rsid w:val="00312667"/>
    <w:rsid w:val="00312854"/>
    <w:rsid w:val="003128BF"/>
    <w:rsid w:val="0031310C"/>
    <w:rsid w:val="00313921"/>
    <w:rsid w:val="00313A9C"/>
    <w:rsid w:val="0031413C"/>
    <w:rsid w:val="003145A2"/>
    <w:rsid w:val="0031480D"/>
    <w:rsid w:val="003149F2"/>
    <w:rsid w:val="00314BDF"/>
    <w:rsid w:val="00314BFC"/>
    <w:rsid w:val="00315514"/>
    <w:rsid w:val="003157A8"/>
    <w:rsid w:val="00315ED3"/>
    <w:rsid w:val="00316055"/>
    <w:rsid w:val="0031612F"/>
    <w:rsid w:val="00316293"/>
    <w:rsid w:val="003162EB"/>
    <w:rsid w:val="0031653E"/>
    <w:rsid w:val="00316682"/>
    <w:rsid w:val="00316799"/>
    <w:rsid w:val="00316B11"/>
    <w:rsid w:val="00316D89"/>
    <w:rsid w:val="003170CD"/>
    <w:rsid w:val="003171A9"/>
    <w:rsid w:val="00317917"/>
    <w:rsid w:val="00317958"/>
    <w:rsid w:val="00317A1D"/>
    <w:rsid w:val="00317E18"/>
    <w:rsid w:val="00320636"/>
    <w:rsid w:val="003208AE"/>
    <w:rsid w:val="00320D16"/>
    <w:rsid w:val="003211A4"/>
    <w:rsid w:val="00321818"/>
    <w:rsid w:val="0032193F"/>
    <w:rsid w:val="00321F16"/>
    <w:rsid w:val="00322E28"/>
    <w:rsid w:val="00323CDD"/>
    <w:rsid w:val="00323D45"/>
    <w:rsid w:val="00324141"/>
    <w:rsid w:val="00324195"/>
    <w:rsid w:val="003241BC"/>
    <w:rsid w:val="00324505"/>
    <w:rsid w:val="00324694"/>
    <w:rsid w:val="0032490C"/>
    <w:rsid w:val="00324931"/>
    <w:rsid w:val="00324A61"/>
    <w:rsid w:val="00324B79"/>
    <w:rsid w:val="00324DB0"/>
    <w:rsid w:val="00324FF6"/>
    <w:rsid w:val="0032564F"/>
    <w:rsid w:val="003259A8"/>
    <w:rsid w:val="00325D62"/>
    <w:rsid w:val="00325F71"/>
    <w:rsid w:val="003261EF"/>
    <w:rsid w:val="0032688E"/>
    <w:rsid w:val="00326971"/>
    <w:rsid w:val="00326A1D"/>
    <w:rsid w:val="00326A6E"/>
    <w:rsid w:val="00326AB1"/>
    <w:rsid w:val="00326C3A"/>
    <w:rsid w:val="00326DFB"/>
    <w:rsid w:val="003271F6"/>
    <w:rsid w:val="0032725B"/>
    <w:rsid w:val="0032736E"/>
    <w:rsid w:val="00330038"/>
    <w:rsid w:val="003300D7"/>
    <w:rsid w:val="0033017B"/>
    <w:rsid w:val="00330266"/>
    <w:rsid w:val="00330537"/>
    <w:rsid w:val="00330699"/>
    <w:rsid w:val="00330C09"/>
    <w:rsid w:val="00330DD5"/>
    <w:rsid w:val="00330EF0"/>
    <w:rsid w:val="00331145"/>
    <w:rsid w:val="003311E1"/>
    <w:rsid w:val="003315DA"/>
    <w:rsid w:val="00331A16"/>
    <w:rsid w:val="00331C86"/>
    <w:rsid w:val="00331EF6"/>
    <w:rsid w:val="00332D2D"/>
    <w:rsid w:val="00332F7A"/>
    <w:rsid w:val="00332FC8"/>
    <w:rsid w:val="00333544"/>
    <w:rsid w:val="0033386C"/>
    <w:rsid w:val="00333965"/>
    <w:rsid w:val="00333978"/>
    <w:rsid w:val="00333C84"/>
    <w:rsid w:val="00333E73"/>
    <w:rsid w:val="00333F28"/>
    <w:rsid w:val="003342DF"/>
    <w:rsid w:val="003344AE"/>
    <w:rsid w:val="0033464F"/>
    <w:rsid w:val="00334913"/>
    <w:rsid w:val="0033491A"/>
    <w:rsid w:val="00334ACF"/>
    <w:rsid w:val="00334B54"/>
    <w:rsid w:val="0033554F"/>
    <w:rsid w:val="00335858"/>
    <w:rsid w:val="00335F7F"/>
    <w:rsid w:val="00336542"/>
    <w:rsid w:val="00336597"/>
    <w:rsid w:val="00336CA6"/>
    <w:rsid w:val="00336E8C"/>
    <w:rsid w:val="00336E9E"/>
    <w:rsid w:val="00336EC5"/>
    <w:rsid w:val="0034044B"/>
    <w:rsid w:val="003407D4"/>
    <w:rsid w:val="00340D8D"/>
    <w:rsid w:val="00340E0C"/>
    <w:rsid w:val="00340E5E"/>
    <w:rsid w:val="00340F48"/>
    <w:rsid w:val="00341136"/>
    <w:rsid w:val="00341185"/>
    <w:rsid w:val="003411DE"/>
    <w:rsid w:val="00341284"/>
    <w:rsid w:val="00341A14"/>
    <w:rsid w:val="003425C1"/>
    <w:rsid w:val="003429D1"/>
    <w:rsid w:val="00342EA2"/>
    <w:rsid w:val="00343363"/>
    <w:rsid w:val="00343515"/>
    <w:rsid w:val="00343C78"/>
    <w:rsid w:val="00343F3D"/>
    <w:rsid w:val="00344078"/>
    <w:rsid w:val="00344172"/>
    <w:rsid w:val="00344342"/>
    <w:rsid w:val="00344904"/>
    <w:rsid w:val="00344C37"/>
    <w:rsid w:val="00344EA4"/>
    <w:rsid w:val="003452EB"/>
    <w:rsid w:val="003453EB"/>
    <w:rsid w:val="0034554E"/>
    <w:rsid w:val="00345BD3"/>
    <w:rsid w:val="00345E01"/>
    <w:rsid w:val="0034612B"/>
    <w:rsid w:val="0034615A"/>
    <w:rsid w:val="003461F9"/>
    <w:rsid w:val="003464B1"/>
    <w:rsid w:val="003465F3"/>
    <w:rsid w:val="00346701"/>
    <w:rsid w:val="00346834"/>
    <w:rsid w:val="00346A5A"/>
    <w:rsid w:val="00346C33"/>
    <w:rsid w:val="00347312"/>
    <w:rsid w:val="003475FA"/>
    <w:rsid w:val="00347608"/>
    <w:rsid w:val="003477A7"/>
    <w:rsid w:val="00347A72"/>
    <w:rsid w:val="00347BE1"/>
    <w:rsid w:val="00350044"/>
    <w:rsid w:val="0035045D"/>
    <w:rsid w:val="003505A0"/>
    <w:rsid w:val="00350A58"/>
    <w:rsid w:val="00350C41"/>
    <w:rsid w:val="00351381"/>
    <w:rsid w:val="003515F9"/>
    <w:rsid w:val="0035171A"/>
    <w:rsid w:val="003517A8"/>
    <w:rsid w:val="00351C01"/>
    <w:rsid w:val="00351FA8"/>
    <w:rsid w:val="00352B9A"/>
    <w:rsid w:val="00352EB6"/>
    <w:rsid w:val="003530A6"/>
    <w:rsid w:val="003534A2"/>
    <w:rsid w:val="00353627"/>
    <w:rsid w:val="00354028"/>
    <w:rsid w:val="0035421C"/>
    <w:rsid w:val="00354367"/>
    <w:rsid w:val="00354382"/>
    <w:rsid w:val="003544ED"/>
    <w:rsid w:val="00354AF7"/>
    <w:rsid w:val="00355110"/>
    <w:rsid w:val="00355773"/>
    <w:rsid w:val="00355C3C"/>
    <w:rsid w:val="00355F72"/>
    <w:rsid w:val="0035608F"/>
    <w:rsid w:val="00356284"/>
    <w:rsid w:val="0035673A"/>
    <w:rsid w:val="00356A80"/>
    <w:rsid w:val="00357251"/>
    <w:rsid w:val="00357477"/>
    <w:rsid w:val="00357657"/>
    <w:rsid w:val="00357751"/>
    <w:rsid w:val="003578BC"/>
    <w:rsid w:val="00357AF1"/>
    <w:rsid w:val="00357BF7"/>
    <w:rsid w:val="00357D64"/>
    <w:rsid w:val="00357E32"/>
    <w:rsid w:val="00357FFB"/>
    <w:rsid w:val="0036022E"/>
    <w:rsid w:val="003603D3"/>
    <w:rsid w:val="0036065B"/>
    <w:rsid w:val="0036065F"/>
    <w:rsid w:val="00360D5A"/>
    <w:rsid w:val="00361424"/>
    <w:rsid w:val="0036148B"/>
    <w:rsid w:val="0036194D"/>
    <w:rsid w:val="00361BD1"/>
    <w:rsid w:val="0036222B"/>
    <w:rsid w:val="0036227D"/>
    <w:rsid w:val="00362919"/>
    <w:rsid w:val="00362D72"/>
    <w:rsid w:val="00362E20"/>
    <w:rsid w:val="0036300D"/>
    <w:rsid w:val="00363163"/>
    <w:rsid w:val="00363374"/>
    <w:rsid w:val="00363464"/>
    <w:rsid w:val="00363487"/>
    <w:rsid w:val="0036349A"/>
    <w:rsid w:val="0036367E"/>
    <w:rsid w:val="003637AA"/>
    <w:rsid w:val="003639A6"/>
    <w:rsid w:val="00363F16"/>
    <w:rsid w:val="003645D5"/>
    <w:rsid w:val="003645EF"/>
    <w:rsid w:val="003646B0"/>
    <w:rsid w:val="00364948"/>
    <w:rsid w:val="0036495F"/>
    <w:rsid w:val="003651DA"/>
    <w:rsid w:val="00365244"/>
    <w:rsid w:val="003655ED"/>
    <w:rsid w:val="00365F6F"/>
    <w:rsid w:val="0036630E"/>
    <w:rsid w:val="003663B6"/>
    <w:rsid w:val="00366755"/>
    <w:rsid w:val="003671D8"/>
    <w:rsid w:val="003679AE"/>
    <w:rsid w:val="00367B69"/>
    <w:rsid w:val="00367C42"/>
    <w:rsid w:val="00367E82"/>
    <w:rsid w:val="00367F17"/>
    <w:rsid w:val="00370688"/>
    <w:rsid w:val="00370823"/>
    <w:rsid w:val="0037087D"/>
    <w:rsid w:val="00370BA3"/>
    <w:rsid w:val="00370D1B"/>
    <w:rsid w:val="003712E2"/>
    <w:rsid w:val="003714BA"/>
    <w:rsid w:val="003717C5"/>
    <w:rsid w:val="00371842"/>
    <w:rsid w:val="00372039"/>
    <w:rsid w:val="0037228E"/>
    <w:rsid w:val="00372382"/>
    <w:rsid w:val="00372CE9"/>
    <w:rsid w:val="00372ED3"/>
    <w:rsid w:val="00372EDB"/>
    <w:rsid w:val="00372F72"/>
    <w:rsid w:val="00373C2B"/>
    <w:rsid w:val="00373DC6"/>
    <w:rsid w:val="00374194"/>
    <w:rsid w:val="0037425F"/>
    <w:rsid w:val="003747ED"/>
    <w:rsid w:val="0037493F"/>
    <w:rsid w:val="00374B76"/>
    <w:rsid w:val="00374CD7"/>
    <w:rsid w:val="0037505F"/>
    <w:rsid w:val="00375140"/>
    <w:rsid w:val="00376372"/>
    <w:rsid w:val="00376872"/>
    <w:rsid w:val="00376AF3"/>
    <w:rsid w:val="00376B91"/>
    <w:rsid w:val="003775B7"/>
    <w:rsid w:val="00377AAC"/>
    <w:rsid w:val="00377BC1"/>
    <w:rsid w:val="00377EDA"/>
    <w:rsid w:val="0038008F"/>
    <w:rsid w:val="003800B3"/>
    <w:rsid w:val="003802AE"/>
    <w:rsid w:val="003806B4"/>
    <w:rsid w:val="00380715"/>
    <w:rsid w:val="00380811"/>
    <w:rsid w:val="00380A72"/>
    <w:rsid w:val="00380BED"/>
    <w:rsid w:val="00380EEB"/>
    <w:rsid w:val="00380F9E"/>
    <w:rsid w:val="00381740"/>
    <w:rsid w:val="0038198A"/>
    <w:rsid w:val="003819BB"/>
    <w:rsid w:val="00381A0A"/>
    <w:rsid w:val="00381DC8"/>
    <w:rsid w:val="0038202C"/>
    <w:rsid w:val="003827C5"/>
    <w:rsid w:val="0038281C"/>
    <w:rsid w:val="0038306E"/>
    <w:rsid w:val="003835F3"/>
    <w:rsid w:val="0038366D"/>
    <w:rsid w:val="0038383D"/>
    <w:rsid w:val="00383D64"/>
    <w:rsid w:val="00383EA3"/>
    <w:rsid w:val="00384469"/>
    <w:rsid w:val="00384576"/>
    <w:rsid w:val="00384809"/>
    <w:rsid w:val="00384854"/>
    <w:rsid w:val="00384FEB"/>
    <w:rsid w:val="0038502E"/>
    <w:rsid w:val="0038516B"/>
    <w:rsid w:val="003851BF"/>
    <w:rsid w:val="003855EA"/>
    <w:rsid w:val="0038570E"/>
    <w:rsid w:val="003859D2"/>
    <w:rsid w:val="00385A58"/>
    <w:rsid w:val="00385A64"/>
    <w:rsid w:val="0038635F"/>
    <w:rsid w:val="003864E5"/>
    <w:rsid w:val="00386D1A"/>
    <w:rsid w:val="00386D25"/>
    <w:rsid w:val="00386EEF"/>
    <w:rsid w:val="00386F4F"/>
    <w:rsid w:val="00387117"/>
    <w:rsid w:val="0038747A"/>
    <w:rsid w:val="00387668"/>
    <w:rsid w:val="00387798"/>
    <w:rsid w:val="00387B41"/>
    <w:rsid w:val="00387D03"/>
    <w:rsid w:val="00390131"/>
    <w:rsid w:val="003901B3"/>
    <w:rsid w:val="003901BE"/>
    <w:rsid w:val="00390296"/>
    <w:rsid w:val="0039045D"/>
    <w:rsid w:val="00390831"/>
    <w:rsid w:val="00390853"/>
    <w:rsid w:val="00390D5A"/>
    <w:rsid w:val="00390FB4"/>
    <w:rsid w:val="00391479"/>
    <w:rsid w:val="0039151C"/>
    <w:rsid w:val="0039182E"/>
    <w:rsid w:val="00392446"/>
    <w:rsid w:val="003926FE"/>
    <w:rsid w:val="00392B75"/>
    <w:rsid w:val="00392C8A"/>
    <w:rsid w:val="0039342B"/>
    <w:rsid w:val="003935EA"/>
    <w:rsid w:val="003937D2"/>
    <w:rsid w:val="003938BC"/>
    <w:rsid w:val="00393A26"/>
    <w:rsid w:val="00393B0F"/>
    <w:rsid w:val="00393EE8"/>
    <w:rsid w:val="00394320"/>
    <w:rsid w:val="003943A2"/>
    <w:rsid w:val="003943D8"/>
    <w:rsid w:val="003943FF"/>
    <w:rsid w:val="00394529"/>
    <w:rsid w:val="0039452F"/>
    <w:rsid w:val="00394C83"/>
    <w:rsid w:val="0039517F"/>
    <w:rsid w:val="003953AD"/>
    <w:rsid w:val="003953E0"/>
    <w:rsid w:val="00395628"/>
    <w:rsid w:val="0039572F"/>
    <w:rsid w:val="00395CEB"/>
    <w:rsid w:val="00396339"/>
    <w:rsid w:val="00396476"/>
    <w:rsid w:val="003969BE"/>
    <w:rsid w:val="00396A05"/>
    <w:rsid w:val="00396B08"/>
    <w:rsid w:val="00396CDF"/>
    <w:rsid w:val="00397170"/>
    <w:rsid w:val="003974A1"/>
    <w:rsid w:val="0039781C"/>
    <w:rsid w:val="003979B5"/>
    <w:rsid w:val="00397F2D"/>
    <w:rsid w:val="003A016C"/>
    <w:rsid w:val="003A0299"/>
    <w:rsid w:val="003A04B8"/>
    <w:rsid w:val="003A096A"/>
    <w:rsid w:val="003A0B1E"/>
    <w:rsid w:val="003A0C1B"/>
    <w:rsid w:val="003A0CCA"/>
    <w:rsid w:val="003A0E86"/>
    <w:rsid w:val="003A1265"/>
    <w:rsid w:val="003A219D"/>
    <w:rsid w:val="003A26B3"/>
    <w:rsid w:val="003A2D0A"/>
    <w:rsid w:val="003A2DF2"/>
    <w:rsid w:val="003A3335"/>
    <w:rsid w:val="003A3433"/>
    <w:rsid w:val="003A3E57"/>
    <w:rsid w:val="003A4027"/>
    <w:rsid w:val="003A40EC"/>
    <w:rsid w:val="003A4323"/>
    <w:rsid w:val="003A438A"/>
    <w:rsid w:val="003A47EF"/>
    <w:rsid w:val="003A4CD6"/>
    <w:rsid w:val="003A4CD7"/>
    <w:rsid w:val="003A537E"/>
    <w:rsid w:val="003A59B7"/>
    <w:rsid w:val="003A605D"/>
    <w:rsid w:val="003A660F"/>
    <w:rsid w:val="003A693E"/>
    <w:rsid w:val="003A6C7C"/>
    <w:rsid w:val="003A6D63"/>
    <w:rsid w:val="003A7268"/>
    <w:rsid w:val="003A7595"/>
    <w:rsid w:val="003A7621"/>
    <w:rsid w:val="003A77CA"/>
    <w:rsid w:val="003A7846"/>
    <w:rsid w:val="003A7930"/>
    <w:rsid w:val="003A79A4"/>
    <w:rsid w:val="003A79D3"/>
    <w:rsid w:val="003A7DC7"/>
    <w:rsid w:val="003B095E"/>
    <w:rsid w:val="003B0B28"/>
    <w:rsid w:val="003B0BC2"/>
    <w:rsid w:val="003B0DC8"/>
    <w:rsid w:val="003B0F2B"/>
    <w:rsid w:val="003B11D3"/>
    <w:rsid w:val="003B12D2"/>
    <w:rsid w:val="003B137D"/>
    <w:rsid w:val="003B1553"/>
    <w:rsid w:val="003B18C9"/>
    <w:rsid w:val="003B1FE6"/>
    <w:rsid w:val="003B23DF"/>
    <w:rsid w:val="003B247D"/>
    <w:rsid w:val="003B3184"/>
    <w:rsid w:val="003B3804"/>
    <w:rsid w:val="003B3C35"/>
    <w:rsid w:val="003B40FA"/>
    <w:rsid w:val="003B479A"/>
    <w:rsid w:val="003B488A"/>
    <w:rsid w:val="003B5339"/>
    <w:rsid w:val="003B5734"/>
    <w:rsid w:val="003B5AF5"/>
    <w:rsid w:val="003B5C85"/>
    <w:rsid w:val="003B6214"/>
    <w:rsid w:val="003B6363"/>
    <w:rsid w:val="003B6441"/>
    <w:rsid w:val="003B66B2"/>
    <w:rsid w:val="003B688E"/>
    <w:rsid w:val="003B6906"/>
    <w:rsid w:val="003B6DF9"/>
    <w:rsid w:val="003B7099"/>
    <w:rsid w:val="003B71FE"/>
    <w:rsid w:val="003B72E5"/>
    <w:rsid w:val="003B7303"/>
    <w:rsid w:val="003B7567"/>
    <w:rsid w:val="003B7656"/>
    <w:rsid w:val="003B772F"/>
    <w:rsid w:val="003B7FE2"/>
    <w:rsid w:val="003C0127"/>
    <w:rsid w:val="003C02BF"/>
    <w:rsid w:val="003C055D"/>
    <w:rsid w:val="003C06E9"/>
    <w:rsid w:val="003C084D"/>
    <w:rsid w:val="003C0EAF"/>
    <w:rsid w:val="003C10AA"/>
    <w:rsid w:val="003C1416"/>
    <w:rsid w:val="003C14E2"/>
    <w:rsid w:val="003C1662"/>
    <w:rsid w:val="003C1A9F"/>
    <w:rsid w:val="003C1BF8"/>
    <w:rsid w:val="003C1DF2"/>
    <w:rsid w:val="003C239A"/>
    <w:rsid w:val="003C24E4"/>
    <w:rsid w:val="003C2902"/>
    <w:rsid w:val="003C3EED"/>
    <w:rsid w:val="003C4325"/>
    <w:rsid w:val="003C437B"/>
    <w:rsid w:val="003C43FA"/>
    <w:rsid w:val="003C4463"/>
    <w:rsid w:val="003C4C2E"/>
    <w:rsid w:val="003C4C50"/>
    <w:rsid w:val="003C5300"/>
    <w:rsid w:val="003C549A"/>
    <w:rsid w:val="003C54D2"/>
    <w:rsid w:val="003C5852"/>
    <w:rsid w:val="003C5981"/>
    <w:rsid w:val="003C598F"/>
    <w:rsid w:val="003C5CBE"/>
    <w:rsid w:val="003C614B"/>
    <w:rsid w:val="003C6595"/>
    <w:rsid w:val="003C680E"/>
    <w:rsid w:val="003C687D"/>
    <w:rsid w:val="003C6947"/>
    <w:rsid w:val="003C6A73"/>
    <w:rsid w:val="003C6B3F"/>
    <w:rsid w:val="003C6B7C"/>
    <w:rsid w:val="003C6BA6"/>
    <w:rsid w:val="003C6E20"/>
    <w:rsid w:val="003C777E"/>
    <w:rsid w:val="003C77B1"/>
    <w:rsid w:val="003C7D37"/>
    <w:rsid w:val="003C7F03"/>
    <w:rsid w:val="003D009C"/>
    <w:rsid w:val="003D053F"/>
    <w:rsid w:val="003D0AC2"/>
    <w:rsid w:val="003D0C28"/>
    <w:rsid w:val="003D11A9"/>
    <w:rsid w:val="003D1451"/>
    <w:rsid w:val="003D1624"/>
    <w:rsid w:val="003D16E8"/>
    <w:rsid w:val="003D1A85"/>
    <w:rsid w:val="003D1C72"/>
    <w:rsid w:val="003D1D9F"/>
    <w:rsid w:val="003D1DAD"/>
    <w:rsid w:val="003D1EFA"/>
    <w:rsid w:val="003D1FB3"/>
    <w:rsid w:val="003D25F1"/>
    <w:rsid w:val="003D278F"/>
    <w:rsid w:val="003D2A37"/>
    <w:rsid w:val="003D30CD"/>
    <w:rsid w:val="003D3A1A"/>
    <w:rsid w:val="003D3DC8"/>
    <w:rsid w:val="003D3E6A"/>
    <w:rsid w:val="003D3EBA"/>
    <w:rsid w:val="003D3EFE"/>
    <w:rsid w:val="003D4244"/>
    <w:rsid w:val="003D48E9"/>
    <w:rsid w:val="003D4B58"/>
    <w:rsid w:val="003D5103"/>
    <w:rsid w:val="003D51E8"/>
    <w:rsid w:val="003D539B"/>
    <w:rsid w:val="003D5606"/>
    <w:rsid w:val="003D5658"/>
    <w:rsid w:val="003D5853"/>
    <w:rsid w:val="003D5883"/>
    <w:rsid w:val="003D5BF2"/>
    <w:rsid w:val="003D6252"/>
    <w:rsid w:val="003D6285"/>
    <w:rsid w:val="003D62A1"/>
    <w:rsid w:val="003D6420"/>
    <w:rsid w:val="003D67C7"/>
    <w:rsid w:val="003D6891"/>
    <w:rsid w:val="003D692B"/>
    <w:rsid w:val="003D69EF"/>
    <w:rsid w:val="003D6AC6"/>
    <w:rsid w:val="003D7399"/>
    <w:rsid w:val="003D75DA"/>
    <w:rsid w:val="003D7BFD"/>
    <w:rsid w:val="003E0362"/>
    <w:rsid w:val="003E0986"/>
    <w:rsid w:val="003E0EDB"/>
    <w:rsid w:val="003E115E"/>
    <w:rsid w:val="003E136C"/>
    <w:rsid w:val="003E2B86"/>
    <w:rsid w:val="003E34D2"/>
    <w:rsid w:val="003E3585"/>
    <w:rsid w:val="003E37D7"/>
    <w:rsid w:val="003E387D"/>
    <w:rsid w:val="003E3CE4"/>
    <w:rsid w:val="003E4910"/>
    <w:rsid w:val="003E51B5"/>
    <w:rsid w:val="003E51E7"/>
    <w:rsid w:val="003E534A"/>
    <w:rsid w:val="003E555A"/>
    <w:rsid w:val="003E55A3"/>
    <w:rsid w:val="003E561B"/>
    <w:rsid w:val="003E5B26"/>
    <w:rsid w:val="003E5C46"/>
    <w:rsid w:val="003E5CF1"/>
    <w:rsid w:val="003E6196"/>
    <w:rsid w:val="003E6475"/>
    <w:rsid w:val="003E6501"/>
    <w:rsid w:val="003E654A"/>
    <w:rsid w:val="003E67F9"/>
    <w:rsid w:val="003E749D"/>
    <w:rsid w:val="003E79C6"/>
    <w:rsid w:val="003E7CF4"/>
    <w:rsid w:val="003E7D55"/>
    <w:rsid w:val="003F054D"/>
    <w:rsid w:val="003F0665"/>
    <w:rsid w:val="003F105A"/>
    <w:rsid w:val="003F1792"/>
    <w:rsid w:val="003F1DA9"/>
    <w:rsid w:val="003F1FE3"/>
    <w:rsid w:val="003F2653"/>
    <w:rsid w:val="003F28D7"/>
    <w:rsid w:val="003F2CC6"/>
    <w:rsid w:val="003F2F6D"/>
    <w:rsid w:val="003F321B"/>
    <w:rsid w:val="003F3370"/>
    <w:rsid w:val="003F38AA"/>
    <w:rsid w:val="003F3962"/>
    <w:rsid w:val="003F40CD"/>
    <w:rsid w:val="003F41F8"/>
    <w:rsid w:val="003F4377"/>
    <w:rsid w:val="003F4517"/>
    <w:rsid w:val="003F4677"/>
    <w:rsid w:val="003F4C38"/>
    <w:rsid w:val="003F53AA"/>
    <w:rsid w:val="003F57E6"/>
    <w:rsid w:val="003F5967"/>
    <w:rsid w:val="003F59DF"/>
    <w:rsid w:val="003F5D6E"/>
    <w:rsid w:val="003F5EFB"/>
    <w:rsid w:val="003F6199"/>
    <w:rsid w:val="003F654C"/>
    <w:rsid w:val="003F6B03"/>
    <w:rsid w:val="003F6B0A"/>
    <w:rsid w:val="003F74F3"/>
    <w:rsid w:val="003F759B"/>
    <w:rsid w:val="003F75CC"/>
    <w:rsid w:val="003F7A39"/>
    <w:rsid w:val="00400540"/>
    <w:rsid w:val="00400856"/>
    <w:rsid w:val="004008AF"/>
    <w:rsid w:val="00400D66"/>
    <w:rsid w:val="00400D74"/>
    <w:rsid w:val="00401482"/>
    <w:rsid w:val="004017AC"/>
    <w:rsid w:val="00401B87"/>
    <w:rsid w:val="00401E77"/>
    <w:rsid w:val="00401EDD"/>
    <w:rsid w:val="00401F14"/>
    <w:rsid w:val="004020BD"/>
    <w:rsid w:val="0040245A"/>
    <w:rsid w:val="00402650"/>
    <w:rsid w:val="00402ED3"/>
    <w:rsid w:val="0040339B"/>
    <w:rsid w:val="004033BF"/>
    <w:rsid w:val="0040350B"/>
    <w:rsid w:val="00403C05"/>
    <w:rsid w:val="00403F28"/>
    <w:rsid w:val="00404241"/>
    <w:rsid w:val="004043C0"/>
    <w:rsid w:val="00404420"/>
    <w:rsid w:val="0040445F"/>
    <w:rsid w:val="004044F2"/>
    <w:rsid w:val="00404503"/>
    <w:rsid w:val="004045DE"/>
    <w:rsid w:val="00404B30"/>
    <w:rsid w:val="00404B7C"/>
    <w:rsid w:val="00404C3E"/>
    <w:rsid w:val="00404ECA"/>
    <w:rsid w:val="0040500D"/>
    <w:rsid w:val="0040593C"/>
    <w:rsid w:val="00405EA9"/>
    <w:rsid w:val="00405EC3"/>
    <w:rsid w:val="0040607B"/>
    <w:rsid w:val="004067E0"/>
    <w:rsid w:val="00406884"/>
    <w:rsid w:val="00406CDB"/>
    <w:rsid w:val="00406E85"/>
    <w:rsid w:val="00406EF1"/>
    <w:rsid w:val="00407169"/>
    <w:rsid w:val="004073DC"/>
    <w:rsid w:val="00407500"/>
    <w:rsid w:val="00407623"/>
    <w:rsid w:val="00410056"/>
    <w:rsid w:val="00410269"/>
    <w:rsid w:val="00410307"/>
    <w:rsid w:val="004107BC"/>
    <w:rsid w:val="00411220"/>
    <w:rsid w:val="00411247"/>
    <w:rsid w:val="004112C2"/>
    <w:rsid w:val="004118EE"/>
    <w:rsid w:val="00411D0E"/>
    <w:rsid w:val="00411F2D"/>
    <w:rsid w:val="0041293A"/>
    <w:rsid w:val="0041317F"/>
    <w:rsid w:val="00413348"/>
    <w:rsid w:val="004139A1"/>
    <w:rsid w:val="00413FE6"/>
    <w:rsid w:val="0041413D"/>
    <w:rsid w:val="00414387"/>
    <w:rsid w:val="00414755"/>
    <w:rsid w:val="004148AF"/>
    <w:rsid w:val="0041498A"/>
    <w:rsid w:val="00414A39"/>
    <w:rsid w:val="00414FDC"/>
    <w:rsid w:val="004151CD"/>
    <w:rsid w:val="00415824"/>
    <w:rsid w:val="00415ED8"/>
    <w:rsid w:val="00416189"/>
    <w:rsid w:val="00416479"/>
    <w:rsid w:val="004167DF"/>
    <w:rsid w:val="0041685C"/>
    <w:rsid w:val="0041715D"/>
    <w:rsid w:val="0041731E"/>
    <w:rsid w:val="00417658"/>
    <w:rsid w:val="00417C82"/>
    <w:rsid w:val="00417EF2"/>
    <w:rsid w:val="00417EF7"/>
    <w:rsid w:val="00417FEA"/>
    <w:rsid w:val="004200A4"/>
    <w:rsid w:val="00420540"/>
    <w:rsid w:val="00420AB1"/>
    <w:rsid w:val="00420CB0"/>
    <w:rsid w:val="00420FAA"/>
    <w:rsid w:val="00421288"/>
    <w:rsid w:val="004212FE"/>
    <w:rsid w:val="00421450"/>
    <w:rsid w:val="0042210D"/>
    <w:rsid w:val="004222A9"/>
    <w:rsid w:val="00422831"/>
    <w:rsid w:val="00422BA1"/>
    <w:rsid w:val="00422D36"/>
    <w:rsid w:val="00422F23"/>
    <w:rsid w:val="00423BBB"/>
    <w:rsid w:val="00423F3A"/>
    <w:rsid w:val="004244F8"/>
    <w:rsid w:val="004245AA"/>
    <w:rsid w:val="00424747"/>
    <w:rsid w:val="0042484F"/>
    <w:rsid w:val="00424FF9"/>
    <w:rsid w:val="00425029"/>
    <w:rsid w:val="0042525E"/>
    <w:rsid w:val="00425299"/>
    <w:rsid w:val="004252D7"/>
    <w:rsid w:val="00425565"/>
    <w:rsid w:val="0042565D"/>
    <w:rsid w:val="0042577B"/>
    <w:rsid w:val="00425CF5"/>
    <w:rsid w:val="00426090"/>
    <w:rsid w:val="00426203"/>
    <w:rsid w:val="00426987"/>
    <w:rsid w:val="00426A57"/>
    <w:rsid w:val="00426C29"/>
    <w:rsid w:val="00426CD0"/>
    <w:rsid w:val="00426CF2"/>
    <w:rsid w:val="00426F5D"/>
    <w:rsid w:val="00427157"/>
    <w:rsid w:val="004273AD"/>
    <w:rsid w:val="00427B45"/>
    <w:rsid w:val="00427BDC"/>
    <w:rsid w:val="00427DF4"/>
    <w:rsid w:val="00427E55"/>
    <w:rsid w:val="00430211"/>
    <w:rsid w:val="00430525"/>
    <w:rsid w:val="00430552"/>
    <w:rsid w:val="004308AD"/>
    <w:rsid w:val="00430CE5"/>
    <w:rsid w:val="00430FAD"/>
    <w:rsid w:val="004313BB"/>
    <w:rsid w:val="00431875"/>
    <w:rsid w:val="00432547"/>
    <w:rsid w:val="00432CD2"/>
    <w:rsid w:val="00432E75"/>
    <w:rsid w:val="00433178"/>
    <w:rsid w:val="004337F4"/>
    <w:rsid w:val="00433898"/>
    <w:rsid w:val="00433E86"/>
    <w:rsid w:val="0043426D"/>
    <w:rsid w:val="00434979"/>
    <w:rsid w:val="00434BC3"/>
    <w:rsid w:val="00434D53"/>
    <w:rsid w:val="00434DCC"/>
    <w:rsid w:val="00435587"/>
    <w:rsid w:val="004356E6"/>
    <w:rsid w:val="00435F6D"/>
    <w:rsid w:val="00436024"/>
    <w:rsid w:val="004368AB"/>
    <w:rsid w:val="00436E93"/>
    <w:rsid w:val="0043787B"/>
    <w:rsid w:val="00437BB5"/>
    <w:rsid w:val="00437C9C"/>
    <w:rsid w:val="004409E0"/>
    <w:rsid w:val="00440A0A"/>
    <w:rsid w:val="00440F97"/>
    <w:rsid w:val="0044101C"/>
    <w:rsid w:val="004410FE"/>
    <w:rsid w:val="00441962"/>
    <w:rsid w:val="00441C14"/>
    <w:rsid w:val="00441FA7"/>
    <w:rsid w:val="00441FC4"/>
    <w:rsid w:val="0044251F"/>
    <w:rsid w:val="0044259A"/>
    <w:rsid w:val="004425D8"/>
    <w:rsid w:val="00442607"/>
    <w:rsid w:val="0044267F"/>
    <w:rsid w:val="00442774"/>
    <w:rsid w:val="004428A1"/>
    <w:rsid w:val="0044299C"/>
    <w:rsid w:val="00442C88"/>
    <w:rsid w:val="00442D34"/>
    <w:rsid w:val="00443369"/>
    <w:rsid w:val="004436F6"/>
    <w:rsid w:val="00443A62"/>
    <w:rsid w:val="00443A6E"/>
    <w:rsid w:val="004440D3"/>
    <w:rsid w:val="0044489B"/>
    <w:rsid w:val="004448B0"/>
    <w:rsid w:val="00444A6A"/>
    <w:rsid w:val="00444BF9"/>
    <w:rsid w:val="00445071"/>
    <w:rsid w:val="00445179"/>
    <w:rsid w:val="004451D4"/>
    <w:rsid w:val="00445635"/>
    <w:rsid w:val="00445F5F"/>
    <w:rsid w:val="00446551"/>
    <w:rsid w:val="004469DB"/>
    <w:rsid w:val="00447552"/>
    <w:rsid w:val="00447795"/>
    <w:rsid w:val="00447800"/>
    <w:rsid w:val="00447F53"/>
    <w:rsid w:val="004500EE"/>
    <w:rsid w:val="0045013A"/>
    <w:rsid w:val="004503DA"/>
    <w:rsid w:val="004504BA"/>
    <w:rsid w:val="00450F8A"/>
    <w:rsid w:val="004511D6"/>
    <w:rsid w:val="004514C4"/>
    <w:rsid w:val="0045198D"/>
    <w:rsid w:val="00451A77"/>
    <w:rsid w:val="00451B3D"/>
    <w:rsid w:val="00451C51"/>
    <w:rsid w:val="00451E88"/>
    <w:rsid w:val="004524F5"/>
    <w:rsid w:val="00452AAF"/>
    <w:rsid w:val="004533BB"/>
    <w:rsid w:val="004536B1"/>
    <w:rsid w:val="004537CF"/>
    <w:rsid w:val="0045389C"/>
    <w:rsid w:val="004538A7"/>
    <w:rsid w:val="00453BAE"/>
    <w:rsid w:val="00453D59"/>
    <w:rsid w:val="00454452"/>
    <w:rsid w:val="00454825"/>
    <w:rsid w:val="004548E9"/>
    <w:rsid w:val="004548F9"/>
    <w:rsid w:val="00454945"/>
    <w:rsid w:val="00454B6C"/>
    <w:rsid w:val="00454B9F"/>
    <w:rsid w:val="00454DBA"/>
    <w:rsid w:val="00454E1B"/>
    <w:rsid w:val="00454FD4"/>
    <w:rsid w:val="0045502E"/>
    <w:rsid w:val="0045557B"/>
    <w:rsid w:val="0045592F"/>
    <w:rsid w:val="00455ACA"/>
    <w:rsid w:val="00455CFB"/>
    <w:rsid w:val="00456242"/>
    <w:rsid w:val="00456354"/>
    <w:rsid w:val="00456398"/>
    <w:rsid w:val="00456BBE"/>
    <w:rsid w:val="00457155"/>
    <w:rsid w:val="00457D91"/>
    <w:rsid w:val="00457F06"/>
    <w:rsid w:val="004607B5"/>
    <w:rsid w:val="00460B6A"/>
    <w:rsid w:val="00460BCD"/>
    <w:rsid w:val="00460DA9"/>
    <w:rsid w:val="00460DDB"/>
    <w:rsid w:val="00461375"/>
    <w:rsid w:val="0046155D"/>
    <w:rsid w:val="004615A4"/>
    <w:rsid w:val="004617E4"/>
    <w:rsid w:val="004619BB"/>
    <w:rsid w:val="00461B0E"/>
    <w:rsid w:val="00461BE7"/>
    <w:rsid w:val="004622AD"/>
    <w:rsid w:val="0046233F"/>
    <w:rsid w:val="00462447"/>
    <w:rsid w:val="004629BB"/>
    <w:rsid w:val="00462A4F"/>
    <w:rsid w:val="00462DE4"/>
    <w:rsid w:val="004638B3"/>
    <w:rsid w:val="00463AC9"/>
    <w:rsid w:val="00463DCB"/>
    <w:rsid w:val="004642AA"/>
    <w:rsid w:val="0046508D"/>
    <w:rsid w:val="004652EA"/>
    <w:rsid w:val="004653A2"/>
    <w:rsid w:val="00465B39"/>
    <w:rsid w:val="00465D3F"/>
    <w:rsid w:val="0046600B"/>
    <w:rsid w:val="0046618A"/>
    <w:rsid w:val="0046621E"/>
    <w:rsid w:val="0046689B"/>
    <w:rsid w:val="00466E8C"/>
    <w:rsid w:val="004672EC"/>
    <w:rsid w:val="004673A9"/>
    <w:rsid w:val="0046770C"/>
    <w:rsid w:val="004677AD"/>
    <w:rsid w:val="00467DD3"/>
    <w:rsid w:val="00470104"/>
    <w:rsid w:val="0047026F"/>
    <w:rsid w:val="004703C8"/>
    <w:rsid w:val="004708F8"/>
    <w:rsid w:val="004709B0"/>
    <w:rsid w:val="00470AF9"/>
    <w:rsid w:val="00470CB4"/>
    <w:rsid w:val="00470FD8"/>
    <w:rsid w:val="004712D4"/>
    <w:rsid w:val="00471482"/>
    <w:rsid w:val="00471758"/>
    <w:rsid w:val="00471906"/>
    <w:rsid w:val="0047199B"/>
    <w:rsid w:val="00471B02"/>
    <w:rsid w:val="0047273A"/>
    <w:rsid w:val="00472944"/>
    <w:rsid w:val="00472D4D"/>
    <w:rsid w:val="00472E05"/>
    <w:rsid w:val="004730A8"/>
    <w:rsid w:val="00473128"/>
    <w:rsid w:val="00473252"/>
    <w:rsid w:val="00473BB1"/>
    <w:rsid w:val="004746B9"/>
    <w:rsid w:val="00474917"/>
    <w:rsid w:val="00474EA6"/>
    <w:rsid w:val="004751B0"/>
    <w:rsid w:val="004753EB"/>
    <w:rsid w:val="0047586C"/>
    <w:rsid w:val="00475ADD"/>
    <w:rsid w:val="00475D55"/>
    <w:rsid w:val="0047607E"/>
    <w:rsid w:val="004761C3"/>
    <w:rsid w:val="004765BD"/>
    <w:rsid w:val="00476A2A"/>
    <w:rsid w:val="00476B0A"/>
    <w:rsid w:val="00476B36"/>
    <w:rsid w:val="004772F5"/>
    <w:rsid w:val="004778C8"/>
    <w:rsid w:val="00477AD4"/>
    <w:rsid w:val="00480006"/>
    <w:rsid w:val="004804D3"/>
    <w:rsid w:val="00480CCE"/>
    <w:rsid w:val="00480F56"/>
    <w:rsid w:val="00480FE1"/>
    <w:rsid w:val="00481016"/>
    <w:rsid w:val="00481549"/>
    <w:rsid w:val="00481703"/>
    <w:rsid w:val="00481B47"/>
    <w:rsid w:val="004820D3"/>
    <w:rsid w:val="0048225B"/>
    <w:rsid w:val="00482951"/>
    <w:rsid w:val="004829D9"/>
    <w:rsid w:val="00482A99"/>
    <w:rsid w:val="00483101"/>
    <w:rsid w:val="00483365"/>
    <w:rsid w:val="004837B5"/>
    <w:rsid w:val="0048430C"/>
    <w:rsid w:val="0048478C"/>
    <w:rsid w:val="00484A27"/>
    <w:rsid w:val="00484AF0"/>
    <w:rsid w:val="004855BF"/>
    <w:rsid w:val="00485727"/>
    <w:rsid w:val="00485DB9"/>
    <w:rsid w:val="004860D3"/>
    <w:rsid w:val="004864B8"/>
    <w:rsid w:val="00486CFA"/>
    <w:rsid w:val="00486D48"/>
    <w:rsid w:val="00486EA7"/>
    <w:rsid w:val="00486F47"/>
    <w:rsid w:val="00486FF7"/>
    <w:rsid w:val="0048703B"/>
    <w:rsid w:val="00487504"/>
    <w:rsid w:val="0048761C"/>
    <w:rsid w:val="00487A5C"/>
    <w:rsid w:val="00487D59"/>
    <w:rsid w:val="00487F24"/>
    <w:rsid w:val="00490536"/>
    <w:rsid w:val="004905CF"/>
    <w:rsid w:val="0049081A"/>
    <w:rsid w:val="004908B7"/>
    <w:rsid w:val="00490945"/>
    <w:rsid w:val="0049096A"/>
    <w:rsid w:val="00490A71"/>
    <w:rsid w:val="00490BFB"/>
    <w:rsid w:val="00491485"/>
    <w:rsid w:val="0049150C"/>
    <w:rsid w:val="0049154D"/>
    <w:rsid w:val="004918E7"/>
    <w:rsid w:val="0049194C"/>
    <w:rsid w:val="004919DD"/>
    <w:rsid w:val="00491BFB"/>
    <w:rsid w:val="00491CE2"/>
    <w:rsid w:val="00491D18"/>
    <w:rsid w:val="00492420"/>
    <w:rsid w:val="00492530"/>
    <w:rsid w:val="004926F2"/>
    <w:rsid w:val="00492ADF"/>
    <w:rsid w:val="00492DC9"/>
    <w:rsid w:val="00492DDB"/>
    <w:rsid w:val="004935EF"/>
    <w:rsid w:val="004939FE"/>
    <w:rsid w:val="00493EEA"/>
    <w:rsid w:val="004943A5"/>
    <w:rsid w:val="00494DEF"/>
    <w:rsid w:val="00494F7C"/>
    <w:rsid w:val="004957B4"/>
    <w:rsid w:val="004957F6"/>
    <w:rsid w:val="004959DF"/>
    <w:rsid w:val="00495A0A"/>
    <w:rsid w:val="00495B71"/>
    <w:rsid w:val="00495F7B"/>
    <w:rsid w:val="0049602B"/>
    <w:rsid w:val="004962EE"/>
    <w:rsid w:val="00496557"/>
    <w:rsid w:val="00496A42"/>
    <w:rsid w:val="00496A60"/>
    <w:rsid w:val="00496AA6"/>
    <w:rsid w:val="00496B3A"/>
    <w:rsid w:val="00496E83"/>
    <w:rsid w:val="004974D9"/>
    <w:rsid w:val="004A01B1"/>
    <w:rsid w:val="004A055E"/>
    <w:rsid w:val="004A055F"/>
    <w:rsid w:val="004A06EF"/>
    <w:rsid w:val="004A0989"/>
    <w:rsid w:val="004A0C6D"/>
    <w:rsid w:val="004A0C89"/>
    <w:rsid w:val="004A0D07"/>
    <w:rsid w:val="004A0FFD"/>
    <w:rsid w:val="004A11C5"/>
    <w:rsid w:val="004A137E"/>
    <w:rsid w:val="004A145C"/>
    <w:rsid w:val="004A1B7C"/>
    <w:rsid w:val="004A2079"/>
    <w:rsid w:val="004A23A0"/>
    <w:rsid w:val="004A23AE"/>
    <w:rsid w:val="004A275A"/>
    <w:rsid w:val="004A27C6"/>
    <w:rsid w:val="004A28E3"/>
    <w:rsid w:val="004A2A13"/>
    <w:rsid w:val="004A2D0C"/>
    <w:rsid w:val="004A2DF5"/>
    <w:rsid w:val="004A33C1"/>
    <w:rsid w:val="004A3560"/>
    <w:rsid w:val="004A4332"/>
    <w:rsid w:val="004A4A6C"/>
    <w:rsid w:val="004A4A84"/>
    <w:rsid w:val="004A4E33"/>
    <w:rsid w:val="004A4EF3"/>
    <w:rsid w:val="004A4F55"/>
    <w:rsid w:val="004A5746"/>
    <w:rsid w:val="004A579C"/>
    <w:rsid w:val="004A663A"/>
    <w:rsid w:val="004A7ACD"/>
    <w:rsid w:val="004A7F38"/>
    <w:rsid w:val="004B010F"/>
    <w:rsid w:val="004B0D4C"/>
    <w:rsid w:val="004B0FD3"/>
    <w:rsid w:val="004B10DB"/>
    <w:rsid w:val="004B118D"/>
    <w:rsid w:val="004B1787"/>
    <w:rsid w:val="004B1EEC"/>
    <w:rsid w:val="004B230D"/>
    <w:rsid w:val="004B23F8"/>
    <w:rsid w:val="004B263D"/>
    <w:rsid w:val="004B266A"/>
    <w:rsid w:val="004B267B"/>
    <w:rsid w:val="004B297D"/>
    <w:rsid w:val="004B3095"/>
    <w:rsid w:val="004B321C"/>
    <w:rsid w:val="004B3418"/>
    <w:rsid w:val="004B3892"/>
    <w:rsid w:val="004B38FD"/>
    <w:rsid w:val="004B3B2B"/>
    <w:rsid w:val="004B3C00"/>
    <w:rsid w:val="004B3EF3"/>
    <w:rsid w:val="004B4139"/>
    <w:rsid w:val="004B4337"/>
    <w:rsid w:val="004B459A"/>
    <w:rsid w:val="004B45A4"/>
    <w:rsid w:val="004B4BA6"/>
    <w:rsid w:val="004B5D83"/>
    <w:rsid w:val="004B7117"/>
    <w:rsid w:val="004B721E"/>
    <w:rsid w:val="004B7488"/>
    <w:rsid w:val="004B7546"/>
    <w:rsid w:val="004B755F"/>
    <w:rsid w:val="004B7ADE"/>
    <w:rsid w:val="004B7D80"/>
    <w:rsid w:val="004C000E"/>
    <w:rsid w:val="004C002C"/>
    <w:rsid w:val="004C016E"/>
    <w:rsid w:val="004C01A0"/>
    <w:rsid w:val="004C0270"/>
    <w:rsid w:val="004C0673"/>
    <w:rsid w:val="004C0777"/>
    <w:rsid w:val="004C0B3A"/>
    <w:rsid w:val="004C0CA8"/>
    <w:rsid w:val="004C0DF5"/>
    <w:rsid w:val="004C0E2B"/>
    <w:rsid w:val="004C112B"/>
    <w:rsid w:val="004C17E9"/>
    <w:rsid w:val="004C1A04"/>
    <w:rsid w:val="004C1D0C"/>
    <w:rsid w:val="004C233B"/>
    <w:rsid w:val="004C2A0B"/>
    <w:rsid w:val="004C2A21"/>
    <w:rsid w:val="004C2DF8"/>
    <w:rsid w:val="004C2FF3"/>
    <w:rsid w:val="004C3549"/>
    <w:rsid w:val="004C37B3"/>
    <w:rsid w:val="004C3B63"/>
    <w:rsid w:val="004C3EAE"/>
    <w:rsid w:val="004C4048"/>
    <w:rsid w:val="004C4068"/>
    <w:rsid w:val="004C40D1"/>
    <w:rsid w:val="004C43DB"/>
    <w:rsid w:val="004C445C"/>
    <w:rsid w:val="004C481F"/>
    <w:rsid w:val="004C4BFC"/>
    <w:rsid w:val="004C559B"/>
    <w:rsid w:val="004C5A96"/>
    <w:rsid w:val="004C5F62"/>
    <w:rsid w:val="004C6072"/>
    <w:rsid w:val="004C66AA"/>
    <w:rsid w:val="004C6990"/>
    <w:rsid w:val="004C6C92"/>
    <w:rsid w:val="004C6CB0"/>
    <w:rsid w:val="004C7210"/>
    <w:rsid w:val="004C728F"/>
    <w:rsid w:val="004C73D1"/>
    <w:rsid w:val="004C7554"/>
    <w:rsid w:val="004C758A"/>
    <w:rsid w:val="004C7726"/>
    <w:rsid w:val="004D0343"/>
    <w:rsid w:val="004D065A"/>
    <w:rsid w:val="004D0CE9"/>
    <w:rsid w:val="004D0E53"/>
    <w:rsid w:val="004D1006"/>
    <w:rsid w:val="004D1126"/>
    <w:rsid w:val="004D11C0"/>
    <w:rsid w:val="004D1366"/>
    <w:rsid w:val="004D153A"/>
    <w:rsid w:val="004D1830"/>
    <w:rsid w:val="004D1865"/>
    <w:rsid w:val="004D1A46"/>
    <w:rsid w:val="004D1C8C"/>
    <w:rsid w:val="004D1DB7"/>
    <w:rsid w:val="004D24BB"/>
    <w:rsid w:val="004D28F8"/>
    <w:rsid w:val="004D2939"/>
    <w:rsid w:val="004D2970"/>
    <w:rsid w:val="004D2E62"/>
    <w:rsid w:val="004D35B0"/>
    <w:rsid w:val="004D3DB5"/>
    <w:rsid w:val="004D45A3"/>
    <w:rsid w:val="004D45DF"/>
    <w:rsid w:val="004D495B"/>
    <w:rsid w:val="004D49B9"/>
    <w:rsid w:val="004D5466"/>
    <w:rsid w:val="004D5539"/>
    <w:rsid w:val="004D55BB"/>
    <w:rsid w:val="004D5EAC"/>
    <w:rsid w:val="004D6111"/>
    <w:rsid w:val="004D7F30"/>
    <w:rsid w:val="004E0235"/>
    <w:rsid w:val="004E0C0B"/>
    <w:rsid w:val="004E1578"/>
    <w:rsid w:val="004E182F"/>
    <w:rsid w:val="004E1BAF"/>
    <w:rsid w:val="004E2125"/>
    <w:rsid w:val="004E224F"/>
    <w:rsid w:val="004E2EE3"/>
    <w:rsid w:val="004E2FFB"/>
    <w:rsid w:val="004E319A"/>
    <w:rsid w:val="004E3429"/>
    <w:rsid w:val="004E346E"/>
    <w:rsid w:val="004E370F"/>
    <w:rsid w:val="004E3777"/>
    <w:rsid w:val="004E3CD8"/>
    <w:rsid w:val="004E3F89"/>
    <w:rsid w:val="004E4317"/>
    <w:rsid w:val="004E44E1"/>
    <w:rsid w:val="004E46D2"/>
    <w:rsid w:val="004E4784"/>
    <w:rsid w:val="004E4D47"/>
    <w:rsid w:val="004E54C6"/>
    <w:rsid w:val="004E5512"/>
    <w:rsid w:val="004E5DAC"/>
    <w:rsid w:val="004E5E8B"/>
    <w:rsid w:val="004E5F8F"/>
    <w:rsid w:val="004E6699"/>
    <w:rsid w:val="004E6CFF"/>
    <w:rsid w:val="004E6D75"/>
    <w:rsid w:val="004E6EF5"/>
    <w:rsid w:val="004E7319"/>
    <w:rsid w:val="004E7AD4"/>
    <w:rsid w:val="004E7B66"/>
    <w:rsid w:val="004E7C43"/>
    <w:rsid w:val="004F00E5"/>
    <w:rsid w:val="004F0830"/>
    <w:rsid w:val="004F10AA"/>
    <w:rsid w:val="004F14EC"/>
    <w:rsid w:val="004F1802"/>
    <w:rsid w:val="004F1830"/>
    <w:rsid w:val="004F1A4B"/>
    <w:rsid w:val="004F1A99"/>
    <w:rsid w:val="004F1EBB"/>
    <w:rsid w:val="004F2158"/>
    <w:rsid w:val="004F2248"/>
    <w:rsid w:val="004F22E7"/>
    <w:rsid w:val="004F2321"/>
    <w:rsid w:val="004F23B2"/>
    <w:rsid w:val="004F2608"/>
    <w:rsid w:val="004F280D"/>
    <w:rsid w:val="004F28ED"/>
    <w:rsid w:val="004F2B19"/>
    <w:rsid w:val="004F2D50"/>
    <w:rsid w:val="004F3148"/>
    <w:rsid w:val="004F342F"/>
    <w:rsid w:val="004F3688"/>
    <w:rsid w:val="004F3A3F"/>
    <w:rsid w:val="004F3AAE"/>
    <w:rsid w:val="004F3C69"/>
    <w:rsid w:val="004F4253"/>
    <w:rsid w:val="004F4310"/>
    <w:rsid w:val="004F4372"/>
    <w:rsid w:val="004F458B"/>
    <w:rsid w:val="004F474D"/>
    <w:rsid w:val="004F477D"/>
    <w:rsid w:val="004F47FD"/>
    <w:rsid w:val="004F4ACB"/>
    <w:rsid w:val="004F4BDE"/>
    <w:rsid w:val="004F4EB5"/>
    <w:rsid w:val="004F5006"/>
    <w:rsid w:val="004F526E"/>
    <w:rsid w:val="004F5BBF"/>
    <w:rsid w:val="004F5D64"/>
    <w:rsid w:val="004F5E0A"/>
    <w:rsid w:val="004F6169"/>
    <w:rsid w:val="004F6291"/>
    <w:rsid w:val="004F636B"/>
    <w:rsid w:val="004F67EE"/>
    <w:rsid w:val="004F682E"/>
    <w:rsid w:val="004F68FF"/>
    <w:rsid w:val="004F74E6"/>
    <w:rsid w:val="004F77C6"/>
    <w:rsid w:val="004F795E"/>
    <w:rsid w:val="004F7B09"/>
    <w:rsid w:val="004F7CAC"/>
    <w:rsid w:val="005000D4"/>
    <w:rsid w:val="00500462"/>
    <w:rsid w:val="00500B6B"/>
    <w:rsid w:val="0050103C"/>
    <w:rsid w:val="005010CA"/>
    <w:rsid w:val="0050164E"/>
    <w:rsid w:val="0050175A"/>
    <w:rsid w:val="00501A42"/>
    <w:rsid w:val="00501FCC"/>
    <w:rsid w:val="005021F0"/>
    <w:rsid w:val="00502229"/>
    <w:rsid w:val="005026C3"/>
    <w:rsid w:val="0050302C"/>
    <w:rsid w:val="00503B25"/>
    <w:rsid w:val="00503E77"/>
    <w:rsid w:val="005044D3"/>
    <w:rsid w:val="0050485A"/>
    <w:rsid w:val="0050495B"/>
    <w:rsid w:val="00504DA3"/>
    <w:rsid w:val="00505350"/>
    <w:rsid w:val="00505607"/>
    <w:rsid w:val="005056A0"/>
    <w:rsid w:val="005058DC"/>
    <w:rsid w:val="00505ADC"/>
    <w:rsid w:val="00505DEA"/>
    <w:rsid w:val="0050601E"/>
    <w:rsid w:val="00506190"/>
    <w:rsid w:val="00506A1D"/>
    <w:rsid w:val="00506AA9"/>
    <w:rsid w:val="00506D42"/>
    <w:rsid w:val="0050764E"/>
    <w:rsid w:val="00507757"/>
    <w:rsid w:val="005077FE"/>
    <w:rsid w:val="00507876"/>
    <w:rsid w:val="00507E1D"/>
    <w:rsid w:val="0051001D"/>
    <w:rsid w:val="00510772"/>
    <w:rsid w:val="005108F0"/>
    <w:rsid w:val="00510CA5"/>
    <w:rsid w:val="005112DA"/>
    <w:rsid w:val="00511320"/>
    <w:rsid w:val="005119C9"/>
    <w:rsid w:val="00511D0D"/>
    <w:rsid w:val="00512842"/>
    <w:rsid w:val="0051291E"/>
    <w:rsid w:val="00512D8E"/>
    <w:rsid w:val="00512E8C"/>
    <w:rsid w:val="00512FD0"/>
    <w:rsid w:val="00512FD8"/>
    <w:rsid w:val="0051341A"/>
    <w:rsid w:val="005134A1"/>
    <w:rsid w:val="00513692"/>
    <w:rsid w:val="00513D10"/>
    <w:rsid w:val="0051435F"/>
    <w:rsid w:val="005143F9"/>
    <w:rsid w:val="00514714"/>
    <w:rsid w:val="005147C5"/>
    <w:rsid w:val="00514972"/>
    <w:rsid w:val="00514AD0"/>
    <w:rsid w:val="00514B58"/>
    <w:rsid w:val="00514BAE"/>
    <w:rsid w:val="00514E56"/>
    <w:rsid w:val="005150AB"/>
    <w:rsid w:val="00516082"/>
    <w:rsid w:val="005162AC"/>
    <w:rsid w:val="00516566"/>
    <w:rsid w:val="005165E1"/>
    <w:rsid w:val="00516A6D"/>
    <w:rsid w:val="00516B6D"/>
    <w:rsid w:val="00516E89"/>
    <w:rsid w:val="00517207"/>
    <w:rsid w:val="0051794C"/>
    <w:rsid w:val="00517A82"/>
    <w:rsid w:val="00517AC3"/>
    <w:rsid w:val="00517B35"/>
    <w:rsid w:val="00517BDD"/>
    <w:rsid w:val="0052037F"/>
    <w:rsid w:val="005204D2"/>
    <w:rsid w:val="00520618"/>
    <w:rsid w:val="0052099A"/>
    <w:rsid w:val="00520D40"/>
    <w:rsid w:val="00520D5D"/>
    <w:rsid w:val="005218C3"/>
    <w:rsid w:val="00521B74"/>
    <w:rsid w:val="0052218B"/>
    <w:rsid w:val="005221C6"/>
    <w:rsid w:val="005221E4"/>
    <w:rsid w:val="005225CB"/>
    <w:rsid w:val="0052298F"/>
    <w:rsid w:val="00522BF3"/>
    <w:rsid w:val="00522D72"/>
    <w:rsid w:val="005230CF"/>
    <w:rsid w:val="00523392"/>
    <w:rsid w:val="00523AB7"/>
    <w:rsid w:val="00523BC9"/>
    <w:rsid w:val="0052448B"/>
    <w:rsid w:val="005248ED"/>
    <w:rsid w:val="00524AB5"/>
    <w:rsid w:val="00525103"/>
    <w:rsid w:val="00525133"/>
    <w:rsid w:val="0052513C"/>
    <w:rsid w:val="005253E2"/>
    <w:rsid w:val="00525508"/>
    <w:rsid w:val="005256E2"/>
    <w:rsid w:val="005258EA"/>
    <w:rsid w:val="00526059"/>
    <w:rsid w:val="0052606B"/>
    <w:rsid w:val="00526170"/>
    <w:rsid w:val="00526458"/>
    <w:rsid w:val="005264C2"/>
    <w:rsid w:val="00526C29"/>
    <w:rsid w:val="00526CF1"/>
    <w:rsid w:val="0052707D"/>
    <w:rsid w:val="005270CC"/>
    <w:rsid w:val="0052758B"/>
    <w:rsid w:val="00527DAB"/>
    <w:rsid w:val="005301CE"/>
    <w:rsid w:val="005302B1"/>
    <w:rsid w:val="00530310"/>
    <w:rsid w:val="005305F9"/>
    <w:rsid w:val="00530AFA"/>
    <w:rsid w:val="00530CA1"/>
    <w:rsid w:val="00530E3C"/>
    <w:rsid w:val="005312DE"/>
    <w:rsid w:val="00531361"/>
    <w:rsid w:val="00531378"/>
    <w:rsid w:val="005313AF"/>
    <w:rsid w:val="00531615"/>
    <w:rsid w:val="00531703"/>
    <w:rsid w:val="0053193D"/>
    <w:rsid w:val="00531C11"/>
    <w:rsid w:val="00531D6C"/>
    <w:rsid w:val="0053211C"/>
    <w:rsid w:val="0053238D"/>
    <w:rsid w:val="005325EB"/>
    <w:rsid w:val="00532724"/>
    <w:rsid w:val="00532995"/>
    <w:rsid w:val="00532D78"/>
    <w:rsid w:val="00533404"/>
    <w:rsid w:val="0053350B"/>
    <w:rsid w:val="0053364F"/>
    <w:rsid w:val="00533913"/>
    <w:rsid w:val="0053428F"/>
    <w:rsid w:val="00534819"/>
    <w:rsid w:val="005348B5"/>
    <w:rsid w:val="005349AA"/>
    <w:rsid w:val="00534A4D"/>
    <w:rsid w:val="005351CF"/>
    <w:rsid w:val="005357DC"/>
    <w:rsid w:val="00535C74"/>
    <w:rsid w:val="00535F58"/>
    <w:rsid w:val="005361AB"/>
    <w:rsid w:val="005363C1"/>
    <w:rsid w:val="005369F2"/>
    <w:rsid w:val="00536FC1"/>
    <w:rsid w:val="00537029"/>
    <w:rsid w:val="005372F7"/>
    <w:rsid w:val="00537CC7"/>
    <w:rsid w:val="00537E44"/>
    <w:rsid w:val="005402DF"/>
    <w:rsid w:val="0054067C"/>
    <w:rsid w:val="00541062"/>
    <w:rsid w:val="0054127A"/>
    <w:rsid w:val="0054132D"/>
    <w:rsid w:val="005416CF"/>
    <w:rsid w:val="00541A9D"/>
    <w:rsid w:val="00541B20"/>
    <w:rsid w:val="00541D43"/>
    <w:rsid w:val="00541E76"/>
    <w:rsid w:val="00542068"/>
    <w:rsid w:val="0054247E"/>
    <w:rsid w:val="005427F0"/>
    <w:rsid w:val="00542810"/>
    <w:rsid w:val="0054291D"/>
    <w:rsid w:val="00542C3C"/>
    <w:rsid w:val="00542FCA"/>
    <w:rsid w:val="005434D7"/>
    <w:rsid w:val="005439E5"/>
    <w:rsid w:val="00543ABE"/>
    <w:rsid w:val="00543AF9"/>
    <w:rsid w:val="00543E8A"/>
    <w:rsid w:val="0054417C"/>
    <w:rsid w:val="0054442F"/>
    <w:rsid w:val="00544622"/>
    <w:rsid w:val="00544C74"/>
    <w:rsid w:val="00544D8B"/>
    <w:rsid w:val="00544DE1"/>
    <w:rsid w:val="00544FB4"/>
    <w:rsid w:val="005453D7"/>
    <w:rsid w:val="005457F9"/>
    <w:rsid w:val="00545978"/>
    <w:rsid w:val="00545C2B"/>
    <w:rsid w:val="00546168"/>
    <w:rsid w:val="0054667D"/>
    <w:rsid w:val="00546701"/>
    <w:rsid w:val="0054696A"/>
    <w:rsid w:val="00546F1F"/>
    <w:rsid w:val="00547313"/>
    <w:rsid w:val="00547795"/>
    <w:rsid w:val="005478F3"/>
    <w:rsid w:val="00547AE0"/>
    <w:rsid w:val="00547CD2"/>
    <w:rsid w:val="00547FC0"/>
    <w:rsid w:val="0055072B"/>
    <w:rsid w:val="00551C72"/>
    <w:rsid w:val="00551DCF"/>
    <w:rsid w:val="00552033"/>
    <w:rsid w:val="00552080"/>
    <w:rsid w:val="0055246E"/>
    <w:rsid w:val="00552CDB"/>
    <w:rsid w:val="00552FC4"/>
    <w:rsid w:val="005530F3"/>
    <w:rsid w:val="0055323C"/>
    <w:rsid w:val="005532FE"/>
    <w:rsid w:val="005535A0"/>
    <w:rsid w:val="005536FA"/>
    <w:rsid w:val="00553971"/>
    <w:rsid w:val="0055409F"/>
    <w:rsid w:val="00554C25"/>
    <w:rsid w:val="0055532F"/>
    <w:rsid w:val="005558A9"/>
    <w:rsid w:val="0055597F"/>
    <w:rsid w:val="00556578"/>
    <w:rsid w:val="005566B1"/>
    <w:rsid w:val="005573B0"/>
    <w:rsid w:val="00557628"/>
    <w:rsid w:val="0055780A"/>
    <w:rsid w:val="00560033"/>
    <w:rsid w:val="0056046D"/>
    <w:rsid w:val="00560A74"/>
    <w:rsid w:val="00560A93"/>
    <w:rsid w:val="00560B4A"/>
    <w:rsid w:val="00560BC3"/>
    <w:rsid w:val="00560D73"/>
    <w:rsid w:val="00561120"/>
    <w:rsid w:val="00561146"/>
    <w:rsid w:val="005612F4"/>
    <w:rsid w:val="005617DF"/>
    <w:rsid w:val="005618BD"/>
    <w:rsid w:val="00561D24"/>
    <w:rsid w:val="00561DFC"/>
    <w:rsid w:val="00561E9B"/>
    <w:rsid w:val="00562300"/>
    <w:rsid w:val="00562354"/>
    <w:rsid w:val="0056263E"/>
    <w:rsid w:val="00562772"/>
    <w:rsid w:val="0056294F"/>
    <w:rsid w:val="005639BA"/>
    <w:rsid w:val="00563F02"/>
    <w:rsid w:val="00564075"/>
    <w:rsid w:val="00564077"/>
    <w:rsid w:val="0056429D"/>
    <w:rsid w:val="00564328"/>
    <w:rsid w:val="005644A5"/>
    <w:rsid w:val="00564718"/>
    <w:rsid w:val="00565905"/>
    <w:rsid w:val="00565A06"/>
    <w:rsid w:val="00566926"/>
    <w:rsid w:val="00566BB4"/>
    <w:rsid w:val="00566FBB"/>
    <w:rsid w:val="00567970"/>
    <w:rsid w:val="00567DA9"/>
    <w:rsid w:val="005708FE"/>
    <w:rsid w:val="00570CC7"/>
    <w:rsid w:val="005712FA"/>
    <w:rsid w:val="00571465"/>
    <w:rsid w:val="005717EA"/>
    <w:rsid w:val="0057184C"/>
    <w:rsid w:val="00571B6C"/>
    <w:rsid w:val="00571CD4"/>
    <w:rsid w:val="00571D72"/>
    <w:rsid w:val="00571F2A"/>
    <w:rsid w:val="0057232A"/>
    <w:rsid w:val="00572380"/>
    <w:rsid w:val="005728EC"/>
    <w:rsid w:val="00572A01"/>
    <w:rsid w:val="00572BF6"/>
    <w:rsid w:val="00572E86"/>
    <w:rsid w:val="005730D5"/>
    <w:rsid w:val="00573214"/>
    <w:rsid w:val="0057324A"/>
    <w:rsid w:val="00573283"/>
    <w:rsid w:val="00573406"/>
    <w:rsid w:val="005738A6"/>
    <w:rsid w:val="00573B26"/>
    <w:rsid w:val="005740A1"/>
    <w:rsid w:val="00574585"/>
    <w:rsid w:val="005747F8"/>
    <w:rsid w:val="00574959"/>
    <w:rsid w:val="00574CA4"/>
    <w:rsid w:val="00575062"/>
    <w:rsid w:val="00575174"/>
    <w:rsid w:val="00575252"/>
    <w:rsid w:val="00575488"/>
    <w:rsid w:val="005754FE"/>
    <w:rsid w:val="0057601B"/>
    <w:rsid w:val="00576115"/>
    <w:rsid w:val="0057693C"/>
    <w:rsid w:val="00576ADE"/>
    <w:rsid w:val="00576EE4"/>
    <w:rsid w:val="005770BA"/>
    <w:rsid w:val="00577363"/>
    <w:rsid w:val="00577726"/>
    <w:rsid w:val="00577733"/>
    <w:rsid w:val="00577CC9"/>
    <w:rsid w:val="00577CFD"/>
    <w:rsid w:val="00577DEF"/>
    <w:rsid w:val="00580119"/>
    <w:rsid w:val="00580425"/>
    <w:rsid w:val="0058138B"/>
    <w:rsid w:val="005813C9"/>
    <w:rsid w:val="005816FD"/>
    <w:rsid w:val="00581D6C"/>
    <w:rsid w:val="0058255A"/>
    <w:rsid w:val="00582630"/>
    <w:rsid w:val="00582743"/>
    <w:rsid w:val="00582A5B"/>
    <w:rsid w:val="0058347D"/>
    <w:rsid w:val="00583632"/>
    <w:rsid w:val="00583678"/>
    <w:rsid w:val="00583946"/>
    <w:rsid w:val="00583AB4"/>
    <w:rsid w:val="00583E72"/>
    <w:rsid w:val="00583EE0"/>
    <w:rsid w:val="005841B7"/>
    <w:rsid w:val="00584869"/>
    <w:rsid w:val="00584B6C"/>
    <w:rsid w:val="00584CF8"/>
    <w:rsid w:val="00584D5F"/>
    <w:rsid w:val="00584EA7"/>
    <w:rsid w:val="00584F0C"/>
    <w:rsid w:val="00584F54"/>
    <w:rsid w:val="00584FB8"/>
    <w:rsid w:val="00585158"/>
    <w:rsid w:val="0058550A"/>
    <w:rsid w:val="0058566B"/>
    <w:rsid w:val="00585AE3"/>
    <w:rsid w:val="00585B16"/>
    <w:rsid w:val="00585B6C"/>
    <w:rsid w:val="00585D6A"/>
    <w:rsid w:val="00586649"/>
    <w:rsid w:val="00586E5E"/>
    <w:rsid w:val="00587E47"/>
    <w:rsid w:val="00587F4E"/>
    <w:rsid w:val="00591041"/>
    <w:rsid w:val="0059168A"/>
    <w:rsid w:val="005918B3"/>
    <w:rsid w:val="00591AF8"/>
    <w:rsid w:val="00592461"/>
    <w:rsid w:val="0059277D"/>
    <w:rsid w:val="005928A3"/>
    <w:rsid w:val="00592F19"/>
    <w:rsid w:val="00592FC3"/>
    <w:rsid w:val="005935C4"/>
    <w:rsid w:val="00593780"/>
    <w:rsid w:val="00593C33"/>
    <w:rsid w:val="00594E6C"/>
    <w:rsid w:val="00595861"/>
    <w:rsid w:val="005959C0"/>
    <w:rsid w:val="00596357"/>
    <w:rsid w:val="005968F1"/>
    <w:rsid w:val="00596BB4"/>
    <w:rsid w:val="00596E7C"/>
    <w:rsid w:val="0059701B"/>
    <w:rsid w:val="00597972"/>
    <w:rsid w:val="00597A6D"/>
    <w:rsid w:val="00597FAB"/>
    <w:rsid w:val="005A006F"/>
    <w:rsid w:val="005A00AD"/>
    <w:rsid w:val="005A040B"/>
    <w:rsid w:val="005A05A1"/>
    <w:rsid w:val="005A0801"/>
    <w:rsid w:val="005A0CF6"/>
    <w:rsid w:val="005A195B"/>
    <w:rsid w:val="005A1C3A"/>
    <w:rsid w:val="005A21C3"/>
    <w:rsid w:val="005A261A"/>
    <w:rsid w:val="005A287A"/>
    <w:rsid w:val="005A2919"/>
    <w:rsid w:val="005A2B1F"/>
    <w:rsid w:val="005A2E4C"/>
    <w:rsid w:val="005A320B"/>
    <w:rsid w:val="005A3281"/>
    <w:rsid w:val="005A3BAF"/>
    <w:rsid w:val="005A3FB1"/>
    <w:rsid w:val="005A4108"/>
    <w:rsid w:val="005A458F"/>
    <w:rsid w:val="005A47D5"/>
    <w:rsid w:val="005A48FD"/>
    <w:rsid w:val="005A4BED"/>
    <w:rsid w:val="005A4C43"/>
    <w:rsid w:val="005A4FE8"/>
    <w:rsid w:val="005A509A"/>
    <w:rsid w:val="005A5390"/>
    <w:rsid w:val="005A588E"/>
    <w:rsid w:val="005A5B0C"/>
    <w:rsid w:val="005A6A6E"/>
    <w:rsid w:val="005A6BC8"/>
    <w:rsid w:val="005A6FDA"/>
    <w:rsid w:val="005A70E5"/>
    <w:rsid w:val="005A7106"/>
    <w:rsid w:val="005A7383"/>
    <w:rsid w:val="005A7476"/>
    <w:rsid w:val="005A777A"/>
    <w:rsid w:val="005A7817"/>
    <w:rsid w:val="005A7CBB"/>
    <w:rsid w:val="005A7FFC"/>
    <w:rsid w:val="005B05DE"/>
    <w:rsid w:val="005B0A48"/>
    <w:rsid w:val="005B104C"/>
    <w:rsid w:val="005B12A8"/>
    <w:rsid w:val="005B12E0"/>
    <w:rsid w:val="005B1CF6"/>
    <w:rsid w:val="005B249C"/>
    <w:rsid w:val="005B29B5"/>
    <w:rsid w:val="005B371B"/>
    <w:rsid w:val="005B3A3B"/>
    <w:rsid w:val="005B4559"/>
    <w:rsid w:val="005B488E"/>
    <w:rsid w:val="005B4B43"/>
    <w:rsid w:val="005B4B6F"/>
    <w:rsid w:val="005B5698"/>
    <w:rsid w:val="005B59CB"/>
    <w:rsid w:val="005B5DED"/>
    <w:rsid w:val="005B61EA"/>
    <w:rsid w:val="005B629C"/>
    <w:rsid w:val="005B67C8"/>
    <w:rsid w:val="005B6C21"/>
    <w:rsid w:val="005B703A"/>
    <w:rsid w:val="005B760F"/>
    <w:rsid w:val="005B7800"/>
    <w:rsid w:val="005B79C5"/>
    <w:rsid w:val="005B7C1B"/>
    <w:rsid w:val="005B7DB8"/>
    <w:rsid w:val="005C08B4"/>
    <w:rsid w:val="005C0A76"/>
    <w:rsid w:val="005C0D9C"/>
    <w:rsid w:val="005C0DCE"/>
    <w:rsid w:val="005C148F"/>
    <w:rsid w:val="005C1721"/>
    <w:rsid w:val="005C1CE7"/>
    <w:rsid w:val="005C1F51"/>
    <w:rsid w:val="005C2085"/>
    <w:rsid w:val="005C211F"/>
    <w:rsid w:val="005C22FE"/>
    <w:rsid w:val="005C2613"/>
    <w:rsid w:val="005C266A"/>
    <w:rsid w:val="005C2980"/>
    <w:rsid w:val="005C2B14"/>
    <w:rsid w:val="005C2ECF"/>
    <w:rsid w:val="005C3548"/>
    <w:rsid w:val="005C3A10"/>
    <w:rsid w:val="005C3A7A"/>
    <w:rsid w:val="005C3CEF"/>
    <w:rsid w:val="005C3D00"/>
    <w:rsid w:val="005C3DAB"/>
    <w:rsid w:val="005C3E5B"/>
    <w:rsid w:val="005C407E"/>
    <w:rsid w:val="005C4259"/>
    <w:rsid w:val="005C4817"/>
    <w:rsid w:val="005C4CF8"/>
    <w:rsid w:val="005C4F43"/>
    <w:rsid w:val="005C50AA"/>
    <w:rsid w:val="005C611B"/>
    <w:rsid w:val="005C626F"/>
    <w:rsid w:val="005C6344"/>
    <w:rsid w:val="005C67A8"/>
    <w:rsid w:val="005C6A66"/>
    <w:rsid w:val="005C6D21"/>
    <w:rsid w:val="005C6F94"/>
    <w:rsid w:val="005C7348"/>
    <w:rsid w:val="005C7482"/>
    <w:rsid w:val="005C770C"/>
    <w:rsid w:val="005C793C"/>
    <w:rsid w:val="005C7CCC"/>
    <w:rsid w:val="005C7FA5"/>
    <w:rsid w:val="005D0BC0"/>
    <w:rsid w:val="005D0F7C"/>
    <w:rsid w:val="005D12FC"/>
    <w:rsid w:val="005D13DF"/>
    <w:rsid w:val="005D1A98"/>
    <w:rsid w:val="005D20B7"/>
    <w:rsid w:val="005D21CD"/>
    <w:rsid w:val="005D2E10"/>
    <w:rsid w:val="005D391F"/>
    <w:rsid w:val="005D3CFE"/>
    <w:rsid w:val="005D3CFF"/>
    <w:rsid w:val="005D3E61"/>
    <w:rsid w:val="005D3F4F"/>
    <w:rsid w:val="005D3FF8"/>
    <w:rsid w:val="005D460A"/>
    <w:rsid w:val="005D48E7"/>
    <w:rsid w:val="005D4945"/>
    <w:rsid w:val="005D4978"/>
    <w:rsid w:val="005D4A01"/>
    <w:rsid w:val="005D4AFB"/>
    <w:rsid w:val="005D4EA9"/>
    <w:rsid w:val="005D51D8"/>
    <w:rsid w:val="005D566B"/>
    <w:rsid w:val="005D57B1"/>
    <w:rsid w:val="005D581C"/>
    <w:rsid w:val="005D583F"/>
    <w:rsid w:val="005D585F"/>
    <w:rsid w:val="005D5909"/>
    <w:rsid w:val="005D5A64"/>
    <w:rsid w:val="005D5BA1"/>
    <w:rsid w:val="005D6205"/>
    <w:rsid w:val="005D63A8"/>
    <w:rsid w:val="005D640F"/>
    <w:rsid w:val="005D6578"/>
    <w:rsid w:val="005D697E"/>
    <w:rsid w:val="005D6DFC"/>
    <w:rsid w:val="005D6E54"/>
    <w:rsid w:val="005D6E6C"/>
    <w:rsid w:val="005D6F2D"/>
    <w:rsid w:val="005D770E"/>
    <w:rsid w:val="005D784E"/>
    <w:rsid w:val="005D79C5"/>
    <w:rsid w:val="005D7AA8"/>
    <w:rsid w:val="005E071C"/>
    <w:rsid w:val="005E0C2D"/>
    <w:rsid w:val="005E0E34"/>
    <w:rsid w:val="005E1345"/>
    <w:rsid w:val="005E143B"/>
    <w:rsid w:val="005E151B"/>
    <w:rsid w:val="005E1676"/>
    <w:rsid w:val="005E1A7D"/>
    <w:rsid w:val="005E1BF8"/>
    <w:rsid w:val="005E1C6F"/>
    <w:rsid w:val="005E1F22"/>
    <w:rsid w:val="005E2471"/>
    <w:rsid w:val="005E2479"/>
    <w:rsid w:val="005E2637"/>
    <w:rsid w:val="005E268C"/>
    <w:rsid w:val="005E284C"/>
    <w:rsid w:val="005E2A1E"/>
    <w:rsid w:val="005E2AE8"/>
    <w:rsid w:val="005E31E5"/>
    <w:rsid w:val="005E3602"/>
    <w:rsid w:val="005E3613"/>
    <w:rsid w:val="005E3BF0"/>
    <w:rsid w:val="005E4375"/>
    <w:rsid w:val="005E469B"/>
    <w:rsid w:val="005E48D2"/>
    <w:rsid w:val="005E49B2"/>
    <w:rsid w:val="005E52F4"/>
    <w:rsid w:val="005E539A"/>
    <w:rsid w:val="005E55D2"/>
    <w:rsid w:val="005E55F2"/>
    <w:rsid w:val="005E6358"/>
    <w:rsid w:val="005E63F0"/>
    <w:rsid w:val="005E6660"/>
    <w:rsid w:val="005E67EC"/>
    <w:rsid w:val="005E67FC"/>
    <w:rsid w:val="005E6821"/>
    <w:rsid w:val="005E68DF"/>
    <w:rsid w:val="005E6A2D"/>
    <w:rsid w:val="005E7007"/>
    <w:rsid w:val="005E71FA"/>
    <w:rsid w:val="005E731A"/>
    <w:rsid w:val="005E73DA"/>
    <w:rsid w:val="005E776D"/>
    <w:rsid w:val="005E7BD1"/>
    <w:rsid w:val="005E7E04"/>
    <w:rsid w:val="005F00D4"/>
    <w:rsid w:val="005F03DB"/>
    <w:rsid w:val="005F03F4"/>
    <w:rsid w:val="005F0AE8"/>
    <w:rsid w:val="005F19AF"/>
    <w:rsid w:val="005F1AB4"/>
    <w:rsid w:val="005F1B53"/>
    <w:rsid w:val="005F1D8C"/>
    <w:rsid w:val="005F1FD6"/>
    <w:rsid w:val="005F24EE"/>
    <w:rsid w:val="005F2515"/>
    <w:rsid w:val="005F2620"/>
    <w:rsid w:val="005F2957"/>
    <w:rsid w:val="005F2A6B"/>
    <w:rsid w:val="005F2E57"/>
    <w:rsid w:val="005F2F69"/>
    <w:rsid w:val="005F2FD9"/>
    <w:rsid w:val="005F321E"/>
    <w:rsid w:val="005F3366"/>
    <w:rsid w:val="005F3759"/>
    <w:rsid w:val="005F40C1"/>
    <w:rsid w:val="005F41EF"/>
    <w:rsid w:val="005F4266"/>
    <w:rsid w:val="005F4586"/>
    <w:rsid w:val="005F4DAC"/>
    <w:rsid w:val="005F4EBB"/>
    <w:rsid w:val="005F54F1"/>
    <w:rsid w:val="005F581F"/>
    <w:rsid w:val="005F59B5"/>
    <w:rsid w:val="005F67B2"/>
    <w:rsid w:val="005F683F"/>
    <w:rsid w:val="005F6A7C"/>
    <w:rsid w:val="005F6D0C"/>
    <w:rsid w:val="005F6E3B"/>
    <w:rsid w:val="006002A0"/>
    <w:rsid w:val="006003AA"/>
    <w:rsid w:val="006008E0"/>
    <w:rsid w:val="00600951"/>
    <w:rsid w:val="00600A39"/>
    <w:rsid w:val="00600BAC"/>
    <w:rsid w:val="00600E59"/>
    <w:rsid w:val="00601106"/>
    <w:rsid w:val="006013C1"/>
    <w:rsid w:val="006014F8"/>
    <w:rsid w:val="0060165F"/>
    <w:rsid w:val="00601705"/>
    <w:rsid w:val="006018F8"/>
    <w:rsid w:val="00601B6A"/>
    <w:rsid w:val="00601BBD"/>
    <w:rsid w:val="00601CF9"/>
    <w:rsid w:val="006024D3"/>
    <w:rsid w:val="0060254E"/>
    <w:rsid w:val="00602638"/>
    <w:rsid w:val="00602AED"/>
    <w:rsid w:val="00602C79"/>
    <w:rsid w:val="00602CC0"/>
    <w:rsid w:val="006033F5"/>
    <w:rsid w:val="0060341D"/>
    <w:rsid w:val="006037AD"/>
    <w:rsid w:val="00603990"/>
    <w:rsid w:val="00603B6F"/>
    <w:rsid w:val="00604179"/>
    <w:rsid w:val="006042A6"/>
    <w:rsid w:val="00604833"/>
    <w:rsid w:val="006048CE"/>
    <w:rsid w:val="00604C06"/>
    <w:rsid w:val="00604C4E"/>
    <w:rsid w:val="00604FF9"/>
    <w:rsid w:val="006053F5"/>
    <w:rsid w:val="006057F0"/>
    <w:rsid w:val="006058D8"/>
    <w:rsid w:val="00605A8F"/>
    <w:rsid w:val="00605D5A"/>
    <w:rsid w:val="006060E1"/>
    <w:rsid w:val="00606105"/>
    <w:rsid w:val="006066BA"/>
    <w:rsid w:val="00606756"/>
    <w:rsid w:val="00606EF9"/>
    <w:rsid w:val="0060706A"/>
    <w:rsid w:val="00607406"/>
    <w:rsid w:val="00607670"/>
    <w:rsid w:val="00607758"/>
    <w:rsid w:val="006078F2"/>
    <w:rsid w:val="006078FD"/>
    <w:rsid w:val="00607C81"/>
    <w:rsid w:val="00610274"/>
    <w:rsid w:val="00610294"/>
    <w:rsid w:val="006104D8"/>
    <w:rsid w:val="00610582"/>
    <w:rsid w:val="00610674"/>
    <w:rsid w:val="00610807"/>
    <w:rsid w:val="00610D5E"/>
    <w:rsid w:val="006110E8"/>
    <w:rsid w:val="00611110"/>
    <w:rsid w:val="006111F5"/>
    <w:rsid w:val="006112E3"/>
    <w:rsid w:val="006118CA"/>
    <w:rsid w:val="00611C29"/>
    <w:rsid w:val="00611CE3"/>
    <w:rsid w:val="00611F96"/>
    <w:rsid w:val="0061225A"/>
    <w:rsid w:val="006126E8"/>
    <w:rsid w:val="00612CA8"/>
    <w:rsid w:val="00613015"/>
    <w:rsid w:val="00613211"/>
    <w:rsid w:val="00613467"/>
    <w:rsid w:val="00613512"/>
    <w:rsid w:val="00613A88"/>
    <w:rsid w:val="00614195"/>
    <w:rsid w:val="006147B0"/>
    <w:rsid w:val="00614BAE"/>
    <w:rsid w:val="00614E7F"/>
    <w:rsid w:val="0061545C"/>
    <w:rsid w:val="00615989"/>
    <w:rsid w:val="00615A88"/>
    <w:rsid w:val="00616275"/>
    <w:rsid w:val="00616498"/>
    <w:rsid w:val="0061665E"/>
    <w:rsid w:val="00616AB0"/>
    <w:rsid w:val="00616C46"/>
    <w:rsid w:val="00616C56"/>
    <w:rsid w:val="006173DF"/>
    <w:rsid w:val="00617510"/>
    <w:rsid w:val="006175B2"/>
    <w:rsid w:val="00617789"/>
    <w:rsid w:val="00617AB5"/>
    <w:rsid w:val="00617D99"/>
    <w:rsid w:val="0062027A"/>
    <w:rsid w:val="00620365"/>
    <w:rsid w:val="0062042B"/>
    <w:rsid w:val="006204C8"/>
    <w:rsid w:val="00620AA6"/>
    <w:rsid w:val="0062123C"/>
    <w:rsid w:val="00621B9F"/>
    <w:rsid w:val="00622009"/>
    <w:rsid w:val="00622436"/>
    <w:rsid w:val="0062248F"/>
    <w:rsid w:val="00622A4E"/>
    <w:rsid w:val="00622B55"/>
    <w:rsid w:val="00623092"/>
    <w:rsid w:val="00623454"/>
    <w:rsid w:val="0062392F"/>
    <w:rsid w:val="0062398E"/>
    <w:rsid w:val="00623B6A"/>
    <w:rsid w:val="00624315"/>
    <w:rsid w:val="0062433B"/>
    <w:rsid w:val="0062440F"/>
    <w:rsid w:val="006245AB"/>
    <w:rsid w:val="00624769"/>
    <w:rsid w:val="00624778"/>
    <w:rsid w:val="00624829"/>
    <w:rsid w:val="00624BF4"/>
    <w:rsid w:val="00624C32"/>
    <w:rsid w:val="0062545B"/>
    <w:rsid w:val="0062552A"/>
    <w:rsid w:val="0062589A"/>
    <w:rsid w:val="00625A50"/>
    <w:rsid w:val="00625CC2"/>
    <w:rsid w:val="00626E66"/>
    <w:rsid w:val="0062706C"/>
    <w:rsid w:val="0062726F"/>
    <w:rsid w:val="00627291"/>
    <w:rsid w:val="006273EA"/>
    <w:rsid w:val="006279AB"/>
    <w:rsid w:val="00627CBD"/>
    <w:rsid w:val="00630020"/>
    <w:rsid w:val="006300C8"/>
    <w:rsid w:val="0063010E"/>
    <w:rsid w:val="0063041B"/>
    <w:rsid w:val="00630496"/>
    <w:rsid w:val="006305A0"/>
    <w:rsid w:val="0063067C"/>
    <w:rsid w:val="00630EE2"/>
    <w:rsid w:val="006314B2"/>
    <w:rsid w:val="00631710"/>
    <w:rsid w:val="00631E54"/>
    <w:rsid w:val="006323C4"/>
    <w:rsid w:val="0063253E"/>
    <w:rsid w:val="00632667"/>
    <w:rsid w:val="00632699"/>
    <w:rsid w:val="0063269C"/>
    <w:rsid w:val="0063278A"/>
    <w:rsid w:val="00632C64"/>
    <w:rsid w:val="00632E01"/>
    <w:rsid w:val="006332BE"/>
    <w:rsid w:val="006333C5"/>
    <w:rsid w:val="00633D3A"/>
    <w:rsid w:val="00633D61"/>
    <w:rsid w:val="00634470"/>
    <w:rsid w:val="0063469A"/>
    <w:rsid w:val="00634C1B"/>
    <w:rsid w:val="00634FBD"/>
    <w:rsid w:val="00635095"/>
    <w:rsid w:val="0063529B"/>
    <w:rsid w:val="006353C9"/>
    <w:rsid w:val="0063554C"/>
    <w:rsid w:val="00635994"/>
    <w:rsid w:val="00635A72"/>
    <w:rsid w:val="00636616"/>
    <w:rsid w:val="00636663"/>
    <w:rsid w:val="006368B1"/>
    <w:rsid w:val="00636D93"/>
    <w:rsid w:val="00636F41"/>
    <w:rsid w:val="00636F5B"/>
    <w:rsid w:val="00637161"/>
    <w:rsid w:val="00637ABF"/>
    <w:rsid w:val="00637B82"/>
    <w:rsid w:val="00637C5B"/>
    <w:rsid w:val="00637F7E"/>
    <w:rsid w:val="006408C3"/>
    <w:rsid w:val="00640C44"/>
    <w:rsid w:val="00640E65"/>
    <w:rsid w:val="006418B5"/>
    <w:rsid w:val="00641F9D"/>
    <w:rsid w:val="00642376"/>
    <w:rsid w:val="0064248C"/>
    <w:rsid w:val="0064261C"/>
    <w:rsid w:val="006428AF"/>
    <w:rsid w:val="0064290C"/>
    <w:rsid w:val="0064293F"/>
    <w:rsid w:val="00642BBD"/>
    <w:rsid w:val="006430A4"/>
    <w:rsid w:val="00643166"/>
    <w:rsid w:val="0064344A"/>
    <w:rsid w:val="006436B7"/>
    <w:rsid w:val="006436E5"/>
    <w:rsid w:val="00643913"/>
    <w:rsid w:val="00643E60"/>
    <w:rsid w:val="00644180"/>
    <w:rsid w:val="006442E4"/>
    <w:rsid w:val="00644603"/>
    <w:rsid w:val="006448C0"/>
    <w:rsid w:val="00644B1E"/>
    <w:rsid w:val="0064518D"/>
    <w:rsid w:val="00645251"/>
    <w:rsid w:val="006453BA"/>
    <w:rsid w:val="006454BB"/>
    <w:rsid w:val="006455BF"/>
    <w:rsid w:val="00645AA0"/>
    <w:rsid w:val="00645AB3"/>
    <w:rsid w:val="0064620D"/>
    <w:rsid w:val="00646305"/>
    <w:rsid w:val="0064637D"/>
    <w:rsid w:val="00646A15"/>
    <w:rsid w:val="0064719A"/>
    <w:rsid w:val="0064722A"/>
    <w:rsid w:val="006474BB"/>
    <w:rsid w:val="006478E2"/>
    <w:rsid w:val="006479D4"/>
    <w:rsid w:val="00647E25"/>
    <w:rsid w:val="00650553"/>
    <w:rsid w:val="00650581"/>
    <w:rsid w:val="00650D97"/>
    <w:rsid w:val="006519DF"/>
    <w:rsid w:val="00651A47"/>
    <w:rsid w:val="00651B25"/>
    <w:rsid w:val="00651E0D"/>
    <w:rsid w:val="0065226B"/>
    <w:rsid w:val="00652F0C"/>
    <w:rsid w:val="00653228"/>
    <w:rsid w:val="00653282"/>
    <w:rsid w:val="006535DB"/>
    <w:rsid w:val="006545E5"/>
    <w:rsid w:val="006545E6"/>
    <w:rsid w:val="00654758"/>
    <w:rsid w:val="00654B4A"/>
    <w:rsid w:val="00654D4D"/>
    <w:rsid w:val="00655158"/>
    <w:rsid w:val="00655727"/>
    <w:rsid w:val="006557FA"/>
    <w:rsid w:val="00655D92"/>
    <w:rsid w:val="006568AF"/>
    <w:rsid w:val="00656A27"/>
    <w:rsid w:val="00656BAF"/>
    <w:rsid w:val="00656D9F"/>
    <w:rsid w:val="00656DCD"/>
    <w:rsid w:val="0065704D"/>
    <w:rsid w:val="006570BD"/>
    <w:rsid w:val="006575EB"/>
    <w:rsid w:val="00657754"/>
    <w:rsid w:val="00657A0F"/>
    <w:rsid w:val="006603F3"/>
    <w:rsid w:val="0066078F"/>
    <w:rsid w:val="00660A18"/>
    <w:rsid w:val="00660C7D"/>
    <w:rsid w:val="00660FA3"/>
    <w:rsid w:val="00661437"/>
    <w:rsid w:val="006616A9"/>
    <w:rsid w:val="006618AA"/>
    <w:rsid w:val="00662423"/>
    <w:rsid w:val="00662B50"/>
    <w:rsid w:val="00662DFF"/>
    <w:rsid w:val="00662ECC"/>
    <w:rsid w:val="00663156"/>
    <w:rsid w:val="00663247"/>
    <w:rsid w:val="00663413"/>
    <w:rsid w:val="00663614"/>
    <w:rsid w:val="00663C84"/>
    <w:rsid w:val="00663FCB"/>
    <w:rsid w:val="006641EC"/>
    <w:rsid w:val="00664356"/>
    <w:rsid w:val="006649AF"/>
    <w:rsid w:val="00664ABA"/>
    <w:rsid w:val="00665443"/>
    <w:rsid w:val="00665A64"/>
    <w:rsid w:val="00665FC6"/>
    <w:rsid w:val="00666083"/>
    <w:rsid w:val="0066632A"/>
    <w:rsid w:val="0066667B"/>
    <w:rsid w:val="00666916"/>
    <w:rsid w:val="00666C13"/>
    <w:rsid w:val="00667104"/>
    <w:rsid w:val="00667176"/>
    <w:rsid w:val="006671AE"/>
    <w:rsid w:val="006674B6"/>
    <w:rsid w:val="00667B00"/>
    <w:rsid w:val="00667CBF"/>
    <w:rsid w:val="00667EB0"/>
    <w:rsid w:val="00670003"/>
    <w:rsid w:val="0067020B"/>
    <w:rsid w:val="00670821"/>
    <w:rsid w:val="0067095A"/>
    <w:rsid w:val="00670B03"/>
    <w:rsid w:val="00671622"/>
    <w:rsid w:val="006718A3"/>
    <w:rsid w:val="006718AF"/>
    <w:rsid w:val="00671F00"/>
    <w:rsid w:val="00672008"/>
    <w:rsid w:val="00672120"/>
    <w:rsid w:val="00672285"/>
    <w:rsid w:val="00672402"/>
    <w:rsid w:val="0067290D"/>
    <w:rsid w:val="00672A5A"/>
    <w:rsid w:val="00672EA9"/>
    <w:rsid w:val="0067312C"/>
    <w:rsid w:val="00673173"/>
    <w:rsid w:val="00673201"/>
    <w:rsid w:val="0067322A"/>
    <w:rsid w:val="0067327D"/>
    <w:rsid w:val="00673352"/>
    <w:rsid w:val="00673843"/>
    <w:rsid w:val="006738A1"/>
    <w:rsid w:val="00673D6D"/>
    <w:rsid w:val="00673F9C"/>
    <w:rsid w:val="006740C6"/>
    <w:rsid w:val="006742F9"/>
    <w:rsid w:val="0067459F"/>
    <w:rsid w:val="0067460C"/>
    <w:rsid w:val="00674705"/>
    <w:rsid w:val="006748F3"/>
    <w:rsid w:val="00674C18"/>
    <w:rsid w:val="00675195"/>
    <w:rsid w:val="00675418"/>
    <w:rsid w:val="00675858"/>
    <w:rsid w:val="00675DD4"/>
    <w:rsid w:val="00675DD8"/>
    <w:rsid w:val="00675F48"/>
    <w:rsid w:val="00676A14"/>
    <w:rsid w:val="00676B12"/>
    <w:rsid w:val="00676C59"/>
    <w:rsid w:val="00676D57"/>
    <w:rsid w:val="00676E15"/>
    <w:rsid w:val="006770D5"/>
    <w:rsid w:val="00677167"/>
    <w:rsid w:val="0067768D"/>
    <w:rsid w:val="00677912"/>
    <w:rsid w:val="00677BAE"/>
    <w:rsid w:val="00677DED"/>
    <w:rsid w:val="00680585"/>
    <w:rsid w:val="0068060C"/>
    <w:rsid w:val="00680927"/>
    <w:rsid w:val="006809E0"/>
    <w:rsid w:val="00680FBE"/>
    <w:rsid w:val="00681472"/>
    <w:rsid w:val="0068196B"/>
    <w:rsid w:val="00681C5B"/>
    <w:rsid w:val="006825A8"/>
    <w:rsid w:val="00682974"/>
    <w:rsid w:val="00682A94"/>
    <w:rsid w:val="00683082"/>
    <w:rsid w:val="006833AF"/>
    <w:rsid w:val="0068368C"/>
    <w:rsid w:val="00683A26"/>
    <w:rsid w:val="00683A3B"/>
    <w:rsid w:val="00683C6E"/>
    <w:rsid w:val="00683D89"/>
    <w:rsid w:val="00683F48"/>
    <w:rsid w:val="00683F83"/>
    <w:rsid w:val="00683FCF"/>
    <w:rsid w:val="00684261"/>
    <w:rsid w:val="00684435"/>
    <w:rsid w:val="0068446B"/>
    <w:rsid w:val="00684545"/>
    <w:rsid w:val="00684840"/>
    <w:rsid w:val="00684B7B"/>
    <w:rsid w:val="00684B7C"/>
    <w:rsid w:val="00684F6F"/>
    <w:rsid w:val="006854E3"/>
    <w:rsid w:val="006857A9"/>
    <w:rsid w:val="00685B8B"/>
    <w:rsid w:val="00685C43"/>
    <w:rsid w:val="00685DC7"/>
    <w:rsid w:val="00685EB1"/>
    <w:rsid w:val="00686193"/>
    <w:rsid w:val="006861FE"/>
    <w:rsid w:val="00686450"/>
    <w:rsid w:val="0068650C"/>
    <w:rsid w:val="0068676F"/>
    <w:rsid w:val="00686899"/>
    <w:rsid w:val="00686A53"/>
    <w:rsid w:val="00686A71"/>
    <w:rsid w:val="00686B28"/>
    <w:rsid w:val="00686B62"/>
    <w:rsid w:val="006871A1"/>
    <w:rsid w:val="006879BE"/>
    <w:rsid w:val="00687C4D"/>
    <w:rsid w:val="006905BA"/>
    <w:rsid w:val="006906FE"/>
    <w:rsid w:val="0069077C"/>
    <w:rsid w:val="006910E3"/>
    <w:rsid w:val="0069123E"/>
    <w:rsid w:val="006917F2"/>
    <w:rsid w:val="00691913"/>
    <w:rsid w:val="006922D5"/>
    <w:rsid w:val="00692A80"/>
    <w:rsid w:val="00693399"/>
    <w:rsid w:val="006934CF"/>
    <w:rsid w:val="00694434"/>
    <w:rsid w:val="006944D8"/>
    <w:rsid w:val="0069459C"/>
    <w:rsid w:val="00694726"/>
    <w:rsid w:val="006947A3"/>
    <w:rsid w:val="00694C84"/>
    <w:rsid w:val="00694F78"/>
    <w:rsid w:val="00694FD7"/>
    <w:rsid w:val="0069541E"/>
    <w:rsid w:val="00695835"/>
    <w:rsid w:val="00695CE8"/>
    <w:rsid w:val="00696371"/>
    <w:rsid w:val="00696D25"/>
    <w:rsid w:val="00696F95"/>
    <w:rsid w:val="00697081"/>
    <w:rsid w:val="006970A6"/>
    <w:rsid w:val="006971AC"/>
    <w:rsid w:val="0069736B"/>
    <w:rsid w:val="00697397"/>
    <w:rsid w:val="006974E6"/>
    <w:rsid w:val="006979B2"/>
    <w:rsid w:val="00697AB8"/>
    <w:rsid w:val="00697DC4"/>
    <w:rsid w:val="006A009F"/>
    <w:rsid w:val="006A0675"/>
    <w:rsid w:val="006A0CC3"/>
    <w:rsid w:val="006A0DD1"/>
    <w:rsid w:val="006A0E71"/>
    <w:rsid w:val="006A11F4"/>
    <w:rsid w:val="006A138B"/>
    <w:rsid w:val="006A1569"/>
    <w:rsid w:val="006A15B9"/>
    <w:rsid w:val="006A2008"/>
    <w:rsid w:val="006A239A"/>
    <w:rsid w:val="006A23E5"/>
    <w:rsid w:val="006A29DC"/>
    <w:rsid w:val="006A2FC1"/>
    <w:rsid w:val="006A365D"/>
    <w:rsid w:val="006A3B13"/>
    <w:rsid w:val="006A3D90"/>
    <w:rsid w:val="006A4080"/>
    <w:rsid w:val="006A449D"/>
    <w:rsid w:val="006A4893"/>
    <w:rsid w:val="006A4A32"/>
    <w:rsid w:val="006A4B18"/>
    <w:rsid w:val="006A4B1B"/>
    <w:rsid w:val="006A4F4F"/>
    <w:rsid w:val="006A5418"/>
    <w:rsid w:val="006A5534"/>
    <w:rsid w:val="006A55FC"/>
    <w:rsid w:val="006A5B9A"/>
    <w:rsid w:val="006A5C40"/>
    <w:rsid w:val="006A5CE6"/>
    <w:rsid w:val="006A66A8"/>
    <w:rsid w:val="006A6A71"/>
    <w:rsid w:val="006A6EB9"/>
    <w:rsid w:val="006A6FCD"/>
    <w:rsid w:val="006A730C"/>
    <w:rsid w:val="006A7361"/>
    <w:rsid w:val="006A7507"/>
    <w:rsid w:val="006A75D0"/>
    <w:rsid w:val="006A78C3"/>
    <w:rsid w:val="006B0147"/>
    <w:rsid w:val="006B031E"/>
    <w:rsid w:val="006B0480"/>
    <w:rsid w:val="006B06F9"/>
    <w:rsid w:val="006B0AEA"/>
    <w:rsid w:val="006B0C3A"/>
    <w:rsid w:val="006B135A"/>
    <w:rsid w:val="006B140A"/>
    <w:rsid w:val="006B1809"/>
    <w:rsid w:val="006B19CA"/>
    <w:rsid w:val="006B1B6C"/>
    <w:rsid w:val="006B1D56"/>
    <w:rsid w:val="006B1D97"/>
    <w:rsid w:val="006B1D99"/>
    <w:rsid w:val="006B2C2A"/>
    <w:rsid w:val="006B2EC9"/>
    <w:rsid w:val="006B3018"/>
    <w:rsid w:val="006B3147"/>
    <w:rsid w:val="006B32AD"/>
    <w:rsid w:val="006B33D9"/>
    <w:rsid w:val="006B383D"/>
    <w:rsid w:val="006B3BD6"/>
    <w:rsid w:val="006B3EC1"/>
    <w:rsid w:val="006B43DF"/>
    <w:rsid w:val="006B4F9B"/>
    <w:rsid w:val="006B50E6"/>
    <w:rsid w:val="006B53A7"/>
    <w:rsid w:val="006B5D29"/>
    <w:rsid w:val="006B6044"/>
    <w:rsid w:val="006B6296"/>
    <w:rsid w:val="006B670E"/>
    <w:rsid w:val="006B673B"/>
    <w:rsid w:val="006B6DE4"/>
    <w:rsid w:val="006B6EB9"/>
    <w:rsid w:val="006B724B"/>
    <w:rsid w:val="006B766C"/>
    <w:rsid w:val="006B79D9"/>
    <w:rsid w:val="006B7DD8"/>
    <w:rsid w:val="006B7E82"/>
    <w:rsid w:val="006B7FBB"/>
    <w:rsid w:val="006B7FCF"/>
    <w:rsid w:val="006C014A"/>
    <w:rsid w:val="006C06DD"/>
    <w:rsid w:val="006C0963"/>
    <w:rsid w:val="006C0974"/>
    <w:rsid w:val="006C0B7F"/>
    <w:rsid w:val="006C0C0F"/>
    <w:rsid w:val="006C0D90"/>
    <w:rsid w:val="006C1532"/>
    <w:rsid w:val="006C1D97"/>
    <w:rsid w:val="006C1DBC"/>
    <w:rsid w:val="006C1ED6"/>
    <w:rsid w:val="006C22A7"/>
    <w:rsid w:val="006C258C"/>
    <w:rsid w:val="006C2724"/>
    <w:rsid w:val="006C2E4D"/>
    <w:rsid w:val="006C3404"/>
    <w:rsid w:val="006C34F2"/>
    <w:rsid w:val="006C367B"/>
    <w:rsid w:val="006C36D5"/>
    <w:rsid w:val="006C374B"/>
    <w:rsid w:val="006C3C34"/>
    <w:rsid w:val="006C3DD8"/>
    <w:rsid w:val="006C43F7"/>
    <w:rsid w:val="006C462C"/>
    <w:rsid w:val="006C46CC"/>
    <w:rsid w:val="006C4906"/>
    <w:rsid w:val="006C504B"/>
    <w:rsid w:val="006C51D9"/>
    <w:rsid w:val="006C527B"/>
    <w:rsid w:val="006C5EC4"/>
    <w:rsid w:val="006C5F57"/>
    <w:rsid w:val="006C62AB"/>
    <w:rsid w:val="006C653C"/>
    <w:rsid w:val="006C67C8"/>
    <w:rsid w:val="006C6A24"/>
    <w:rsid w:val="006C6AA6"/>
    <w:rsid w:val="006C7026"/>
    <w:rsid w:val="006C71F7"/>
    <w:rsid w:val="006C7375"/>
    <w:rsid w:val="006C74EF"/>
    <w:rsid w:val="006C76C4"/>
    <w:rsid w:val="006C7C7F"/>
    <w:rsid w:val="006C7D02"/>
    <w:rsid w:val="006D0243"/>
    <w:rsid w:val="006D035A"/>
    <w:rsid w:val="006D058C"/>
    <w:rsid w:val="006D0664"/>
    <w:rsid w:val="006D0905"/>
    <w:rsid w:val="006D1234"/>
    <w:rsid w:val="006D1413"/>
    <w:rsid w:val="006D1480"/>
    <w:rsid w:val="006D24BC"/>
    <w:rsid w:val="006D2590"/>
    <w:rsid w:val="006D274B"/>
    <w:rsid w:val="006D2BE4"/>
    <w:rsid w:val="006D2CD1"/>
    <w:rsid w:val="006D2D94"/>
    <w:rsid w:val="006D305F"/>
    <w:rsid w:val="006D323A"/>
    <w:rsid w:val="006D3271"/>
    <w:rsid w:val="006D33C5"/>
    <w:rsid w:val="006D3D14"/>
    <w:rsid w:val="006D4409"/>
    <w:rsid w:val="006D49AD"/>
    <w:rsid w:val="006D4D76"/>
    <w:rsid w:val="006D4E1F"/>
    <w:rsid w:val="006D5CB1"/>
    <w:rsid w:val="006D5D03"/>
    <w:rsid w:val="006D5D64"/>
    <w:rsid w:val="006D5E47"/>
    <w:rsid w:val="006D5F43"/>
    <w:rsid w:val="006D605B"/>
    <w:rsid w:val="006D6534"/>
    <w:rsid w:val="006D6695"/>
    <w:rsid w:val="006D6992"/>
    <w:rsid w:val="006D6F2F"/>
    <w:rsid w:val="006D6F48"/>
    <w:rsid w:val="006D70B0"/>
    <w:rsid w:val="006D71FC"/>
    <w:rsid w:val="006D72FB"/>
    <w:rsid w:val="006D74E0"/>
    <w:rsid w:val="006D76EF"/>
    <w:rsid w:val="006D7D25"/>
    <w:rsid w:val="006E0B15"/>
    <w:rsid w:val="006E0B1C"/>
    <w:rsid w:val="006E0C51"/>
    <w:rsid w:val="006E0D5B"/>
    <w:rsid w:val="006E0E9F"/>
    <w:rsid w:val="006E138B"/>
    <w:rsid w:val="006E2184"/>
    <w:rsid w:val="006E2315"/>
    <w:rsid w:val="006E28D2"/>
    <w:rsid w:val="006E29D3"/>
    <w:rsid w:val="006E2CB0"/>
    <w:rsid w:val="006E2FC2"/>
    <w:rsid w:val="006E32F8"/>
    <w:rsid w:val="006E36CB"/>
    <w:rsid w:val="006E3E7A"/>
    <w:rsid w:val="006E41BE"/>
    <w:rsid w:val="006E43C7"/>
    <w:rsid w:val="006E480F"/>
    <w:rsid w:val="006E493D"/>
    <w:rsid w:val="006E4956"/>
    <w:rsid w:val="006E4AE2"/>
    <w:rsid w:val="006E4E74"/>
    <w:rsid w:val="006E5453"/>
    <w:rsid w:val="006E558A"/>
    <w:rsid w:val="006E5AF3"/>
    <w:rsid w:val="006E614B"/>
    <w:rsid w:val="006E6296"/>
    <w:rsid w:val="006E6D6B"/>
    <w:rsid w:val="006E7222"/>
    <w:rsid w:val="006E7302"/>
    <w:rsid w:val="006E73A7"/>
    <w:rsid w:val="006E76E4"/>
    <w:rsid w:val="006E78C7"/>
    <w:rsid w:val="006E79E0"/>
    <w:rsid w:val="006E7BA4"/>
    <w:rsid w:val="006E7BDC"/>
    <w:rsid w:val="006F078C"/>
    <w:rsid w:val="006F0BBF"/>
    <w:rsid w:val="006F0F5F"/>
    <w:rsid w:val="006F10AA"/>
    <w:rsid w:val="006F1295"/>
    <w:rsid w:val="006F150C"/>
    <w:rsid w:val="006F161E"/>
    <w:rsid w:val="006F17DB"/>
    <w:rsid w:val="006F18C5"/>
    <w:rsid w:val="006F18F7"/>
    <w:rsid w:val="006F19B4"/>
    <w:rsid w:val="006F1BB3"/>
    <w:rsid w:val="006F1DA3"/>
    <w:rsid w:val="006F219C"/>
    <w:rsid w:val="006F21B8"/>
    <w:rsid w:val="006F21CC"/>
    <w:rsid w:val="006F2575"/>
    <w:rsid w:val="006F2BF3"/>
    <w:rsid w:val="006F2F15"/>
    <w:rsid w:val="006F2F55"/>
    <w:rsid w:val="006F350A"/>
    <w:rsid w:val="006F355D"/>
    <w:rsid w:val="006F3B27"/>
    <w:rsid w:val="006F4145"/>
    <w:rsid w:val="006F4379"/>
    <w:rsid w:val="006F4A4B"/>
    <w:rsid w:val="006F4ABA"/>
    <w:rsid w:val="006F5AA3"/>
    <w:rsid w:val="006F5B70"/>
    <w:rsid w:val="006F6CB2"/>
    <w:rsid w:val="006F6CD5"/>
    <w:rsid w:val="0070063F"/>
    <w:rsid w:val="0070094B"/>
    <w:rsid w:val="00700AE9"/>
    <w:rsid w:val="00700FE7"/>
    <w:rsid w:val="00701084"/>
    <w:rsid w:val="00701577"/>
    <w:rsid w:val="00701765"/>
    <w:rsid w:val="007023A3"/>
    <w:rsid w:val="007024A8"/>
    <w:rsid w:val="0070318F"/>
    <w:rsid w:val="007032CA"/>
    <w:rsid w:val="00703418"/>
    <w:rsid w:val="00703640"/>
    <w:rsid w:val="00703CC4"/>
    <w:rsid w:val="007040D4"/>
    <w:rsid w:val="007042A3"/>
    <w:rsid w:val="0070459F"/>
    <w:rsid w:val="00704D40"/>
    <w:rsid w:val="0070516B"/>
    <w:rsid w:val="007051E2"/>
    <w:rsid w:val="007052BC"/>
    <w:rsid w:val="00705481"/>
    <w:rsid w:val="007054BC"/>
    <w:rsid w:val="0070591F"/>
    <w:rsid w:val="00705BD3"/>
    <w:rsid w:val="00705C08"/>
    <w:rsid w:val="0070617C"/>
    <w:rsid w:val="007061AA"/>
    <w:rsid w:val="007063D3"/>
    <w:rsid w:val="00706598"/>
    <w:rsid w:val="00706A6F"/>
    <w:rsid w:val="007070F9"/>
    <w:rsid w:val="00707236"/>
    <w:rsid w:val="007077EA"/>
    <w:rsid w:val="007079FB"/>
    <w:rsid w:val="00707B8C"/>
    <w:rsid w:val="00707BAE"/>
    <w:rsid w:val="00707F32"/>
    <w:rsid w:val="0071015E"/>
    <w:rsid w:val="00710464"/>
    <w:rsid w:val="00710485"/>
    <w:rsid w:val="00710687"/>
    <w:rsid w:val="0071081B"/>
    <w:rsid w:val="007108D3"/>
    <w:rsid w:val="007109D8"/>
    <w:rsid w:val="00710B64"/>
    <w:rsid w:val="00710CBE"/>
    <w:rsid w:val="00710D1D"/>
    <w:rsid w:val="00711248"/>
    <w:rsid w:val="007113A8"/>
    <w:rsid w:val="007115E8"/>
    <w:rsid w:val="00711B76"/>
    <w:rsid w:val="00712054"/>
    <w:rsid w:val="00712353"/>
    <w:rsid w:val="007124E6"/>
    <w:rsid w:val="0071251B"/>
    <w:rsid w:val="007125DE"/>
    <w:rsid w:val="00712C73"/>
    <w:rsid w:val="00713462"/>
    <w:rsid w:val="0071362E"/>
    <w:rsid w:val="0071384A"/>
    <w:rsid w:val="00713D05"/>
    <w:rsid w:val="0071427F"/>
    <w:rsid w:val="00714E0D"/>
    <w:rsid w:val="00715033"/>
    <w:rsid w:val="007159AC"/>
    <w:rsid w:val="00715CD9"/>
    <w:rsid w:val="00716548"/>
    <w:rsid w:val="0071665B"/>
    <w:rsid w:val="0071667C"/>
    <w:rsid w:val="007168CD"/>
    <w:rsid w:val="007169DA"/>
    <w:rsid w:val="00716C19"/>
    <w:rsid w:val="00716DE0"/>
    <w:rsid w:val="00716DF3"/>
    <w:rsid w:val="00717693"/>
    <w:rsid w:val="00717770"/>
    <w:rsid w:val="00717A2F"/>
    <w:rsid w:val="00717C8E"/>
    <w:rsid w:val="00717D77"/>
    <w:rsid w:val="00717E4D"/>
    <w:rsid w:val="007202DB"/>
    <w:rsid w:val="00720D34"/>
    <w:rsid w:val="00720E59"/>
    <w:rsid w:val="0072116D"/>
    <w:rsid w:val="00721371"/>
    <w:rsid w:val="00721551"/>
    <w:rsid w:val="00721618"/>
    <w:rsid w:val="00721C8F"/>
    <w:rsid w:val="00721CC5"/>
    <w:rsid w:val="00721D37"/>
    <w:rsid w:val="00722107"/>
    <w:rsid w:val="00722311"/>
    <w:rsid w:val="00722369"/>
    <w:rsid w:val="00722446"/>
    <w:rsid w:val="00722C57"/>
    <w:rsid w:val="00722E66"/>
    <w:rsid w:val="0072372D"/>
    <w:rsid w:val="0072390B"/>
    <w:rsid w:val="00723E1E"/>
    <w:rsid w:val="007248D7"/>
    <w:rsid w:val="00724A3A"/>
    <w:rsid w:val="00724A9E"/>
    <w:rsid w:val="00724C32"/>
    <w:rsid w:val="007251B6"/>
    <w:rsid w:val="00725370"/>
    <w:rsid w:val="00725B65"/>
    <w:rsid w:val="00725B7D"/>
    <w:rsid w:val="00725B91"/>
    <w:rsid w:val="00725D7A"/>
    <w:rsid w:val="00726062"/>
    <w:rsid w:val="0072615B"/>
    <w:rsid w:val="0072618F"/>
    <w:rsid w:val="007262C6"/>
    <w:rsid w:val="0072685C"/>
    <w:rsid w:val="007272B5"/>
    <w:rsid w:val="007273EF"/>
    <w:rsid w:val="00727538"/>
    <w:rsid w:val="0072759E"/>
    <w:rsid w:val="007275AA"/>
    <w:rsid w:val="00727A48"/>
    <w:rsid w:val="00727DE2"/>
    <w:rsid w:val="00730D7F"/>
    <w:rsid w:val="0073112A"/>
    <w:rsid w:val="007311A3"/>
    <w:rsid w:val="007312AE"/>
    <w:rsid w:val="00731685"/>
    <w:rsid w:val="00732201"/>
    <w:rsid w:val="00732264"/>
    <w:rsid w:val="00732848"/>
    <w:rsid w:val="00732D7C"/>
    <w:rsid w:val="00732EB0"/>
    <w:rsid w:val="00732F12"/>
    <w:rsid w:val="007335A4"/>
    <w:rsid w:val="00733D19"/>
    <w:rsid w:val="00734430"/>
    <w:rsid w:val="007344EC"/>
    <w:rsid w:val="00734590"/>
    <w:rsid w:val="0073467F"/>
    <w:rsid w:val="0073469D"/>
    <w:rsid w:val="00734987"/>
    <w:rsid w:val="00734A35"/>
    <w:rsid w:val="00734B78"/>
    <w:rsid w:val="00734C65"/>
    <w:rsid w:val="00734E5B"/>
    <w:rsid w:val="00735846"/>
    <w:rsid w:val="00735AF8"/>
    <w:rsid w:val="00735CCC"/>
    <w:rsid w:val="00735E6D"/>
    <w:rsid w:val="00735FD8"/>
    <w:rsid w:val="007363C5"/>
    <w:rsid w:val="00736611"/>
    <w:rsid w:val="007367A4"/>
    <w:rsid w:val="0073695C"/>
    <w:rsid w:val="00736B4B"/>
    <w:rsid w:val="00737391"/>
    <w:rsid w:val="007373D7"/>
    <w:rsid w:val="0073742F"/>
    <w:rsid w:val="007379AB"/>
    <w:rsid w:val="00737FD7"/>
    <w:rsid w:val="00740135"/>
    <w:rsid w:val="00740220"/>
    <w:rsid w:val="00740257"/>
    <w:rsid w:val="0074029C"/>
    <w:rsid w:val="00740414"/>
    <w:rsid w:val="007404E4"/>
    <w:rsid w:val="0074071B"/>
    <w:rsid w:val="00740813"/>
    <w:rsid w:val="007408F2"/>
    <w:rsid w:val="00741097"/>
    <w:rsid w:val="007415D7"/>
    <w:rsid w:val="007417CF"/>
    <w:rsid w:val="0074226A"/>
    <w:rsid w:val="007431E2"/>
    <w:rsid w:val="0074386E"/>
    <w:rsid w:val="0074394F"/>
    <w:rsid w:val="00743B80"/>
    <w:rsid w:val="007440F8"/>
    <w:rsid w:val="007442B8"/>
    <w:rsid w:val="007442EE"/>
    <w:rsid w:val="00744331"/>
    <w:rsid w:val="00744615"/>
    <w:rsid w:val="007448F3"/>
    <w:rsid w:val="007449D1"/>
    <w:rsid w:val="00744A69"/>
    <w:rsid w:val="0074504E"/>
    <w:rsid w:val="00745113"/>
    <w:rsid w:val="00745525"/>
    <w:rsid w:val="00745DD6"/>
    <w:rsid w:val="00745F9D"/>
    <w:rsid w:val="0074632E"/>
    <w:rsid w:val="00746AF0"/>
    <w:rsid w:val="00746B5A"/>
    <w:rsid w:val="00746EBD"/>
    <w:rsid w:val="00746EC0"/>
    <w:rsid w:val="00746F0C"/>
    <w:rsid w:val="00747380"/>
    <w:rsid w:val="00747515"/>
    <w:rsid w:val="00747C80"/>
    <w:rsid w:val="00747F28"/>
    <w:rsid w:val="007503C5"/>
    <w:rsid w:val="007503E5"/>
    <w:rsid w:val="00750420"/>
    <w:rsid w:val="0075048B"/>
    <w:rsid w:val="007506BD"/>
    <w:rsid w:val="007506EE"/>
    <w:rsid w:val="00750704"/>
    <w:rsid w:val="0075082C"/>
    <w:rsid w:val="00750916"/>
    <w:rsid w:val="007509A6"/>
    <w:rsid w:val="007509BF"/>
    <w:rsid w:val="007509F0"/>
    <w:rsid w:val="00750B5A"/>
    <w:rsid w:val="00750D45"/>
    <w:rsid w:val="00750EA8"/>
    <w:rsid w:val="00750FF8"/>
    <w:rsid w:val="0075134C"/>
    <w:rsid w:val="0075156C"/>
    <w:rsid w:val="007518C3"/>
    <w:rsid w:val="00751C6B"/>
    <w:rsid w:val="00751F15"/>
    <w:rsid w:val="00751F71"/>
    <w:rsid w:val="00752797"/>
    <w:rsid w:val="00752EDA"/>
    <w:rsid w:val="00753146"/>
    <w:rsid w:val="00753285"/>
    <w:rsid w:val="00753FB2"/>
    <w:rsid w:val="00754579"/>
    <w:rsid w:val="007547A5"/>
    <w:rsid w:val="00754860"/>
    <w:rsid w:val="00754B2C"/>
    <w:rsid w:val="00754D37"/>
    <w:rsid w:val="00754E85"/>
    <w:rsid w:val="007550A3"/>
    <w:rsid w:val="00755179"/>
    <w:rsid w:val="00755240"/>
    <w:rsid w:val="0075527F"/>
    <w:rsid w:val="007558FA"/>
    <w:rsid w:val="00755D46"/>
    <w:rsid w:val="007565D0"/>
    <w:rsid w:val="00756AD4"/>
    <w:rsid w:val="00756CD8"/>
    <w:rsid w:val="0075750F"/>
    <w:rsid w:val="007579E1"/>
    <w:rsid w:val="00757A26"/>
    <w:rsid w:val="00757C2D"/>
    <w:rsid w:val="00757CCE"/>
    <w:rsid w:val="00757E7E"/>
    <w:rsid w:val="007602AD"/>
    <w:rsid w:val="00760494"/>
    <w:rsid w:val="00760808"/>
    <w:rsid w:val="00760B47"/>
    <w:rsid w:val="00760D62"/>
    <w:rsid w:val="00760E5D"/>
    <w:rsid w:val="0076176E"/>
    <w:rsid w:val="00761784"/>
    <w:rsid w:val="007617D4"/>
    <w:rsid w:val="007618B2"/>
    <w:rsid w:val="00761906"/>
    <w:rsid w:val="00761B93"/>
    <w:rsid w:val="00762373"/>
    <w:rsid w:val="007627AA"/>
    <w:rsid w:val="00762E1C"/>
    <w:rsid w:val="0076310A"/>
    <w:rsid w:val="00763245"/>
    <w:rsid w:val="0076347C"/>
    <w:rsid w:val="00763905"/>
    <w:rsid w:val="00763C00"/>
    <w:rsid w:val="00763D06"/>
    <w:rsid w:val="0076446C"/>
    <w:rsid w:val="007645BC"/>
    <w:rsid w:val="007650F2"/>
    <w:rsid w:val="007653DB"/>
    <w:rsid w:val="007656AC"/>
    <w:rsid w:val="0076599B"/>
    <w:rsid w:val="00765EC0"/>
    <w:rsid w:val="00765F43"/>
    <w:rsid w:val="00766310"/>
    <w:rsid w:val="007669B2"/>
    <w:rsid w:val="00766B22"/>
    <w:rsid w:val="00766B82"/>
    <w:rsid w:val="00766D6F"/>
    <w:rsid w:val="00766FAB"/>
    <w:rsid w:val="00767A32"/>
    <w:rsid w:val="00767A61"/>
    <w:rsid w:val="00767D0D"/>
    <w:rsid w:val="00767E11"/>
    <w:rsid w:val="0077005D"/>
    <w:rsid w:val="007701FA"/>
    <w:rsid w:val="0077031B"/>
    <w:rsid w:val="00770966"/>
    <w:rsid w:val="00770EB9"/>
    <w:rsid w:val="00770FF5"/>
    <w:rsid w:val="00771757"/>
    <w:rsid w:val="00771A18"/>
    <w:rsid w:val="00771AB1"/>
    <w:rsid w:val="00772589"/>
    <w:rsid w:val="007726C0"/>
    <w:rsid w:val="00772C70"/>
    <w:rsid w:val="00772D45"/>
    <w:rsid w:val="0077326D"/>
    <w:rsid w:val="00773334"/>
    <w:rsid w:val="00773871"/>
    <w:rsid w:val="00773A03"/>
    <w:rsid w:val="00773A72"/>
    <w:rsid w:val="00773AF8"/>
    <w:rsid w:val="00773B32"/>
    <w:rsid w:val="00773DAC"/>
    <w:rsid w:val="00774677"/>
    <w:rsid w:val="007746D7"/>
    <w:rsid w:val="0077472A"/>
    <w:rsid w:val="00774B5A"/>
    <w:rsid w:val="00774F1C"/>
    <w:rsid w:val="00775072"/>
    <w:rsid w:val="0077515F"/>
    <w:rsid w:val="007751B6"/>
    <w:rsid w:val="0077548D"/>
    <w:rsid w:val="007755EB"/>
    <w:rsid w:val="00775732"/>
    <w:rsid w:val="00775CD3"/>
    <w:rsid w:val="00776115"/>
    <w:rsid w:val="00776649"/>
    <w:rsid w:val="0077665D"/>
    <w:rsid w:val="0077674D"/>
    <w:rsid w:val="007767DA"/>
    <w:rsid w:val="00776F13"/>
    <w:rsid w:val="0077753A"/>
    <w:rsid w:val="0077759C"/>
    <w:rsid w:val="00777B74"/>
    <w:rsid w:val="00777D3D"/>
    <w:rsid w:val="00777F80"/>
    <w:rsid w:val="007800CD"/>
    <w:rsid w:val="00780189"/>
    <w:rsid w:val="0078018F"/>
    <w:rsid w:val="00780802"/>
    <w:rsid w:val="007809A0"/>
    <w:rsid w:val="00780E45"/>
    <w:rsid w:val="00780FCA"/>
    <w:rsid w:val="00781777"/>
    <w:rsid w:val="00781BAD"/>
    <w:rsid w:val="00781EC7"/>
    <w:rsid w:val="00781F4B"/>
    <w:rsid w:val="0078218C"/>
    <w:rsid w:val="007823A0"/>
    <w:rsid w:val="007825CD"/>
    <w:rsid w:val="00782EEE"/>
    <w:rsid w:val="00783035"/>
    <w:rsid w:val="00783376"/>
    <w:rsid w:val="00783454"/>
    <w:rsid w:val="007837CF"/>
    <w:rsid w:val="00783DD5"/>
    <w:rsid w:val="0078419C"/>
    <w:rsid w:val="00784266"/>
    <w:rsid w:val="007847FA"/>
    <w:rsid w:val="00784B22"/>
    <w:rsid w:val="00784E80"/>
    <w:rsid w:val="00785025"/>
    <w:rsid w:val="007855C5"/>
    <w:rsid w:val="0078586F"/>
    <w:rsid w:val="007861CE"/>
    <w:rsid w:val="00786243"/>
    <w:rsid w:val="0078657F"/>
    <w:rsid w:val="00786986"/>
    <w:rsid w:val="00786BD1"/>
    <w:rsid w:val="00786D1C"/>
    <w:rsid w:val="00786F7E"/>
    <w:rsid w:val="00787029"/>
    <w:rsid w:val="007870C8"/>
    <w:rsid w:val="00787332"/>
    <w:rsid w:val="007877C7"/>
    <w:rsid w:val="007878AD"/>
    <w:rsid w:val="00787EE4"/>
    <w:rsid w:val="007900E9"/>
    <w:rsid w:val="007902A6"/>
    <w:rsid w:val="0079039F"/>
    <w:rsid w:val="00790496"/>
    <w:rsid w:val="007907B5"/>
    <w:rsid w:val="00790910"/>
    <w:rsid w:val="00790C20"/>
    <w:rsid w:val="00790CA3"/>
    <w:rsid w:val="00791239"/>
    <w:rsid w:val="00791C49"/>
    <w:rsid w:val="00791DE1"/>
    <w:rsid w:val="007922B2"/>
    <w:rsid w:val="00792587"/>
    <w:rsid w:val="007925DA"/>
    <w:rsid w:val="00792733"/>
    <w:rsid w:val="00793066"/>
    <w:rsid w:val="007934EC"/>
    <w:rsid w:val="0079375E"/>
    <w:rsid w:val="00793B97"/>
    <w:rsid w:val="00793BAC"/>
    <w:rsid w:val="00793BE0"/>
    <w:rsid w:val="00793D82"/>
    <w:rsid w:val="00793E4A"/>
    <w:rsid w:val="00794486"/>
    <w:rsid w:val="007946D5"/>
    <w:rsid w:val="007946F0"/>
    <w:rsid w:val="00794AAC"/>
    <w:rsid w:val="00794BF1"/>
    <w:rsid w:val="00794C56"/>
    <w:rsid w:val="00794C59"/>
    <w:rsid w:val="00794FE1"/>
    <w:rsid w:val="0079515E"/>
    <w:rsid w:val="007959CE"/>
    <w:rsid w:val="00795EE0"/>
    <w:rsid w:val="007961AD"/>
    <w:rsid w:val="00796212"/>
    <w:rsid w:val="007967CE"/>
    <w:rsid w:val="00797BB2"/>
    <w:rsid w:val="00797D36"/>
    <w:rsid w:val="007A00CB"/>
    <w:rsid w:val="007A035D"/>
    <w:rsid w:val="007A0667"/>
    <w:rsid w:val="007A07A2"/>
    <w:rsid w:val="007A0A0E"/>
    <w:rsid w:val="007A0B25"/>
    <w:rsid w:val="007A0C94"/>
    <w:rsid w:val="007A1370"/>
    <w:rsid w:val="007A1523"/>
    <w:rsid w:val="007A15B8"/>
    <w:rsid w:val="007A17BE"/>
    <w:rsid w:val="007A18C4"/>
    <w:rsid w:val="007A1AC0"/>
    <w:rsid w:val="007A1AEB"/>
    <w:rsid w:val="007A231A"/>
    <w:rsid w:val="007A2327"/>
    <w:rsid w:val="007A24CB"/>
    <w:rsid w:val="007A2961"/>
    <w:rsid w:val="007A2AF1"/>
    <w:rsid w:val="007A2CC7"/>
    <w:rsid w:val="007A321D"/>
    <w:rsid w:val="007A3572"/>
    <w:rsid w:val="007A36EC"/>
    <w:rsid w:val="007A37EA"/>
    <w:rsid w:val="007A3866"/>
    <w:rsid w:val="007A3910"/>
    <w:rsid w:val="007A3A8C"/>
    <w:rsid w:val="007A3B01"/>
    <w:rsid w:val="007A3B3E"/>
    <w:rsid w:val="007A434F"/>
    <w:rsid w:val="007A44DA"/>
    <w:rsid w:val="007A4500"/>
    <w:rsid w:val="007A45E7"/>
    <w:rsid w:val="007A4E92"/>
    <w:rsid w:val="007A4EC3"/>
    <w:rsid w:val="007A4FCC"/>
    <w:rsid w:val="007A50C6"/>
    <w:rsid w:val="007A5800"/>
    <w:rsid w:val="007A5914"/>
    <w:rsid w:val="007A5FB6"/>
    <w:rsid w:val="007A6204"/>
    <w:rsid w:val="007A6254"/>
    <w:rsid w:val="007A65ED"/>
    <w:rsid w:val="007A6945"/>
    <w:rsid w:val="007A6A31"/>
    <w:rsid w:val="007A740F"/>
    <w:rsid w:val="007A74A1"/>
    <w:rsid w:val="007A755E"/>
    <w:rsid w:val="007A7635"/>
    <w:rsid w:val="007A76D8"/>
    <w:rsid w:val="007A77E1"/>
    <w:rsid w:val="007A7E7D"/>
    <w:rsid w:val="007B032A"/>
    <w:rsid w:val="007B04C9"/>
    <w:rsid w:val="007B0743"/>
    <w:rsid w:val="007B07F9"/>
    <w:rsid w:val="007B084A"/>
    <w:rsid w:val="007B090E"/>
    <w:rsid w:val="007B0A68"/>
    <w:rsid w:val="007B0E0C"/>
    <w:rsid w:val="007B1720"/>
    <w:rsid w:val="007B1BE3"/>
    <w:rsid w:val="007B20D7"/>
    <w:rsid w:val="007B211B"/>
    <w:rsid w:val="007B2275"/>
    <w:rsid w:val="007B23AF"/>
    <w:rsid w:val="007B23DC"/>
    <w:rsid w:val="007B2439"/>
    <w:rsid w:val="007B2890"/>
    <w:rsid w:val="007B2AC9"/>
    <w:rsid w:val="007B2AF8"/>
    <w:rsid w:val="007B2C7B"/>
    <w:rsid w:val="007B31A1"/>
    <w:rsid w:val="007B3391"/>
    <w:rsid w:val="007B386B"/>
    <w:rsid w:val="007B3BB2"/>
    <w:rsid w:val="007B3CB0"/>
    <w:rsid w:val="007B3F78"/>
    <w:rsid w:val="007B4051"/>
    <w:rsid w:val="007B41C9"/>
    <w:rsid w:val="007B4B5B"/>
    <w:rsid w:val="007B4BD8"/>
    <w:rsid w:val="007B4EFD"/>
    <w:rsid w:val="007B50A3"/>
    <w:rsid w:val="007B50FF"/>
    <w:rsid w:val="007B540D"/>
    <w:rsid w:val="007B55EE"/>
    <w:rsid w:val="007B58C1"/>
    <w:rsid w:val="007B5A9A"/>
    <w:rsid w:val="007B606D"/>
    <w:rsid w:val="007B62A2"/>
    <w:rsid w:val="007B64C2"/>
    <w:rsid w:val="007B752D"/>
    <w:rsid w:val="007B7566"/>
    <w:rsid w:val="007B7E62"/>
    <w:rsid w:val="007C004B"/>
    <w:rsid w:val="007C0118"/>
    <w:rsid w:val="007C06AD"/>
    <w:rsid w:val="007C0868"/>
    <w:rsid w:val="007C0D0E"/>
    <w:rsid w:val="007C1489"/>
    <w:rsid w:val="007C1553"/>
    <w:rsid w:val="007C1733"/>
    <w:rsid w:val="007C1B02"/>
    <w:rsid w:val="007C1D28"/>
    <w:rsid w:val="007C20C7"/>
    <w:rsid w:val="007C25B3"/>
    <w:rsid w:val="007C26E5"/>
    <w:rsid w:val="007C2875"/>
    <w:rsid w:val="007C2B78"/>
    <w:rsid w:val="007C3051"/>
    <w:rsid w:val="007C32DE"/>
    <w:rsid w:val="007C33B5"/>
    <w:rsid w:val="007C3707"/>
    <w:rsid w:val="007C3DC8"/>
    <w:rsid w:val="007C3EEE"/>
    <w:rsid w:val="007C4345"/>
    <w:rsid w:val="007C4818"/>
    <w:rsid w:val="007C4E24"/>
    <w:rsid w:val="007C5118"/>
    <w:rsid w:val="007C5313"/>
    <w:rsid w:val="007C5CD3"/>
    <w:rsid w:val="007C6279"/>
    <w:rsid w:val="007C6320"/>
    <w:rsid w:val="007C65D2"/>
    <w:rsid w:val="007C6631"/>
    <w:rsid w:val="007C6B1D"/>
    <w:rsid w:val="007C720A"/>
    <w:rsid w:val="007C7389"/>
    <w:rsid w:val="007C7499"/>
    <w:rsid w:val="007D013F"/>
    <w:rsid w:val="007D0231"/>
    <w:rsid w:val="007D046C"/>
    <w:rsid w:val="007D0E5B"/>
    <w:rsid w:val="007D1092"/>
    <w:rsid w:val="007D118C"/>
    <w:rsid w:val="007D1542"/>
    <w:rsid w:val="007D157B"/>
    <w:rsid w:val="007D180C"/>
    <w:rsid w:val="007D1924"/>
    <w:rsid w:val="007D19E3"/>
    <w:rsid w:val="007D1AF7"/>
    <w:rsid w:val="007D2621"/>
    <w:rsid w:val="007D2632"/>
    <w:rsid w:val="007D2891"/>
    <w:rsid w:val="007D29A2"/>
    <w:rsid w:val="007D2A94"/>
    <w:rsid w:val="007D3002"/>
    <w:rsid w:val="007D31D2"/>
    <w:rsid w:val="007D3261"/>
    <w:rsid w:val="007D389E"/>
    <w:rsid w:val="007D3945"/>
    <w:rsid w:val="007D3BFB"/>
    <w:rsid w:val="007D45A0"/>
    <w:rsid w:val="007D4AE3"/>
    <w:rsid w:val="007D4E8E"/>
    <w:rsid w:val="007D506E"/>
    <w:rsid w:val="007D55A6"/>
    <w:rsid w:val="007D581B"/>
    <w:rsid w:val="007D5CA8"/>
    <w:rsid w:val="007D5E41"/>
    <w:rsid w:val="007D60D1"/>
    <w:rsid w:val="007D635A"/>
    <w:rsid w:val="007D655B"/>
    <w:rsid w:val="007D6812"/>
    <w:rsid w:val="007D6AB3"/>
    <w:rsid w:val="007D6B9E"/>
    <w:rsid w:val="007D7319"/>
    <w:rsid w:val="007D765F"/>
    <w:rsid w:val="007D7821"/>
    <w:rsid w:val="007D7D7B"/>
    <w:rsid w:val="007E00F6"/>
    <w:rsid w:val="007E074D"/>
    <w:rsid w:val="007E0CAF"/>
    <w:rsid w:val="007E0D2F"/>
    <w:rsid w:val="007E0E17"/>
    <w:rsid w:val="007E10FD"/>
    <w:rsid w:val="007E1540"/>
    <w:rsid w:val="007E1971"/>
    <w:rsid w:val="007E1B52"/>
    <w:rsid w:val="007E1D8B"/>
    <w:rsid w:val="007E1ED6"/>
    <w:rsid w:val="007E20D4"/>
    <w:rsid w:val="007E2B77"/>
    <w:rsid w:val="007E2F09"/>
    <w:rsid w:val="007E33CD"/>
    <w:rsid w:val="007E38D7"/>
    <w:rsid w:val="007E38F8"/>
    <w:rsid w:val="007E392D"/>
    <w:rsid w:val="007E3B28"/>
    <w:rsid w:val="007E3C2D"/>
    <w:rsid w:val="007E410B"/>
    <w:rsid w:val="007E4204"/>
    <w:rsid w:val="007E4680"/>
    <w:rsid w:val="007E4FB8"/>
    <w:rsid w:val="007E504D"/>
    <w:rsid w:val="007E58EB"/>
    <w:rsid w:val="007E5F42"/>
    <w:rsid w:val="007E6042"/>
    <w:rsid w:val="007E6133"/>
    <w:rsid w:val="007E6180"/>
    <w:rsid w:val="007E61D5"/>
    <w:rsid w:val="007E6259"/>
    <w:rsid w:val="007E6DD3"/>
    <w:rsid w:val="007E722A"/>
    <w:rsid w:val="007E7340"/>
    <w:rsid w:val="007E7A48"/>
    <w:rsid w:val="007F0128"/>
    <w:rsid w:val="007F077C"/>
    <w:rsid w:val="007F07A8"/>
    <w:rsid w:val="007F08CA"/>
    <w:rsid w:val="007F0A40"/>
    <w:rsid w:val="007F0C70"/>
    <w:rsid w:val="007F0CE5"/>
    <w:rsid w:val="007F1071"/>
    <w:rsid w:val="007F11B1"/>
    <w:rsid w:val="007F1203"/>
    <w:rsid w:val="007F1A25"/>
    <w:rsid w:val="007F1B76"/>
    <w:rsid w:val="007F1ED3"/>
    <w:rsid w:val="007F218B"/>
    <w:rsid w:val="007F21A2"/>
    <w:rsid w:val="007F2B67"/>
    <w:rsid w:val="007F2BF8"/>
    <w:rsid w:val="007F2EE8"/>
    <w:rsid w:val="007F30CA"/>
    <w:rsid w:val="007F32BB"/>
    <w:rsid w:val="007F3711"/>
    <w:rsid w:val="007F3B6E"/>
    <w:rsid w:val="007F3C09"/>
    <w:rsid w:val="007F3E9E"/>
    <w:rsid w:val="007F43F6"/>
    <w:rsid w:val="007F4503"/>
    <w:rsid w:val="007F4F1E"/>
    <w:rsid w:val="007F504C"/>
    <w:rsid w:val="007F54C7"/>
    <w:rsid w:val="007F56A1"/>
    <w:rsid w:val="007F6104"/>
    <w:rsid w:val="007F6846"/>
    <w:rsid w:val="007F6B70"/>
    <w:rsid w:val="007F6C6F"/>
    <w:rsid w:val="007F7158"/>
    <w:rsid w:val="007F72F4"/>
    <w:rsid w:val="007F74BC"/>
    <w:rsid w:val="007F772D"/>
    <w:rsid w:val="007F7769"/>
    <w:rsid w:val="007F78C2"/>
    <w:rsid w:val="007F7AC2"/>
    <w:rsid w:val="007F7E00"/>
    <w:rsid w:val="007F7F7F"/>
    <w:rsid w:val="007F7FFB"/>
    <w:rsid w:val="008002B1"/>
    <w:rsid w:val="00800B3D"/>
    <w:rsid w:val="00800B52"/>
    <w:rsid w:val="00800B92"/>
    <w:rsid w:val="00800CB1"/>
    <w:rsid w:val="00800F43"/>
    <w:rsid w:val="0080133A"/>
    <w:rsid w:val="008014FC"/>
    <w:rsid w:val="008018B0"/>
    <w:rsid w:val="00801A75"/>
    <w:rsid w:val="00801EAB"/>
    <w:rsid w:val="008023F2"/>
    <w:rsid w:val="00802924"/>
    <w:rsid w:val="00802933"/>
    <w:rsid w:val="0080294E"/>
    <w:rsid w:val="00802A79"/>
    <w:rsid w:val="00802ABF"/>
    <w:rsid w:val="00802B63"/>
    <w:rsid w:val="00802C82"/>
    <w:rsid w:val="00802D45"/>
    <w:rsid w:val="0080380A"/>
    <w:rsid w:val="008038A8"/>
    <w:rsid w:val="00803C38"/>
    <w:rsid w:val="008040EA"/>
    <w:rsid w:val="00804445"/>
    <w:rsid w:val="00804572"/>
    <w:rsid w:val="00804CCC"/>
    <w:rsid w:val="00805446"/>
    <w:rsid w:val="0080594D"/>
    <w:rsid w:val="00805996"/>
    <w:rsid w:val="00806259"/>
    <w:rsid w:val="00806434"/>
    <w:rsid w:val="00806456"/>
    <w:rsid w:val="00806888"/>
    <w:rsid w:val="00806D3A"/>
    <w:rsid w:val="00806E07"/>
    <w:rsid w:val="008070D6"/>
    <w:rsid w:val="008071ED"/>
    <w:rsid w:val="00807559"/>
    <w:rsid w:val="008077BF"/>
    <w:rsid w:val="0080798F"/>
    <w:rsid w:val="00807E23"/>
    <w:rsid w:val="00807FEB"/>
    <w:rsid w:val="00810333"/>
    <w:rsid w:val="008108F3"/>
    <w:rsid w:val="00810A0C"/>
    <w:rsid w:val="00810D22"/>
    <w:rsid w:val="00811088"/>
    <w:rsid w:val="00811356"/>
    <w:rsid w:val="0081150A"/>
    <w:rsid w:val="008115C2"/>
    <w:rsid w:val="008116FD"/>
    <w:rsid w:val="008117BF"/>
    <w:rsid w:val="008117F7"/>
    <w:rsid w:val="00811EDA"/>
    <w:rsid w:val="00812721"/>
    <w:rsid w:val="00812723"/>
    <w:rsid w:val="008127A4"/>
    <w:rsid w:val="008127AA"/>
    <w:rsid w:val="00812D5F"/>
    <w:rsid w:val="008131C7"/>
    <w:rsid w:val="00813288"/>
    <w:rsid w:val="0081412D"/>
    <w:rsid w:val="00814161"/>
    <w:rsid w:val="008156C9"/>
    <w:rsid w:val="008156EE"/>
    <w:rsid w:val="00816472"/>
    <w:rsid w:val="00816475"/>
    <w:rsid w:val="00816829"/>
    <w:rsid w:val="00816BE7"/>
    <w:rsid w:val="00816E51"/>
    <w:rsid w:val="00816EA2"/>
    <w:rsid w:val="00816FBE"/>
    <w:rsid w:val="00817257"/>
    <w:rsid w:val="008172AD"/>
    <w:rsid w:val="008172EC"/>
    <w:rsid w:val="00817447"/>
    <w:rsid w:val="00817DFD"/>
    <w:rsid w:val="00820AF3"/>
    <w:rsid w:val="0082118C"/>
    <w:rsid w:val="008212C3"/>
    <w:rsid w:val="008216B1"/>
    <w:rsid w:val="00821A29"/>
    <w:rsid w:val="00821D99"/>
    <w:rsid w:val="00821F37"/>
    <w:rsid w:val="00822442"/>
    <w:rsid w:val="008225BC"/>
    <w:rsid w:val="008227FA"/>
    <w:rsid w:val="0082287B"/>
    <w:rsid w:val="008228CB"/>
    <w:rsid w:val="00822AE8"/>
    <w:rsid w:val="00822F64"/>
    <w:rsid w:val="00823092"/>
    <w:rsid w:val="00823233"/>
    <w:rsid w:val="00823EDA"/>
    <w:rsid w:val="00824426"/>
    <w:rsid w:val="00824472"/>
    <w:rsid w:val="00824588"/>
    <w:rsid w:val="00824B0E"/>
    <w:rsid w:val="00824C9D"/>
    <w:rsid w:val="00824DF5"/>
    <w:rsid w:val="00825148"/>
    <w:rsid w:val="008252A8"/>
    <w:rsid w:val="00825406"/>
    <w:rsid w:val="00825749"/>
    <w:rsid w:val="00825BAC"/>
    <w:rsid w:val="00825FB6"/>
    <w:rsid w:val="008260AC"/>
    <w:rsid w:val="008260B8"/>
    <w:rsid w:val="00826113"/>
    <w:rsid w:val="00827126"/>
    <w:rsid w:val="008272A7"/>
    <w:rsid w:val="00827480"/>
    <w:rsid w:val="00830012"/>
    <w:rsid w:val="008302D0"/>
    <w:rsid w:val="0083050A"/>
    <w:rsid w:val="0083058C"/>
    <w:rsid w:val="00830597"/>
    <w:rsid w:val="008306F2"/>
    <w:rsid w:val="00830E52"/>
    <w:rsid w:val="00830EA8"/>
    <w:rsid w:val="008314DE"/>
    <w:rsid w:val="008315E8"/>
    <w:rsid w:val="008316DD"/>
    <w:rsid w:val="00831A0F"/>
    <w:rsid w:val="00831FCC"/>
    <w:rsid w:val="00832228"/>
    <w:rsid w:val="0083233F"/>
    <w:rsid w:val="008324E3"/>
    <w:rsid w:val="00832729"/>
    <w:rsid w:val="00832CC4"/>
    <w:rsid w:val="008331EA"/>
    <w:rsid w:val="00833279"/>
    <w:rsid w:val="0083331D"/>
    <w:rsid w:val="00833551"/>
    <w:rsid w:val="00833AD4"/>
    <w:rsid w:val="00833B9F"/>
    <w:rsid w:val="00833E59"/>
    <w:rsid w:val="008341C5"/>
    <w:rsid w:val="008341E3"/>
    <w:rsid w:val="008346B7"/>
    <w:rsid w:val="008348DE"/>
    <w:rsid w:val="00834D2A"/>
    <w:rsid w:val="00835320"/>
    <w:rsid w:val="0083599C"/>
    <w:rsid w:val="00835AE2"/>
    <w:rsid w:val="0083648B"/>
    <w:rsid w:val="00836E8D"/>
    <w:rsid w:val="008372E4"/>
    <w:rsid w:val="00837721"/>
    <w:rsid w:val="008378C4"/>
    <w:rsid w:val="008378F0"/>
    <w:rsid w:val="00837B41"/>
    <w:rsid w:val="00837BA8"/>
    <w:rsid w:val="00840AC1"/>
    <w:rsid w:val="00840FFC"/>
    <w:rsid w:val="00841156"/>
    <w:rsid w:val="00841413"/>
    <w:rsid w:val="00841586"/>
    <w:rsid w:val="008416CF"/>
    <w:rsid w:val="00841841"/>
    <w:rsid w:val="008418D5"/>
    <w:rsid w:val="00841BFB"/>
    <w:rsid w:val="008425D1"/>
    <w:rsid w:val="00842ABF"/>
    <w:rsid w:val="00842BB9"/>
    <w:rsid w:val="00843043"/>
    <w:rsid w:val="008435B7"/>
    <w:rsid w:val="0084364D"/>
    <w:rsid w:val="00843654"/>
    <w:rsid w:val="0084377A"/>
    <w:rsid w:val="00843AAD"/>
    <w:rsid w:val="00843BBF"/>
    <w:rsid w:val="00843E2B"/>
    <w:rsid w:val="00843EBF"/>
    <w:rsid w:val="0084428E"/>
    <w:rsid w:val="00844347"/>
    <w:rsid w:val="0084437F"/>
    <w:rsid w:val="0084463F"/>
    <w:rsid w:val="00844901"/>
    <w:rsid w:val="00844E06"/>
    <w:rsid w:val="008450F3"/>
    <w:rsid w:val="008452BD"/>
    <w:rsid w:val="008452D6"/>
    <w:rsid w:val="00845365"/>
    <w:rsid w:val="008453BA"/>
    <w:rsid w:val="00845946"/>
    <w:rsid w:val="0084594D"/>
    <w:rsid w:val="00846A27"/>
    <w:rsid w:val="00846B59"/>
    <w:rsid w:val="00846DC7"/>
    <w:rsid w:val="008473B6"/>
    <w:rsid w:val="0084752F"/>
    <w:rsid w:val="008476A0"/>
    <w:rsid w:val="008477D2"/>
    <w:rsid w:val="0084792C"/>
    <w:rsid w:val="0084797E"/>
    <w:rsid w:val="00847A72"/>
    <w:rsid w:val="00847C60"/>
    <w:rsid w:val="00847EEE"/>
    <w:rsid w:val="00847F55"/>
    <w:rsid w:val="0085015C"/>
    <w:rsid w:val="00850266"/>
    <w:rsid w:val="0085031A"/>
    <w:rsid w:val="0085041B"/>
    <w:rsid w:val="008505AC"/>
    <w:rsid w:val="008505AE"/>
    <w:rsid w:val="00850764"/>
    <w:rsid w:val="008509E0"/>
    <w:rsid w:val="00850AAE"/>
    <w:rsid w:val="008512D4"/>
    <w:rsid w:val="00851C5E"/>
    <w:rsid w:val="008521A3"/>
    <w:rsid w:val="00852D87"/>
    <w:rsid w:val="00852E78"/>
    <w:rsid w:val="00852EE6"/>
    <w:rsid w:val="00852F38"/>
    <w:rsid w:val="008538EE"/>
    <w:rsid w:val="00853CF9"/>
    <w:rsid w:val="008540FA"/>
    <w:rsid w:val="008542FF"/>
    <w:rsid w:val="00854441"/>
    <w:rsid w:val="008545CF"/>
    <w:rsid w:val="008546A5"/>
    <w:rsid w:val="008549E3"/>
    <w:rsid w:val="00854A1B"/>
    <w:rsid w:val="00854C57"/>
    <w:rsid w:val="00854ED1"/>
    <w:rsid w:val="00854EF0"/>
    <w:rsid w:val="00854F3F"/>
    <w:rsid w:val="008550A1"/>
    <w:rsid w:val="0085583F"/>
    <w:rsid w:val="00855DAE"/>
    <w:rsid w:val="00855DED"/>
    <w:rsid w:val="0085625B"/>
    <w:rsid w:val="008565B8"/>
    <w:rsid w:val="0085669C"/>
    <w:rsid w:val="00856C34"/>
    <w:rsid w:val="00856C8D"/>
    <w:rsid w:val="00856C90"/>
    <w:rsid w:val="00856C94"/>
    <w:rsid w:val="00856D7A"/>
    <w:rsid w:val="008577C9"/>
    <w:rsid w:val="00857AB4"/>
    <w:rsid w:val="00857AF9"/>
    <w:rsid w:val="00857DA5"/>
    <w:rsid w:val="00857DCE"/>
    <w:rsid w:val="00857EE3"/>
    <w:rsid w:val="00857F30"/>
    <w:rsid w:val="00857FF1"/>
    <w:rsid w:val="00860153"/>
    <w:rsid w:val="008601F1"/>
    <w:rsid w:val="008602EF"/>
    <w:rsid w:val="0086056E"/>
    <w:rsid w:val="00860621"/>
    <w:rsid w:val="008606ED"/>
    <w:rsid w:val="00860E67"/>
    <w:rsid w:val="0086103B"/>
    <w:rsid w:val="0086154A"/>
    <w:rsid w:val="00861560"/>
    <w:rsid w:val="008615AD"/>
    <w:rsid w:val="00861608"/>
    <w:rsid w:val="00861A54"/>
    <w:rsid w:val="00861C50"/>
    <w:rsid w:val="00861F1D"/>
    <w:rsid w:val="00861F6B"/>
    <w:rsid w:val="00861FE7"/>
    <w:rsid w:val="00862095"/>
    <w:rsid w:val="0086211C"/>
    <w:rsid w:val="008621C6"/>
    <w:rsid w:val="00862289"/>
    <w:rsid w:val="008625A8"/>
    <w:rsid w:val="008629BA"/>
    <w:rsid w:val="00862B69"/>
    <w:rsid w:val="00862E86"/>
    <w:rsid w:val="00862F09"/>
    <w:rsid w:val="00862FF7"/>
    <w:rsid w:val="008631B5"/>
    <w:rsid w:val="00863323"/>
    <w:rsid w:val="008635D0"/>
    <w:rsid w:val="008635DB"/>
    <w:rsid w:val="0086387D"/>
    <w:rsid w:val="00863A23"/>
    <w:rsid w:val="00863E95"/>
    <w:rsid w:val="00864243"/>
    <w:rsid w:val="0086497D"/>
    <w:rsid w:val="00865520"/>
    <w:rsid w:val="00865546"/>
    <w:rsid w:val="00865DC1"/>
    <w:rsid w:val="00865E1F"/>
    <w:rsid w:val="00865E77"/>
    <w:rsid w:val="0086616F"/>
    <w:rsid w:val="00866E9E"/>
    <w:rsid w:val="008670AA"/>
    <w:rsid w:val="00867264"/>
    <w:rsid w:val="0086768D"/>
    <w:rsid w:val="008677BB"/>
    <w:rsid w:val="00867E67"/>
    <w:rsid w:val="00867E83"/>
    <w:rsid w:val="00870112"/>
    <w:rsid w:val="008707A7"/>
    <w:rsid w:val="0087096A"/>
    <w:rsid w:val="00870C8E"/>
    <w:rsid w:val="008719D0"/>
    <w:rsid w:val="00871A57"/>
    <w:rsid w:val="00871E01"/>
    <w:rsid w:val="008721BD"/>
    <w:rsid w:val="008723D4"/>
    <w:rsid w:val="008724D6"/>
    <w:rsid w:val="00872557"/>
    <w:rsid w:val="0087256F"/>
    <w:rsid w:val="00873156"/>
    <w:rsid w:val="008735A4"/>
    <w:rsid w:val="00873658"/>
    <w:rsid w:val="0087365A"/>
    <w:rsid w:val="00873A9E"/>
    <w:rsid w:val="00873FDF"/>
    <w:rsid w:val="008743C7"/>
    <w:rsid w:val="008746E8"/>
    <w:rsid w:val="00874D1D"/>
    <w:rsid w:val="008750F9"/>
    <w:rsid w:val="00875341"/>
    <w:rsid w:val="0087536F"/>
    <w:rsid w:val="008754AF"/>
    <w:rsid w:val="00875F97"/>
    <w:rsid w:val="008761C1"/>
    <w:rsid w:val="008763B7"/>
    <w:rsid w:val="00876673"/>
    <w:rsid w:val="008767CD"/>
    <w:rsid w:val="00876A2B"/>
    <w:rsid w:val="008773CC"/>
    <w:rsid w:val="00877450"/>
    <w:rsid w:val="00877535"/>
    <w:rsid w:val="00877840"/>
    <w:rsid w:val="00877D87"/>
    <w:rsid w:val="00877DA0"/>
    <w:rsid w:val="00877DD5"/>
    <w:rsid w:val="00877EC9"/>
    <w:rsid w:val="0088066F"/>
    <w:rsid w:val="00880A40"/>
    <w:rsid w:val="00880ACE"/>
    <w:rsid w:val="00880D51"/>
    <w:rsid w:val="008810DB"/>
    <w:rsid w:val="008810E8"/>
    <w:rsid w:val="0088139B"/>
    <w:rsid w:val="00881424"/>
    <w:rsid w:val="00881514"/>
    <w:rsid w:val="00881567"/>
    <w:rsid w:val="00881C81"/>
    <w:rsid w:val="008821D7"/>
    <w:rsid w:val="008827BA"/>
    <w:rsid w:val="00882A11"/>
    <w:rsid w:val="00882A3E"/>
    <w:rsid w:val="00882C06"/>
    <w:rsid w:val="00882C34"/>
    <w:rsid w:val="00882CC7"/>
    <w:rsid w:val="00882D04"/>
    <w:rsid w:val="00882DAF"/>
    <w:rsid w:val="0088312D"/>
    <w:rsid w:val="00883130"/>
    <w:rsid w:val="0088360D"/>
    <w:rsid w:val="00883CC3"/>
    <w:rsid w:val="00883E29"/>
    <w:rsid w:val="00883FFC"/>
    <w:rsid w:val="0088430A"/>
    <w:rsid w:val="00884399"/>
    <w:rsid w:val="0088458E"/>
    <w:rsid w:val="00884CDD"/>
    <w:rsid w:val="00884F56"/>
    <w:rsid w:val="0088588E"/>
    <w:rsid w:val="00885C32"/>
    <w:rsid w:val="00885C36"/>
    <w:rsid w:val="00885C59"/>
    <w:rsid w:val="008861EF"/>
    <w:rsid w:val="00886240"/>
    <w:rsid w:val="008869F4"/>
    <w:rsid w:val="00886AC9"/>
    <w:rsid w:val="00886FD8"/>
    <w:rsid w:val="008871FD"/>
    <w:rsid w:val="0088773D"/>
    <w:rsid w:val="008877AD"/>
    <w:rsid w:val="00887B95"/>
    <w:rsid w:val="00887BCC"/>
    <w:rsid w:val="008905C2"/>
    <w:rsid w:val="008906DF"/>
    <w:rsid w:val="00890822"/>
    <w:rsid w:val="00890DCE"/>
    <w:rsid w:val="00890F11"/>
    <w:rsid w:val="008911CB"/>
    <w:rsid w:val="00891F52"/>
    <w:rsid w:val="0089205E"/>
    <w:rsid w:val="00892887"/>
    <w:rsid w:val="00892C75"/>
    <w:rsid w:val="00892D65"/>
    <w:rsid w:val="00892FA7"/>
    <w:rsid w:val="00893043"/>
    <w:rsid w:val="00893106"/>
    <w:rsid w:val="00893786"/>
    <w:rsid w:val="00893808"/>
    <w:rsid w:val="0089383A"/>
    <w:rsid w:val="008939CD"/>
    <w:rsid w:val="00893EEF"/>
    <w:rsid w:val="00894691"/>
    <w:rsid w:val="008947CD"/>
    <w:rsid w:val="00894B11"/>
    <w:rsid w:val="0089562D"/>
    <w:rsid w:val="008956BA"/>
    <w:rsid w:val="00895A9B"/>
    <w:rsid w:val="00895B01"/>
    <w:rsid w:val="00896360"/>
    <w:rsid w:val="00896E25"/>
    <w:rsid w:val="008970B8"/>
    <w:rsid w:val="008975A2"/>
    <w:rsid w:val="00897765"/>
    <w:rsid w:val="00897983"/>
    <w:rsid w:val="00897B51"/>
    <w:rsid w:val="00897D31"/>
    <w:rsid w:val="00897EBA"/>
    <w:rsid w:val="008A00FA"/>
    <w:rsid w:val="008A0638"/>
    <w:rsid w:val="008A0920"/>
    <w:rsid w:val="008A0998"/>
    <w:rsid w:val="008A11C2"/>
    <w:rsid w:val="008A11F0"/>
    <w:rsid w:val="008A12B3"/>
    <w:rsid w:val="008A14CB"/>
    <w:rsid w:val="008A184F"/>
    <w:rsid w:val="008A2039"/>
    <w:rsid w:val="008A2633"/>
    <w:rsid w:val="008A2771"/>
    <w:rsid w:val="008A2B4B"/>
    <w:rsid w:val="008A2C72"/>
    <w:rsid w:val="008A2F67"/>
    <w:rsid w:val="008A3176"/>
    <w:rsid w:val="008A32E1"/>
    <w:rsid w:val="008A3425"/>
    <w:rsid w:val="008A34F1"/>
    <w:rsid w:val="008A3881"/>
    <w:rsid w:val="008A3ADD"/>
    <w:rsid w:val="008A3B40"/>
    <w:rsid w:val="008A3D1B"/>
    <w:rsid w:val="008A3DC8"/>
    <w:rsid w:val="008A3E88"/>
    <w:rsid w:val="008A3F79"/>
    <w:rsid w:val="008A40BC"/>
    <w:rsid w:val="008A40DD"/>
    <w:rsid w:val="008A4116"/>
    <w:rsid w:val="008A41AD"/>
    <w:rsid w:val="008A41CD"/>
    <w:rsid w:val="008A47E4"/>
    <w:rsid w:val="008A4880"/>
    <w:rsid w:val="008A49FC"/>
    <w:rsid w:val="008A52B1"/>
    <w:rsid w:val="008A55F9"/>
    <w:rsid w:val="008A5754"/>
    <w:rsid w:val="008A5AA3"/>
    <w:rsid w:val="008A5C41"/>
    <w:rsid w:val="008A5CBC"/>
    <w:rsid w:val="008A5E0E"/>
    <w:rsid w:val="008A5E70"/>
    <w:rsid w:val="008A6087"/>
    <w:rsid w:val="008A657C"/>
    <w:rsid w:val="008A6655"/>
    <w:rsid w:val="008A66DF"/>
    <w:rsid w:val="008A6E9B"/>
    <w:rsid w:val="008A70D2"/>
    <w:rsid w:val="008A77A9"/>
    <w:rsid w:val="008A7F48"/>
    <w:rsid w:val="008A7FA6"/>
    <w:rsid w:val="008B036E"/>
    <w:rsid w:val="008B03DE"/>
    <w:rsid w:val="008B0C53"/>
    <w:rsid w:val="008B0D67"/>
    <w:rsid w:val="008B133B"/>
    <w:rsid w:val="008B1A8C"/>
    <w:rsid w:val="008B1C10"/>
    <w:rsid w:val="008B1FFD"/>
    <w:rsid w:val="008B2095"/>
    <w:rsid w:val="008B2287"/>
    <w:rsid w:val="008B2C31"/>
    <w:rsid w:val="008B2CD7"/>
    <w:rsid w:val="008B2E71"/>
    <w:rsid w:val="008B305F"/>
    <w:rsid w:val="008B30A5"/>
    <w:rsid w:val="008B3D12"/>
    <w:rsid w:val="008B3DB3"/>
    <w:rsid w:val="008B3F97"/>
    <w:rsid w:val="008B3FA2"/>
    <w:rsid w:val="008B4EA4"/>
    <w:rsid w:val="008B4F9A"/>
    <w:rsid w:val="008B53BB"/>
    <w:rsid w:val="008B558B"/>
    <w:rsid w:val="008B5AFB"/>
    <w:rsid w:val="008B5B32"/>
    <w:rsid w:val="008B5B52"/>
    <w:rsid w:val="008B5C9C"/>
    <w:rsid w:val="008B5F5E"/>
    <w:rsid w:val="008B60BB"/>
    <w:rsid w:val="008B62B5"/>
    <w:rsid w:val="008B6AA7"/>
    <w:rsid w:val="008B75BD"/>
    <w:rsid w:val="008B7804"/>
    <w:rsid w:val="008C00E6"/>
    <w:rsid w:val="008C0358"/>
    <w:rsid w:val="008C0457"/>
    <w:rsid w:val="008C059A"/>
    <w:rsid w:val="008C08D9"/>
    <w:rsid w:val="008C0B44"/>
    <w:rsid w:val="008C0BC2"/>
    <w:rsid w:val="008C1082"/>
    <w:rsid w:val="008C10B0"/>
    <w:rsid w:val="008C1781"/>
    <w:rsid w:val="008C1930"/>
    <w:rsid w:val="008C1E4B"/>
    <w:rsid w:val="008C2440"/>
    <w:rsid w:val="008C25D4"/>
    <w:rsid w:val="008C270E"/>
    <w:rsid w:val="008C2989"/>
    <w:rsid w:val="008C2C4D"/>
    <w:rsid w:val="008C3447"/>
    <w:rsid w:val="008C34E0"/>
    <w:rsid w:val="008C3552"/>
    <w:rsid w:val="008C35CE"/>
    <w:rsid w:val="008C3D0F"/>
    <w:rsid w:val="008C40D4"/>
    <w:rsid w:val="008C460D"/>
    <w:rsid w:val="008C4A30"/>
    <w:rsid w:val="008C4E04"/>
    <w:rsid w:val="008C52C5"/>
    <w:rsid w:val="008C57A5"/>
    <w:rsid w:val="008C5A08"/>
    <w:rsid w:val="008C5D6B"/>
    <w:rsid w:val="008C6149"/>
    <w:rsid w:val="008C6339"/>
    <w:rsid w:val="008C67E8"/>
    <w:rsid w:val="008C68FF"/>
    <w:rsid w:val="008C69C5"/>
    <w:rsid w:val="008C6C91"/>
    <w:rsid w:val="008C70F6"/>
    <w:rsid w:val="008C7219"/>
    <w:rsid w:val="008C7A9D"/>
    <w:rsid w:val="008C7B33"/>
    <w:rsid w:val="008C7F78"/>
    <w:rsid w:val="008D00AB"/>
    <w:rsid w:val="008D09DD"/>
    <w:rsid w:val="008D0DE6"/>
    <w:rsid w:val="008D140F"/>
    <w:rsid w:val="008D165D"/>
    <w:rsid w:val="008D1784"/>
    <w:rsid w:val="008D17C2"/>
    <w:rsid w:val="008D1D0C"/>
    <w:rsid w:val="008D1D58"/>
    <w:rsid w:val="008D269A"/>
    <w:rsid w:val="008D2A73"/>
    <w:rsid w:val="008D2D4B"/>
    <w:rsid w:val="008D2F42"/>
    <w:rsid w:val="008D3168"/>
    <w:rsid w:val="008D32E3"/>
    <w:rsid w:val="008D3461"/>
    <w:rsid w:val="008D3696"/>
    <w:rsid w:val="008D3810"/>
    <w:rsid w:val="008D384B"/>
    <w:rsid w:val="008D3BFE"/>
    <w:rsid w:val="008D3E5F"/>
    <w:rsid w:val="008D475B"/>
    <w:rsid w:val="008D54D0"/>
    <w:rsid w:val="008D5AEC"/>
    <w:rsid w:val="008D5F04"/>
    <w:rsid w:val="008D6150"/>
    <w:rsid w:val="008D6330"/>
    <w:rsid w:val="008D634E"/>
    <w:rsid w:val="008D6467"/>
    <w:rsid w:val="008D6A1A"/>
    <w:rsid w:val="008D6E6A"/>
    <w:rsid w:val="008D6EC2"/>
    <w:rsid w:val="008D72A4"/>
    <w:rsid w:val="008D75AC"/>
    <w:rsid w:val="008D767B"/>
    <w:rsid w:val="008D78FF"/>
    <w:rsid w:val="008D7A6F"/>
    <w:rsid w:val="008D7BF5"/>
    <w:rsid w:val="008D7C04"/>
    <w:rsid w:val="008D7E0B"/>
    <w:rsid w:val="008E0238"/>
    <w:rsid w:val="008E0508"/>
    <w:rsid w:val="008E08BD"/>
    <w:rsid w:val="008E0ADF"/>
    <w:rsid w:val="008E0DB5"/>
    <w:rsid w:val="008E0EEE"/>
    <w:rsid w:val="008E13F8"/>
    <w:rsid w:val="008E1F7B"/>
    <w:rsid w:val="008E220A"/>
    <w:rsid w:val="008E239B"/>
    <w:rsid w:val="008E246B"/>
    <w:rsid w:val="008E2E28"/>
    <w:rsid w:val="008E311A"/>
    <w:rsid w:val="008E3392"/>
    <w:rsid w:val="008E34AB"/>
    <w:rsid w:val="008E380B"/>
    <w:rsid w:val="008E38AE"/>
    <w:rsid w:val="008E3F41"/>
    <w:rsid w:val="008E3F97"/>
    <w:rsid w:val="008E42F7"/>
    <w:rsid w:val="008E49B0"/>
    <w:rsid w:val="008E4B85"/>
    <w:rsid w:val="008E4BDF"/>
    <w:rsid w:val="008E5239"/>
    <w:rsid w:val="008E5592"/>
    <w:rsid w:val="008E575A"/>
    <w:rsid w:val="008E5B8D"/>
    <w:rsid w:val="008E5D6E"/>
    <w:rsid w:val="008E5DEC"/>
    <w:rsid w:val="008E5E12"/>
    <w:rsid w:val="008E6087"/>
    <w:rsid w:val="008E6BD2"/>
    <w:rsid w:val="008E7073"/>
    <w:rsid w:val="008E70B2"/>
    <w:rsid w:val="008E7303"/>
    <w:rsid w:val="008E7763"/>
    <w:rsid w:val="008E7E17"/>
    <w:rsid w:val="008F031E"/>
    <w:rsid w:val="008F0410"/>
    <w:rsid w:val="008F05F3"/>
    <w:rsid w:val="008F07FC"/>
    <w:rsid w:val="008F1557"/>
    <w:rsid w:val="008F172E"/>
    <w:rsid w:val="008F17DA"/>
    <w:rsid w:val="008F1DB6"/>
    <w:rsid w:val="008F200E"/>
    <w:rsid w:val="008F2061"/>
    <w:rsid w:val="008F24E1"/>
    <w:rsid w:val="008F2620"/>
    <w:rsid w:val="008F28E9"/>
    <w:rsid w:val="008F2B81"/>
    <w:rsid w:val="008F2D52"/>
    <w:rsid w:val="008F347D"/>
    <w:rsid w:val="008F3519"/>
    <w:rsid w:val="008F359D"/>
    <w:rsid w:val="008F3B17"/>
    <w:rsid w:val="008F4387"/>
    <w:rsid w:val="008F4A7E"/>
    <w:rsid w:val="008F4FFE"/>
    <w:rsid w:val="008F51E5"/>
    <w:rsid w:val="008F5299"/>
    <w:rsid w:val="008F56ED"/>
    <w:rsid w:val="008F5E79"/>
    <w:rsid w:val="008F61EC"/>
    <w:rsid w:val="008F62BB"/>
    <w:rsid w:val="008F640E"/>
    <w:rsid w:val="008F663A"/>
    <w:rsid w:val="008F6AD1"/>
    <w:rsid w:val="008F6D12"/>
    <w:rsid w:val="008F6E4E"/>
    <w:rsid w:val="008F703E"/>
    <w:rsid w:val="008F7167"/>
    <w:rsid w:val="008F7630"/>
    <w:rsid w:val="008F76F0"/>
    <w:rsid w:val="008F78A9"/>
    <w:rsid w:val="008F7A49"/>
    <w:rsid w:val="008F7E41"/>
    <w:rsid w:val="00900174"/>
    <w:rsid w:val="009003BE"/>
    <w:rsid w:val="00900558"/>
    <w:rsid w:val="00900CDC"/>
    <w:rsid w:val="00900D56"/>
    <w:rsid w:val="00900E15"/>
    <w:rsid w:val="009017F3"/>
    <w:rsid w:val="00901AA0"/>
    <w:rsid w:val="00901B1E"/>
    <w:rsid w:val="00901C26"/>
    <w:rsid w:val="00901FDE"/>
    <w:rsid w:val="009023B3"/>
    <w:rsid w:val="00902923"/>
    <w:rsid w:val="00902A61"/>
    <w:rsid w:val="00902CF7"/>
    <w:rsid w:val="00903261"/>
    <w:rsid w:val="00903E6A"/>
    <w:rsid w:val="00903F33"/>
    <w:rsid w:val="00904123"/>
    <w:rsid w:val="009047A2"/>
    <w:rsid w:val="00904E8B"/>
    <w:rsid w:val="00904F7D"/>
    <w:rsid w:val="00905556"/>
    <w:rsid w:val="009056FA"/>
    <w:rsid w:val="00905E13"/>
    <w:rsid w:val="00905F8B"/>
    <w:rsid w:val="009060B5"/>
    <w:rsid w:val="00906152"/>
    <w:rsid w:val="0090616B"/>
    <w:rsid w:val="009063AC"/>
    <w:rsid w:val="00906B52"/>
    <w:rsid w:val="00906C2F"/>
    <w:rsid w:val="00906F92"/>
    <w:rsid w:val="009070C9"/>
    <w:rsid w:val="00907234"/>
    <w:rsid w:val="0090734D"/>
    <w:rsid w:val="00907899"/>
    <w:rsid w:val="0090791D"/>
    <w:rsid w:val="009079F6"/>
    <w:rsid w:val="00907C94"/>
    <w:rsid w:val="00907F3D"/>
    <w:rsid w:val="00910058"/>
    <w:rsid w:val="0091033D"/>
    <w:rsid w:val="009110EE"/>
    <w:rsid w:val="00911571"/>
    <w:rsid w:val="009116F8"/>
    <w:rsid w:val="0091193F"/>
    <w:rsid w:val="00911AC2"/>
    <w:rsid w:val="0091238F"/>
    <w:rsid w:val="009124ED"/>
    <w:rsid w:val="00912751"/>
    <w:rsid w:val="00912857"/>
    <w:rsid w:val="00912A63"/>
    <w:rsid w:val="00913081"/>
    <w:rsid w:val="009133C1"/>
    <w:rsid w:val="0091387D"/>
    <w:rsid w:val="00914641"/>
    <w:rsid w:val="0091480D"/>
    <w:rsid w:val="00914AB3"/>
    <w:rsid w:val="00914DA7"/>
    <w:rsid w:val="00914DF6"/>
    <w:rsid w:val="00915F63"/>
    <w:rsid w:val="00916444"/>
    <w:rsid w:val="009166F1"/>
    <w:rsid w:val="00916912"/>
    <w:rsid w:val="00916AFA"/>
    <w:rsid w:val="00916DE3"/>
    <w:rsid w:val="00917053"/>
    <w:rsid w:val="00917390"/>
    <w:rsid w:val="0091739F"/>
    <w:rsid w:val="009177E9"/>
    <w:rsid w:val="0091784C"/>
    <w:rsid w:val="00917E9F"/>
    <w:rsid w:val="00917FA7"/>
    <w:rsid w:val="009201DB"/>
    <w:rsid w:val="00920831"/>
    <w:rsid w:val="00920A9C"/>
    <w:rsid w:val="00920BA2"/>
    <w:rsid w:val="00920CDC"/>
    <w:rsid w:val="00920D1E"/>
    <w:rsid w:val="00920FEF"/>
    <w:rsid w:val="009210B8"/>
    <w:rsid w:val="0092197F"/>
    <w:rsid w:val="00921F0B"/>
    <w:rsid w:val="009221AD"/>
    <w:rsid w:val="0092291D"/>
    <w:rsid w:val="00923366"/>
    <w:rsid w:val="0092385E"/>
    <w:rsid w:val="00923E52"/>
    <w:rsid w:val="00923F81"/>
    <w:rsid w:val="009240B7"/>
    <w:rsid w:val="00924690"/>
    <w:rsid w:val="00924F65"/>
    <w:rsid w:val="00924FCA"/>
    <w:rsid w:val="009251E5"/>
    <w:rsid w:val="009259B9"/>
    <w:rsid w:val="0092600B"/>
    <w:rsid w:val="00926343"/>
    <w:rsid w:val="009264A8"/>
    <w:rsid w:val="009265C7"/>
    <w:rsid w:val="009268E6"/>
    <w:rsid w:val="00926BAA"/>
    <w:rsid w:val="00927094"/>
    <w:rsid w:val="0092732F"/>
    <w:rsid w:val="009277C7"/>
    <w:rsid w:val="00927988"/>
    <w:rsid w:val="00927BA9"/>
    <w:rsid w:val="0093035F"/>
    <w:rsid w:val="00930731"/>
    <w:rsid w:val="00930B41"/>
    <w:rsid w:val="00930D09"/>
    <w:rsid w:val="00930E29"/>
    <w:rsid w:val="00930F8F"/>
    <w:rsid w:val="0093140F"/>
    <w:rsid w:val="0093156C"/>
    <w:rsid w:val="00931844"/>
    <w:rsid w:val="00931C5F"/>
    <w:rsid w:val="00931DF6"/>
    <w:rsid w:val="00931FA8"/>
    <w:rsid w:val="00932136"/>
    <w:rsid w:val="009322E3"/>
    <w:rsid w:val="00932389"/>
    <w:rsid w:val="009326AC"/>
    <w:rsid w:val="009328C9"/>
    <w:rsid w:val="00932A16"/>
    <w:rsid w:val="00932BAC"/>
    <w:rsid w:val="00932E7E"/>
    <w:rsid w:val="00932F60"/>
    <w:rsid w:val="009331CF"/>
    <w:rsid w:val="009331E9"/>
    <w:rsid w:val="009334AC"/>
    <w:rsid w:val="009335E4"/>
    <w:rsid w:val="00933765"/>
    <w:rsid w:val="009337E3"/>
    <w:rsid w:val="009338DB"/>
    <w:rsid w:val="009339B0"/>
    <w:rsid w:val="00933B41"/>
    <w:rsid w:val="00933C89"/>
    <w:rsid w:val="00934060"/>
    <w:rsid w:val="009340E8"/>
    <w:rsid w:val="009341CF"/>
    <w:rsid w:val="00934564"/>
    <w:rsid w:val="009346E1"/>
    <w:rsid w:val="009351F1"/>
    <w:rsid w:val="0093574A"/>
    <w:rsid w:val="0093597F"/>
    <w:rsid w:val="00935A57"/>
    <w:rsid w:val="00935E03"/>
    <w:rsid w:val="00935E65"/>
    <w:rsid w:val="00935EB8"/>
    <w:rsid w:val="00935F16"/>
    <w:rsid w:val="009364AC"/>
    <w:rsid w:val="009368D5"/>
    <w:rsid w:val="00936CD5"/>
    <w:rsid w:val="00937029"/>
    <w:rsid w:val="0093715F"/>
    <w:rsid w:val="00937437"/>
    <w:rsid w:val="00937E1D"/>
    <w:rsid w:val="00937E53"/>
    <w:rsid w:val="00937EE2"/>
    <w:rsid w:val="00940CA9"/>
    <w:rsid w:val="00940DD3"/>
    <w:rsid w:val="00940F97"/>
    <w:rsid w:val="00940FBD"/>
    <w:rsid w:val="0094109B"/>
    <w:rsid w:val="0094146D"/>
    <w:rsid w:val="0094147A"/>
    <w:rsid w:val="00941A22"/>
    <w:rsid w:val="00941B25"/>
    <w:rsid w:val="00941ED9"/>
    <w:rsid w:val="00942010"/>
    <w:rsid w:val="00942018"/>
    <w:rsid w:val="009422A1"/>
    <w:rsid w:val="00942700"/>
    <w:rsid w:val="00942721"/>
    <w:rsid w:val="00942922"/>
    <w:rsid w:val="00942AEC"/>
    <w:rsid w:val="00942B9F"/>
    <w:rsid w:val="00942D1A"/>
    <w:rsid w:val="00942FCE"/>
    <w:rsid w:val="00943055"/>
    <w:rsid w:val="00943180"/>
    <w:rsid w:val="0094320A"/>
    <w:rsid w:val="009433C5"/>
    <w:rsid w:val="009436EB"/>
    <w:rsid w:val="00943BBC"/>
    <w:rsid w:val="00943DAF"/>
    <w:rsid w:val="0094400F"/>
    <w:rsid w:val="00944112"/>
    <w:rsid w:val="0094430B"/>
    <w:rsid w:val="00944354"/>
    <w:rsid w:val="0094436C"/>
    <w:rsid w:val="00944EC4"/>
    <w:rsid w:val="00945387"/>
    <w:rsid w:val="00945A89"/>
    <w:rsid w:val="00946186"/>
    <w:rsid w:val="00946627"/>
    <w:rsid w:val="00946841"/>
    <w:rsid w:val="009468F3"/>
    <w:rsid w:val="00946A50"/>
    <w:rsid w:val="00946DAB"/>
    <w:rsid w:val="00947390"/>
    <w:rsid w:val="00947470"/>
    <w:rsid w:val="00947874"/>
    <w:rsid w:val="009479CE"/>
    <w:rsid w:val="00947E4D"/>
    <w:rsid w:val="00950403"/>
    <w:rsid w:val="009508F1"/>
    <w:rsid w:val="0095140A"/>
    <w:rsid w:val="0095170D"/>
    <w:rsid w:val="00951BC6"/>
    <w:rsid w:val="0095201B"/>
    <w:rsid w:val="009522F9"/>
    <w:rsid w:val="00952632"/>
    <w:rsid w:val="0095271D"/>
    <w:rsid w:val="0095274B"/>
    <w:rsid w:val="00952AA8"/>
    <w:rsid w:val="00952C8E"/>
    <w:rsid w:val="00952F02"/>
    <w:rsid w:val="00953017"/>
    <w:rsid w:val="0095307F"/>
    <w:rsid w:val="00953244"/>
    <w:rsid w:val="00953713"/>
    <w:rsid w:val="0095420D"/>
    <w:rsid w:val="0095432E"/>
    <w:rsid w:val="009544B3"/>
    <w:rsid w:val="0095465F"/>
    <w:rsid w:val="009548FF"/>
    <w:rsid w:val="00954AA0"/>
    <w:rsid w:val="00954AD9"/>
    <w:rsid w:val="00954ED3"/>
    <w:rsid w:val="00954EEE"/>
    <w:rsid w:val="00955526"/>
    <w:rsid w:val="00955537"/>
    <w:rsid w:val="009557D0"/>
    <w:rsid w:val="00955880"/>
    <w:rsid w:val="009564B1"/>
    <w:rsid w:val="00956D40"/>
    <w:rsid w:val="009572E9"/>
    <w:rsid w:val="00957455"/>
    <w:rsid w:val="00957649"/>
    <w:rsid w:val="00957702"/>
    <w:rsid w:val="0095784E"/>
    <w:rsid w:val="00957BCB"/>
    <w:rsid w:val="00957BF9"/>
    <w:rsid w:val="00957FD5"/>
    <w:rsid w:val="0096016E"/>
    <w:rsid w:val="00960456"/>
    <w:rsid w:val="00960673"/>
    <w:rsid w:val="00960C22"/>
    <w:rsid w:val="00960EFA"/>
    <w:rsid w:val="00961603"/>
    <w:rsid w:val="009617AB"/>
    <w:rsid w:val="009618F0"/>
    <w:rsid w:val="009618F6"/>
    <w:rsid w:val="00961B68"/>
    <w:rsid w:val="00962086"/>
    <w:rsid w:val="0096215F"/>
    <w:rsid w:val="009622CF"/>
    <w:rsid w:val="009624F6"/>
    <w:rsid w:val="00962538"/>
    <w:rsid w:val="00962D36"/>
    <w:rsid w:val="009634B8"/>
    <w:rsid w:val="00963511"/>
    <w:rsid w:val="0096363B"/>
    <w:rsid w:val="009639DB"/>
    <w:rsid w:val="00963A70"/>
    <w:rsid w:val="009640FC"/>
    <w:rsid w:val="009641A6"/>
    <w:rsid w:val="00964279"/>
    <w:rsid w:val="0096462F"/>
    <w:rsid w:val="00965107"/>
    <w:rsid w:val="00965269"/>
    <w:rsid w:val="00965691"/>
    <w:rsid w:val="0096572E"/>
    <w:rsid w:val="00965774"/>
    <w:rsid w:val="0096591C"/>
    <w:rsid w:val="00965CB8"/>
    <w:rsid w:val="00965EBD"/>
    <w:rsid w:val="00965F07"/>
    <w:rsid w:val="00966584"/>
    <w:rsid w:val="009665A8"/>
    <w:rsid w:val="009665D0"/>
    <w:rsid w:val="00966C09"/>
    <w:rsid w:val="00966C2A"/>
    <w:rsid w:val="00967007"/>
    <w:rsid w:val="00967181"/>
    <w:rsid w:val="00967407"/>
    <w:rsid w:val="009674E6"/>
    <w:rsid w:val="009677D5"/>
    <w:rsid w:val="00967C91"/>
    <w:rsid w:val="00967CE3"/>
    <w:rsid w:val="0097066D"/>
    <w:rsid w:val="00970758"/>
    <w:rsid w:val="00970A7B"/>
    <w:rsid w:val="00970D2E"/>
    <w:rsid w:val="00970FE7"/>
    <w:rsid w:val="009711E5"/>
    <w:rsid w:val="0097128C"/>
    <w:rsid w:val="00971463"/>
    <w:rsid w:val="009717C7"/>
    <w:rsid w:val="00971E6F"/>
    <w:rsid w:val="009724C7"/>
    <w:rsid w:val="00972562"/>
    <w:rsid w:val="00972CC5"/>
    <w:rsid w:val="00972CF7"/>
    <w:rsid w:val="00972DC3"/>
    <w:rsid w:val="00972F3C"/>
    <w:rsid w:val="009732E6"/>
    <w:rsid w:val="00973307"/>
    <w:rsid w:val="009734E9"/>
    <w:rsid w:val="009739C9"/>
    <w:rsid w:val="00973C22"/>
    <w:rsid w:val="00973E9B"/>
    <w:rsid w:val="00974104"/>
    <w:rsid w:val="009742F3"/>
    <w:rsid w:val="0097443B"/>
    <w:rsid w:val="00974E17"/>
    <w:rsid w:val="00974E75"/>
    <w:rsid w:val="00975A73"/>
    <w:rsid w:val="009761FD"/>
    <w:rsid w:val="0097670E"/>
    <w:rsid w:val="00976C45"/>
    <w:rsid w:val="00976CBC"/>
    <w:rsid w:val="00976E14"/>
    <w:rsid w:val="00976E69"/>
    <w:rsid w:val="00977085"/>
    <w:rsid w:val="0097735C"/>
    <w:rsid w:val="00977580"/>
    <w:rsid w:val="00977651"/>
    <w:rsid w:val="009776D5"/>
    <w:rsid w:val="009777D2"/>
    <w:rsid w:val="00977CB4"/>
    <w:rsid w:val="00977E1A"/>
    <w:rsid w:val="009801F9"/>
    <w:rsid w:val="009803D9"/>
    <w:rsid w:val="009807E3"/>
    <w:rsid w:val="0098092C"/>
    <w:rsid w:val="00980A7E"/>
    <w:rsid w:val="00980E73"/>
    <w:rsid w:val="00980F87"/>
    <w:rsid w:val="009810BB"/>
    <w:rsid w:val="00981427"/>
    <w:rsid w:val="00981467"/>
    <w:rsid w:val="00981667"/>
    <w:rsid w:val="00981C74"/>
    <w:rsid w:val="00981E00"/>
    <w:rsid w:val="0098212E"/>
    <w:rsid w:val="00982194"/>
    <w:rsid w:val="009827FD"/>
    <w:rsid w:val="009829B6"/>
    <w:rsid w:val="00982B8C"/>
    <w:rsid w:val="00982D1E"/>
    <w:rsid w:val="00982E89"/>
    <w:rsid w:val="00982E92"/>
    <w:rsid w:val="00982F1C"/>
    <w:rsid w:val="00983398"/>
    <w:rsid w:val="00983C2D"/>
    <w:rsid w:val="00983F15"/>
    <w:rsid w:val="00984441"/>
    <w:rsid w:val="009844CF"/>
    <w:rsid w:val="0098451A"/>
    <w:rsid w:val="0098458A"/>
    <w:rsid w:val="00984B38"/>
    <w:rsid w:val="00984D3D"/>
    <w:rsid w:val="00984DD8"/>
    <w:rsid w:val="00985044"/>
    <w:rsid w:val="009850A1"/>
    <w:rsid w:val="00985523"/>
    <w:rsid w:val="00985872"/>
    <w:rsid w:val="00985C53"/>
    <w:rsid w:val="00985D33"/>
    <w:rsid w:val="00986322"/>
    <w:rsid w:val="009865F9"/>
    <w:rsid w:val="009868BB"/>
    <w:rsid w:val="00986973"/>
    <w:rsid w:val="00986B6A"/>
    <w:rsid w:val="00987014"/>
    <w:rsid w:val="00987015"/>
    <w:rsid w:val="009871A5"/>
    <w:rsid w:val="009872D1"/>
    <w:rsid w:val="009876BC"/>
    <w:rsid w:val="009878C1"/>
    <w:rsid w:val="00987C84"/>
    <w:rsid w:val="00987E57"/>
    <w:rsid w:val="00987EC3"/>
    <w:rsid w:val="0099000D"/>
    <w:rsid w:val="009900F3"/>
    <w:rsid w:val="0099085F"/>
    <w:rsid w:val="00990AA7"/>
    <w:rsid w:val="00990B4F"/>
    <w:rsid w:val="00990B67"/>
    <w:rsid w:val="00990C42"/>
    <w:rsid w:val="0099112B"/>
    <w:rsid w:val="009919CA"/>
    <w:rsid w:val="00991BED"/>
    <w:rsid w:val="009921D1"/>
    <w:rsid w:val="009925DB"/>
    <w:rsid w:val="00993114"/>
    <w:rsid w:val="00993376"/>
    <w:rsid w:val="00993B72"/>
    <w:rsid w:val="00993CC9"/>
    <w:rsid w:val="009940A4"/>
    <w:rsid w:val="009941A9"/>
    <w:rsid w:val="009941DB"/>
    <w:rsid w:val="009941EA"/>
    <w:rsid w:val="00994612"/>
    <w:rsid w:val="00994B76"/>
    <w:rsid w:val="00994B86"/>
    <w:rsid w:val="00995521"/>
    <w:rsid w:val="009957B5"/>
    <w:rsid w:val="0099593E"/>
    <w:rsid w:val="00995A74"/>
    <w:rsid w:val="00995AD7"/>
    <w:rsid w:val="009965DC"/>
    <w:rsid w:val="009965FC"/>
    <w:rsid w:val="00997144"/>
    <w:rsid w:val="00997623"/>
    <w:rsid w:val="0099777B"/>
    <w:rsid w:val="00997AC5"/>
    <w:rsid w:val="00997AD5"/>
    <w:rsid w:val="009A0396"/>
    <w:rsid w:val="009A03D2"/>
    <w:rsid w:val="009A0BD8"/>
    <w:rsid w:val="009A0CCE"/>
    <w:rsid w:val="009A0D27"/>
    <w:rsid w:val="009A0DD9"/>
    <w:rsid w:val="009A1166"/>
    <w:rsid w:val="009A1740"/>
    <w:rsid w:val="009A1945"/>
    <w:rsid w:val="009A1C58"/>
    <w:rsid w:val="009A2132"/>
    <w:rsid w:val="009A25D0"/>
    <w:rsid w:val="009A260C"/>
    <w:rsid w:val="009A288D"/>
    <w:rsid w:val="009A2A3B"/>
    <w:rsid w:val="009A2FCC"/>
    <w:rsid w:val="009A30F2"/>
    <w:rsid w:val="009A3633"/>
    <w:rsid w:val="009A3688"/>
    <w:rsid w:val="009A3E7C"/>
    <w:rsid w:val="009A41B9"/>
    <w:rsid w:val="009A4305"/>
    <w:rsid w:val="009A4541"/>
    <w:rsid w:val="009A4913"/>
    <w:rsid w:val="009A4C34"/>
    <w:rsid w:val="009A5324"/>
    <w:rsid w:val="009A54DE"/>
    <w:rsid w:val="009A5771"/>
    <w:rsid w:val="009A580E"/>
    <w:rsid w:val="009A58AE"/>
    <w:rsid w:val="009A5979"/>
    <w:rsid w:val="009A59AD"/>
    <w:rsid w:val="009A5E35"/>
    <w:rsid w:val="009A6087"/>
    <w:rsid w:val="009A6363"/>
    <w:rsid w:val="009A670D"/>
    <w:rsid w:val="009A6A4D"/>
    <w:rsid w:val="009A6B45"/>
    <w:rsid w:val="009A6F74"/>
    <w:rsid w:val="009A7095"/>
    <w:rsid w:val="009A752C"/>
    <w:rsid w:val="009A7619"/>
    <w:rsid w:val="009A7928"/>
    <w:rsid w:val="009A7CA4"/>
    <w:rsid w:val="009B0075"/>
    <w:rsid w:val="009B01B6"/>
    <w:rsid w:val="009B0445"/>
    <w:rsid w:val="009B0537"/>
    <w:rsid w:val="009B0582"/>
    <w:rsid w:val="009B06FC"/>
    <w:rsid w:val="009B0768"/>
    <w:rsid w:val="009B08E6"/>
    <w:rsid w:val="009B107A"/>
    <w:rsid w:val="009B1715"/>
    <w:rsid w:val="009B17A5"/>
    <w:rsid w:val="009B1810"/>
    <w:rsid w:val="009B1B01"/>
    <w:rsid w:val="009B2138"/>
    <w:rsid w:val="009B2F29"/>
    <w:rsid w:val="009B30B2"/>
    <w:rsid w:val="009B32BC"/>
    <w:rsid w:val="009B3348"/>
    <w:rsid w:val="009B3721"/>
    <w:rsid w:val="009B3740"/>
    <w:rsid w:val="009B3EE7"/>
    <w:rsid w:val="009B3F29"/>
    <w:rsid w:val="009B3F77"/>
    <w:rsid w:val="009B405A"/>
    <w:rsid w:val="009B41F4"/>
    <w:rsid w:val="009B4466"/>
    <w:rsid w:val="009B4A86"/>
    <w:rsid w:val="009B4D94"/>
    <w:rsid w:val="009B4ECD"/>
    <w:rsid w:val="009B5073"/>
    <w:rsid w:val="009B5264"/>
    <w:rsid w:val="009B543C"/>
    <w:rsid w:val="009B5483"/>
    <w:rsid w:val="009B5591"/>
    <w:rsid w:val="009B56F6"/>
    <w:rsid w:val="009B5AC4"/>
    <w:rsid w:val="009B5E3D"/>
    <w:rsid w:val="009B6045"/>
    <w:rsid w:val="009B6152"/>
    <w:rsid w:val="009B62CD"/>
    <w:rsid w:val="009B728B"/>
    <w:rsid w:val="009C0158"/>
    <w:rsid w:val="009C04DE"/>
    <w:rsid w:val="009C0692"/>
    <w:rsid w:val="009C0A3A"/>
    <w:rsid w:val="009C0A3F"/>
    <w:rsid w:val="009C0B7B"/>
    <w:rsid w:val="009C0CC4"/>
    <w:rsid w:val="009C0F03"/>
    <w:rsid w:val="009C1801"/>
    <w:rsid w:val="009C2431"/>
    <w:rsid w:val="009C27A1"/>
    <w:rsid w:val="009C2834"/>
    <w:rsid w:val="009C28ED"/>
    <w:rsid w:val="009C2913"/>
    <w:rsid w:val="009C293A"/>
    <w:rsid w:val="009C30F1"/>
    <w:rsid w:val="009C3533"/>
    <w:rsid w:val="009C3774"/>
    <w:rsid w:val="009C3C78"/>
    <w:rsid w:val="009C409F"/>
    <w:rsid w:val="009C4176"/>
    <w:rsid w:val="009C42E1"/>
    <w:rsid w:val="009C47B6"/>
    <w:rsid w:val="009C49AC"/>
    <w:rsid w:val="009C4D08"/>
    <w:rsid w:val="009C4D69"/>
    <w:rsid w:val="009C4EBF"/>
    <w:rsid w:val="009C4F22"/>
    <w:rsid w:val="009C507C"/>
    <w:rsid w:val="009C540E"/>
    <w:rsid w:val="009C54F5"/>
    <w:rsid w:val="009C6278"/>
    <w:rsid w:val="009C6968"/>
    <w:rsid w:val="009C6B92"/>
    <w:rsid w:val="009C6BFD"/>
    <w:rsid w:val="009C6DE4"/>
    <w:rsid w:val="009C786D"/>
    <w:rsid w:val="009D0180"/>
    <w:rsid w:val="009D03DD"/>
    <w:rsid w:val="009D06B2"/>
    <w:rsid w:val="009D06E0"/>
    <w:rsid w:val="009D07CA"/>
    <w:rsid w:val="009D084D"/>
    <w:rsid w:val="009D0A54"/>
    <w:rsid w:val="009D135E"/>
    <w:rsid w:val="009D166F"/>
    <w:rsid w:val="009D19C9"/>
    <w:rsid w:val="009D1B10"/>
    <w:rsid w:val="009D2080"/>
    <w:rsid w:val="009D2354"/>
    <w:rsid w:val="009D2770"/>
    <w:rsid w:val="009D28B1"/>
    <w:rsid w:val="009D3237"/>
    <w:rsid w:val="009D340D"/>
    <w:rsid w:val="009D360C"/>
    <w:rsid w:val="009D3628"/>
    <w:rsid w:val="009D384D"/>
    <w:rsid w:val="009D3D9B"/>
    <w:rsid w:val="009D3EE8"/>
    <w:rsid w:val="009D406A"/>
    <w:rsid w:val="009D42B2"/>
    <w:rsid w:val="009D42D7"/>
    <w:rsid w:val="009D448A"/>
    <w:rsid w:val="009D451A"/>
    <w:rsid w:val="009D4919"/>
    <w:rsid w:val="009D4A1C"/>
    <w:rsid w:val="009D4C2A"/>
    <w:rsid w:val="009D4CA6"/>
    <w:rsid w:val="009D4E24"/>
    <w:rsid w:val="009D52AC"/>
    <w:rsid w:val="009D52DD"/>
    <w:rsid w:val="009D5417"/>
    <w:rsid w:val="009D569F"/>
    <w:rsid w:val="009D584B"/>
    <w:rsid w:val="009D61C5"/>
    <w:rsid w:val="009D6300"/>
    <w:rsid w:val="009D6621"/>
    <w:rsid w:val="009D6914"/>
    <w:rsid w:val="009D6BC0"/>
    <w:rsid w:val="009D76B2"/>
    <w:rsid w:val="009D7BC3"/>
    <w:rsid w:val="009E00E0"/>
    <w:rsid w:val="009E12B0"/>
    <w:rsid w:val="009E12BF"/>
    <w:rsid w:val="009E13FF"/>
    <w:rsid w:val="009E17A3"/>
    <w:rsid w:val="009E19F7"/>
    <w:rsid w:val="009E1A3C"/>
    <w:rsid w:val="009E1C22"/>
    <w:rsid w:val="009E1D59"/>
    <w:rsid w:val="009E2287"/>
    <w:rsid w:val="009E2481"/>
    <w:rsid w:val="009E262F"/>
    <w:rsid w:val="009E2636"/>
    <w:rsid w:val="009E27EC"/>
    <w:rsid w:val="009E294C"/>
    <w:rsid w:val="009E2AB6"/>
    <w:rsid w:val="009E2B5E"/>
    <w:rsid w:val="009E2E2A"/>
    <w:rsid w:val="009E2F84"/>
    <w:rsid w:val="009E315D"/>
    <w:rsid w:val="009E35CD"/>
    <w:rsid w:val="009E37E4"/>
    <w:rsid w:val="009E3BD4"/>
    <w:rsid w:val="009E3C7E"/>
    <w:rsid w:val="009E3EC3"/>
    <w:rsid w:val="009E40A9"/>
    <w:rsid w:val="009E43E8"/>
    <w:rsid w:val="009E44C5"/>
    <w:rsid w:val="009E46AD"/>
    <w:rsid w:val="009E4756"/>
    <w:rsid w:val="009E4833"/>
    <w:rsid w:val="009E48E6"/>
    <w:rsid w:val="009E4AB3"/>
    <w:rsid w:val="009E4C70"/>
    <w:rsid w:val="009E4CD6"/>
    <w:rsid w:val="009E5533"/>
    <w:rsid w:val="009E5565"/>
    <w:rsid w:val="009E55E8"/>
    <w:rsid w:val="009E5939"/>
    <w:rsid w:val="009E5B50"/>
    <w:rsid w:val="009E5EA7"/>
    <w:rsid w:val="009E5FB6"/>
    <w:rsid w:val="009E6739"/>
    <w:rsid w:val="009E6E04"/>
    <w:rsid w:val="009E7087"/>
    <w:rsid w:val="009E70FD"/>
    <w:rsid w:val="009E7583"/>
    <w:rsid w:val="009E7696"/>
    <w:rsid w:val="009E7837"/>
    <w:rsid w:val="009E7921"/>
    <w:rsid w:val="009E7A04"/>
    <w:rsid w:val="009E7E01"/>
    <w:rsid w:val="009F00F8"/>
    <w:rsid w:val="009F010E"/>
    <w:rsid w:val="009F0381"/>
    <w:rsid w:val="009F064F"/>
    <w:rsid w:val="009F116F"/>
    <w:rsid w:val="009F1763"/>
    <w:rsid w:val="009F193A"/>
    <w:rsid w:val="009F1FE4"/>
    <w:rsid w:val="009F21A0"/>
    <w:rsid w:val="009F21E2"/>
    <w:rsid w:val="009F2265"/>
    <w:rsid w:val="009F257E"/>
    <w:rsid w:val="009F2924"/>
    <w:rsid w:val="009F2941"/>
    <w:rsid w:val="009F2CB7"/>
    <w:rsid w:val="009F3631"/>
    <w:rsid w:val="009F363C"/>
    <w:rsid w:val="009F3790"/>
    <w:rsid w:val="009F3928"/>
    <w:rsid w:val="009F3FF2"/>
    <w:rsid w:val="009F4127"/>
    <w:rsid w:val="009F43B8"/>
    <w:rsid w:val="009F4671"/>
    <w:rsid w:val="009F476C"/>
    <w:rsid w:val="009F4DB3"/>
    <w:rsid w:val="009F4F33"/>
    <w:rsid w:val="009F586C"/>
    <w:rsid w:val="009F5D30"/>
    <w:rsid w:val="009F6005"/>
    <w:rsid w:val="009F7237"/>
    <w:rsid w:val="009F7345"/>
    <w:rsid w:val="009F7734"/>
    <w:rsid w:val="009F77BC"/>
    <w:rsid w:val="009F794A"/>
    <w:rsid w:val="009F7A90"/>
    <w:rsid w:val="009F7CEB"/>
    <w:rsid w:val="00A003B3"/>
    <w:rsid w:val="00A0097B"/>
    <w:rsid w:val="00A00A00"/>
    <w:rsid w:val="00A01662"/>
    <w:rsid w:val="00A02463"/>
    <w:rsid w:val="00A02746"/>
    <w:rsid w:val="00A02878"/>
    <w:rsid w:val="00A028B2"/>
    <w:rsid w:val="00A02938"/>
    <w:rsid w:val="00A02C66"/>
    <w:rsid w:val="00A02E2E"/>
    <w:rsid w:val="00A03256"/>
    <w:rsid w:val="00A03258"/>
    <w:rsid w:val="00A037B9"/>
    <w:rsid w:val="00A03E96"/>
    <w:rsid w:val="00A0408E"/>
    <w:rsid w:val="00A040FD"/>
    <w:rsid w:val="00A0426A"/>
    <w:rsid w:val="00A0436D"/>
    <w:rsid w:val="00A04912"/>
    <w:rsid w:val="00A04A60"/>
    <w:rsid w:val="00A04C0D"/>
    <w:rsid w:val="00A050DB"/>
    <w:rsid w:val="00A056DC"/>
    <w:rsid w:val="00A05AFE"/>
    <w:rsid w:val="00A05BFB"/>
    <w:rsid w:val="00A065BE"/>
    <w:rsid w:val="00A06FE1"/>
    <w:rsid w:val="00A07327"/>
    <w:rsid w:val="00A073B3"/>
    <w:rsid w:val="00A076F4"/>
    <w:rsid w:val="00A07B2A"/>
    <w:rsid w:val="00A07ED7"/>
    <w:rsid w:val="00A10143"/>
    <w:rsid w:val="00A102AF"/>
    <w:rsid w:val="00A10D03"/>
    <w:rsid w:val="00A10FBF"/>
    <w:rsid w:val="00A11054"/>
    <w:rsid w:val="00A11138"/>
    <w:rsid w:val="00A1138B"/>
    <w:rsid w:val="00A11508"/>
    <w:rsid w:val="00A11E51"/>
    <w:rsid w:val="00A11FBC"/>
    <w:rsid w:val="00A1218B"/>
    <w:rsid w:val="00A125F6"/>
    <w:rsid w:val="00A127C4"/>
    <w:rsid w:val="00A128C1"/>
    <w:rsid w:val="00A12952"/>
    <w:rsid w:val="00A12A44"/>
    <w:rsid w:val="00A12E8B"/>
    <w:rsid w:val="00A13065"/>
    <w:rsid w:val="00A130B8"/>
    <w:rsid w:val="00A1364E"/>
    <w:rsid w:val="00A1367E"/>
    <w:rsid w:val="00A13779"/>
    <w:rsid w:val="00A137CB"/>
    <w:rsid w:val="00A13B88"/>
    <w:rsid w:val="00A14535"/>
    <w:rsid w:val="00A145A0"/>
    <w:rsid w:val="00A147C5"/>
    <w:rsid w:val="00A147E9"/>
    <w:rsid w:val="00A14AB6"/>
    <w:rsid w:val="00A14BCA"/>
    <w:rsid w:val="00A1578C"/>
    <w:rsid w:val="00A15C22"/>
    <w:rsid w:val="00A1603B"/>
    <w:rsid w:val="00A160AB"/>
    <w:rsid w:val="00A1631A"/>
    <w:rsid w:val="00A164DB"/>
    <w:rsid w:val="00A165A3"/>
    <w:rsid w:val="00A16638"/>
    <w:rsid w:val="00A16809"/>
    <w:rsid w:val="00A17490"/>
    <w:rsid w:val="00A1754E"/>
    <w:rsid w:val="00A179C8"/>
    <w:rsid w:val="00A17EB5"/>
    <w:rsid w:val="00A20140"/>
    <w:rsid w:val="00A201B3"/>
    <w:rsid w:val="00A202A3"/>
    <w:rsid w:val="00A20493"/>
    <w:rsid w:val="00A2074E"/>
    <w:rsid w:val="00A20821"/>
    <w:rsid w:val="00A20ACD"/>
    <w:rsid w:val="00A20AF8"/>
    <w:rsid w:val="00A20B1A"/>
    <w:rsid w:val="00A20E80"/>
    <w:rsid w:val="00A21339"/>
    <w:rsid w:val="00A216D7"/>
    <w:rsid w:val="00A216F9"/>
    <w:rsid w:val="00A21A98"/>
    <w:rsid w:val="00A21CF9"/>
    <w:rsid w:val="00A228CE"/>
    <w:rsid w:val="00A229C0"/>
    <w:rsid w:val="00A22A39"/>
    <w:rsid w:val="00A22B41"/>
    <w:rsid w:val="00A22CD9"/>
    <w:rsid w:val="00A22EF4"/>
    <w:rsid w:val="00A23077"/>
    <w:rsid w:val="00A23115"/>
    <w:rsid w:val="00A2315A"/>
    <w:rsid w:val="00A23311"/>
    <w:rsid w:val="00A23660"/>
    <w:rsid w:val="00A23A60"/>
    <w:rsid w:val="00A23AF7"/>
    <w:rsid w:val="00A24295"/>
    <w:rsid w:val="00A24664"/>
    <w:rsid w:val="00A24CEA"/>
    <w:rsid w:val="00A25C60"/>
    <w:rsid w:val="00A2672F"/>
    <w:rsid w:val="00A26901"/>
    <w:rsid w:val="00A26C3C"/>
    <w:rsid w:val="00A26E4A"/>
    <w:rsid w:val="00A26EB9"/>
    <w:rsid w:val="00A26F33"/>
    <w:rsid w:val="00A27260"/>
    <w:rsid w:val="00A27555"/>
    <w:rsid w:val="00A27A78"/>
    <w:rsid w:val="00A27B0C"/>
    <w:rsid w:val="00A27B82"/>
    <w:rsid w:val="00A27D50"/>
    <w:rsid w:val="00A27DB9"/>
    <w:rsid w:val="00A27DC6"/>
    <w:rsid w:val="00A30049"/>
    <w:rsid w:val="00A30145"/>
    <w:rsid w:val="00A30594"/>
    <w:rsid w:val="00A30612"/>
    <w:rsid w:val="00A30742"/>
    <w:rsid w:val="00A3095D"/>
    <w:rsid w:val="00A30E66"/>
    <w:rsid w:val="00A3100B"/>
    <w:rsid w:val="00A310BC"/>
    <w:rsid w:val="00A31B3C"/>
    <w:rsid w:val="00A31CC6"/>
    <w:rsid w:val="00A31F5E"/>
    <w:rsid w:val="00A322C6"/>
    <w:rsid w:val="00A3249E"/>
    <w:rsid w:val="00A32739"/>
    <w:rsid w:val="00A3273E"/>
    <w:rsid w:val="00A34101"/>
    <w:rsid w:val="00A3420B"/>
    <w:rsid w:val="00A34222"/>
    <w:rsid w:val="00A343AD"/>
    <w:rsid w:val="00A34436"/>
    <w:rsid w:val="00A34513"/>
    <w:rsid w:val="00A34704"/>
    <w:rsid w:val="00A348E0"/>
    <w:rsid w:val="00A3493C"/>
    <w:rsid w:val="00A34CA2"/>
    <w:rsid w:val="00A34F83"/>
    <w:rsid w:val="00A34FED"/>
    <w:rsid w:val="00A35186"/>
    <w:rsid w:val="00A356A4"/>
    <w:rsid w:val="00A35A87"/>
    <w:rsid w:val="00A35C68"/>
    <w:rsid w:val="00A36150"/>
    <w:rsid w:val="00A36C57"/>
    <w:rsid w:val="00A36CE4"/>
    <w:rsid w:val="00A370E9"/>
    <w:rsid w:val="00A370F3"/>
    <w:rsid w:val="00A372E9"/>
    <w:rsid w:val="00A3751D"/>
    <w:rsid w:val="00A3761F"/>
    <w:rsid w:val="00A379F7"/>
    <w:rsid w:val="00A37B54"/>
    <w:rsid w:val="00A40153"/>
    <w:rsid w:val="00A401CB"/>
    <w:rsid w:val="00A402A4"/>
    <w:rsid w:val="00A402FE"/>
    <w:rsid w:val="00A404F2"/>
    <w:rsid w:val="00A40599"/>
    <w:rsid w:val="00A4083D"/>
    <w:rsid w:val="00A410FA"/>
    <w:rsid w:val="00A41382"/>
    <w:rsid w:val="00A4146C"/>
    <w:rsid w:val="00A41880"/>
    <w:rsid w:val="00A41E53"/>
    <w:rsid w:val="00A41E5D"/>
    <w:rsid w:val="00A41F45"/>
    <w:rsid w:val="00A4202D"/>
    <w:rsid w:val="00A425C3"/>
    <w:rsid w:val="00A4265C"/>
    <w:rsid w:val="00A42E75"/>
    <w:rsid w:val="00A430D3"/>
    <w:rsid w:val="00A433A9"/>
    <w:rsid w:val="00A4348F"/>
    <w:rsid w:val="00A438FF"/>
    <w:rsid w:val="00A43D80"/>
    <w:rsid w:val="00A43F21"/>
    <w:rsid w:val="00A44158"/>
    <w:rsid w:val="00A441B5"/>
    <w:rsid w:val="00A44654"/>
    <w:rsid w:val="00A450E0"/>
    <w:rsid w:val="00A45200"/>
    <w:rsid w:val="00A45378"/>
    <w:rsid w:val="00A45635"/>
    <w:rsid w:val="00A4594A"/>
    <w:rsid w:val="00A45BE6"/>
    <w:rsid w:val="00A45FD0"/>
    <w:rsid w:val="00A46375"/>
    <w:rsid w:val="00A46E3B"/>
    <w:rsid w:val="00A47651"/>
    <w:rsid w:val="00A476C6"/>
    <w:rsid w:val="00A4796D"/>
    <w:rsid w:val="00A47A21"/>
    <w:rsid w:val="00A47BE5"/>
    <w:rsid w:val="00A47C6A"/>
    <w:rsid w:val="00A5043A"/>
    <w:rsid w:val="00A50730"/>
    <w:rsid w:val="00A510BE"/>
    <w:rsid w:val="00A5118C"/>
    <w:rsid w:val="00A51450"/>
    <w:rsid w:val="00A51554"/>
    <w:rsid w:val="00A518B8"/>
    <w:rsid w:val="00A5261B"/>
    <w:rsid w:val="00A5269C"/>
    <w:rsid w:val="00A52AEF"/>
    <w:rsid w:val="00A52F25"/>
    <w:rsid w:val="00A531D3"/>
    <w:rsid w:val="00A535AB"/>
    <w:rsid w:val="00A535FB"/>
    <w:rsid w:val="00A537C9"/>
    <w:rsid w:val="00A5382A"/>
    <w:rsid w:val="00A53BED"/>
    <w:rsid w:val="00A53FA8"/>
    <w:rsid w:val="00A54159"/>
    <w:rsid w:val="00A54248"/>
    <w:rsid w:val="00A54383"/>
    <w:rsid w:val="00A5453C"/>
    <w:rsid w:val="00A5481D"/>
    <w:rsid w:val="00A54A40"/>
    <w:rsid w:val="00A550AE"/>
    <w:rsid w:val="00A55B4A"/>
    <w:rsid w:val="00A5604E"/>
    <w:rsid w:val="00A56068"/>
    <w:rsid w:val="00A562C9"/>
    <w:rsid w:val="00A56861"/>
    <w:rsid w:val="00A572AB"/>
    <w:rsid w:val="00A57801"/>
    <w:rsid w:val="00A57823"/>
    <w:rsid w:val="00A57A0F"/>
    <w:rsid w:val="00A57F72"/>
    <w:rsid w:val="00A60012"/>
    <w:rsid w:val="00A6028F"/>
    <w:rsid w:val="00A60357"/>
    <w:rsid w:val="00A6075B"/>
    <w:rsid w:val="00A607CB"/>
    <w:rsid w:val="00A60884"/>
    <w:rsid w:val="00A6091A"/>
    <w:rsid w:val="00A610B1"/>
    <w:rsid w:val="00A61170"/>
    <w:rsid w:val="00A61495"/>
    <w:rsid w:val="00A617CB"/>
    <w:rsid w:val="00A61B06"/>
    <w:rsid w:val="00A61C9F"/>
    <w:rsid w:val="00A61D15"/>
    <w:rsid w:val="00A62942"/>
    <w:rsid w:val="00A62AEC"/>
    <w:rsid w:val="00A62D1F"/>
    <w:rsid w:val="00A62E60"/>
    <w:rsid w:val="00A63630"/>
    <w:rsid w:val="00A636B2"/>
    <w:rsid w:val="00A6374D"/>
    <w:rsid w:val="00A63942"/>
    <w:rsid w:val="00A63C71"/>
    <w:rsid w:val="00A63E61"/>
    <w:rsid w:val="00A640FF"/>
    <w:rsid w:val="00A6517D"/>
    <w:rsid w:val="00A65206"/>
    <w:rsid w:val="00A65211"/>
    <w:rsid w:val="00A65C1F"/>
    <w:rsid w:val="00A65E35"/>
    <w:rsid w:val="00A65FA2"/>
    <w:rsid w:val="00A6602F"/>
    <w:rsid w:val="00A661FA"/>
    <w:rsid w:val="00A662A4"/>
    <w:rsid w:val="00A665BD"/>
    <w:rsid w:val="00A66863"/>
    <w:rsid w:val="00A66976"/>
    <w:rsid w:val="00A66977"/>
    <w:rsid w:val="00A67174"/>
    <w:rsid w:val="00A67435"/>
    <w:rsid w:val="00A675D4"/>
    <w:rsid w:val="00A675EC"/>
    <w:rsid w:val="00A676FA"/>
    <w:rsid w:val="00A67722"/>
    <w:rsid w:val="00A70332"/>
    <w:rsid w:val="00A70649"/>
    <w:rsid w:val="00A70728"/>
    <w:rsid w:val="00A70766"/>
    <w:rsid w:val="00A70D34"/>
    <w:rsid w:val="00A70E15"/>
    <w:rsid w:val="00A70E7A"/>
    <w:rsid w:val="00A71176"/>
    <w:rsid w:val="00A71340"/>
    <w:rsid w:val="00A716C3"/>
    <w:rsid w:val="00A71865"/>
    <w:rsid w:val="00A72622"/>
    <w:rsid w:val="00A72782"/>
    <w:rsid w:val="00A738F2"/>
    <w:rsid w:val="00A73A9C"/>
    <w:rsid w:val="00A73F8C"/>
    <w:rsid w:val="00A73FC6"/>
    <w:rsid w:val="00A74667"/>
    <w:rsid w:val="00A74935"/>
    <w:rsid w:val="00A749BD"/>
    <w:rsid w:val="00A749D9"/>
    <w:rsid w:val="00A74F74"/>
    <w:rsid w:val="00A75075"/>
    <w:rsid w:val="00A75112"/>
    <w:rsid w:val="00A751CD"/>
    <w:rsid w:val="00A75723"/>
    <w:rsid w:val="00A759C9"/>
    <w:rsid w:val="00A75AA6"/>
    <w:rsid w:val="00A75B32"/>
    <w:rsid w:val="00A75DA1"/>
    <w:rsid w:val="00A75DD6"/>
    <w:rsid w:val="00A76804"/>
    <w:rsid w:val="00A76DD4"/>
    <w:rsid w:val="00A76EA4"/>
    <w:rsid w:val="00A77152"/>
    <w:rsid w:val="00A77887"/>
    <w:rsid w:val="00A77BDE"/>
    <w:rsid w:val="00A77CBB"/>
    <w:rsid w:val="00A77F64"/>
    <w:rsid w:val="00A80107"/>
    <w:rsid w:val="00A801DE"/>
    <w:rsid w:val="00A8035B"/>
    <w:rsid w:val="00A80FCA"/>
    <w:rsid w:val="00A81234"/>
    <w:rsid w:val="00A8159E"/>
    <w:rsid w:val="00A8184B"/>
    <w:rsid w:val="00A81D35"/>
    <w:rsid w:val="00A81F82"/>
    <w:rsid w:val="00A82437"/>
    <w:rsid w:val="00A827C5"/>
    <w:rsid w:val="00A82C4C"/>
    <w:rsid w:val="00A82CAB"/>
    <w:rsid w:val="00A82D41"/>
    <w:rsid w:val="00A83273"/>
    <w:rsid w:val="00A83EA4"/>
    <w:rsid w:val="00A841B0"/>
    <w:rsid w:val="00A84509"/>
    <w:rsid w:val="00A84EAA"/>
    <w:rsid w:val="00A85086"/>
    <w:rsid w:val="00A8517C"/>
    <w:rsid w:val="00A85318"/>
    <w:rsid w:val="00A85484"/>
    <w:rsid w:val="00A8569D"/>
    <w:rsid w:val="00A8596B"/>
    <w:rsid w:val="00A85A2B"/>
    <w:rsid w:val="00A85EE2"/>
    <w:rsid w:val="00A85F22"/>
    <w:rsid w:val="00A86148"/>
    <w:rsid w:val="00A86241"/>
    <w:rsid w:val="00A86CB3"/>
    <w:rsid w:val="00A87442"/>
    <w:rsid w:val="00A87691"/>
    <w:rsid w:val="00A878BA"/>
    <w:rsid w:val="00A8793B"/>
    <w:rsid w:val="00A90634"/>
    <w:rsid w:val="00A90DFA"/>
    <w:rsid w:val="00A912DB"/>
    <w:rsid w:val="00A912E4"/>
    <w:rsid w:val="00A91479"/>
    <w:rsid w:val="00A9158E"/>
    <w:rsid w:val="00A9184E"/>
    <w:rsid w:val="00A91A3D"/>
    <w:rsid w:val="00A91EF2"/>
    <w:rsid w:val="00A9226D"/>
    <w:rsid w:val="00A92C4D"/>
    <w:rsid w:val="00A92D74"/>
    <w:rsid w:val="00A93543"/>
    <w:rsid w:val="00A93660"/>
    <w:rsid w:val="00A93F16"/>
    <w:rsid w:val="00A93F6B"/>
    <w:rsid w:val="00A9456F"/>
    <w:rsid w:val="00A94A13"/>
    <w:rsid w:val="00A94DED"/>
    <w:rsid w:val="00A94EC9"/>
    <w:rsid w:val="00A94EFC"/>
    <w:rsid w:val="00A94F63"/>
    <w:rsid w:val="00A9537D"/>
    <w:rsid w:val="00A95765"/>
    <w:rsid w:val="00A95CC8"/>
    <w:rsid w:val="00A95E94"/>
    <w:rsid w:val="00A963DD"/>
    <w:rsid w:val="00A9644D"/>
    <w:rsid w:val="00A96F88"/>
    <w:rsid w:val="00A970D3"/>
    <w:rsid w:val="00A97387"/>
    <w:rsid w:val="00A9799D"/>
    <w:rsid w:val="00A979F7"/>
    <w:rsid w:val="00A97B23"/>
    <w:rsid w:val="00A97D2E"/>
    <w:rsid w:val="00A97FD9"/>
    <w:rsid w:val="00AA00E9"/>
    <w:rsid w:val="00AA0604"/>
    <w:rsid w:val="00AA07B4"/>
    <w:rsid w:val="00AA07C1"/>
    <w:rsid w:val="00AA0AA8"/>
    <w:rsid w:val="00AA0D66"/>
    <w:rsid w:val="00AA1044"/>
    <w:rsid w:val="00AA1430"/>
    <w:rsid w:val="00AA1681"/>
    <w:rsid w:val="00AA1CEE"/>
    <w:rsid w:val="00AA1E69"/>
    <w:rsid w:val="00AA1E9F"/>
    <w:rsid w:val="00AA2054"/>
    <w:rsid w:val="00AA2166"/>
    <w:rsid w:val="00AA22FF"/>
    <w:rsid w:val="00AA280B"/>
    <w:rsid w:val="00AA2FA1"/>
    <w:rsid w:val="00AA32E2"/>
    <w:rsid w:val="00AA35FF"/>
    <w:rsid w:val="00AA3C8B"/>
    <w:rsid w:val="00AA3F1D"/>
    <w:rsid w:val="00AA4389"/>
    <w:rsid w:val="00AA4852"/>
    <w:rsid w:val="00AA4B5C"/>
    <w:rsid w:val="00AA4F8B"/>
    <w:rsid w:val="00AA51C1"/>
    <w:rsid w:val="00AA52D8"/>
    <w:rsid w:val="00AA5346"/>
    <w:rsid w:val="00AA5BCE"/>
    <w:rsid w:val="00AA5D47"/>
    <w:rsid w:val="00AA60B5"/>
    <w:rsid w:val="00AA6156"/>
    <w:rsid w:val="00AA680B"/>
    <w:rsid w:val="00AA6989"/>
    <w:rsid w:val="00AA6D6A"/>
    <w:rsid w:val="00AA6F01"/>
    <w:rsid w:val="00AA73AC"/>
    <w:rsid w:val="00AA7460"/>
    <w:rsid w:val="00AA7B77"/>
    <w:rsid w:val="00AA7D6E"/>
    <w:rsid w:val="00AB0260"/>
    <w:rsid w:val="00AB029E"/>
    <w:rsid w:val="00AB05C9"/>
    <w:rsid w:val="00AB074C"/>
    <w:rsid w:val="00AB07F5"/>
    <w:rsid w:val="00AB145F"/>
    <w:rsid w:val="00AB16B6"/>
    <w:rsid w:val="00AB1837"/>
    <w:rsid w:val="00AB187A"/>
    <w:rsid w:val="00AB1918"/>
    <w:rsid w:val="00AB1A03"/>
    <w:rsid w:val="00AB25C7"/>
    <w:rsid w:val="00AB2771"/>
    <w:rsid w:val="00AB2F82"/>
    <w:rsid w:val="00AB32FD"/>
    <w:rsid w:val="00AB33D1"/>
    <w:rsid w:val="00AB39DB"/>
    <w:rsid w:val="00AB3CE7"/>
    <w:rsid w:val="00AB459D"/>
    <w:rsid w:val="00AB474D"/>
    <w:rsid w:val="00AB4B3C"/>
    <w:rsid w:val="00AB4C09"/>
    <w:rsid w:val="00AB4D18"/>
    <w:rsid w:val="00AB4EA2"/>
    <w:rsid w:val="00AB514A"/>
    <w:rsid w:val="00AB552A"/>
    <w:rsid w:val="00AB5B2D"/>
    <w:rsid w:val="00AB6376"/>
    <w:rsid w:val="00AB63E5"/>
    <w:rsid w:val="00AB6EEF"/>
    <w:rsid w:val="00AB72B0"/>
    <w:rsid w:val="00AB7694"/>
    <w:rsid w:val="00AB7788"/>
    <w:rsid w:val="00AB7825"/>
    <w:rsid w:val="00AB7968"/>
    <w:rsid w:val="00AC01B9"/>
    <w:rsid w:val="00AC0260"/>
    <w:rsid w:val="00AC07AC"/>
    <w:rsid w:val="00AC0A59"/>
    <w:rsid w:val="00AC0F43"/>
    <w:rsid w:val="00AC10B5"/>
    <w:rsid w:val="00AC1399"/>
    <w:rsid w:val="00AC188D"/>
    <w:rsid w:val="00AC1894"/>
    <w:rsid w:val="00AC1E12"/>
    <w:rsid w:val="00AC1F17"/>
    <w:rsid w:val="00AC1FB6"/>
    <w:rsid w:val="00AC20D2"/>
    <w:rsid w:val="00AC298C"/>
    <w:rsid w:val="00AC2D2E"/>
    <w:rsid w:val="00AC2E30"/>
    <w:rsid w:val="00AC3679"/>
    <w:rsid w:val="00AC379D"/>
    <w:rsid w:val="00AC38FC"/>
    <w:rsid w:val="00AC41DC"/>
    <w:rsid w:val="00AC44C8"/>
    <w:rsid w:val="00AC496D"/>
    <w:rsid w:val="00AC4FD3"/>
    <w:rsid w:val="00AC50CE"/>
    <w:rsid w:val="00AC50E3"/>
    <w:rsid w:val="00AC512D"/>
    <w:rsid w:val="00AC5368"/>
    <w:rsid w:val="00AC548D"/>
    <w:rsid w:val="00AC59CF"/>
    <w:rsid w:val="00AC5BD3"/>
    <w:rsid w:val="00AC5BFE"/>
    <w:rsid w:val="00AC5C0F"/>
    <w:rsid w:val="00AC5DB0"/>
    <w:rsid w:val="00AC6063"/>
    <w:rsid w:val="00AC6765"/>
    <w:rsid w:val="00AC6787"/>
    <w:rsid w:val="00AC6B36"/>
    <w:rsid w:val="00AC6E3B"/>
    <w:rsid w:val="00AC768C"/>
    <w:rsid w:val="00AC7BF8"/>
    <w:rsid w:val="00AC7D30"/>
    <w:rsid w:val="00AD005D"/>
    <w:rsid w:val="00AD01D0"/>
    <w:rsid w:val="00AD04B8"/>
    <w:rsid w:val="00AD0B04"/>
    <w:rsid w:val="00AD1907"/>
    <w:rsid w:val="00AD1B18"/>
    <w:rsid w:val="00AD1D93"/>
    <w:rsid w:val="00AD2A82"/>
    <w:rsid w:val="00AD3055"/>
    <w:rsid w:val="00AD3298"/>
    <w:rsid w:val="00AD3370"/>
    <w:rsid w:val="00AD35BC"/>
    <w:rsid w:val="00AD36F9"/>
    <w:rsid w:val="00AD39BE"/>
    <w:rsid w:val="00AD3E9A"/>
    <w:rsid w:val="00AD44ED"/>
    <w:rsid w:val="00AD4610"/>
    <w:rsid w:val="00AD4613"/>
    <w:rsid w:val="00AD480B"/>
    <w:rsid w:val="00AD4C06"/>
    <w:rsid w:val="00AD51C9"/>
    <w:rsid w:val="00AD51FD"/>
    <w:rsid w:val="00AD53FE"/>
    <w:rsid w:val="00AD542F"/>
    <w:rsid w:val="00AD5A3B"/>
    <w:rsid w:val="00AD609E"/>
    <w:rsid w:val="00AD64CD"/>
    <w:rsid w:val="00AD6679"/>
    <w:rsid w:val="00AD66ED"/>
    <w:rsid w:val="00AD6928"/>
    <w:rsid w:val="00AD69C0"/>
    <w:rsid w:val="00AD6F49"/>
    <w:rsid w:val="00AD7413"/>
    <w:rsid w:val="00AD7745"/>
    <w:rsid w:val="00AD7FCF"/>
    <w:rsid w:val="00AD7FE0"/>
    <w:rsid w:val="00AD7FFD"/>
    <w:rsid w:val="00AE0040"/>
    <w:rsid w:val="00AE0276"/>
    <w:rsid w:val="00AE04B2"/>
    <w:rsid w:val="00AE04DB"/>
    <w:rsid w:val="00AE0A25"/>
    <w:rsid w:val="00AE0E01"/>
    <w:rsid w:val="00AE0FF9"/>
    <w:rsid w:val="00AE12C4"/>
    <w:rsid w:val="00AE1A7A"/>
    <w:rsid w:val="00AE1FEF"/>
    <w:rsid w:val="00AE23AD"/>
    <w:rsid w:val="00AE2703"/>
    <w:rsid w:val="00AE2A68"/>
    <w:rsid w:val="00AE31F5"/>
    <w:rsid w:val="00AE3220"/>
    <w:rsid w:val="00AE36AC"/>
    <w:rsid w:val="00AE3A5A"/>
    <w:rsid w:val="00AE3BE9"/>
    <w:rsid w:val="00AE3C7A"/>
    <w:rsid w:val="00AE3D5F"/>
    <w:rsid w:val="00AE3DE7"/>
    <w:rsid w:val="00AE3E3A"/>
    <w:rsid w:val="00AE4131"/>
    <w:rsid w:val="00AE420E"/>
    <w:rsid w:val="00AE4560"/>
    <w:rsid w:val="00AE50DA"/>
    <w:rsid w:val="00AE5138"/>
    <w:rsid w:val="00AE51C2"/>
    <w:rsid w:val="00AE5904"/>
    <w:rsid w:val="00AE5ACB"/>
    <w:rsid w:val="00AE5F81"/>
    <w:rsid w:val="00AE6281"/>
    <w:rsid w:val="00AE6362"/>
    <w:rsid w:val="00AE63F4"/>
    <w:rsid w:val="00AE66E6"/>
    <w:rsid w:val="00AE6994"/>
    <w:rsid w:val="00AE6A19"/>
    <w:rsid w:val="00AE6F3B"/>
    <w:rsid w:val="00AE7051"/>
    <w:rsid w:val="00AE705C"/>
    <w:rsid w:val="00AE7332"/>
    <w:rsid w:val="00AE7562"/>
    <w:rsid w:val="00AE772D"/>
    <w:rsid w:val="00AE7995"/>
    <w:rsid w:val="00AE7DCE"/>
    <w:rsid w:val="00AF04E2"/>
    <w:rsid w:val="00AF0A80"/>
    <w:rsid w:val="00AF0DF9"/>
    <w:rsid w:val="00AF0FA2"/>
    <w:rsid w:val="00AF1405"/>
    <w:rsid w:val="00AF16A0"/>
    <w:rsid w:val="00AF16BB"/>
    <w:rsid w:val="00AF178F"/>
    <w:rsid w:val="00AF19DE"/>
    <w:rsid w:val="00AF1A88"/>
    <w:rsid w:val="00AF1AEA"/>
    <w:rsid w:val="00AF1EE6"/>
    <w:rsid w:val="00AF1F79"/>
    <w:rsid w:val="00AF2599"/>
    <w:rsid w:val="00AF27EA"/>
    <w:rsid w:val="00AF3095"/>
    <w:rsid w:val="00AF328B"/>
    <w:rsid w:val="00AF3387"/>
    <w:rsid w:val="00AF3723"/>
    <w:rsid w:val="00AF3A58"/>
    <w:rsid w:val="00AF3E14"/>
    <w:rsid w:val="00AF4451"/>
    <w:rsid w:val="00AF47C1"/>
    <w:rsid w:val="00AF484C"/>
    <w:rsid w:val="00AF4BE4"/>
    <w:rsid w:val="00AF4C16"/>
    <w:rsid w:val="00AF4DD9"/>
    <w:rsid w:val="00AF4E51"/>
    <w:rsid w:val="00AF53B2"/>
    <w:rsid w:val="00AF543D"/>
    <w:rsid w:val="00AF584C"/>
    <w:rsid w:val="00AF5A2B"/>
    <w:rsid w:val="00AF5B61"/>
    <w:rsid w:val="00AF5D4C"/>
    <w:rsid w:val="00AF5EDB"/>
    <w:rsid w:val="00AF6540"/>
    <w:rsid w:val="00AF65ED"/>
    <w:rsid w:val="00AF6BFF"/>
    <w:rsid w:val="00AF7178"/>
    <w:rsid w:val="00AF7A0E"/>
    <w:rsid w:val="00AF7A49"/>
    <w:rsid w:val="00AF7AE0"/>
    <w:rsid w:val="00AF7B91"/>
    <w:rsid w:val="00AF7BE0"/>
    <w:rsid w:val="00AF7D04"/>
    <w:rsid w:val="00B00244"/>
    <w:rsid w:val="00B006A7"/>
    <w:rsid w:val="00B00DB4"/>
    <w:rsid w:val="00B00DC9"/>
    <w:rsid w:val="00B011A8"/>
    <w:rsid w:val="00B01CA9"/>
    <w:rsid w:val="00B01F75"/>
    <w:rsid w:val="00B020AE"/>
    <w:rsid w:val="00B0230D"/>
    <w:rsid w:val="00B027AA"/>
    <w:rsid w:val="00B02A22"/>
    <w:rsid w:val="00B02D94"/>
    <w:rsid w:val="00B035F7"/>
    <w:rsid w:val="00B03A0E"/>
    <w:rsid w:val="00B04347"/>
    <w:rsid w:val="00B0440C"/>
    <w:rsid w:val="00B046C6"/>
    <w:rsid w:val="00B05165"/>
    <w:rsid w:val="00B0529B"/>
    <w:rsid w:val="00B056B7"/>
    <w:rsid w:val="00B05722"/>
    <w:rsid w:val="00B05A6C"/>
    <w:rsid w:val="00B05CD6"/>
    <w:rsid w:val="00B05E21"/>
    <w:rsid w:val="00B05FD4"/>
    <w:rsid w:val="00B06195"/>
    <w:rsid w:val="00B061AC"/>
    <w:rsid w:val="00B06F4B"/>
    <w:rsid w:val="00B07153"/>
    <w:rsid w:val="00B0720A"/>
    <w:rsid w:val="00B07553"/>
    <w:rsid w:val="00B075D2"/>
    <w:rsid w:val="00B0763E"/>
    <w:rsid w:val="00B07A14"/>
    <w:rsid w:val="00B07AE7"/>
    <w:rsid w:val="00B07F65"/>
    <w:rsid w:val="00B102E2"/>
    <w:rsid w:val="00B10316"/>
    <w:rsid w:val="00B10585"/>
    <w:rsid w:val="00B10B27"/>
    <w:rsid w:val="00B110E2"/>
    <w:rsid w:val="00B1128D"/>
    <w:rsid w:val="00B1134A"/>
    <w:rsid w:val="00B115C2"/>
    <w:rsid w:val="00B11809"/>
    <w:rsid w:val="00B11B37"/>
    <w:rsid w:val="00B11D8F"/>
    <w:rsid w:val="00B11EA0"/>
    <w:rsid w:val="00B1209E"/>
    <w:rsid w:val="00B125FD"/>
    <w:rsid w:val="00B1282F"/>
    <w:rsid w:val="00B129D7"/>
    <w:rsid w:val="00B12A8D"/>
    <w:rsid w:val="00B12B18"/>
    <w:rsid w:val="00B12BD6"/>
    <w:rsid w:val="00B13003"/>
    <w:rsid w:val="00B13338"/>
    <w:rsid w:val="00B13425"/>
    <w:rsid w:val="00B13486"/>
    <w:rsid w:val="00B13782"/>
    <w:rsid w:val="00B13CFF"/>
    <w:rsid w:val="00B13D73"/>
    <w:rsid w:val="00B13EDC"/>
    <w:rsid w:val="00B13F3C"/>
    <w:rsid w:val="00B14474"/>
    <w:rsid w:val="00B149CD"/>
    <w:rsid w:val="00B14D7C"/>
    <w:rsid w:val="00B1542E"/>
    <w:rsid w:val="00B1560B"/>
    <w:rsid w:val="00B157C1"/>
    <w:rsid w:val="00B15EBB"/>
    <w:rsid w:val="00B1652C"/>
    <w:rsid w:val="00B1696A"/>
    <w:rsid w:val="00B16BE0"/>
    <w:rsid w:val="00B1707D"/>
    <w:rsid w:val="00B17721"/>
    <w:rsid w:val="00B1799C"/>
    <w:rsid w:val="00B17B24"/>
    <w:rsid w:val="00B17B53"/>
    <w:rsid w:val="00B17BBB"/>
    <w:rsid w:val="00B17FDB"/>
    <w:rsid w:val="00B20BDD"/>
    <w:rsid w:val="00B20CF4"/>
    <w:rsid w:val="00B20E3A"/>
    <w:rsid w:val="00B20E94"/>
    <w:rsid w:val="00B211F9"/>
    <w:rsid w:val="00B212A8"/>
    <w:rsid w:val="00B2138A"/>
    <w:rsid w:val="00B21926"/>
    <w:rsid w:val="00B21BA2"/>
    <w:rsid w:val="00B21BB1"/>
    <w:rsid w:val="00B22278"/>
    <w:rsid w:val="00B225D0"/>
    <w:rsid w:val="00B225EA"/>
    <w:rsid w:val="00B227CE"/>
    <w:rsid w:val="00B22A51"/>
    <w:rsid w:val="00B22F97"/>
    <w:rsid w:val="00B235C9"/>
    <w:rsid w:val="00B236A6"/>
    <w:rsid w:val="00B23AEA"/>
    <w:rsid w:val="00B23AF6"/>
    <w:rsid w:val="00B24722"/>
    <w:rsid w:val="00B24819"/>
    <w:rsid w:val="00B25302"/>
    <w:rsid w:val="00B2573C"/>
    <w:rsid w:val="00B257BC"/>
    <w:rsid w:val="00B25914"/>
    <w:rsid w:val="00B259DF"/>
    <w:rsid w:val="00B25A99"/>
    <w:rsid w:val="00B25D06"/>
    <w:rsid w:val="00B25D68"/>
    <w:rsid w:val="00B25FBD"/>
    <w:rsid w:val="00B26810"/>
    <w:rsid w:val="00B26C9D"/>
    <w:rsid w:val="00B2777B"/>
    <w:rsid w:val="00B27879"/>
    <w:rsid w:val="00B2798C"/>
    <w:rsid w:val="00B27C36"/>
    <w:rsid w:val="00B27D74"/>
    <w:rsid w:val="00B30120"/>
    <w:rsid w:val="00B30614"/>
    <w:rsid w:val="00B30917"/>
    <w:rsid w:val="00B30D73"/>
    <w:rsid w:val="00B310B4"/>
    <w:rsid w:val="00B31438"/>
    <w:rsid w:val="00B31568"/>
    <w:rsid w:val="00B31B54"/>
    <w:rsid w:val="00B32245"/>
    <w:rsid w:val="00B32419"/>
    <w:rsid w:val="00B325B0"/>
    <w:rsid w:val="00B32DD8"/>
    <w:rsid w:val="00B3360D"/>
    <w:rsid w:val="00B33914"/>
    <w:rsid w:val="00B33945"/>
    <w:rsid w:val="00B33C45"/>
    <w:rsid w:val="00B33F6F"/>
    <w:rsid w:val="00B34148"/>
    <w:rsid w:val="00B343D0"/>
    <w:rsid w:val="00B34876"/>
    <w:rsid w:val="00B34ABA"/>
    <w:rsid w:val="00B34E53"/>
    <w:rsid w:val="00B35A58"/>
    <w:rsid w:val="00B35DF0"/>
    <w:rsid w:val="00B367E2"/>
    <w:rsid w:val="00B36B63"/>
    <w:rsid w:val="00B37860"/>
    <w:rsid w:val="00B37A9D"/>
    <w:rsid w:val="00B37E46"/>
    <w:rsid w:val="00B37F93"/>
    <w:rsid w:val="00B40F8E"/>
    <w:rsid w:val="00B41114"/>
    <w:rsid w:val="00B42048"/>
    <w:rsid w:val="00B4220C"/>
    <w:rsid w:val="00B42720"/>
    <w:rsid w:val="00B433BA"/>
    <w:rsid w:val="00B4379E"/>
    <w:rsid w:val="00B43A10"/>
    <w:rsid w:val="00B43BFD"/>
    <w:rsid w:val="00B44060"/>
    <w:rsid w:val="00B44068"/>
    <w:rsid w:val="00B445D0"/>
    <w:rsid w:val="00B4462B"/>
    <w:rsid w:val="00B446C1"/>
    <w:rsid w:val="00B446C2"/>
    <w:rsid w:val="00B44CD7"/>
    <w:rsid w:val="00B44DEB"/>
    <w:rsid w:val="00B44EA9"/>
    <w:rsid w:val="00B44FB7"/>
    <w:rsid w:val="00B4522F"/>
    <w:rsid w:val="00B454EA"/>
    <w:rsid w:val="00B45BD4"/>
    <w:rsid w:val="00B45F3E"/>
    <w:rsid w:val="00B45F6F"/>
    <w:rsid w:val="00B45F98"/>
    <w:rsid w:val="00B462C9"/>
    <w:rsid w:val="00B4656A"/>
    <w:rsid w:val="00B46719"/>
    <w:rsid w:val="00B470ED"/>
    <w:rsid w:val="00B4726E"/>
    <w:rsid w:val="00B47371"/>
    <w:rsid w:val="00B47B74"/>
    <w:rsid w:val="00B501D5"/>
    <w:rsid w:val="00B50719"/>
    <w:rsid w:val="00B50A2F"/>
    <w:rsid w:val="00B50ACB"/>
    <w:rsid w:val="00B5182A"/>
    <w:rsid w:val="00B51988"/>
    <w:rsid w:val="00B51C0F"/>
    <w:rsid w:val="00B51DE1"/>
    <w:rsid w:val="00B522AC"/>
    <w:rsid w:val="00B52443"/>
    <w:rsid w:val="00B52BF5"/>
    <w:rsid w:val="00B52D17"/>
    <w:rsid w:val="00B53072"/>
    <w:rsid w:val="00B53336"/>
    <w:rsid w:val="00B5359A"/>
    <w:rsid w:val="00B537EA"/>
    <w:rsid w:val="00B53CD2"/>
    <w:rsid w:val="00B55389"/>
    <w:rsid w:val="00B557BB"/>
    <w:rsid w:val="00B55CAC"/>
    <w:rsid w:val="00B55D14"/>
    <w:rsid w:val="00B56036"/>
    <w:rsid w:val="00B56046"/>
    <w:rsid w:val="00B56174"/>
    <w:rsid w:val="00B56195"/>
    <w:rsid w:val="00B5692D"/>
    <w:rsid w:val="00B56A9D"/>
    <w:rsid w:val="00B56D36"/>
    <w:rsid w:val="00B56D6A"/>
    <w:rsid w:val="00B56F2B"/>
    <w:rsid w:val="00B56F3C"/>
    <w:rsid w:val="00B571D6"/>
    <w:rsid w:val="00B57212"/>
    <w:rsid w:val="00B576DA"/>
    <w:rsid w:val="00B57A9F"/>
    <w:rsid w:val="00B57E89"/>
    <w:rsid w:val="00B60048"/>
    <w:rsid w:val="00B600AE"/>
    <w:rsid w:val="00B604C0"/>
    <w:rsid w:val="00B606F4"/>
    <w:rsid w:val="00B612E7"/>
    <w:rsid w:val="00B6136E"/>
    <w:rsid w:val="00B616E3"/>
    <w:rsid w:val="00B61796"/>
    <w:rsid w:val="00B61948"/>
    <w:rsid w:val="00B62087"/>
    <w:rsid w:val="00B62697"/>
    <w:rsid w:val="00B630D4"/>
    <w:rsid w:val="00B63460"/>
    <w:rsid w:val="00B634F2"/>
    <w:rsid w:val="00B63720"/>
    <w:rsid w:val="00B6383B"/>
    <w:rsid w:val="00B638CC"/>
    <w:rsid w:val="00B63C5D"/>
    <w:rsid w:val="00B63F03"/>
    <w:rsid w:val="00B642C1"/>
    <w:rsid w:val="00B645FD"/>
    <w:rsid w:val="00B64E97"/>
    <w:rsid w:val="00B64FA7"/>
    <w:rsid w:val="00B650E4"/>
    <w:rsid w:val="00B650EC"/>
    <w:rsid w:val="00B6547E"/>
    <w:rsid w:val="00B656CB"/>
    <w:rsid w:val="00B65CBD"/>
    <w:rsid w:val="00B66084"/>
    <w:rsid w:val="00B66364"/>
    <w:rsid w:val="00B663B5"/>
    <w:rsid w:val="00B6672E"/>
    <w:rsid w:val="00B66AEA"/>
    <w:rsid w:val="00B66C04"/>
    <w:rsid w:val="00B66C37"/>
    <w:rsid w:val="00B66CD0"/>
    <w:rsid w:val="00B67003"/>
    <w:rsid w:val="00B67119"/>
    <w:rsid w:val="00B67486"/>
    <w:rsid w:val="00B67595"/>
    <w:rsid w:val="00B67BEE"/>
    <w:rsid w:val="00B70050"/>
    <w:rsid w:val="00B70453"/>
    <w:rsid w:val="00B70522"/>
    <w:rsid w:val="00B70F1B"/>
    <w:rsid w:val="00B711A0"/>
    <w:rsid w:val="00B71509"/>
    <w:rsid w:val="00B71675"/>
    <w:rsid w:val="00B717BF"/>
    <w:rsid w:val="00B719A1"/>
    <w:rsid w:val="00B71AC2"/>
    <w:rsid w:val="00B71B62"/>
    <w:rsid w:val="00B71C10"/>
    <w:rsid w:val="00B71ECF"/>
    <w:rsid w:val="00B721CA"/>
    <w:rsid w:val="00B7261A"/>
    <w:rsid w:val="00B7266D"/>
    <w:rsid w:val="00B72720"/>
    <w:rsid w:val="00B7286C"/>
    <w:rsid w:val="00B72D7A"/>
    <w:rsid w:val="00B72DF9"/>
    <w:rsid w:val="00B72E89"/>
    <w:rsid w:val="00B7372E"/>
    <w:rsid w:val="00B7376B"/>
    <w:rsid w:val="00B73A87"/>
    <w:rsid w:val="00B73F0E"/>
    <w:rsid w:val="00B7414B"/>
    <w:rsid w:val="00B7468D"/>
    <w:rsid w:val="00B75770"/>
    <w:rsid w:val="00B75B81"/>
    <w:rsid w:val="00B75B8F"/>
    <w:rsid w:val="00B75BC0"/>
    <w:rsid w:val="00B75F02"/>
    <w:rsid w:val="00B760E8"/>
    <w:rsid w:val="00B7636B"/>
    <w:rsid w:val="00B76492"/>
    <w:rsid w:val="00B7668F"/>
    <w:rsid w:val="00B76828"/>
    <w:rsid w:val="00B769A2"/>
    <w:rsid w:val="00B76C9E"/>
    <w:rsid w:val="00B76CCE"/>
    <w:rsid w:val="00B77193"/>
    <w:rsid w:val="00B777A2"/>
    <w:rsid w:val="00B77916"/>
    <w:rsid w:val="00B7796D"/>
    <w:rsid w:val="00B77E0F"/>
    <w:rsid w:val="00B77E3E"/>
    <w:rsid w:val="00B8036D"/>
    <w:rsid w:val="00B80AB0"/>
    <w:rsid w:val="00B80B83"/>
    <w:rsid w:val="00B80E0B"/>
    <w:rsid w:val="00B80EB1"/>
    <w:rsid w:val="00B80F43"/>
    <w:rsid w:val="00B80FB9"/>
    <w:rsid w:val="00B820D3"/>
    <w:rsid w:val="00B8210E"/>
    <w:rsid w:val="00B82171"/>
    <w:rsid w:val="00B82461"/>
    <w:rsid w:val="00B8254D"/>
    <w:rsid w:val="00B8273A"/>
    <w:rsid w:val="00B831BB"/>
    <w:rsid w:val="00B83300"/>
    <w:rsid w:val="00B83387"/>
    <w:rsid w:val="00B8338D"/>
    <w:rsid w:val="00B83697"/>
    <w:rsid w:val="00B8387D"/>
    <w:rsid w:val="00B83C12"/>
    <w:rsid w:val="00B841D4"/>
    <w:rsid w:val="00B84B5B"/>
    <w:rsid w:val="00B84C0B"/>
    <w:rsid w:val="00B84DAB"/>
    <w:rsid w:val="00B84DFC"/>
    <w:rsid w:val="00B84EB4"/>
    <w:rsid w:val="00B84EC5"/>
    <w:rsid w:val="00B8521C"/>
    <w:rsid w:val="00B85445"/>
    <w:rsid w:val="00B854B4"/>
    <w:rsid w:val="00B8560C"/>
    <w:rsid w:val="00B856D6"/>
    <w:rsid w:val="00B85CC9"/>
    <w:rsid w:val="00B85ED5"/>
    <w:rsid w:val="00B863A0"/>
    <w:rsid w:val="00B8704A"/>
    <w:rsid w:val="00B87156"/>
    <w:rsid w:val="00B87597"/>
    <w:rsid w:val="00B8774F"/>
    <w:rsid w:val="00B8790C"/>
    <w:rsid w:val="00B87CD0"/>
    <w:rsid w:val="00B87D67"/>
    <w:rsid w:val="00B87E62"/>
    <w:rsid w:val="00B90C3B"/>
    <w:rsid w:val="00B90DFF"/>
    <w:rsid w:val="00B91111"/>
    <w:rsid w:val="00B91201"/>
    <w:rsid w:val="00B91404"/>
    <w:rsid w:val="00B918AA"/>
    <w:rsid w:val="00B919A6"/>
    <w:rsid w:val="00B91EB8"/>
    <w:rsid w:val="00B91FBB"/>
    <w:rsid w:val="00B9254E"/>
    <w:rsid w:val="00B927B9"/>
    <w:rsid w:val="00B9292C"/>
    <w:rsid w:val="00B9293C"/>
    <w:rsid w:val="00B92C84"/>
    <w:rsid w:val="00B92D19"/>
    <w:rsid w:val="00B92D71"/>
    <w:rsid w:val="00B93135"/>
    <w:rsid w:val="00B93375"/>
    <w:rsid w:val="00B93676"/>
    <w:rsid w:val="00B93B3A"/>
    <w:rsid w:val="00B93CCD"/>
    <w:rsid w:val="00B942F1"/>
    <w:rsid w:val="00B94386"/>
    <w:rsid w:val="00B94577"/>
    <w:rsid w:val="00B94F65"/>
    <w:rsid w:val="00B956FB"/>
    <w:rsid w:val="00B958B6"/>
    <w:rsid w:val="00B96F4F"/>
    <w:rsid w:val="00B9729D"/>
    <w:rsid w:val="00B976C9"/>
    <w:rsid w:val="00B978AB"/>
    <w:rsid w:val="00BA01AB"/>
    <w:rsid w:val="00BA101E"/>
    <w:rsid w:val="00BA15E1"/>
    <w:rsid w:val="00BA16BC"/>
    <w:rsid w:val="00BA1DDD"/>
    <w:rsid w:val="00BA1E71"/>
    <w:rsid w:val="00BA22B7"/>
    <w:rsid w:val="00BA2607"/>
    <w:rsid w:val="00BA28A0"/>
    <w:rsid w:val="00BA2FC7"/>
    <w:rsid w:val="00BA303B"/>
    <w:rsid w:val="00BA32A9"/>
    <w:rsid w:val="00BA3306"/>
    <w:rsid w:val="00BA3702"/>
    <w:rsid w:val="00BA3CFB"/>
    <w:rsid w:val="00BA3D70"/>
    <w:rsid w:val="00BA428B"/>
    <w:rsid w:val="00BA42C8"/>
    <w:rsid w:val="00BA4315"/>
    <w:rsid w:val="00BA442B"/>
    <w:rsid w:val="00BA44E1"/>
    <w:rsid w:val="00BA45C3"/>
    <w:rsid w:val="00BA4910"/>
    <w:rsid w:val="00BA49B6"/>
    <w:rsid w:val="00BA4E3A"/>
    <w:rsid w:val="00BA4E43"/>
    <w:rsid w:val="00BA512A"/>
    <w:rsid w:val="00BA5724"/>
    <w:rsid w:val="00BA5963"/>
    <w:rsid w:val="00BA5A7F"/>
    <w:rsid w:val="00BA5DEA"/>
    <w:rsid w:val="00BA6089"/>
    <w:rsid w:val="00BA6A63"/>
    <w:rsid w:val="00BA6B74"/>
    <w:rsid w:val="00BA7269"/>
    <w:rsid w:val="00BA73EE"/>
    <w:rsid w:val="00BA7448"/>
    <w:rsid w:val="00BA7A05"/>
    <w:rsid w:val="00BA7A0C"/>
    <w:rsid w:val="00BA7A53"/>
    <w:rsid w:val="00BB000D"/>
    <w:rsid w:val="00BB0280"/>
    <w:rsid w:val="00BB058E"/>
    <w:rsid w:val="00BB0761"/>
    <w:rsid w:val="00BB0777"/>
    <w:rsid w:val="00BB0A41"/>
    <w:rsid w:val="00BB0E85"/>
    <w:rsid w:val="00BB12BE"/>
    <w:rsid w:val="00BB13E1"/>
    <w:rsid w:val="00BB2329"/>
    <w:rsid w:val="00BB2592"/>
    <w:rsid w:val="00BB2AF9"/>
    <w:rsid w:val="00BB2D42"/>
    <w:rsid w:val="00BB2DDA"/>
    <w:rsid w:val="00BB30FE"/>
    <w:rsid w:val="00BB3110"/>
    <w:rsid w:val="00BB3431"/>
    <w:rsid w:val="00BB3B8D"/>
    <w:rsid w:val="00BB3C99"/>
    <w:rsid w:val="00BB3F8D"/>
    <w:rsid w:val="00BB499F"/>
    <w:rsid w:val="00BB4C2B"/>
    <w:rsid w:val="00BB4E55"/>
    <w:rsid w:val="00BB52C1"/>
    <w:rsid w:val="00BB54A6"/>
    <w:rsid w:val="00BB5899"/>
    <w:rsid w:val="00BB5A54"/>
    <w:rsid w:val="00BB5D87"/>
    <w:rsid w:val="00BB5ECC"/>
    <w:rsid w:val="00BB5F90"/>
    <w:rsid w:val="00BB5FF9"/>
    <w:rsid w:val="00BB6875"/>
    <w:rsid w:val="00BB6A16"/>
    <w:rsid w:val="00BB6B89"/>
    <w:rsid w:val="00BB6D41"/>
    <w:rsid w:val="00BB704E"/>
    <w:rsid w:val="00BB70FD"/>
    <w:rsid w:val="00BB7177"/>
    <w:rsid w:val="00BB7189"/>
    <w:rsid w:val="00BB779C"/>
    <w:rsid w:val="00BB77A9"/>
    <w:rsid w:val="00BB784D"/>
    <w:rsid w:val="00BB7AF9"/>
    <w:rsid w:val="00BB7D40"/>
    <w:rsid w:val="00BC02C6"/>
    <w:rsid w:val="00BC19B1"/>
    <w:rsid w:val="00BC1A22"/>
    <w:rsid w:val="00BC1C29"/>
    <w:rsid w:val="00BC1CAF"/>
    <w:rsid w:val="00BC1ECD"/>
    <w:rsid w:val="00BC2417"/>
    <w:rsid w:val="00BC307F"/>
    <w:rsid w:val="00BC359E"/>
    <w:rsid w:val="00BC3791"/>
    <w:rsid w:val="00BC37FA"/>
    <w:rsid w:val="00BC3A74"/>
    <w:rsid w:val="00BC479B"/>
    <w:rsid w:val="00BC4946"/>
    <w:rsid w:val="00BC4ACE"/>
    <w:rsid w:val="00BC4B7E"/>
    <w:rsid w:val="00BC4C3B"/>
    <w:rsid w:val="00BC4D94"/>
    <w:rsid w:val="00BC5089"/>
    <w:rsid w:val="00BC5391"/>
    <w:rsid w:val="00BC5965"/>
    <w:rsid w:val="00BC5A25"/>
    <w:rsid w:val="00BC6191"/>
    <w:rsid w:val="00BC6606"/>
    <w:rsid w:val="00BC68F3"/>
    <w:rsid w:val="00BC6F10"/>
    <w:rsid w:val="00BC71B3"/>
    <w:rsid w:val="00BC74A7"/>
    <w:rsid w:val="00BD00E3"/>
    <w:rsid w:val="00BD02A6"/>
    <w:rsid w:val="00BD03EC"/>
    <w:rsid w:val="00BD0479"/>
    <w:rsid w:val="00BD05C0"/>
    <w:rsid w:val="00BD089B"/>
    <w:rsid w:val="00BD0D8D"/>
    <w:rsid w:val="00BD1540"/>
    <w:rsid w:val="00BD169C"/>
    <w:rsid w:val="00BD171E"/>
    <w:rsid w:val="00BD184A"/>
    <w:rsid w:val="00BD1DC4"/>
    <w:rsid w:val="00BD2BC9"/>
    <w:rsid w:val="00BD3861"/>
    <w:rsid w:val="00BD39C4"/>
    <w:rsid w:val="00BD3BAE"/>
    <w:rsid w:val="00BD3D78"/>
    <w:rsid w:val="00BD4569"/>
    <w:rsid w:val="00BD579B"/>
    <w:rsid w:val="00BD590A"/>
    <w:rsid w:val="00BD5A52"/>
    <w:rsid w:val="00BD5BF7"/>
    <w:rsid w:val="00BD5F1E"/>
    <w:rsid w:val="00BD5F98"/>
    <w:rsid w:val="00BD6845"/>
    <w:rsid w:val="00BD686D"/>
    <w:rsid w:val="00BD714C"/>
    <w:rsid w:val="00BD7644"/>
    <w:rsid w:val="00BD7797"/>
    <w:rsid w:val="00BD79AD"/>
    <w:rsid w:val="00BD7A88"/>
    <w:rsid w:val="00BD7E5A"/>
    <w:rsid w:val="00BD7F99"/>
    <w:rsid w:val="00BE01D3"/>
    <w:rsid w:val="00BE040E"/>
    <w:rsid w:val="00BE07C5"/>
    <w:rsid w:val="00BE09B2"/>
    <w:rsid w:val="00BE0BF0"/>
    <w:rsid w:val="00BE0CA7"/>
    <w:rsid w:val="00BE1B42"/>
    <w:rsid w:val="00BE1E04"/>
    <w:rsid w:val="00BE1EA5"/>
    <w:rsid w:val="00BE1F44"/>
    <w:rsid w:val="00BE2372"/>
    <w:rsid w:val="00BE2596"/>
    <w:rsid w:val="00BE2CA1"/>
    <w:rsid w:val="00BE3074"/>
    <w:rsid w:val="00BE3111"/>
    <w:rsid w:val="00BE37E9"/>
    <w:rsid w:val="00BE3CAA"/>
    <w:rsid w:val="00BE3D49"/>
    <w:rsid w:val="00BE3D6C"/>
    <w:rsid w:val="00BE3E5F"/>
    <w:rsid w:val="00BE40C7"/>
    <w:rsid w:val="00BE4404"/>
    <w:rsid w:val="00BE4D35"/>
    <w:rsid w:val="00BE4EA5"/>
    <w:rsid w:val="00BE51AD"/>
    <w:rsid w:val="00BE5380"/>
    <w:rsid w:val="00BE54FD"/>
    <w:rsid w:val="00BE5766"/>
    <w:rsid w:val="00BE583A"/>
    <w:rsid w:val="00BE58DB"/>
    <w:rsid w:val="00BE5975"/>
    <w:rsid w:val="00BE678C"/>
    <w:rsid w:val="00BE7371"/>
    <w:rsid w:val="00BE7AF2"/>
    <w:rsid w:val="00BE7D3B"/>
    <w:rsid w:val="00BE7F8C"/>
    <w:rsid w:val="00BF03A2"/>
    <w:rsid w:val="00BF058C"/>
    <w:rsid w:val="00BF109F"/>
    <w:rsid w:val="00BF10F5"/>
    <w:rsid w:val="00BF13C0"/>
    <w:rsid w:val="00BF1551"/>
    <w:rsid w:val="00BF1589"/>
    <w:rsid w:val="00BF18A7"/>
    <w:rsid w:val="00BF1FC6"/>
    <w:rsid w:val="00BF2071"/>
    <w:rsid w:val="00BF2106"/>
    <w:rsid w:val="00BF2288"/>
    <w:rsid w:val="00BF247F"/>
    <w:rsid w:val="00BF2715"/>
    <w:rsid w:val="00BF2842"/>
    <w:rsid w:val="00BF28D0"/>
    <w:rsid w:val="00BF2A6D"/>
    <w:rsid w:val="00BF2D1B"/>
    <w:rsid w:val="00BF2D48"/>
    <w:rsid w:val="00BF2EF7"/>
    <w:rsid w:val="00BF2FF5"/>
    <w:rsid w:val="00BF3BF2"/>
    <w:rsid w:val="00BF3D83"/>
    <w:rsid w:val="00BF3D86"/>
    <w:rsid w:val="00BF3DFA"/>
    <w:rsid w:val="00BF44B8"/>
    <w:rsid w:val="00BF4A05"/>
    <w:rsid w:val="00BF4B8A"/>
    <w:rsid w:val="00BF4B99"/>
    <w:rsid w:val="00BF4C1E"/>
    <w:rsid w:val="00BF4E12"/>
    <w:rsid w:val="00BF5482"/>
    <w:rsid w:val="00BF5862"/>
    <w:rsid w:val="00BF5B0C"/>
    <w:rsid w:val="00BF5C82"/>
    <w:rsid w:val="00BF63D9"/>
    <w:rsid w:val="00BF6C39"/>
    <w:rsid w:val="00BF7291"/>
    <w:rsid w:val="00BF732A"/>
    <w:rsid w:val="00BF7449"/>
    <w:rsid w:val="00BF75E3"/>
    <w:rsid w:val="00BF7A05"/>
    <w:rsid w:val="00BF7A17"/>
    <w:rsid w:val="00BF7B5B"/>
    <w:rsid w:val="00BF7E30"/>
    <w:rsid w:val="00C001A0"/>
    <w:rsid w:val="00C004AA"/>
    <w:rsid w:val="00C00521"/>
    <w:rsid w:val="00C00603"/>
    <w:rsid w:val="00C00825"/>
    <w:rsid w:val="00C00ADB"/>
    <w:rsid w:val="00C00B91"/>
    <w:rsid w:val="00C0107D"/>
    <w:rsid w:val="00C011C0"/>
    <w:rsid w:val="00C016C6"/>
    <w:rsid w:val="00C01BF4"/>
    <w:rsid w:val="00C0215D"/>
    <w:rsid w:val="00C025B2"/>
    <w:rsid w:val="00C028BF"/>
    <w:rsid w:val="00C02A37"/>
    <w:rsid w:val="00C02C42"/>
    <w:rsid w:val="00C02D05"/>
    <w:rsid w:val="00C031FA"/>
    <w:rsid w:val="00C0336B"/>
    <w:rsid w:val="00C03666"/>
    <w:rsid w:val="00C0374C"/>
    <w:rsid w:val="00C0408D"/>
    <w:rsid w:val="00C0421A"/>
    <w:rsid w:val="00C048AC"/>
    <w:rsid w:val="00C04B57"/>
    <w:rsid w:val="00C04D9D"/>
    <w:rsid w:val="00C04E80"/>
    <w:rsid w:val="00C04F0E"/>
    <w:rsid w:val="00C053BC"/>
    <w:rsid w:val="00C057BC"/>
    <w:rsid w:val="00C05EB4"/>
    <w:rsid w:val="00C061FD"/>
    <w:rsid w:val="00C06459"/>
    <w:rsid w:val="00C0676A"/>
    <w:rsid w:val="00C06B98"/>
    <w:rsid w:val="00C06F2F"/>
    <w:rsid w:val="00C071B9"/>
    <w:rsid w:val="00C0722B"/>
    <w:rsid w:val="00C07417"/>
    <w:rsid w:val="00C07883"/>
    <w:rsid w:val="00C079C3"/>
    <w:rsid w:val="00C079D9"/>
    <w:rsid w:val="00C07B10"/>
    <w:rsid w:val="00C07BBA"/>
    <w:rsid w:val="00C07CC2"/>
    <w:rsid w:val="00C07E38"/>
    <w:rsid w:val="00C1004B"/>
    <w:rsid w:val="00C10407"/>
    <w:rsid w:val="00C10A08"/>
    <w:rsid w:val="00C10B20"/>
    <w:rsid w:val="00C10B79"/>
    <w:rsid w:val="00C11166"/>
    <w:rsid w:val="00C115F0"/>
    <w:rsid w:val="00C11A01"/>
    <w:rsid w:val="00C11E18"/>
    <w:rsid w:val="00C12310"/>
    <w:rsid w:val="00C130AA"/>
    <w:rsid w:val="00C136C2"/>
    <w:rsid w:val="00C13954"/>
    <w:rsid w:val="00C13FF3"/>
    <w:rsid w:val="00C1413D"/>
    <w:rsid w:val="00C14175"/>
    <w:rsid w:val="00C14204"/>
    <w:rsid w:val="00C14452"/>
    <w:rsid w:val="00C14773"/>
    <w:rsid w:val="00C1521B"/>
    <w:rsid w:val="00C1529A"/>
    <w:rsid w:val="00C156BD"/>
    <w:rsid w:val="00C15770"/>
    <w:rsid w:val="00C159CA"/>
    <w:rsid w:val="00C15B76"/>
    <w:rsid w:val="00C15BF2"/>
    <w:rsid w:val="00C15CE3"/>
    <w:rsid w:val="00C15EDC"/>
    <w:rsid w:val="00C15FC6"/>
    <w:rsid w:val="00C16147"/>
    <w:rsid w:val="00C162C9"/>
    <w:rsid w:val="00C1632F"/>
    <w:rsid w:val="00C163B7"/>
    <w:rsid w:val="00C164A4"/>
    <w:rsid w:val="00C1664F"/>
    <w:rsid w:val="00C16ACC"/>
    <w:rsid w:val="00C16B36"/>
    <w:rsid w:val="00C16B3B"/>
    <w:rsid w:val="00C17105"/>
    <w:rsid w:val="00C17318"/>
    <w:rsid w:val="00C20091"/>
    <w:rsid w:val="00C2078F"/>
    <w:rsid w:val="00C20AFF"/>
    <w:rsid w:val="00C20B6F"/>
    <w:rsid w:val="00C21106"/>
    <w:rsid w:val="00C2162A"/>
    <w:rsid w:val="00C21901"/>
    <w:rsid w:val="00C22198"/>
    <w:rsid w:val="00C221BF"/>
    <w:rsid w:val="00C22608"/>
    <w:rsid w:val="00C22CBF"/>
    <w:rsid w:val="00C23255"/>
    <w:rsid w:val="00C23693"/>
    <w:rsid w:val="00C23C65"/>
    <w:rsid w:val="00C23D67"/>
    <w:rsid w:val="00C23F40"/>
    <w:rsid w:val="00C23F4A"/>
    <w:rsid w:val="00C23FEA"/>
    <w:rsid w:val="00C2433F"/>
    <w:rsid w:val="00C24EC7"/>
    <w:rsid w:val="00C2579A"/>
    <w:rsid w:val="00C25B4B"/>
    <w:rsid w:val="00C25C78"/>
    <w:rsid w:val="00C25EDA"/>
    <w:rsid w:val="00C25FBB"/>
    <w:rsid w:val="00C262DC"/>
    <w:rsid w:val="00C262FB"/>
    <w:rsid w:val="00C2681D"/>
    <w:rsid w:val="00C268B5"/>
    <w:rsid w:val="00C268CF"/>
    <w:rsid w:val="00C268D1"/>
    <w:rsid w:val="00C26A68"/>
    <w:rsid w:val="00C26D90"/>
    <w:rsid w:val="00C2723C"/>
    <w:rsid w:val="00C2741F"/>
    <w:rsid w:val="00C277D8"/>
    <w:rsid w:val="00C277F5"/>
    <w:rsid w:val="00C30149"/>
    <w:rsid w:val="00C30B2B"/>
    <w:rsid w:val="00C30D55"/>
    <w:rsid w:val="00C31492"/>
    <w:rsid w:val="00C317CD"/>
    <w:rsid w:val="00C317F3"/>
    <w:rsid w:val="00C31863"/>
    <w:rsid w:val="00C31E2D"/>
    <w:rsid w:val="00C32157"/>
    <w:rsid w:val="00C326A9"/>
    <w:rsid w:val="00C32D42"/>
    <w:rsid w:val="00C330CD"/>
    <w:rsid w:val="00C33111"/>
    <w:rsid w:val="00C334E3"/>
    <w:rsid w:val="00C339CC"/>
    <w:rsid w:val="00C33B02"/>
    <w:rsid w:val="00C33B54"/>
    <w:rsid w:val="00C33D44"/>
    <w:rsid w:val="00C33FD1"/>
    <w:rsid w:val="00C34069"/>
    <w:rsid w:val="00C341E1"/>
    <w:rsid w:val="00C3466F"/>
    <w:rsid w:val="00C349AE"/>
    <w:rsid w:val="00C349C2"/>
    <w:rsid w:val="00C34A99"/>
    <w:rsid w:val="00C34B83"/>
    <w:rsid w:val="00C35236"/>
    <w:rsid w:val="00C353DA"/>
    <w:rsid w:val="00C356A5"/>
    <w:rsid w:val="00C356EF"/>
    <w:rsid w:val="00C357E2"/>
    <w:rsid w:val="00C35923"/>
    <w:rsid w:val="00C35C94"/>
    <w:rsid w:val="00C361F4"/>
    <w:rsid w:val="00C363F7"/>
    <w:rsid w:val="00C36441"/>
    <w:rsid w:val="00C37CD2"/>
    <w:rsid w:val="00C37E82"/>
    <w:rsid w:val="00C4021D"/>
    <w:rsid w:val="00C405B6"/>
    <w:rsid w:val="00C40F27"/>
    <w:rsid w:val="00C4105E"/>
    <w:rsid w:val="00C412CE"/>
    <w:rsid w:val="00C413D4"/>
    <w:rsid w:val="00C41944"/>
    <w:rsid w:val="00C41CFD"/>
    <w:rsid w:val="00C41DEC"/>
    <w:rsid w:val="00C42169"/>
    <w:rsid w:val="00C42422"/>
    <w:rsid w:val="00C43102"/>
    <w:rsid w:val="00C4323C"/>
    <w:rsid w:val="00C435F5"/>
    <w:rsid w:val="00C43B04"/>
    <w:rsid w:val="00C43D01"/>
    <w:rsid w:val="00C44584"/>
    <w:rsid w:val="00C445A5"/>
    <w:rsid w:val="00C44BEE"/>
    <w:rsid w:val="00C44C37"/>
    <w:rsid w:val="00C45234"/>
    <w:rsid w:val="00C452E1"/>
    <w:rsid w:val="00C45D0F"/>
    <w:rsid w:val="00C45ED7"/>
    <w:rsid w:val="00C4685B"/>
    <w:rsid w:val="00C469C8"/>
    <w:rsid w:val="00C46AE5"/>
    <w:rsid w:val="00C46D78"/>
    <w:rsid w:val="00C4702E"/>
    <w:rsid w:val="00C47654"/>
    <w:rsid w:val="00C478CE"/>
    <w:rsid w:val="00C47C35"/>
    <w:rsid w:val="00C47E70"/>
    <w:rsid w:val="00C5067B"/>
    <w:rsid w:val="00C509CB"/>
    <w:rsid w:val="00C50BCE"/>
    <w:rsid w:val="00C50C2F"/>
    <w:rsid w:val="00C50D83"/>
    <w:rsid w:val="00C51557"/>
    <w:rsid w:val="00C5172D"/>
    <w:rsid w:val="00C5180B"/>
    <w:rsid w:val="00C519FF"/>
    <w:rsid w:val="00C51E55"/>
    <w:rsid w:val="00C51E5B"/>
    <w:rsid w:val="00C51EB3"/>
    <w:rsid w:val="00C51EFC"/>
    <w:rsid w:val="00C51F4C"/>
    <w:rsid w:val="00C52483"/>
    <w:rsid w:val="00C52964"/>
    <w:rsid w:val="00C529D2"/>
    <w:rsid w:val="00C52BE0"/>
    <w:rsid w:val="00C52CCD"/>
    <w:rsid w:val="00C52EF5"/>
    <w:rsid w:val="00C532F2"/>
    <w:rsid w:val="00C5396E"/>
    <w:rsid w:val="00C54BFA"/>
    <w:rsid w:val="00C54CBC"/>
    <w:rsid w:val="00C556E6"/>
    <w:rsid w:val="00C559C4"/>
    <w:rsid w:val="00C55C07"/>
    <w:rsid w:val="00C55E59"/>
    <w:rsid w:val="00C56093"/>
    <w:rsid w:val="00C56563"/>
    <w:rsid w:val="00C5660F"/>
    <w:rsid w:val="00C56A4F"/>
    <w:rsid w:val="00C56B59"/>
    <w:rsid w:val="00C56D25"/>
    <w:rsid w:val="00C57A2A"/>
    <w:rsid w:val="00C57E4D"/>
    <w:rsid w:val="00C57E88"/>
    <w:rsid w:val="00C6043B"/>
    <w:rsid w:val="00C606AA"/>
    <w:rsid w:val="00C60BE8"/>
    <w:rsid w:val="00C60D47"/>
    <w:rsid w:val="00C6103A"/>
    <w:rsid w:val="00C615C7"/>
    <w:rsid w:val="00C61BE1"/>
    <w:rsid w:val="00C622A3"/>
    <w:rsid w:val="00C62338"/>
    <w:rsid w:val="00C625C4"/>
    <w:rsid w:val="00C626E2"/>
    <w:rsid w:val="00C628C8"/>
    <w:rsid w:val="00C62C40"/>
    <w:rsid w:val="00C62FC6"/>
    <w:rsid w:val="00C63299"/>
    <w:rsid w:val="00C6363C"/>
    <w:rsid w:val="00C63972"/>
    <w:rsid w:val="00C63CCE"/>
    <w:rsid w:val="00C63E7F"/>
    <w:rsid w:val="00C63F3E"/>
    <w:rsid w:val="00C64619"/>
    <w:rsid w:val="00C6499E"/>
    <w:rsid w:val="00C64E42"/>
    <w:rsid w:val="00C64FE9"/>
    <w:rsid w:val="00C6523A"/>
    <w:rsid w:val="00C659B3"/>
    <w:rsid w:val="00C65A09"/>
    <w:rsid w:val="00C65DD3"/>
    <w:rsid w:val="00C66077"/>
    <w:rsid w:val="00C6609F"/>
    <w:rsid w:val="00C661A0"/>
    <w:rsid w:val="00C6627C"/>
    <w:rsid w:val="00C668CF"/>
    <w:rsid w:val="00C66AAF"/>
    <w:rsid w:val="00C66B81"/>
    <w:rsid w:val="00C66C11"/>
    <w:rsid w:val="00C67088"/>
    <w:rsid w:val="00C67270"/>
    <w:rsid w:val="00C673D8"/>
    <w:rsid w:val="00C673F8"/>
    <w:rsid w:val="00C67CB5"/>
    <w:rsid w:val="00C67D04"/>
    <w:rsid w:val="00C70082"/>
    <w:rsid w:val="00C704B2"/>
    <w:rsid w:val="00C709C7"/>
    <w:rsid w:val="00C70B61"/>
    <w:rsid w:val="00C70E94"/>
    <w:rsid w:val="00C70FE0"/>
    <w:rsid w:val="00C714DE"/>
    <w:rsid w:val="00C717CB"/>
    <w:rsid w:val="00C71A5D"/>
    <w:rsid w:val="00C71F34"/>
    <w:rsid w:val="00C721CC"/>
    <w:rsid w:val="00C723CB"/>
    <w:rsid w:val="00C72712"/>
    <w:rsid w:val="00C727EE"/>
    <w:rsid w:val="00C72808"/>
    <w:rsid w:val="00C72E20"/>
    <w:rsid w:val="00C72EB9"/>
    <w:rsid w:val="00C72EDD"/>
    <w:rsid w:val="00C73340"/>
    <w:rsid w:val="00C734B5"/>
    <w:rsid w:val="00C736E7"/>
    <w:rsid w:val="00C73CAF"/>
    <w:rsid w:val="00C73E87"/>
    <w:rsid w:val="00C7440D"/>
    <w:rsid w:val="00C74E5D"/>
    <w:rsid w:val="00C7519E"/>
    <w:rsid w:val="00C75418"/>
    <w:rsid w:val="00C75565"/>
    <w:rsid w:val="00C75A46"/>
    <w:rsid w:val="00C75C91"/>
    <w:rsid w:val="00C75CA9"/>
    <w:rsid w:val="00C75EBD"/>
    <w:rsid w:val="00C762E1"/>
    <w:rsid w:val="00C76AA4"/>
    <w:rsid w:val="00C76D58"/>
    <w:rsid w:val="00C76D60"/>
    <w:rsid w:val="00C77680"/>
    <w:rsid w:val="00C77B4A"/>
    <w:rsid w:val="00C77BF4"/>
    <w:rsid w:val="00C77F90"/>
    <w:rsid w:val="00C80596"/>
    <w:rsid w:val="00C808AA"/>
    <w:rsid w:val="00C80A1C"/>
    <w:rsid w:val="00C8118F"/>
    <w:rsid w:val="00C817EC"/>
    <w:rsid w:val="00C81A12"/>
    <w:rsid w:val="00C81BD5"/>
    <w:rsid w:val="00C81D65"/>
    <w:rsid w:val="00C81D6A"/>
    <w:rsid w:val="00C81DD4"/>
    <w:rsid w:val="00C81E43"/>
    <w:rsid w:val="00C82261"/>
    <w:rsid w:val="00C824B6"/>
    <w:rsid w:val="00C824E4"/>
    <w:rsid w:val="00C8296F"/>
    <w:rsid w:val="00C829E5"/>
    <w:rsid w:val="00C82CA8"/>
    <w:rsid w:val="00C82F3C"/>
    <w:rsid w:val="00C8369D"/>
    <w:rsid w:val="00C838BB"/>
    <w:rsid w:val="00C83A11"/>
    <w:rsid w:val="00C83DCC"/>
    <w:rsid w:val="00C83DEB"/>
    <w:rsid w:val="00C8401D"/>
    <w:rsid w:val="00C840B4"/>
    <w:rsid w:val="00C84254"/>
    <w:rsid w:val="00C844AB"/>
    <w:rsid w:val="00C846BE"/>
    <w:rsid w:val="00C84BF5"/>
    <w:rsid w:val="00C84C02"/>
    <w:rsid w:val="00C84C7B"/>
    <w:rsid w:val="00C84FF8"/>
    <w:rsid w:val="00C85227"/>
    <w:rsid w:val="00C85490"/>
    <w:rsid w:val="00C85D3F"/>
    <w:rsid w:val="00C85E35"/>
    <w:rsid w:val="00C8659B"/>
    <w:rsid w:val="00C86DE1"/>
    <w:rsid w:val="00C86EF6"/>
    <w:rsid w:val="00C87120"/>
    <w:rsid w:val="00C87316"/>
    <w:rsid w:val="00C8760F"/>
    <w:rsid w:val="00C87807"/>
    <w:rsid w:val="00C87C45"/>
    <w:rsid w:val="00C87F5E"/>
    <w:rsid w:val="00C903F3"/>
    <w:rsid w:val="00C90588"/>
    <w:rsid w:val="00C90E18"/>
    <w:rsid w:val="00C91080"/>
    <w:rsid w:val="00C9161F"/>
    <w:rsid w:val="00C918A6"/>
    <w:rsid w:val="00C91E87"/>
    <w:rsid w:val="00C92087"/>
    <w:rsid w:val="00C920A1"/>
    <w:rsid w:val="00C922AA"/>
    <w:rsid w:val="00C92604"/>
    <w:rsid w:val="00C9285A"/>
    <w:rsid w:val="00C92874"/>
    <w:rsid w:val="00C92CDC"/>
    <w:rsid w:val="00C92CF0"/>
    <w:rsid w:val="00C92E6A"/>
    <w:rsid w:val="00C92E73"/>
    <w:rsid w:val="00C931DE"/>
    <w:rsid w:val="00C934DC"/>
    <w:rsid w:val="00C93639"/>
    <w:rsid w:val="00C936DE"/>
    <w:rsid w:val="00C93787"/>
    <w:rsid w:val="00C93E0B"/>
    <w:rsid w:val="00C940A0"/>
    <w:rsid w:val="00C94165"/>
    <w:rsid w:val="00C9446E"/>
    <w:rsid w:val="00C95113"/>
    <w:rsid w:val="00C953E3"/>
    <w:rsid w:val="00C95AB3"/>
    <w:rsid w:val="00C95C4E"/>
    <w:rsid w:val="00C95CD1"/>
    <w:rsid w:val="00C95CE6"/>
    <w:rsid w:val="00C95F30"/>
    <w:rsid w:val="00C963DE"/>
    <w:rsid w:val="00C966CD"/>
    <w:rsid w:val="00C96D42"/>
    <w:rsid w:val="00C972D0"/>
    <w:rsid w:val="00C9778D"/>
    <w:rsid w:val="00C97C01"/>
    <w:rsid w:val="00CA0016"/>
    <w:rsid w:val="00CA06E7"/>
    <w:rsid w:val="00CA0739"/>
    <w:rsid w:val="00CA0920"/>
    <w:rsid w:val="00CA0AF5"/>
    <w:rsid w:val="00CA0C26"/>
    <w:rsid w:val="00CA0E84"/>
    <w:rsid w:val="00CA1CDA"/>
    <w:rsid w:val="00CA266F"/>
    <w:rsid w:val="00CA27F8"/>
    <w:rsid w:val="00CA2CFF"/>
    <w:rsid w:val="00CA36CC"/>
    <w:rsid w:val="00CA3888"/>
    <w:rsid w:val="00CA422C"/>
    <w:rsid w:val="00CA43F6"/>
    <w:rsid w:val="00CA4C08"/>
    <w:rsid w:val="00CA5685"/>
    <w:rsid w:val="00CA5792"/>
    <w:rsid w:val="00CA58F3"/>
    <w:rsid w:val="00CA63CB"/>
    <w:rsid w:val="00CA64B5"/>
    <w:rsid w:val="00CA657C"/>
    <w:rsid w:val="00CA69AC"/>
    <w:rsid w:val="00CA6ACA"/>
    <w:rsid w:val="00CA6CB5"/>
    <w:rsid w:val="00CA75B3"/>
    <w:rsid w:val="00CA7884"/>
    <w:rsid w:val="00CB07A8"/>
    <w:rsid w:val="00CB07F6"/>
    <w:rsid w:val="00CB0ABD"/>
    <w:rsid w:val="00CB11B7"/>
    <w:rsid w:val="00CB1413"/>
    <w:rsid w:val="00CB1606"/>
    <w:rsid w:val="00CB2072"/>
    <w:rsid w:val="00CB2133"/>
    <w:rsid w:val="00CB2B31"/>
    <w:rsid w:val="00CB2FF1"/>
    <w:rsid w:val="00CB3032"/>
    <w:rsid w:val="00CB30FB"/>
    <w:rsid w:val="00CB36C1"/>
    <w:rsid w:val="00CB3AD9"/>
    <w:rsid w:val="00CB3BEF"/>
    <w:rsid w:val="00CB3D60"/>
    <w:rsid w:val="00CB3EA7"/>
    <w:rsid w:val="00CB42C8"/>
    <w:rsid w:val="00CB46CB"/>
    <w:rsid w:val="00CB47E7"/>
    <w:rsid w:val="00CB50C9"/>
    <w:rsid w:val="00CB5389"/>
    <w:rsid w:val="00CB587C"/>
    <w:rsid w:val="00CB58C7"/>
    <w:rsid w:val="00CB5B05"/>
    <w:rsid w:val="00CB7077"/>
    <w:rsid w:val="00CB7096"/>
    <w:rsid w:val="00CB7714"/>
    <w:rsid w:val="00CC0345"/>
    <w:rsid w:val="00CC03C8"/>
    <w:rsid w:val="00CC08F3"/>
    <w:rsid w:val="00CC09C5"/>
    <w:rsid w:val="00CC0B3B"/>
    <w:rsid w:val="00CC0CE1"/>
    <w:rsid w:val="00CC10E1"/>
    <w:rsid w:val="00CC1243"/>
    <w:rsid w:val="00CC12A1"/>
    <w:rsid w:val="00CC1998"/>
    <w:rsid w:val="00CC1D31"/>
    <w:rsid w:val="00CC1D88"/>
    <w:rsid w:val="00CC2E63"/>
    <w:rsid w:val="00CC2F4C"/>
    <w:rsid w:val="00CC3364"/>
    <w:rsid w:val="00CC3543"/>
    <w:rsid w:val="00CC36F5"/>
    <w:rsid w:val="00CC3E55"/>
    <w:rsid w:val="00CC4297"/>
    <w:rsid w:val="00CC43D0"/>
    <w:rsid w:val="00CC45E0"/>
    <w:rsid w:val="00CC46B0"/>
    <w:rsid w:val="00CC4877"/>
    <w:rsid w:val="00CC4D16"/>
    <w:rsid w:val="00CC50A3"/>
    <w:rsid w:val="00CC54AD"/>
    <w:rsid w:val="00CC554C"/>
    <w:rsid w:val="00CC5775"/>
    <w:rsid w:val="00CC5875"/>
    <w:rsid w:val="00CC5978"/>
    <w:rsid w:val="00CC5B0A"/>
    <w:rsid w:val="00CC5B30"/>
    <w:rsid w:val="00CC5B40"/>
    <w:rsid w:val="00CC5BF9"/>
    <w:rsid w:val="00CC5C14"/>
    <w:rsid w:val="00CC6538"/>
    <w:rsid w:val="00CC69C0"/>
    <w:rsid w:val="00CC6C4A"/>
    <w:rsid w:val="00CC6E02"/>
    <w:rsid w:val="00CC7033"/>
    <w:rsid w:val="00CC79A7"/>
    <w:rsid w:val="00CC7F1D"/>
    <w:rsid w:val="00CC7FE7"/>
    <w:rsid w:val="00CD029B"/>
    <w:rsid w:val="00CD06C3"/>
    <w:rsid w:val="00CD0903"/>
    <w:rsid w:val="00CD0A48"/>
    <w:rsid w:val="00CD0B05"/>
    <w:rsid w:val="00CD12E3"/>
    <w:rsid w:val="00CD13AE"/>
    <w:rsid w:val="00CD167E"/>
    <w:rsid w:val="00CD16AC"/>
    <w:rsid w:val="00CD20DC"/>
    <w:rsid w:val="00CD3257"/>
    <w:rsid w:val="00CD3446"/>
    <w:rsid w:val="00CD3704"/>
    <w:rsid w:val="00CD3934"/>
    <w:rsid w:val="00CD3B36"/>
    <w:rsid w:val="00CD3C06"/>
    <w:rsid w:val="00CD3D95"/>
    <w:rsid w:val="00CD43F1"/>
    <w:rsid w:val="00CD43F3"/>
    <w:rsid w:val="00CD4D1F"/>
    <w:rsid w:val="00CD50FD"/>
    <w:rsid w:val="00CD521A"/>
    <w:rsid w:val="00CD523D"/>
    <w:rsid w:val="00CD52FD"/>
    <w:rsid w:val="00CD530A"/>
    <w:rsid w:val="00CD54AD"/>
    <w:rsid w:val="00CD5B28"/>
    <w:rsid w:val="00CD5BEE"/>
    <w:rsid w:val="00CD5F47"/>
    <w:rsid w:val="00CD5F59"/>
    <w:rsid w:val="00CD615B"/>
    <w:rsid w:val="00CD6211"/>
    <w:rsid w:val="00CD6327"/>
    <w:rsid w:val="00CD6455"/>
    <w:rsid w:val="00CD703E"/>
    <w:rsid w:val="00CD70DB"/>
    <w:rsid w:val="00CD7445"/>
    <w:rsid w:val="00CD7511"/>
    <w:rsid w:val="00CD7592"/>
    <w:rsid w:val="00CD789B"/>
    <w:rsid w:val="00CD78EA"/>
    <w:rsid w:val="00CD7A48"/>
    <w:rsid w:val="00CE01EB"/>
    <w:rsid w:val="00CE02FE"/>
    <w:rsid w:val="00CE03B7"/>
    <w:rsid w:val="00CE0443"/>
    <w:rsid w:val="00CE072A"/>
    <w:rsid w:val="00CE0F6C"/>
    <w:rsid w:val="00CE1085"/>
    <w:rsid w:val="00CE119E"/>
    <w:rsid w:val="00CE24F4"/>
    <w:rsid w:val="00CE2642"/>
    <w:rsid w:val="00CE2B78"/>
    <w:rsid w:val="00CE353B"/>
    <w:rsid w:val="00CE368D"/>
    <w:rsid w:val="00CE3A7F"/>
    <w:rsid w:val="00CE3B08"/>
    <w:rsid w:val="00CE40A9"/>
    <w:rsid w:val="00CE4143"/>
    <w:rsid w:val="00CE4166"/>
    <w:rsid w:val="00CE455D"/>
    <w:rsid w:val="00CE47CD"/>
    <w:rsid w:val="00CE4842"/>
    <w:rsid w:val="00CE4885"/>
    <w:rsid w:val="00CE495F"/>
    <w:rsid w:val="00CE4D35"/>
    <w:rsid w:val="00CE4FC4"/>
    <w:rsid w:val="00CE5190"/>
    <w:rsid w:val="00CE5250"/>
    <w:rsid w:val="00CE5438"/>
    <w:rsid w:val="00CE57E9"/>
    <w:rsid w:val="00CE5848"/>
    <w:rsid w:val="00CE58B0"/>
    <w:rsid w:val="00CE58D4"/>
    <w:rsid w:val="00CE5DAA"/>
    <w:rsid w:val="00CE6504"/>
    <w:rsid w:val="00CE6814"/>
    <w:rsid w:val="00CE6972"/>
    <w:rsid w:val="00CE702F"/>
    <w:rsid w:val="00CE72E1"/>
    <w:rsid w:val="00CE74A3"/>
    <w:rsid w:val="00CE764C"/>
    <w:rsid w:val="00CE7A3F"/>
    <w:rsid w:val="00CE7F78"/>
    <w:rsid w:val="00CF0C59"/>
    <w:rsid w:val="00CF1040"/>
    <w:rsid w:val="00CF1297"/>
    <w:rsid w:val="00CF12D5"/>
    <w:rsid w:val="00CF12FC"/>
    <w:rsid w:val="00CF1632"/>
    <w:rsid w:val="00CF19E3"/>
    <w:rsid w:val="00CF1A10"/>
    <w:rsid w:val="00CF1C0C"/>
    <w:rsid w:val="00CF2B76"/>
    <w:rsid w:val="00CF2F99"/>
    <w:rsid w:val="00CF32E3"/>
    <w:rsid w:val="00CF357A"/>
    <w:rsid w:val="00CF3766"/>
    <w:rsid w:val="00CF3D39"/>
    <w:rsid w:val="00CF3FEA"/>
    <w:rsid w:val="00CF4240"/>
    <w:rsid w:val="00CF437B"/>
    <w:rsid w:val="00CF44FE"/>
    <w:rsid w:val="00CF4701"/>
    <w:rsid w:val="00CF4CB5"/>
    <w:rsid w:val="00CF5166"/>
    <w:rsid w:val="00CF53AD"/>
    <w:rsid w:val="00CF55E7"/>
    <w:rsid w:val="00CF56DC"/>
    <w:rsid w:val="00CF573D"/>
    <w:rsid w:val="00CF5C45"/>
    <w:rsid w:val="00CF621B"/>
    <w:rsid w:val="00CF6394"/>
    <w:rsid w:val="00CF6785"/>
    <w:rsid w:val="00CF6A56"/>
    <w:rsid w:val="00CF6B35"/>
    <w:rsid w:val="00CF6C93"/>
    <w:rsid w:val="00CF6E9B"/>
    <w:rsid w:val="00CF71B6"/>
    <w:rsid w:val="00CF7420"/>
    <w:rsid w:val="00CF753D"/>
    <w:rsid w:val="00CF7561"/>
    <w:rsid w:val="00CF7684"/>
    <w:rsid w:val="00CF773C"/>
    <w:rsid w:val="00CF780E"/>
    <w:rsid w:val="00D009EA"/>
    <w:rsid w:val="00D00FC4"/>
    <w:rsid w:val="00D012D9"/>
    <w:rsid w:val="00D0210F"/>
    <w:rsid w:val="00D02509"/>
    <w:rsid w:val="00D026F7"/>
    <w:rsid w:val="00D02773"/>
    <w:rsid w:val="00D027B8"/>
    <w:rsid w:val="00D02872"/>
    <w:rsid w:val="00D02E74"/>
    <w:rsid w:val="00D02F9E"/>
    <w:rsid w:val="00D032CD"/>
    <w:rsid w:val="00D032FA"/>
    <w:rsid w:val="00D033AE"/>
    <w:rsid w:val="00D034DD"/>
    <w:rsid w:val="00D03AB1"/>
    <w:rsid w:val="00D0448F"/>
    <w:rsid w:val="00D04952"/>
    <w:rsid w:val="00D04AF9"/>
    <w:rsid w:val="00D0577F"/>
    <w:rsid w:val="00D05BB9"/>
    <w:rsid w:val="00D05C1F"/>
    <w:rsid w:val="00D05CBB"/>
    <w:rsid w:val="00D05EFF"/>
    <w:rsid w:val="00D05F3B"/>
    <w:rsid w:val="00D0609A"/>
    <w:rsid w:val="00D06241"/>
    <w:rsid w:val="00D0626E"/>
    <w:rsid w:val="00D063E1"/>
    <w:rsid w:val="00D0689A"/>
    <w:rsid w:val="00D06A16"/>
    <w:rsid w:val="00D07706"/>
    <w:rsid w:val="00D0776C"/>
    <w:rsid w:val="00D10095"/>
    <w:rsid w:val="00D101B8"/>
    <w:rsid w:val="00D103C2"/>
    <w:rsid w:val="00D106AA"/>
    <w:rsid w:val="00D1078F"/>
    <w:rsid w:val="00D10E60"/>
    <w:rsid w:val="00D10ED7"/>
    <w:rsid w:val="00D10F7C"/>
    <w:rsid w:val="00D11CF6"/>
    <w:rsid w:val="00D11ED0"/>
    <w:rsid w:val="00D124DB"/>
    <w:rsid w:val="00D12550"/>
    <w:rsid w:val="00D12839"/>
    <w:rsid w:val="00D12CD2"/>
    <w:rsid w:val="00D12F13"/>
    <w:rsid w:val="00D13161"/>
    <w:rsid w:val="00D136A4"/>
    <w:rsid w:val="00D138D2"/>
    <w:rsid w:val="00D13D0D"/>
    <w:rsid w:val="00D1413B"/>
    <w:rsid w:val="00D14577"/>
    <w:rsid w:val="00D1471D"/>
    <w:rsid w:val="00D14D23"/>
    <w:rsid w:val="00D15094"/>
    <w:rsid w:val="00D1550B"/>
    <w:rsid w:val="00D155B8"/>
    <w:rsid w:val="00D15755"/>
    <w:rsid w:val="00D157AA"/>
    <w:rsid w:val="00D159C7"/>
    <w:rsid w:val="00D159EC"/>
    <w:rsid w:val="00D15D8B"/>
    <w:rsid w:val="00D166F4"/>
    <w:rsid w:val="00D1677C"/>
    <w:rsid w:val="00D16953"/>
    <w:rsid w:val="00D16C3C"/>
    <w:rsid w:val="00D16D51"/>
    <w:rsid w:val="00D1701D"/>
    <w:rsid w:val="00D17424"/>
    <w:rsid w:val="00D17667"/>
    <w:rsid w:val="00D177FE"/>
    <w:rsid w:val="00D17984"/>
    <w:rsid w:val="00D17C25"/>
    <w:rsid w:val="00D2018B"/>
    <w:rsid w:val="00D201FB"/>
    <w:rsid w:val="00D20295"/>
    <w:rsid w:val="00D2047F"/>
    <w:rsid w:val="00D207E9"/>
    <w:rsid w:val="00D20825"/>
    <w:rsid w:val="00D20A24"/>
    <w:rsid w:val="00D21163"/>
    <w:rsid w:val="00D21920"/>
    <w:rsid w:val="00D21969"/>
    <w:rsid w:val="00D21A22"/>
    <w:rsid w:val="00D2272E"/>
    <w:rsid w:val="00D2276B"/>
    <w:rsid w:val="00D227BD"/>
    <w:rsid w:val="00D229C1"/>
    <w:rsid w:val="00D22C18"/>
    <w:rsid w:val="00D22F93"/>
    <w:rsid w:val="00D22F94"/>
    <w:rsid w:val="00D230D4"/>
    <w:rsid w:val="00D23178"/>
    <w:rsid w:val="00D23207"/>
    <w:rsid w:val="00D234E5"/>
    <w:rsid w:val="00D23513"/>
    <w:rsid w:val="00D23ADA"/>
    <w:rsid w:val="00D23EBD"/>
    <w:rsid w:val="00D242F1"/>
    <w:rsid w:val="00D2430B"/>
    <w:rsid w:val="00D24454"/>
    <w:rsid w:val="00D244C2"/>
    <w:rsid w:val="00D24D25"/>
    <w:rsid w:val="00D24D4B"/>
    <w:rsid w:val="00D24DAD"/>
    <w:rsid w:val="00D25916"/>
    <w:rsid w:val="00D25E26"/>
    <w:rsid w:val="00D2641F"/>
    <w:rsid w:val="00D26473"/>
    <w:rsid w:val="00D26604"/>
    <w:rsid w:val="00D266E3"/>
    <w:rsid w:val="00D268A5"/>
    <w:rsid w:val="00D26B09"/>
    <w:rsid w:val="00D26D97"/>
    <w:rsid w:val="00D27709"/>
    <w:rsid w:val="00D30AA5"/>
    <w:rsid w:val="00D30CC3"/>
    <w:rsid w:val="00D311C1"/>
    <w:rsid w:val="00D3127C"/>
    <w:rsid w:val="00D31454"/>
    <w:rsid w:val="00D314B4"/>
    <w:rsid w:val="00D31568"/>
    <w:rsid w:val="00D3167B"/>
    <w:rsid w:val="00D319DA"/>
    <w:rsid w:val="00D32384"/>
    <w:rsid w:val="00D324F5"/>
    <w:rsid w:val="00D329E6"/>
    <w:rsid w:val="00D3315E"/>
    <w:rsid w:val="00D332AE"/>
    <w:rsid w:val="00D3333C"/>
    <w:rsid w:val="00D333F3"/>
    <w:rsid w:val="00D33481"/>
    <w:rsid w:val="00D33605"/>
    <w:rsid w:val="00D33829"/>
    <w:rsid w:val="00D338AA"/>
    <w:rsid w:val="00D33EDA"/>
    <w:rsid w:val="00D34041"/>
    <w:rsid w:val="00D340C0"/>
    <w:rsid w:val="00D34343"/>
    <w:rsid w:val="00D34657"/>
    <w:rsid w:val="00D3467B"/>
    <w:rsid w:val="00D34821"/>
    <w:rsid w:val="00D34C3E"/>
    <w:rsid w:val="00D352C3"/>
    <w:rsid w:val="00D3539B"/>
    <w:rsid w:val="00D354CF"/>
    <w:rsid w:val="00D35841"/>
    <w:rsid w:val="00D359F0"/>
    <w:rsid w:val="00D35D37"/>
    <w:rsid w:val="00D35DC4"/>
    <w:rsid w:val="00D3619E"/>
    <w:rsid w:val="00D36648"/>
    <w:rsid w:val="00D366A1"/>
    <w:rsid w:val="00D368FB"/>
    <w:rsid w:val="00D3696A"/>
    <w:rsid w:val="00D3698E"/>
    <w:rsid w:val="00D36C78"/>
    <w:rsid w:val="00D3718C"/>
    <w:rsid w:val="00D3730A"/>
    <w:rsid w:val="00D37972"/>
    <w:rsid w:val="00D37C1E"/>
    <w:rsid w:val="00D37CDE"/>
    <w:rsid w:val="00D37DF2"/>
    <w:rsid w:val="00D4028D"/>
    <w:rsid w:val="00D407A3"/>
    <w:rsid w:val="00D40896"/>
    <w:rsid w:val="00D40BF4"/>
    <w:rsid w:val="00D40FD0"/>
    <w:rsid w:val="00D41534"/>
    <w:rsid w:val="00D4155F"/>
    <w:rsid w:val="00D4159D"/>
    <w:rsid w:val="00D4177A"/>
    <w:rsid w:val="00D4189D"/>
    <w:rsid w:val="00D41B5D"/>
    <w:rsid w:val="00D41E08"/>
    <w:rsid w:val="00D4216C"/>
    <w:rsid w:val="00D4230C"/>
    <w:rsid w:val="00D4234A"/>
    <w:rsid w:val="00D4270C"/>
    <w:rsid w:val="00D42914"/>
    <w:rsid w:val="00D4294C"/>
    <w:rsid w:val="00D42CE3"/>
    <w:rsid w:val="00D42D6C"/>
    <w:rsid w:val="00D431B7"/>
    <w:rsid w:val="00D43217"/>
    <w:rsid w:val="00D43282"/>
    <w:rsid w:val="00D4359C"/>
    <w:rsid w:val="00D440C9"/>
    <w:rsid w:val="00D4437C"/>
    <w:rsid w:val="00D4446D"/>
    <w:rsid w:val="00D44AD6"/>
    <w:rsid w:val="00D44F9D"/>
    <w:rsid w:val="00D451FC"/>
    <w:rsid w:val="00D45BEA"/>
    <w:rsid w:val="00D45DF1"/>
    <w:rsid w:val="00D4604A"/>
    <w:rsid w:val="00D461B7"/>
    <w:rsid w:val="00D465D2"/>
    <w:rsid w:val="00D47556"/>
    <w:rsid w:val="00D501A5"/>
    <w:rsid w:val="00D505D2"/>
    <w:rsid w:val="00D5067D"/>
    <w:rsid w:val="00D508B4"/>
    <w:rsid w:val="00D50C62"/>
    <w:rsid w:val="00D50F47"/>
    <w:rsid w:val="00D510A9"/>
    <w:rsid w:val="00D51114"/>
    <w:rsid w:val="00D51418"/>
    <w:rsid w:val="00D5146B"/>
    <w:rsid w:val="00D51A1B"/>
    <w:rsid w:val="00D51A3B"/>
    <w:rsid w:val="00D5238F"/>
    <w:rsid w:val="00D523D8"/>
    <w:rsid w:val="00D52626"/>
    <w:rsid w:val="00D52794"/>
    <w:rsid w:val="00D52B89"/>
    <w:rsid w:val="00D52C88"/>
    <w:rsid w:val="00D52D02"/>
    <w:rsid w:val="00D52D8B"/>
    <w:rsid w:val="00D53603"/>
    <w:rsid w:val="00D536A3"/>
    <w:rsid w:val="00D53787"/>
    <w:rsid w:val="00D53975"/>
    <w:rsid w:val="00D53BCD"/>
    <w:rsid w:val="00D53EB7"/>
    <w:rsid w:val="00D53F67"/>
    <w:rsid w:val="00D53F99"/>
    <w:rsid w:val="00D5425C"/>
    <w:rsid w:val="00D5431E"/>
    <w:rsid w:val="00D543BC"/>
    <w:rsid w:val="00D548A7"/>
    <w:rsid w:val="00D55123"/>
    <w:rsid w:val="00D55749"/>
    <w:rsid w:val="00D5578E"/>
    <w:rsid w:val="00D558DD"/>
    <w:rsid w:val="00D55E0F"/>
    <w:rsid w:val="00D55EDD"/>
    <w:rsid w:val="00D5604F"/>
    <w:rsid w:val="00D56323"/>
    <w:rsid w:val="00D5648A"/>
    <w:rsid w:val="00D56630"/>
    <w:rsid w:val="00D56787"/>
    <w:rsid w:val="00D56D0D"/>
    <w:rsid w:val="00D56E49"/>
    <w:rsid w:val="00D5731A"/>
    <w:rsid w:val="00D579FE"/>
    <w:rsid w:val="00D6016B"/>
    <w:rsid w:val="00D60351"/>
    <w:rsid w:val="00D6060D"/>
    <w:rsid w:val="00D60E90"/>
    <w:rsid w:val="00D60FA9"/>
    <w:rsid w:val="00D61648"/>
    <w:rsid w:val="00D6183F"/>
    <w:rsid w:val="00D618A8"/>
    <w:rsid w:val="00D61D9B"/>
    <w:rsid w:val="00D61E36"/>
    <w:rsid w:val="00D61F15"/>
    <w:rsid w:val="00D62441"/>
    <w:rsid w:val="00D62C34"/>
    <w:rsid w:val="00D63543"/>
    <w:rsid w:val="00D63956"/>
    <w:rsid w:val="00D63AA3"/>
    <w:rsid w:val="00D63C48"/>
    <w:rsid w:val="00D63D7F"/>
    <w:rsid w:val="00D64289"/>
    <w:rsid w:val="00D644EA"/>
    <w:rsid w:val="00D64553"/>
    <w:rsid w:val="00D646C1"/>
    <w:rsid w:val="00D64BF1"/>
    <w:rsid w:val="00D64E61"/>
    <w:rsid w:val="00D65178"/>
    <w:rsid w:val="00D652F4"/>
    <w:rsid w:val="00D65786"/>
    <w:rsid w:val="00D65834"/>
    <w:rsid w:val="00D6596F"/>
    <w:rsid w:val="00D65C9F"/>
    <w:rsid w:val="00D6667B"/>
    <w:rsid w:val="00D66BA7"/>
    <w:rsid w:val="00D675D8"/>
    <w:rsid w:val="00D6791F"/>
    <w:rsid w:val="00D67A95"/>
    <w:rsid w:val="00D67BA0"/>
    <w:rsid w:val="00D67BAF"/>
    <w:rsid w:val="00D700EC"/>
    <w:rsid w:val="00D70497"/>
    <w:rsid w:val="00D708A2"/>
    <w:rsid w:val="00D708DD"/>
    <w:rsid w:val="00D709CC"/>
    <w:rsid w:val="00D70BAC"/>
    <w:rsid w:val="00D70D50"/>
    <w:rsid w:val="00D70DD2"/>
    <w:rsid w:val="00D70DDF"/>
    <w:rsid w:val="00D7118D"/>
    <w:rsid w:val="00D71194"/>
    <w:rsid w:val="00D71400"/>
    <w:rsid w:val="00D7174E"/>
    <w:rsid w:val="00D7181F"/>
    <w:rsid w:val="00D71B66"/>
    <w:rsid w:val="00D7239C"/>
    <w:rsid w:val="00D726CC"/>
    <w:rsid w:val="00D7278C"/>
    <w:rsid w:val="00D727DD"/>
    <w:rsid w:val="00D7280D"/>
    <w:rsid w:val="00D7296B"/>
    <w:rsid w:val="00D72A45"/>
    <w:rsid w:val="00D72C4F"/>
    <w:rsid w:val="00D7300A"/>
    <w:rsid w:val="00D734FB"/>
    <w:rsid w:val="00D736A6"/>
    <w:rsid w:val="00D73D49"/>
    <w:rsid w:val="00D73D56"/>
    <w:rsid w:val="00D73EB2"/>
    <w:rsid w:val="00D74872"/>
    <w:rsid w:val="00D7496C"/>
    <w:rsid w:val="00D74A3E"/>
    <w:rsid w:val="00D74A49"/>
    <w:rsid w:val="00D75070"/>
    <w:rsid w:val="00D7509F"/>
    <w:rsid w:val="00D7516E"/>
    <w:rsid w:val="00D753D4"/>
    <w:rsid w:val="00D753EE"/>
    <w:rsid w:val="00D754BD"/>
    <w:rsid w:val="00D75502"/>
    <w:rsid w:val="00D758F6"/>
    <w:rsid w:val="00D75BA3"/>
    <w:rsid w:val="00D76182"/>
    <w:rsid w:val="00D766C1"/>
    <w:rsid w:val="00D770F1"/>
    <w:rsid w:val="00D776CA"/>
    <w:rsid w:val="00D77B52"/>
    <w:rsid w:val="00D80002"/>
    <w:rsid w:val="00D8023A"/>
    <w:rsid w:val="00D80B6F"/>
    <w:rsid w:val="00D8101B"/>
    <w:rsid w:val="00D81451"/>
    <w:rsid w:val="00D81789"/>
    <w:rsid w:val="00D818F3"/>
    <w:rsid w:val="00D81C39"/>
    <w:rsid w:val="00D825F8"/>
    <w:rsid w:val="00D82D12"/>
    <w:rsid w:val="00D82D98"/>
    <w:rsid w:val="00D82E58"/>
    <w:rsid w:val="00D82E81"/>
    <w:rsid w:val="00D83197"/>
    <w:rsid w:val="00D83633"/>
    <w:rsid w:val="00D8366C"/>
    <w:rsid w:val="00D83797"/>
    <w:rsid w:val="00D83843"/>
    <w:rsid w:val="00D83A0A"/>
    <w:rsid w:val="00D83CE3"/>
    <w:rsid w:val="00D8424B"/>
    <w:rsid w:val="00D8441F"/>
    <w:rsid w:val="00D848EC"/>
    <w:rsid w:val="00D84A99"/>
    <w:rsid w:val="00D84B5C"/>
    <w:rsid w:val="00D84B6C"/>
    <w:rsid w:val="00D84C94"/>
    <w:rsid w:val="00D84D9E"/>
    <w:rsid w:val="00D84E54"/>
    <w:rsid w:val="00D84E6B"/>
    <w:rsid w:val="00D85191"/>
    <w:rsid w:val="00D8614C"/>
    <w:rsid w:val="00D8627D"/>
    <w:rsid w:val="00D8696D"/>
    <w:rsid w:val="00D86AEE"/>
    <w:rsid w:val="00D86C2E"/>
    <w:rsid w:val="00D86F1F"/>
    <w:rsid w:val="00D875EF"/>
    <w:rsid w:val="00D87737"/>
    <w:rsid w:val="00D87999"/>
    <w:rsid w:val="00D903AC"/>
    <w:rsid w:val="00D906A4"/>
    <w:rsid w:val="00D9094D"/>
    <w:rsid w:val="00D90C43"/>
    <w:rsid w:val="00D90D1F"/>
    <w:rsid w:val="00D9178B"/>
    <w:rsid w:val="00D91848"/>
    <w:rsid w:val="00D91B61"/>
    <w:rsid w:val="00D91BC8"/>
    <w:rsid w:val="00D91C77"/>
    <w:rsid w:val="00D91CDF"/>
    <w:rsid w:val="00D92479"/>
    <w:rsid w:val="00D9250A"/>
    <w:rsid w:val="00D92A7F"/>
    <w:rsid w:val="00D9318C"/>
    <w:rsid w:val="00D936E7"/>
    <w:rsid w:val="00D93937"/>
    <w:rsid w:val="00D93C0C"/>
    <w:rsid w:val="00D93D75"/>
    <w:rsid w:val="00D9433C"/>
    <w:rsid w:val="00D9449F"/>
    <w:rsid w:val="00D94802"/>
    <w:rsid w:val="00D949A2"/>
    <w:rsid w:val="00D94E84"/>
    <w:rsid w:val="00D94F15"/>
    <w:rsid w:val="00D94F1D"/>
    <w:rsid w:val="00D95051"/>
    <w:rsid w:val="00D950E6"/>
    <w:rsid w:val="00D95394"/>
    <w:rsid w:val="00D95F78"/>
    <w:rsid w:val="00D96295"/>
    <w:rsid w:val="00D9644F"/>
    <w:rsid w:val="00D964C8"/>
    <w:rsid w:val="00D96BB0"/>
    <w:rsid w:val="00D96F1E"/>
    <w:rsid w:val="00D97080"/>
    <w:rsid w:val="00D970E7"/>
    <w:rsid w:val="00D970E8"/>
    <w:rsid w:val="00D97840"/>
    <w:rsid w:val="00D97DDA"/>
    <w:rsid w:val="00D97F2E"/>
    <w:rsid w:val="00DA01E5"/>
    <w:rsid w:val="00DA032B"/>
    <w:rsid w:val="00DA0456"/>
    <w:rsid w:val="00DA05A4"/>
    <w:rsid w:val="00DA092B"/>
    <w:rsid w:val="00DA0A71"/>
    <w:rsid w:val="00DA0D3C"/>
    <w:rsid w:val="00DA1336"/>
    <w:rsid w:val="00DA1680"/>
    <w:rsid w:val="00DA180B"/>
    <w:rsid w:val="00DA19A0"/>
    <w:rsid w:val="00DA1DE8"/>
    <w:rsid w:val="00DA23FB"/>
    <w:rsid w:val="00DA27DA"/>
    <w:rsid w:val="00DA289D"/>
    <w:rsid w:val="00DA2F3D"/>
    <w:rsid w:val="00DA317C"/>
    <w:rsid w:val="00DA368F"/>
    <w:rsid w:val="00DA3AA4"/>
    <w:rsid w:val="00DA401F"/>
    <w:rsid w:val="00DA411C"/>
    <w:rsid w:val="00DA4122"/>
    <w:rsid w:val="00DA41B0"/>
    <w:rsid w:val="00DA437D"/>
    <w:rsid w:val="00DA4399"/>
    <w:rsid w:val="00DA465C"/>
    <w:rsid w:val="00DA47E7"/>
    <w:rsid w:val="00DA49A0"/>
    <w:rsid w:val="00DA4E20"/>
    <w:rsid w:val="00DA529F"/>
    <w:rsid w:val="00DA55BB"/>
    <w:rsid w:val="00DA5754"/>
    <w:rsid w:val="00DA59E8"/>
    <w:rsid w:val="00DA5A7F"/>
    <w:rsid w:val="00DA6CC4"/>
    <w:rsid w:val="00DA6D33"/>
    <w:rsid w:val="00DA7388"/>
    <w:rsid w:val="00DA73EE"/>
    <w:rsid w:val="00DA7945"/>
    <w:rsid w:val="00DA7AC3"/>
    <w:rsid w:val="00DA7C7E"/>
    <w:rsid w:val="00DA7E03"/>
    <w:rsid w:val="00DA7E99"/>
    <w:rsid w:val="00DA7EF8"/>
    <w:rsid w:val="00DB0832"/>
    <w:rsid w:val="00DB0996"/>
    <w:rsid w:val="00DB0A6B"/>
    <w:rsid w:val="00DB0ADD"/>
    <w:rsid w:val="00DB1442"/>
    <w:rsid w:val="00DB1592"/>
    <w:rsid w:val="00DB160C"/>
    <w:rsid w:val="00DB1B3A"/>
    <w:rsid w:val="00DB1C5B"/>
    <w:rsid w:val="00DB2364"/>
    <w:rsid w:val="00DB27A5"/>
    <w:rsid w:val="00DB2B85"/>
    <w:rsid w:val="00DB3060"/>
    <w:rsid w:val="00DB3351"/>
    <w:rsid w:val="00DB34B3"/>
    <w:rsid w:val="00DB400F"/>
    <w:rsid w:val="00DB432D"/>
    <w:rsid w:val="00DB47EC"/>
    <w:rsid w:val="00DB48A6"/>
    <w:rsid w:val="00DB48AE"/>
    <w:rsid w:val="00DB4AB5"/>
    <w:rsid w:val="00DB5127"/>
    <w:rsid w:val="00DB5989"/>
    <w:rsid w:val="00DB5D8F"/>
    <w:rsid w:val="00DB64BA"/>
    <w:rsid w:val="00DB65B3"/>
    <w:rsid w:val="00DB7055"/>
    <w:rsid w:val="00DB7875"/>
    <w:rsid w:val="00DB7B8F"/>
    <w:rsid w:val="00DB7F14"/>
    <w:rsid w:val="00DB7F65"/>
    <w:rsid w:val="00DC0036"/>
    <w:rsid w:val="00DC0100"/>
    <w:rsid w:val="00DC0975"/>
    <w:rsid w:val="00DC09BB"/>
    <w:rsid w:val="00DC1310"/>
    <w:rsid w:val="00DC1743"/>
    <w:rsid w:val="00DC1929"/>
    <w:rsid w:val="00DC1A92"/>
    <w:rsid w:val="00DC1AA3"/>
    <w:rsid w:val="00DC262E"/>
    <w:rsid w:val="00DC273B"/>
    <w:rsid w:val="00DC28D0"/>
    <w:rsid w:val="00DC2D86"/>
    <w:rsid w:val="00DC2E59"/>
    <w:rsid w:val="00DC2F79"/>
    <w:rsid w:val="00DC30B4"/>
    <w:rsid w:val="00DC3118"/>
    <w:rsid w:val="00DC313C"/>
    <w:rsid w:val="00DC33FB"/>
    <w:rsid w:val="00DC38E2"/>
    <w:rsid w:val="00DC3B1B"/>
    <w:rsid w:val="00DC3B97"/>
    <w:rsid w:val="00DC44C1"/>
    <w:rsid w:val="00DC490F"/>
    <w:rsid w:val="00DC49BB"/>
    <w:rsid w:val="00DC4C0E"/>
    <w:rsid w:val="00DC4CC9"/>
    <w:rsid w:val="00DC5236"/>
    <w:rsid w:val="00DC548C"/>
    <w:rsid w:val="00DC5497"/>
    <w:rsid w:val="00DC5730"/>
    <w:rsid w:val="00DC5776"/>
    <w:rsid w:val="00DC5A8A"/>
    <w:rsid w:val="00DC5D51"/>
    <w:rsid w:val="00DC6081"/>
    <w:rsid w:val="00DC668E"/>
    <w:rsid w:val="00DC6875"/>
    <w:rsid w:val="00DC6F32"/>
    <w:rsid w:val="00DC6FD6"/>
    <w:rsid w:val="00DC710D"/>
    <w:rsid w:val="00DC71B6"/>
    <w:rsid w:val="00DC74CC"/>
    <w:rsid w:val="00DC7524"/>
    <w:rsid w:val="00DC7746"/>
    <w:rsid w:val="00DC77EE"/>
    <w:rsid w:val="00DC791C"/>
    <w:rsid w:val="00DC7F17"/>
    <w:rsid w:val="00DD04F5"/>
    <w:rsid w:val="00DD0928"/>
    <w:rsid w:val="00DD0BC4"/>
    <w:rsid w:val="00DD0E61"/>
    <w:rsid w:val="00DD0E65"/>
    <w:rsid w:val="00DD1000"/>
    <w:rsid w:val="00DD13D7"/>
    <w:rsid w:val="00DD149D"/>
    <w:rsid w:val="00DD1599"/>
    <w:rsid w:val="00DD1A6D"/>
    <w:rsid w:val="00DD1C27"/>
    <w:rsid w:val="00DD1DC6"/>
    <w:rsid w:val="00DD223D"/>
    <w:rsid w:val="00DD2365"/>
    <w:rsid w:val="00DD2409"/>
    <w:rsid w:val="00DD24C3"/>
    <w:rsid w:val="00DD3049"/>
    <w:rsid w:val="00DD30CC"/>
    <w:rsid w:val="00DD3508"/>
    <w:rsid w:val="00DD36A3"/>
    <w:rsid w:val="00DD36D8"/>
    <w:rsid w:val="00DD36FD"/>
    <w:rsid w:val="00DD373C"/>
    <w:rsid w:val="00DD396E"/>
    <w:rsid w:val="00DD3B15"/>
    <w:rsid w:val="00DD3C2B"/>
    <w:rsid w:val="00DD3E97"/>
    <w:rsid w:val="00DD3EF8"/>
    <w:rsid w:val="00DD479A"/>
    <w:rsid w:val="00DD4872"/>
    <w:rsid w:val="00DD4998"/>
    <w:rsid w:val="00DD4AB8"/>
    <w:rsid w:val="00DD4C01"/>
    <w:rsid w:val="00DD4E5A"/>
    <w:rsid w:val="00DD5157"/>
    <w:rsid w:val="00DD5714"/>
    <w:rsid w:val="00DD5884"/>
    <w:rsid w:val="00DD6034"/>
    <w:rsid w:val="00DD624A"/>
    <w:rsid w:val="00DD672E"/>
    <w:rsid w:val="00DD6857"/>
    <w:rsid w:val="00DD6D15"/>
    <w:rsid w:val="00DD6DA1"/>
    <w:rsid w:val="00DD7736"/>
    <w:rsid w:val="00DD775B"/>
    <w:rsid w:val="00DD7812"/>
    <w:rsid w:val="00DD7C4C"/>
    <w:rsid w:val="00DE06E8"/>
    <w:rsid w:val="00DE075D"/>
    <w:rsid w:val="00DE0A12"/>
    <w:rsid w:val="00DE0A9D"/>
    <w:rsid w:val="00DE0EED"/>
    <w:rsid w:val="00DE1158"/>
    <w:rsid w:val="00DE1211"/>
    <w:rsid w:val="00DE14F5"/>
    <w:rsid w:val="00DE158C"/>
    <w:rsid w:val="00DE15D4"/>
    <w:rsid w:val="00DE1DB5"/>
    <w:rsid w:val="00DE1F52"/>
    <w:rsid w:val="00DE2257"/>
    <w:rsid w:val="00DE299C"/>
    <w:rsid w:val="00DE2F64"/>
    <w:rsid w:val="00DE2FCC"/>
    <w:rsid w:val="00DE30E2"/>
    <w:rsid w:val="00DE3158"/>
    <w:rsid w:val="00DE32FE"/>
    <w:rsid w:val="00DE33CD"/>
    <w:rsid w:val="00DE3516"/>
    <w:rsid w:val="00DE395D"/>
    <w:rsid w:val="00DE3A9A"/>
    <w:rsid w:val="00DE407A"/>
    <w:rsid w:val="00DE4134"/>
    <w:rsid w:val="00DE49CB"/>
    <w:rsid w:val="00DE5646"/>
    <w:rsid w:val="00DE59B5"/>
    <w:rsid w:val="00DE5C71"/>
    <w:rsid w:val="00DE616D"/>
    <w:rsid w:val="00DE6421"/>
    <w:rsid w:val="00DE67E0"/>
    <w:rsid w:val="00DE6BC3"/>
    <w:rsid w:val="00DE6EB9"/>
    <w:rsid w:val="00DE706B"/>
    <w:rsid w:val="00DE74A7"/>
    <w:rsid w:val="00DE7504"/>
    <w:rsid w:val="00DE75B6"/>
    <w:rsid w:val="00DE7C72"/>
    <w:rsid w:val="00DE7D87"/>
    <w:rsid w:val="00DE7F90"/>
    <w:rsid w:val="00DF0689"/>
    <w:rsid w:val="00DF0904"/>
    <w:rsid w:val="00DF0F10"/>
    <w:rsid w:val="00DF16C0"/>
    <w:rsid w:val="00DF1A90"/>
    <w:rsid w:val="00DF2365"/>
    <w:rsid w:val="00DF2417"/>
    <w:rsid w:val="00DF2AD2"/>
    <w:rsid w:val="00DF2BBB"/>
    <w:rsid w:val="00DF2D1A"/>
    <w:rsid w:val="00DF2D46"/>
    <w:rsid w:val="00DF2E80"/>
    <w:rsid w:val="00DF2EEE"/>
    <w:rsid w:val="00DF31CF"/>
    <w:rsid w:val="00DF3A42"/>
    <w:rsid w:val="00DF3B71"/>
    <w:rsid w:val="00DF3ED7"/>
    <w:rsid w:val="00DF4278"/>
    <w:rsid w:val="00DF4463"/>
    <w:rsid w:val="00DF4495"/>
    <w:rsid w:val="00DF4692"/>
    <w:rsid w:val="00DF47B0"/>
    <w:rsid w:val="00DF4842"/>
    <w:rsid w:val="00DF4AB7"/>
    <w:rsid w:val="00DF4B40"/>
    <w:rsid w:val="00DF4B4D"/>
    <w:rsid w:val="00DF501D"/>
    <w:rsid w:val="00DF52EA"/>
    <w:rsid w:val="00DF548B"/>
    <w:rsid w:val="00DF5C83"/>
    <w:rsid w:val="00DF5E7C"/>
    <w:rsid w:val="00DF699F"/>
    <w:rsid w:val="00DF6A9E"/>
    <w:rsid w:val="00DF70CC"/>
    <w:rsid w:val="00DF7A7E"/>
    <w:rsid w:val="00DF7A83"/>
    <w:rsid w:val="00DF7D73"/>
    <w:rsid w:val="00E000D0"/>
    <w:rsid w:val="00E00620"/>
    <w:rsid w:val="00E0094B"/>
    <w:rsid w:val="00E011A8"/>
    <w:rsid w:val="00E01465"/>
    <w:rsid w:val="00E017F1"/>
    <w:rsid w:val="00E01B31"/>
    <w:rsid w:val="00E01BC3"/>
    <w:rsid w:val="00E01D22"/>
    <w:rsid w:val="00E01D5A"/>
    <w:rsid w:val="00E01E49"/>
    <w:rsid w:val="00E02188"/>
    <w:rsid w:val="00E021B3"/>
    <w:rsid w:val="00E02395"/>
    <w:rsid w:val="00E02657"/>
    <w:rsid w:val="00E02C66"/>
    <w:rsid w:val="00E02E8A"/>
    <w:rsid w:val="00E03145"/>
    <w:rsid w:val="00E031F3"/>
    <w:rsid w:val="00E0347B"/>
    <w:rsid w:val="00E036B6"/>
    <w:rsid w:val="00E03B3D"/>
    <w:rsid w:val="00E041E4"/>
    <w:rsid w:val="00E04298"/>
    <w:rsid w:val="00E04459"/>
    <w:rsid w:val="00E04478"/>
    <w:rsid w:val="00E045CD"/>
    <w:rsid w:val="00E04CE2"/>
    <w:rsid w:val="00E04CF2"/>
    <w:rsid w:val="00E052C9"/>
    <w:rsid w:val="00E058DD"/>
    <w:rsid w:val="00E0595B"/>
    <w:rsid w:val="00E05B66"/>
    <w:rsid w:val="00E05B93"/>
    <w:rsid w:val="00E05E5E"/>
    <w:rsid w:val="00E05FBC"/>
    <w:rsid w:val="00E060CB"/>
    <w:rsid w:val="00E0649C"/>
    <w:rsid w:val="00E068F2"/>
    <w:rsid w:val="00E06952"/>
    <w:rsid w:val="00E06B52"/>
    <w:rsid w:val="00E06C60"/>
    <w:rsid w:val="00E06C71"/>
    <w:rsid w:val="00E075AB"/>
    <w:rsid w:val="00E07E27"/>
    <w:rsid w:val="00E1012C"/>
    <w:rsid w:val="00E10A3D"/>
    <w:rsid w:val="00E10AB7"/>
    <w:rsid w:val="00E10B7D"/>
    <w:rsid w:val="00E10F21"/>
    <w:rsid w:val="00E10F32"/>
    <w:rsid w:val="00E11133"/>
    <w:rsid w:val="00E11269"/>
    <w:rsid w:val="00E1132E"/>
    <w:rsid w:val="00E11332"/>
    <w:rsid w:val="00E113BA"/>
    <w:rsid w:val="00E11684"/>
    <w:rsid w:val="00E11F08"/>
    <w:rsid w:val="00E12154"/>
    <w:rsid w:val="00E123D7"/>
    <w:rsid w:val="00E12765"/>
    <w:rsid w:val="00E12865"/>
    <w:rsid w:val="00E128DA"/>
    <w:rsid w:val="00E128FD"/>
    <w:rsid w:val="00E12A6B"/>
    <w:rsid w:val="00E12A78"/>
    <w:rsid w:val="00E12C32"/>
    <w:rsid w:val="00E12C33"/>
    <w:rsid w:val="00E12CA3"/>
    <w:rsid w:val="00E12D54"/>
    <w:rsid w:val="00E132E8"/>
    <w:rsid w:val="00E13769"/>
    <w:rsid w:val="00E138B7"/>
    <w:rsid w:val="00E1415A"/>
    <w:rsid w:val="00E14653"/>
    <w:rsid w:val="00E147EC"/>
    <w:rsid w:val="00E14922"/>
    <w:rsid w:val="00E1512B"/>
    <w:rsid w:val="00E151C4"/>
    <w:rsid w:val="00E1554D"/>
    <w:rsid w:val="00E15761"/>
    <w:rsid w:val="00E157E9"/>
    <w:rsid w:val="00E15857"/>
    <w:rsid w:val="00E15893"/>
    <w:rsid w:val="00E15A63"/>
    <w:rsid w:val="00E162A0"/>
    <w:rsid w:val="00E174B5"/>
    <w:rsid w:val="00E17629"/>
    <w:rsid w:val="00E17877"/>
    <w:rsid w:val="00E17D16"/>
    <w:rsid w:val="00E20413"/>
    <w:rsid w:val="00E20705"/>
    <w:rsid w:val="00E20CF7"/>
    <w:rsid w:val="00E2129F"/>
    <w:rsid w:val="00E213DD"/>
    <w:rsid w:val="00E21487"/>
    <w:rsid w:val="00E21661"/>
    <w:rsid w:val="00E217C6"/>
    <w:rsid w:val="00E225E5"/>
    <w:rsid w:val="00E2267B"/>
    <w:rsid w:val="00E226C3"/>
    <w:rsid w:val="00E226EF"/>
    <w:rsid w:val="00E227EA"/>
    <w:rsid w:val="00E22842"/>
    <w:rsid w:val="00E229DE"/>
    <w:rsid w:val="00E22AE3"/>
    <w:rsid w:val="00E22CBF"/>
    <w:rsid w:val="00E22EF6"/>
    <w:rsid w:val="00E23426"/>
    <w:rsid w:val="00E2349E"/>
    <w:rsid w:val="00E23660"/>
    <w:rsid w:val="00E23689"/>
    <w:rsid w:val="00E236E3"/>
    <w:rsid w:val="00E23812"/>
    <w:rsid w:val="00E23889"/>
    <w:rsid w:val="00E238AA"/>
    <w:rsid w:val="00E23B71"/>
    <w:rsid w:val="00E23E0E"/>
    <w:rsid w:val="00E24057"/>
    <w:rsid w:val="00E243BE"/>
    <w:rsid w:val="00E24981"/>
    <w:rsid w:val="00E249F7"/>
    <w:rsid w:val="00E255FC"/>
    <w:rsid w:val="00E256FB"/>
    <w:rsid w:val="00E25818"/>
    <w:rsid w:val="00E25C0A"/>
    <w:rsid w:val="00E25FA8"/>
    <w:rsid w:val="00E263FF"/>
    <w:rsid w:val="00E264A6"/>
    <w:rsid w:val="00E266F7"/>
    <w:rsid w:val="00E26C76"/>
    <w:rsid w:val="00E2761D"/>
    <w:rsid w:val="00E27C0E"/>
    <w:rsid w:val="00E27D22"/>
    <w:rsid w:val="00E300A0"/>
    <w:rsid w:val="00E300FE"/>
    <w:rsid w:val="00E30220"/>
    <w:rsid w:val="00E30D0D"/>
    <w:rsid w:val="00E30E27"/>
    <w:rsid w:val="00E30FC6"/>
    <w:rsid w:val="00E31326"/>
    <w:rsid w:val="00E31456"/>
    <w:rsid w:val="00E3161A"/>
    <w:rsid w:val="00E3181B"/>
    <w:rsid w:val="00E31A1E"/>
    <w:rsid w:val="00E31B9C"/>
    <w:rsid w:val="00E32406"/>
    <w:rsid w:val="00E327A2"/>
    <w:rsid w:val="00E329B5"/>
    <w:rsid w:val="00E32C10"/>
    <w:rsid w:val="00E32C18"/>
    <w:rsid w:val="00E32C1F"/>
    <w:rsid w:val="00E338D8"/>
    <w:rsid w:val="00E339A6"/>
    <w:rsid w:val="00E33AE0"/>
    <w:rsid w:val="00E34347"/>
    <w:rsid w:val="00E34484"/>
    <w:rsid w:val="00E345BC"/>
    <w:rsid w:val="00E34BFF"/>
    <w:rsid w:val="00E35130"/>
    <w:rsid w:val="00E354EB"/>
    <w:rsid w:val="00E357D9"/>
    <w:rsid w:val="00E358BA"/>
    <w:rsid w:val="00E359FD"/>
    <w:rsid w:val="00E35D4C"/>
    <w:rsid w:val="00E35D76"/>
    <w:rsid w:val="00E36373"/>
    <w:rsid w:val="00E363D5"/>
    <w:rsid w:val="00E36446"/>
    <w:rsid w:val="00E36769"/>
    <w:rsid w:val="00E36BF3"/>
    <w:rsid w:val="00E36CB4"/>
    <w:rsid w:val="00E36ED2"/>
    <w:rsid w:val="00E37424"/>
    <w:rsid w:val="00E374E6"/>
    <w:rsid w:val="00E37A64"/>
    <w:rsid w:val="00E37BAD"/>
    <w:rsid w:val="00E37EC0"/>
    <w:rsid w:val="00E37F46"/>
    <w:rsid w:val="00E4030D"/>
    <w:rsid w:val="00E40541"/>
    <w:rsid w:val="00E40DA7"/>
    <w:rsid w:val="00E414AC"/>
    <w:rsid w:val="00E4160F"/>
    <w:rsid w:val="00E417FA"/>
    <w:rsid w:val="00E41849"/>
    <w:rsid w:val="00E41CD5"/>
    <w:rsid w:val="00E41E3B"/>
    <w:rsid w:val="00E42905"/>
    <w:rsid w:val="00E43004"/>
    <w:rsid w:val="00E43076"/>
    <w:rsid w:val="00E43302"/>
    <w:rsid w:val="00E43576"/>
    <w:rsid w:val="00E43A37"/>
    <w:rsid w:val="00E43DF5"/>
    <w:rsid w:val="00E43E8D"/>
    <w:rsid w:val="00E44C0B"/>
    <w:rsid w:val="00E44D9B"/>
    <w:rsid w:val="00E44E5A"/>
    <w:rsid w:val="00E44E77"/>
    <w:rsid w:val="00E44FA1"/>
    <w:rsid w:val="00E45180"/>
    <w:rsid w:val="00E45305"/>
    <w:rsid w:val="00E45E7E"/>
    <w:rsid w:val="00E46AC9"/>
    <w:rsid w:val="00E46BA3"/>
    <w:rsid w:val="00E46E74"/>
    <w:rsid w:val="00E47064"/>
    <w:rsid w:val="00E4724D"/>
    <w:rsid w:val="00E50076"/>
    <w:rsid w:val="00E503D2"/>
    <w:rsid w:val="00E50881"/>
    <w:rsid w:val="00E50CC4"/>
    <w:rsid w:val="00E513F8"/>
    <w:rsid w:val="00E5144F"/>
    <w:rsid w:val="00E5163F"/>
    <w:rsid w:val="00E51B90"/>
    <w:rsid w:val="00E51E48"/>
    <w:rsid w:val="00E52502"/>
    <w:rsid w:val="00E5292F"/>
    <w:rsid w:val="00E531EE"/>
    <w:rsid w:val="00E53407"/>
    <w:rsid w:val="00E5344F"/>
    <w:rsid w:val="00E53697"/>
    <w:rsid w:val="00E53DB6"/>
    <w:rsid w:val="00E53E47"/>
    <w:rsid w:val="00E545E2"/>
    <w:rsid w:val="00E54640"/>
    <w:rsid w:val="00E54AB7"/>
    <w:rsid w:val="00E54ACA"/>
    <w:rsid w:val="00E54CA8"/>
    <w:rsid w:val="00E54FB3"/>
    <w:rsid w:val="00E5533C"/>
    <w:rsid w:val="00E55904"/>
    <w:rsid w:val="00E55DCC"/>
    <w:rsid w:val="00E55E72"/>
    <w:rsid w:val="00E56339"/>
    <w:rsid w:val="00E563CC"/>
    <w:rsid w:val="00E568CE"/>
    <w:rsid w:val="00E569BD"/>
    <w:rsid w:val="00E56B51"/>
    <w:rsid w:val="00E56C20"/>
    <w:rsid w:val="00E570AE"/>
    <w:rsid w:val="00E57379"/>
    <w:rsid w:val="00E573D2"/>
    <w:rsid w:val="00E57521"/>
    <w:rsid w:val="00E57A47"/>
    <w:rsid w:val="00E57FEA"/>
    <w:rsid w:val="00E60005"/>
    <w:rsid w:val="00E600C6"/>
    <w:rsid w:val="00E600E3"/>
    <w:rsid w:val="00E6034E"/>
    <w:rsid w:val="00E603B1"/>
    <w:rsid w:val="00E603E9"/>
    <w:rsid w:val="00E60616"/>
    <w:rsid w:val="00E607D9"/>
    <w:rsid w:val="00E60A72"/>
    <w:rsid w:val="00E60A74"/>
    <w:rsid w:val="00E6101A"/>
    <w:rsid w:val="00E61094"/>
    <w:rsid w:val="00E6157A"/>
    <w:rsid w:val="00E61B36"/>
    <w:rsid w:val="00E61E74"/>
    <w:rsid w:val="00E628DC"/>
    <w:rsid w:val="00E6295C"/>
    <w:rsid w:val="00E62DD6"/>
    <w:rsid w:val="00E631DA"/>
    <w:rsid w:val="00E6346D"/>
    <w:rsid w:val="00E638EA"/>
    <w:rsid w:val="00E64002"/>
    <w:rsid w:val="00E648DE"/>
    <w:rsid w:val="00E64AF9"/>
    <w:rsid w:val="00E64E2A"/>
    <w:rsid w:val="00E64E95"/>
    <w:rsid w:val="00E65150"/>
    <w:rsid w:val="00E656FC"/>
    <w:rsid w:val="00E6572D"/>
    <w:rsid w:val="00E6578C"/>
    <w:rsid w:val="00E65BC0"/>
    <w:rsid w:val="00E65C0C"/>
    <w:rsid w:val="00E664D9"/>
    <w:rsid w:val="00E66614"/>
    <w:rsid w:val="00E667E0"/>
    <w:rsid w:val="00E66924"/>
    <w:rsid w:val="00E6719C"/>
    <w:rsid w:val="00E6792E"/>
    <w:rsid w:val="00E67A4E"/>
    <w:rsid w:val="00E67A72"/>
    <w:rsid w:val="00E67FF8"/>
    <w:rsid w:val="00E704E2"/>
    <w:rsid w:val="00E704ED"/>
    <w:rsid w:val="00E706EE"/>
    <w:rsid w:val="00E71162"/>
    <w:rsid w:val="00E713AD"/>
    <w:rsid w:val="00E714D3"/>
    <w:rsid w:val="00E7176C"/>
    <w:rsid w:val="00E719FC"/>
    <w:rsid w:val="00E71C03"/>
    <w:rsid w:val="00E71CEB"/>
    <w:rsid w:val="00E72672"/>
    <w:rsid w:val="00E726B4"/>
    <w:rsid w:val="00E7283D"/>
    <w:rsid w:val="00E72AF6"/>
    <w:rsid w:val="00E72DED"/>
    <w:rsid w:val="00E73090"/>
    <w:rsid w:val="00E731CD"/>
    <w:rsid w:val="00E73722"/>
    <w:rsid w:val="00E7398B"/>
    <w:rsid w:val="00E73AA2"/>
    <w:rsid w:val="00E73CE9"/>
    <w:rsid w:val="00E73F3F"/>
    <w:rsid w:val="00E740A1"/>
    <w:rsid w:val="00E74154"/>
    <w:rsid w:val="00E7428F"/>
    <w:rsid w:val="00E74453"/>
    <w:rsid w:val="00E74480"/>
    <w:rsid w:val="00E744E0"/>
    <w:rsid w:val="00E74604"/>
    <w:rsid w:val="00E74A88"/>
    <w:rsid w:val="00E74CF0"/>
    <w:rsid w:val="00E74DE9"/>
    <w:rsid w:val="00E755FF"/>
    <w:rsid w:val="00E756D3"/>
    <w:rsid w:val="00E75875"/>
    <w:rsid w:val="00E76558"/>
    <w:rsid w:val="00E76A0F"/>
    <w:rsid w:val="00E76A67"/>
    <w:rsid w:val="00E76A74"/>
    <w:rsid w:val="00E7719D"/>
    <w:rsid w:val="00E771B8"/>
    <w:rsid w:val="00E77752"/>
    <w:rsid w:val="00E80035"/>
    <w:rsid w:val="00E80060"/>
    <w:rsid w:val="00E800BE"/>
    <w:rsid w:val="00E802DD"/>
    <w:rsid w:val="00E80792"/>
    <w:rsid w:val="00E8084F"/>
    <w:rsid w:val="00E80A73"/>
    <w:rsid w:val="00E80BDA"/>
    <w:rsid w:val="00E81712"/>
    <w:rsid w:val="00E81CF6"/>
    <w:rsid w:val="00E81EF6"/>
    <w:rsid w:val="00E81F41"/>
    <w:rsid w:val="00E82163"/>
    <w:rsid w:val="00E8269B"/>
    <w:rsid w:val="00E82B74"/>
    <w:rsid w:val="00E82C37"/>
    <w:rsid w:val="00E83128"/>
    <w:rsid w:val="00E83331"/>
    <w:rsid w:val="00E83A24"/>
    <w:rsid w:val="00E84234"/>
    <w:rsid w:val="00E843F9"/>
    <w:rsid w:val="00E8446C"/>
    <w:rsid w:val="00E84596"/>
    <w:rsid w:val="00E849AB"/>
    <w:rsid w:val="00E849FC"/>
    <w:rsid w:val="00E84A1B"/>
    <w:rsid w:val="00E84FF4"/>
    <w:rsid w:val="00E85860"/>
    <w:rsid w:val="00E859FB"/>
    <w:rsid w:val="00E86306"/>
    <w:rsid w:val="00E86488"/>
    <w:rsid w:val="00E86874"/>
    <w:rsid w:val="00E8694F"/>
    <w:rsid w:val="00E86B7D"/>
    <w:rsid w:val="00E86D0F"/>
    <w:rsid w:val="00E86EE0"/>
    <w:rsid w:val="00E8711E"/>
    <w:rsid w:val="00E871ED"/>
    <w:rsid w:val="00E872DB"/>
    <w:rsid w:val="00E874EA"/>
    <w:rsid w:val="00E87B70"/>
    <w:rsid w:val="00E9053D"/>
    <w:rsid w:val="00E90C71"/>
    <w:rsid w:val="00E91013"/>
    <w:rsid w:val="00E910F8"/>
    <w:rsid w:val="00E92B30"/>
    <w:rsid w:val="00E92EEB"/>
    <w:rsid w:val="00E93090"/>
    <w:rsid w:val="00E930FA"/>
    <w:rsid w:val="00E93202"/>
    <w:rsid w:val="00E9376A"/>
    <w:rsid w:val="00E93CA5"/>
    <w:rsid w:val="00E94A9C"/>
    <w:rsid w:val="00E94CDD"/>
    <w:rsid w:val="00E94DEB"/>
    <w:rsid w:val="00E9508A"/>
    <w:rsid w:val="00E9513A"/>
    <w:rsid w:val="00E95A0C"/>
    <w:rsid w:val="00E9612B"/>
    <w:rsid w:val="00E9624F"/>
    <w:rsid w:val="00E969EC"/>
    <w:rsid w:val="00E96EE3"/>
    <w:rsid w:val="00E97241"/>
    <w:rsid w:val="00E97258"/>
    <w:rsid w:val="00E97566"/>
    <w:rsid w:val="00E9760A"/>
    <w:rsid w:val="00E976DF"/>
    <w:rsid w:val="00E976E5"/>
    <w:rsid w:val="00E97D1E"/>
    <w:rsid w:val="00EA0085"/>
    <w:rsid w:val="00EA0762"/>
    <w:rsid w:val="00EA09D2"/>
    <w:rsid w:val="00EA0D94"/>
    <w:rsid w:val="00EA0FA5"/>
    <w:rsid w:val="00EA1417"/>
    <w:rsid w:val="00EA16DF"/>
    <w:rsid w:val="00EA1B29"/>
    <w:rsid w:val="00EA1F5F"/>
    <w:rsid w:val="00EA2719"/>
    <w:rsid w:val="00EA2774"/>
    <w:rsid w:val="00EA2948"/>
    <w:rsid w:val="00EA2A86"/>
    <w:rsid w:val="00EA2B07"/>
    <w:rsid w:val="00EA2B81"/>
    <w:rsid w:val="00EA2C43"/>
    <w:rsid w:val="00EA2D6E"/>
    <w:rsid w:val="00EA344A"/>
    <w:rsid w:val="00EA36A2"/>
    <w:rsid w:val="00EA4375"/>
    <w:rsid w:val="00EA4748"/>
    <w:rsid w:val="00EA480A"/>
    <w:rsid w:val="00EA49B1"/>
    <w:rsid w:val="00EA4AC2"/>
    <w:rsid w:val="00EA4CAB"/>
    <w:rsid w:val="00EA4F2B"/>
    <w:rsid w:val="00EA54ED"/>
    <w:rsid w:val="00EA5552"/>
    <w:rsid w:val="00EA5ADA"/>
    <w:rsid w:val="00EA5EA6"/>
    <w:rsid w:val="00EA6208"/>
    <w:rsid w:val="00EA63D1"/>
    <w:rsid w:val="00EA655D"/>
    <w:rsid w:val="00EA6574"/>
    <w:rsid w:val="00EA65C6"/>
    <w:rsid w:val="00EA66E6"/>
    <w:rsid w:val="00EA67A5"/>
    <w:rsid w:val="00EA6919"/>
    <w:rsid w:val="00EA6CCC"/>
    <w:rsid w:val="00EA701D"/>
    <w:rsid w:val="00EA7056"/>
    <w:rsid w:val="00EA73C3"/>
    <w:rsid w:val="00EA7555"/>
    <w:rsid w:val="00EA76D4"/>
    <w:rsid w:val="00EA79A4"/>
    <w:rsid w:val="00EA7BBB"/>
    <w:rsid w:val="00EA7F61"/>
    <w:rsid w:val="00EB04E1"/>
    <w:rsid w:val="00EB04F5"/>
    <w:rsid w:val="00EB0632"/>
    <w:rsid w:val="00EB0690"/>
    <w:rsid w:val="00EB0C99"/>
    <w:rsid w:val="00EB0F5D"/>
    <w:rsid w:val="00EB1A0C"/>
    <w:rsid w:val="00EB1AE6"/>
    <w:rsid w:val="00EB1BF9"/>
    <w:rsid w:val="00EB1CE1"/>
    <w:rsid w:val="00EB1D1C"/>
    <w:rsid w:val="00EB22A4"/>
    <w:rsid w:val="00EB2556"/>
    <w:rsid w:val="00EB295A"/>
    <w:rsid w:val="00EB3154"/>
    <w:rsid w:val="00EB343B"/>
    <w:rsid w:val="00EB360C"/>
    <w:rsid w:val="00EB37A4"/>
    <w:rsid w:val="00EB3D21"/>
    <w:rsid w:val="00EB426B"/>
    <w:rsid w:val="00EB43ED"/>
    <w:rsid w:val="00EB45B5"/>
    <w:rsid w:val="00EB47B0"/>
    <w:rsid w:val="00EB4DB6"/>
    <w:rsid w:val="00EB4E02"/>
    <w:rsid w:val="00EB4EE6"/>
    <w:rsid w:val="00EB4F9F"/>
    <w:rsid w:val="00EB5170"/>
    <w:rsid w:val="00EB5242"/>
    <w:rsid w:val="00EB55FB"/>
    <w:rsid w:val="00EB56CE"/>
    <w:rsid w:val="00EB56FE"/>
    <w:rsid w:val="00EB5853"/>
    <w:rsid w:val="00EB5BE5"/>
    <w:rsid w:val="00EB5D00"/>
    <w:rsid w:val="00EB5E6D"/>
    <w:rsid w:val="00EB61AE"/>
    <w:rsid w:val="00EB63AB"/>
    <w:rsid w:val="00EB6429"/>
    <w:rsid w:val="00EB652E"/>
    <w:rsid w:val="00EB6D76"/>
    <w:rsid w:val="00EB6ED4"/>
    <w:rsid w:val="00EB71D3"/>
    <w:rsid w:val="00EB7297"/>
    <w:rsid w:val="00EB745F"/>
    <w:rsid w:val="00EB76C7"/>
    <w:rsid w:val="00EB7717"/>
    <w:rsid w:val="00EB7800"/>
    <w:rsid w:val="00EC070E"/>
    <w:rsid w:val="00EC097C"/>
    <w:rsid w:val="00EC0C5B"/>
    <w:rsid w:val="00EC14FE"/>
    <w:rsid w:val="00EC1BE9"/>
    <w:rsid w:val="00EC21C8"/>
    <w:rsid w:val="00EC21EE"/>
    <w:rsid w:val="00EC2386"/>
    <w:rsid w:val="00EC25B4"/>
    <w:rsid w:val="00EC300D"/>
    <w:rsid w:val="00EC32A5"/>
    <w:rsid w:val="00EC3499"/>
    <w:rsid w:val="00EC3570"/>
    <w:rsid w:val="00EC39A8"/>
    <w:rsid w:val="00EC39E1"/>
    <w:rsid w:val="00EC3E80"/>
    <w:rsid w:val="00EC44CC"/>
    <w:rsid w:val="00EC4758"/>
    <w:rsid w:val="00EC4DEC"/>
    <w:rsid w:val="00EC4FED"/>
    <w:rsid w:val="00EC5231"/>
    <w:rsid w:val="00EC55FA"/>
    <w:rsid w:val="00EC57D3"/>
    <w:rsid w:val="00EC596E"/>
    <w:rsid w:val="00EC5EB6"/>
    <w:rsid w:val="00EC5EE3"/>
    <w:rsid w:val="00EC607E"/>
    <w:rsid w:val="00EC6741"/>
    <w:rsid w:val="00EC6E17"/>
    <w:rsid w:val="00EC6EC4"/>
    <w:rsid w:val="00EC757D"/>
    <w:rsid w:val="00EC7B91"/>
    <w:rsid w:val="00EC7D1E"/>
    <w:rsid w:val="00EC7E7E"/>
    <w:rsid w:val="00ED075F"/>
    <w:rsid w:val="00ED08EE"/>
    <w:rsid w:val="00ED092D"/>
    <w:rsid w:val="00ED0C35"/>
    <w:rsid w:val="00ED0EF9"/>
    <w:rsid w:val="00ED13F4"/>
    <w:rsid w:val="00ED18E3"/>
    <w:rsid w:val="00ED2100"/>
    <w:rsid w:val="00ED236F"/>
    <w:rsid w:val="00ED24C5"/>
    <w:rsid w:val="00ED2783"/>
    <w:rsid w:val="00ED29A2"/>
    <w:rsid w:val="00ED2F37"/>
    <w:rsid w:val="00ED3113"/>
    <w:rsid w:val="00ED3124"/>
    <w:rsid w:val="00ED325E"/>
    <w:rsid w:val="00ED32C4"/>
    <w:rsid w:val="00ED409A"/>
    <w:rsid w:val="00ED421B"/>
    <w:rsid w:val="00ED4237"/>
    <w:rsid w:val="00ED4672"/>
    <w:rsid w:val="00ED4D64"/>
    <w:rsid w:val="00ED4E5A"/>
    <w:rsid w:val="00ED4F51"/>
    <w:rsid w:val="00ED5042"/>
    <w:rsid w:val="00ED50F3"/>
    <w:rsid w:val="00ED51DA"/>
    <w:rsid w:val="00ED5799"/>
    <w:rsid w:val="00ED59E4"/>
    <w:rsid w:val="00ED5BB3"/>
    <w:rsid w:val="00ED5D74"/>
    <w:rsid w:val="00ED5EA9"/>
    <w:rsid w:val="00ED62ED"/>
    <w:rsid w:val="00ED630B"/>
    <w:rsid w:val="00ED6852"/>
    <w:rsid w:val="00ED7003"/>
    <w:rsid w:val="00ED7240"/>
    <w:rsid w:val="00ED73CD"/>
    <w:rsid w:val="00ED7509"/>
    <w:rsid w:val="00ED7997"/>
    <w:rsid w:val="00ED7C54"/>
    <w:rsid w:val="00ED7F91"/>
    <w:rsid w:val="00EE0765"/>
    <w:rsid w:val="00EE0C27"/>
    <w:rsid w:val="00EE162D"/>
    <w:rsid w:val="00EE1BEE"/>
    <w:rsid w:val="00EE23A5"/>
    <w:rsid w:val="00EE25F4"/>
    <w:rsid w:val="00EE2852"/>
    <w:rsid w:val="00EE2A67"/>
    <w:rsid w:val="00EE2D17"/>
    <w:rsid w:val="00EE2E61"/>
    <w:rsid w:val="00EE3165"/>
    <w:rsid w:val="00EE34C0"/>
    <w:rsid w:val="00EE37F4"/>
    <w:rsid w:val="00EE3C5F"/>
    <w:rsid w:val="00EE3D8E"/>
    <w:rsid w:val="00EE4008"/>
    <w:rsid w:val="00EE4230"/>
    <w:rsid w:val="00EE44B9"/>
    <w:rsid w:val="00EE456E"/>
    <w:rsid w:val="00EE4F13"/>
    <w:rsid w:val="00EE4FD0"/>
    <w:rsid w:val="00EE5014"/>
    <w:rsid w:val="00EE5181"/>
    <w:rsid w:val="00EE5579"/>
    <w:rsid w:val="00EE5CA6"/>
    <w:rsid w:val="00EE5F93"/>
    <w:rsid w:val="00EE6389"/>
    <w:rsid w:val="00EE65F2"/>
    <w:rsid w:val="00EE665C"/>
    <w:rsid w:val="00EE6690"/>
    <w:rsid w:val="00EE7208"/>
    <w:rsid w:val="00EE7608"/>
    <w:rsid w:val="00EE76AA"/>
    <w:rsid w:val="00EF07FA"/>
    <w:rsid w:val="00EF0AA9"/>
    <w:rsid w:val="00EF1056"/>
    <w:rsid w:val="00EF11C5"/>
    <w:rsid w:val="00EF160F"/>
    <w:rsid w:val="00EF198B"/>
    <w:rsid w:val="00EF1DD9"/>
    <w:rsid w:val="00EF1E0A"/>
    <w:rsid w:val="00EF1F1F"/>
    <w:rsid w:val="00EF207A"/>
    <w:rsid w:val="00EF20DB"/>
    <w:rsid w:val="00EF212C"/>
    <w:rsid w:val="00EF2A72"/>
    <w:rsid w:val="00EF2DEE"/>
    <w:rsid w:val="00EF3278"/>
    <w:rsid w:val="00EF33E8"/>
    <w:rsid w:val="00EF360A"/>
    <w:rsid w:val="00EF3AB1"/>
    <w:rsid w:val="00EF3BCE"/>
    <w:rsid w:val="00EF3E8B"/>
    <w:rsid w:val="00EF3ED7"/>
    <w:rsid w:val="00EF4028"/>
    <w:rsid w:val="00EF4178"/>
    <w:rsid w:val="00EF41C8"/>
    <w:rsid w:val="00EF4708"/>
    <w:rsid w:val="00EF50F0"/>
    <w:rsid w:val="00EF5BC1"/>
    <w:rsid w:val="00EF5E11"/>
    <w:rsid w:val="00EF5F91"/>
    <w:rsid w:val="00EF6915"/>
    <w:rsid w:val="00EF6F6F"/>
    <w:rsid w:val="00EF726B"/>
    <w:rsid w:val="00EF72C1"/>
    <w:rsid w:val="00EF743D"/>
    <w:rsid w:val="00EF7B02"/>
    <w:rsid w:val="00EF7BB3"/>
    <w:rsid w:val="00EF7C84"/>
    <w:rsid w:val="00EF7E1E"/>
    <w:rsid w:val="00EF7E96"/>
    <w:rsid w:val="00F00218"/>
    <w:rsid w:val="00F00412"/>
    <w:rsid w:val="00F00678"/>
    <w:rsid w:val="00F0152D"/>
    <w:rsid w:val="00F01540"/>
    <w:rsid w:val="00F01578"/>
    <w:rsid w:val="00F01583"/>
    <w:rsid w:val="00F01723"/>
    <w:rsid w:val="00F019B3"/>
    <w:rsid w:val="00F020C0"/>
    <w:rsid w:val="00F025C7"/>
    <w:rsid w:val="00F02DFC"/>
    <w:rsid w:val="00F02DFF"/>
    <w:rsid w:val="00F03F10"/>
    <w:rsid w:val="00F04203"/>
    <w:rsid w:val="00F042DF"/>
    <w:rsid w:val="00F043CA"/>
    <w:rsid w:val="00F04822"/>
    <w:rsid w:val="00F049EC"/>
    <w:rsid w:val="00F04F1F"/>
    <w:rsid w:val="00F052AE"/>
    <w:rsid w:val="00F052DF"/>
    <w:rsid w:val="00F05341"/>
    <w:rsid w:val="00F0542E"/>
    <w:rsid w:val="00F05CFA"/>
    <w:rsid w:val="00F0624E"/>
    <w:rsid w:val="00F0645B"/>
    <w:rsid w:val="00F06ED4"/>
    <w:rsid w:val="00F070EE"/>
    <w:rsid w:val="00F0779A"/>
    <w:rsid w:val="00F07C1A"/>
    <w:rsid w:val="00F07E63"/>
    <w:rsid w:val="00F07F84"/>
    <w:rsid w:val="00F07FF3"/>
    <w:rsid w:val="00F10C00"/>
    <w:rsid w:val="00F10EAA"/>
    <w:rsid w:val="00F112BC"/>
    <w:rsid w:val="00F1131A"/>
    <w:rsid w:val="00F11389"/>
    <w:rsid w:val="00F11873"/>
    <w:rsid w:val="00F11DEB"/>
    <w:rsid w:val="00F123DC"/>
    <w:rsid w:val="00F12866"/>
    <w:rsid w:val="00F12CBD"/>
    <w:rsid w:val="00F12ED0"/>
    <w:rsid w:val="00F1305E"/>
    <w:rsid w:val="00F13192"/>
    <w:rsid w:val="00F139C6"/>
    <w:rsid w:val="00F13AC5"/>
    <w:rsid w:val="00F13AE4"/>
    <w:rsid w:val="00F13CFE"/>
    <w:rsid w:val="00F13D66"/>
    <w:rsid w:val="00F13EFA"/>
    <w:rsid w:val="00F1410E"/>
    <w:rsid w:val="00F1423A"/>
    <w:rsid w:val="00F145A6"/>
    <w:rsid w:val="00F14738"/>
    <w:rsid w:val="00F14931"/>
    <w:rsid w:val="00F1546C"/>
    <w:rsid w:val="00F15A89"/>
    <w:rsid w:val="00F15F8C"/>
    <w:rsid w:val="00F165A2"/>
    <w:rsid w:val="00F16853"/>
    <w:rsid w:val="00F16BCF"/>
    <w:rsid w:val="00F16DD2"/>
    <w:rsid w:val="00F16DDE"/>
    <w:rsid w:val="00F171F8"/>
    <w:rsid w:val="00F1759B"/>
    <w:rsid w:val="00F176A8"/>
    <w:rsid w:val="00F178E2"/>
    <w:rsid w:val="00F17A3F"/>
    <w:rsid w:val="00F2047D"/>
    <w:rsid w:val="00F20744"/>
    <w:rsid w:val="00F20897"/>
    <w:rsid w:val="00F20BB8"/>
    <w:rsid w:val="00F20F7E"/>
    <w:rsid w:val="00F210ED"/>
    <w:rsid w:val="00F21211"/>
    <w:rsid w:val="00F212BF"/>
    <w:rsid w:val="00F21E64"/>
    <w:rsid w:val="00F21E71"/>
    <w:rsid w:val="00F225B5"/>
    <w:rsid w:val="00F226A1"/>
    <w:rsid w:val="00F228DE"/>
    <w:rsid w:val="00F22C87"/>
    <w:rsid w:val="00F23475"/>
    <w:rsid w:val="00F2350C"/>
    <w:rsid w:val="00F2377D"/>
    <w:rsid w:val="00F237D4"/>
    <w:rsid w:val="00F2418D"/>
    <w:rsid w:val="00F24BFD"/>
    <w:rsid w:val="00F24FE7"/>
    <w:rsid w:val="00F251FF"/>
    <w:rsid w:val="00F25A2A"/>
    <w:rsid w:val="00F26024"/>
    <w:rsid w:val="00F2617A"/>
    <w:rsid w:val="00F2673A"/>
    <w:rsid w:val="00F26770"/>
    <w:rsid w:val="00F26B4B"/>
    <w:rsid w:val="00F26B99"/>
    <w:rsid w:val="00F26DFE"/>
    <w:rsid w:val="00F26E9F"/>
    <w:rsid w:val="00F2706C"/>
    <w:rsid w:val="00F274E9"/>
    <w:rsid w:val="00F27A57"/>
    <w:rsid w:val="00F30020"/>
    <w:rsid w:val="00F300F0"/>
    <w:rsid w:val="00F30372"/>
    <w:rsid w:val="00F30427"/>
    <w:rsid w:val="00F30756"/>
    <w:rsid w:val="00F3094A"/>
    <w:rsid w:val="00F30AE0"/>
    <w:rsid w:val="00F30BF1"/>
    <w:rsid w:val="00F30C27"/>
    <w:rsid w:val="00F30C90"/>
    <w:rsid w:val="00F3113E"/>
    <w:rsid w:val="00F3127E"/>
    <w:rsid w:val="00F315D1"/>
    <w:rsid w:val="00F31FEB"/>
    <w:rsid w:val="00F3222A"/>
    <w:rsid w:val="00F324CB"/>
    <w:rsid w:val="00F32551"/>
    <w:rsid w:val="00F32667"/>
    <w:rsid w:val="00F327D3"/>
    <w:rsid w:val="00F32E5C"/>
    <w:rsid w:val="00F32EC0"/>
    <w:rsid w:val="00F3322A"/>
    <w:rsid w:val="00F3335B"/>
    <w:rsid w:val="00F33577"/>
    <w:rsid w:val="00F33C5F"/>
    <w:rsid w:val="00F33CBD"/>
    <w:rsid w:val="00F33FFF"/>
    <w:rsid w:val="00F34284"/>
    <w:rsid w:val="00F3441F"/>
    <w:rsid w:val="00F344F0"/>
    <w:rsid w:val="00F346A6"/>
    <w:rsid w:val="00F34701"/>
    <w:rsid w:val="00F34DF3"/>
    <w:rsid w:val="00F34FD3"/>
    <w:rsid w:val="00F35475"/>
    <w:rsid w:val="00F35EFA"/>
    <w:rsid w:val="00F35FFB"/>
    <w:rsid w:val="00F36331"/>
    <w:rsid w:val="00F377D1"/>
    <w:rsid w:val="00F37864"/>
    <w:rsid w:val="00F37935"/>
    <w:rsid w:val="00F37A01"/>
    <w:rsid w:val="00F37A5E"/>
    <w:rsid w:val="00F37B44"/>
    <w:rsid w:val="00F400B5"/>
    <w:rsid w:val="00F405FA"/>
    <w:rsid w:val="00F40A5A"/>
    <w:rsid w:val="00F40C8B"/>
    <w:rsid w:val="00F40CE1"/>
    <w:rsid w:val="00F40FFE"/>
    <w:rsid w:val="00F41DAE"/>
    <w:rsid w:val="00F42095"/>
    <w:rsid w:val="00F432FC"/>
    <w:rsid w:val="00F43B83"/>
    <w:rsid w:val="00F43C74"/>
    <w:rsid w:val="00F442E7"/>
    <w:rsid w:val="00F4445A"/>
    <w:rsid w:val="00F446C1"/>
    <w:rsid w:val="00F44740"/>
    <w:rsid w:val="00F44DA3"/>
    <w:rsid w:val="00F44DA6"/>
    <w:rsid w:val="00F452A8"/>
    <w:rsid w:val="00F45AFE"/>
    <w:rsid w:val="00F45E16"/>
    <w:rsid w:val="00F46016"/>
    <w:rsid w:val="00F46127"/>
    <w:rsid w:val="00F46531"/>
    <w:rsid w:val="00F4691D"/>
    <w:rsid w:val="00F4699F"/>
    <w:rsid w:val="00F46FCD"/>
    <w:rsid w:val="00F47589"/>
    <w:rsid w:val="00F47777"/>
    <w:rsid w:val="00F478D6"/>
    <w:rsid w:val="00F47CA5"/>
    <w:rsid w:val="00F47DE2"/>
    <w:rsid w:val="00F50471"/>
    <w:rsid w:val="00F507F7"/>
    <w:rsid w:val="00F5096F"/>
    <w:rsid w:val="00F509C0"/>
    <w:rsid w:val="00F50CE6"/>
    <w:rsid w:val="00F50F71"/>
    <w:rsid w:val="00F51143"/>
    <w:rsid w:val="00F512F7"/>
    <w:rsid w:val="00F51A04"/>
    <w:rsid w:val="00F51F30"/>
    <w:rsid w:val="00F520F2"/>
    <w:rsid w:val="00F52348"/>
    <w:rsid w:val="00F523B0"/>
    <w:rsid w:val="00F523C3"/>
    <w:rsid w:val="00F52454"/>
    <w:rsid w:val="00F52D58"/>
    <w:rsid w:val="00F52FAD"/>
    <w:rsid w:val="00F53204"/>
    <w:rsid w:val="00F5376C"/>
    <w:rsid w:val="00F53DFE"/>
    <w:rsid w:val="00F547DC"/>
    <w:rsid w:val="00F54C84"/>
    <w:rsid w:val="00F54D77"/>
    <w:rsid w:val="00F54EB0"/>
    <w:rsid w:val="00F55126"/>
    <w:rsid w:val="00F551E5"/>
    <w:rsid w:val="00F5576D"/>
    <w:rsid w:val="00F558DA"/>
    <w:rsid w:val="00F55A7B"/>
    <w:rsid w:val="00F55AA9"/>
    <w:rsid w:val="00F55EBC"/>
    <w:rsid w:val="00F5628B"/>
    <w:rsid w:val="00F562B2"/>
    <w:rsid w:val="00F56314"/>
    <w:rsid w:val="00F56344"/>
    <w:rsid w:val="00F5645A"/>
    <w:rsid w:val="00F56575"/>
    <w:rsid w:val="00F56647"/>
    <w:rsid w:val="00F569B7"/>
    <w:rsid w:val="00F56C4C"/>
    <w:rsid w:val="00F573E3"/>
    <w:rsid w:val="00F578AA"/>
    <w:rsid w:val="00F57946"/>
    <w:rsid w:val="00F60431"/>
    <w:rsid w:val="00F604F4"/>
    <w:rsid w:val="00F60A7D"/>
    <w:rsid w:val="00F6165C"/>
    <w:rsid w:val="00F6177B"/>
    <w:rsid w:val="00F618D5"/>
    <w:rsid w:val="00F6190C"/>
    <w:rsid w:val="00F61AD5"/>
    <w:rsid w:val="00F61D02"/>
    <w:rsid w:val="00F61E38"/>
    <w:rsid w:val="00F61FF0"/>
    <w:rsid w:val="00F620AA"/>
    <w:rsid w:val="00F6235E"/>
    <w:rsid w:val="00F62541"/>
    <w:rsid w:val="00F625F2"/>
    <w:rsid w:val="00F6267E"/>
    <w:rsid w:val="00F62BB9"/>
    <w:rsid w:val="00F630C9"/>
    <w:rsid w:val="00F63567"/>
    <w:rsid w:val="00F63624"/>
    <w:rsid w:val="00F63B04"/>
    <w:rsid w:val="00F63BE3"/>
    <w:rsid w:val="00F64036"/>
    <w:rsid w:val="00F64087"/>
    <w:rsid w:val="00F64777"/>
    <w:rsid w:val="00F649BC"/>
    <w:rsid w:val="00F64CFA"/>
    <w:rsid w:val="00F65228"/>
    <w:rsid w:val="00F65359"/>
    <w:rsid w:val="00F65960"/>
    <w:rsid w:val="00F663F9"/>
    <w:rsid w:val="00F66974"/>
    <w:rsid w:val="00F669D5"/>
    <w:rsid w:val="00F66C46"/>
    <w:rsid w:val="00F66DC1"/>
    <w:rsid w:val="00F678B9"/>
    <w:rsid w:val="00F67D41"/>
    <w:rsid w:val="00F67F57"/>
    <w:rsid w:val="00F70B57"/>
    <w:rsid w:val="00F70EF3"/>
    <w:rsid w:val="00F711E8"/>
    <w:rsid w:val="00F71CD0"/>
    <w:rsid w:val="00F71E7E"/>
    <w:rsid w:val="00F72395"/>
    <w:rsid w:val="00F723AE"/>
    <w:rsid w:val="00F72491"/>
    <w:rsid w:val="00F7262C"/>
    <w:rsid w:val="00F726B4"/>
    <w:rsid w:val="00F72808"/>
    <w:rsid w:val="00F72B42"/>
    <w:rsid w:val="00F72BB2"/>
    <w:rsid w:val="00F72BF2"/>
    <w:rsid w:val="00F72DBF"/>
    <w:rsid w:val="00F730C9"/>
    <w:rsid w:val="00F733F3"/>
    <w:rsid w:val="00F734A7"/>
    <w:rsid w:val="00F73A39"/>
    <w:rsid w:val="00F73AF2"/>
    <w:rsid w:val="00F73B5E"/>
    <w:rsid w:val="00F73E47"/>
    <w:rsid w:val="00F73FD8"/>
    <w:rsid w:val="00F741BD"/>
    <w:rsid w:val="00F745EF"/>
    <w:rsid w:val="00F749FF"/>
    <w:rsid w:val="00F75003"/>
    <w:rsid w:val="00F7501D"/>
    <w:rsid w:val="00F75144"/>
    <w:rsid w:val="00F758FF"/>
    <w:rsid w:val="00F75907"/>
    <w:rsid w:val="00F75D3A"/>
    <w:rsid w:val="00F76658"/>
    <w:rsid w:val="00F76B08"/>
    <w:rsid w:val="00F76F40"/>
    <w:rsid w:val="00F76FA0"/>
    <w:rsid w:val="00F7713E"/>
    <w:rsid w:val="00F773EB"/>
    <w:rsid w:val="00F7768C"/>
    <w:rsid w:val="00F80139"/>
    <w:rsid w:val="00F805E7"/>
    <w:rsid w:val="00F80839"/>
    <w:rsid w:val="00F810EF"/>
    <w:rsid w:val="00F81215"/>
    <w:rsid w:val="00F812D4"/>
    <w:rsid w:val="00F81743"/>
    <w:rsid w:val="00F817CC"/>
    <w:rsid w:val="00F81865"/>
    <w:rsid w:val="00F81A4A"/>
    <w:rsid w:val="00F81C5A"/>
    <w:rsid w:val="00F8209F"/>
    <w:rsid w:val="00F825B5"/>
    <w:rsid w:val="00F82D52"/>
    <w:rsid w:val="00F82EA5"/>
    <w:rsid w:val="00F83119"/>
    <w:rsid w:val="00F83806"/>
    <w:rsid w:val="00F83AD1"/>
    <w:rsid w:val="00F83B90"/>
    <w:rsid w:val="00F83BF7"/>
    <w:rsid w:val="00F83CDE"/>
    <w:rsid w:val="00F8417E"/>
    <w:rsid w:val="00F841CA"/>
    <w:rsid w:val="00F84239"/>
    <w:rsid w:val="00F84359"/>
    <w:rsid w:val="00F843AB"/>
    <w:rsid w:val="00F847AC"/>
    <w:rsid w:val="00F84855"/>
    <w:rsid w:val="00F84CCB"/>
    <w:rsid w:val="00F85564"/>
    <w:rsid w:val="00F85808"/>
    <w:rsid w:val="00F858CA"/>
    <w:rsid w:val="00F859AD"/>
    <w:rsid w:val="00F85A6E"/>
    <w:rsid w:val="00F85C21"/>
    <w:rsid w:val="00F85E4C"/>
    <w:rsid w:val="00F85F33"/>
    <w:rsid w:val="00F86030"/>
    <w:rsid w:val="00F86032"/>
    <w:rsid w:val="00F861A4"/>
    <w:rsid w:val="00F864E0"/>
    <w:rsid w:val="00F86538"/>
    <w:rsid w:val="00F86F6C"/>
    <w:rsid w:val="00F87081"/>
    <w:rsid w:val="00F873EB"/>
    <w:rsid w:val="00F87411"/>
    <w:rsid w:val="00F87538"/>
    <w:rsid w:val="00F879F5"/>
    <w:rsid w:val="00F87C31"/>
    <w:rsid w:val="00F902B7"/>
    <w:rsid w:val="00F9040C"/>
    <w:rsid w:val="00F904D1"/>
    <w:rsid w:val="00F904FD"/>
    <w:rsid w:val="00F9064D"/>
    <w:rsid w:val="00F9102D"/>
    <w:rsid w:val="00F91980"/>
    <w:rsid w:val="00F920AD"/>
    <w:rsid w:val="00F9212E"/>
    <w:rsid w:val="00F925AD"/>
    <w:rsid w:val="00F926C3"/>
    <w:rsid w:val="00F928C7"/>
    <w:rsid w:val="00F92A2D"/>
    <w:rsid w:val="00F92E9B"/>
    <w:rsid w:val="00F9359D"/>
    <w:rsid w:val="00F935BB"/>
    <w:rsid w:val="00F936B6"/>
    <w:rsid w:val="00F93822"/>
    <w:rsid w:val="00F9395E"/>
    <w:rsid w:val="00F939BF"/>
    <w:rsid w:val="00F93F97"/>
    <w:rsid w:val="00F9400B"/>
    <w:rsid w:val="00F94102"/>
    <w:rsid w:val="00F94392"/>
    <w:rsid w:val="00F9445F"/>
    <w:rsid w:val="00F9464E"/>
    <w:rsid w:val="00F946B3"/>
    <w:rsid w:val="00F94761"/>
    <w:rsid w:val="00F94935"/>
    <w:rsid w:val="00F95F0A"/>
    <w:rsid w:val="00F967DE"/>
    <w:rsid w:val="00F969CE"/>
    <w:rsid w:val="00F96E21"/>
    <w:rsid w:val="00F96F45"/>
    <w:rsid w:val="00F96F69"/>
    <w:rsid w:val="00F972F6"/>
    <w:rsid w:val="00F97603"/>
    <w:rsid w:val="00F9762A"/>
    <w:rsid w:val="00F9772B"/>
    <w:rsid w:val="00F97779"/>
    <w:rsid w:val="00F97816"/>
    <w:rsid w:val="00F9786F"/>
    <w:rsid w:val="00F978A2"/>
    <w:rsid w:val="00F97B8A"/>
    <w:rsid w:val="00F97DBD"/>
    <w:rsid w:val="00F97EF4"/>
    <w:rsid w:val="00FA0006"/>
    <w:rsid w:val="00FA0093"/>
    <w:rsid w:val="00FA0102"/>
    <w:rsid w:val="00FA0329"/>
    <w:rsid w:val="00FA039C"/>
    <w:rsid w:val="00FA0416"/>
    <w:rsid w:val="00FA080D"/>
    <w:rsid w:val="00FA08BC"/>
    <w:rsid w:val="00FA0BC8"/>
    <w:rsid w:val="00FA11DD"/>
    <w:rsid w:val="00FA13F3"/>
    <w:rsid w:val="00FA1571"/>
    <w:rsid w:val="00FA17C7"/>
    <w:rsid w:val="00FA1882"/>
    <w:rsid w:val="00FA1988"/>
    <w:rsid w:val="00FA1A77"/>
    <w:rsid w:val="00FA1AEB"/>
    <w:rsid w:val="00FA1C0C"/>
    <w:rsid w:val="00FA1D37"/>
    <w:rsid w:val="00FA248B"/>
    <w:rsid w:val="00FA2845"/>
    <w:rsid w:val="00FA29D2"/>
    <w:rsid w:val="00FA29E4"/>
    <w:rsid w:val="00FA2BDF"/>
    <w:rsid w:val="00FA2DBD"/>
    <w:rsid w:val="00FA2E7D"/>
    <w:rsid w:val="00FA3000"/>
    <w:rsid w:val="00FA36B4"/>
    <w:rsid w:val="00FA3738"/>
    <w:rsid w:val="00FA3779"/>
    <w:rsid w:val="00FA39F2"/>
    <w:rsid w:val="00FA3BE3"/>
    <w:rsid w:val="00FA3ED5"/>
    <w:rsid w:val="00FA414D"/>
    <w:rsid w:val="00FA41B1"/>
    <w:rsid w:val="00FA4769"/>
    <w:rsid w:val="00FA499F"/>
    <w:rsid w:val="00FA5043"/>
    <w:rsid w:val="00FA51BF"/>
    <w:rsid w:val="00FA5413"/>
    <w:rsid w:val="00FA5504"/>
    <w:rsid w:val="00FA57FA"/>
    <w:rsid w:val="00FA5D46"/>
    <w:rsid w:val="00FA6128"/>
    <w:rsid w:val="00FA6773"/>
    <w:rsid w:val="00FA6AB5"/>
    <w:rsid w:val="00FA6B7E"/>
    <w:rsid w:val="00FA6FDC"/>
    <w:rsid w:val="00FA7560"/>
    <w:rsid w:val="00FA7874"/>
    <w:rsid w:val="00FA792E"/>
    <w:rsid w:val="00FA7F48"/>
    <w:rsid w:val="00FB02BA"/>
    <w:rsid w:val="00FB0542"/>
    <w:rsid w:val="00FB0AFA"/>
    <w:rsid w:val="00FB0BDB"/>
    <w:rsid w:val="00FB1223"/>
    <w:rsid w:val="00FB1748"/>
    <w:rsid w:val="00FB186A"/>
    <w:rsid w:val="00FB198D"/>
    <w:rsid w:val="00FB21CF"/>
    <w:rsid w:val="00FB2FB1"/>
    <w:rsid w:val="00FB3049"/>
    <w:rsid w:val="00FB35D1"/>
    <w:rsid w:val="00FB39F1"/>
    <w:rsid w:val="00FB3A91"/>
    <w:rsid w:val="00FB43D7"/>
    <w:rsid w:val="00FB450D"/>
    <w:rsid w:val="00FB4674"/>
    <w:rsid w:val="00FB495B"/>
    <w:rsid w:val="00FB57DB"/>
    <w:rsid w:val="00FB5867"/>
    <w:rsid w:val="00FB58AA"/>
    <w:rsid w:val="00FB6081"/>
    <w:rsid w:val="00FB6207"/>
    <w:rsid w:val="00FB6669"/>
    <w:rsid w:val="00FB6724"/>
    <w:rsid w:val="00FB67D7"/>
    <w:rsid w:val="00FB69B2"/>
    <w:rsid w:val="00FB6CCE"/>
    <w:rsid w:val="00FB7864"/>
    <w:rsid w:val="00FC01FB"/>
    <w:rsid w:val="00FC04D1"/>
    <w:rsid w:val="00FC06E3"/>
    <w:rsid w:val="00FC083E"/>
    <w:rsid w:val="00FC1CC3"/>
    <w:rsid w:val="00FC1DF6"/>
    <w:rsid w:val="00FC22AB"/>
    <w:rsid w:val="00FC2373"/>
    <w:rsid w:val="00FC272E"/>
    <w:rsid w:val="00FC294A"/>
    <w:rsid w:val="00FC30F3"/>
    <w:rsid w:val="00FC3126"/>
    <w:rsid w:val="00FC329C"/>
    <w:rsid w:val="00FC32B3"/>
    <w:rsid w:val="00FC33C1"/>
    <w:rsid w:val="00FC358A"/>
    <w:rsid w:val="00FC3821"/>
    <w:rsid w:val="00FC3FCC"/>
    <w:rsid w:val="00FC4649"/>
    <w:rsid w:val="00FC4AB7"/>
    <w:rsid w:val="00FC4BCB"/>
    <w:rsid w:val="00FC4CFD"/>
    <w:rsid w:val="00FC4DBD"/>
    <w:rsid w:val="00FC4E8D"/>
    <w:rsid w:val="00FC537B"/>
    <w:rsid w:val="00FC594B"/>
    <w:rsid w:val="00FC6199"/>
    <w:rsid w:val="00FC6303"/>
    <w:rsid w:val="00FC67EC"/>
    <w:rsid w:val="00FC6911"/>
    <w:rsid w:val="00FC6AED"/>
    <w:rsid w:val="00FC6C42"/>
    <w:rsid w:val="00FC6E18"/>
    <w:rsid w:val="00FC7434"/>
    <w:rsid w:val="00FC7A73"/>
    <w:rsid w:val="00FC7B00"/>
    <w:rsid w:val="00FC7D64"/>
    <w:rsid w:val="00FC7DDB"/>
    <w:rsid w:val="00FC7E74"/>
    <w:rsid w:val="00FC7EE6"/>
    <w:rsid w:val="00FC7EF4"/>
    <w:rsid w:val="00FD00B9"/>
    <w:rsid w:val="00FD07C6"/>
    <w:rsid w:val="00FD098C"/>
    <w:rsid w:val="00FD0DA5"/>
    <w:rsid w:val="00FD0E77"/>
    <w:rsid w:val="00FD0F38"/>
    <w:rsid w:val="00FD102D"/>
    <w:rsid w:val="00FD1088"/>
    <w:rsid w:val="00FD1175"/>
    <w:rsid w:val="00FD1A21"/>
    <w:rsid w:val="00FD1B55"/>
    <w:rsid w:val="00FD21FA"/>
    <w:rsid w:val="00FD2394"/>
    <w:rsid w:val="00FD2A33"/>
    <w:rsid w:val="00FD2E0A"/>
    <w:rsid w:val="00FD2E62"/>
    <w:rsid w:val="00FD321B"/>
    <w:rsid w:val="00FD3495"/>
    <w:rsid w:val="00FD354A"/>
    <w:rsid w:val="00FD3F6C"/>
    <w:rsid w:val="00FD3FCF"/>
    <w:rsid w:val="00FD400C"/>
    <w:rsid w:val="00FD4211"/>
    <w:rsid w:val="00FD4218"/>
    <w:rsid w:val="00FD434C"/>
    <w:rsid w:val="00FD45FB"/>
    <w:rsid w:val="00FD50E1"/>
    <w:rsid w:val="00FD5692"/>
    <w:rsid w:val="00FD5726"/>
    <w:rsid w:val="00FD5896"/>
    <w:rsid w:val="00FD5BAB"/>
    <w:rsid w:val="00FD5FAA"/>
    <w:rsid w:val="00FD69D8"/>
    <w:rsid w:val="00FD70B1"/>
    <w:rsid w:val="00FD712C"/>
    <w:rsid w:val="00FD7841"/>
    <w:rsid w:val="00FD784C"/>
    <w:rsid w:val="00FD7A2D"/>
    <w:rsid w:val="00FD7A31"/>
    <w:rsid w:val="00FE005A"/>
    <w:rsid w:val="00FE01E3"/>
    <w:rsid w:val="00FE0547"/>
    <w:rsid w:val="00FE0959"/>
    <w:rsid w:val="00FE0C82"/>
    <w:rsid w:val="00FE104B"/>
    <w:rsid w:val="00FE1591"/>
    <w:rsid w:val="00FE1B08"/>
    <w:rsid w:val="00FE1BC2"/>
    <w:rsid w:val="00FE2194"/>
    <w:rsid w:val="00FE2225"/>
    <w:rsid w:val="00FE2431"/>
    <w:rsid w:val="00FE25C9"/>
    <w:rsid w:val="00FE279B"/>
    <w:rsid w:val="00FE28E1"/>
    <w:rsid w:val="00FE29C1"/>
    <w:rsid w:val="00FE2AE1"/>
    <w:rsid w:val="00FE2E98"/>
    <w:rsid w:val="00FE2F99"/>
    <w:rsid w:val="00FE3A7F"/>
    <w:rsid w:val="00FE4101"/>
    <w:rsid w:val="00FE4121"/>
    <w:rsid w:val="00FE41EE"/>
    <w:rsid w:val="00FE47AC"/>
    <w:rsid w:val="00FE4A06"/>
    <w:rsid w:val="00FE4C58"/>
    <w:rsid w:val="00FE5890"/>
    <w:rsid w:val="00FE59B0"/>
    <w:rsid w:val="00FE60D3"/>
    <w:rsid w:val="00FE653C"/>
    <w:rsid w:val="00FE6711"/>
    <w:rsid w:val="00FE6746"/>
    <w:rsid w:val="00FE6808"/>
    <w:rsid w:val="00FE7EE9"/>
    <w:rsid w:val="00FF037F"/>
    <w:rsid w:val="00FF0919"/>
    <w:rsid w:val="00FF0B31"/>
    <w:rsid w:val="00FF0C52"/>
    <w:rsid w:val="00FF0F32"/>
    <w:rsid w:val="00FF1570"/>
    <w:rsid w:val="00FF1E69"/>
    <w:rsid w:val="00FF1EF5"/>
    <w:rsid w:val="00FF2293"/>
    <w:rsid w:val="00FF22B3"/>
    <w:rsid w:val="00FF23F3"/>
    <w:rsid w:val="00FF2550"/>
    <w:rsid w:val="00FF2B1E"/>
    <w:rsid w:val="00FF2D71"/>
    <w:rsid w:val="00FF321A"/>
    <w:rsid w:val="00FF328D"/>
    <w:rsid w:val="00FF34EC"/>
    <w:rsid w:val="00FF3592"/>
    <w:rsid w:val="00FF385C"/>
    <w:rsid w:val="00FF4044"/>
    <w:rsid w:val="00FF4049"/>
    <w:rsid w:val="00FF4519"/>
    <w:rsid w:val="00FF4880"/>
    <w:rsid w:val="00FF4B3A"/>
    <w:rsid w:val="00FF4DB9"/>
    <w:rsid w:val="00FF4F0C"/>
    <w:rsid w:val="00FF5026"/>
    <w:rsid w:val="00FF522C"/>
    <w:rsid w:val="00FF5299"/>
    <w:rsid w:val="00FF5825"/>
    <w:rsid w:val="00FF5841"/>
    <w:rsid w:val="00FF59E0"/>
    <w:rsid w:val="00FF5EC5"/>
    <w:rsid w:val="00FF610D"/>
    <w:rsid w:val="00FF61E6"/>
    <w:rsid w:val="00FF67EB"/>
    <w:rsid w:val="00FF6F8B"/>
    <w:rsid w:val="00FF718E"/>
    <w:rsid w:val="00FF7E1D"/>
    <w:rsid w:val="01546F2F"/>
    <w:rsid w:val="01608B60"/>
    <w:rsid w:val="022218DB"/>
    <w:rsid w:val="0245D9E0"/>
    <w:rsid w:val="0266D31B"/>
    <w:rsid w:val="027D7B3C"/>
    <w:rsid w:val="02CCCA89"/>
    <w:rsid w:val="033516E1"/>
    <w:rsid w:val="035EB5E9"/>
    <w:rsid w:val="038FB9DF"/>
    <w:rsid w:val="0409D997"/>
    <w:rsid w:val="04592AA2"/>
    <w:rsid w:val="045AFBAC"/>
    <w:rsid w:val="049FBA4D"/>
    <w:rsid w:val="04B7F354"/>
    <w:rsid w:val="04D4EA3B"/>
    <w:rsid w:val="04F70C7A"/>
    <w:rsid w:val="053A9D6C"/>
    <w:rsid w:val="0641FBCC"/>
    <w:rsid w:val="067C507A"/>
    <w:rsid w:val="06ED6E38"/>
    <w:rsid w:val="07048D6F"/>
    <w:rsid w:val="07164D9C"/>
    <w:rsid w:val="07DDB700"/>
    <w:rsid w:val="081CAE5B"/>
    <w:rsid w:val="08B338E9"/>
    <w:rsid w:val="08CA477E"/>
    <w:rsid w:val="08FE99C7"/>
    <w:rsid w:val="09271D40"/>
    <w:rsid w:val="0942F5B2"/>
    <w:rsid w:val="096A1385"/>
    <w:rsid w:val="099F2527"/>
    <w:rsid w:val="09EDA560"/>
    <w:rsid w:val="0A9DC422"/>
    <w:rsid w:val="0AE11B14"/>
    <w:rsid w:val="0B33EA99"/>
    <w:rsid w:val="0B3BFE64"/>
    <w:rsid w:val="0B80AFB1"/>
    <w:rsid w:val="0BDB4B66"/>
    <w:rsid w:val="0BE5C1F0"/>
    <w:rsid w:val="0C0BC1CA"/>
    <w:rsid w:val="0C93E11E"/>
    <w:rsid w:val="0CA028FD"/>
    <w:rsid w:val="0CB5622E"/>
    <w:rsid w:val="0D1B4A6D"/>
    <w:rsid w:val="0D7F011B"/>
    <w:rsid w:val="0D90E995"/>
    <w:rsid w:val="0D996A21"/>
    <w:rsid w:val="0DDDD9D6"/>
    <w:rsid w:val="0E907D8B"/>
    <w:rsid w:val="0F1D7D0B"/>
    <w:rsid w:val="0F5C9B49"/>
    <w:rsid w:val="0FEB5830"/>
    <w:rsid w:val="101CF265"/>
    <w:rsid w:val="102631D9"/>
    <w:rsid w:val="107B47A0"/>
    <w:rsid w:val="10ECB125"/>
    <w:rsid w:val="119F3E2B"/>
    <w:rsid w:val="11C139C1"/>
    <w:rsid w:val="11EF60F7"/>
    <w:rsid w:val="123E2730"/>
    <w:rsid w:val="12443A9D"/>
    <w:rsid w:val="1269282B"/>
    <w:rsid w:val="12928BAC"/>
    <w:rsid w:val="129A3D22"/>
    <w:rsid w:val="12B35517"/>
    <w:rsid w:val="12C121C6"/>
    <w:rsid w:val="12F6CA8A"/>
    <w:rsid w:val="12F81DD5"/>
    <w:rsid w:val="1333DFC0"/>
    <w:rsid w:val="13BE6CDD"/>
    <w:rsid w:val="13C99DE2"/>
    <w:rsid w:val="13E538CB"/>
    <w:rsid w:val="142D22A5"/>
    <w:rsid w:val="145D9643"/>
    <w:rsid w:val="1491870B"/>
    <w:rsid w:val="14CB16BD"/>
    <w:rsid w:val="1506B1F9"/>
    <w:rsid w:val="158DFAC8"/>
    <w:rsid w:val="15A62B19"/>
    <w:rsid w:val="15A8FA8B"/>
    <w:rsid w:val="15C8CDF9"/>
    <w:rsid w:val="15DDA434"/>
    <w:rsid w:val="164E3EF0"/>
    <w:rsid w:val="16864663"/>
    <w:rsid w:val="168EF820"/>
    <w:rsid w:val="16CE8F03"/>
    <w:rsid w:val="16F2B8F5"/>
    <w:rsid w:val="1709956F"/>
    <w:rsid w:val="178094F9"/>
    <w:rsid w:val="180B9AFD"/>
    <w:rsid w:val="185AD335"/>
    <w:rsid w:val="18B1D90A"/>
    <w:rsid w:val="19479F51"/>
    <w:rsid w:val="19DAE1E3"/>
    <w:rsid w:val="1A889948"/>
    <w:rsid w:val="1AB7F2C7"/>
    <w:rsid w:val="1AC51C27"/>
    <w:rsid w:val="1BA0C16B"/>
    <w:rsid w:val="1BE79D22"/>
    <w:rsid w:val="1BEF3EA5"/>
    <w:rsid w:val="1C24A288"/>
    <w:rsid w:val="1D1EFBAA"/>
    <w:rsid w:val="1D68686F"/>
    <w:rsid w:val="1DDB33C3"/>
    <w:rsid w:val="1E213351"/>
    <w:rsid w:val="1E362B43"/>
    <w:rsid w:val="1E3DA3BA"/>
    <w:rsid w:val="1EF24804"/>
    <w:rsid w:val="1F0F426E"/>
    <w:rsid w:val="1F63B436"/>
    <w:rsid w:val="208B0533"/>
    <w:rsid w:val="20A0E604"/>
    <w:rsid w:val="20F25811"/>
    <w:rsid w:val="2275AE4D"/>
    <w:rsid w:val="22B02A05"/>
    <w:rsid w:val="22CB926A"/>
    <w:rsid w:val="231DE2BD"/>
    <w:rsid w:val="24332051"/>
    <w:rsid w:val="2446E853"/>
    <w:rsid w:val="266D5B89"/>
    <w:rsid w:val="26C9B40F"/>
    <w:rsid w:val="26ED8975"/>
    <w:rsid w:val="27239AD7"/>
    <w:rsid w:val="274E73D6"/>
    <w:rsid w:val="277DBC91"/>
    <w:rsid w:val="27935737"/>
    <w:rsid w:val="27BC4062"/>
    <w:rsid w:val="27CB068C"/>
    <w:rsid w:val="281AB490"/>
    <w:rsid w:val="281C41DD"/>
    <w:rsid w:val="285A610F"/>
    <w:rsid w:val="28FF0363"/>
    <w:rsid w:val="2914E55D"/>
    <w:rsid w:val="293A5F6E"/>
    <w:rsid w:val="298DE6AF"/>
    <w:rsid w:val="298ED591"/>
    <w:rsid w:val="2AB76A8B"/>
    <w:rsid w:val="2B12E2F5"/>
    <w:rsid w:val="2B2405B5"/>
    <w:rsid w:val="2C66C4BD"/>
    <w:rsid w:val="2CD3D9CC"/>
    <w:rsid w:val="2CD3DED2"/>
    <w:rsid w:val="2CDCD10D"/>
    <w:rsid w:val="2CDD6F38"/>
    <w:rsid w:val="2D2DD99F"/>
    <w:rsid w:val="2D669DDC"/>
    <w:rsid w:val="2DE41259"/>
    <w:rsid w:val="2DF70E73"/>
    <w:rsid w:val="2E439D77"/>
    <w:rsid w:val="2E5650B4"/>
    <w:rsid w:val="2EA52C04"/>
    <w:rsid w:val="2F00336A"/>
    <w:rsid w:val="2F5C2735"/>
    <w:rsid w:val="2F797A76"/>
    <w:rsid w:val="2FB2741E"/>
    <w:rsid w:val="2FF3B2A8"/>
    <w:rsid w:val="2FF76C81"/>
    <w:rsid w:val="3074D4E9"/>
    <w:rsid w:val="30EFC29A"/>
    <w:rsid w:val="31032F3E"/>
    <w:rsid w:val="31742BD3"/>
    <w:rsid w:val="317801F5"/>
    <w:rsid w:val="317C1238"/>
    <w:rsid w:val="31BA1129"/>
    <w:rsid w:val="32093E7B"/>
    <w:rsid w:val="326D2889"/>
    <w:rsid w:val="329F5D52"/>
    <w:rsid w:val="32B3422F"/>
    <w:rsid w:val="33F6869A"/>
    <w:rsid w:val="34E5B396"/>
    <w:rsid w:val="34F75999"/>
    <w:rsid w:val="35127B40"/>
    <w:rsid w:val="357A9CE3"/>
    <w:rsid w:val="35A59CAE"/>
    <w:rsid w:val="37ABCAD0"/>
    <w:rsid w:val="37B7489E"/>
    <w:rsid w:val="37F1CFB0"/>
    <w:rsid w:val="3862D35C"/>
    <w:rsid w:val="3866A007"/>
    <w:rsid w:val="38D34107"/>
    <w:rsid w:val="393A8432"/>
    <w:rsid w:val="394D9022"/>
    <w:rsid w:val="395408D8"/>
    <w:rsid w:val="3971B966"/>
    <w:rsid w:val="39F6B42F"/>
    <w:rsid w:val="3ABF47BC"/>
    <w:rsid w:val="3ACE3EC8"/>
    <w:rsid w:val="3BCC1CDB"/>
    <w:rsid w:val="3CCD497C"/>
    <w:rsid w:val="3D908942"/>
    <w:rsid w:val="3D9E04F0"/>
    <w:rsid w:val="3E15BB71"/>
    <w:rsid w:val="3E7FD1A0"/>
    <w:rsid w:val="3E81C8A7"/>
    <w:rsid w:val="3EC88212"/>
    <w:rsid w:val="3EF2894B"/>
    <w:rsid w:val="3F5BB0E3"/>
    <w:rsid w:val="3F9DF7E1"/>
    <w:rsid w:val="3FB8E8E9"/>
    <w:rsid w:val="3FC1EB33"/>
    <w:rsid w:val="400A337C"/>
    <w:rsid w:val="40246259"/>
    <w:rsid w:val="407123EF"/>
    <w:rsid w:val="40E47566"/>
    <w:rsid w:val="4180358C"/>
    <w:rsid w:val="41AD5786"/>
    <w:rsid w:val="41D5840E"/>
    <w:rsid w:val="4258A1DF"/>
    <w:rsid w:val="43080860"/>
    <w:rsid w:val="43240080"/>
    <w:rsid w:val="432B8C83"/>
    <w:rsid w:val="43A8A355"/>
    <w:rsid w:val="43D2B1FF"/>
    <w:rsid w:val="445CA1E4"/>
    <w:rsid w:val="44C34478"/>
    <w:rsid w:val="44D51521"/>
    <w:rsid w:val="4538796D"/>
    <w:rsid w:val="456A44BB"/>
    <w:rsid w:val="45858334"/>
    <w:rsid w:val="4593B4B3"/>
    <w:rsid w:val="45C0A9B7"/>
    <w:rsid w:val="45D6298B"/>
    <w:rsid w:val="45E4B81F"/>
    <w:rsid w:val="46AA7FFE"/>
    <w:rsid w:val="46BDADDA"/>
    <w:rsid w:val="473D5DF7"/>
    <w:rsid w:val="476BD144"/>
    <w:rsid w:val="4775CAD1"/>
    <w:rsid w:val="47BE838F"/>
    <w:rsid w:val="4841B25F"/>
    <w:rsid w:val="485B534F"/>
    <w:rsid w:val="485F163A"/>
    <w:rsid w:val="488EB203"/>
    <w:rsid w:val="48BED88F"/>
    <w:rsid w:val="49257A2D"/>
    <w:rsid w:val="49330376"/>
    <w:rsid w:val="497910B2"/>
    <w:rsid w:val="49E56F64"/>
    <w:rsid w:val="4A2649C4"/>
    <w:rsid w:val="4A573AFF"/>
    <w:rsid w:val="4A8CF9C2"/>
    <w:rsid w:val="4AB2638B"/>
    <w:rsid w:val="4AFD1AA3"/>
    <w:rsid w:val="4B4132B9"/>
    <w:rsid w:val="4BEB1498"/>
    <w:rsid w:val="4BF49255"/>
    <w:rsid w:val="4CAFF340"/>
    <w:rsid w:val="4D677428"/>
    <w:rsid w:val="4D9F07D4"/>
    <w:rsid w:val="4E7ADD83"/>
    <w:rsid w:val="4E8C5A75"/>
    <w:rsid w:val="4EF427F9"/>
    <w:rsid w:val="4F4BF228"/>
    <w:rsid w:val="4F4ED05C"/>
    <w:rsid w:val="4F6B69C9"/>
    <w:rsid w:val="50042ED5"/>
    <w:rsid w:val="5043CE3B"/>
    <w:rsid w:val="506C844C"/>
    <w:rsid w:val="507AD98B"/>
    <w:rsid w:val="50CE0092"/>
    <w:rsid w:val="513F1CEA"/>
    <w:rsid w:val="51C85E55"/>
    <w:rsid w:val="523A8E9C"/>
    <w:rsid w:val="524E3A9A"/>
    <w:rsid w:val="526EC15B"/>
    <w:rsid w:val="538F5369"/>
    <w:rsid w:val="545EC66E"/>
    <w:rsid w:val="54885F61"/>
    <w:rsid w:val="5514157F"/>
    <w:rsid w:val="555843C9"/>
    <w:rsid w:val="555E07AF"/>
    <w:rsid w:val="55CE9A37"/>
    <w:rsid w:val="562BF825"/>
    <w:rsid w:val="5636B797"/>
    <w:rsid w:val="569BB101"/>
    <w:rsid w:val="56D79030"/>
    <w:rsid w:val="56F1A094"/>
    <w:rsid w:val="5810D2C9"/>
    <w:rsid w:val="588E60B3"/>
    <w:rsid w:val="58FF6555"/>
    <w:rsid w:val="59ABFDD2"/>
    <w:rsid w:val="59AD7E78"/>
    <w:rsid w:val="5A9C7A0F"/>
    <w:rsid w:val="5AAA6851"/>
    <w:rsid w:val="5AAD055D"/>
    <w:rsid w:val="5AD627E9"/>
    <w:rsid w:val="5B15A928"/>
    <w:rsid w:val="5B7C27DA"/>
    <w:rsid w:val="5C4C79D3"/>
    <w:rsid w:val="5C782E13"/>
    <w:rsid w:val="5D62CCC6"/>
    <w:rsid w:val="5D94D844"/>
    <w:rsid w:val="5DEBCAF1"/>
    <w:rsid w:val="5E4DE7A3"/>
    <w:rsid w:val="5E8D277F"/>
    <w:rsid w:val="5FDFEA17"/>
    <w:rsid w:val="60152B5C"/>
    <w:rsid w:val="601C214F"/>
    <w:rsid w:val="604124DB"/>
    <w:rsid w:val="6202B427"/>
    <w:rsid w:val="62895105"/>
    <w:rsid w:val="628FC1AC"/>
    <w:rsid w:val="6368DEFC"/>
    <w:rsid w:val="6368F43F"/>
    <w:rsid w:val="63B15D36"/>
    <w:rsid w:val="63EFD83C"/>
    <w:rsid w:val="640B4526"/>
    <w:rsid w:val="642075EA"/>
    <w:rsid w:val="646C93BE"/>
    <w:rsid w:val="647EF1F1"/>
    <w:rsid w:val="64CCA8A7"/>
    <w:rsid w:val="64CEEEA2"/>
    <w:rsid w:val="64EE3D92"/>
    <w:rsid w:val="6546E1C6"/>
    <w:rsid w:val="6550E224"/>
    <w:rsid w:val="65815E8C"/>
    <w:rsid w:val="6589C895"/>
    <w:rsid w:val="65B93B24"/>
    <w:rsid w:val="65E94A2B"/>
    <w:rsid w:val="669560FF"/>
    <w:rsid w:val="66A3C381"/>
    <w:rsid w:val="677AFB73"/>
    <w:rsid w:val="67B4B2D3"/>
    <w:rsid w:val="67E3FBCE"/>
    <w:rsid w:val="67F935A2"/>
    <w:rsid w:val="681ADCAD"/>
    <w:rsid w:val="683EA0D3"/>
    <w:rsid w:val="68A7C061"/>
    <w:rsid w:val="691C6AF4"/>
    <w:rsid w:val="69205222"/>
    <w:rsid w:val="698CCE2F"/>
    <w:rsid w:val="69B0E8DF"/>
    <w:rsid w:val="69EFC900"/>
    <w:rsid w:val="6A3B93A7"/>
    <w:rsid w:val="6A48D525"/>
    <w:rsid w:val="6A850047"/>
    <w:rsid w:val="6C2DCA4A"/>
    <w:rsid w:val="6C56070F"/>
    <w:rsid w:val="6C685ECA"/>
    <w:rsid w:val="6CDE8B35"/>
    <w:rsid w:val="6CFFE6CD"/>
    <w:rsid w:val="6D297909"/>
    <w:rsid w:val="6D31AACB"/>
    <w:rsid w:val="6D94270B"/>
    <w:rsid w:val="6EC88A30"/>
    <w:rsid w:val="6F05258E"/>
    <w:rsid w:val="6F3D6732"/>
    <w:rsid w:val="6F4C307E"/>
    <w:rsid w:val="6F61023E"/>
    <w:rsid w:val="6F65BA2E"/>
    <w:rsid w:val="6F6C65C9"/>
    <w:rsid w:val="6F899AD3"/>
    <w:rsid w:val="701EBF3E"/>
    <w:rsid w:val="7029F7D2"/>
    <w:rsid w:val="70611045"/>
    <w:rsid w:val="7068259C"/>
    <w:rsid w:val="708EA066"/>
    <w:rsid w:val="70B3DCD0"/>
    <w:rsid w:val="70D4C397"/>
    <w:rsid w:val="70E4DF39"/>
    <w:rsid w:val="70F6B3F1"/>
    <w:rsid w:val="712AEF80"/>
    <w:rsid w:val="71D77AC5"/>
    <w:rsid w:val="724A8F60"/>
    <w:rsid w:val="72F94F96"/>
    <w:rsid w:val="73037BFE"/>
    <w:rsid w:val="73A25DBC"/>
    <w:rsid w:val="73AB86A4"/>
    <w:rsid w:val="73D85920"/>
    <w:rsid w:val="74314AC0"/>
    <w:rsid w:val="74936970"/>
    <w:rsid w:val="74C92025"/>
    <w:rsid w:val="7505A003"/>
    <w:rsid w:val="7507B2B9"/>
    <w:rsid w:val="75264905"/>
    <w:rsid w:val="752723C0"/>
    <w:rsid w:val="75470C19"/>
    <w:rsid w:val="7626E027"/>
    <w:rsid w:val="7674DA57"/>
    <w:rsid w:val="769A2AF8"/>
    <w:rsid w:val="76D06DC8"/>
    <w:rsid w:val="770CA50E"/>
    <w:rsid w:val="777F1BBE"/>
    <w:rsid w:val="78514553"/>
    <w:rsid w:val="786FF0E5"/>
    <w:rsid w:val="790E700E"/>
    <w:rsid w:val="79404B10"/>
    <w:rsid w:val="79C6DE25"/>
    <w:rsid w:val="79E1C684"/>
    <w:rsid w:val="7A8078D6"/>
    <w:rsid w:val="7AE8A0B9"/>
    <w:rsid w:val="7B071813"/>
    <w:rsid w:val="7BD1CE24"/>
    <w:rsid w:val="7C2E1B30"/>
    <w:rsid w:val="7C43F3C2"/>
    <w:rsid w:val="7CF67183"/>
    <w:rsid w:val="7D275D3F"/>
    <w:rsid w:val="7D426770"/>
    <w:rsid w:val="7DA982B5"/>
    <w:rsid w:val="7DE7E658"/>
    <w:rsid w:val="7E23E5F8"/>
    <w:rsid w:val="7E4A0F8B"/>
    <w:rsid w:val="7E7AF5B6"/>
    <w:rsid w:val="7E7D7409"/>
    <w:rsid w:val="7EAD7D99"/>
    <w:rsid w:val="7EF08041"/>
    <w:rsid w:val="7FABC3B2"/>
    <w:rsid w:val="7FE46B9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F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10" w:unhideWhenUsed="1"/>
    <w:lsdException w:name="heading 6" w:semiHidden="1" w:uiPriority="12" w:unhideWhenUsed="1"/>
    <w:lsdException w:name="heading 7" w:semiHidden="1" w:uiPriority="12" w:unhideWhenUsed="1"/>
    <w:lsdException w:name="heading 8" w:semiHidden="1" w:uiPriority="7" w:unhideWhenUsed="1" w:qFormat="1"/>
    <w:lsdException w:name="heading 9" w:semiHidden="1" w:uiPriority="12"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 w:unhideWhenUsed="1"/>
    <w:lsdException w:name="Normal Indent" w:semiHidden="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uiPriority="4" w:unhideWhenUsed="1"/>
    <w:lsdException w:name="Body Text Indent" w:semiHidden="1" w:uiPriority="9"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2"/>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9"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5"/>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1"/>
    <w:lsdException w:name="Intense Reference" w:semiHidden="1" w:uiPriority="35"/>
    <w:lsdException w:name="Book Title" w:semiHidden="1" w:uiPriority="36"/>
    <w:lsdException w:name="Bibliography" w:semiHidden="1" w:uiPriority="37" w:unhideWhenUsed="1"/>
    <w:lsdException w:name="TOC Heading" w:semiHidden="1" w:uiPriority="4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E59"/>
    <w:pPr>
      <w:spacing w:before="120" w:line="240" w:lineRule="auto"/>
      <w:jc w:val="both"/>
    </w:pPr>
    <w:rPr>
      <w:sz w:val="24"/>
    </w:rPr>
  </w:style>
  <w:style w:type="paragraph" w:styleId="Heading1">
    <w:name w:val="heading 1"/>
    <w:next w:val="MSACESParagraph"/>
    <w:link w:val="Heading1Char"/>
    <w:uiPriority w:val="2"/>
    <w:qFormat/>
    <w:rsid w:val="005C2085"/>
    <w:pPr>
      <w:keepNext/>
      <w:keepLines/>
      <w:numPr>
        <w:numId w:val="2"/>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3"/>
    <w:qFormat/>
    <w:rsid w:val="004A5746"/>
    <w:pPr>
      <w:keepNext/>
      <w:keepLines/>
      <w:numPr>
        <w:ilvl w:val="3"/>
        <w:numId w:val="2"/>
      </w:numPr>
      <w:spacing w:before="360" w:after="120"/>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3"/>
    <w:qFormat/>
    <w:rsid w:val="00186307"/>
    <w:pPr>
      <w:keepNext/>
      <w:keepLines/>
      <w:numPr>
        <w:ilvl w:val="5"/>
        <w:numId w:val="2"/>
      </w:numPr>
      <w:spacing w:after="120"/>
      <w:outlineLvl w:val="2"/>
    </w:pPr>
    <w:rPr>
      <w:rFonts w:eastAsiaTheme="majorEastAsia" w:cstheme="majorBidi"/>
      <w:b/>
      <w:sz w:val="28"/>
      <w:szCs w:val="28"/>
    </w:rPr>
  </w:style>
  <w:style w:type="paragraph" w:styleId="Heading4">
    <w:name w:val="heading 4"/>
    <w:basedOn w:val="Heading1"/>
    <w:next w:val="Normal"/>
    <w:link w:val="Heading4Char"/>
    <w:uiPriority w:val="3"/>
    <w:qFormat/>
    <w:rsid w:val="00BB6875"/>
    <w:pPr>
      <w:numPr>
        <w:ilvl w:val="6"/>
      </w:numPr>
      <w:spacing w:before="240" w:after="0"/>
      <w:outlineLvl w:val="3"/>
    </w:pPr>
    <w:rPr>
      <w:color w:val="000000" w:themeColor="text1"/>
      <w:sz w:val="24"/>
    </w:rPr>
  </w:style>
  <w:style w:type="paragraph" w:styleId="Heading5">
    <w:name w:val="heading 5"/>
    <w:aliases w:val="Heading 2 - Body"/>
    <w:basedOn w:val="Heading2"/>
    <w:next w:val="Normal"/>
    <w:link w:val="Heading5Char"/>
    <w:uiPriority w:val="10"/>
    <w:semiHidden/>
    <w:rsid w:val="003B095E"/>
    <w:pPr>
      <w:numPr>
        <w:ilvl w:val="0"/>
        <w:numId w:val="0"/>
      </w:numPr>
      <w:outlineLvl w:val="4"/>
    </w:pPr>
  </w:style>
  <w:style w:type="paragraph" w:styleId="Heading6">
    <w:name w:val="heading 6"/>
    <w:aliases w:val="Heading 3 - Body"/>
    <w:basedOn w:val="Heading3"/>
    <w:next w:val="Normal"/>
    <w:link w:val="Heading6Char"/>
    <w:uiPriority w:val="12"/>
    <w:semiHidden/>
    <w:rsid w:val="00624315"/>
    <w:pPr>
      <w:outlineLvl w:val="5"/>
    </w:pPr>
    <w:rPr>
      <w:sz w:val="24"/>
    </w:rPr>
  </w:style>
  <w:style w:type="paragraph" w:styleId="Heading7">
    <w:name w:val="heading 7"/>
    <w:basedOn w:val="Heading1"/>
    <w:next w:val="Normal"/>
    <w:link w:val="Heading7Char"/>
    <w:uiPriority w:val="12"/>
    <w:semiHidden/>
    <w:rsid w:val="00472D4D"/>
    <w:pPr>
      <w:numPr>
        <w:numId w:val="0"/>
      </w:numPr>
      <w:spacing w:before="120"/>
      <w:ind w:left="1296" w:hanging="1296"/>
      <w:outlineLvl w:val="6"/>
    </w:pPr>
    <w:rPr>
      <w:i/>
      <w:sz w:val="24"/>
      <w:szCs w:val="24"/>
    </w:rPr>
  </w:style>
  <w:style w:type="paragraph" w:styleId="Heading8">
    <w:name w:val="heading 8"/>
    <w:basedOn w:val="Normal"/>
    <w:next w:val="Normal"/>
    <w:link w:val="Heading8Char"/>
    <w:uiPriority w:val="7"/>
    <w:qFormat/>
    <w:rsid w:val="002B5D7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qFormat/>
    <w:rsid w:val="002A4503"/>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94C83"/>
    <w:rPr>
      <w:rFonts w:eastAsiaTheme="majorEastAsia" w:cstheme="majorBidi"/>
      <w:b/>
      <w:sz w:val="32"/>
      <w:szCs w:val="28"/>
    </w:rPr>
  </w:style>
  <w:style w:type="character" w:customStyle="1" w:styleId="Heading2Char">
    <w:name w:val="Heading 2 Char"/>
    <w:basedOn w:val="DefaultParagraphFont"/>
    <w:link w:val="Heading2"/>
    <w:uiPriority w:val="3"/>
    <w:rsid w:val="00245AD1"/>
    <w:rPr>
      <w:rFonts w:ascii="Arial" w:eastAsiaTheme="majorEastAsia" w:hAnsi="Arial" w:cstheme="majorBidi"/>
      <w:b/>
      <w:i/>
      <w:snapToGrid w:val="0"/>
      <w:sz w:val="28"/>
      <w:szCs w:val="28"/>
    </w:rPr>
  </w:style>
  <w:style w:type="character" w:customStyle="1" w:styleId="Heading3Char">
    <w:name w:val="Heading 3 Char"/>
    <w:basedOn w:val="DefaultParagraphFont"/>
    <w:link w:val="Heading3"/>
    <w:uiPriority w:val="3"/>
    <w:rsid w:val="00245AD1"/>
    <w:rPr>
      <w:rFonts w:eastAsiaTheme="majorEastAsia" w:cstheme="majorBidi"/>
      <w:b/>
      <w:sz w:val="28"/>
      <w:szCs w:val="28"/>
    </w:rPr>
  </w:style>
  <w:style w:type="paragraph" w:styleId="ListParagraph">
    <w:name w:val="List Paragraph"/>
    <w:aliases w:val="PBAC ES Paragraph,Body Text Bullet Points,Numbered para,BulletPoints,List Paragraph1,Bullet point,List Paragraph11,Recommendation,Section heading,Footnote,Styl moj,Akapit z listą11,ES Paragraph,PBAC normal points,Bullet List,Figure_name,l"/>
    <w:basedOn w:val="Normal"/>
    <w:link w:val="ListParagraphChar"/>
    <w:uiPriority w:val="34"/>
    <w:qFormat/>
    <w:rsid w:val="00DA180B"/>
    <w:pPr>
      <w:numPr>
        <w:ilvl w:val="4"/>
        <w:numId w:val="4"/>
      </w:numPr>
      <w:spacing w:after="120"/>
    </w:pPr>
    <w:rPr>
      <w:color w:val="000000" w:themeColor="text1"/>
    </w:rPr>
  </w:style>
  <w:style w:type="paragraph" w:styleId="BalloonText">
    <w:name w:val="Balloon Text"/>
    <w:basedOn w:val="Normal"/>
    <w:link w:val="BalloonTextChar"/>
    <w:uiPriority w:val="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MSACESParagraph"/>
    <w:link w:val="InstructionalTextChar"/>
    <w:uiPriority w:val="3"/>
    <w:qFormat/>
    <w:rsid w:val="00DD373C"/>
    <w:pPr>
      <w:jc w:val="both"/>
    </w:pPr>
    <w:rPr>
      <w:rFonts w:asciiTheme="minorHAnsi" w:hAnsiTheme="minorHAnsi" w:cstheme="minorHAnsi"/>
      <w:color w:val="3366FF"/>
    </w:rPr>
  </w:style>
  <w:style w:type="character" w:customStyle="1" w:styleId="Heading4Char">
    <w:name w:val="Heading 4 Char"/>
    <w:basedOn w:val="DefaultParagraphFont"/>
    <w:link w:val="Heading4"/>
    <w:uiPriority w:val="3"/>
    <w:rsid w:val="00245AD1"/>
    <w:rPr>
      <w:rFonts w:eastAsiaTheme="majorEastAsia" w:cstheme="majorBidi"/>
      <w:b/>
      <w:color w:val="000000" w:themeColor="text1"/>
      <w:sz w:val="24"/>
      <w:szCs w:val="28"/>
    </w:rPr>
  </w:style>
  <w:style w:type="character" w:customStyle="1" w:styleId="Heading5Char">
    <w:name w:val="Heading 5 Char"/>
    <w:aliases w:val="Heading 2 - Body Char"/>
    <w:basedOn w:val="DefaultParagraphFont"/>
    <w:link w:val="Heading5"/>
    <w:uiPriority w:val="10"/>
    <w:semiHidden/>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semiHidden/>
    <w:rsid w:val="00481549"/>
    <w:rPr>
      <w:rFonts w:eastAsiaTheme="majorEastAsia" w:cstheme="majorBidi"/>
      <w:b/>
      <w:sz w:val="24"/>
      <w:szCs w:val="28"/>
    </w:rPr>
  </w:style>
  <w:style w:type="character" w:customStyle="1" w:styleId="Heading7Char">
    <w:name w:val="Heading 7 Char"/>
    <w:basedOn w:val="DefaultParagraphFont"/>
    <w:link w:val="Heading7"/>
    <w:uiPriority w:val="12"/>
    <w:semiHidden/>
    <w:rsid w:val="00481549"/>
    <w:rPr>
      <w:rFonts w:eastAsiaTheme="majorEastAsia" w:cstheme="majorBidi"/>
      <w:b/>
      <w:i/>
      <w:sz w:val="24"/>
      <w:szCs w:val="24"/>
    </w:rPr>
  </w:style>
  <w:style w:type="character" w:customStyle="1" w:styleId="Heading8Char">
    <w:name w:val="Heading 8 Char"/>
    <w:basedOn w:val="DefaultParagraphFont"/>
    <w:link w:val="Heading8"/>
    <w:uiPriority w:val="7"/>
    <w:rsid w:val="004E6CF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12"/>
    <w:rsid w:val="00645AB3"/>
    <w:rPr>
      <w:rFonts w:eastAsiaTheme="majorEastAsia" w:cstheme="majorBidi"/>
      <w:b/>
      <w:sz w:val="36"/>
      <w:szCs w:val="28"/>
    </w:rPr>
  </w:style>
  <w:style w:type="character" w:customStyle="1" w:styleId="BalloonTextChar">
    <w:name w:val="Balloon Text Char"/>
    <w:basedOn w:val="DefaultParagraphFont"/>
    <w:link w:val="BalloonText"/>
    <w:uiPriority w:val="9"/>
    <w:semiHidden/>
    <w:rsid w:val="00F0542E"/>
    <w:rPr>
      <w:rFonts w:ascii="Segoe UI" w:hAnsi="Segoe UI" w:cs="Segoe UI"/>
      <w:sz w:val="18"/>
      <w:szCs w:val="18"/>
    </w:rPr>
  </w:style>
  <w:style w:type="table" w:styleId="TableGrid">
    <w:name w:val="Table Grid"/>
    <w:aliases w:val="Summary box,Table Gridbeth,CMA Table Template,ASD Table,MSD Table Grid,RTI AMCP Table,new style,HealthConsult,HTAtableplain,PBAC table,Dossier table,Summary Table,PHE Table Grid,Lash Style Table,Section 3- footnotes,Header Table Grid"/>
    <w:basedOn w:val="TableNormal"/>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CAPTION"/>
    <w:next w:val="Normal"/>
    <w:link w:val="CaptionChar"/>
    <w:autoRedefine/>
    <w:qFormat/>
    <w:rsid w:val="00FA13F3"/>
    <w:pPr>
      <w:keepNext/>
      <w:spacing w:after="0"/>
      <w:contextualSpacing/>
      <w:jc w:val="both"/>
    </w:pPr>
    <w:rPr>
      <w:rFonts w:ascii="Arial Narrow" w:hAnsi="Arial Narrow"/>
      <w:b/>
      <w:iCs/>
      <w:sz w:val="20"/>
      <w:szCs w:val="18"/>
    </w:rPr>
  </w:style>
  <w:style w:type="paragraph" w:customStyle="1" w:styleId="TableText">
    <w:name w:val="Table Text"/>
    <w:basedOn w:val="Normal"/>
    <w:link w:val="TableTextChar"/>
    <w:qFormat/>
    <w:rsid w:val="007D3BFB"/>
    <w:pPr>
      <w:widowControl w:val="0"/>
      <w:spacing w:before="0" w:after="0"/>
      <w:jc w:val="left"/>
    </w:pPr>
    <w:rPr>
      <w:rFonts w:ascii="Arial Narrow" w:hAnsi="Arial Narrow"/>
      <w:sz w:val="20"/>
    </w:rPr>
  </w:style>
  <w:style w:type="character" w:styleId="Hyperlink">
    <w:name w:val="Hyperlink"/>
    <w:basedOn w:val="DefaultParagraphFont"/>
    <w:uiPriority w:val="99"/>
    <w:semiHidden/>
    <w:rsid w:val="00BA3306"/>
    <w:rPr>
      <w:color w:val="00B0F0"/>
      <w:u w:val="single"/>
    </w:rPr>
  </w:style>
  <w:style w:type="paragraph" w:styleId="FootnoteText">
    <w:name w:val="footnote text"/>
    <w:basedOn w:val="Normal"/>
    <w:link w:val="FootnoteTextChar"/>
    <w:rsid w:val="00BA3306"/>
    <w:pPr>
      <w:spacing w:before="0" w:after="0"/>
    </w:pPr>
    <w:rPr>
      <w:sz w:val="18"/>
      <w:szCs w:val="20"/>
    </w:rPr>
  </w:style>
  <w:style w:type="character" w:customStyle="1" w:styleId="FootnoteTextChar">
    <w:name w:val="Footnote Text Char"/>
    <w:basedOn w:val="DefaultParagraphFont"/>
    <w:link w:val="FootnoteText"/>
    <w:rsid w:val="00481549"/>
    <w:rPr>
      <w:sz w:val="18"/>
      <w:szCs w:val="20"/>
    </w:rPr>
  </w:style>
  <w:style w:type="character" w:styleId="FootnoteReference">
    <w:name w:val="footnote reference"/>
    <w:basedOn w:val="DefaultParagraphFont"/>
    <w:uiPriority w:val="99"/>
    <w:rsid w:val="00BA3306"/>
    <w:rPr>
      <w:vertAlign w:val="superscript"/>
    </w:rPr>
  </w:style>
  <w:style w:type="character" w:styleId="CommentReference">
    <w:name w:val="annotation reference"/>
    <w:aliases w:val="Table Title,Table HEADER PBAC,-H18"/>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semiHidden/>
    <w:rsid w:val="004E6CFF"/>
    <w:rPr>
      <w:b/>
      <w:bCs/>
      <w:sz w:val="20"/>
      <w:szCs w:val="20"/>
    </w:rPr>
  </w:style>
  <w:style w:type="character" w:customStyle="1" w:styleId="CommentSubjectChar">
    <w:name w:val="Comment Subject Char"/>
    <w:basedOn w:val="DefaultParagraphFont"/>
    <w:link w:val="CommentSubject"/>
    <w:uiPriority w:val="99"/>
    <w:semiHidden/>
    <w:rsid w:val="004E6CFF"/>
    <w:rPr>
      <w:b/>
      <w:bCs/>
      <w:sz w:val="20"/>
      <w:szCs w:val="20"/>
    </w:rPr>
  </w:style>
  <w:style w:type="character" w:customStyle="1" w:styleId="InstructionalTextChar">
    <w:name w:val="Instructional Text Char"/>
    <w:basedOn w:val="DefaultParagraphFont"/>
    <w:link w:val="InstructionalText"/>
    <w:uiPriority w:val="3"/>
    <w:rsid w:val="00DD373C"/>
    <w:rPr>
      <w:rFonts w:cstheme="minorHAnsi"/>
      <w:color w:val="3366FF"/>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link w:val="Caption"/>
    <w:qFormat/>
    <w:rsid w:val="00FA13F3"/>
    <w:rPr>
      <w:rFonts w:ascii="Arial Narrow" w:hAnsi="Arial Narrow"/>
      <w:b/>
      <w:iCs/>
      <w:sz w:val="20"/>
      <w:szCs w:val="18"/>
    </w:rPr>
  </w:style>
  <w:style w:type="paragraph" w:customStyle="1" w:styleId="TableFooter">
    <w:name w:val="Table Footer"/>
    <w:basedOn w:val="Normal"/>
    <w:link w:val="TableFooterChar"/>
    <w:qFormat/>
    <w:rsid w:val="00EA0D94"/>
    <w:pPr>
      <w:widowControl w:val="0"/>
      <w:spacing w:before="0" w:after="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EA0D94"/>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uiPriority w:val="99"/>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481549"/>
    <w:rPr>
      <w:sz w:val="24"/>
    </w:rPr>
  </w:style>
  <w:style w:type="paragraph" w:styleId="Footer">
    <w:name w:val="footer"/>
    <w:basedOn w:val="Normal"/>
    <w:link w:val="FooterChar"/>
    <w:uiPriority w:val="99"/>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481549"/>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F825B5"/>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semiHidden/>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42"/>
    <w:semiHidden/>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semiHidden/>
    <w:rsid w:val="00D93D75"/>
    <w:pPr>
      <w:widowControl w:val="0"/>
      <w:tabs>
        <w:tab w:val="right" w:pos="1134"/>
        <w:tab w:val="right" w:leader="dot" w:pos="9015"/>
      </w:tabs>
      <w:spacing w:after="0"/>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semiHidden/>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semiHidden/>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semiHidden/>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semiHidden/>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semiHidden/>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semiHidden/>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Body Text Bullet Points Char,Numbered para Char,BulletPoints Char,List Paragraph1 Char,Bullet point Char,List Paragraph11 Char,Recommendation Char,Section heading Char,Footnote Char,Styl moj Char,l Char"/>
    <w:basedOn w:val="DefaultParagraphFont"/>
    <w:link w:val="ListParagraph"/>
    <w:uiPriority w:val="34"/>
    <w:qFormat/>
    <w:locked/>
    <w:rsid w:val="00DA180B"/>
    <w:rPr>
      <w:color w:val="000000" w:themeColor="text1"/>
      <w:sz w:val="24"/>
    </w:rPr>
  </w:style>
  <w:style w:type="numbering" w:customStyle="1" w:styleId="Headings">
    <w:name w:val="Headings"/>
    <w:uiPriority w:val="99"/>
    <w:rsid w:val="00C317F3"/>
    <w:pPr>
      <w:numPr>
        <w:numId w:val="1"/>
      </w:numPr>
    </w:pPr>
  </w:style>
  <w:style w:type="character" w:styleId="FollowedHyperlink">
    <w:name w:val="FollowedHyperlink"/>
    <w:basedOn w:val="DefaultParagraphFont"/>
    <w:uiPriority w:val="99"/>
    <w:semiHidden/>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DA180B"/>
    <w:pPr>
      <w:numPr>
        <w:numId w:val="4"/>
      </w:numPr>
      <w:tabs>
        <w:tab w:val="left" w:pos="1077"/>
      </w:tabs>
      <w:spacing w:before="240" w:line="240" w:lineRule="auto"/>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225FCB"/>
    <w:pPr>
      <w:numPr>
        <w:ilvl w:val="1"/>
      </w:numPr>
    </w:pPr>
    <w:rPr>
      <w:caps/>
    </w:rPr>
  </w:style>
  <w:style w:type="paragraph" w:customStyle="1" w:styleId="Heading2SECTION2">
    <w:name w:val="Heading 2 SECTION 2"/>
    <w:basedOn w:val="Heading2"/>
    <w:next w:val="Normal"/>
    <w:link w:val="Heading2SECTION2Char"/>
    <w:uiPriority w:val="3"/>
    <w:qFormat/>
    <w:rsid w:val="00C934DC"/>
    <w:pPr>
      <w:numPr>
        <w:ilvl w:val="2"/>
      </w:numPr>
      <w:tabs>
        <w:tab w:val="left" w:pos="1134"/>
      </w:tabs>
    </w:pPr>
  </w:style>
  <w:style w:type="character" w:customStyle="1" w:styleId="Heading1subheadingChar">
    <w:name w:val="Heading 1 subheading Char"/>
    <w:basedOn w:val="Heading1Char"/>
    <w:link w:val="Heading1subheading"/>
    <w:uiPriority w:val="3"/>
    <w:rsid w:val="00245AD1"/>
    <w:rPr>
      <w:rFonts w:eastAsiaTheme="majorEastAsia" w:cstheme="majorBidi"/>
      <w:b/>
      <w:caps/>
      <w:sz w:val="32"/>
      <w:szCs w:val="28"/>
    </w:rPr>
  </w:style>
  <w:style w:type="character" w:customStyle="1" w:styleId="Heading2SECTION2Char">
    <w:name w:val="Heading 2 SECTION 2 Char"/>
    <w:basedOn w:val="Heading2Char"/>
    <w:link w:val="Heading2SECTION2"/>
    <w:uiPriority w:val="3"/>
    <w:rsid w:val="00394C83"/>
    <w:rPr>
      <w:rFonts w:ascii="Arial" w:eastAsiaTheme="majorEastAsia" w:hAnsi="Arial" w:cstheme="majorBidi"/>
      <w:b/>
      <w:i/>
      <w:snapToGrid w:val="0"/>
      <w:sz w:val="28"/>
      <w:szCs w:val="28"/>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7D3BFB"/>
    <w:rPr>
      <w:rFonts w:ascii="Arial Narrow" w:hAnsi="Arial Narrow"/>
      <w:sz w:val="20"/>
    </w:rPr>
  </w:style>
  <w:style w:type="paragraph" w:customStyle="1" w:styleId="OutlineHeading1">
    <w:name w:val="Outline Heading 1"/>
    <w:basedOn w:val="Heading1"/>
    <w:next w:val="Normal"/>
    <w:link w:val="OutlineHeading1Char"/>
    <w:uiPriority w:val="3"/>
    <w:qFormat/>
    <w:rsid w:val="00243F24"/>
    <w:pPr>
      <w:numPr>
        <w:numId w:val="0"/>
      </w:numPr>
    </w:pPr>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SimSun" w:hAnsi="@SimSun"/>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SimSun" w:hAnsi="@SimSun"/>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SimSun" w:hAnsi="@SimSun"/>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2532B4"/>
    <w:pPr>
      <w:spacing w:after="120"/>
      <w:ind w:left="1077" w:hanging="1077"/>
      <w:jc w:val="left"/>
    </w:pPr>
    <w:rPr>
      <w:rFonts w:ascii="Calibri" w:hAnsi="Calibri"/>
    </w:rPr>
  </w:style>
  <w:style w:type="paragraph" w:customStyle="1" w:styleId="PBACESHeading2">
    <w:name w:val="PBAC ES Heading 2"/>
    <w:basedOn w:val="Heading2"/>
    <w:link w:val="PBACESHeading2Char"/>
    <w:uiPriority w:val="1"/>
    <w:qFormat/>
    <w:rsid w:val="00E54ACA"/>
    <w:pPr>
      <w:numPr>
        <w:ilvl w:val="2"/>
        <w:numId w:val="4"/>
      </w:numPr>
    </w:pPr>
    <w:rPr>
      <w:rFonts w:asciiTheme="majorHAnsi" w:hAnsiTheme="majorHAnsi"/>
    </w:rPr>
  </w:style>
  <w:style w:type="character" w:customStyle="1" w:styleId="InstructionBulletpointChar">
    <w:name w:val="Instruction Bullet point Char"/>
    <w:basedOn w:val="InstructionalTextChar"/>
    <w:link w:val="InstructionBulletpoint"/>
    <w:uiPriority w:val="3"/>
    <w:rsid w:val="002532B4"/>
    <w:rPr>
      <w:rFonts w:ascii="Calibri" w:hAnsi="Calibri" w:cstheme="minorHAnsi"/>
      <w:color w:val="3366FF"/>
      <w:sz w:val="24"/>
    </w:rPr>
  </w:style>
  <w:style w:type="character" w:customStyle="1" w:styleId="PBACESHeading2Char">
    <w:name w:val="PBAC ES Heading 2 Char"/>
    <w:basedOn w:val="Heading2Char"/>
    <w:link w:val="PBACESHeading2"/>
    <w:uiPriority w:val="1"/>
    <w:rsid w:val="00245AD1"/>
    <w:rPr>
      <w:rFonts w:asciiTheme="majorHAnsi" w:eastAsiaTheme="majorEastAsia" w:hAnsiTheme="majorHAnsi" w:cstheme="majorBidi"/>
      <w:b/>
      <w:i/>
      <w:snapToGrid w:val="0"/>
      <w:sz w:val="28"/>
      <w:szCs w:val="28"/>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pPr>
      <w:numPr>
        <w:ilvl w:val="1"/>
      </w:numPr>
    </w:pPr>
    <w:rPr>
      <w:i w:val="0"/>
      <w:smallCaps/>
      <w:sz w:val="32"/>
    </w:rPr>
  </w:style>
  <w:style w:type="paragraph" w:customStyle="1" w:styleId="PBACESHeading3">
    <w:name w:val="PBAC ES Heading 3"/>
    <w:basedOn w:val="PBACESHeading2"/>
    <w:link w:val="PBACESHeading3Char"/>
    <w:uiPriority w:val="1"/>
    <w:qFormat/>
    <w:rsid w:val="00396339"/>
    <w:pPr>
      <w:numPr>
        <w:ilvl w:val="3"/>
      </w:numPr>
    </w:pPr>
    <w:rPr>
      <w:i w:val="0"/>
      <w:sz w:val="24"/>
    </w:rPr>
  </w:style>
  <w:style w:type="character" w:customStyle="1" w:styleId="PBACESHeadingCAPSChar">
    <w:name w:val="PBAC ES Heading CAPS Char"/>
    <w:basedOn w:val="PBACESHeading2Char"/>
    <w:link w:val="PBACESHeadingCAPS"/>
    <w:uiPriority w:val="1"/>
    <w:rsid w:val="00245AD1"/>
    <w:rPr>
      <w:rFonts w:asciiTheme="majorHAnsi" w:eastAsiaTheme="majorEastAsia" w:hAnsiTheme="majorHAnsi" w:cstheme="majorBidi"/>
      <w:b/>
      <w:i w:val="0"/>
      <w:smallCaps/>
      <w:snapToGrid w:val="0"/>
      <w:sz w:val="32"/>
      <w:szCs w:val="28"/>
    </w:rPr>
  </w:style>
  <w:style w:type="character" w:customStyle="1" w:styleId="PBACESHeading3Char">
    <w:name w:val="PBAC ES Heading 3 Char"/>
    <w:basedOn w:val="PBACESHeading2Char"/>
    <w:link w:val="PBACESHeading3"/>
    <w:uiPriority w:val="1"/>
    <w:rsid w:val="00245AD1"/>
    <w:rPr>
      <w:rFonts w:asciiTheme="majorHAnsi" w:eastAsiaTheme="majorEastAsia" w:hAnsiTheme="majorHAnsi" w:cstheme="majorBidi"/>
      <w:b/>
      <w:i w:val="0"/>
      <w:snapToGrid w:val="0"/>
      <w:sz w:val="24"/>
      <w:szCs w:val="28"/>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F0152D"/>
    <w:pPr>
      <w:numPr>
        <w:ilvl w:val="0"/>
        <w:numId w:val="6"/>
      </w:numPr>
      <w:ind w:left="1491" w:hanging="357"/>
    </w:pPr>
  </w:style>
  <w:style w:type="character" w:customStyle="1" w:styleId="PBACESParagraphBulletPointChar">
    <w:name w:val="PBAC ES Paragraph Bullet Point Char"/>
    <w:basedOn w:val="ListParagraphChar"/>
    <w:link w:val="PBACESParagraphBulletPoint"/>
    <w:uiPriority w:val="1"/>
    <w:rsid w:val="00245AD1"/>
    <w:rPr>
      <w:color w:val="000000" w:themeColor="text1"/>
      <w:sz w:val="24"/>
    </w:rPr>
  </w:style>
  <w:style w:type="paragraph" w:customStyle="1" w:styleId="OutlineHeading2">
    <w:name w:val="Outline Heading 2"/>
    <w:basedOn w:val="Heading2"/>
    <w:link w:val="OutlineHeading2Char"/>
    <w:uiPriority w:val="3"/>
    <w:qFormat/>
    <w:rsid w:val="007109D8"/>
    <w:pPr>
      <w:numPr>
        <w:ilvl w:val="0"/>
        <w:numId w:val="0"/>
      </w:numPr>
    </w:pPr>
  </w:style>
  <w:style w:type="character" w:customStyle="1" w:styleId="OutlineHeading2Char">
    <w:name w:val="Outline Heading 2 Char"/>
    <w:basedOn w:val="Heading2Char"/>
    <w:link w:val="OutlineHeading2"/>
    <w:uiPriority w:val="3"/>
    <w:rsid w:val="00133B1C"/>
    <w:rPr>
      <w:rFonts w:ascii="Arial" w:eastAsiaTheme="majorEastAsia" w:hAnsi="Arial" w:cstheme="majorBidi"/>
      <w:b/>
      <w:i/>
      <w:snapToGrid w:val="0"/>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Pr>
      <w:tabs>
        <w:tab w:val="left" w:pos="1418"/>
      </w:tabs>
    </w:pPr>
    <w:rPr>
      <w:i/>
    </w:rPr>
  </w:style>
  <w:style w:type="character" w:customStyle="1" w:styleId="Heading2ClinicalChar">
    <w:name w:val="Heading 2 Clinical Char"/>
    <w:basedOn w:val="Heading4Char"/>
    <w:link w:val="Heading2Clinical"/>
    <w:uiPriority w:val="1"/>
    <w:semiHidden/>
    <w:rsid w:val="00394C83"/>
    <w:rPr>
      <w:rFonts w:eastAsiaTheme="majorEastAsia" w:cstheme="majorBidi"/>
      <w:b/>
      <w:i/>
      <w:color w:val="000000" w:themeColor="text1"/>
      <w:sz w:val="28"/>
      <w:szCs w:val="28"/>
    </w:rPr>
  </w:style>
  <w:style w:type="paragraph" w:customStyle="1" w:styleId="MSACSubtitle">
    <w:name w:val="MSAC Subtitle"/>
    <w:basedOn w:val="Normal"/>
    <w:next w:val="Normal"/>
    <w:link w:val="MSACSubtitleChar"/>
    <w:uiPriority w:val="1"/>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DA180B"/>
    <w:rPr>
      <w:rFonts w:eastAsia="Times New Roman" w:cs="Arial"/>
      <w:b/>
      <w:snapToGrid w:val="0"/>
      <w:sz w:val="32"/>
      <w:szCs w:val="32"/>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qFormat/>
    <w:rsid w:val="001E1827"/>
    <w:pPr>
      <w:numPr>
        <w:ilvl w:val="5"/>
        <w:numId w:val="4"/>
      </w:numPr>
      <w:spacing w:before="160" w:after="240"/>
    </w:pPr>
    <w:rPr>
      <w:rFonts w:ascii="Arial" w:hAnsi="Arial"/>
      <w:sz w:val="24"/>
    </w:rPr>
  </w:style>
  <w:style w:type="paragraph" w:customStyle="1" w:styleId="MSACESParagraph">
    <w:name w:val="MSAC ES Paragraph"/>
    <w:link w:val="MSACESParagraphChar"/>
    <w:uiPriority w:val="1"/>
    <w:rsid w:val="00EB360C"/>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qFormat/>
    <w:rsid w:val="001E1827"/>
    <w:pPr>
      <w:numPr>
        <w:ilvl w:val="6"/>
        <w:numId w:val="4"/>
      </w:numPr>
    </w:pPr>
    <w:rPr>
      <w:rFonts w:ascii="Cambria" w:hAnsi="Cambria"/>
      <w:i w:val="0"/>
      <w:sz w:val="24"/>
    </w:rPr>
  </w:style>
  <w:style w:type="paragraph" w:customStyle="1" w:styleId="MSACESBulletPoint">
    <w:name w:val="MSAC ES Bullet Point"/>
    <w:basedOn w:val="MSACESParagraph"/>
    <w:link w:val="MSACESBulletPointChar"/>
    <w:uiPriority w:val="1"/>
    <w:rsid w:val="002532B4"/>
    <w:pPr>
      <w:numPr>
        <w:numId w:val="3"/>
      </w:numPr>
      <w:spacing w:before="120" w:after="120"/>
      <w:ind w:left="714" w:hanging="357"/>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b/>
      <w:snapToGrid w:val="0"/>
      <w:sz w:val="24"/>
      <w:szCs w:val="28"/>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4E6CFF"/>
    <w:rPr>
      <w:rFonts w:ascii="Times New Roman" w:hAnsi="Times New Roman"/>
      <w:sz w:val="24"/>
    </w:rPr>
  </w:style>
  <w:style w:type="character" w:customStyle="1" w:styleId="MSACESBulletPointChar">
    <w:name w:val="MSAC ES Bullet Point Char"/>
    <w:basedOn w:val="MSACESParagraphChar"/>
    <w:link w:val="MSACESBulletPoint"/>
    <w:uiPriority w:val="1"/>
    <w:rsid w:val="00394C83"/>
    <w:rPr>
      <w:rFonts w:ascii="Times New Roman" w:hAnsi="Times New Roman"/>
      <w:sz w:val="24"/>
    </w:rPr>
  </w:style>
  <w:style w:type="paragraph" w:customStyle="1" w:styleId="ESHeading1">
    <w:name w:val="ES Heading 1"/>
    <w:basedOn w:val="Heading1"/>
    <w:next w:val="Heading1"/>
    <w:uiPriority w:val="8"/>
    <w:semiHidden/>
    <w:rsid w:val="00703418"/>
    <w:pPr>
      <w:numPr>
        <w:numId w:val="0"/>
      </w:numPr>
      <w:spacing w:before="240" w:line="240" w:lineRule="auto"/>
      <w:ind w:left="720" w:hanging="720"/>
    </w:pPr>
    <w:rPr>
      <w:rFonts w:eastAsia="Times New Roman" w:cs="Arial"/>
      <w:snapToGrid w:val="0"/>
      <w:szCs w:val="32"/>
    </w:rPr>
  </w:style>
  <w:style w:type="paragraph" w:customStyle="1" w:styleId="ESHeading2">
    <w:name w:val="ES Heading 2"/>
    <w:basedOn w:val="Heading2"/>
    <w:uiPriority w:val="8"/>
    <w:semiHidden/>
    <w:rsid w:val="00703418"/>
    <w:pPr>
      <w:numPr>
        <w:ilvl w:val="0"/>
        <w:numId w:val="0"/>
      </w:num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sz w:val="24"/>
    </w:rPr>
  </w:style>
  <w:style w:type="numbering" w:customStyle="1" w:styleId="MSACESBulletpoints">
    <w:name w:val="MSAC ES Bullet points"/>
    <w:uiPriority w:val="99"/>
    <w:rsid w:val="00FA1A77"/>
  </w:style>
  <w:style w:type="paragraph" w:customStyle="1" w:styleId="MainBodyBulletPoint">
    <w:name w:val="MainBody Bullet Point"/>
    <w:basedOn w:val="InstructionBulletpoint"/>
    <w:link w:val="MainBodyBulletPointChar"/>
    <w:uiPriority w:val="1"/>
    <w:qFormat/>
    <w:rsid w:val="002532B4"/>
    <w:pPr>
      <w:ind w:left="720" w:hanging="360"/>
    </w:pPr>
    <w:rPr>
      <w:color w:val="auto"/>
    </w:rPr>
  </w:style>
  <w:style w:type="character" w:customStyle="1" w:styleId="MainBodyBulletPointChar">
    <w:name w:val="MainBody Bullet Point Char"/>
    <w:basedOn w:val="InstructionBulletpointChar"/>
    <w:link w:val="MainBodyBulletPoint"/>
    <w:uiPriority w:val="1"/>
    <w:rsid w:val="00F61E38"/>
    <w:rPr>
      <w:rFonts w:ascii="Calibri" w:hAnsi="Calibri" w:cstheme="minorHAnsi"/>
      <w:color w:val="3366FF"/>
      <w:sz w:val="24"/>
    </w:rPr>
  </w:style>
  <w:style w:type="character" w:customStyle="1" w:styleId="OutlineHeading1Char">
    <w:name w:val="Outline Heading 1 Char"/>
    <w:basedOn w:val="Heading1Char"/>
    <w:link w:val="OutlineHeading1"/>
    <w:uiPriority w:val="3"/>
    <w:rsid w:val="00F630C9"/>
    <w:rPr>
      <w:rFonts w:eastAsiaTheme="majorEastAsia" w:cstheme="majorBidi"/>
      <w:b/>
      <w:sz w:val="32"/>
      <w:szCs w:val="28"/>
    </w:rPr>
  </w:style>
  <w:style w:type="numbering" w:customStyle="1" w:styleId="Style1">
    <w:name w:val="Style1"/>
    <w:uiPriority w:val="99"/>
    <w:rsid w:val="009A580E"/>
    <w:pPr>
      <w:numPr>
        <w:numId w:val="5"/>
      </w:numPr>
    </w:pPr>
  </w:style>
  <w:style w:type="numbering" w:customStyle="1" w:styleId="Style2">
    <w:name w:val="Style2"/>
    <w:uiPriority w:val="99"/>
    <w:rsid w:val="002A391F"/>
    <w:pPr>
      <w:numPr>
        <w:numId w:val="8"/>
      </w:numPr>
    </w:pPr>
  </w:style>
  <w:style w:type="table" w:customStyle="1" w:styleId="ListTable1Light1">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rsid w:val="003D1FB3"/>
    <w:rPr>
      <w:i/>
      <w:iCs/>
    </w:rPr>
  </w:style>
  <w:style w:type="numbering" w:customStyle="1" w:styleId="Style3">
    <w:name w:val="Style3"/>
    <w:uiPriority w:val="99"/>
    <w:rsid w:val="0076446C"/>
    <w:pPr>
      <w:numPr>
        <w:numId w:val="17"/>
      </w:numPr>
    </w:pPr>
  </w:style>
  <w:style w:type="character" w:customStyle="1" w:styleId="TableRowHeaderChar">
    <w:name w:val="Table Row Header Char"/>
    <w:basedOn w:val="TableTextChar"/>
    <w:link w:val="TableRowHeader"/>
    <w:rsid w:val="0015150F"/>
    <w:rPr>
      <w:rFonts w:ascii="Arial Narrow" w:hAnsi="Arial Narrow"/>
      <w:b/>
      <w:sz w:val="20"/>
    </w:rPr>
  </w:style>
  <w:style w:type="paragraph" w:styleId="CommentText">
    <w:name w:val="annotation text"/>
    <w:aliases w:val="Comment Text Char1 Char,Comment Text Char Char Char,Comment Text Char1,- H19,Char1,Char2, Char1,Comment Text Char Char1,Comment Text Char2 Char Char,Comment Text Char Char1 Char Char,Comment Text Char2 Char Char Char Char"/>
    <w:basedOn w:val="Normal"/>
    <w:link w:val="CommentTextChar"/>
    <w:unhideWhenUsed/>
    <w:rsid w:val="001952BB"/>
    <w:rPr>
      <w:sz w:val="20"/>
      <w:szCs w:val="20"/>
    </w:rPr>
  </w:style>
  <w:style w:type="character" w:customStyle="1" w:styleId="CommentTextChar">
    <w:name w:val="Comment Text Char"/>
    <w:aliases w:val="Comment Text Char1 Char Char,Comment Text Char Char Char Char,Comment Text Char1 Char1,- H19 Char,Char1 Char,Char2 Char, Char1 Char,Comment Text Char Char1 Char,Comment Text Char2 Char Char Char,Comment Text Char Char1 Char Char Char"/>
    <w:basedOn w:val="DefaultParagraphFont"/>
    <w:link w:val="CommentText"/>
    <w:rsid w:val="001952BB"/>
    <w:rPr>
      <w:sz w:val="20"/>
      <w:szCs w:val="20"/>
    </w:rPr>
  </w:style>
  <w:style w:type="paragraph" w:customStyle="1" w:styleId="Guidelinescross-ref">
    <w:name w:val="Guidelines cross-ref"/>
    <w:basedOn w:val="Normal"/>
    <w:rsid w:val="001952BB"/>
    <w:pPr>
      <w:spacing w:before="240" w:after="240" w:line="259" w:lineRule="auto"/>
      <w:jc w:val="left"/>
    </w:pPr>
    <w:rPr>
      <w:rFonts w:ascii="Franklin Gothic Book" w:hAnsi="Franklin Gothic Book"/>
      <w:b/>
      <w:color w:val="0070C0"/>
    </w:rPr>
  </w:style>
  <w:style w:type="paragraph" w:customStyle="1" w:styleId="Instructionaltext0">
    <w:name w:val="Instructional text"/>
    <w:basedOn w:val="Normal"/>
    <w:link w:val="InstructionaltextChar0"/>
    <w:rsid w:val="001952BB"/>
    <w:pPr>
      <w:spacing w:line="259" w:lineRule="auto"/>
      <w:jc w:val="left"/>
    </w:pPr>
    <w:rPr>
      <w:rFonts w:ascii="Franklin Gothic Book" w:hAnsi="Franklin Gothic Book"/>
      <w:color w:val="258221"/>
      <w:sz w:val="22"/>
    </w:rPr>
  </w:style>
  <w:style w:type="character" w:customStyle="1" w:styleId="InstructionaltextChar0">
    <w:name w:val="Instructional text Char"/>
    <w:basedOn w:val="DefaultParagraphFont"/>
    <w:link w:val="Instructionaltext0"/>
    <w:rsid w:val="001952BB"/>
    <w:rPr>
      <w:rFonts w:ascii="Franklin Gothic Book" w:hAnsi="Franklin Gothic Book"/>
      <w:color w:val="258221"/>
    </w:rPr>
  </w:style>
  <w:style w:type="paragraph" w:customStyle="1" w:styleId="Instructionaltext-afterfiguretable">
    <w:name w:val="Instructional text - after figure/table"/>
    <w:basedOn w:val="Instructionaltext0"/>
    <w:rsid w:val="008A41CD"/>
    <w:pPr>
      <w:spacing w:before="360"/>
    </w:pPr>
  </w:style>
  <w:style w:type="paragraph" w:customStyle="1" w:styleId="Instructionaltext-bullet">
    <w:name w:val="Instructional text - bullet"/>
    <w:basedOn w:val="Instructionaltext0"/>
    <w:rsid w:val="00FD07C6"/>
    <w:pPr>
      <w:numPr>
        <w:numId w:val="8"/>
      </w:numPr>
      <w:spacing w:before="0" w:after="0"/>
      <w:ind w:left="714" w:hanging="357"/>
    </w:pPr>
  </w:style>
  <w:style w:type="paragraph" w:customStyle="1" w:styleId="TableFigureFooter">
    <w:name w:val="Table/Figure Footer"/>
    <w:basedOn w:val="Normal"/>
    <w:link w:val="TableFigureFooterChar"/>
    <w:qFormat/>
    <w:rsid w:val="00817447"/>
    <w:pPr>
      <w:tabs>
        <w:tab w:val="left" w:pos="284"/>
      </w:tabs>
      <w:spacing w:before="0" w:after="0"/>
      <w:jc w:val="left"/>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817447"/>
    <w:rPr>
      <w:rFonts w:ascii="Arial Narrow" w:eastAsia="Times New Roman" w:hAnsi="Arial Narrow" w:cs="Arial"/>
      <w:snapToGrid w:val="0"/>
      <w:sz w:val="18"/>
      <w:lang w:eastAsia="en-AU"/>
    </w:rPr>
  </w:style>
  <w:style w:type="paragraph" w:customStyle="1" w:styleId="Bullet">
    <w:name w:val="Bullet"/>
    <w:basedOn w:val="Normal"/>
    <w:qFormat/>
    <w:rsid w:val="00E44C0B"/>
    <w:pPr>
      <w:numPr>
        <w:numId w:val="9"/>
      </w:numPr>
      <w:spacing w:after="120"/>
      <w:jc w:val="left"/>
    </w:pPr>
    <w:rPr>
      <w:sz w:val="22"/>
    </w:rPr>
  </w:style>
  <w:style w:type="paragraph" w:customStyle="1" w:styleId="Summaryboxheading">
    <w:name w:val="Summary box heading"/>
    <w:basedOn w:val="Normal"/>
    <w:rsid w:val="00276C8F"/>
    <w:pPr>
      <w:spacing w:after="100" w:afterAutospacing="1" w:line="259" w:lineRule="auto"/>
    </w:pPr>
    <w:rPr>
      <w:rFonts w:ascii="Arial Narrow" w:eastAsia="Times New Roman" w:hAnsi="Arial Narrow" w:cs="Tahoma"/>
      <w:b/>
      <w:sz w:val="22"/>
      <w:lang w:eastAsia="en-AU"/>
    </w:rPr>
  </w:style>
  <w:style w:type="paragraph" w:customStyle="1" w:styleId="In-tableHeading">
    <w:name w:val="In-table Heading"/>
    <w:qFormat/>
    <w:rsid w:val="000239BE"/>
    <w:pPr>
      <w:keepNext/>
      <w:spacing w:after="0" w:line="240" w:lineRule="auto"/>
    </w:pPr>
    <w:rPr>
      <w:rFonts w:ascii="Arial Narrow" w:eastAsiaTheme="majorEastAsia" w:hAnsi="Arial Narrow" w:cs="Times New Roman"/>
      <w:b/>
      <w:sz w:val="20"/>
      <w:szCs w:val="24"/>
      <w:lang w:val="en-US" w:eastAsia="en-AU"/>
    </w:rPr>
  </w:style>
  <w:style w:type="paragraph" w:customStyle="1" w:styleId="Tabletext0">
    <w:name w:val="Table text"/>
    <w:basedOn w:val="Normal"/>
    <w:link w:val="TabletextChar0"/>
    <w:rsid w:val="00F4445A"/>
    <w:pPr>
      <w:spacing w:before="0" w:after="0"/>
      <w:jc w:val="left"/>
    </w:pPr>
    <w:rPr>
      <w:rFonts w:ascii="Arial Narrow" w:eastAsia="Times New Roman" w:hAnsi="Arial Narrow" w:cs="Times New Roman"/>
      <w:snapToGrid w:val="0"/>
      <w:sz w:val="20"/>
      <w:szCs w:val="24"/>
      <w:lang w:eastAsia="en-AU"/>
    </w:rPr>
  </w:style>
  <w:style w:type="character" w:customStyle="1" w:styleId="TabletextChar0">
    <w:name w:val="Table text Char"/>
    <w:link w:val="Tabletext0"/>
    <w:rsid w:val="00F4445A"/>
    <w:rPr>
      <w:rFonts w:ascii="Arial Narrow" w:eastAsia="Times New Roman" w:hAnsi="Arial Narrow" w:cs="Times New Roman"/>
      <w:snapToGrid w:val="0"/>
      <w:sz w:val="20"/>
      <w:szCs w:val="24"/>
      <w:lang w:eastAsia="en-AU"/>
    </w:rPr>
  </w:style>
  <w:style w:type="paragraph" w:customStyle="1" w:styleId="TableFigureHeading">
    <w:name w:val="Table/Figure Heading"/>
    <w:next w:val="In-tableHeading"/>
    <w:link w:val="TableFigureHeadingChar"/>
    <w:qFormat/>
    <w:rsid w:val="00F4445A"/>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4445A"/>
    <w:rPr>
      <w:rFonts w:ascii="Arial Narrow" w:eastAsiaTheme="majorEastAsia" w:hAnsi="Arial Narrow" w:cstheme="majorBidi"/>
      <w:b/>
      <w:bCs/>
      <w:sz w:val="20"/>
      <w:szCs w:val="24"/>
      <w:lang w:eastAsia="en-AU"/>
    </w:rPr>
  </w:style>
  <w:style w:type="table" w:customStyle="1" w:styleId="ASDTable1">
    <w:name w:val="ASD Table1"/>
    <w:basedOn w:val="TableNormal"/>
    <w:next w:val="TableGrid"/>
    <w:uiPriority w:val="39"/>
    <w:rsid w:val="00CD7A4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ListParagraph"/>
    <w:rsid w:val="00636D93"/>
    <w:pPr>
      <w:numPr>
        <w:ilvl w:val="0"/>
        <w:numId w:val="10"/>
      </w:numPr>
      <w:spacing w:before="0"/>
      <w:contextualSpacing/>
    </w:pPr>
    <w:rPr>
      <w:rFonts w:eastAsia="Times New Roman" w:cs="Arial"/>
      <w:snapToGrid w:val="0"/>
      <w:color w:val="auto"/>
      <w:szCs w:val="24"/>
      <w:lang w:eastAsia="en-AU"/>
    </w:rPr>
  </w:style>
  <w:style w:type="paragraph" w:customStyle="1" w:styleId="Commentitalics">
    <w:name w:val="Comment (italics)"/>
    <w:basedOn w:val="Normal"/>
    <w:next w:val="Normal"/>
    <w:rsid w:val="00571D72"/>
    <w:pPr>
      <w:spacing w:before="0" w:after="0"/>
    </w:pPr>
    <w:rPr>
      <w:rFonts w:ascii="Calibri" w:eastAsia="Times New Roman" w:hAnsi="Calibri" w:cs="Arial"/>
      <w:i/>
      <w:szCs w:val="24"/>
      <w:lang w:eastAsia="en-AU"/>
    </w:rPr>
  </w:style>
  <w:style w:type="paragraph" w:customStyle="1" w:styleId="2-SectionHeading">
    <w:name w:val="2-Section Heading"/>
    <w:qFormat/>
    <w:rsid w:val="00571D72"/>
    <w:pPr>
      <w:keepNext/>
      <w:spacing w:before="240" w:after="120" w:line="240" w:lineRule="auto"/>
      <w:ind w:left="720" w:hanging="720"/>
      <w:outlineLvl w:val="0"/>
    </w:pPr>
    <w:rPr>
      <w:rFonts w:eastAsia="Times New Roman" w:cs="Arial"/>
      <w:b/>
      <w:snapToGrid w:val="0"/>
      <w:sz w:val="32"/>
      <w:szCs w:val="32"/>
      <w:lang w:eastAsia="en-AU"/>
    </w:rPr>
  </w:style>
  <w:style w:type="paragraph" w:customStyle="1" w:styleId="3-BodyText">
    <w:name w:val="3-Body Text"/>
    <w:basedOn w:val="ListParagraph"/>
    <w:link w:val="3-BodyTextChar"/>
    <w:qFormat/>
    <w:rsid w:val="00571D72"/>
    <w:pPr>
      <w:numPr>
        <w:ilvl w:val="0"/>
        <w:numId w:val="0"/>
      </w:numPr>
      <w:spacing w:before="0"/>
      <w:ind w:left="720" w:hanging="720"/>
    </w:pPr>
    <w:rPr>
      <w:rFonts w:eastAsia="Times New Roman" w:cs="Arial"/>
      <w:snapToGrid w:val="0"/>
      <w:color w:val="auto"/>
      <w:szCs w:val="24"/>
      <w:lang w:eastAsia="en-AU"/>
    </w:rPr>
  </w:style>
  <w:style w:type="character" w:customStyle="1" w:styleId="3-BodyTextChar">
    <w:name w:val="3-Body Text Char"/>
    <w:basedOn w:val="ListParagraphChar"/>
    <w:link w:val="3-BodyText"/>
    <w:rsid w:val="009E2636"/>
    <w:rPr>
      <w:rFonts w:eastAsia="Times New Roman" w:cs="Arial"/>
      <w:snapToGrid w:val="0"/>
      <w:color w:val="000000" w:themeColor="text1"/>
      <w:sz w:val="24"/>
      <w:szCs w:val="24"/>
      <w:lang w:eastAsia="en-AU"/>
    </w:rPr>
  </w:style>
  <w:style w:type="paragraph" w:customStyle="1" w:styleId="RegularText">
    <w:name w:val="Regular Text"/>
    <w:basedOn w:val="BodyText"/>
    <w:link w:val="RegularTextChar"/>
    <w:rsid w:val="009E2636"/>
    <w:pPr>
      <w:spacing w:before="0" w:after="0"/>
      <w:jc w:val="left"/>
    </w:pPr>
    <w:rPr>
      <w:rFonts w:ascii="Calibri" w:eastAsia="Times New Roman" w:hAnsi="Calibri" w:cs="Arial"/>
      <w:b/>
      <w:szCs w:val="24"/>
      <w:lang w:eastAsia="en-AU"/>
    </w:rPr>
  </w:style>
  <w:style w:type="character" w:customStyle="1" w:styleId="RegularTextChar">
    <w:name w:val="Regular Text Char"/>
    <w:basedOn w:val="BodyTextChar"/>
    <w:link w:val="RegularText"/>
    <w:rsid w:val="009E2636"/>
    <w:rPr>
      <w:rFonts w:ascii="Calibri" w:eastAsia="Times New Roman" w:hAnsi="Calibri" w:cs="Arial"/>
      <w:b/>
      <w:sz w:val="24"/>
      <w:szCs w:val="24"/>
      <w:lang w:eastAsia="en-AU"/>
    </w:rPr>
  </w:style>
  <w:style w:type="paragraph" w:styleId="BodyText">
    <w:name w:val="Body Text"/>
    <w:basedOn w:val="Normal"/>
    <w:link w:val="BodyTextChar"/>
    <w:uiPriority w:val="4"/>
    <w:semiHidden/>
    <w:unhideWhenUsed/>
    <w:rsid w:val="009E2636"/>
    <w:pPr>
      <w:spacing w:after="120"/>
    </w:pPr>
  </w:style>
  <w:style w:type="character" w:customStyle="1" w:styleId="BodyTextChar">
    <w:name w:val="Body Text Char"/>
    <w:basedOn w:val="DefaultParagraphFont"/>
    <w:link w:val="BodyText"/>
    <w:uiPriority w:val="4"/>
    <w:semiHidden/>
    <w:rsid w:val="009E2636"/>
    <w:rPr>
      <w:sz w:val="24"/>
    </w:rPr>
  </w:style>
  <w:style w:type="paragraph" w:customStyle="1" w:styleId="4-SubsectionHeading">
    <w:name w:val="4-Subsection Heading"/>
    <w:basedOn w:val="Heading2"/>
    <w:next w:val="3-BodyText"/>
    <w:link w:val="4-SubsectionHeadingChar"/>
    <w:qFormat/>
    <w:rsid w:val="00C15EDC"/>
    <w:pPr>
      <w:keepLines w:val="0"/>
      <w:numPr>
        <w:ilvl w:val="0"/>
        <w:numId w:val="0"/>
      </w:numPr>
      <w:spacing w:before="120"/>
      <w:jc w:val="both"/>
    </w:pPr>
    <w:rPr>
      <w:snapToGrid/>
      <w:spacing w:val="5"/>
      <w:kern w:val="28"/>
      <w:szCs w:val="36"/>
      <w:lang w:eastAsia="en-AU"/>
    </w:rPr>
  </w:style>
  <w:style w:type="character" w:customStyle="1" w:styleId="4-SubsectionHeadingChar">
    <w:name w:val="4-Subsection Heading Char"/>
    <w:basedOn w:val="Heading2Char"/>
    <w:link w:val="4-SubsectionHeading"/>
    <w:rsid w:val="00C15EDC"/>
    <w:rPr>
      <w:rFonts w:ascii="Arial" w:eastAsiaTheme="majorEastAsia" w:hAnsi="Arial" w:cstheme="majorBidi"/>
      <w:b/>
      <w:i/>
      <w:snapToGrid/>
      <w:spacing w:val="5"/>
      <w:kern w:val="28"/>
      <w:sz w:val="28"/>
      <w:szCs w:val="36"/>
      <w:lang w:eastAsia="en-AU"/>
    </w:rPr>
  </w:style>
  <w:style w:type="paragraph" w:customStyle="1" w:styleId="TableHeading">
    <w:name w:val="TableHeading"/>
    <w:basedOn w:val="Normal"/>
    <w:link w:val="TableHeadingChar"/>
    <w:rsid w:val="00082422"/>
    <w:pPr>
      <w:keepNext/>
      <w:spacing w:after="60"/>
      <w:jc w:val="left"/>
    </w:pPr>
    <w:rPr>
      <w:rFonts w:ascii="Arial Narrow" w:hAnsi="Arial Narrow"/>
      <w:b/>
      <w:sz w:val="20"/>
    </w:rPr>
  </w:style>
  <w:style w:type="character" w:customStyle="1" w:styleId="TableHeadingChar">
    <w:name w:val="TableHeading Char"/>
    <w:link w:val="TableHeading"/>
    <w:rsid w:val="00082422"/>
    <w:rPr>
      <w:rFonts w:ascii="Arial Narrow" w:hAnsi="Arial Narrow"/>
      <w:b/>
      <w:sz w:val="20"/>
    </w:rPr>
  </w:style>
  <w:style w:type="character" w:styleId="UnresolvedMention">
    <w:name w:val="Unresolved Mention"/>
    <w:basedOn w:val="DefaultParagraphFont"/>
    <w:uiPriority w:val="99"/>
    <w:semiHidden/>
    <w:unhideWhenUsed/>
    <w:rsid w:val="007C5313"/>
    <w:rPr>
      <w:color w:val="605E5C"/>
      <w:shd w:val="clear" w:color="auto" w:fill="E1DFDD"/>
    </w:rPr>
  </w:style>
  <w:style w:type="paragraph" w:customStyle="1" w:styleId="ExecSumBodyText">
    <w:name w:val="Exec Sum Body Text"/>
    <w:basedOn w:val="Normal"/>
    <w:link w:val="ExecSumBodyTextChar"/>
    <w:uiPriority w:val="99"/>
    <w:rsid w:val="000E0CF4"/>
    <w:pPr>
      <w:spacing w:before="0" w:after="120"/>
      <w:ind w:left="720" w:hanging="720"/>
    </w:pPr>
    <w:rPr>
      <w:rFonts w:eastAsia="Times New Roman" w:cs="Arial"/>
      <w:snapToGrid w:val="0"/>
      <w:szCs w:val="24"/>
      <w:lang w:eastAsia="en-AU"/>
    </w:rPr>
  </w:style>
  <w:style w:type="character" w:customStyle="1" w:styleId="ExecSumBodyTextChar">
    <w:name w:val="Exec Sum Body Text Char"/>
    <w:basedOn w:val="DefaultParagraphFont"/>
    <w:link w:val="ExecSumBodyText"/>
    <w:uiPriority w:val="99"/>
    <w:rsid w:val="000E0CF4"/>
    <w:rPr>
      <w:rFonts w:eastAsia="Times New Roman" w:cs="Arial"/>
      <w:snapToGrid w:val="0"/>
      <w:sz w:val="24"/>
      <w:szCs w:val="24"/>
      <w:lang w:eastAsia="en-AU"/>
    </w:rPr>
  </w:style>
  <w:style w:type="paragraph" w:customStyle="1" w:styleId="Default">
    <w:name w:val="Default"/>
    <w:rsid w:val="00C66AAF"/>
    <w:pPr>
      <w:autoSpaceDE w:val="0"/>
      <w:autoSpaceDN w:val="0"/>
      <w:adjustRightInd w:val="0"/>
      <w:spacing w:after="0" w:line="240" w:lineRule="auto"/>
    </w:pPr>
    <w:rPr>
      <w:rFonts w:ascii="Calibri" w:hAnsi="Calibri" w:cs="Calibri"/>
      <w:color w:val="000000"/>
      <w:sz w:val="24"/>
      <w:szCs w:val="24"/>
      <w:lang w:val="en-US"/>
    </w:rPr>
  </w:style>
  <w:style w:type="character" w:customStyle="1" w:styleId="CaptionFootnoteChar">
    <w:name w:val="Caption Footnote Char"/>
    <w:basedOn w:val="DefaultParagraphFont"/>
    <w:link w:val="CaptionFootnote"/>
    <w:rsid w:val="006A5418"/>
    <w:rPr>
      <w:rFonts w:eastAsia="Times New Roman" w:cs="Times New Roman"/>
      <w:kern w:val="28"/>
      <w:sz w:val="16"/>
      <w:szCs w:val="24"/>
      <w:lang w:eastAsia="en-GB"/>
    </w:rPr>
  </w:style>
  <w:style w:type="paragraph" w:customStyle="1" w:styleId="CaptionFootnote">
    <w:name w:val="Caption Footnote"/>
    <w:basedOn w:val="Normal"/>
    <w:link w:val="CaptionFootnoteChar"/>
    <w:qFormat/>
    <w:rsid w:val="006A5418"/>
    <w:pPr>
      <w:spacing w:before="0" w:after="0"/>
      <w:jc w:val="left"/>
    </w:pPr>
    <w:rPr>
      <w:rFonts w:eastAsia="Times New Roman" w:cs="Times New Roman"/>
      <w:kern w:val="28"/>
      <w:sz w:val="16"/>
      <w:szCs w:val="24"/>
      <w:lang w:eastAsia="en-GB"/>
    </w:rPr>
  </w:style>
  <w:style w:type="character" w:styleId="SubtleReference">
    <w:name w:val="Subtle Reference"/>
    <w:basedOn w:val="DefaultParagraphFont"/>
    <w:uiPriority w:val="31"/>
    <w:rsid w:val="008B30A5"/>
    <w:rPr>
      <w:smallCaps/>
    </w:rPr>
  </w:style>
  <w:style w:type="paragraph" w:customStyle="1" w:styleId="COMH3">
    <w:name w:val="COM H3"/>
    <w:basedOn w:val="Normal"/>
    <w:next w:val="Normal"/>
    <w:link w:val="COMH3Char"/>
    <w:qFormat/>
    <w:rsid w:val="00C75C91"/>
    <w:pPr>
      <w:keepNext/>
      <w:spacing w:before="0" w:after="240"/>
    </w:pPr>
    <w:rPr>
      <w:rFonts w:ascii="Calibri" w:eastAsia="Times New Roman" w:hAnsi="Calibri" w:cs="Arial"/>
      <w:b/>
      <w:iCs/>
      <w:sz w:val="28"/>
      <w:szCs w:val="24"/>
      <w:lang w:eastAsia="en-AU"/>
    </w:rPr>
  </w:style>
  <w:style w:type="character" w:customStyle="1" w:styleId="COMH3Char">
    <w:name w:val="COM H3 Char"/>
    <w:basedOn w:val="DefaultParagraphFont"/>
    <w:link w:val="COMH3"/>
    <w:rsid w:val="00C75C91"/>
    <w:rPr>
      <w:rFonts w:ascii="Calibri" w:eastAsia="Times New Roman" w:hAnsi="Calibri" w:cs="Arial"/>
      <w:b/>
      <w:iCs/>
      <w:sz w:val="28"/>
      <w:szCs w:val="24"/>
      <w:lang w:eastAsia="en-AU"/>
    </w:rPr>
  </w:style>
  <w:style w:type="paragraph" w:styleId="ListBullet">
    <w:name w:val="List Bullet"/>
    <w:basedOn w:val="Normal"/>
    <w:uiPriority w:val="99"/>
    <w:semiHidden/>
    <w:rsid w:val="00AE6F3B"/>
    <w:pPr>
      <w:contextualSpacing/>
    </w:pPr>
  </w:style>
  <w:style w:type="paragraph" w:customStyle="1" w:styleId="TableBullet">
    <w:name w:val="TableBullet"/>
    <w:basedOn w:val="ListBullet"/>
    <w:qFormat/>
    <w:rsid w:val="00DE06E8"/>
    <w:pPr>
      <w:tabs>
        <w:tab w:val="num" w:pos="432"/>
      </w:tabs>
      <w:suppressAutoHyphens/>
      <w:spacing w:before="0" w:after="40"/>
      <w:ind w:left="181" w:hanging="181"/>
      <w:jc w:val="left"/>
    </w:pPr>
    <w:rPr>
      <w:rFonts w:ascii="Calibri" w:eastAsia="Times New Roman" w:hAnsi="Calibri" w:cs="Times New Roman"/>
      <w:color w:val="000000"/>
      <w:sz w:val="18"/>
      <w:szCs w:val="20"/>
      <w:lang w:val="en-US"/>
    </w:rPr>
  </w:style>
  <w:style w:type="table" w:styleId="LightList-Accent6">
    <w:name w:val="Light List Accent 6"/>
    <w:basedOn w:val="TableNormal"/>
    <w:uiPriority w:val="61"/>
    <w:unhideWhenUsed/>
    <w:rsid w:val="00DE06E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ListAlphabeticalLevel1">
    <w:name w:val="List Alphabetical Level 1"/>
    <w:basedOn w:val="Normal"/>
    <w:rsid w:val="00DE06E8"/>
    <w:pPr>
      <w:numPr>
        <w:numId w:val="14"/>
      </w:numPr>
      <w:spacing w:after="0"/>
      <w:jc w:val="left"/>
    </w:pPr>
    <w:rPr>
      <w:rFonts w:ascii="Times New Roman" w:eastAsia="MS Mincho" w:hAnsi="Times New Roman" w:cs="Times New Roman"/>
      <w:color w:val="000000"/>
      <w:szCs w:val="24"/>
      <w:lang w:val="en-US"/>
    </w:rPr>
  </w:style>
  <w:style w:type="paragraph" w:customStyle="1" w:styleId="ListNumberlast">
    <w:name w:val="List Number last"/>
    <w:basedOn w:val="ListNumber"/>
    <w:next w:val="Normal"/>
    <w:uiPriority w:val="99"/>
    <w:rsid w:val="00DE06E8"/>
    <w:pPr>
      <w:numPr>
        <w:numId w:val="0"/>
      </w:numPr>
      <w:spacing w:before="0" w:after="240" w:line="360" w:lineRule="auto"/>
      <w:ind w:left="360" w:hanging="360"/>
      <w:contextualSpacing w:val="0"/>
      <w:jc w:val="left"/>
    </w:pPr>
    <w:rPr>
      <w:rFonts w:ascii="Arial" w:eastAsia="Times New Roman" w:hAnsi="Arial" w:cs="Times New Roman"/>
      <w:szCs w:val="24"/>
      <w:lang w:val="en-GB"/>
    </w:rPr>
  </w:style>
  <w:style w:type="paragraph" w:styleId="ListNumber">
    <w:name w:val="List Number"/>
    <w:basedOn w:val="Normal"/>
    <w:uiPriority w:val="99"/>
    <w:semiHidden/>
    <w:rsid w:val="00DE06E8"/>
    <w:pPr>
      <w:numPr>
        <w:numId w:val="15"/>
      </w:numPr>
      <w:tabs>
        <w:tab w:val="num" w:pos="360"/>
      </w:tabs>
      <w:ind w:left="360"/>
      <w:contextualSpacing/>
    </w:pPr>
  </w:style>
  <w:style w:type="character" w:styleId="Mention">
    <w:name w:val="Mention"/>
    <w:basedOn w:val="DefaultParagraphFont"/>
    <w:uiPriority w:val="99"/>
    <w:unhideWhenUsed/>
    <w:rsid w:val="009B4D94"/>
    <w:rPr>
      <w:color w:val="2B579A"/>
      <w:shd w:val="clear" w:color="auto" w:fill="E1DFDD"/>
    </w:rPr>
  </w:style>
  <w:style w:type="paragraph" w:customStyle="1" w:styleId="TableLeft">
    <w:name w:val="Table Left"/>
    <w:basedOn w:val="Normal"/>
    <w:link w:val="TableLeftChar"/>
    <w:uiPriority w:val="99"/>
    <w:qFormat/>
    <w:rsid w:val="001D7710"/>
    <w:pPr>
      <w:spacing w:before="0" w:after="0"/>
      <w:jc w:val="left"/>
    </w:pPr>
    <w:rPr>
      <w:rFonts w:ascii="Calibri" w:eastAsiaTheme="majorEastAsia" w:hAnsi="Calibri" w:cstheme="majorBidi"/>
      <w:sz w:val="18"/>
      <w:lang w:bidi="en-US"/>
    </w:rPr>
  </w:style>
  <w:style w:type="character" w:customStyle="1" w:styleId="TableLeftChar">
    <w:name w:val="Table Left Char"/>
    <w:basedOn w:val="DefaultParagraphFont"/>
    <w:link w:val="TableLeft"/>
    <w:uiPriority w:val="99"/>
    <w:locked/>
    <w:rsid w:val="001D7710"/>
    <w:rPr>
      <w:rFonts w:ascii="Calibri" w:eastAsiaTheme="majorEastAsia" w:hAnsi="Calibri" w:cstheme="majorBidi"/>
      <w:sz w:val="18"/>
      <w:lang w:bidi="en-US"/>
    </w:rPr>
  </w:style>
  <w:style w:type="paragraph" w:customStyle="1" w:styleId="pf0">
    <w:name w:val="pf0"/>
    <w:basedOn w:val="Normal"/>
    <w:rsid w:val="003F5D6E"/>
    <w:pPr>
      <w:spacing w:before="100" w:beforeAutospacing="1" w:after="100" w:afterAutospacing="1"/>
      <w:jc w:val="left"/>
    </w:pPr>
    <w:rPr>
      <w:rFonts w:ascii="Times New Roman" w:eastAsia="Times New Roman" w:hAnsi="Times New Roman" w:cs="Times New Roman"/>
      <w:szCs w:val="24"/>
      <w:lang w:eastAsia="en-AU"/>
    </w:rPr>
  </w:style>
  <w:style w:type="character" w:customStyle="1" w:styleId="cf01">
    <w:name w:val="cf01"/>
    <w:basedOn w:val="DefaultParagraphFont"/>
    <w:rsid w:val="003F5D6E"/>
    <w:rPr>
      <w:rFonts w:ascii="Segoe UI" w:hAnsi="Segoe UI" w:cs="Segoe UI" w:hint="default"/>
      <w:sz w:val="18"/>
      <w:szCs w:val="18"/>
    </w:rPr>
  </w:style>
  <w:style w:type="paragraph" w:customStyle="1" w:styleId="3-SubsectionHeading">
    <w:name w:val="3-Subsection Heading"/>
    <w:basedOn w:val="Heading2"/>
    <w:next w:val="Normal"/>
    <w:link w:val="3-SubsectionHeadingChar"/>
    <w:qFormat/>
    <w:rsid w:val="00CD3446"/>
    <w:pPr>
      <w:keepLines w:val="0"/>
      <w:numPr>
        <w:ilvl w:val="0"/>
        <w:numId w:val="0"/>
      </w:numPr>
      <w:spacing w:before="120"/>
      <w:jc w:val="both"/>
      <w:outlineLvl w:val="9"/>
    </w:pPr>
    <w:rPr>
      <w:snapToGrid/>
      <w:spacing w:val="5"/>
      <w:kern w:val="28"/>
      <w:szCs w:val="36"/>
    </w:rPr>
  </w:style>
  <w:style w:type="character" w:customStyle="1" w:styleId="3-SubsectionHeadingChar">
    <w:name w:val="3-Subsection Heading Char"/>
    <w:basedOn w:val="Heading2Char"/>
    <w:link w:val="3-SubsectionHeading"/>
    <w:rsid w:val="00CD3446"/>
    <w:rPr>
      <w:rFonts w:ascii="Arial" w:eastAsiaTheme="majorEastAsia" w:hAnsi="Arial" w:cstheme="majorBidi"/>
      <w:b/>
      <w:i/>
      <w:snapToGrid/>
      <w:spacing w:val="5"/>
      <w:kern w:val="28"/>
      <w:sz w:val="28"/>
      <w:szCs w:val="36"/>
    </w:rPr>
  </w:style>
  <w:style w:type="paragraph" w:styleId="BodyText3">
    <w:name w:val="Body Text 3"/>
    <w:basedOn w:val="Normal"/>
    <w:link w:val="BodyText3Char"/>
    <w:uiPriority w:val="9"/>
    <w:semiHidden/>
    <w:unhideWhenUsed/>
    <w:rsid w:val="00BC4ACE"/>
    <w:pPr>
      <w:spacing w:after="120"/>
    </w:pPr>
    <w:rPr>
      <w:sz w:val="16"/>
      <w:szCs w:val="16"/>
    </w:rPr>
  </w:style>
  <w:style w:type="character" w:customStyle="1" w:styleId="BodyText3Char">
    <w:name w:val="Body Text 3 Char"/>
    <w:basedOn w:val="DefaultParagraphFont"/>
    <w:link w:val="BodyText3"/>
    <w:uiPriority w:val="9"/>
    <w:semiHidden/>
    <w:rsid w:val="00BC4ACE"/>
    <w:rPr>
      <w:sz w:val="16"/>
      <w:szCs w:val="16"/>
    </w:rPr>
  </w:style>
  <w:style w:type="paragraph" w:customStyle="1" w:styleId="1-MainHeading">
    <w:name w:val="1-Main Heading"/>
    <w:link w:val="1-MainHeadingChar"/>
    <w:qFormat/>
    <w:rsid w:val="00436024"/>
    <w:pPr>
      <w:keepNext/>
      <w:spacing w:before="120" w:line="240" w:lineRule="auto"/>
      <w:ind w:left="720" w:hanging="720"/>
      <w:outlineLvl w:val="0"/>
    </w:pPr>
    <w:rPr>
      <w:rFonts w:eastAsiaTheme="majorEastAsia" w:cstheme="majorBidi"/>
      <w:b/>
      <w:spacing w:val="5"/>
      <w:kern w:val="28"/>
      <w:sz w:val="36"/>
      <w:szCs w:val="36"/>
    </w:rPr>
  </w:style>
  <w:style w:type="character" w:customStyle="1" w:styleId="1-MainHeadingChar">
    <w:name w:val="1-Main Heading Char"/>
    <w:basedOn w:val="DefaultParagraphFont"/>
    <w:link w:val="1-MainHeading"/>
    <w:rsid w:val="00436024"/>
    <w:rPr>
      <w:rFonts w:eastAsiaTheme="majorEastAsia" w:cstheme="majorBidi"/>
      <w:b/>
      <w:spacing w:val="5"/>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9531867">
      <w:bodyDiv w:val="1"/>
      <w:marLeft w:val="0"/>
      <w:marRight w:val="0"/>
      <w:marTop w:val="0"/>
      <w:marBottom w:val="0"/>
      <w:divBdr>
        <w:top w:val="none" w:sz="0" w:space="0" w:color="auto"/>
        <w:left w:val="none" w:sz="0" w:space="0" w:color="auto"/>
        <w:bottom w:val="none" w:sz="0" w:space="0" w:color="auto"/>
        <w:right w:val="none" w:sz="0" w:space="0" w:color="auto"/>
      </w:divBdr>
    </w:div>
    <w:div w:id="20013765">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72165928">
      <w:bodyDiv w:val="1"/>
      <w:marLeft w:val="0"/>
      <w:marRight w:val="0"/>
      <w:marTop w:val="0"/>
      <w:marBottom w:val="0"/>
      <w:divBdr>
        <w:top w:val="none" w:sz="0" w:space="0" w:color="auto"/>
        <w:left w:val="none" w:sz="0" w:space="0" w:color="auto"/>
        <w:bottom w:val="none" w:sz="0" w:space="0" w:color="auto"/>
        <w:right w:val="none" w:sz="0" w:space="0" w:color="auto"/>
      </w:divBdr>
    </w:div>
    <w:div w:id="79185736">
      <w:bodyDiv w:val="1"/>
      <w:marLeft w:val="0"/>
      <w:marRight w:val="0"/>
      <w:marTop w:val="0"/>
      <w:marBottom w:val="0"/>
      <w:divBdr>
        <w:top w:val="none" w:sz="0" w:space="0" w:color="auto"/>
        <w:left w:val="none" w:sz="0" w:space="0" w:color="auto"/>
        <w:bottom w:val="none" w:sz="0" w:space="0" w:color="auto"/>
        <w:right w:val="none" w:sz="0" w:space="0" w:color="auto"/>
      </w:divBdr>
    </w:div>
    <w:div w:id="79298941">
      <w:bodyDiv w:val="1"/>
      <w:marLeft w:val="0"/>
      <w:marRight w:val="0"/>
      <w:marTop w:val="0"/>
      <w:marBottom w:val="0"/>
      <w:divBdr>
        <w:top w:val="none" w:sz="0" w:space="0" w:color="auto"/>
        <w:left w:val="none" w:sz="0" w:space="0" w:color="auto"/>
        <w:bottom w:val="none" w:sz="0" w:space="0" w:color="auto"/>
        <w:right w:val="none" w:sz="0" w:space="0" w:color="auto"/>
      </w:divBdr>
      <w:divsChild>
        <w:div w:id="545071370">
          <w:marLeft w:val="1166"/>
          <w:marRight w:val="0"/>
          <w:marTop w:val="72"/>
          <w:marBottom w:val="0"/>
          <w:divBdr>
            <w:top w:val="none" w:sz="0" w:space="0" w:color="auto"/>
            <w:left w:val="none" w:sz="0" w:space="0" w:color="auto"/>
            <w:bottom w:val="none" w:sz="0" w:space="0" w:color="auto"/>
            <w:right w:val="none" w:sz="0" w:space="0" w:color="auto"/>
          </w:divBdr>
        </w:div>
        <w:div w:id="823861400">
          <w:marLeft w:val="547"/>
          <w:marRight w:val="0"/>
          <w:marTop w:val="86"/>
          <w:marBottom w:val="0"/>
          <w:divBdr>
            <w:top w:val="none" w:sz="0" w:space="0" w:color="auto"/>
            <w:left w:val="none" w:sz="0" w:space="0" w:color="auto"/>
            <w:bottom w:val="none" w:sz="0" w:space="0" w:color="auto"/>
            <w:right w:val="none" w:sz="0" w:space="0" w:color="auto"/>
          </w:divBdr>
        </w:div>
        <w:div w:id="949431357">
          <w:marLeft w:val="1166"/>
          <w:marRight w:val="0"/>
          <w:marTop w:val="72"/>
          <w:marBottom w:val="0"/>
          <w:divBdr>
            <w:top w:val="none" w:sz="0" w:space="0" w:color="auto"/>
            <w:left w:val="none" w:sz="0" w:space="0" w:color="auto"/>
            <w:bottom w:val="none" w:sz="0" w:space="0" w:color="auto"/>
            <w:right w:val="none" w:sz="0" w:space="0" w:color="auto"/>
          </w:divBdr>
        </w:div>
        <w:div w:id="1768621820">
          <w:marLeft w:val="1166"/>
          <w:marRight w:val="0"/>
          <w:marTop w:val="72"/>
          <w:marBottom w:val="0"/>
          <w:divBdr>
            <w:top w:val="none" w:sz="0" w:space="0" w:color="auto"/>
            <w:left w:val="none" w:sz="0" w:space="0" w:color="auto"/>
            <w:bottom w:val="none" w:sz="0" w:space="0" w:color="auto"/>
            <w:right w:val="none" w:sz="0" w:space="0" w:color="auto"/>
          </w:divBdr>
        </w:div>
        <w:div w:id="1771313823">
          <w:marLeft w:val="1166"/>
          <w:marRight w:val="0"/>
          <w:marTop w:val="72"/>
          <w:marBottom w:val="0"/>
          <w:divBdr>
            <w:top w:val="none" w:sz="0" w:space="0" w:color="auto"/>
            <w:left w:val="none" w:sz="0" w:space="0" w:color="auto"/>
            <w:bottom w:val="none" w:sz="0" w:space="0" w:color="auto"/>
            <w:right w:val="none" w:sz="0" w:space="0" w:color="auto"/>
          </w:divBdr>
        </w:div>
      </w:divsChild>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11217546">
      <w:bodyDiv w:val="1"/>
      <w:marLeft w:val="0"/>
      <w:marRight w:val="0"/>
      <w:marTop w:val="0"/>
      <w:marBottom w:val="0"/>
      <w:divBdr>
        <w:top w:val="none" w:sz="0" w:space="0" w:color="auto"/>
        <w:left w:val="none" w:sz="0" w:space="0" w:color="auto"/>
        <w:bottom w:val="none" w:sz="0" w:space="0" w:color="auto"/>
        <w:right w:val="none" w:sz="0" w:space="0" w:color="auto"/>
      </w:divBdr>
    </w:div>
    <w:div w:id="129640463">
      <w:bodyDiv w:val="1"/>
      <w:marLeft w:val="0"/>
      <w:marRight w:val="0"/>
      <w:marTop w:val="0"/>
      <w:marBottom w:val="0"/>
      <w:divBdr>
        <w:top w:val="none" w:sz="0" w:space="0" w:color="auto"/>
        <w:left w:val="none" w:sz="0" w:space="0" w:color="auto"/>
        <w:bottom w:val="none" w:sz="0" w:space="0" w:color="auto"/>
        <w:right w:val="none" w:sz="0" w:space="0" w:color="auto"/>
      </w:divBdr>
      <w:divsChild>
        <w:div w:id="583803895">
          <w:marLeft w:val="547"/>
          <w:marRight w:val="0"/>
          <w:marTop w:val="154"/>
          <w:marBottom w:val="0"/>
          <w:divBdr>
            <w:top w:val="none" w:sz="0" w:space="0" w:color="auto"/>
            <w:left w:val="none" w:sz="0" w:space="0" w:color="auto"/>
            <w:bottom w:val="none" w:sz="0" w:space="0" w:color="auto"/>
            <w:right w:val="none" w:sz="0" w:space="0" w:color="auto"/>
          </w:divBdr>
        </w:div>
        <w:div w:id="1641955853">
          <w:marLeft w:val="547"/>
          <w:marRight w:val="0"/>
          <w:marTop w:val="154"/>
          <w:marBottom w:val="0"/>
          <w:divBdr>
            <w:top w:val="none" w:sz="0" w:space="0" w:color="auto"/>
            <w:left w:val="none" w:sz="0" w:space="0" w:color="auto"/>
            <w:bottom w:val="none" w:sz="0" w:space="0" w:color="auto"/>
            <w:right w:val="none" w:sz="0" w:space="0" w:color="auto"/>
          </w:divBdr>
        </w:div>
      </w:divsChild>
    </w:div>
    <w:div w:id="134419679">
      <w:bodyDiv w:val="1"/>
      <w:marLeft w:val="0"/>
      <w:marRight w:val="0"/>
      <w:marTop w:val="0"/>
      <w:marBottom w:val="0"/>
      <w:divBdr>
        <w:top w:val="none" w:sz="0" w:space="0" w:color="auto"/>
        <w:left w:val="none" w:sz="0" w:space="0" w:color="auto"/>
        <w:bottom w:val="none" w:sz="0" w:space="0" w:color="auto"/>
        <w:right w:val="none" w:sz="0" w:space="0" w:color="auto"/>
      </w:divBdr>
    </w:div>
    <w:div w:id="139276340">
      <w:bodyDiv w:val="1"/>
      <w:marLeft w:val="0"/>
      <w:marRight w:val="0"/>
      <w:marTop w:val="0"/>
      <w:marBottom w:val="0"/>
      <w:divBdr>
        <w:top w:val="none" w:sz="0" w:space="0" w:color="auto"/>
        <w:left w:val="none" w:sz="0" w:space="0" w:color="auto"/>
        <w:bottom w:val="none" w:sz="0" w:space="0" w:color="auto"/>
        <w:right w:val="none" w:sz="0" w:space="0" w:color="auto"/>
      </w:divBdr>
    </w:div>
    <w:div w:id="151408256">
      <w:bodyDiv w:val="1"/>
      <w:marLeft w:val="0"/>
      <w:marRight w:val="0"/>
      <w:marTop w:val="0"/>
      <w:marBottom w:val="0"/>
      <w:divBdr>
        <w:top w:val="none" w:sz="0" w:space="0" w:color="auto"/>
        <w:left w:val="none" w:sz="0" w:space="0" w:color="auto"/>
        <w:bottom w:val="none" w:sz="0" w:space="0" w:color="auto"/>
        <w:right w:val="none" w:sz="0" w:space="0" w:color="auto"/>
      </w:divBdr>
      <w:divsChild>
        <w:div w:id="1249192840">
          <w:marLeft w:val="1166"/>
          <w:marRight w:val="0"/>
          <w:marTop w:val="134"/>
          <w:marBottom w:val="0"/>
          <w:divBdr>
            <w:top w:val="none" w:sz="0" w:space="0" w:color="auto"/>
            <w:left w:val="none" w:sz="0" w:space="0" w:color="auto"/>
            <w:bottom w:val="none" w:sz="0" w:space="0" w:color="auto"/>
            <w:right w:val="none" w:sz="0" w:space="0" w:color="auto"/>
          </w:divBdr>
        </w:div>
        <w:div w:id="1679431131">
          <w:marLeft w:val="1800"/>
          <w:marRight w:val="0"/>
          <w:marTop w:val="115"/>
          <w:marBottom w:val="0"/>
          <w:divBdr>
            <w:top w:val="none" w:sz="0" w:space="0" w:color="auto"/>
            <w:left w:val="none" w:sz="0" w:space="0" w:color="auto"/>
            <w:bottom w:val="none" w:sz="0" w:space="0" w:color="auto"/>
            <w:right w:val="none" w:sz="0" w:space="0" w:color="auto"/>
          </w:divBdr>
        </w:div>
      </w:divsChild>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180166355">
      <w:bodyDiv w:val="1"/>
      <w:marLeft w:val="0"/>
      <w:marRight w:val="0"/>
      <w:marTop w:val="0"/>
      <w:marBottom w:val="0"/>
      <w:divBdr>
        <w:top w:val="none" w:sz="0" w:space="0" w:color="auto"/>
        <w:left w:val="none" w:sz="0" w:space="0" w:color="auto"/>
        <w:bottom w:val="none" w:sz="0" w:space="0" w:color="auto"/>
        <w:right w:val="none" w:sz="0" w:space="0" w:color="auto"/>
      </w:divBdr>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60455237">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56081115">
      <w:bodyDiv w:val="1"/>
      <w:marLeft w:val="0"/>
      <w:marRight w:val="0"/>
      <w:marTop w:val="0"/>
      <w:marBottom w:val="0"/>
      <w:divBdr>
        <w:top w:val="none" w:sz="0" w:space="0" w:color="auto"/>
        <w:left w:val="none" w:sz="0" w:space="0" w:color="auto"/>
        <w:bottom w:val="none" w:sz="0" w:space="0" w:color="auto"/>
        <w:right w:val="none" w:sz="0" w:space="0" w:color="auto"/>
      </w:divBdr>
    </w:div>
    <w:div w:id="372779148">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44739145">
      <w:bodyDiv w:val="1"/>
      <w:marLeft w:val="0"/>
      <w:marRight w:val="0"/>
      <w:marTop w:val="0"/>
      <w:marBottom w:val="0"/>
      <w:divBdr>
        <w:top w:val="none" w:sz="0" w:space="0" w:color="auto"/>
        <w:left w:val="none" w:sz="0" w:space="0" w:color="auto"/>
        <w:bottom w:val="none" w:sz="0" w:space="0" w:color="auto"/>
        <w:right w:val="none" w:sz="0" w:space="0" w:color="auto"/>
      </w:divBdr>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478154052">
      <w:bodyDiv w:val="1"/>
      <w:marLeft w:val="0"/>
      <w:marRight w:val="0"/>
      <w:marTop w:val="0"/>
      <w:marBottom w:val="0"/>
      <w:divBdr>
        <w:top w:val="none" w:sz="0" w:space="0" w:color="auto"/>
        <w:left w:val="none" w:sz="0" w:space="0" w:color="auto"/>
        <w:bottom w:val="none" w:sz="0" w:space="0" w:color="auto"/>
        <w:right w:val="none" w:sz="0" w:space="0" w:color="auto"/>
      </w:divBdr>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3321">
      <w:bodyDiv w:val="1"/>
      <w:marLeft w:val="0"/>
      <w:marRight w:val="0"/>
      <w:marTop w:val="0"/>
      <w:marBottom w:val="0"/>
      <w:divBdr>
        <w:top w:val="none" w:sz="0" w:space="0" w:color="auto"/>
        <w:left w:val="none" w:sz="0" w:space="0" w:color="auto"/>
        <w:bottom w:val="none" w:sz="0" w:space="0" w:color="auto"/>
        <w:right w:val="none" w:sz="0" w:space="0" w:color="auto"/>
      </w:divBdr>
    </w:div>
    <w:div w:id="546601521">
      <w:bodyDiv w:val="1"/>
      <w:marLeft w:val="0"/>
      <w:marRight w:val="0"/>
      <w:marTop w:val="0"/>
      <w:marBottom w:val="0"/>
      <w:divBdr>
        <w:top w:val="none" w:sz="0" w:space="0" w:color="auto"/>
        <w:left w:val="none" w:sz="0" w:space="0" w:color="auto"/>
        <w:bottom w:val="none" w:sz="0" w:space="0" w:color="auto"/>
        <w:right w:val="none" w:sz="0" w:space="0" w:color="auto"/>
      </w:divBdr>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59427779">
      <w:bodyDiv w:val="1"/>
      <w:marLeft w:val="0"/>
      <w:marRight w:val="0"/>
      <w:marTop w:val="0"/>
      <w:marBottom w:val="0"/>
      <w:divBdr>
        <w:top w:val="none" w:sz="0" w:space="0" w:color="auto"/>
        <w:left w:val="none" w:sz="0" w:space="0" w:color="auto"/>
        <w:bottom w:val="none" w:sz="0" w:space="0" w:color="auto"/>
        <w:right w:val="none" w:sz="0" w:space="0" w:color="auto"/>
      </w:divBdr>
      <w:divsChild>
        <w:div w:id="278923040">
          <w:marLeft w:val="1166"/>
          <w:marRight w:val="0"/>
          <w:marTop w:val="72"/>
          <w:marBottom w:val="0"/>
          <w:divBdr>
            <w:top w:val="none" w:sz="0" w:space="0" w:color="auto"/>
            <w:left w:val="none" w:sz="0" w:space="0" w:color="auto"/>
            <w:bottom w:val="none" w:sz="0" w:space="0" w:color="auto"/>
            <w:right w:val="none" w:sz="0" w:space="0" w:color="auto"/>
          </w:divBdr>
        </w:div>
        <w:div w:id="858814137">
          <w:marLeft w:val="1800"/>
          <w:marRight w:val="0"/>
          <w:marTop w:val="62"/>
          <w:marBottom w:val="0"/>
          <w:divBdr>
            <w:top w:val="none" w:sz="0" w:space="0" w:color="auto"/>
            <w:left w:val="none" w:sz="0" w:space="0" w:color="auto"/>
            <w:bottom w:val="none" w:sz="0" w:space="0" w:color="auto"/>
            <w:right w:val="none" w:sz="0" w:space="0" w:color="auto"/>
          </w:divBdr>
        </w:div>
        <w:div w:id="1389911848">
          <w:marLeft w:val="1166"/>
          <w:marRight w:val="0"/>
          <w:marTop w:val="72"/>
          <w:marBottom w:val="0"/>
          <w:divBdr>
            <w:top w:val="none" w:sz="0" w:space="0" w:color="auto"/>
            <w:left w:val="none" w:sz="0" w:space="0" w:color="auto"/>
            <w:bottom w:val="none" w:sz="0" w:space="0" w:color="auto"/>
            <w:right w:val="none" w:sz="0" w:space="0" w:color="auto"/>
          </w:divBdr>
        </w:div>
        <w:div w:id="1688369104">
          <w:marLeft w:val="1166"/>
          <w:marRight w:val="0"/>
          <w:marTop w:val="72"/>
          <w:marBottom w:val="0"/>
          <w:divBdr>
            <w:top w:val="none" w:sz="0" w:space="0" w:color="auto"/>
            <w:left w:val="none" w:sz="0" w:space="0" w:color="auto"/>
            <w:bottom w:val="none" w:sz="0" w:space="0" w:color="auto"/>
            <w:right w:val="none" w:sz="0" w:space="0" w:color="auto"/>
          </w:divBdr>
        </w:div>
        <w:div w:id="2086608925">
          <w:marLeft w:val="1166"/>
          <w:marRight w:val="0"/>
          <w:marTop w:val="72"/>
          <w:marBottom w:val="0"/>
          <w:divBdr>
            <w:top w:val="none" w:sz="0" w:space="0" w:color="auto"/>
            <w:left w:val="none" w:sz="0" w:space="0" w:color="auto"/>
            <w:bottom w:val="none" w:sz="0" w:space="0" w:color="auto"/>
            <w:right w:val="none" w:sz="0" w:space="0" w:color="auto"/>
          </w:divBdr>
        </w:div>
        <w:div w:id="2130315261">
          <w:marLeft w:val="547"/>
          <w:marRight w:val="0"/>
          <w:marTop w:val="86"/>
          <w:marBottom w:val="0"/>
          <w:divBdr>
            <w:top w:val="none" w:sz="0" w:space="0" w:color="auto"/>
            <w:left w:val="none" w:sz="0" w:space="0" w:color="auto"/>
            <w:bottom w:val="none" w:sz="0" w:space="0" w:color="auto"/>
            <w:right w:val="none" w:sz="0" w:space="0" w:color="auto"/>
          </w:divBdr>
        </w:div>
      </w:divsChild>
    </w:div>
    <w:div w:id="672998650">
      <w:bodyDiv w:val="1"/>
      <w:marLeft w:val="0"/>
      <w:marRight w:val="0"/>
      <w:marTop w:val="0"/>
      <w:marBottom w:val="0"/>
      <w:divBdr>
        <w:top w:val="none" w:sz="0" w:space="0" w:color="auto"/>
        <w:left w:val="none" w:sz="0" w:space="0" w:color="auto"/>
        <w:bottom w:val="none" w:sz="0" w:space="0" w:color="auto"/>
        <w:right w:val="none" w:sz="0" w:space="0" w:color="auto"/>
      </w:divBdr>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679280717">
      <w:bodyDiv w:val="1"/>
      <w:marLeft w:val="0"/>
      <w:marRight w:val="0"/>
      <w:marTop w:val="0"/>
      <w:marBottom w:val="0"/>
      <w:divBdr>
        <w:top w:val="none" w:sz="0" w:space="0" w:color="auto"/>
        <w:left w:val="none" w:sz="0" w:space="0" w:color="auto"/>
        <w:bottom w:val="none" w:sz="0" w:space="0" w:color="auto"/>
        <w:right w:val="none" w:sz="0" w:space="0" w:color="auto"/>
      </w:divBdr>
    </w:div>
    <w:div w:id="685904523">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0804">
      <w:bodyDiv w:val="1"/>
      <w:marLeft w:val="0"/>
      <w:marRight w:val="0"/>
      <w:marTop w:val="0"/>
      <w:marBottom w:val="0"/>
      <w:divBdr>
        <w:top w:val="none" w:sz="0" w:space="0" w:color="auto"/>
        <w:left w:val="none" w:sz="0" w:space="0" w:color="auto"/>
        <w:bottom w:val="none" w:sz="0" w:space="0" w:color="auto"/>
        <w:right w:val="none" w:sz="0" w:space="0" w:color="auto"/>
      </w:divBdr>
    </w:div>
    <w:div w:id="723482800">
      <w:bodyDiv w:val="1"/>
      <w:marLeft w:val="0"/>
      <w:marRight w:val="0"/>
      <w:marTop w:val="0"/>
      <w:marBottom w:val="0"/>
      <w:divBdr>
        <w:top w:val="none" w:sz="0" w:space="0" w:color="auto"/>
        <w:left w:val="none" w:sz="0" w:space="0" w:color="auto"/>
        <w:bottom w:val="none" w:sz="0" w:space="0" w:color="auto"/>
        <w:right w:val="none" w:sz="0" w:space="0" w:color="auto"/>
      </w:divBdr>
      <w:divsChild>
        <w:div w:id="235436603">
          <w:marLeft w:val="1166"/>
          <w:marRight w:val="0"/>
          <w:marTop w:val="77"/>
          <w:marBottom w:val="0"/>
          <w:divBdr>
            <w:top w:val="none" w:sz="0" w:space="0" w:color="auto"/>
            <w:left w:val="none" w:sz="0" w:space="0" w:color="auto"/>
            <w:bottom w:val="none" w:sz="0" w:space="0" w:color="auto"/>
            <w:right w:val="none" w:sz="0" w:space="0" w:color="auto"/>
          </w:divBdr>
        </w:div>
        <w:div w:id="673802017">
          <w:marLeft w:val="1166"/>
          <w:marRight w:val="0"/>
          <w:marTop w:val="77"/>
          <w:marBottom w:val="0"/>
          <w:divBdr>
            <w:top w:val="none" w:sz="0" w:space="0" w:color="auto"/>
            <w:left w:val="none" w:sz="0" w:space="0" w:color="auto"/>
            <w:bottom w:val="none" w:sz="0" w:space="0" w:color="auto"/>
            <w:right w:val="none" w:sz="0" w:space="0" w:color="auto"/>
          </w:divBdr>
        </w:div>
        <w:div w:id="691759229">
          <w:marLeft w:val="1166"/>
          <w:marRight w:val="0"/>
          <w:marTop w:val="77"/>
          <w:marBottom w:val="0"/>
          <w:divBdr>
            <w:top w:val="none" w:sz="0" w:space="0" w:color="auto"/>
            <w:left w:val="none" w:sz="0" w:space="0" w:color="auto"/>
            <w:bottom w:val="none" w:sz="0" w:space="0" w:color="auto"/>
            <w:right w:val="none" w:sz="0" w:space="0" w:color="auto"/>
          </w:divBdr>
        </w:div>
        <w:div w:id="851913061">
          <w:marLeft w:val="1166"/>
          <w:marRight w:val="0"/>
          <w:marTop w:val="77"/>
          <w:marBottom w:val="0"/>
          <w:divBdr>
            <w:top w:val="none" w:sz="0" w:space="0" w:color="auto"/>
            <w:left w:val="none" w:sz="0" w:space="0" w:color="auto"/>
            <w:bottom w:val="none" w:sz="0" w:space="0" w:color="auto"/>
            <w:right w:val="none" w:sz="0" w:space="0" w:color="auto"/>
          </w:divBdr>
        </w:div>
        <w:div w:id="1244753138">
          <w:marLeft w:val="547"/>
          <w:marRight w:val="0"/>
          <w:marTop w:val="96"/>
          <w:marBottom w:val="0"/>
          <w:divBdr>
            <w:top w:val="none" w:sz="0" w:space="0" w:color="auto"/>
            <w:left w:val="none" w:sz="0" w:space="0" w:color="auto"/>
            <w:bottom w:val="none" w:sz="0" w:space="0" w:color="auto"/>
            <w:right w:val="none" w:sz="0" w:space="0" w:color="auto"/>
          </w:divBdr>
        </w:div>
        <w:div w:id="1639607229">
          <w:marLeft w:val="547"/>
          <w:marRight w:val="0"/>
          <w:marTop w:val="96"/>
          <w:marBottom w:val="0"/>
          <w:divBdr>
            <w:top w:val="none" w:sz="0" w:space="0" w:color="auto"/>
            <w:left w:val="none" w:sz="0" w:space="0" w:color="auto"/>
            <w:bottom w:val="none" w:sz="0" w:space="0" w:color="auto"/>
            <w:right w:val="none" w:sz="0" w:space="0" w:color="auto"/>
          </w:divBdr>
        </w:div>
      </w:divsChild>
    </w:div>
    <w:div w:id="762336703">
      <w:bodyDiv w:val="1"/>
      <w:marLeft w:val="0"/>
      <w:marRight w:val="0"/>
      <w:marTop w:val="0"/>
      <w:marBottom w:val="0"/>
      <w:divBdr>
        <w:top w:val="none" w:sz="0" w:space="0" w:color="auto"/>
        <w:left w:val="none" w:sz="0" w:space="0" w:color="auto"/>
        <w:bottom w:val="none" w:sz="0" w:space="0" w:color="auto"/>
        <w:right w:val="none" w:sz="0" w:space="0" w:color="auto"/>
      </w:divBdr>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788085377">
      <w:bodyDiv w:val="1"/>
      <w:marLeft w:val="0"/>
      <w:marRight w:val="0"/>
      <w:marTop w:val="0"/>
      <w:marBottom w:val="0"/>
      <w:divBdr>
        <w:top w:val="none" w:sz="0" w:space="0" w:color="auto"/>
        <w:left w:val="none" w:sz="0" w:space="0" w:color="auto"/>
        <w:bottom w:val="none" w:sz="0" w:space="0" w:color="auto"/>
        <w:right w:val="none" w:sz="0" w:space="0" w:color="auto"/>
      </w:divBdr>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25167109">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63633911">
      <w:bodyDiv w:val="1"/>
      <w:marLeft w:val="0"/>
      <w:marRight w:val="0"/>
      <w:marTop w:val="0"/>
      <w:marBottom w:val="0"/>
      <w:divBdr>
        <w:top w:val="none" w:sz="0" w:space="0" w:color="auto"/>
        <w:left w:val="none" w:sz="0" w:space="0" w:color="auto"/>
        <w:bottom w:val="none" w:sz="0" w:space="0" w:color="auto"/>
        <w:right w:val="none" w:sz="0" w:space="0" w:color="auto"/>
      </w:divBdr>
      <w:divsChild>
        <w:div w:id="1012075702">
          <w:marLeft w:val="547"/>
          <w:marRight w:val="0"/>
          <w:marTop w:val="86"/>
          <w:marBottom w:val="0"/>
          <w:divBdr>
            <w:top w:val="none" w:sz="0" w:space="0" w:color="auto"/>
            <w:left w:val="none" w:sz="0" w:space="0" w:color="auto"/>
            <w:bottom w:val="none" w:sz="0" w:space="0" w:color="auto"/>
            <w:right w:val="none" w:sz="0" w:space="0" w:color="auto"/>
          </w:divBdr>
        </w:div>
      </w:divsChild>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895048350">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28928549">
      <w:bodyDiv w:val="1"/>
      <w:marLeft w:val="0"/>
      <w:marRight w:val="0"/>
      <w:marTop w:val="0"/>
      <w:marBottom w:val="0"/>
      <w:divBdr>
        <w:top w:val="none" w:sz="0" w:space="0" w:color="auto"/>
        <w:left w:val="none" w:sz="0" w:space="0" w:color="auto"/>
        <w:bottom w:val="none" w:sz="0" w:space="0" w:color="auto"/>
        <w:right w:val="none" w:sz="0" w:space="0" w:color="auto"/>
      </w:divBdr>
    </w:div>
    <w:div w:id="972176003">
      <w:bodyDiv w:val="1"/>
      <w:marLeft w:val="0"/>
      <w:marRight w:val="0"/>
      <w:marTop w:val="0"/>
      <w:marBottom w:val="0"/>
      <w:divBdr>
        <w:top w:val="none" w:sz="0" w:space="0" w:color="auto"/>
        <w:left w:val="none" w:sz="0" w:space="0" w:color="auto"/>
        <w:bottom w:val="none" w:sz="0" w:space="0" w:color="auto"/>
        <w:right w:val="none" w:sz="0" w:space="0" w:color="auto"/>
      </w:divBdr>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91787033">
      <w:bodyDiv w:val="1"/>
      <w:marLeft w:val="0"/>
      <w:marRight w:val="0"/>
      <w:marTop w:val="0"/>
      <w:marBottom w:val="0"/>
      <w:divBdr>
        <w:top w:val="none" w:sz="0" w:space="0" w:color="auto"/>
        <w:left w:val="none" w:sz="0" w:space="0" w:color="auto"/>
        <w:bottom w:val="none" w:sz="0" w:space="0" w:color="auto"/>
        <w:right w:val="none" w:sz="0" w:space="0" w:color="auto"/>
      </w:divBdr>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0581">
      <w:bodyDiv w:val="1"/>
      <w:marLeft w:val="0"/>
      <w:marRight w:val="0"/>
      <w:marTop w:val="0"/>
      <w:marBottom w:val="0"/>
      <w:divBdr>
        <w:top w:val="none" w:sz="0" w:space="0" w:color="auto"/>
        <w:left w:val="none" w:sz="0" w:space="0" w:color="auto"/>
        <w:bottom w:val="none" w:sz="0" w:space="0" w:color="auto"/>
        <w:right w:val="none" w:sz="0" w:space="0" w:color="auto"/>
      </w:divBdr>
    </w:div>
    <w:div w:id="1067268827">
      <w:bodyDiv w:val="1"/>
      <w:marLeft w:val="0"/>
      <w:marRight w:val="0"/>
      <w:marTop w:val="0"/>
      <w:marBottom w:val="0"/>
      <w:divBdr>
        <w:top w:val="none" w:sz="0" w:space="0" w:color="auto"/>
        <w:left w:val="none" w:sz="0" w:space="0" w:color="auto"/>
        <w:bottom w:val="none" w:sz="0" w:space="0" w:color="auto"/>
        <w:right w:val="none" w:sz="0" w:space="0" w:color="auto"/>
      </w:divBdr>
    </w:div>
    <w:div w:id="1112438553">
      <w:bodyDiv w:val="1"/>
      <w:marLeft w:val="0"/>
      <w:marRight w:val="0"/>
      <w:marTop w:val="0"/>
      <w:marBottom w:val="0"/>
      <w:divBdr>
        <w:top w:val="none" w:sz="0" w:space="0" w:color="auto"/>
        <w:left w:val="none" w:sz="0" w:space="0" w:color="auto"/>
        <w:bottom w:val="none" w:sz="0" w:space="0" w:color="auto"/>
        <w:right w:val="none" w:sz="0" w:space="0" w:color="auto"/>
      </w:divBdr>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17944957">
      <w:bodyDiv w:val="1"/>
      <w:marLeft w:val="0"/>
      <w:marRight w:val="0"/>
      <w:marTop w:val="0"/>
      <w:marBottom w:val="0"/>
      <w:divBdr>
        <w:top w:val="none" w:sz="0" w:space="0" w:color="auto"/>
        <w:left w:val="none" w:sz="0" w:space="0" w:color="auto"/>
        <w:bottom w:val="none" w:sz="0" w:space="0" w:color="auto"/>
        <w:right w:val="none" w:sz="0" w:space="0" w:color="auto"/>
      </w:divBdr>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54644965">
      <w:bodyDiv w:val="1"/>
      <w:marLeft w:val="0"/>
      <w:marRight w:val="0"/>
      <w:marTop w:val="0"/>
      <w:marBottom w:val="0"/>
      <w:divBdr>
        <w:top w:val="none" w:sz="0" w:space="0" w:color="auto"/>
        <w:left w:val="none" w:sz="0" w:space="0" w:color="auto"/>
        <w:bottom w:val="none" w:sz="0" w:space="0" w:color="auto"/>
        <w:right w:val="none" w:sz="0" w:space="0" w:color="auto"/>
      </w:divBdr>
    </w:div>
    <w:div w:id="1156871508">
      <w:bodyDiv w:val="1"/>
      <w:marLeft w:val="0"/>
      <w:marRight w:val="0"/>
      <w:marTop w:val="0"/>
      <w:marBottom w:val="0"/>
      <w:divBdr>
        <w:top w:val="none" w:sz="0" w:space="0" w:color="auto"/>
        <w:left w:val="none" w:sz="0" w:space="0" w:color="auto"/>
        <w:bottom w:val="none" w:sz="0" w:space="0" w:color="auto"/>
        <w:right w:val="none" w:sz="0" w:space="0" w:color="auto"/>
      </w:divBdr>
    </w:div>
    <w:div w:id="1195315047">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09685469">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32496628">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61646149">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321539422">
      <w:bodyDiv w:val="1"/>
      <w:marLeft w:val="0"/>
      <w:marRight w:val="0"/>
      <w:marTop w:val="0"/>
      <w:marBottom w:val="0"/>
      <w:divBdr>
        <w:top w:val="none" w:sz="0" w:space="0" w:color="auto"/>
        <w:left w:val="none" w:sz="0" w:space="0" w:color="auto"/>
        <w:bottom w:val="none" w:sz="0" w:space="0" w:color="auto"/>
        <w:right w:val="none" w:sz="0" w:space="0" w:color="auto"/>
      </w:divBdr>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387872344">
      <w:bodyDiv w:val="1"/>
      <w:marLeft w:val="0"/>
      <w:marRight w:val="0"/>
      <w:marTop w:val="0"/>
      <w:marBottom w:val="0"/>
      <w:divBdr>
        <w:top w:val="none" w:sz="0" w:space="0" w:color="auto"/>
        <w:left w:val="none" w:sz="0" w:space="0" w:color="auto"/>
        <w:bottom w:val="none" w:sz="0" w:space="0" w:color="auto"/>
        <w:right w:val="none" w:sz="0" w:space="0" w:color="auto"/>
      </w:divBdr>
    </w:div>
    <w:div w:id="1399862237">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25227322">
      <w:bodyDiv w:val="1"/>
      <w:marLeft w:val="0"/>
      <w:marRight w:val="0"/>
      <w:marTop w:val="0"/>
      <w:marBottom w:val="0"/>
      <w:divBdr>
        <w:top w:val="none" w:sz="0" w:space="0" w:color="auto"/>
        <w:left w:val="none" w:sz="0" w:space="0" w:color="auto"/>
        <w:bottom w:val="none" w:sz="0" w:space="0" w:color="auto"/>
        <w:right w:val="none" w:sz="0" w:space="0" w:color="auto"/>
      </w:divBdr>
    </w:div>
    <w:div w:id="1429959887">
      <w:bodyDiv w:val="1"/>
      <w:marLeft w:val="0"/>
      <w:marRight w:val="0"/>
      <w:marTop w:val="0"/>
      <w:marBottom w:val="0"/>
      <w:divBdr>
        <w:top w:val="none" w:sz="0" w:space="0" w:color="auto"/>
        <w:left w:val="none" w:sz="0" w:space="0" w:color="auto"/>
        <w:bottom w:val="none" w:sz="0" w:space="0" w:color="auto"/>
        <w:right w:val="none" w:sz="0" w:space="0" w:color="auto"/>
      </w:divBdr>
      <w:divsChild>
        <w:div w:id="36779962">
          <w:marLeft w:val="1800"/>
          <w:marRight w:val="0"/>
          <w:marTop w:val="91"/>
          <w:marBottom w:val="0"/>
          <w:divBdr>
            <w:top w:val="none" w:sz="0" w:space="0" w:color="auto"/>
            <w:left w:val="none" w:sz="0" w:space="0" w:color="auto"/>
            <w:bottom w:val="none" w:sz="0" w:space="0" w:color="auto"/>
            <w:right w:val="none" w:sz="0" w:space="0" w:color="auto"/>
          </w:divBdr>
        </w:div>
        <w:div w:id="864366599">
          <w:marLeft w:val="1166"/>
          <w:marRight w:val="0"/>
          <w:marTop w:val="106"/>
          <w:marBottom w:val="0"/>
          <w:divBdr>
            <w:top w:val="none" w:sz="0" w:space="0" w:color="auto"/>
            <w:left w:val="none" w:sz="0" w:space="0" w:color="auto"/>
            <w:bottom w:val="none" w:sz="0" w:space="0" w:color="auto"/>
            <w:right w:val="none" w:sz="0" w:space="0" w:color="auto"/>
          </w:divBdr>
        </w:div>
        <w:div w:id="997420192">
          <w:marLeft w:val="1166"/>
          <w:marRight w:val="0"/>
          <w:marTop w:val="106"/>
          <w:marBottom w:val="0"/>
          <w:divBdr>
            <w:top w:val="none" w:sz="0" w:space="0" w:color="auto"/>
            <w:left w:val="none" w:sz="0" w:space="0" w:color="auto"/>
            <w:bottom w:val="none" w:sz="0" w:space="0" w:color="auto"/>
            <w:right w:val="none" w:sz="0" w:space="0" w:color="auto"/>
          </w:divBdr>
        </w:div>
        <w:div w:id="1036809573">
          <w:marLeft w:val="547"/>
          <w:marRight w:val="0"/>
          <w:marTop w:val="120"/>
          <w:marBottom w:val="0"/>
          <w:divBdr>
            <w:top w:val="none" w:sz="0" w:space="0" w:color="auto"/>
            <w:left w:val="none" w:sz="0" w:space="0" w:color="auto"/>
            <w:bottom w:val="none" w:sz="0" w:space="0" w:color="auto"/>
            <w:right w:val="none" w:sz="0" w:space="0" w:color="auto"/>
          </w:divBdr>
        </w:div>
        <w:div w:id="1239095689">
          <w:marLeft w:val="547"/>
          <w:marRight w:val="0"/>
          <w:marTop w:val="120"/>
          <w:marBottom w:val="0"/>
          <w:divBdr>
            <w:top w:val="none" w:sz="0" w:space="0" w:color="auto"/>
            <w:left w:val="none" w:sz="0" w:space="0" w:color="auto"/>
            <w:bottom w:val="none" w:sz="0" w:space="0" w:color="auto"/>
            <w:right w:val="none" w:sz="0" w:space="0" w:color="auto"/>
          </w:divBdr>
        </w:div>
        <w:div w:id="1263801717">
          <w:marLeft w:val="547"/>
          <w:marRight w:val="0"/>
          <w:marTop w:val="120"/>
          <w:marBottom w:val="0"/>
          <w:divBdr>
            <w:top w:val="none" w:sz="0" w:space="0" w:color="auto"/>
            <w:left w:val="none" w:sz="0" w:space="0" w:color="auto"/>
            <w:bottom w:val="none" w:sz="0" w:space="0" w:color="auto"/>
            <w:right w:val="none" w:sz="0" w:space="0" w:color="auto"/>
          </w:divBdr>
        </w:div>
        <w:div w:id="1289893464">
          <w:marLeft w:val="1800"/>
          <w:marRight w:val="0"/>
          <w:marTop w:val="91"/>
          <w:marBottom w:val="0"/>
          <w:divBdr>
            <w:top w:val="none" w:sz="0" w:space="0" w:color="auto"/>
            <w:left w:val="none" w:sz="0" w:space="0" w:color="auto"/>
            <w:bottom w:val="none" w:sz="0" w:space="0" w:color="auto"/>
            <w:right w:val="none" w:sz="0" w:space="0" w:color="auto"/>
          </w:divBdr>
        </w:div>
        <w:div w:id="1606189040">
          <w:marLeft w:val="2520"/>
          <w:marRight w:val="0"/>
          <w:marTop w:val="77"/>
          <w:marBottom w:val="0"/>
          <w:divBdr>
            <w:top w:val="none" w:sz="0" w:space="0" w:color="auto"/>
            <w:left w:val="none" w:sz="0" w:space="0" w:color="auto"/>
            <w:bottom w:val="none" w:sz="0" w:space="0" w:color="auto"/>
            <w:right w:val="none" w:sz="0" w:space="0" w:color="auto"/>
          </w:divBdr>
        </w:div>
      </w:divsChild>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54136944">
      <w:bodyDiv w:val="1"/>
      <w:marLeft w:val="0"/>
      <w:marRight w:val="0"/>
      <w:marTop w:val="0"/>
      <w:marBottom w:val="0"/>
      <w:divBdr>
        <w:top w:val="none" w:sz="0" w:space="0" w:color="auto"/>
        <w:left w:val="none" w:sz="0" w:space="0" w:color="auto"/>
        <w:bottom w:val="none" w:sz="0" w:space="0" w:color="auto"/>
        <w:right w:val="none" w:sz="0" w:space="0" w:color="auto"/>
      </w:divBdr>
    </w:div>
    <w:div w:id="1470829950">
      <w:bodyDiv w:val="1"/>
      <w:marLeft w:val="0"/>
      <w:marRight w:val="0"/>
      <w:marTop w:val="0"/>
      <w:marBottom w:val="0"/>
      <w:divBdr>
        <w:top w:val="none" w:sz="0" w:space="0" w:color="auto"/>
        <w:left w:val="none" w:sz="0" w:space="0" w:color="auto"/>
        <w:bottom w:val="none" w:sz="0" w:space="0" w:color="auto"/>
        <w:right w:val="none" w:sz="0" w:space="0" w:color="auto"/>
      </w:divBdr>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550992156">
      <w:bodyDiv w:val="1"/>
      <w:marLeft w:val="0"/>
      <w:marRight w:val="0"/>
      <w:marTop w:val="0"/>
      <w:marBottom w:val="0"/>
      <w:divBdr>
        <w:top w:val="none" w:sz="0" w:space="0" w:color="auto"/>
        <w:left w:val="none" w:sz="0" w:space="0" w:color="auto"/>
        <w:bottom w:val="none" w:sz="0" w:space="0" w:color="auto"/>
        <w:right w:val="none" w:sz="0" w:space="0" w:color="auto"/>
      </w:divBdr>
      <w:divsChild>
        <w:div w:id="368992707">
          <w:marLeft w:val="1166"/>
          <w:marRight w:val="0"/>
          <w:marTop w:val="72"/>
          <w:marBottom w:val="0"/>
          <w:divBdr>
            <w:top w:val="none" w:sz="0" w:space="0" w:color="auto"/>
            <w:left w:val="none" w:sz="0" w:space="0" w:color="auto"/>
            <w:bottom w:val="none" w:sz="0" w:space="0" w:color="auto"/>
            <w:right w:val="none" w:sz="0" w:space="0" w:color="auto"/>
          </w:divBdr>
        </w:div>
        <w:div w:id="705326603">
          <w:marLeft w:val="547"/>
          <w:marRight w:val="0"/>
          <w:marTop w:val="86"/>
          <w:marBottom w:val="0"/>
          <w:divBdr>
            <w:top w:val="none" w:sz="0" w:space="0" w:color="auto"/>
            <w:left w:val="none" w:sz="0" w:space="0" w:color="auto"/>
            <w:bottom w:val="none" w:sz="0" w:space="0" w:color="auto"/>
            <w:right w:val="none" w:sz="0" w:space="0" w:color="auto"/>
          </w:divBdr>
        </w:div>
        <w:div w:id="778645960">
          <w:marLeft w:val="1166"/>
          <w:marRight w:val="0"/>
          <w:marTop w:val="72"/>
          <w:marBottom w:val="0"/>
          <w:divBdr>
            <w:top w:val="none" w:sz="0" w:space="0" w:color="auto"/>
            <w:left w:val="none" w:sz="0" w:space="0" w:color="auto"/>
            <w:bottom w:val="none" w:sz="0" w:space="0" w:color="auto"/>
            <w:right w:val="none" w:sz="0" w:space="0" w:color="auto"/>
          </w:divBdr>
        </w:div>
        <w:div w:id="2008945108">
          <w:marLeft w:val="1166"/>
          <w:marRight w:val="0"/>
          <w:marTop w:val="72"/>
          <w:marBottom w:val="0"/>
          <w:divBdr>
            <w:top w:val="none" w:sz="0" w:space="0" w:color="auto"/>
            <w:left w:val="none" w:sz="0" w:space="0" w:color="auto"/>
            <w:bottom w:val="none" w:sz="0" w:space="0" w:color="auto"/>
            <w:right w:val="none" w:sz="0" w:space="0" w:color="auto"/>
          </w:divBdr>
        </w:div>
        <w:div w:id="2040818738">
          <w:marLeft w:val="1166"/>
          <w:marRight w:val="0"/>
          <w:marTop w:val="72"/>
          <w:marBottom w:val="0"/>
          <w:divBdr>
            <w:top w:val="none" w:sz="0" w:space="0" w:color="auto"/>
            <w:left w:val="none" w:sz="0" w:space="0" w:color="auto"/>
            <w:bottom w:val="none" w:sz="0" w:space="0" w:color="auto"/>
            <w:right w:val="none" w:sz="0" w:space="0" w:color="auto"/>
          </w:divBdr>
        </w:div>
      </w:divsChild>
    </w:div>
    <w:div w:id="1559895674">
      <w:bodyDiv w:val="1"/>
      <w:marLeft w:val="0"/>
      <w:marRight w:val="0"/>
      <w:marTop w:val="0"/>
      <w:marBottom w:val="0"/>
      <w:divBdr>
        <w:top w:val="none" w:sz="0" w:space="0" w:color="auto"/>
        <w:left w:val="none" w:sz="0" w:space="0" w:color="auto"/>
        <w:bottom w:val="none" w:sz="0" w:space="0" w:color="auto"/>
        <w:right w:val="none" w:sz="0" w:space="0" w:color="auto"/>
      </w:divBdr>
    </w:div>
    <w:div w:id="1563054885">
      <w:bodyDiv w:val="1"/>
      <w:marLeft w:val="0"/>
      <w:marRight w:val="0"/>
      <w:marTop w:val="0"/>
      <w:marBottom w:val="0"/>
      <w:divBdr>
        <w:top w:val="none" w:sz="0" w:space="0" w:color="auto"/>
        <w:left w:val="none" w:sz="0" w:space="0" w:color="auto"/>
        <w:bottom w:val="none" w:sz="0" w:space="0" w:color="auto"/>
        <w:right w:val="none" w:sz="0" w:space="0" w:color="auto"/>
      </w:divBdr>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61884805">
      <w:bodyDiv w:val="1"/>
      <w:marLeft w:val="0"/>
      <w:marRight w:val="0"/>
      <w:marTop w:val="0"/>
      <w:marBottom w:val="0"/>
      <w:divBdr>
        <w:top w:val="none" w:sz="0" w:space="0" w:color="auto"/>
        <w:left w:val="none" w:sz="0" w:space="0" w:color="auto"/>
        <w:bottom w:val="none" w:sz="0" w:space="0" w:color="auto"/>
        <w:right w:val="none" w:sz="0" w:space="0" w:color="auto"/>
      </w:divBdr>
    </w:div>
    <w:div w:id="1667511775">
      <w:bodyDiv w:val="1"/>
      <w:marLeft w:val="0"/>
      <w:marRight w:val="0"/>
      <w:marTop w:val="0"/>
      <w:marBottom w:val="0"/>
      <w:divBdr>
        <w:top w:val="none" w:sz="0" w:space="0" w:color="auto"/>
        <w:left w:val="none" w:sz="0" w:space="0" w:color="auto"/>
        <w:bottom w:val="none" w:sz="0" w:space="0" w:color="auto"/>
        <w:right w:val="none" w:sz="0" w:space="0" w:color="auto"/>
      </w:divBdr>
    </w:div>
    <w:div w:id="1668632899">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20133251">
      <w:bodyDiv w:val="1"/>
      <w:marLeft w:val="0"/>
      <w:marRight w:val="0"/>
      <w:marTop w:val="0"/>
      <w:marBottom w:val="0"/>
      <w:divBdr>
        <w:top w:val="none" w:sz="0" w:space="0" w:color="auto"/>
        <w:left w:val="none" w:sz="0" w:space="0" w:color="auto"/>
        <w:bottom w:val="none" w:sz="0" w:space="0" w:color="auto"/>
        <w:right w:val="none" w:sz="0" w:space="0" w:color="auto"/>
      </w:divBdr>
    </w:div>
    <w:div w:id="1750998915">
      <w:bodyDiv w:val="1"/>
      <w:marLeft w:val="0"/>
      <w:marRight w:val="0"/>
      <w:marTop w:val="0"/>
      <w:marBottom w:val="0"/>
      <w:divBdr>
        <w:top w:val="none" w:sz="0" w:space="0" w:color="auto"/>
        <w:left w:val="none" w:sz="0" w:space="0" w:color="auto"/>
        <w:bottom w:val="none" w:sz="0" w:space="0" w:color="auto"/>
        <w:right w:val="none" w:sz="0" w:space="0" w:color="auto"/>
      </w:divBdr>
    </w:div>
    <w:div w:id="1753504736">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818495185">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919825146">
      <w:bodyDiv w:val="1"/>
      <w:marLeft w:val="0"/>
      <w:marRight w:val="0"/>
      <w:marTop w:val="0"/>
      <w:marBottom w:val="0"/>
      <w:divBdr>
        <w:top w:val="none" w:sz="0" w:space="0" w:color="auto"/>
        <w:left w:val="none" w:sz="0" w:space="0" w:color="auto"/>
        <w:bottom w:val="none" w:sz="0" w:space="0" w:color="auto"/>
        <w:right w:val="none" w:sz="0" w:space="0" w:color="auto"/>
      </w:divBdr>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69334">
      <w:bodyDiv w:val="1"/>
      <w:marLeft w:val="0"/>
      <w:marRight w:val="0"/>
      <w:marTop w:val="0"/>
      <w:marBottom w:val="0"/>
      <w:divBdr>
        <w:top w:val="none" w:sz="0" w:space="0" w:color="auto"/>
        <w:left w:val="none" w:sz="0" w:space="0" w:color="auto"/>
        <w:bottom w:val="none" w:sz="0" w:space="0" w:color="auto"/>
        <w:right w:val="none" w:sz="0" w:space="0" w:color="auto"/>
      </w:divBdr>
    </w:div>
    <w:div w:id="1967658001">
      <w:bodyDiv w:val="1"/>
      <w:marLeft w:val="0"/>
      <w:marRight w:val="0"/>
      <w:marTop w:val="0"/>
      <w:marBottom w:val="0"/>
      <w:divBdr>
        <w:top w:val="none" w:sz="0" w:space="0" w:color="auto"/>
        <w:left w:val="none" w:sz="0" w:space="0" w:color="auto"/>
        <w:bottom w:val="none" w:sz="0" w:space="0" w:color="auto"/>
        <w:right w:val="none" w:sz="0" w:space="0" w:color="auto"/>
      </w:divBdr>
    </w:div>
    <w:div w:id="2003854670">
      <w:bodyDiv w:val="1"/>
      <w:marLeft w:val="0"/>
      <w:marRight w:val="0"/>
      <w:marTop w:val="0"/>
      <w:marBottom w:val="0"/>
      <w:divBdr>
        <w:top w:val="none" w:sz="0" w:space="0" w:color="auto"/>
        <w:left w:val="none" w:sz="0" w:space="0" w:color="auto"/>
        <w:bottom w:val="none" w:sz="0" w:space="0" w:color="auto"/>
        <w:right w:val="none" w:sz="0" w:space="0" w:color="auto"/>
      </w:divBdr>
      <w:divsChild>
        <w:div w:id="609581765">
          <w:marLeft w:val="1166"/>
          <w:marRight w:val="0"/>
          <w:marTop w:val="72"/>
          <w:marBottom w:val="0"/>
          <w:divBdr>
            <w:top w:val="none" w:sz="0" w:space="0" w:color="auto"/>
            <w:left w:val="none" w:sz="0" w:space="0" w:color="auto"/>
            <w:bottom w:val="none" w:sz="0" w:space="0" w:color="auto"/>
            <w:right w:val="none" w:sz="0" w:space="0" w:color="auto"/>
          </w:divBdr>
        </w:div>
        <w:div w:id="970357479">
          <w:marLeft w:val="1800"/>
          <w:marRight w:val="0"/>
          <w:marTop w:val="62"/>
          <w:marBottom w:val="0"/>
          <w:divBdr>
            <w:top w:val="none" w:sz="0" w:space="0" w:color="auto"/>
            <w:left w:val="none" w:sz="0" w:space="0" w:color="auto"/>
            <w:bottom w:val="none" w:sz="0" w:space="0" w:color="auto"/>
            <w:right w:val="none" w:sz="0" w:space="0" w:color="auto"/>
          </w:divBdr>
        </w:div>
        <w:div w:id="2014718219">
          <w:marLeft w:val="547"/>
          <w:marRight w:val="0"/>
          <w:marTop w:val="86"/>
          <w:marBottom w:val="0"/>
          <w:divBdr>
            <w:top w:val="none" w:sz="0" w:space="0" w:color="auto"/>
            <w:left w:val="none" w:sz="0" w:space="0" w:color="auto"/>
            <w:bottom w:val="none" w:sz="0" w:space="0" w:color="auto"/>
            <w:right w:val="none" w:sz="0" w:space="0" w:color="auto"/>
          </w:divBdr>
        </w:div>
        <w:div w:id="2092465121">
          <w:marLeft w:val="1166"/>
          <w:marRight w:val="0"/>
          <w:marTop w:val="72"/>
          <w:marBottom w:val="0"/>
          <w:divBdr>
            <w:top w:val="none" w:sz="0" w:space="0" w:color="auto"/>
            <w:left w:val="none" w:sz="0" w:space="0" w:color="auto"/>
            <w:bottom w:val="none" w:sz="0" w:space="0" w:color="auto"/>
            <w:right w:val="none" w:sz="0" w:space="0" w:color="auto"/>
          </w:divBdr>
        </w:div>
      </w:divsChild>
    </w:div>
    <w:div w:id="2014453540">
      <w:bodyDiv w:val="1"/>
      <w:marLeft w:val="0"/>
      <w:marRight w:val="0"/>
      <w:marTop w:val="0"/>
      <w:marBottom w:val="0"/>
      <w:divBdr>
        <w:top w:val="none" w:sz="0" w:space="0" w:color="auto"/>
        <w:left w:val="none" w:sz="0" w:space="0" w:color="auto"/>
        <w:bottom w:val="none" w:sz="0" w:space="0" w:color="auto"/>
        <w:right w:val="none" w:sz="0" w:space="0" w:color="auto"/>
      </w:divBdr>
    </w:div>
    <w:div w:id="2016376448">
      <w:bodyDiv w:val="1"/>
      <w:marLeft w:val="0"/>
      <w:marRight w:val="0"/>
      <w:marTop w:val="0"/>
      <w:marBottom w:val="0"/>
      <w:divBdr>
        <w:top w:val="none" w:sz="0" w:space="0" w:color="auto"/>
        <w:left w:val="none" w:sz="0" w:space="0" w:color="auto"/>
        <w:bottom w:val="none" w:sz="0" w:space="0" w:color="auto"/>
        <w:right w:val="none" w:sz="0" w:space="0" w:color="auto"/>
      </w:divBdr>
    </w:div>
    <w:div w:id="2019771523">
      <w:bodyDiv w:val="1"/>
      <w:marLeft w:val="0"/>
      <w:marRight w:val="0"/>
      <w:marTop w:val="0"/>
      <w:marBottom w:val="0"/>
      <w:divBdr>
        <w:top w:val="none" w:sz="0" w:space="0" w:color="auto"/>
        <w:left w:val="none" w:sz="0" w:space="0" w:color="auto"/>
        <w:bottom w:val="none" w:sz="0" w:space="0" w:color="auto"/>
        <w:right w:val="none" w:sz="0" w:space="0" w:color="auto"/>
      </w:divBdr>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070227568">
      <w:bodyDiv w:val="1"/>
      <w:marLeft w:val="0"/>
      <w:marRight w:val="0"/>
      <w:marTop w:val="0"/>
      <w:marBottom w:val="0"/>
      <w:divBdr>
        <w:top w:val="none" w:sz="0" w:space="0" w:color="auto"/>
        <w:left w:val="none" w:sz="0" w:space="0" w:color="auto"/>
        <w:bottom w:val="none" w:sz="0" w:space="0" w:color="auto"/>
        <w:right w:val="none" w:sz="0" w:space="0" w:color="auto"/>
      </w:divBdr>
    </w:div>
    <w:div w:id="2100636133">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 w:id="2142066731">
      <w:bodyDiv w:val="1"/>
      <w:marLeft w:val="0"/>
      <w:marRight w:val="0"/>
      <w:marTop w:val="0"/>
      <w:marBottom w:val="0"/>
      <w:divBdr>
        <w:top w:val="none" w:sz="0" w:space="0" w:color="auto"/>
        <w:left w:val="none" w:sz="0" w:space="0" w:color="auto"/>
        <w:bottom w:val="none" w:sz="0" w:space="0" w:color="auto"/>
        <w:right w:val="none" w:sz="0" w:space="0" w:color="auto"/>
      </w:divBdr>
    </w:div>
    <w:div w:id="214415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200/JCO.2022.40.4_suppl.440" TargetMode="External"/><Relationship Id="rId2" Type="http://schemas.openxmlformats.org/officeDocument/2006/relationships/hyperlink" Target="https://ascopubs.org/action/doSearch?ContribAuthorRaw=Borad%2C+Mitesh+J" TargetMode="External"/><Relationship Id="rId1" Type="http://schemas.openxmlformats.org/officeDocument/2006/relationships/hyperlink" Target="https://doi.org/10.1016/j.jval.2022.09.157" TargetMode="External"/><Relationship Id="rId4" Type="http://schemas.openxmlformats.org/officeDocument/2006/relationships/hyperlink" Target="https://www.aihw.gov.au/reports/cancer/cancer-data-in-australia/contents/s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Ban20</b:Tag>
    <b:SourceType>JournalArticle</b:SourceType>
    <b:Guid>{443C0631-99D2-46A1-85A1-98849FC4D76F}</b:Guid>
    <b:Title>Cholangiocarcinoma 2020: the next horizon in mechanisms and management.</b:Title>
    <b:JournalName>Nat Rev Gastroenterol Hepatol.</b:JournalName>
    <b:Year>2020</b:Year>
    <b:Pages>17(9):557-588</b:Pages>
    <b:Author>
      <b:Author>
        <b:NameList>
          <b:Person>
            <b:Last>Banales</b:Last>
            <b:First>J</b:First>
            <b:Middle>M</b:Middle>
          </b:Person>
          <b:Person>
            <b:Last>Marin</b:Last>
            <b:First>J</b:First>
            <b:Middle>JG</b:Middle>
          </b:Person>
          <b:Person>
            <b:Last>Lamarca</b:Last>
            <b:First>A</b:First>
          </b:Person>
          <b:Person>
            <b:Last>Rodrigues</b:Last>
            <b:First>P</b:First>
          </b:Person>
          <b:Person>
            <b:Last>Khan</b:Last>
            <b:First>S</b:First>
          </b:Person>
          <b:Person>
            <b:Last>al</b:Last>
            <b:First>et</b:First>
          </b:Person>
        </b:NameList>
      </b:Author>
    </b:Author>
    <b:RefOrder>4</b:RefOrder>
  </b:Source>
  <b:Source>
    <b:Tag>How20</b:Tag>
    <b:SourceType>InternetSite</b:SourceType>
    <b:Guid>{71D16F9D-556E-43E5-9229-3FCA5B3CE438}</b:Guid>
    <b:Title>SEER Cancer Statistics Review, 1975-2017</b:Title>
    <b:Year>2020</b:Year>
    <b:InternetSiteTitle>SEER</b:InternetSiteTitle>
    <b:Month>April</b:Month>
    <b:URL>https://seer.cancer.gov/archive/csr/1975_2017/</b:URL>
    <b:Author>
      <b:Author>
        <b:NameList>
          <b:Person>
            <b:Last>Howlader</b:Last>
            <b:First>N</b:First>
          </b:Person>
          <b:Person>
            <b:Last>Noone</b:Last>
            <b:Middle>M</b:Middle>
            <b:First>A</b:First>
          </b:Person>
          <b:Person>
            <b:Last>Krapcho</b:Last>
            <b:First>M</b:First>
          </b:Person>
          <b:Person>
            <b:Last>Miller</b:Last>
            <b:First>D</b:First>
          </b:Person>
          <b:Person>
            <b:Last>Brest</b:Last>
            <b:First>A</b:First>
          </b:Person>
          <b:Person>
            <b:Last>et al</b:Last>
          </b:Person>
        </b:NameList>
      </b:Author>
    </b:Author>
    <b:RefOrder>5</b:RefOrder>
  </b:Source>
  <b:Source>
    <b:Tag>Hah20</b:Tag>
    <b:SourceType>JournalArticle</b:SourceType>
    <b:Guid>{12111D9D-1130-4B2D-A207-2A93555BB9D2}</b:Guid>
    <b:Title>Distant Metastases in Patients with Intrahepatic Cholangiocarcinoma: Does Location Matter? A Retrospective Analysis of 370 Patients</b:Title>
    <b:JournalName>J Oncol</b:JournalName>
    <b:Year>2020</b:Year>
    <b:Pages>7195373</b:Pages>
    <b:Author>
      <b:Author>
        <b:NameList>
          <b:Person>
            <b:Last>Hahn</b:Last>
            <b:First>F</b:First>
          </b:Person>
          <b:Person>
            <b:Last>Muller</b:Last>
            <b:First>L</b:First>
          </b:Person>
          <b:Person>
            <b:Last>Mahringer-Kunz</b:Last>
            <b:First>A</b:First>
          </b:Person>
          <b:Person>
            <b:Last>Tanyildizi</b:Last>
            <b:First>Y</b:First>
          </b:Person>
          <b:Person>
            <b:Last>Pinto dos Santos</b:Last>
            <b:First>D</b:First>
          </b:Person>
          <b:Person>
            <b:Last>et al</b:Last>
          </b:Person>
        </b:NameList>
      </b:Author>
    </b:Author>
    <b:RefOrder>6</b:RefOrder>
  </b:Source>
  <b:Source>
    <b:Tag>Maz20</b:Tag>
    <b:SourceType>JournalArticle</b:SourceType>
    <b:Guid>{1BC85506-3611-43E0-A76C-7A9EFFA3168B}</b:Guid>
    <b:Author>
      <b:Author>
        <b:NameList>
          <b:Person>
            <b:Last>Mazzaferro</b:Last>
            <b:First>V</b:First>
          </b:Person>
          <b:Person>
            <b:Last>Gorgen</b:Last>
            <b:First>A</b:First>
          </b:Person>
          <b:Person>
            <b:Last>Roayaie</b:Last>
            <b:First>S</b:First>
          </b:Person>
          <b:Person>
            <b:Last>Droz Dit Busset</b:Last>
            <b:First>M</b:First>
          </b:Person>
          <b:Person>
            <b:Last>Sapisochin</b:Last>
            <b:First>G.</b:First>
          </b:Person>
        </b:NameList>
      </b:Author>
    </b:Author>
    <b:Title>Liver resection and transplantation for intrahepatic cholangiocarcinoma</b:Title>
    <b:JournalName>Journal of hepatology</b:JournalName>
    <b:Year>2020</b:Year>
    <b:Pages>72(2):364-377</b:Pages>
    <b:RefOrder>7</b:RefOrder>
  </b:Source>
  <b:Source>
    <b:Tag>Izq22</b:Tag>
    <b:SourceType>JournalArticle</b:SourceType>
    <b:Guid>{0D55BD5D-57B7-45EB-8E4C-519062744504}</b:Guid>
    <b:Title>Cholangiocarcinoma landscape in Europe: Diagnostic, prognostic and therapeutic insights from the ENSCCA Registry</b:Title>
    <b:JournalName>J Hepatol</b:JournalName>
    <b:Year>2022</b:Year>
    <b:Pages>76(5):1109-1121</b:Pages>
    <b:Author>
      <b:Author>
        <b:NameList>
          <b:Person>
            <b:Last>Izquierdo-Sanchez</b:Last>
            <b:First>L</b:First>
          </b:Person>
          <b:Person>
            <b:Last>Lamarca</b:Last>
            <b:First>A</b:First>
          </b:Person>
          <b:Person>
            <b:Last>La Casta</b:Last>
            <b:First>A</b:First>
          </b:Person>
          <b:Person>
            <b:Last>Buettner</b:Last>
            <b:First>S</b:First>
          </b:Person>
          <b:Person>
            <b:Last>Utpatel</b:Last>
            <b:First>K</b:First>
          </b:Person>
          <b:Person>
            <b:Last>et al</b:Last>
          </b:Person>
        </b:NameList>
      </b:Author>
    </b:Author>
    <b:RefOrder>8</b:RefOrder>
  </b:Source>
  <b:Source>
    <b:Tag>Han19</b:Tag>
    <b:SourceType>JournalArticle</b:SourceType>
    <b:Guid>{919F9935-A72B-456F-B609-D72026641224}</b:Guid>
    <b:Title>Cholangiocarcinoma: anatomical location-dependent clinical, prognostic, and genetic disparities</b:Title>
    <b:JournalName>Ann Tansl Med</b:JournalName>
    <b:Year>2019</b:Year>
    <b:Pages>7(23): 744</b:Pages>
    <b:Author>
      <b:Author>
        <b:NameList>
          <b:Person>
            <b:Last>Hang</b:Last>
            <b:First>H</b:First>
          </b:Person>
          <b:Person>
            <b:Last>Jeong</b:Last>
            <b:First>S</b:First>
          </b:Person>
          <b:Person>
            <b:Last>Sha</b:Last>
            <b:First>M</b:First>
          </b:Person>
          <b:Person>
            <b:Last>Kong</b:Last>
            <b:First>D</b:First>
          </b:Person>
          <b:Person>
            <b:Last>Xi</b:Last>
            <b:First>Z</b:First>
          </b:Person>
          <b:Person>
            <b:Last>et al</b:Last>
          </b:Person>
        </b:NameList>
      </b:Author>
    </b:Author>
    <b:RefOrder>9</b:RefOrder>
  </b:Source>
  <b:Source xmlns:b="http://schemas.openxmlformats.org/officeDocument/2006/bibliography">
    <b:Tag>Gor17</b:Tag>
    <b:SourceType>JournalArticle</b:SourceType>
    <b:Guid>{FE31AF82-E636-4B56-9DDC-73A3CC32B418}</b:Guid>
    <b:Title>Cholangiocarcinoma: New Insights</b:Title>
    <b:JournalName>APJCP</b:JournalName>
    <b:Year>2017</b:Year>
    <b:Pages>18(6):1469-1473</b:Pages>
    <b:Author>
      <b:Author>
        <b:NameList>
          <b:Person>
            <b:Last>Goral</b:Last>
            <b:First>V</b:First>
          </b:Person>
        </b:NameList>
      </b:Author>
    </b:Author>
    <b:RefOrder>10</b:RefOrder>
  </b:Source>
  <b:Source>
    <b:Tag>Val21</b:Tag>
    <b:SourceType>JournalArticle</b:SourceType>
    <b:Guid>{ED43C7DA-FB44-4895-88CB-DF6AD722FCAA}</b:Guid>
    <b:Title>Biliary tract cancer</b:Title>
    <b:Year>2021</b:Year>
    <b:JournalName>Lancet</b:JournalName>
    <b:Pages>397(10272):428-444</b:Pages>
    <b:Author>
      <b:Author>
        <b:NameList>
          <b:Person>
            <b:Last>Valle</b:Last>
            <b:First>JW</b:First>
          </b:Person>
          <b:Person>
            <b:Last>Kelley</b:Last>
            <b:First>RK</b:First>
          </b:Person>
          <b:Person>
            <b:Last>Nervi</b:Last>
            <b:First>B</b:First>
          </b:Person>
          <b:Person>
            <b:Last>Oh</b:Last>
            <b:First>DY</b:First>
          </b:Person>
          <b:Person>
            <b:Last>Zhu</b:Last>
            <b:First>AX</b:First>
          </b:Person>
        </b:NameList>
      </b:Author>
    </b:Author>
    <b:RefOrder>11</b:RefOrder>
  </b:Source>
  <b:Source>
    <b:Tag>Kha19</b:Tag>
    <b:SourceType>JournalArticle</b:SourceType>
    <b:Guid>{FA3946B2-AAA7-467F-9814-AC764DC04BED}</b:Guid>
    <b:Author>
      <b:Author>
        <b:NameList>
          <b:Person>
            <b:Last>Khan</b:Last>
            <b:First>SA</b:First>
          </b:Person>
          <b:Person>
            <b:Last>Tavolari</b:Last>
            <b:First>S</b:First>
          </b:Person>
          <b:Person>
            <b:Last>Brandi</b:Last>
            <b:First>G</b:First>
          </b:Person>
        </b:NameList>
      </b:Author>
    </b:Author>
    <b:Title>Cholangiocarcinoma: Epidemiology and risk factors</b:Title>
    <b:JournalName>Liver international : official journal of the International Association for the Study of the Liver</b:JournalName>
    <b:Year>2019</b:Year>
    <b:Pages>39 Suppl 1:19-31</b:Pages>
    <b:RefOrder>12</b:RefOrder>
  </b:Source>
  <b:Source>
    <b:Tag>NCC231</b:Tag>
    <b:SourceType>JournalArticle</b:SourceType>
    <b:Guid>{63162351-7C19-42AC-B457-5B0A57FB0865}</b:Guid>
    <b:Author>
      <b:Author>
        <b:Corporate>NCCN</b:Corporate>
      </b:Author>
    </b:Author>
    <b:Title>Biliary Tract Cancers Version 3.2024</b:Title>
    <b:Year>2024</b:Year>
    <b:RefOrder>13</b:RefOrder>
  </b:Source>
  <b:Source>
    <b:Tag>Muk18</b:Tag>
    <b:SourceType>JournalArticle</b:SourceType>
    <b:Guid>{E76E41A4-4393-4ECA-B24A-3FA4706DB735}</b:Guid>
    <b:Author>
      <b:Author>
        <b:NameList>
          <b:Person>
            <b:Last>Mukkamalla</b:Last>
            <b:First>SKR</b:First>
          </b:Person>
          <b:Person>
            <b:Last>Naseri</b:Last>
            <b:First>HM</b:First>
          </b:Person>
          <b:Person>
            <b:Last>Kim</b:Last>
            <b:First>BM</b:First>
          </b:Person>
          <b:Person>
            <b:Last>Katz</b:Last>
            <b:First>SC</b:First>
          </b:Person>
          <b:Person>
            <b:Last>Armenio</b:Last>
            <b:First>VA</b:First>
          </b:Person>
        </b:NameList>
      </b:Author>
    </b:Author>
    <b:Title>Trends in Incidence and Factors Affecting Survival of Patients With Cholangiocarcinoma in the United States. </b:Title>
    <b:JournalName>JNCCN</b:JournalName>
    <b:Year>2018</b:Year>
    <b:Pages>16(4):370-376</b:Pages>
    <b:RefOrder>14</b:RefOrder>
  </b:Source>
  <b:Source>
    <b:Tag>Riz18</b:Tag>
    <b:SourceType>JournalArticle</b:SourceType>
    <b:Guid>{7E34D504-64EF-4355-AE7B-EB71846571C2}</b:Guid>
    <b:Author>
      <b:Author>
        <b:NameList>
          <b:Person>
            <b:Last>Ilyas</b:Last>
            <b:First>S</b:First>
            <b:Middle>I</b:Middle>
          </b:Person>
          <b:Person>
            <b:Last>Khan</b:Last>
            <b:First>SA</b:First>
          </b:Person>
          <b:Person>
            <b:Last>Hallemeier</b:Last>
            <b:First>CL</b:First>
          </b:Person>
          <b:Person>
            <b:Last>Kelley</b:Last>
            <b:First>RK</b:First>
          </b:Person>
          <b:Person>
            <b:Last>Gores</b:Last>
            <b:First>GJ</b:First>
          </b:Person>
        </b:NameList>
      </b:Author>
    </b:Author>
    <b:Title>Cholangiocarcinoma - evolving concepts and therapeutic strategies</b:Title>
    <b:JournalName>Nat Rev Clin Oncol</b:JournalName>
    <b:Year>2018</b:Year>
    <b:Pages>15(2):95-111</b:Pages>
    <b:RefOrder>15</b:RefOrder>
  </b:Source>
  <b:Source>
    <b:Tag>Val10</b:Tag>
    <b:SourceType>JournalArticle</b:SourceType>
    <b:Guid>{8F4C5903-E52E-4014-AD27-98D98BD03A0A}</b:Guid>
    <b:Title>Cisplatin plus gemcitabine versus gemcitabine for biliary tract cancer</b:Title>
    <b:JournalName>N Engl J Med</b:JournalName>
    <b:Year>2010</b:Year>
    <b:Pages>362(14):1273-81</b:Pages>
    <b:Author>
      <b:Author>
        <b:NameList>
          <b:Person>
            <b:Last>Valle</b:Last>
            <b:First>J</b:First>
          </b:Person>
          <b:Person>
            <b:Last>Wasan</b:Last>
            <b:First>H</b:First>
          </b:Person>
          <b:Person>
            <b:Last>Palmer</b:Last>
            <b:First>D</b:First>
            <b:Middle>H</b:Middle>
          </b:Person>
          <b:Person>
            <b:Last>Cunningham</b:Last>
            <b:First>D</b:First>
          </b:Person>
          <b:Person>
            <b:Last>Anthoney</b:Last>
            <b:First>A</b:First>
          </b:Person>
          <b:Person>
            <b:Last>al</b:Last>
            <b:First>et</b:First>
          </b:Person>
        </b:NameList>
      </b:Author>
    </b:Author>
    <b:RefOrder>16</b:RefOrder>
  </b:Source>
  <b:Source>
    <b:Tag>OhD22</b:Tag>
    <b:SourceType>JournalArticle</b:SourceType>
    <b:Guid>{AB24E43C-4958-4DBD-9C36-168CFB9B053E}</b:Guid>
    <b:Title>Durvalumab plus Gemcitabine and Cisplatin in Advanced Biliary Tract Cancer</b:Title>
    <b:JournalName>NEJM Evid</b:JournalName>
    <b:Year>2022</b:Year>
    <b:Pages>1(8)</b:Pages>
    <b:Author>
      <b:Author>
        <b:NameList>
          <b:Person>
            <b:Last>Oh</b:Last>
            <b:First>DY</b:First>
          </b:Person>
          <b:Person>
            <b:Last>He</b:Last>
            <b:Middle>R</b:Middle>
            <b:First>A</b:First>
          </b:Person>
          <b:Person>
            <b:Last>Qin</b:Last>
            <b:First>S</b:First>
          </b:Person>
          <b:Person>
            <b:Last>Chen</b:Last>
            <b:First>LT</b:First>
          </b:Person>
          <b:Person>
            <b:Last>O</b:Last>
            <b:First>T</b:First>
          </b:Person>
          <b:Person>
            <b:Last>et al</b:Last>
          </b:Person>
        </b:NameList>
      </b:Author>
    </b:Author>
    <b:RefOrder>17</b:RefOrder>
  </b:Source>
  <b:Source>
    <b:Tag>Lam14</b:Tag>
    <b:SourceType>JournalArticle</b:SourceType>
    <b:Guid>{2C80A390-5465-482A-A47F-D5D76EAD42BE}</b:Guid>
    <b:Title>Second-line chemotherapy in advanced biliary cancer: a systematic review</b:Title>
    <b:JournalName>Ann Oncol</b:JournalName>
    <b:Year>2014</b:Year>
    <b:Pages>25(12):2328-2338</b:Pages>
    <b:Author>
      <b:Author>
        <b:NameList>
          <b:Person>
            <b:Last>Lamarca</b:Last>
            <b:First>A</b:First>
          </b:Person>
          <b:Person>
            <b:Last>Hubner</b:Last>
            <b:First>RA</b:First>
          </b:Person>
          <b:Person>
            <b:Last>David Ryder</b:Last>
            <b:First>W</b:First>
          </b:Person>
          <b:Person>
            <b:Last>Valle</b:Last>
            <b:First>JW</b:First>
          </b:Person>
        </b:NameList>
      </b:Author>
    </b:Author>
    <b:RefOrder>18</b:RefOrder>
  </b:Source>
  <b:Source>
    <b:Tag>Lam212</b:Tag>
    <b:SourceType>JournalArticle</b:SourceType>
    <b:Guid>{B953C2C9-A93A-4AF3-9384-A9C7FD7CA2C1}</b:Guid>
    <b:Title>Second-line FOLFOX chemotherapy versus active symptom control for advanced biliary tract cancer (ABC-06): a phase 3, open-label, randomised, controlled trial</b:Title>
    <b:JournalName>Lancet Oncol</b:JournalName>
    <b:Year>2021</b:Year>
    <b:Pages>22: 690–701</b:Pages>
    <b:Author>
      <b:Author>
        <b:NameList>
          <b:Person>
            <b:Last>Lamarca</b:Last>
            <b:First>A</b:First>
          </b:Person>
          <b:Person>
            <b:Last>Palmer</b:Last>
            <b:Middle>H</b:Middle>
            <b:First>D</b:First>
          </b:Person>
          <b:Person>
            <b:Last>Wasan</b:Last>
            <b:Middle>S</b:Middle>
            <b:First>H</b:First>
          </b:Person>
          <b:Person>
            <b:Last>Ross</b:Last>
            <b:Middle>J</b:Middle>
            <b:First>P</b:First>
          </b:Person>
          <b:Person>
            <b:Last>Ma</b:Last>
            <b:Middle>T</b:Middle>
            <b:First>Y</b:First>
          </b:Person>
          <b:Person>
            <b:Last>et al</b:Last>
          </b:Person>
        </b:NameList>
      </b:Author>
    </b:Author>
    <b:RefOrder>19</b:RefOrder>
  </b:Source>
  <b:Source>
    <b:Tag>Placeholder1</b:Tag>
    <b:SourceType>JournalArticle</b:SourceType>
    <b:Guid>{CCC54EF2-3F9E-4D54-8BBA-9F24C3ACBF1E}</b:Guid>
    <b:Author>
      <b:Author>
        <b:NameList>
          <b:Person>
            <b:Last>Goyal</b:Last>
            <b:First>L</b:First>
          </b:Person>
          <b:Person>
            <b:Last>Meric‑Bernstam</b:Last>
            <b:First>F</b:First>
          </b:Person>
          <b:Person>
            <b:Last>Hollebecque</b:Last>
            <b:First>A</b:First>
          </b:Person>
          <b:Person>
            <b:Last>Valle</b:Last>
            <b:First>JW</b:First>
          </b:Person>
          <b:Person>
            <b:Last>Morizane</b:Last>
            <b:First>C.</b:First>
          </b:Person>
          <b:Person>
            <b:Last>et al</b:Last>
          </b:Person>
        </b:NameList>
      </b:Author>
    </b:Author>
    <b:Title>Futibatinib for FGFR2-Rearranged Intrahepatic Cholangiocarcinoma</b:Title>
    <b:JournalName>N Engl J Med</b:JournalName>
    <b:Year>2023</b:Year>
    <b:Pages>228-39</b:Pages>
    <b:Volume>388</b:Volume>
    <b:RefOrder>20</b:RefOrder>
  </b:Source>
  <b:Source>
    <b:Tag>Zab13</b:Tag>
    <b:SourceType>JournalArticle</b:SourceType>
    <b:Guid>{EB343354-47C4-4B18-8B03-3C5B8EECD79E}</b:Guid>
    <b:Title>The challenge of cholangiocarcinoma: dissecting the molecular mechanisms of an insidious cancer</b:Title>
    <b:JournalName>Disease models and mechanisms</b:JournalName>
    <b:Year>2013</b:Year>
    <b:Pages>6(2):281-292</b:Pages>
    <b:Author>
      <b:Author>
        <b:NameList>
          <b:Person>
            <b:Last>Zabron</b:Last>
            <b:First>A</b:First>
          </b:Person>
          <b:Person>
            <b:Last>Edwards</b:Last>
            <b:First>RJ</b:First>
          </b:Person>
          <b:Person>
            <b:Last>Khan</b:Last>
            <b:First>SA</b:First>
          </b:Person>
        </b:NameList>
      </b:Author>
    </b:Author>
    <b:RefOrder>21</b:RefOrder>
  </b:Source>
  <b:Source>
    <b:Tag>Lam20</b:Tag>
    <b:SourceType>JournalArticle</b:SourceType>
    <b:Guid>{E9740C3A-ADC4-4616-844C-76A620D42839}</b:Guid>
    <b:Title>Advanced Intrahepatic Cholangiocarcinoma: Post Hoc Analysis of the ABC-01, -02, and -03 Clinical Trials</b:Title>
    <b:JournalName>J Natl Cancer Inst</b:JournalName>
    <b:Year>2020</b:Year>
    <b:Pages>112(2):200-210</b:Pages>
    <b:Author>
      <b:Author>
        <b:NameList>
          <b:Person>
            <b:Last>Lamarca</b:Last>
            <b:First>A</b:First>
          </b:Person>
          <b:Person>
            <b:Last>Ross</b:Last>
            <b:First>P</b:First>
          </b:Person>
          <b:Person>
            <b:Last>Wasan</b:Last>
            <b:Middle>S</b:Middle>
            <b:First>H</b:First>
          </b:Person>
          <b:Person>
            <b:Last>Huber</b:Last>
            <b:Middle>A</b:Middle>
            <b:First>R</b:First>
          </b:Person>
          <b:Person>
            <b:Last>McNamara</b:Last>
            <b:Middle>G</b:Middle>
            <b:First>M</b:First>
          </b:Person>
          <b:Person>
            <b:Last>et al</b:Last>
          </b:Person>
        </b:NameList>
      </b:Author>
    </b:Author>
    <b:RefOrder>22</b:RefOrder>
  </b:Source>
  <b:Source>
    <b:Tag>Goy21</b:Tag>
    <b:SourceType>JournalArticle</b:SourceType>
    <b:Guid>{6ADA5B9C-AF9C-4927-A620-728E281CB449}</b:Guid>
    <b:Title>Targeting FGFR inhibition in cholangiocarcinoma</b:Title>
    <b:JournalName>Cancer Treat Rev</b:JournalName>
    <b:Year>2021</b:Year>
    <b:Pages>95:102170</b:Pages>
    <b:Author>
      <b:Author>
        <b:NameList>
          <b:Person>
            <b:Last>Goyal</b:Last>
            <b:First>L</b:First>
          </b:Person>
          <b:Person>
            <b:Last>Kongpetch</b:Last>
            <b:First>S</b:First>
          </b:Person>
          <b:Person>
            <b:Last>Crolley</b:Last>
            <b:Middle>E</b:Middle>
            <b:First>V</b:First>
          </b:Person>
          <b:Person>
            <b:Last>Bridgewater</b:Last>
            <b:First>J</b:First>
          </b:Person>
        </b:NameList>
      </b:Author>
    </b:Author>
    <b:RefOrder>23</b:RefOrder>
  </b:Source>
  <b:Source>
    <b:Tag>Goy20</b:Tag>
    <b:SourceType>JournalArticle</b:SourceType>
    <b:Guid>{CDC45CA2-4990-421A-AA6C-4440C7CB5DD3}</b:Guid>
    <b:Title>The natural history of fibroblast growth factor receptor (FGFR)-altered cholangiocarcinoma (CCA).</b:Title>
    <b:JournalName>J Clin Oncol</b:JournalName>
    <b:Year>2020</b:Year>
    <b:Pages>38(15_suppl):e16686-e16686</b:Pages>
    <b:Author>
      <b:Author>
        <b:NameList>
          <b:Person>
            <b:Last>Goyal</b:Last>
            <b:First>L</b:First>
          </b:Person>
          <b:Person>
            <b:Last>Lamarca</b:Last>
            <b:First>A</b:First>
          </b:Person>
          <b:Person>
            <b:Last>Strickler</b:Last>
            <b:Middle>H</b:Middle>
            <b:First>J</b:First>
          </b:Person>
          <b:Person>
            <b:Last>Cecchini</b:Last>
            <b:First>M</b:First>
          </b:Person>
          <b:Person>
            <b:Last>Ahn</b:Last>
            <b:Middle>A</b:Middle>
            <b:First>D</b:First>
          </b:Person>
          <b:Person>
            <b:Last>et al</b:Last>
          </b:Person>
        </b:NameList>
      </b:Author>
    </b:Author>
    <b:RefOrder>24</b:RefOrder>
  </b:Source>
  <b:Source>
    <b:Tag>Hel16</b:Tag>
    <b:SourceType>JournalArticle</b:SourceType>
    <b:Guid>{12293A73-381A-4B51-ACDD-45C24E74F5FD}</b:Guid>
    <b:Author>
      <b:Author>
        <b:NameList>
          <b:Person>
            <b:Last>Helsten</b:Last>
            <b:First>T</b:First>
          </b:Person>
          <b:Person>
            <b:Last>Elkin</b:Last>
            <b:First>S</b:First>
          </b:Person>
          <b:Person>
            <b:Last>Arthur</b:Last>
            <b:First>E</b:First>
          </b:Person>
          <b:Person>
            <b:Last>Tomson</b:Last>
            <b:First>BN</b:First>
          </b:Person>
          <b:Person>
            <b:Last>Carter</b:Last>
            <b:First>J</b:First>
          </b:Person>
          <b:Person>
            <b:Last>Kurzrock</b:Last>
            <b:First>R.</b:First>
          </b:Person>
        </b:NameList>
      </b:Author>
    </b:Author>
    <b:Title>The FGFR Landscape in Cancer: Analysis of 4,853 Tumors by Next-Generation Sequencing</b:Title>
    <b:JournalName>Clinical Cancer Research</b:JournalName>
    <b:Year>2016</b:Year>
    <b:Pages>22(1):259-267</b:Pages>
    <b:RefOrder>25</b:RefOrder>
  </b:Source>
  <b:Source>
    <b:Tag>Dab19</b:Tag>
    <b:SourceType>JournalArticle</b:SourceType>
    <b:Guid>{357DD05E-FA65-4BA8-91E4-400521F9538B}</b:Guid>
    <b:Title>Molecular pathways and targeted therapy in cholangiocarcinoma</b:Title>
    <b:JournalName>Clin Adv Hematol Oncol</b:JournalName>
    <b:Year>2019</b:Year>
    <b:Pages>17(11):630-637</b:Pages>
    <b:Author>
      <b:Author>
        <b:NameList>
          <b:Person>
            <b:Last>Dabney</b:Last>
            <b:First>R</b:First>
            <b:Middle>S</b:Middle>
          </b:Person>
          <b:Person>
            <b:Last>Khalife</b:Last>
            <b:First>M</b:First>
          </b:Person>
          <b:Person>
            <b:Last>Shahid</b:Last>
            <b:First>K</b:First>
          </b:Person>
          <b:Person>
            <b:Last>Phan</b:Last>
            <b:First>A</b:First>
            <b:Middle>T</b:Middle>
          </b:Person>
        </b:NameList>
      </b:Author>
    </b:Author>
    <b:RefOrder>26</b:RefOrder>
  </b:Source>
  <b:Source>
    <b:Tag>ESM21</b:Tag>
    <b:SourceType>Report</b:SourceType>
    <b:Guid>{D371C757-E784-49B5-B42C-884E8A79C866}</b:Guid>
    <b:Author>
      <b:Author>
        <b:Corporate>ESMO</b:Corporate>
      </b:Author>
    </b:Author>
    <b:Title>FGFR2 Fusions Testing in Intrahepatic Cholangiocarcinoma: ESMO Biomarker Fact Sheet</b:Title>
    <b:Year>2021</b:Year>
    <b:YearAccessed>2022</b:YearAccessed>
    <b:MonthAccessed>March</b:MonthAccessed>
    <b:URL>https://oncologypro.esmo.org/education-library/factsheets-on-biomarkers/fgfr2-fusions-testing-in-intrahepatic-cholangiocarcinoma</b:URL>
    <b:RefOrder>27</b:RefOrder>
  </b:Source>
  <b:Source>
    <b:Tag>Alj20</b:Tag>
    <b:SourceType>JournalArticle</b:SourceType>
    <b:Guid>{598E68D7-4925-4433-9FC8-400524BFF780}</b:Guid>
    <b:Title>Covalent Versus Non-covalent Enzyme Inhibition: Which Route Should We Take? A Justification of the Good and Bad from Molecular Modelling Perspective</b:Title>
    <b:JournalName>Protein J</b:JournalName>
    <b:Year>2020</b:Year>
    <b:Pages>39(2):97-105</b:Pages>
    <b:Author>
      <b:Author>
        <b:NameList>
          <b:Person>
            <b:Last>Aljoundi</b:Last>
            <b:First>A</b:First>
          </b:Person>
          <b:Person>
            <b:Last>Bjij</b:Last>
            <b:First>I</b:First>
          </b:Person>
          <b:Person>
            <b:Last>El Rashedy</b:Last>
            <b:First>A</b:First>
          </b:Person>
          <b:Person>
            <b:Last>Soliman</b:Last>
            <b:First>MES</b:First>
          </b:Person>
        </b:NameList>
      </b:Author>
    </b:Author>
    <b:RefOrder>28</b:RefOrder>
  </b:Source>
  <b:Source>
    <b:Tag>Gho19</b:Tag>
    <b:SourceType>JournalArticle</b:SourceType>
    <b:Guid>{96428D4B-2EC2-4115-BBF0-2E3C5D7E378A}</b:Guid>
    <b:Title>Covalent Inhibition in Drug Discovery.</b:Title>
    <b:JournalName>Chem Med Chem</b:JournalName>
    <b:Year>2019</b:Year>
    <b:Pages>14(9):889-906</b:Pages>
    <b:Author>
      <b:Author>
        <b:NameList>
          <b:Person>
            <b:Last>Ghosh</b:Last>
            <b:First>AK</b:First>
          </b:Person>
          <b:Person>
            <b:Last>Samanta</b:Last>
            <b:First>I</b:First>
          </b:Person>
          <b:Person>
            <b:Last>Mondal</b:Last>
            <b:First>A</b:First>
          </b:Person>
          <b:Person>
            <b:Last>Liu</b:Last>
            <b:First>WR</b:First>
          </b:Person>
        </b:NameList>
      </b:Author>
    </b:Author>
    <b:RefOrder>29</b:RefOrder>
  </b:Source>
  <b:Source>
    <b:Tag>Joh10</b:Tag>
    <b:SourceType>JournalArticle</b:SourceType>
    <b:Guid>{F92B079E-A61A-451A-92E2-0724FDC4853C}</b:Guid>
    <b:Title>Strategies for discovering and derisking covalent, irreversible enzyme inhibitors</b:Title>
    <b:JournalName>Future medicinal chemistry</b:JournalName>
    <b:Year>2010</b:Year>
    <b:Pages>2(6):949-964</b:Pages>
    <b:Author>
      <b:Author>
        <b:NameList>
          <b:Person>
            <b:Last>Johnson</b:Last>
            <b:Middle>S</b:Middle>
            <b:First>D</b:First>
          </b:Person>
          <b:Person>
            <b:Last>Weerapana</b:Last>
            <b:First>E</b:First>
          </b:Person>
          <b:Person>
            <b:Last>Cravatt</b:Last>
            <b:Middle>F</b:Middle>
            <b:First>B</b:First>
          </b:Person>
        </b:NameList>
      </b:Author>
    </b:Author>
    <b:RefOrder>30</b:RefOrder>
  </b:Source>
  <b:Source>
    <b:Tag>Sin11</b:Tag>
    <b:SourceType>JournalArticle</b:SourceType>
    <b:Guid>{DA59185A-AC5E-4E61-BDCD-20B9F2813ACC}</b:Guid>
    <b:Author>
      <b:Author>
        <b:NameList>
          <b:Person>
            <b:Last>Singh</b:Last>
            <b:First>J</b:First>
          </b:Person>
          <b:Person>
            <b:Last>Petter</b:Last>
            <b:First>RC</b:First>
          </b:Person>
          <b:Person>
            <b:Last>Baillie</b:Last>
            <b:First>TA</b:First>
          </b:Person>
          <b:Person>
            <b:Last>Whitty</b:Last>
            <b:First>A</b:First>
          </b:Person>
        </b:NameList>
      </b:Author>
    </b:Author>
    <b:Title>The resurgence of covalent drugs</b:Title>
    <b:JournalName>Nature reviews drug discovery</b:JournalName>
    <b:Year>2011</b:Year>
    <b:Pages>10(4):307-317</b:Pages>
    <b:RefOrder>31</b:RefOrder>
  </b:Source>
  <b:Source>
    <b:Tag>Bra17</b:Tag>
    <b:SourceType>JournalArticle</b:SourceType>
    <b:Guid>{D7E5742E-D56B-4984-B053-6022DFCC24A0}</b:Guid>
    <b:Title>Discovery of the Irreversible Covalent FGFR Inhibitor 8-(3-(4-Acryloylpiperazin-1-yl)propyl)-6-(2,6-dichloro-3,5-dimethoxyphenyl)-2-(methylamino)pyrido[2,3-d]pyrimidin-7(8H)-one (PRN1371) for the Treatment of Solid Tumors</b:Title>
    <b:JournalName>J Med Chem</b:JournalName>
    <b:Year>2017</b:Year>
    <b:Pages>60(15):6516-6527</b:Pages>
    <b:Author>
      <b:Author>
        <b:NameList>
          <b:Person>
            <b:Last>Brameld</b:Last>
            <b:Middle>A</b:Middle>
            <b:First>K</b:First>
          </b:Person>
          <b:Person>
            <b:Last>Owens</b:Last>
            <b:Middle>D</b:Middle>
            <b:First>T</b:First>
          </b:Person>
          <b:Person>
            <b:Last>Verner</b:Last>
            <b:First>E</b:First>
          </b:Person>
          <b:Person>
            <b:Last>Venetsanakos</b:Last>
            <b:First>E</b:First>
          </b:Person>
          <b:Person>
            <b:Last>Bradshaw</b:Last>
            <b:Middle>M</b:Middle>
            <b:First>J</b:First>
          </b:Person>
          <b:Person>
            <b:Last>et al</b:Last>
          </b:Person>
        </b:NameList>
      </b:Author>
    </b:Author>
    <b:RefOrder>32</b:RefOrder>
  </b:Source>
  <b:Source>
    <b:Tag>WuX21</b:Tag>
    <b:SourceType>JournalArticle</b:SourceType>
    <b:Guid>{44A2609E-349E-4D1A-A254-FC83B6FE4FA0}</b:Guid>
    <b:Title>Design, synthesis and biological evaluation of pyrazolo[3,4- d]pyridazinone derivatives as covalent FGFR inhibitors</b:Title>
    <b:JournalName>Acta Pharm Sin B</b:JournalName>
    <b:Year>2021</b:Year>
    <b:Pages>11(3):781-794</b:Pages>
    <b:Author>
      <b:Author>
        <b:NameList>
          <b:Person>
            <b:Last>Wu</b:Last>
            <b:First>X</b:First>
          </b:Person>
          <b:Person>
            <b:Last>Dai</b:Last>
            <b:First>M</b:First>
          </b:Person>
          <b:Person>
            <b:Last>Cui</b:Last>
            <b:First>R</b:First>
          </b:Person>
          <b:Person>
            <b:Last>Wang</b:Last>
            <b:First>Y</b:First>
          </b:Person>
          <b:Person>
            <b:Last>Li</b:Last>
            <b:First>C</b:First>
          </b:Person>
          <b:Person>
            <b:Last>et al</b:Last>
          </b:Person>
        </b:NameList>
      </b:Author>
    </b:Author>
    <b:RefOrder>33</b:RefOrder>
  </b:Source>
  <b:Source>
    <b:Tag>Soo21</b:Tag>
    <b:SourceType>ConferenceProceedings</b:SourceType>
    <b:Guid>{AC3F0307-C15D-471D-BB0F-AE2544298E0C}</b:Guid>
    <b:Author>
      <b:Author>
        <b:NameList>
          <b:Person>
            <b:Last>Sootome</b:Last>
            <b:First>H</b:First>
          </b:Person>
          <b:Person>
            <b:Last>Kato</b:Last>
            <b:First>S</b:First>
          </b:Person>
          <b:Person>
            <b:Last>Aoyagi</b:Last>
            <b:First>Y</b:First>
          </b:Person>
          <b:Person>
            <b:Last>Kato</b:Last>
            <b:First>M</b:First>
          </b:Person>
          <b:Person>
            <b:Last>Hirai</b:Last>
            <b:First>H</b:First>
          </b:Person>
        </b:NameList>
      </b:Author>
    </b:Author>
    <b:Title>Acquired resistance to ATP-competitive and irreversible FGFR inhibitors:  a library-based approach.</b:Title>
    <b:Year>2021</b:Year>
    <b:ConferenceName>American Association for Cancer Research (AACR) Annual Meeting</b:ConferenceName>
    <b:RefOrder>34</b:RefOrder>
  </b:Source>
  <b:Source>
    <b:Tag>Soo20</b:Tag>
    <b:SourceType>JournalArticle</b:SourceType>
    <b:Guid>{1A0FB93D-C96B-41AA-87CA-2E6D59DF527F}</b:Guid>
    <b:Title>Futibatinib Is a Novel Irreversible FGFR 1-4 Inhibitor That Shows Selective Antitumor Activity against FGFR-Deregulated Tumors</b:Title>
    <b:JournalName>Cancer Res</b:JournalName>
    <b:Year>2020</b:Year>
    <b:Pages>80(22):4986-4997</b:Pages>
    <b:Author>
      <b:Author>
        <b:NameList>
          <b:Person>
            <b:Last>Sootome</b:Last>
            <b:First>H</b:First>
          </b:Person>
          <b:Person>
            <b:Last>Fujita</b:Last>
            <b:First>H</b:First>
          </b:Person>
          <b:Person>
            <b:Last>Ito</b:Last>
            <b:First>K</b:First>
          </b:Person>
          <b:Person>
            <b:Last>Ochiiwa</b:Last>
            <b:First>H</b:First>
          </b:Person>
          <b:Person>
            <b:Last>Fujioka</b:Last>
            <b:First>Y</b:First>
          </b:Person>
          <b:Person>
            <b:Last>Ito</b:Last>
            <b:First>K</b:First>
          </b:Person>
          <b:Person>
            <b:Last>Miura</b:Last>
            <b:First>A</b:First>
          </b:Person>
          <b:Person>
            <b:Last>et al</b:Last>
          </b:Person>
        </b:NameList>
      </b:Author>
    </b:Author>
    <b:RefOrder>35</b:RefOrder>
  </b:Source>
  <b:Source>
    <b:Tag>Kal19</b:Tag>
    <b:SourceType>JournalArticle</b:SourceType>
    <b:Guid>{04BD9738-B1FF-43B5-8132-02EA72F9053E}</b:Guid>
    <b:Author>
      <b:Author>
        <b:NameList>
          <b:Person>
            <b:Last>Kalyukina</b:Last>
            <b:First>M</b:First>
          </b:Person>
          <b:Person>
            <b:Last>Yosaatmadja</b:Last>
            <b:First>Y</b:First>
          </b:Person>
          <b:Person>
            <b:Last>Middleditch</b:Last>
            <b:First>MJ</b:First>
          </b:Person>
          <b:Person>
            <b:Last>Patterson</b:Last>
            <b:First>AV</b:First>
          </b:Person>
          <b:Person>
            <b:Last>Smaill</b:Last>
            <b:First>JB</b:First>
          </b:Person>
          <b:Person>
            <b:Last>Squire</b:Last>
            <b:First>CJ</b:First>
          </b:Person>
        </b:NameList>
      </b:Author>
    </b:Author>
    <b:Title>TAS-120 Cancer Target Binding: Defining Reactivity and Revealing the First Fibroblast Growth Factor Receptor 1 (FGFR1) Irreversible Structure</b:Title>
    <b:Year>2019</b:Year>
    <b:Pages>14(4):494-500</b:Pages>
    <b:JournalName>Chem Med Chem</b:JournalName>
    <b:RefOrder>36</b:RefOrder>
  </b:Source>
  <b:Source>
    <b:Tag>ESM221</b:Tag>
    <b:SourceType>JournalArticle</b:SourceType>
    <b:Guid>{47EF21D9-1ED4-450B-B76B-C7643A049C62}</b:Guid>
    <b:Author>
      <b:Author>
        <b:Corporate>ESMO</b:Corporate>
      </b:Author>
    </b:Author>
    <b:Title>Biliary tract cancer: ESMO Clinical Practice Guideline for diagnosis, treatment and follow-up</b:Title>
    <b:JournalName>Annals of Oncology</b:JournalName>
    <b:Year>2023</b:Year>
    <b:Pages>127-140</b:Pages>
    <b:Volume>34</b:Volume>
    <b:Issue>2</b:Issue>
    <b:RefOrder>37</b:RefOrder>
  </b:Source>
  <b:Source>
    <b:Tag>Cho21</b:Tag>
    <b:SourceType>JournalArticle</b:SourceType>
    <b:Guid>{E2B39C23-868C-4CFA-82D7-C083685DE422}</b:Guid>
    <b:Title>A randomised phase II study of oxaliplatin/5-FU (mFOLFOX) versus irinotecan/5-FU (mFOLFIRI) chemotherapy in locally advanced or metastatic biliary tract cancer refractory to first-line gemcitabine/cisplatin chemotherapy</b:Title>
    <b:JournalName>Eur J Cancer</b:JournalName>
    <b:Year>2021</b:Year>
    <b:Pages>154:288-295</b:Pages>
    <b:Author>
      <b:Author>
        <b:NameList>
          <b:Person>
            <b:Last>Choi</b:Last>
            <b:Middle>S</b:Middle>
            <b:First>I</b:First>
          </b:Person>
          <b:Person>
            <b:Last>Kim</b:Last>
            <b:Middle>H</b:Middle>
            <b:First>K</b:First>
          </b:Person>
          <b:Person>
            <b:Last>Lee</b:Last>
            <b:Middle>H</b:Middle>
            <b:First>J</b:First>
          </b:Person>
          <b:Person>
            <b:Last>Suh</b:Last>
            <b:Middle>J</b:Middle>
            <b:First>K</b:First>
          </b:Person>
          <b:Person>
            <b:Last>Kim</b:Last>
            <b:First>JW</b:First>
          </b:Person>
          <b:Person>
            <b:Last>et al</b:Last>
          </b:Person>
        </b:NameList>
      </b:Author>
    </b:Author>
    <b:RefOrder>38</b:RefOrder>
  </b:Source>
  <b:Source>
    <b:Tag>Lam22</b:Tag>
    <b:SourceType>JournalArticle</b:SourceType>
    <b:Guid>{3404E72D-D5D8-4F44-BB9D-52A8EF742BF8}</b:Guid>
    <b:Title>How I treat biliary tract cancer</b:Title>
    <b:JournalName>ESMO Open</b:JournalName>
    <b:Year>2022</b:Year>
    <b:Pages>7(1): 100378</b:Pages>
    <b:Author>
      <b:Author>
        <b:NameList>
          <b:Person>
            <b:Last>Lamarca</b:Last>
            <b:First>A</b:First>
          </b:Person>
          <b:Person>
            <b:Last>Edeline</b:Last>
            <b:First>J</b:First>
          </b:Person>
          <b:Person>
            <b:Last>Goyal</b:Last>
            <b:First>L</b:First>
          </b:Person>
        </b:NameList>
      </b:Author>
    </b:Author>
    <b:RefOrder>39</b:RefOrder>
  </b:Source>
  <b:Source>
    <b:Tag>Found</b:Tag>
    <b:SourceType>Report</b:SourceType>
    <b:Guid>{06E4DB48-AAC7-4E92-8A20-ACB934FE1B6B}</b:Guid>
    <b:Title>Foundation CDx Technical Information - RAL-0003-24</b:Title>
    <b:Year>n.d.</b:Year>
    <b:Author>
      <b:Author>
        <b:Corporate>Foundation Medicine, Inc.</b:Corporate>
      </b:Author>
    </b:Author>
    <b:RefOrder>40</b:RefOrder>
  </b:Source>
  <b:Source>
    <b:Tag>Sil22</b:Tag>
    <b:SourceType>JournalArticle</b:SourceType>
    <b:Guid>{BAD3C288-176D-4922-955C-531A736B1C95}</b:Guid>
    <b:Title>Validation and Characterization of FGFR2 Rearrangements in Cholangiocarcinoma with Comprehensive Genomic Profiling</b:Title>
    <b:JournalName>J Mol Diagn</b:JournalName>
    <b:Year>2022</b:Year>
    <b:Pages>24(4):351-364</b:Pages>
    <b:Author>
      <b:Author>
        <b:NameList>
          <b:Person>
            <b:Last>Silverman</b:Last>
            <b:Middle>M</b:Middle>
            <b:First>I</b:First>
          </b:Person>
          <b:Person>
            <b:Last>Li</b:Last>
            <b:First>M</b:First>
          </b:Person>
          <b:Person>
            <b:Last>Murugesan</b:Last>
            <b:First>K</b:First>
          </b:Person>
          <b:Person>
            <b:Last>Krook</b:Last>
            <b:Middle>A</b:Middle>
            <b:First>M</b:First>
          </b:Person>
          <b:Person>
            <b:Last>Javle</b:Last>
            <b:Middle>M</b:Middle>
            <b:First>M</b:First>
          </b:Person>
          <b:Person>
            <b:Last>et al</b:Last>
          </b:Person>
        </b:NameList>
      </b:Author>
    </b:Author>
    <b:RefOrder>41</b:RefOrder>
  </b:Source>
  <b:Source>
    <b:Tag>Zou23</b:Tag>
    <b:SourceType>JournalArticle</b:SourceType>
    <b:Guid>{D712E5D6-A693-45E3-9B99-0607AC3384E5}</b:Guid>
    <b:Title>Molecular Detection of FGFR2 Rearrangements in Resected Intrahepatic Cholangiocarcinomas: FISH Could Be An Ideal Method in Patients with Histological Small Duct Subtype</b:Title>
    <b:JournalName>J Clin Transl Hepatol</b:JournalName>
    <b:Year>2023</b:Year>
    <b:Pages>11(6):1355-1367</b:Pages>
    <b:Author>
      <b:Author>
        <b:NameList>
          <b:Person>
            <b:Last>Zou</b:Last>
            <b:First>Y</b:First>
          </b:Person>
          <b:Person>
            <b:Last>Zhu</b:Last>
            <b:First>K</b:First>
          </b:Person>
          <b:Person>
            <b:Last>Pang</b:Last>
            <b:First>Y</b:First>
          </b:Person>
          <b:Person>
            <b:Last>Han</b:Last>
            <b:First>J</b:First>
          </b:Person>
          <b:Person>
            <b:Last>Zhang</b:Last>
            <b:First>X</b:First>
          </b:Person>
          <b:Person>
            <b:Last>et al</b:Last>
          </b:Person>
        </b:NameList>
      </b:Author>
    </b:Author>
    <b:RefOrder>42</b:RefOrder>
  </b:Source>
  <b:Source>
    <b:Tag>Niu24</b:Tag>
    <b:SourceType>JournalArticle</b:SourceType>
    <b:Guid>{7168B69E-443F-4B73-9784-7BD5AE6EB315}</b:Guid>
    <b:Title>Prognostic value of FGFR2 alterations in patients with iCCA undergoing surgery or systemic treatments: A meta-analysis</b:Title>
    <b:JournalName>Liver Int</b:JournalName>
    <b:Year>2024</b:Year>
    <b:Pages>44(9):2208-2219</b:Pages>
    <b:Author>
      <b:Author>
        <b:NameList>
          <b:Person>
            <b:Last>Niu</b:Last>
            <b:First>S</b:First>
          </b:Person>
          <b:Person>
            <b:Last>Zhang</b:Last>
            <b:First>Y</b:First>
          </b:Person>
          <b:Person>
            <b:Last>Li</b:Last>
            <b:First>Z</b:First>
          </b:Person>
          <b:Person>
            <b:Last>Wang</b:Last>
            <b:First>T</b:First>
          </b:Person>
        </b:NameList>
      </b:Author>
    </b:Author>
    <b:RefOrder>43</b:RefOrder>
  </b:Source>
  <b:Source>
    <b:Tag>Goy23</b:Tag>
    <b:SourceType>JournalArticle</b:SourceType>
    <b:Guid>{6DEC6DE0-8ECB-47D2-9455-0F2B32D64B23}</b:Guid>
    <b:Title>Futibatinib for FGFR2-Rearranged Intrahepatic Cholangiocarcinoma</b:Title>
    <b:JournalName>NEJM</b:JournalName>
    <b:Year>2023</b:Year>
    <b:Pages>388:228-39</b:Pages>
    <b:Author>
      <b:Author>
        <b:NameList>
          <b:Person>
            <b:Last>Goyal</b:Last>
            <b:First>L</b:First>
          </b:Person>
          <b:Person>
            <b:Last>Meric-Bernstam</b:Last>
            <b:First>F</b:First>
          </b:Person>
          <b:Person>
            <b:Last>Hollebecque</b:Last>
            <b:First>A</b:First>
          </b:Person>
          <b:Person>
            <b:Last>Valle</b:Last>
            <b:Middle>W</b:Middle>
            <b:First>J</b:First>
          </b:Person>
          <b:Person>
            <b:Last>Morizane</b:Last>
            <b:First>C</b:First>
          </b:Person>
          <b:Person>
            <b:Last>et al</b:Last>
          </b:Person>
        </b:NameList>
      </b:Author>
    </b:Author>
    <b:RefOrder>44</b:RefOrder>
  </b:Source>
  <b:Source>
    <b:Tag>Mer24</b:Tag>
    <b:SourceType>JournalArticle</b:SourceType>
    <b:Guid>{F5325DB0-C605-4BAE-8DAF-D6FF1D514133}</b:Guid>
    <b:Title>Safety Profile and Adverse Event Management for Futibatinib, An Irreversible FGFR1-4 Inhibitor: Pooled Safety Analysis of 469 Patients</b:Title>
    <b:JournalName>Clin Cancer Res</b:JournalName>
    <b:Year>2024</b:Year>
    <b:Pages>30(8):1466-1477</b:Pages>
    <b:Author>
      <b:Author>
        <b:NameList>
          <b:Person>
            <b:Last>Meric-Bernstam</b:Last>
            <b:First>F</b:First>
          </b:Person>
          <b:Person>
            <b:Last>Hollebecque</b:Last>
            <b:First>A</b:First>
          </b:Person>
          <b:Person>
            <b:Last>Furuse</b:Last>
            <b:First>J</b:First>
          </b:Person>
          <b:Person>
            <b:Last>Oh</b:Last>
            <b:First>DY</b:First>
          </b:Person>
          <b:Person>
            <b:Last>Bridgewater</b:Last>
            <b:Middle>A</b:Middle>
            <b:First>J</b:First>
          </b:Person>
          <b:Person>
            <b:Last>et al</b:Last>
          </b:Person>
        </b:NameList>
      </b:Author>
    </b:Author>
    <b:RefOrder>1</b:RefOrder>
  </b:Source>
  <b:Source>
    <b:Tag>Kin96</b:Tag>
    <b:SourceType>JournalArticle</b:SourceType>
    <b:Guid>{F4E101E7-DEF1-437B-A603-D2D0A482B6F3}</b:Guid>
    <b:Title>The interpretation of scores from the EORTC quality of life questionnaire QLQ-C30</b:Title>
    <b:JournalName>Qual Life Res</b:JournalName>
    <b:Year>1996</b:Year>
    <b:Pages>5(6):555-67</b:Pages>
    <b:Author>
      <b:Author>
        <b:NameList>
          <b:Person>
            <b:Last>King</b:Last>
            <b:Middle>T</b:Middle>
            <b:First>M</b:First>
          </b:Person>
        </b:NameList>
      </b:Author>
    </b:Author>
    <b:RefOrder>45</b:RefOrder>
  </b:Source>
  <b:Source>
    <b:Tag>Coc12</b:Tag>
    <b:SourceType>JournalArticle</b:SourceType>
    <b:Guid>{FAE51BA2-F221-4219-8B22-C5F219CE07D7}</b:Guid>
    <b:Title>Evidence-based guidelines for interpreting change scores for the European Organisation for the Research and Treatment of Cancer Quality of Life Questionnaire Core 30</b:Title>
    <b:JournalName>Eur J Cancer</b:JournalName>
    <b:Year>2012</b:Year>
    <b:Pages>48(11):1713-21</b:Pages>
    <b:Author>
      <b:Author>
        <b:NameList>
          <b:Person>
            <b:Last>Cocks</b:Last>
            <b:First>K</b:First>
          </b:Person>
          <b:Person>
            <b:Last>King</b:Last>
            <b:Middle>T</b:Middle>
            <b:First>M</b:First>
          </b:Person>
          <b:Person>
            <b:Last>Velikova</b:Last>
            <b:First>G</b:First>
          </b:Person>
          <b:Person>
            <b:Last>de Castro Jr</b:Last>
            <b:First>G</b:First>
          </b:Person>
          <b:Person>
            <b:Last>St-James</b:Last>
            <b:Middle>M</b:Middle>
            <b:First>M</b:First>
          </b:Person>
          <b:Person>
            <b:Last>Fayers</b:Last>
            <b:Middle>M</b:Middle>
            <b:First>P</b:First>
          </b:Person>
          <b:Person>
            <b:Last>Brown</b:Last>
            <b:Middle>M</b:Middle>
            <b:First>J</b:First>
          </b:Person>
        </b:NameList>
      </b:Author>
    </b:Author>
    <b:RefOrder>46</b:RefOrder>
  </b:Source>
  <b:Source>
    <b:Tag>Oso98</b:Tag>
    <b:SourceType>JournalArticle</b:SourceType>
    <b:Guid>{5423EDEF-4B26-4FDC-BEF1-86CF54F1F558}</b:Guid>
    <b:Title>Interpreting the significance of changes in health-related quality-of-life scores</b:Title>
    <b:JournalName>J Clin Oncol</b:JournalName>
    <b:Year>1998</b:Year>
    <b:Pages>16(1):139-44</b:Pages>
    <b:Author>
      <b:Author>
        <b:NameList>
          <b:Person>
            <b:Last>Osoba</b:Last>
            <b:First>D</b:First>
          </b:Person>
          <b:Person>
            <b:Last>Rodrigues</b:Last>
            <b:First>G</b:First>
          </b:Person>
          <b:Person>
            <b:Last>Myles</b:Last>
            <b:First>J</b:First>
          </b:Person>
          <b:Person>
            <b:Last>Zee</b:Last>
            <b:First>B</b:First>
          </b:Person>
          <b:Person>
            <b:Last>Pater</b:Last>
            <b:First>J</b:First>
          </b:Person>
        </b:NameList>
      </b:Author>
    </b:Author>
    <b:RefOrder>47</b:RefOrder>
  </b:Source>
  <b:Source>
    <b:Tag>Coc08</b:Tag>
    <b:SourceType>JournalArticle</b:SourceType>
    <b:Guid>{73A606CC-7DEA-43C5-B1F4-18512F4D13AA}</b:Guid>
    <b:Title>Quality, interpretation and presentation of European Organisation for Research and Treatment of Cancer quality of life questionnaire core 30 data in randomised controlled trials</b:Title>
    <b:JournalName>Eur J Cancer</b:JournalName>
    <b:Year>2008</b:Year>
    <b:Pages>44(13):1793-8</b:Pages>
    <b:Author>
      <b:Author>
        <b:NameList>
          <b:Person>
            <b:Last>Cocks</b:Last>
            <b:First>K</b:First>
          </b:Person>
          <b:Person>
            <b:Last>King</b:Last>
            <b:Middle>T</b:Middle>
            <b:First>M</b:First>
          </b:Person>
          <b:Person>
            <b:Last>Velikova</b:Last>
            <b:First>G</b:First>
          </b:Person>
          <b:Person>
            <b:Last>Fayers</b:Last>
            <b:Middle>M</b:Middle>
            <b:First>P</b:First>
          </b:Person>
          <b:Person>
            <b:Last>Brown</b:Last>
            <b:Middle>M</b:Middle>
            <b:First>J</b:First>
          </b:Person>
        </b:NameList>
      </b:Author>
    </b:Author>
    <b:RefOrder>48</b:RefOrder>
  </b:Source>
  <b:Source>
    <b:Tag>Mus23</b:Tag>
    <b:SourceType>JournalArticle</b:SourceType>
    <b:Guid>{65A4EC1F-1BE5-4391-B0E6-7A3FA30BF783}</b:Guid>
    <b:Title>Minimally important differences for interpreting EORTC QLQ-C30 change scores over time: A synthesis across 21 clinical trials involving nine different cancer types</b:Title>
    <b:Year>2023</b:Year>
    <b:Author>
      <b:Author>
        <b:NameList>
          <b:Person>
            <b:Last>Musoro</b:Last>
            <b:Middle>Z</b:Middle>
            <b:First>J</b:First>
          </b:Person>
          <b:Person>
            <b:Last>Coens</b:Last>
            <b:First>C</b:First>
          </b:Person>
          <b:Person>
            <b:Last>SPrangers</b:Last>
            <b:Middle>A G</b:Middle>
            <b:First>M</b:First>
          </b:Person>
          <b:Person>
            <b:Last>Brandberg</b:Last>
            <b:First>Y</b:First>
          </b:Person>
          <b:Person>
            <b:Last>Groenvold</b:Last>
            <b:First>M</b:First>
          </b:Person>
          <b:Person>
            <b:Last>et al</b:Last>
          </b:Person>
        </b:NameList>
      </b:Author>
    </b:Author>
    <b:JournalName>Eur J Cancer</b:JournalName>
    <b:Pages>188:171-182</b:Pages>
    <b:RefOrder>49</b:RefOrder>
  </b:Source>
  <b:Source>
    <b:Tag>NIC21</b:Tag>
    <b:SourceType>Report</b:SourceType>
    <b:Guid>{CFCBD10F-DDB3-4EB2-B474-306F97DE8165}</b:Guid>
    <b:Author>
      <b:Author>
        <b:Corporate>NICE</b:Corporate>
      </b:Author>
    </b:Author>
    <b:Title>Technology appraisal guidance (TA722): Pemigatinib for treating relapsed or refractory advanced cholangiocarcinoma with FGFR2 fusion or rearrangement.</b:Title>
    <b:Year>2021</b:Year>
    <b:RefOrder>2</b:RefOrder>
  </b:Source>
  <b:Source>
    <b:Tag>Ham24</b:Tag>
    <b:SourceType>InternetSite</b:SourceType>
    <b:Guid>{67373894-25CB-41EF-A2AA-0DF01F790132}</b:Guid>
    <b:Author>
      <b:Author>
        <b:Corporate>HammondCare</b:Corporate>
      </b:Author>
    </b:Author>
    <b:Title>Home Care Costs</b:Title>
    <b:InternetSiteTitle>HammondCare</b:InternetSiteTitle>
    <b:Year>2024</b:Year>
    <b:URL>https://www.hammond.com.au/care/home-care-costs</b:URL>
    <b:YearAccessed>2024</b:YearAccessed>
    <b:MonthAccessed>Sep</b:MonthAccessed>
    <b:DayAccessed>12</b:DayAccessed>
    <b:RefOrder>3</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C548EC21-328E-401B-9434-80837B3585BF}">
  <ds:schemaRefs>
    <ds:schemaRef ds:uri="http://schemas.openxmlformats.org/officeDocument/2006/bibliography"/>
  </ds:schemaRefs>
</ds:datastoreItem>
</file>

<file path=customXml/itemProps2.xml><?xml version="1.0" encoding="utf-8"?>
<ds:datastoreItem xmlns:ds="http://schemas.openxmlformats.org/officeDocument/2006/customXml" ds:itemID="{09A1B91A-2376-4649-9CB7-80DCD46DA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93AD27-E83A-4B3F-BFF9-4AA254963252}">
  <ds:schemaRefs>
    <ds:schemaRef ds:uri="http://schemas.microsoft.com/sharepoint/v3/contenttype/forms"/>
  </ds:schemaRefs>
</ds:datastoreItem>
</file>

<file path=customXml/itemProps4.xml><?xml version="1.0" encoding="utf-8"?>
<ds:datastoreItem xmlns:ds="http://schemas.openxmlformats.org/officeDocument/2006/customXml" ds:itemID="{55EA055A-12E4-4593-B8CD-4A32016DF899}">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20136</Words>
  <Characters>114781</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2025-07-14T23:12:00Z</dcterms:created>
  <dcterms:modified xsi:type="dcterms:W3CDTF">2025-07-16T10:58:00Z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y fmtid="{D5CDD505-2E9C-101B-9397-08002B2CF9AE}" pid="3" name="MediaServiceImageTags">
    <vt:lpwstr/>
  </property>
</Properties>
</file>