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7E303" w14:textId="4365B79E" w:rsidR="00263764" w:rsidRDefault="00263764" w:rsidP="00A81E04">
      <w:pPr>
        <w:pStyle w:val="1-MainHeading"/>
        <w:spacing w:after="0"/>
      </w:pPr>
      <w:bookmarkStart w:id="0" w:name="_Toc187661068"/>
      <w:r w:rsidRPr="7F77D409">
        <w:t>5.10</w:t>
      </w:r>
      <w:r>
        <w:tab/>
      </w:r>
      <w:r w:rsidR="001B1F9B" w:rsidRPr="7F77D409">
        <w:t>IVACAFTOR</w:t>
      </w:r>
      <w:r w:rsidR="00163F66" w:rsidRPr="7F77D409">
        <w:t>,</w:t>
      </w:r>
      <w:r>
        <w:br/>
      </w:r>
      <w:r w:rsidRPr="7F77D409">
        <w:t>Sachet containing granules 13.4 mg</w:t>
      </w:r>
      <w:r w:rsidR="00ED6F7B" w:rsidRPr="7F77D409">
        <w:t>,</w:t>
      </w:r>
      <w:bookmarkEnd w:id="0"/>
    </w:p>
    <w:p w14:paraId="7220D260" w14:textId="77777777" w:rsidR="00A81E04" w:rsidRDefault="001B1F9B" w:rsidP="00A81E04">
      <w:pPr>
        <w:pStyle w:val="1-MainHeading"/>
        <w:spacing w:before="0" w:after="0"/>
        <w:ind w:left="1440"/>
      </w:pPr>
      <w:bookmarkStart w:id="1" w:name="_Toc187661072"/>
      <w:r>
        <w:t>Kalydeco</w:t>
      </w:r>
      <w:r w:rsidR="00B60939" w:rsidRPr="0098262F">
        <w:rPr>
          <w:vertAlign w:val="superscript"/>
        </w:rPr>
        <w:t>®</w:t>
      </w:r>
      <w:r w:rsidR="004A6040" w:rsidRPr="0098262F">
        <w:t>,</w:t>
      </w:r>
      <w:bookmarkEnd w:id="1"/>
    </w:p>
    <w:p w14:paraId="51C6701A" w14:textId="50F8C16A" w:rsidR="00B60939" w:rsidRPr="0098262F" w:rsidRDefault="001B1F9B" w:rsidP="00A81E04">
      <w:pPr>
        <w:pStyle w:val="1-MainHeading"/>
        <w:spacing w:before="0" w:after="0"/>
        <w:ind w:left="1440"/>
      </w:pPr>
      <w:bookmarkStart w:id="2" w:name="_Toc187661073"/>
      <w:r>
        <w:t>Vertex Pharmaceuticals Pty Ltd.</w:t>
      </w:r>
      <w:bookmarkEnd w:id="2"/>
      <w:r w:rsidR="00F73E08" w:rsidRPr="0098262F">
        <w:t xml:space="preserve"> </w:t>
      </w:r>
    </w:p>
    <w:p w14:paraId="11C00795" w14:textId="3DFB6D23" w:rsidR="00B50DB8" w:rsidRPr="0098262F" w:rsidRDefault="00B50DB8" w:rsidP="004A6040">
      <w:pPr>
        <w:pStyle w:val="2-SectionHeading"/>
      </w:pPr>
      <w:bookmarkStart w:id="3" w:name="_Toc187661075"/>
      <w:r w:rsidRPr="0098262F">
        <w:t xml:space="preserve">Purpose of </w:t>
      </w:r>
      <w:r w:rsidR="00CD7193" w:rsidRPr="0098262F">
        <w:t>s</w:t>
      </w:r>
      <w:r w:rsidR="00BB3A45" w:rsidRPr="0098262F">
        <w:t>ubmission</w:t>
      </w:r>
      <w:bookmarkEnd w:id="3"/>
    </w:p>
    <w:p w14:paraId="19414AA1" w14:textId="343D41A0" w:rsidR="002C2775" w:rsidRPr="00122C08" w:rsidRDefault="007170DA" w:rsidP="00122C08">
      <w:pPr>
        <w:pStyle w:val="3-BodyText"/>
      </w:pPr>
      <w:r w:rsidRPr="0098262F">
        <w:t xml:space="preserve">The </w:t>
      </w:r>
      <w:r w:rsidR="00F73E08" w:rsidRPr="0098262F">
        <w:t xml:space="preserve">Category </w:t>
      </w:r>
      <w:r w:rsidR="00E151DC">
        <w:t xml:space="preserve">2 </w:t>
      </w:r>
      <w:r w:rsidRPr="0098262F">
        <w:t xml:space="preserve">submission requested </w:t>
      </w:r>
      <w:r w:rsidR="008B1757" w:rsidRPr="0098262F">
        <w:t xml:space="preserve">Section 100, </w:t>
      </w:r>
      <w:r w:rsidR="00695891">
        <w:t xml:space="preserve">Highly Specialised Drugs Program </w:t>
      </w:r>
      <w:r w:rsidR="008B1757" w:rsidRPr="0098262F">
        <w:t xml:space="preserve">listing </w:t>
      </w:r>
      <w:r w:rsidR="00AF3CCE">
        <w:t xml:space="preserve">of </w:t>
      </w:r>
      <w:r w:rsidR="00EB6BDC">
        <w:t xml:space="preserve">a new strength of ivacaftor </w:t>
      </w:r>
      <w:r w:rsidR="00F4121F">
        <w:t xml:space="preserve">(IVA) </w:t>
      </w:r>
      <w:r w:rsidR="00EB6BDC">
        <w:t>(sachets containing 13.4 mg granules)</w:t>
      </w:r>
      <w:r w:rsidR="00EB6BDC" w:rsidRPr="0098262F">
        <w:t xml:space="preserve"> </w:t>
      </w:r>
      <w:r w:rsidR="00AF3CCE">
        <w:t xml:space="preserve">for </w:t>
      </w:r>
      <w:r w:rsidR="0050174E" w:rsidRPr="0098262F">
        <w:t xml:space="preserve">the </w:t>
      </w:r>
      <w:r w:rsidR="008B1757" w:rsidRPr="0098262F">
        <w:t xml:space="preserve">treatment of </w:t>
      </w:r>
      <w:r w:rsidR="00122C08">
        <w:t xml:space="preserve">cystic fibrosis (CF) in patients aged 1 to 4 months with either a </w:t>
      </w:r>
      <w:r w:rsidR="008B1757" w:rsidRPr="0098262F">
        <w:rPr>
          <w:color w:val="0066FF"/>
        </w:rPr>
        <w:t xml:space="preserve"> </w:t>
      </w:r>
      <w:r w:rsidR="00122C08" w:rsidRPr="00122C08">
        <w:t xml:space="preserve">G551D mutation or other gating (Class III) mutation in the </w:t>
      </w:r>
      <w:r w:rsidR="00232B53">
        <w:t xml:space="preserve">cystic fibrosis </w:t>
      </w:r>
      <w:r w:rsidR="00232B53" w:rsidRPr="00232B53">
        <w:rPr>
          <w:color w:val="000000" w:themeColor="text1"/>
        </w:rPr>
        <w:t>transmembrane conductance regulator</w:t>
      </w:r>
      <w:r w:rsidR="00232B53" w:rsidRPr="00122C08">
        <w:t xml:space="preserve"> </w:t>
      </w:r>
      <w:r w:rsidR="00232B53">
        <w:t>(</w:t>
      </w:r>
      <w:r w:rsidR="00122C08" w:rsidRPr="00122C08">
        <w:t>CFTR</w:t>
      </w:r>
      <w:r w:rsidR="00232B53">
        <w:t>)</w:t>
      </w:r>
      <w:r w:rsidR="00122C08" w:rsidRPr="00122C08">
        <w:t xml:space="preserve"> gene on at least 1 allele, or at least one mutation in the CFTR gene that is responsive to IVA potentiation based on clinical and/or in vitro assay data</w:t>
      </w:r>
      <w:r w:rsidR="00122C08">
        <w:t>.</w:t>
      </w:r>
      <w:r w:rsidR="007F336F">
        <w:t xml:space="preserve"> </w:t>
      </w:r>
    </w:p>
    <w:p w14:paraId="04BE11D7" w14:textId="2D2CFE35" w:rsidR="00453DE0" w:rsidRPr="0098262F" w:rsidRDefault="005750C5" w:rsidP="00122C08">
      <w:pPr>
        <w:pStyle w:val="3-BodyText"/>
      </w:pPr>
      <w:r w:rsidRPr="7F77D409">
        <w:t xml:space="preserve">Listing was requested on the basis of </w:t>
      </w:r>
      <w:r w:rsidR="00122C08" w:rsidRPr="7F77D409">
        <w:t xml:space="preserve">equity and clinical need; no economic evaluation was presented in the submission to support the listing requested in the proposed population.  </w:t>
      </w:r>
    </w:p>
    <w:p w14:paraId="3718DE61" w14:textId="75C51ADB" w:rsidR="008B1757" w:rsidRPr="0098262F" w:rsidRDefault="00696EF9" w:rsidP="7F77D409">
      <w:pPr>
        <w:pStyle w:val="TableFigureHeading"/>
        <w:rPr>
          <w:rStyle w:val="CommentReference"/>
          <w:b/>
        </w:rPr>
      </w:pPr>
      <w:bookmarkStart w:id="4" w:name="_Ref184988044"/>
      <w:r w:rsidRPr="7F77D409">
        <w:t xml:space="preserve">Table </w:t>
      </w:r>
      <w:r w:rsidRPr="7F77D409">
        <w:fldChar w:fldCharType="begin" w:fldLock="1"/>
      </w:r>
      <w:r>
        <w:instrText xml:space="preserve"> SEQ Table \* ARABIC </w:instrText>
      </w:r>
      <w:r w:rsidRPr="7F77D409">
        <w:fldChar w:fldCharType="separate"/>
      </w:r>
      <w:r w:rsidR="00E22042" w:rsidRPr="7F77D409">
        <w:rPr>
          <w:noProof/>
        </w:rPr>
        <w:t>1</w:t>
      </w:r>
      <w:r w:rsidRPr="7F77D409">
        <w:rPr>
          <w:noProof/>
        </w:rPr>
        <w:fldChar w:fldCharType="end"/>
      </w:r>
      <w:bookmarkEnd w:id="4"/>
      <w:r w:rsidRPr="7F77D409">
        <w:t>:</w:t>
      </w:r>
      <w:r w:rsidR="00BC591F" w:rsidRPr="7F77D409">
        <w:rPr>
          <w:rStyle w:val="CommentReference"/>
          <w:b/>
        </w:rPr>
        <w:t xml:space="preserve"> </w:t>
      </w:r>
      <w:r w:rsidR="008B1757" w:rsidRPr="7F77D409">
        <w:rPr>
          <w:rStyle w:val="CommentReference"/>
          <w:b/>
        </w:rPr>
        <w:t>Key components of the clinical issue addressed by the submission</w:t>
      </w:r>
      <w:r w:rsidR="007170DA" w:rsidRPr="7F77D409">
        <w:rPr>
          <w:rStyle w:val="CommentReference"/>
          <w:b/>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8B1757" w:rsidRPr="0098262F" w14:paraId="569F5103" w14:textId="77777777" w:rsidTr="7F77D409">
        <w:trPr>
          <w:cantSplit/>
          <w:tblHeader/>
        </w:trPr>
        <w:tc>
          <w:tcPr>
            <w:tcW w:w="924" w:type="pct"/>
          </w:tcPr>
          <w:p w14:paraId="501803FB" w14:textId="77777777" w:rsidR="008B1757" w:rsidRPr="0098262F" w:rsidRDefault="008B1757" w:rsidP="004A6040">
            <w:pPr>
              <w:pStyle w:val="In-tableHeading"/>
              <w:rPr>
                <w:szCs w:val="20"/>
                <w:lang w:val="en-AU"/>
              </w:rPr>
            </w:pPr>
            <w:r w:rsidRPr="0098262F">
              <w:rPr>
                <w:lang w:val="en-AU"/>
              </w:rPr>
              <w:t>Component</w:t>
            </w:r>
          </w:p>
        </w:tc>
        <w:tc>
          <w:tcPr>
            <w:tcW w:w="4076" w:type="pct"/>
          </w:tcPr>
          <w:p w14:paraId="445D9EBB" w14:textId="77777777" w:rsidR="008B1757" w:rsidRPr="0098262F" w:rsidRDefault="008B1757" w:rsidP="004A6040">
            <w:pPr>
              <w:pStyle w:val="In-tableHeading"/>
              <w:rPr>
                <w:lang w:val="en-AU"/>
              </w:rPr>
            </w:pPr>
            <w:r w:rsidRPr="0098262F">
              <w:rPr>
                <w:lang w:val="en-AU"/>
              </w:rPr>
              <w:t>Description</w:t>
            </w:r>
          </w:p>
        </w:tc>
      </w:tr>
      <w:tr w:rsidR="008B1757" w:rsidRPr="0098262F" w14:paraId="2EB546E2" w14:textId="77777777" w:rsidTr="7F77D409">
        <w:trPr>
          <w:cantSplit/>
        </w:trPr>
        <w:tc>
          <w:tcPr>
            <w:tcW w:w="924" w:type="pct"/>
          </w:tcPr>
          <w:p w14:paraId="38F3BB34" w14:textId="77777777" w:rsidR="008B1757" w:rsidRPr="0098262F" w:rsidRDefault="008B1757" w:rsidP="007E45DC">
            <w:pPr>
              <w:pStyle w:val="TableText0"/>
            </w:pPr>
            <w:r w:rsidRPr="0098262F">
              <w:t>Population</w:t>
            </w:r>
          </w:p>
        </w:tc>
        <w:tc>
          <w:tcPr>
            <w:tcW w:w="4076" w:type="pct"/>
          </w:tcPr>
          <w:p w14:paraId="1BB948EA" w14:textId="77777777" w:rsidR="00695891" w:rsidRPr="00695891" w:rsidRDefault="00695891" w:rsidP="007E45DC">
            <w:pPr>
              <w:pStyle w:val="TableText0"/>
            </w:pPr>
            <w:r w:rsidRPr="00695891">
              <w:t>CF patients aged 1 to less than 4 months with either</w:t>
            </w:r>
          </w:p>
          <w:p w14:paraId="2E2EEAB0" w14:textId="2B6394A4" w:rsidR="00695891" w:rsidRPr="00695891" w:rsidRDefault="00695891" w:rsidP="007E45DC">
            <w:pPr>
              <w:pStyle w:val="TableText0"/>
            </w:pPr>
            <w:r w:rsidRPr="00695891">
              <w:t>-</w:t>
            </w:r>
            <w:r>
              <w:t xml:space="preserve"> </w:t>
            </w:r>
            <w:r w:rsidRPr="00695891">
              <w:t>G551D mutation or other gating (Class III) mutation in the CFTR gene on at least 1 allele, or</w:t>
            </w:r>
          </w:p>
          <w:p w14:paraId="79618EEE" w14:textId="0681F11E" w:rsidR="00233C01" w:rsidRPr="0098262F" w:rsidRDefault="00695891" w:rsidP="007E45DC">
            <w:pPr>
              <w:pStyle w:val="TableText0"/>
            </w:pPr>
            <w:r w:rsidRPr="00695891">
              <w:t>-</w:t>
            </w:r>
            <w:r>
              <w:t xml:space="preserve"> </w:t>
            </w:r>
            <w:r w:rsidRPr="00695891">
              <w:t>at least one mutation in the CFTR gene that is responsive to IVA potentiation based on clinical and/or in vitro assay data</w:t>
            </w:r>
          </w:p>
        </w:tc>
      </w:tr>
      <w:tr w:rsidR="008B1757" w:rsidRPr="0098262F" w14:paraId="0CA523AF" w14:textId="77777777" w:rsidTr="7F77D409">
        <w:trPr>
          <w:cantSplit/>
        </w:trPr>
        <w:tc>
          <w:tcPr>
            <w:tcW w:w="924" w:type="pct"/>
          </w:tcPr>
          <w:p w14:paraId="7B6D20D8" w14:textId="77777777" w:rsidR="008B1757" w:rsidRPr="0098262F" w:rsidRDefault="008B1757" w:rsidP="007E45DC">
            <w:pPr>
              <w:pStyle w:val="TableText0"/>
            </w:pPr>
            <w:r w:rsidRPr="0098262F">
              <w:t>Intervention</w:t>
            </w:r>
          </w:p>
        </w:tc>
        <w:tc>
          <w:tcPr>
            <w:tcW w:w="4076" w:type="pct"/>
          </w:tcPr>
          <w:p w14:paraId="2491E905" w14:textId="67347DEE" w:rsidR="00233C01" w:rsidRPr="0098262F" w:rsidRDefault="00695891" w:rsidP="007E45DC">
            <w:pPr>
              <w:pStyle w:val="TableText0"/>
            </w:pPr>
            <w:r>
              <w:t>Ivacaftor granules, weight</w:t>
            </w:r>
            <w:r w:rsidR="006B5BB9">
              <w:t>-</w:t>
            </w:r>
            <w:r>
              <w:t>based dosing</w:t>
            </w:r>
          </w:p>
        </w:tc>
      </w:tr>
      <w:tr w:rsidR="008B1757" w:rsidRPr="0098262F" w14:paraId="0F81EBE4" w14:textId="77777777" w:rsidTr="7F77D409">
        <w:trPr>
          <w:cantSplit/>
        </w:trPr>
        <w:tc>
          <w:tcPr>
            <w:tcW w:w="924" w:type="pct"/>
          </w:tcPr>
          <w:p w14:paraId="3656B343" w14:textId="77777777" w:rsidR="008B1757" w:rsidRPr="0098262F" w:rsidRDefault="008B1757" w:rsidP="007E45DC">
            <w:pPr>
              <w:pStyle w:val="TableText0"/>
            </w:pPr>
            <w:r w:rsidRPr="0098262F">
              <w:t>Comparator</w:t>
            </w:r>
          </w:p>
        </w:tc>
        <w:tc>
          <w:tcPr>
            <w:tcW w:w="4076" w:type="pct"/>
          </w:tcPr>
          <w:p w14:paraId="3727DE24" w14:textId="2ECCA573" w:rsidR="00233C01" w:rsidRPr="0098262F" w:rsidRDefault="00232B53" w:rsidP="007E45DC">
            <w:pPr>
              <w:pStyle w:val="TableText0"/>
            </w:pPr>
            <w:r>
              <w:t xml:space="preserve">BSC </w:t>
            </w:r>
          </w:p>
        </w:tc>
      </w:tr>
      <w:tr w:rsidR="008B1757" w:rsidRPr="0098262F" w14:paraId="02F86F0D" w14:textId="77777777" w:rsidTr="7F77D409">
        <w:trPr>
          <w:cantSplit/>
        </w:trPr>
        <w:tc>
          <w:tcPr>
            <w:tcW w:w="924" w:type="pct"/>
          </w:tcPr>
          <w:p w14:paraId="06433105" w14:textId="77777777" w:rsidR="008B1757" w:rsidRPr="0098262F" w:rsidRDefault="008B1757" w:rsidP="007E45DC">
            <w:pPr>
              <w:pStyle w:val="TableText0"/>
            </w:pPr>
            <w:r w:rsidRPr="0098262F">
              <w:t>Outcomes</w:t>
            </w:r>
          </w:p>
        </w:tc>
        <w:tc>
          <w:tcPr>
            <w:tcW w:w="4076" w:type="pct"/>
          </w:tcPr>
          <w:p w14:paraId="0A0B3D27" w14:textId="77777777" w:rsidR="00A81E04" w:rsidRPr="00A81E04" w:rsidRDefault="00A81E04" w:rsidP="007E45DC">
            <w:pPr>
              <w:pStyle w:val="TableText0"/>
              <w:rPr>
                <w:snapToGrid w:val="0"/>
              </w:rPr>
            </w:pPr>
            <w:r w:rsidRPr="00A81E04">
              <w:rPr>
                <w:snapToGrid w:val="0"/>
              </w:rPr>
              <w:t>Absolute change from baseline in sweat chloride</w:t>
            </w:r>
          </w:p>
          <w:p w14:paraId="6C35B3AB" w14:textId="77777777" w:rsidR="00A81E04" w:rsidRPr="00A81E04" w:rsidRDefault="00A81E04" w:rsidP="007E45DC">
            <w:pPr>
              <w:pStyle w:val="TableText0"/>
              <w:rPr>
                <w:snapToGrid w:val="0"/>
              </w:rPr>
            </w:pPr>
            <w:r w:rsidRPr="00A81E04">
              <w:rPr>
                <w:snapToGrid w:val="0"/>
              </w:rPr>
              <w:t>Absolute change from baseline in nutritional status (weight, length, weight-for-length z-scores, weight-for-length-for-age z-scores, and weight-for-length percentiles)</w:t>
            </w:r>
          </w:p>
          <w:p w14:paraId="633A914B" w14:textId="24A73562" w:rsidR="00A81E04" w:rsidRPr="00A81E04" w:rsidRDefault="00A81E04" w:rsidP="007E45DC">
            <w:pPr>
              <w:pStyle w:val="TableText0"/>
              <w:rPr>
                <w:snapToGrid w:val="0"/>
              </w:rPr>
            </w:pPr>
            <w:r w:rsidRPr="00A81E04">
              <w:rPr>
                <w:snapToGrid w:val="0"/>
              </w:rPr>
              <w:t>Absolute change from baseline in faecal elastase-1</w:t>
            </w:r>
          </w:p>
          <w:p w14:paraId="58E4D2EB" w14:textId="36F087AF" w:rsidR="00A81E04" w:rsidRPr="00A81E04" w:rsidRDefault="00A81E04" w:rsidP="007E45DC">
            <w:pPr>
              <w:pStyle w:val="TableText0"/>
              <w:rPr>
                <w:snapToGrid w:val="0"/>
              </w:rPr>
            </w:pPr>
            <w:r w:rsidRPr="00A81E04">
              <w:rPr>
                <w:snapToGrid w:val="0"/>
              </w:rPr>
              <w:t xml:space="preserve">Absolute change from baseline in </w:t>
            </w:r>
            <w:r w:rsidR="008655EB">
              <w:rPr>
                <w:snapToGrid w:val="0"/>
              </w:rPr>
              <w:t>immunoreactive trypsinogen</w:t>
            </w:r>
          </w:p>
          <w:p w14:paraId="5ABC4037" w14:textId="2F9CB152" w:rsidR="00233C01" w:rsidRPr="0098262F" w:rsidRDefault="00A81E04" w:rsidP="7F77D409">
            <w:pPr>
              <w:pStyle w:val="TableText0"/>
              <w:rPr>
                <w:snapToGrid w:val="0"/>
                <w:color w:val="0066FF"/>
              </w:rPr>
            </w:pPr>
            <w:r w:rsidRPr="7F77D409">
              <w:rPr>
                <w:snapToGrid w:val="0"/>
              </w:rPr>
              <w:t xml:space="preserve">Measures of pulmonary exacerbations </w:t>
            </w:r>
          </w:p>
        </w:tc>
      </w:tr>
      <w:tr w:rsidR="008B1757" w:rsidRPr="0098262F" w14:paraId="22223890" w14:textId="77777777" w:rsidTr="7F77D409">
        <w:trPr>
          <w:cantSplit/>
        </w:trPr>
        <w:tc>
          <w:tcPr>
            <w:tcW w:w="924" w:type="pct"/>
          </w:tcPr>
          <w:p w14:paraId="0FC8FCE0" w14:textId="77777777" w:rsidR="008B1757" w:rsidRPr="0098262F" w:rsidRDefault="008B1757" w:rsidP="007E45DC">
            <w:pPr>
              <w:pStyle w:val="TableText0"/>
            </w:pPr>
            <w:r w:rsidRPr="0098262F">
              <w:t>Clinical claim</w:t>
            </w:r>
          </w:p>
        </w:tc>
        <w:tc>
          <w:tcPr>
            <w:tcW w:w="4076" w:type="pct"/>
          </w:tcPr>
          <w:p w14:paraId="4A87C540" w14:textId="77777777" w:rsidR="00A81E04" w:rsidRPr="00A81E04" w:rsidRDefault="00A81E04" w:rsidP="007E45DC">
            <w:pPr>
              <w:pStyle w:val="TableText0"/>
              <w:rPr>
                <w:snapToGrid w:val="0"/>
              </w:rPr>
            </w:pPr>
            <w:r w:rsidRPr="00A81E04">
              <w:rPr>
                <w:snapToGrid w:val="0"/>
              </w:rPr>
              <w:t>Ivacaftor plus BSC is superior in terms of effectiveness compared with BSC alone</w:t>
            </w:r>
          </w:p>
          <w:p w14:paraId="2C99C4DE" w14:textId="55A714BF" w:rsidR="00233C01" w:rsidRPr="0098262F" w:rsidRDefault="00A81E04" w:rsidP="007E45DC">
            <w:pPr>
              <w:pStyle w:val="TableText0"/>
              <w:rPr>
                <w:snapToGrid w:val="0"/>
                <w:color w:val="0066FF"/>
              </w:rPr>
            </w:pPr>
            <w:r w:rsidRPr="00A81E04">
              <w:rPr>
                <w:snapToGrid w:val="0"/>
              </w:rPr>
              <w:t>Ivacaftor plus BSC is non-inferior in terms of safety compared to BSC alone</w:t>
            </w:r>
          </w:p>
        </w:tc>
      </w:tr>
    </w:tbl>
    <w:p w14:paraId="527CA7F0" w14:textId="5A6B7117" w:rsidR="004E43B2" w:rsidRDefault="008B1757" w:rsidP="004A6040">
      <w:pPr>
        <w:pStyle w:val="FooterTableFigure"/>
      </w:pPr>
      <w:r w:rsidRPr="0098262F">
        <w:t xml:space="preserve">Source: </w:t>
      </w:r>
      <w:r w:rsidR="00A81E04">
        <w:t xml:space="preserve"> unnumbered </w:t>
      </w:r>
      <w:r w:rsidRPr="0098262F">
        <w:t>Table of the submission.</w:t>
      </w:r>
    </w:p>
    <w:p w14:paraId="57F52EAE" w14:textId="5694D132" w:rsidR="00F12D52" w:rsidRPr="0098262F" w:rsidRDefault="00232B53" w:rsidP="004A6040">
      <w:pPr>
        <w:pStyle w:val="FooterTableFigure"/>
        <w:rPr>
          <w:sz w:val="20"/>
        </w:rPr>
      </w:pPr>
      <w:r>
        <w:t xml:space="preserve">BSC = best supportive care; </w:t>
      </w:r>
      <w:r w:rsidR="00F12D52">
        <w:t xml:space="preserve">CF = cystic fibrosis; </w:t>
      </w:r>
      <w:r w:rsidR="00C04939">
        <w:t xml:space="preserve">CFTR = cystic fibrosis </w:t>
      </w:r>
      <w:r w:rsidR="00C04939" w:rsidRPr="00232B53">
        <w:rPr>
          <w:color w:val="000000" w:themeColor="text1"/>
        </w:rPr>
        <w:t>transmembrane conductance regulator</w:t>
      </w:r>
      <w:r>
        <w:rPr>
          <w:color w:val="000000" w:themeColor="text1"/>
        </w:rPr>
        <w:t>; IVA = ivacaftor</w:t>
      </w:r>
    </w:p>
    <w:p w14:paraId="6B4AB6C2" w14:textId="7F01D731" w:rsidR="005C25FF" w:rsidRPr="0098262F" w:rsidRDefault="005C25FF" w:rsidP="004A6040">
      <w:pPr>
        <w:pStyle w:val="2-SectionHeading"/>
      </w:pPr>
      <w:bookmarkStart w:id="5" w:name="_Toc187661076"/>
      <w:r w:rsidRPr="0098262F">
        <w:t>Background</w:t>
      </w:r>
      <w:bookmarkEnd w:id="5"/>
    </w:p>
    <w:p w14:paraId="2C521D6D" w14:textId="78CF03EE" w:rsidR="005C25FF" w:rsidRPr="0098262F" w:rsidRDefault="005C25FF" w:rsidP="004A6040">
      <w:pPr>
        <w:pStyle w:val="4-SubsectionHeading"/>
      </w:pPr>
      <w:bookmarkStart w:id="6" w:name="_Toc22897638"/>
      <w:bookmarkStart w:id="7" w:name="_Toc187661077"/>
      <w:r w:rsidRPr="0098262F">
        <w:t>Registration status</w:t>
      </w:r>
      <w:bookmarkEnd w:id="6"/>
      <w:bookmarkEnd w:id="7"/>
    </w:p>
    <w:p w14:paraId="3A17AA4E" w14:textId="0D95D7BA" w:rsidR="009F6CC7" w:rsidRDefault="009F6CC7" w:rsidP="006A4667">
      <w:pPr>
        <w:pStyle w:val="3-BodyText"/>
      </w:pPr>
      <w:r w:rsidRPr="00883DA2">
        <w:rPr>
          <w:rFonts w:ascii="Calibri" w:eastAsia="Calibri" w:hAnsi="Calibri"/>
          <w:b/>
          <w:bCs/>
        </w:rPr>
        <w:t>TGA status at time of</w:t>
      </w:r>
      <w:r w:rsidR="001C1A2E">
        <w:rPr>
          <w:rFonts w:ascii="Calibri" w:eastAsia="Calibri" w:hAnsi="Calibri"/>
          <w:b/>
          <w:bCs/>
        </w:rPr>
        <w:t xml:space="preserve"> PBAC consideration</w:t>
      </w:r>
      <w:r w:rsidRPr="7F77D409">
        <w:rPr>
          <w:rFonts w:ascii="Calibri" w:eastAsia="Calibri" w:hAnsi="Calibri"/>
          <w:i/>
          <w:iCs/>
        </w:rPr>
        <w:t xml:space="preserve">: </w:t>
      </w:r>
      <w:r w:rsidR="00CA0D05" w:rsidRPr="7F77D409">
        <w:rPr>
          <w:rFonts w:ascii="Calibri" w:eastAsia="Calibri" w:hAnsi="Calibri"/>
          <w:i/>
          <w:iCs/>
        </w:rPr>
        <w:t xml:space="preserve"> </w:t>
      </w:r>
      <w:r w:rsidR="00CA0D05" w:rsidRPr="001C1A2E">
        <w:rPr>
          <w:rFonts w:ascii="Calibri" w:eastAsia="Calibri" w:hAnsi="Calibri"/>
        </w:rPr>
        <w:t>registered</w:t>
      </w:r>
      <w:r w:rsidR="00CA0D05" w:rsidRPr="7F77D409">
        <w:rPr>
          <w:rFonts w:ascii="Calibri" w:eastAsia="Calibri" w:hAnsi="Calibri"/>
          <w:i/>
          <w:iCs/>
        </w:rPr>
        <w:t xml:space="preserve">. </w:t>
      </w:r>
      <w:r w:rsidRPr="7F77D409">
        <w:t xml:space="preserve"> </w:t>
      </w:r>
      <w:r w:rsidR="00A93373" w:rsidRPr="7F77D409">
        <w:t>The submission was made under the TGA/PBAC Parallel Process. At the time of evaluation for PBAC consideration, the TGA Clinical Evaluation report and Delegate’s Overview were available.</w:t>
      </w:r>
    </w:p>
    <w:p w14:paraId="4295CB8B" w14:textId="518A4E38" w:rsidR="00A93373" w:rsidRPr="006F3B12" w:rsidRDefault="00127A52" w:rsidP="00324776">
      <w:pPr>
        <w:pStyle w:val="3-BodyText"/>
      </w:pPr>
      <w:r w:rsidRPr="006F3B12">
        <w:lastRenderedPageBreak/>
        <w:t>Ivacaftor</w:t>
      </w:r>
      <w:r w:rsidR="005E2319" w:rsidRPr="006F3B12">
        <w:t xml:space="preserve"> was included on the ARTG on the 6 February 2025 </w:t>
      </w:r>
      <w:r w:rsidRPr="006F3B12">
        <w:t xml:space="preserve">for the treatment of cystic fibrosis (CF) in patients aged 1 month and older who have at least one mutation in the CFTR gene that is responsive to ivacaftor potentiation based on clinical and/or in vitro assay. </w:t>
      </w:r>
    </w:p>
    <w:p w14:paraId="3E2A6EAB" w14:textId="469C8C0C" w:rsidR="005C25FF" w:rsidRPr="0098262F" w:rsidRDefault="005C25FF" w:rsidP="004E18E9">
      <w:pPr>
        <w:pStyle w:val="4-SubsectionHeading"/>
      </w:pPr>
      <w:bookmarkStart w:id="8" w:name="_Toc22897639"/>
      <w:bookmarkStart w:id="9" w:name="_Toc187661078"/>
      <w:r w:rsidRPr="7F77D409">
        <w:t>Previous PBAC consideration</w:t>
      </w:r>
      <w:bookmarkEnd w:id="8"/>
      <w:bookmarkEnd w:id="9"/>
    </w:p>
    <w:p w14:paraId="33C5670A" w14:textId="55327B20" w:rsidR="00FF7F9E" w:rsidRPr="004C4FBD" w:rsidRDefault="004C4FBD" w:rsidP="7F77D409">
      <w:pPr>
        <w:pStyle w:val="3-BodyText"/>
        <w:spacing w:before="0" w:after="120"/>
        <w:rPr>
          <w:color w:val="0066FF"/>
        </w:rPr>
      </w:pPr>
      <w:bookmarkStart w:id="10" w:name="_Ref185242357"/>
      <w:r w:rsidRPr="7F77D409">
        <w:t xml:space="preserve">The </w:t>
      </w:r>
      <w:r w:rsidR="00FF7F9E" w:rsidRPr="7F77D409">
        <w:t xml:space="preserve">PBAC </w:t>
      </w:r>
      <w:r w:rsidRPr="7F77D409">
        <w:t xml:space="preserve">has considered </w:t>
      </w:r>
      <w:r w:rsidR="00FF7F9E" w:rsidRPr="7F77D409">
        <w:t xml:space="preserve">ivacaftor </w:t>
      </w:r>
      <w:r w:rsidRPr="7F77D409">
        <w:t>on several occasions since July 2013</w:t>
      </w:r>
      <w:r w:rsidR="00324776" w:rsidRPr="7F77D409">
        <w:t xml:space="preserve"> </w:t>
      </w:r>
      <w:r w:rsidR="00F82DE4" w:rsidRPr="7F77D409">
        <w:t xml:space="preserve">with the </w:t>
      </w:r>
      <w:r w:rsidRPr="7F77D409">
        <w:t xml:space="preserve">most recent consideration in November 2023, for use in patients aged 4 months and older who have at least one mutation in the CFTR gene that is responsive to </w:t>
      </w:r>
      <w:r w:rsidR="00304EF8" w:rsidRPr="7F77D409">
        <w:t xml:space="preserve">ivacaftor </w:t>
      </w:r>
      <w:r w:rsidRPr="7F77D409">
        <w:t>based on clinical and/or in vitro data. I</w:t>
      </w:r>
      <w:r w:rsidR="006C0193" w:rsidRPr="7F77D409">
        <w:t>n</w:t>
      </w:r>
      <w:r w:rsidRPr="7F77D409">
        <w:t xml:space="preserve"> reviewing that submission, the PBAC acknowledged the challenges associated with conducting clinical trials in younger patients and those with rare mutations. The PBAC considered that, overall, treatment with ivacaftor was likely to provide a clinical benefit in the requested populations; however, the magnitude of the benefit was uncertain (para 7.5, ivacaftor </w:t>
      </w:r>
      <w:r w:rsidR="00EE771C" w:rsidRPr="00EE771C">
        <w:t xml:space="preserve">Public Summary Document </w:t>
      </w:r>
      <w:r w:rsidR="00EE771C">
        <w:t>(</w:t>
      </w:r>
      <w:r w:rsidRPr="7F77D409">
        <w:t>PSD</w:t>
      </w:r>
      <w:r w:rsidR="00EE771C">
        <w:t>)</w:t>
      </w:r>
      <w:r w:rsidRPr="7F77D409">
        <w:t>, PBAC meeting November 2023</w:t>
      </w:r>
      <w:r w:rsidR="006C0193" w:rsidRPr="7F77D409">
        <w:t>)</w:t>
      </w:r>
      <w:r w:rsidRPr="7F77D409">
        <w:t>.</w:t>
      </w:r>
      <w:bookmarkEnd w:id="10"/>
      <w:r w:rsidRPr="7F77D409">
        <w:t xml:space="preserve"> </w:t>
      </w:r>
    </w:p>
    <w:p w14:paraId="76E4EF3C" w14:textId="13040F70" w:rsidR="00B60939" w:rsidRDefault="00B50DB8" w:rsidP="004E18E9">
      <w:pPr>
        <w:pStyle w:val="2-SectionHeading"/>
      </w:pPr>
      <w:bookmarkStart w:id="11" w:name="_Toc107902078"/>
      <w:bookmarkStart w:id="12" w:name="_Toc187661079"/>
      <w:bookmarkEnd w:id="11"/>
      <w:r w:rsidRPr="0098262F">
        <w:t>Requested listing</w:t>
      </w:r>
      <w:bookmarkEnd w:id="12"/>
    </w:p>
    <w:p w14:paraId="0DE560D2" w14:textId="60629132" w:rsidR="00E22042" w:rsidRDefault="0077722A" w:rsidP="7F77D409">
      <w:pPr>
        <w:pStyle w:val="3-BodyText"/>
        <w:rPr>
          <w:i/>
          <w:iCs/>
        </w:rPr>
      </w:pPr>
      <w:r w:rsidRPr="00F91542">
        <w:rPr>
          <w:rFonts w:cstheme="minorHAnsi"/>
          <w:iCs/>
        </w:rPr>
        <w:t>Suggestions and additions proposed by the Secretariat are added in italics and suggested deletions are crossed out with strikethrough</w:t>
      </w:r>
      <w:r>
        <w:t xml:space="preserve">. </w:t>
      </w:r>
    </w:p>
    <w:p w14:paraId="1B423B86" w14:textId="381814DB" w:rsidR="003A4C14" w:rsidRPr="0098262F" w:rsidRDefault="003A4C14" w:rsidP="007E45DC">
      <w:pPr>
        <w:pStyle w:val="TableTex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629"/>
        <w:gridCol w:w="812"/>
        <w:gridCol w:w="811"/>
        <w:gridCol w:w="1134"/>
        <w:gridCol w:w="1509"/>
      </w:tblGrid>
      <w:tr w:rsidR="00046D64" w:rsidRPr="0098262F" w14:paraId="73E16E29" w14:textId="77777777" w:rsidTr="7F77D409">
        <w:trPr>
          <w:cantSplit/>
          <w:trHeight w:val="20"/>
        </w:trPr>
        <w:tc>
          <w:tcPr>
            <w:tcW w:w="2122" w:type="dxa"/>
            <w:vAlign w:val="center"/>
          </w:tcPr>
          <w:p w14:paraId="4660296B" w14:textId="77777777" w:rsidR="00046D64" w:rsidRPr="0098262F" w:rsidRDefault="00046D64" w:rsidP="00A2021E">
            <w:pPr>
              <w:keepLines/>
              <w:rPr>
                <w:rFonts w:ascii="Arial Narrow" w:hAnsi="Arial Narrow"/>
                <w:b/>
                <w:bCs/>
                <w:sz w:val="20"/>
                <w:szCs w:val="20"/>
              </w:rPr>
            </w:pPr>
            <w:bookmarkStart w:id="13" w:name="_Hlk104809055"/>
            <w:r w:rsidRPr="0098262F">
              <w:rPr>
                <w:rFonts w:ascii="Arial Narrow" w:hAnsi="Arial Narrow"/>
                <w:b/>
                <w:bCs/>
                <w:sz w:val="20"/>
                <w:szCs w:val="20"/>
              </w:rPr>
              <w:t>MEDICINAL PRODUCT</w:t>
            </w:r>
          </w:p>
          <w:p w14:paraId="7221C2FD" w14:textId="77777777" w:rsidR="00046D64" w:rsidRPr="0098262F" w:rsidRDefault="00046D64" w:rsidP="00A2021E">
            <w:pPr>
              <w:keepLines/>
              <w:rPr>
                <w:rFonts w:ascii="Arial Narrow" w:hAnsi="Arial Narrow"/>
                <w:b/>
                <w:sz w:val="20"/>
                <w:szCs w:val="20"/>
              </w:rPr>
            </w:pPr>
            <w:r w:rsidRPr="0098262F">
              <w:rPr>
                <w:rFonts w:ascii="Arial Narrow" w:hAnsi="Arial Narrow"/>
                <w:b/>
                <w:bCs/>
                <w:sz w:val="20"/>
                <w:szCs w:val="20"/>
              </w:rPr>
              <w:t>medicinal product pack</w:t>
            </w:r>
          </w:p>
        </w:tc>
        <w:tc>
          <w:tcPr>
            <w:tcW w:w="2629" w:type="dxa"/>
            <w:vAlign w:val="center"/>
          </w:tcPr>
          <w:p w14:paraId="14424AF1" w14:textId="54369E4C" w:rsidR="00046D64" w:rsidRPr="0098262F" w:rsidRDefault="00C61A59" w:rsidP="007E45DC">
            <w:pPr>
              <w:pStyle w:val="TableText0"/>
              <w:rPr>
                <w:szCs w:val="20"/>
              </w:rPr>
            </w:pPr>
            <w:r w:rsidRPr="0098262F">
              <w:rPr>
                <w:snapToGrid w:val="0"/>
              </w:rPr>
              <w:t xml:space="preserve">Dispensed Price for Max. Qty </w:t>
            </w:r>
          </w:p>
        </w:tc>
        <w:tc>
          <w:tcPr>
            <w:tcW w:w="812" w:type="dxa"/>
            <w:vAlign w:val="center"/>
          </w:tcPr>
          <w:p w14:paraId="4E41A9BC" w14:textId="0E3A90D0" w:rsidR="00046D64" w:rsidRPr="0098262F" w:rsidRDefault="00046D64" w:rsidP="00A2021E">
            <w:pPr>
              <w:keepLines/>
              <w:jc w:val="center"/>
              <w:rPr>
                <w:rFonts w:ascii="Arial Narrow" w:hAnsi="Arial Narrow"/>
                <w:b/>
                <w:sz w:val="20"/>
                <w:szCs w:val="20"/>
              </w:rPr>
            </w:pPr>
            <w:r w:rsidRPr="0098262F">
              <w:rPr>
                <w:rFonts w:ascii="Arial Narrow" w:hAnsi="Arial Narrow"/>
                <w:b/>
                <w:sz w:val="20"/>
                <w:szCs w:val="20"/>
              </w:rPr>
              <w:t>Max. qty packs</w:t>
            </w:r>
          </w:p>
        </w:tc>
        <w:tc>
          <w:tcPr>
            <w:tcW w:w="811" w:type="dxa"/>
            <w:vAlign w:val="center"/>
          </w:tcPr>
          <w:p w14:paraId="48197540" w14:textId="77777777" w:rsidR="00046D64" w:rsidRPr="0098262F" w:rsidRDefault="00046D64" w:rsidP="00A2021E">
            <w:pPr>
              <w:keepLines/>
              <w:jc w:val="center"/>
              <w:rPr>
                <w:rFonts w:ascii="Arial Narrow" w:hAnsi="Arial Narrow"/>
                <w:b/>
                <w:sz w:val="20"/>
                <w:szCs w:val="20"/>
              </w:rPr>
            </w:pPr>
            <w:r w:rsidRPr="0098262F">
              <w:rPr>
                <w:rFonts w:ascii="Arial Narrow" w:hAnsi="Arial Narrow"/>
                <w:b/>
                <w:sz w:val="20"/>
                <w:szCs w:val="20"/>
              </w:rPr>
              <w:t>Max. qty units</w:t>
            </w:r>
          </w:p>
        </w:tc>
        <w:tc>
          <w:tcPr>
            <w:tcW w:w="1134" w:type="dxa"/>
            <w:vAlign w:val="center"/>
          </w:tcPr>
          <w:p w14:paraId="13B3FDEE" w14:textId="77777777" w:rsidR="00046D64" w:rsidRPr="0098262F" w:rsidRDefault="00046D64" w:rsidP="7F77D409">
            <w:pPr>
              <w:keepLines/>
              <w:jc w:val="center"/>
              <w:rPr>
                <w:rFonts w:ascii="Arial Narrow" w:hAnsi="Arial Narrow"/>
                <w:b/>
                <w:bCs/>
                <w:sz w:val="20"/>
                <w:szCs w:val="20"/>
              </w:rPr>
            </w:pPr>
            <w:r w:rsidRPr="7F77D409">
              <w:rPr>
                <w:rFonts w:ascii="Arial Narrow" w:hAnsi="Arial Narrow"/>
                <w:b/>
                <w:bCs/>
                <w:sz w:val="20"/>
                <w:szCs w:val="20"/>
              </w:rPr>
              <w:t>№.of</w:t>
            </w:r>
          </w:p>
          <w:p w14:paraId="7B215997" w14:textId="77777777" w:rsidR="00046D64" w:rsidRPr="0098262F" w:rsidRDefault="00046D64" w:rsidP="00A2021E">
            <w:pPr>
              <w:keepLines/>
              <w:jc w:val="center"/>
              <w:rPr>
                <w:rFonts w:ascii="Arial Narrow" w:hAnsi="Arial Narrow"/>
                <w:b/>
                <w:sz w:val="20"/>
                <w:szCs w:val="20"/>
              </w:rPr>
            </w:pPr>
            <w:r w:rsidRPr="0098262F">
              <w:rPr>
                <w:rFonts w:ascii="Arial Narrow" w:hAnsi="Arial Narrow"/>
                <w:b/>
                <w:sz w:val="20"/>
                <w:szCs w:val="20"/>
              </w:rPr>
              <w:t>Rpts</w:t>
            </w:r>
          </w:p>
        </w:tc>
        <w:tc>
          <w:tcPr>
            <w:tcW w:w="1509" w:type="dxa"/>
            <w:vAlign w:val="center"/>
          </w:tcPr>
          <w:p w14:paraId="4976F6A8" w14:textId="77777777" w:rsidR="00046D64" w:rsidRPr="0098262F" w:rsidRDefault="00046D64" w:rsidP="00A2021E">
            <w:pPr>
              <w:keepLines/>
              <w:rPr>
                <w:rFonts w:ascii="Arial Narrow" w:hAnsi="Arial Narrow"/>
                <w:b/>
                <w:sz w:val="20"/>
                <w:szCs w:val="20"/>
              </w:rPr>
            </w:pPr>
            <w:r w:rsidRPr="0098262F">
              <w:rPr>
                <w:rFonts w:ascii="Arial Narrow" w:hAnsi="Arial Narrow"/>
                <w:b/>
                <w:sz w:val="20"/>
                <w:szCs w:val="20"/>
              </w:rPr>
              <w:t>Available brands</w:t>
            </w:r>
          </w:p>
        </w:tc>
      </w:tr>
      <w:tr w:rsidR="00046D64" w:rsidRPr="0098262F" w14:paraId="40C1AD8E" w14:textId="77777777" w:rsidTr="7F77D409">
        <w:trPr>
          <w:cantSplit/>
          <w:trHeight w:val="20"/>
        </w:trPr>
        <w:tc>
          <w:tcPr>
            <w:tcW w:w="9017" w:type="dxa"/>
            <w:gridSpan w:val="6"/>
            <w:vAlign w:val="center"/>
          </w:tcPr>
          <w:p w14:paraId="2A4C00A6" w14:textId="5DFBCBC8" w:rsidR="00046D64" w:rsidRPr="0098262F" w:rsidRDefault="00D71E0D" w:rsidP="007E45DC">
            <w:pPr>
              <w:pStyle w:val="TableText0"/>
              <w:rPr>
                <w:rFonts w:cs="Arial"/>
                <w:szCs w:val="20"/>
              </w:rPr>
            </w:pPr>
            <w:r>
              <w:t>Ivacaftor</w:t>
            </w:r>
            <w:r w:rsidRPr="0098262F">
              <w:t xml:space="preserve"> </w:t>
            </w:r>
            <w:r w:rsidR="00A2021E" w:rsidRPr="0098262F">
              <w:rPr>
                <w:rFonts w:cs="Arial"/>
                <w:color w:val="0066FF"/>
                <w:szCs w:val="20"/>
              </w:rPr>
              <w:t xml:space="preserve"> </w:t>
            </w:r>
          </w:p>
        </w:tc>
      </w:tr>
      <w:tr w:rsidR="002C36E3" w:rsidRPr="0098262F" w14:paraId="1DC2CC67" w14:textId="77777777" w:rsidTr="7F77D409">
        <w:trPr>
          <w:cantSplit/>
          <w:trHeight w:val="20"/>
        </w:trPr>
        <w:tc>
          <w:tcPr>
            <w:tcW w:w="2122" w:type="dxa"/>
            <w:vAlign w:val="center"/>
          </w:tcPr>
          <w:p w14:paraId="4B3F0041" w14:textId="06476F12" w:rsidR="00B13232" w:rsidRPr="0098262F" w:rsidRDefault="00B13232" w:rsidP="007E45DC">
            <w:pPr>
              <w:pStyle w:val="TableText0"/>
              <w:rPr>
                <w:color w:val="0066FF"/>
                <w:szCs w:val="20"/>
              </w:rPr>
            </w:pPr>
            <w:r>
              <w:t>Ivacaftor, 13.4</w:t>
            </w:r>
            <w:r w:rsidR="00805AB3">
              <w:t xml:space="preserve"> </w:t>
            </w:r>
            <w:r>
              <w:t>mg granules</w:t>
            </w:r>
            <w:r w:rsidR="004F1F96">
              <w:t>, sachets</w:t>
            </w:r>
          </w:p>
          <w:p w14:paraId="612C04D7" w14:textId="6D745409" w:rsidR="002C36E3" w:rsidRPr="0098262F" w:rsidRDefault="002C36E3" w:rsidP="002C36E3">
            <w:pPr>
              <w:keepLines/>
              <w:rPr>
                <w:rFonts w:ascii="Arial Narrow" w:hAnsi="Arial Narrow"/>
                <w:color w:val="0066FF"/>
                <w:sz w:val="20"/>
                <w:szCs w:val="20"/>
              </w:rPr>
            </w:pPr>
            <w:r w:rsidRPr="0098262F">
              <w:rPr>
                <w:rFonts w:ascii="Arial Narrow" w:hAnsi="Arial Narrow"/>
                <w:color w:val="0066FF"/>
                <w:sz w:val="20"/>
                <w:szCs w:val="20"/>
              </w:rPr>
              <w:t xml:space="preserve"> </w:t>
            </w:r>
          </w:p>
        </w:tc>
        <w:tc>
          <w:tcPr>
            <w:tcW w:w="2629" w:type="dxa"/>
          </w:tcPr>
          <w:p w14:paraId="768CBFE8" w14:textId="0D06232A" w:rsidR="002C36E3" w:rsidRPr="0098262F" w:rsidRDefault="002C36E3" w:rsidP="007E45DC">
            <w:pPr>
              <w:pStyle w:val="TableText0"/>
            </w:pPr>
            <w:r w:rsidRPr="0098262F">
              <w:t>$</w:t>
            </w:r>
            <w:r w:rsidR="004F1F96">
              <w:t>21,375.00 published price</w:t>
            </w:r>
          </w:p>
          <w:p w14:paraId="1788D785" w14:textId="6F5E720C" w:rsidR="00805AB3" w:rsidRDefault="004F1F96" w:rsidP="007E45DC">
            <w:pPr>
              <w:pStyle w:val="TableText0"/>
            </w:pPr>
            <w:r>
              <w:t>$</w:t>
            </w:r>
            <w:r w:rsidR="000F6865" w:rsidRPr="00F949F0">
              <w:rPr>
                <w:color w:val="000000"/>
                <w:spacing w:val="53"/>
                <w:shd w:val="solid" w:color="000000" w:fill="000000"/>
                <w:fitText w:val="330" w:id="-694419200"/>
                <w14:textFill>
                  <w14:solidFill>
                    <w14:srgbClr w14:val="000000">
                      <w14:alpha w14:val="100000"/>
                    </w14:srgbClr>
                  </w14:solidFill>
                </w14:textFill>
              </w:rPr>
              <w:t>|||</w:t>
            </w:r>
            <w:r w:rsidR="000F6865" w:rsidRPr="00F949F0">
              <w:rPr>
                <w:color w:val="000000"/>
                <w:spacing w:val="1"/>
                <w:shd w:val="solid" w:color="000000" w:fill="000000"/>
                <w:fitText w:val="330" w:id="-694419200"/>
                <w14:textFill>
                  <w14:solidFill>
                    <w14:srgbClr w14:val="000000">
                      <w14:alpha w14:val="100000"/>
                    </w14:srgbClr>
                  </w14:solidFill>
                </w14:textFill>
              </w:rPr>
              <w:t>|</w:t>
            </w:r>
            <w:r>
              <w:t>/ $</w:t>
            </w:r>
            <w:r w:rsidR="000F6865" w:rsidRPr="00F949F0">
              <w:rPr>
                <w:color w:val="000000"/>
                <w:spacing w:val="53"/>
                <w:shd w:val="solid" w:color="000000" w:fill="000000"/>
                <w:fitText w:val="330" w:id="-694419199"/>
                <w14:textFill>
                  <w14:solidFill>
                    <w14:srgbClr w14:val="000000">
                      <w14:alpha w14:val="100000"/>
                    </w14:srgbClr>
                  </w14:solidFill>
                </w14:textFill>
              </w:rPr>
              <w:t>|||</w:t>
            </w:r>
            <w:r w:rsidR="000F6865" w:rsidRPr="00F949F0">
              <w:rPr>
                <w:color w:val="000000"/>
                <w:spacing w:val="1"/>
                <w:shd w:val="solid" w:color="000000" w:fill="000000"/>
                <w:fitText w:val="330" w:id="-694419199"/>
                <w14:textFill>
                  <w14:solidFill>
                    <w14:srgbClr w14:val="000000">
                      <w14:alpha w14:val="100000"/>
                    </w14:srgbClr>
                  </w14:solidFill>
                </w14:textFill>
              </w:rPr>
              <w:t>|</w:t>
            </w:r>
            <w:r>
              <w:rPr>
                <w:vertAlign w:val="superscript"/>
              </w:rPr>
              <w:t>a</w:t>
            </w:r>
            <w:r w:rsidR="00805AB3" w:rsidRPr="0098262F">
              <w:t xml:space="preserve"> </w:t>
            </w:r>
          </w:p>
          <w:p w14:paraId="70C2874A" w14:textId="5330F08B" w:rsidR="002C36E3" w:rsidRPr="004F1F96" w:rsidRDefault="00805AB3" w:rsidP="007E45DC">
            <w:pPr>
              <w:pStyle w:val="TableText0"/>
              <w:rPr>
                <w:szCs w:val="20"/>
                <w:vertAlign w:val="superscript"/>
              </w:rPr>
            </w:pPr>
            <w:r w:rsidRPr="0098262F">
              <w:t>effective price</w:t>
            </w:r>
          </w:p>
        </w:tc>
        <w:tc>
          <w:tcPr>
            <w:tcW w:w="812" w:type="dxa"/>
            <w:vAlign w:val="center"/>
          </w:tcPr>
          <w:p w14:paraId="71CD2441" w14:textId="22407567" w:rsidR="002C36E3" w:rsidRPr="0098262F" w:rsidRDefault="004F1F96" w:rsidP="002C36E3">
            <w:pPr>
              <w:keepLines/>
              <w:jc w:val="center"/>
              <w:rPr>
                <w:rFonts w:ascii="Arial Narrow" w:hAnsi="Arial Narrow"/>
                <w:sz w:val="20"/>
                <w:szCs w:val="20"/>
              </w:rPr>
            </w:pPr>
            <w:r>
              <w:rPr>
                <w:rFonts w:ascii="Arial Narrow" w:hAnsi="Arial Narrow"/>
                <w:sz w:val="20"/>
              </w:rPr>
              <w:t>1</w:t>
            </w:r>
          </w:p>
        </w:tc>
        <w:tc>
          <w:tcPr>
            <w:tcW w:w="811" w:type="dxa"/>
            <w:vAlign w:val="center"/>
          </w:tcPr>
          <w:p w14:paraId="65F4D3E9" w14:textId="1F649B21" w:rsidR="002C36E3" w:rsidRPr="0098262F" w:rsidRDefault="004F1F96" w:rsidP="002C36E3">
            <w:pPr>
              <w:keepLines/>
              <w:jc w:val="center"/>
              <w:rPr>
                <w:rFonts w:ascii="Arial Narrow" w:hAnsi="Arial Narrow"/>
                <w:sz w:val="20"/>
                <w:szCs w:val="20"/>
              </w:rPr>
            </w:pPr>
            <w:r>
              <w:rPr>
                <w:rFonts w:ascii="Arial Narrow" w:hAnsi="Arial Narrow"/>
                <w:sz w:val="20"/>
              </w:rPr>
              <w:t>56</w:t>
            </w:r>
          </w:p>
        </w:tc>
        <w:tc>
          <w:tcPr>
            <w:tcW w:w="1134" w:type="dxa"/>
            <w:vAlign w:val="center"/>
          </w:tcPr>
          <w:p w14:paraId="7C728D0C" w14:textId="61B7D35E" w:rsidR="002C36E3" w:rsidRPr="0098262F" w:rsidRDefault="00F769D2" w:rsidP="002C36E3">
            <w:pPr>
              <w:keepLines/>
              <w:jc w:val="center"/>
              <w:rPr>
                <w:rFonts w:ascii="Arial Narrow" w:hAnsi="Arial Narrow"/>
                <w:sz w:val="20"/>
                <w:szCs w:val="20"/>
              </w:rPr>
            </w:pPr>
            <w:r w:rsidRPr="00F769D2">
              <w:rPr>
                <w:rFonts w:ascii="Arial Narrow" w:hAnsi="Arial Narrow"/>
                <w:i/>
                <w:iCs/>
                <w:sz w:val="20"/>
              </w:rPr>
              <w:t>2</w:t>
            </w:r>
            <w:r>
              <w:rPr>
                <w:rFonts w:ascii="Arial Narrow" w:hAnsi="Arial Narrow"/>
                <w:sz w:val="20"/>
              </w:rPr>
              <w:t xml:space="preserve"> </w:t>
            </w:r>
            <w:r w:rsidR="004F1F96" w:rsidRPr="00F769D2">
              <w:rPr>
                <w:rFonts w:ascii="Arial Narrow" w:hAnsi="Arial Narrow"/>
                <w:strike/>
                <w:sz w:val="20"/>
              </w:rPr>
              <w:t>5</w:t>
            </w:r>
          </w:p>
        </w:tc>
        <w:tc>
          <w:tcPr>
            <w:tcW w:w="1509" w:type="dxa"/>
            <w:vAlign w:val="center"/>
          </w:tcPr>
          <w:p w14:paraId="519A0BC8" w14:textId="07B527DD" w:rsidR="002C36E3" w:rsidRPr="0098262F" w:rsidRDefault="004F1F96" w:rsidP="002C36E3">
            <w:pPr>
              <w:keepLines/>
              <w:rPr>
                <w:rFonts w:ascii="Arial Narrow" w:hAnsi="Arial Narrow"/>
                <w:color w:val="0066FF"/>
                <w:sz w:val="20"/>
                <w:szCs w:val="20"/>
              </w:rPr>
            </w:pPr>
            <w:r>
              <w:rPr>
                <w:rFonts w:ascii="Arial Narrow" w:hAnsi="Arial Narrow"/>
                <w:sz w:val="20"/>
                <w:szCs w:val="20"/>
              </w:rPr>
              <w:t>Kalydeco</w:t>
            </w:r>
          </w:p>
        </w:tc>
      </w:tr>
    </w:tbl>
    <w:bookmarkEnd w:id="13"/>
    <w:p w14:paraId="210B3796" w14:textId="3B8E79BE" w:rsidR="00046D64" w:rsidRDefault="004F1F96" w:rsidP="004F1F96">
      <w:pPr>
        <w:pStyle w:val="TableFigureFooter"/>
      </w:pPr>
      <w:r w:rsidRPr="7F77D409">
        <w:rPr>
          <w:vertAlign w:val="superscript"/>
        </w:rPr>
        <w:t>a</w:t>
      </w:r>
      <w:r w:rsidR="00805AB3" w:rsidRPr="7F77D409">
        <w:t xml:space="preserve"> Public hospital DPMQ, </w:t>
      </w:r>
      <w:r w:rsidRPr="7F77D409">
        <w:t>Indication specific pricing.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1" w:type="dxa"/>
          <w:bottom w:w="11" w:type="dxa"/>
          <w:right w:w="11" w:type="dxa"/>
        </w:tblCellMar>
        <w:tblLook w:val="04A0" w:firstRow="1" w:lastRow="0" w:firstColumn="1" w:lastColumn="0" w:noHBand="0" w:noVBand="1"/>
      </w:tblPr>
      <w:tblGrid>
        <w:gridCol w:w="9017"/>
      </w:tblGrid>
      <w:tr w:rsidR="00213259" w:rsidRPr="00FE20A5" w14:paraId="0A3C9B5B"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2E749D" w14:textId="77777777" w:rsidR="00213259" w:rsidRPr="00CC0A7A" w:rsidRDefault="00213259">
            <w:pPr>
              <w:rPr>
                <w:rFonts w:ascii="Arial Narrow" w:hAnsi="Arial Narrow"/>
                <w:sz w:val="20"/>
                <w:szCs w:val="20"/>
              </w:rPr>
            </w:pPr>
            <w:r w:rsidRPr="00CC0A7A">
              <w:rPr>
                <w:rFonts w:ascii="Arial Narrow" w:hAnsi="Arial Narrow"/>
                <w:sz w:val="20"/>
                <w:szCs w:val="20"/>
              </w:rPr>
              <w:t xml:space="preserve">Category / Program: </w:t>
            </w:r>
            <w:r w:rsidRPr="00CC0A7A">
              <w:rPr>
                <w:rFonts w:ascii="Arial Narrow" w:hAnsi="Arial Narrow"/>
                <w:sz w:val="20"/>
                <w:szCs w:val="20"/>
              </w:rPr>
              <w:fldChar w:fldCharType="begin" w:fldLock="1">
                <w:ffData>
                  <w:name w:val=""/>
                  <w:enabled/>
                  <w:calcOnExit w:val="0"/>
                  <w:checkBox>
                    <w:sizeAuto/>
                    <w:default w:val="1"/>
                  </w:checkBox>
                </w:ffData>
              </w:fldChar>
            </w:r>
            <w:r w:rsidRPr="00CC0A7A">
              <w:rPr>
                <w:rFonts w:ascii="Arial Narrow" w:hAnsi="Arial Narrow"/>
                <w:sz w:val="20"/>
                <w:szCs w:val="20"/>
              </w:rPr>
              <w:instrText xml:space="preserve"> FORMCHECKBOX </w:instrText>
            </w:r>
            <w:r w:rsidRPr="00CC0A7A">
              <w:rPr>
                <w:rFonts w:ascii="Arial Narrow" w:hAnsi="Arial Narrow"/>
                <w:sz w:val="20"/>
                <w:szCs w:val="20"/>
              </w:rPr>
            </w:r>
            <w:r w:rsidRPr="00CC0A7A">
              <w:rPr>
                <w:rFonts w:ascii="Arial Narrow" w:hAnsi="Arial Narrow"/>
                <w:sz w:val="20"/>
                <w:szCs w:val="20"/>
              </w:rPr>
              <w:fldChar w:fldCharType="separate"/>
            </w:r>
            <w:r w:rsidRPr="00CC0A7A">
              <w:rPr>
                <w:rFonts w:ascii="Arial Narrow" w:hAnsi="Arial Narrow"/>
                <w:sz w:val="20"/>
                <w:szCs w:val="20"/>
              </w:rPr>
              <w:fldChar w:fldCharType="end"/>
            </w:r>
            <w:r>
              <w:rPr>
                <w:rFonts w:ascii="Arial Narrow" w:hAnsi="Arial Narrow"/>
                <w:sz w:val="20"/>
                <w:szCs w:val="20"/>
              </w:rPr>
              <w:t xml:space="preserve"> </w:t>
            </w:r>
            <w:r w:rsidRPr="00CC0A7A">
              <w:rPr>
                <w:rFonts w:ascii="Arial Narrow" w:hAnsi="Arial Narrow"/>
                <w:sz w:val="20"/>
                <w:szCs w:val="20"/>
              </w:rPr>
              <w:t xml:space="preserve">Section 100 – Highly Specialised Drugs Program </w:t>
            </w:r>
            <w:r>
              <w:rPr>
                <w:rFonts w:ascii="Arial Narrow" w:eastAsia="Calibri" w:hAnsi="Arial Narrow"/>
                <w:sz w:val="20"/>
                <w:szCs w:val="20"/>
              </w:rPr>
              <w:t>– Public (Code HB)</w:t>
            </w:r>
            <w:r w:rsidRPr="001428E9">
              <w:rPr>
                <w:rFonts w:ascii="Arial Narrow" w:eastAsia="Calibri" w:hAnsi="Arial Narrow"/>
                <w:color w:val="FF0000"/>
                <w:sz w:val="20"/>
                <w:szCs w:val="20"/>
              </w:rPr>
              <w:t xml:space="preserve"> </w:t>
            </w:r>
            <w:r>
              <w:rPr>
                <w:rFonts w:ascii="Arial Narrow" w:eastAsia="Calibri" w:hAnsi="Arial Narrow"/>
                <w:sz w:val="20"/>
                <w:szCs w:val="20"/>
              </w:rPr>
              <w:t>/ Private (Code HS)</w:t>
            </w:r>
          </w:p>
        </w:tc>
      </w:tr>
      <w:tr w:rsidR="00213259" w:rsidRPr="00FE20A5" w14:paraId="3338D0CE"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1657F3" w14:textId="77777777" w:rsidR="00213259" w:rsidRPr="00CC0A7A" w:rsidRDefault="00213259">
            <w:pPr>
              <w:rPr>
                <w:rFonts w:ascii="Arial Narrow" w:hAnsi="Arial Narrow"/>
                <w:sz w:val="20"/>
                <w:szCs w:val="20"/>
              </w:rPr>
            </w:pPr>
            <w:r w:rsidRPr="00CC0A7A">
              <w:rPr>
                <w:rFonts w:ascii="Arial Narrow" w:hAnsi="Arial Narrow"/>
                <w:sz w:val="20"/>
                <w:szCs w:val="20"/>
              </w:rPr>
              <w:t xml:space="preserve">Prescriber type: </w:t>
            </w:r>
            <w:r w:rsidRPr="00CC0A7A">
              <w:rPr>
                <w:rFonts w:ascii="Arial Narrow" w:hAnsi="Arial Narrow"/>
                <w:sz w:val="20"/>
                <w:szCs w:val="20"/>
              </w:rPr>
              <w:fldChar w:fldCharType="begin" w:fldLock="1">
                <w:ffData>
                  <w:name w:val=""/>
                  <w:enabled/>
                  <w:calcOnExit w:val="0"/>
                  <w:checkBox>
                    <w:sizeAuto/>
                    <w:default w:val="1"/>
                  </w:checkBox>
                </w:ffData>
              </w:fldChar>
            </w:r>
            <w:r w:rsidRPr="00CC0A7A">
              <w:rPr>
                <w:rFonts w:ascii="Arial Narrow" w:hAnsi="Arial Narrow"/>
                <w:sz w:val="20"/>
                <w:szCs w:val="20"/>
              </w:rPr>
              <w:instrText xml:space="preserve"> FORMCHECKBOX </w:instrText>
            </w:r>
            <w:r w:rsidRPr="00CC0A7A">
              <w:rPr>
                <w:rFonts w:ascii="Arial Narrow" w:hAnsi="Arial Narrow"/>
                <w:sz w:val="20"/>
                <w:szCs w:val="20"/>
              </w:rPr>
            </w:r>
            <w:r w:rsidRPr="00CC0A7A">
              <w:rPr>
                <w:rFonts w:ascii="Arial Narrow" w:hAnsi="Arial Narrow"/>
                <w:sz w:val="20"/>
                <w:szCs w:val="20"/>
              </w:rPr>
              <w:fldChar w:fldCharType="separate"/>
            </w:r>
            <w:r w:rsidRPr="00CC0A7A">
              <w:rPr>
                <w:rFonts w:ascii="Arial Narrow" w:hAnsi="Arial Narrow"/>
                <w:sz w:val="20"/>
                <w:szCs w:val="20"/>
              </w:rPr>
              <w:fldChar w:fldCharType="end"/>
            </w:r>
            <w:r>
              <w:rPr>
                <w:rFonts w:ascii="Arial Narrow" w:hAnsi="Arial Narrow"/>
                <w:sz w:val="20"/>
                <w:szCs w:val="20"/>
              </w:rPr>
              <w:t xml:space="preserve"> </w:t>
            </w:r>
            <w:r w:rsidRPr="00CC0A7A">
              <w:rPr>
                <w:rFonts w:ascii="Arial Narrow" w:hAnsi="Arial Narrow"/>
                <w:sz w:val="20"/>
                <w:szCs w:val="20"/>
              </w:rPr>
              <w:t xml:space="preserve">Medical Practitioners </w:t>
            </w:r>
          </w:p>
        </w:tc>
      </w:tr>
      <w:tr w:rsidR="00213259" w:rsidRPr="00FE20A5" w14:paraId="1C633076"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10DE050" w14:textId="77777777" w:rsidR="00213259" w:rsidRPr="00CC0A7A" w:rsidRDefault="00213259">
            <w:pPr>
              <w:rPr>
                <w:rFonts w:ascii="Arial Narrow" w:hAnsi="Arial Narrow"/>
                <w:sz w:val="20"/>
                <w:szCs w:val="20"/>
              </w:rPr>
            </w:pPr>
            <w:r w:rsidRPr="00CC0A7A">
              <w:rPr>
                <w:rFonts w:ascii="Arial Narrow" w:hAnsi="Arial Narrow"/>
                <w:sz w:val="20"/>
                <w:szCs w:val="20"/>
              </w:rPr>
              <w:t xml:space="preserve">Restriction Type – </w:t>
            </w:r>
            <w:r w:rsidRPr="00CC0A7A">
              <w:rPr>
                <w:rFonts w:ascii="Arial Narrow" w:hAnsi="Arial Narrow"/>
                <w:sz w:val="20"/>
                <w:szCs w:val="20"/>
              </w:rPr>
              <w:fldChar w:fldCharType="begin" w:fldLock="1">
                <w:ffData>
                  <w:name w:val=""/>
                  <w:enabled/>
                  <w:calcOnExit w:val="0"/>
                  <w:checkBox>
                    <w:sizeAuto/>
                    <w:default w:val="1"/>
                  </w:checkBox>
                </w:ffData>
              </w:fldChar>
            </w:r>
            <w:r w:rsidRPr="00CC0A7A">
              <w:rPr>
                <w:rFonts w:ascii="Arial Narrow" w:hAnsi="Arial Narrow"/>
                <w:sz w:val="20"/>
                <w:szCs w:val="20"/>
              </w:rPr>
              <w:instrText xml:space="preserve"> FORMCHECKBOX </w:instrText>
            </w:r>
            <w:r w:rsidRPr="00CC0A7A">
              <w:rPr>
                <w:rFonts w:ascii="Arial Narrow" w:hAnsi="Arial Narrow"/>
                <w:sz w:val="20"/>
                <w:szCs w:val="20"/>
              </w:rPr>
            </w:r>
            <w:r w:rsidRPr="00CC0A7A">
              <w:rPr>
                <w:rFonts w:ascii="Arial Narrow" w:hAnsi="Arial Narrow"/>
                <w:sz w:val="20"/>
                <w:szCs w:val="20"/>
              </w:rPr>
              <w:fldChar w:fldCharType="separate"/>
            </w:r>
            <w:r w:rsidRPr="00CC0A7A">
              <w:rPr>
                <w:rFonts w:ascii="Arial Narrow" w:hAnsi="Arial Narrow"/>
                <w:sz w:val="20"/>
                <w:szCs w:val="20"/>
              </w:rPr>
              <w:fldChar w:fldCharType="end"/>
            </w:r>
            <w:r w:rsidRPr="00CC0A7A">
              <w:rPr>
                <w:rFonts w:ascii="Arial Narrow" w:hAnsi="Arial Narrow"/>
                <w:sz w:val="20"/>
                <w:szCs w:val="20"/>
              </w:rPr>
              <w:t xml:space="preserve">Authority Required – non-immediate/delayed assessment by Services Australia </w:t>
            </w:r>
          </w:p>
        </w:tc>
      </w:tr>
      <w:tr w:rsidR="00213259" w:rsidRPr="00FE20A5" w14:paraId="5FC3D4AC"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F4A0A6" w14:textId="77777777" w:rsidR="00213259" w:rsidRPr="0017028E" w:rsidRDefault="00213259">
            <w:pPr>
              <w:keepLines/>
              <w:rPr>
                <w:rFonts w:ascii="Arial Narrow" w:hAnsi="Arial Narrow"/>
                <w:i/>
                <w:iCs/>
                <w:sz w:val="20"/>
                <w:szCs w:val="20"/>
              </w:rPr>
            </w:pPr>
            <w:r>
              <w:rPr>
                <w:rFonts w:ascii="Arial Narrow" w:hAnsi="Arial Narrow"/>
                <w:b/>
                <w:sz w:val="20"/>
                <w:szCs w:val="20"/>
              </w:rPr>
              <w:t xml:space="preserve">Authority type: </w:t>
            </w:r>
            <w:r>
              <w:rPr>
                <w:rFonts w:ascii="Arial Narrow" w:eastAsia="Calibri" w:hAnsi="Arial Narrow"/>
                <w:sz w:val="20"/>
                <w:szCs w:val="20"/>
              </w:rPr>
              <w:fldChar w:fldCharType="begin" w:fldLock="1">
                <w:ffData>
                  <w:name w:val=""/>
                  <w:enabled/>
                  <w:calcOnExit w:val="0"/>
                  <w:checkBox>
                    <w:sizeAuto/>
                    <w:default w:val="1"/>
                  </w:checkBox>
                </w:ffData>
              </w:fldChar>
            </w:r>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r>
              <w:rPr>
                <w:rFonts w:ascii="Arial Narrow" w:eastAsia="Calibri" w:hAnsi="Arial Narrow"/>
                <w:sz w:val="20"/>
                <w:szCs w:val="20"/>
              </w:rPr>
              <w:t xml:space="preserve"> Complex Authority Required (CAR)</w:t>
            </w:r>
          </w:p>
        </w:tc>
      </w:tr>
      <w:tr w:rsidR="00213259" w:rsidRPr="00FE20A5" w14:paraId="4F298785"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2EF2E8" w14:textId="77777777" w:rsidR="00213259" w:rsidRPr="00484A3A" w:rsidRDefault="00213259">
            <w:pPr>
              <w:rPr>
                <w:rFonts w:ascii="Arial Narrow" w:hAnsi="Arial Narrow"/>
                <w:b/>
                <w:bCs/>
                <w:i/>
                <w:iCs/>
                <w:sz w:val="20"/>
                <w:szCs w:val="20"/>
              </w:rPr>
            </w:pPr>
            <w:r>
              <w:rPr>
                <w:rFonts w:ascii="Arial Narrow" w:hAnsi="Arial Narrow"/>
                <w:b/>
                <w:bCs/>
                <w:i/>
                <w:iCs/>
                <w:sz w:val="20"/>
                <w:szCs w:val="20"/>
              </w:rPr>
              <w:t xml:space="preserve">Indication: </w:t>
            </w:r>
            <w:r w:rsidRPr="00673AFB">
              <w:rPr>
                <w:rFonts w:ascii="Arial Narrow" w:hAnsi="Arial Narrow"/>
                <w:i/>
                <w:iCs/>
                <w:sz w:val="20"/>
                <w:szCs w:val="20"/>
              </w:rPr>
              <w:t>Cystic fibrosis</w:t>
            </w:r>
          </w:p>
        </w:tc>
      </w:tr>
      <w:tr w:rsidR="00213259" w:rsidRPr="00FE20A5" w14:paraId="5F7F9A95"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DD0116" w14:textId="77777777" w:rsidR="00213259" w:rsidRPr="00167721" w:rsidRDefault="00213259">
            <w:pPr>
              <w:rPr>
                <w:rFonts w:ascii="Arial Narrow" w:hAnsi="Arial Narrow"/>
                <w:i/>
                <w:iCs/>
                <w:sz w:val="20"/>
                <w:szCs w:val="20"/>
              </w:rPr>
            </w:pPr>
            <w:r w:rsidRPr="521BDE2C">
              <w:rPr>
                <w:rFonts w:ascii="Arial Narrow" w:hAnsi="Arial Narrow"/>
                <w:b/>
                <w:bCs/>
                <w:sz w:val="20"/>
                <w:szCs w:val="20"/>
              </w:rPr>
              <w:t>Treatment Phase:</w:t>
            </w:r>
            <w:r w:rsidRPr="521BDE2C">
              <w:rPr>
                <w:rFonts w:ascii="Arial Narrow" w:hAnsi="Arial Narrow"/>
                <w:sz w:val="20"/>
                <w:szCs w:val="20"/>
              </w:rPr>
              <w:t xml:space="preserve"> Initial treatment</w:t>
            </w:r>
            <w:r w:rsidRPr="521BDE2C">
              <w:rPr>
                <w:rFonts w:ascii="Arial Narrow" w:hAnsi="Arial Narrow"/>
                <w:i/>
                <w:iCs/>
                <w:sz w:val="20"/>
                <w:szCs w:val="20"/>
              </w:rPr>
              <w:t>- New Patient (gating mutations)</w:t>
            </w:r>
            <w:r w:rsidRPr="521BDE2C">
              <w:rPr>
                <w:rFonts w:ascii="Arial Narrow" w:hAnsi="Arial Narrow"/>
                <w:sz w:val="20"/>
                <w:szCs w:val="20"/>
              </w:rPr>
              <w:t xml:space="preserve"> </w:t>
            </w:r>
            <w:r w:rsidRPr="00937C87">
              <w:rPr>
                <w:rFonts w:ascii="Arial Narrow" w:hAnsi="Arial Narrow"/>
                <w:strike/>
                <w:sz w:val="20"/>
                <w:szCs w:val="20"/>
              </w:rPr>
              <w:t>/Continuing treatment (</w:t>
            </w:r>
            <w:r w:rsidRPr="00937C87">
              <w:rPr>
                <w:rFonts w:ascii="Arial Narrow" w:hAnsi="Arial Narrow"/>
                <w:i/>
                <w:iCs/>
                <w:strike/>
                <w:sz w:val="20"/>
                <w:szCs w:val="20"/>
              </w:rPr>
              <w:t>gating mutations)</w:t>
            </w:r>
          </w:p>
        </w:tc>
      </w:tr>
      <w:tr w:rsidR="00213259" w:rsidRPr="00FE20A5" w14:paraId="38EF820A"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A5A674" w14:textId="77777777" w:rsidR="00213259" w:rsidRPr="00F57B69" w:rsidRDefault="00213259">
            <w:pPr>
              <w:rPr>
                <w:rFonts w:ascii="Arial Narrow" w:hAnsi="Arial Narrow"/>
                <w:b/>
                <w:bCs/>
                <w:sz w:val="20"/>
                <w:szCs w:val="20"/>
              </w:rPr>
            </w:pPr>
            <w:r w:rsidRPr="00F57B69">
              <w:rPr>
                <w:rFonts w:ascii="Arial Narrow" w:hAnsi="Arial Narrow"/>
                <w:b/>
                <w:bCs/>
                <w:sz w:val="20"/>
                <w:szCs w:val="20"/>
              </w:rPr>
              <w:t>Clinical criteria:</w:t>
            </w:r>
          </w:p>
        </w:tc>
      </w:tr>
      <w:tr w:rsidR="00213259" w:rsidRPr="00FE20A5" w14:paraId="36EED003"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E3598A" w14:textId="77777777" w:rsidR="00213259" w:rsidRPr="00CC0A7A" w:rsidRDefault="00213259">
            <w:pPr>
              <w:rPr>
                <w:rFonts w:ascii="Arial Narrow" w:hAnsi="Arial Narrow"/>
                <w:sz w:val="20"/>
                <w:szCs w:val="20"/>
              </w:rPr>
            </w:pPr>
            <w:r w:rsidRPr="7F77D409">
              <w:rPr>
                <w:rFonts w:ascii="Arial Narrow" w:hAnsi="Arial Narrow"/>
                <w:sz w:val="20"/>
                <w:szCs w:val="20"/>
              </w:rPr>
              <w:t>Patient must be assessed through a cystic fibrosis clinic/centre which is under the control of specialist respiratory physicians with experience and expertise in the management of cystic fibrosis. If attendance at such a unit is not possible because of geographical isolation, management (including prescribing) may be in consultation with such a unit</w:t>
            </w:r>
          </w:p>
        </w:tc>
      </w:tr>
      <w:tr w:rsidR="00213259" w:rsidRPr="00FE20A5" w14:paraId="1822E164"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B5524C" w14:textId="77777777" w:rsidR="00213259" w:rsidRPr="00EF230C" w:rsidRDefault="00213259">
            <w:pPr>
              <w:rPr>
                <w:rFonts w:ascii="Arial Narrow" w:hAnsi="Arial Narrow"/>
                <w:b/>
                <w:bCs/>
                <w:sz w:val="20"/>
                <w:szCs w:val="20"/>
              </w:rPr>
            </w:pPr>
            <w:r w:rsidRPr="00EF230C">
              <w:rPr>
                <w:rFonts w:ascii="Arial Narrow" w:hAnsi="Arial Narrow"/>
                <w:b/>
                <w:bCs/>
                <w:sz w:val="20"/>
                <w:szCs w:val="20"/>
              </w:rPr>
              <w:t>AND</w:t>
            </w:r>
          </w:p>
        </w:tc>
      </w:tr>
      <w:tr w:rsidR="00213259" w:rsidRPr="00FE20A5" w14:paraId="59B09D05"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5A4909" w14:textId="77777777" w:rsidR="00213259" w:rsidRPr="00EF230C" w:rsidRDefault="00213259">
            <w:pPr>
              <w:rPr>
                <w:rFonts w:ascii="Arial Narrow" w:hAnsi="Arial Narrow"/>
                <w:b/>
                <w:bCs/>
                <w:sz w:val="20"/>
                <w:szCs w:val="20"/>
              </w:rPr>
            </w:pPr>
            <w:r w:rsidRPr="00EF230C">
              <w:rPr>
                <w:rFonts w:ascii="Arial Narrow" w:hAnsi="Arial Narrow"/>
                <w:b/>
                <w:bCs/>
                <w:sz w:val="20"/>
                <w:szCs w:val="20"/>
              </w:rPr>
              <w:t>Clinical criteria:</w:t>
            </w:r>
          </w:p>
        </w:tc>
      </w:tr>
      <w:tr w:rsidR="00213259" w:rsidRPr="00FE20A5" w14:paraId="0030F69D"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F73F6B" w14:textId="77777777" w:rsidR="00213259" w:rsidRPr="00CC0A7A" w:rsidRDefault="00213259">
            <w:pPr>
              <w:rPr>
                <w:rFonts w:ascii="Arial Narrow" w:hAnsi="Arial Narrow"/>
                <w:sz w:val="20"/>
                <w:szCs w:val="20"/>
              </w:rPr>
            </w:pPr>
            <w:r w:rsidRPr="00CC0A7A">
              <w:rPr>
                <w:rFonts w:ascii="Arial Narrow" w:hAnsi="Arial Narrow"/>
                <w:sz w:val="20"/>
                <w:szCs w:val="20"/>
              </w:rPr>
              <w:t xml:space="preserve">Patient must have G551D mutation in the cystic fibrosis transmembrane conductance regulator (CFTR) gene on at least 1 allele; </w:t>
            </w:r>
          </w:p>
          <w:p w14:paraId="4D48E2C8" w14:textId="77777777" w:rsidR="00213259" w:rsidRPr="00EF230C" w:rsidRDefault="00213259">
            <w:pPr>
              <w:rPr>
                <w:rFonts w:ascii="Arial Narrow" w:hAnsi="Arial Narrow"/>
                <w:b/>
                <w:bCs/>
                <w:sz w:val="20"/>
                <w:szCs w:val="20"/>
              </w:rPr>
            </w:pPr>
            <w:r w:rsidRPr="00EF230C">
              <w:rPr>
                <w:rFonts w:ascii="Arial Narrow" w:hAnsi="Arial Narrow"/>
                <w:b/>
                <w:bCs/>
                <w:sz w:val="20"/>
                <w:szCs w:val="20"/>
              </w:rPr>
              <w:t>OR</w:t>
            </w:r>
          </w:p>
        </w:tc>
      </w:tr>
      <w:tr w:rsidR="00213259" w:rsidRPr="00FE20A5" w14:paraId="2DD06BD7"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BAD6D5" w14:textId="77777777" w:rsidR="00213259" w:rsidRPr="00CC0A7A" w:rsidRDefault="00213259">
            <w:pPr>
              <w:rPr>
                <w:rFonts w:ascii="Arial Narrow" w:hAnsi="Arial Narrow"/>
                <w:sz w:val="20"/>
                <w:szCs w:val="20"/>
              </w:rPr>
            </w:pPr>
            <w:r w:rsidRPr="00CC0A7A">
              <w:rPr>
                <w:rFonts w:ascii="Arial Narrow" w:hAnsi="Arial Narrow"/>
                <w:sz w:val="20"/>
                <w:szCs w:val="20"/>
              </w:rPr>
              <w:t>Patient must have other gating (class III) mutation in the CFTR gene on at least 1 allele,</w:t>
            </w:r>
          </w:p>
        </w:tc>
      </w:tr>
      <w:tr w:rsidR="00213259" w:rsidRPr="00FE20A5" w14:paraId="63E9CC6E"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62DDF4" w14:textId="77777777" w:rsidR="00213259" w:rsidRPr="000704F2" w:rsidRDefault="00213259">
            <w:pPr>
              <w:rPr>
                <w:rFonts w:ascii="Arial Narrow" w:hAnsi="Arial Narrow"/>
                <w:b/>
                <w:bCs/>
                <w:strike/>
                <w:sz w:val="20"/>
                <w:szCs w:val="20"/>
              </w:rPr>
            </w:pPr>
            <w:r w:rsidRPr="000704F2">
              <w:rPr>
                <w:rFonts w:ascii="Arial Narrow" w:hAnsi="Arial Narrow"/>
                <w:b/>
                <w:bCs/>
                <w:strike/>
                <w:sz w:val="20"/>
                <w:szCs w:val="20"/>
              </w:rPr>
              <w:t>AND</w:t>
            </w:r>
          </w:p>
        </w:tc>
      </w:tr>
      <w:tr w:rsidR="00213259" w:rsidRPr="00FE20A5" w14:paraId="5A9B2886"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31050B" w14:textId="77777777" w:rsidR="00213259" w:rsidRPr="000704F2" w:rsidRDefault="00213259">
            <w:pPr>
              <w:rPr>
                <w:rFonts w:ascii="Arial Narrow" w:hAnsi="Arial Narrow"/>
                <w:b/>
                <w:bCs/>
                <w:strike/>
                <w:sz w:val="20"/>
                <w:szCs w:val="20"/>
              </w:rPr>
            </w:pPr>
            <w:r w:rsidRPr="000704F2">
              <w:rPr>
                <w:rFonts w:ascii="Arial Narrow" w:hAnsi="Arial Narrow"/>
                <w:b/>
                <w:bCs/>
                <w:strike/>
                <w:sz w:val="20"/>
                <w:szCs w:val="20"/>
              </w:rPr>
              <w:lastRenderedPageBreak/>
              <w:t>Clinical criteria:</w:t>
            </w:r>
          </w:p>
        </w:tc>
      </w:tr>
      <w:tr w:rsidR="00213259" w:rsidRPr="00FE20A5" w14:paraId="2C5E72B1"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2479B8" w14:textId="77777777" w:rsidR="00213259" w:rsidRPr="000704F2" w:rsidRDefault="00213259">
            <w:pPr>
              <w:rPr>
                <w:rFonts w:ascii="Arial Narrow" w:hAnsi="Arial Narrow"/>
                <w:strike/>
                <w:sz w:val="20"/>
                <w:szCs w:val="20"/>
              </w:rPr>
            </w:pPr>
            <w:r w:rsidRPr="000704F2">
              <w:rPr>
                <w:rFonts w:ascii="Arial Narrow" w:hAnsi="Arial Narrow"/>
                <w:strike/>
                <w:sz w:val="20"/>
                <w:szCs w:val="20"/>
              </w:rPr>
              <w:t>Patient must not receive more than 24 weeks of treatment under this restriction per authority application.</w:t>
            </w:r>
          </w:p>
        </w:tc>
      </w:tr>
      <w:tr w:rsidR="00213259" w:rsidRPr="00FE20A5" w14:paraId="143DFA0D"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0E5774" w14:textId="77777777" w:rsidR="00213259" w:rsidRPr="003D774A" w:rsidRDefault="00213259">
            <w:pPr>
              <w:rPr>
                <w:rFonts w:ascii="Arial Narrow" w:hAnsi="Arial Narrow"/>
                <w:b/>
                <w:bCs/>
                <w:sz w:val="20"/>
                <w:szCs w:val="20"/>
              </w:rPr>
            </w:pPr>
            <w:r w:rsidRPr="003D774A">
              <w:rPr>
                <w:rFonts w:ascii="Arial Narrow" w:hAnsi="Arial Narrow"/>
                <w:b/>
                <w:bCs/>
                <w:sz w:val="20"/>
                <w:szCs w:val="20"/>
              </w:rPr>
              <w:t>AND</w:t>
            </w:r>
          </w:p>
        </w:tc>
      </w:tr>
      <w:tr w:rsidR="00213259" w:rsidRPr="00FE20A5" w14:paraId="76008F49"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1B1BA6" w14:textId="77777777" w:rsidR="00213259" w:rsidRPr="003D774A" w:rsidRDefault="00213259">
            <w:pPr>
              <w:rPr>
                <w:rFonts w:ascii="Arial Narrow" w:hAnsi="Arial Narrow"/>
                <w:b/>
                <w:bCs/>
                <w:sz w:val="20"/>
                <w:szCs w:val="20"/>
              </w:rPr>
            </w:pPr>
            <w:r w:rsidRPr="003D774A">
              <w:rPr>
                <w:rFonts w:ascii="Arial Narrow" w:hAnsi="Arial Narrow"/>
                <w:b/>
                <w:bCs/>
                <w:sz w:val="20"/>
                <w:szCs w:val="20"/>
              </w:rPr>
              <w:t>Clinical criteria:</w:t>
            </w:r>
          </w:p>
        </w:tc>
      </w:tr>
      <w:tr w:rsidR="00213259" w:rsidRPr="00FE20A5" w14:paraId="634581F3"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A976F6" w14:textId="77777777" w:rsidR="00213259" w:rsidRPr="0088660E" w:rsidRDefault="00213259">
            <w:pPr>
              <w:rPr>
                <w:rFonts w:ascii="Arial Narrow" w:hAnsi="Arial Narrow"/>
                <w:sz w:val="20"/>
                <w:szCs w:val="20"/>
              </w:rPr>
            </w:pPr>
            <w:r w:rsidRPr="0088660E">
              <w:rPr>
                <w:rFonts w:ascii="Arial Narrow" w:hAnsi="Arial Narrow"/>
                <w:sz w:val="20"/>
                <w:szCs w:val="20"/>
              </w:rPr>
              <w:t>The treatment must be given concomitantly with standard therapy for this condition.</w:t>
            </w:r>
          </w:p>
        </w:tc>
      </w:tr>
      <w:tr w:rsidR="00213259" w:rsidRPr="00FE20A5" w14:paraId="4A2D0986"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798696" w14:textId="77777777" w:rsidR="00213259" w:rsidRPr="0088660E" w:rsidRDefault="00213259">
            <w:pPr>
              <w:rPr>
                <w:rFonts w:ascii="Arial Narrow" w:hAnsi="Arial Narrow"/>
                <w:sz w:val="20"/>
                <w:szCs w:val="20"/>
              </w:rPr>
            </w:pPr>
            <w:r w:rsidRPr="003D774A">
              <w:rPr>
                <w:rFonts w:ascii="Arial Narrow" w:hAnsi="Arial Narrow"/>
                <w:b/>
                <w:bCs/>
                <w:sz w:val="20"/>
                <w:szCs w:val="20"/>
              </w:rPr>
              <w:t>AND</w:t>
            </w:r>
          </w:p>
        </w:tc>
      </w:tr>
      <w:tr w:rsidR="00213259" w:rsidRPr="00FE20A5" w14:paraId="178DC2BB" w14:textId="77777777" w:rsidTr="00213259">
        <w:trPr>
          <w:trHeight w:val="300"/>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B6D81E" w14:textId="77777777" w:rsidR="00213259" w:rsidRPr="005721E4" w:rsidRDefault="00213259">
            <w:pPr>
              <w:rPr>
                <w:rFonts w:ascii="Arial Narrow" w:hAnsi="Arial Narrow"/>
                <w:b/>
                <w:bCs/>
                <w:sz w:val="20"/>
                <w:szCs w:val="20"/>
              </w:rPr>
            </w:pPr>
            <w:r w:rsidRPr="005721E4">
              <w:rPr>
                <w:rFonts w:ascii="Arial Narrow" w:hAnsi="Arial Narrow"/>
                <w:b/>
                <w:bCs/>
                <w:sz w:val="20"/>
                <w:szCs w:val="20"/>
              </w:rPr>
              <w:t>Population criteria:</w:t>
            </w:r>
          </w:p>
        </w:tc>
      </w:tr>
      <w:tr w:rsidR="00213259" w:rsidRPr="00FE20A5" w14:paraId="160E6161"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DCA0B6" w14:textId="77777777" w:rsidR="00213259" w:rsidRPr="00CC0A7A" w:rsidRDefault="00213259">
            <w:pPr>
              <w:rPr>
                <w:rFonts w:ascii="Arial Narrow" w:hAnsi="Arial Narrow"/>
                <w:sz w:val="20"/>
                <w:szCs w:val="20"/>
              </w:rPr>
            </w:pPr>
            <w:r w:rsidRPr="2509C368">
              <w:rPr>
                <w:rFonts w:ascii="Arial Narrow" w:hAnsi="Arial Narrow"/>
                <w:sz w:val="20"/>
                <w:szCs w:val="20"/>
              </w:rPr>
              <w:t>Patient must be aged 1 month or older</w:t>
            </w:r>
          </w:p>
        </w:tc>
      </w:tr>
      <w:tr w:rsidR="00213259" w:rsidRPr="00FE20A5" w14:paraId="584E9DD1"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B42079" w14:textId="77777777" w:rsidR="00213259" w:rsidRPr="00CC0A7A" w:rsidRDefault="00213259">
            <w:pPr>
              <w:rPr>
                <w:rFonts w:ascii="Arial Narrow" w:hAnsi="Arial Narrow"/>
                <w:sz w:val="20"/>
                <w:szCs w:val="20"/>
              </w:rPr>
            </w:pPr>
          </w:p>
        </w:tc>
      </w:tr>
      <w:tr w:rsidR="00213259" w:rsidRPr="00FE20A5" w14:paraId="0BA74B36"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33A719" w14:textId="77777777" w:rsidR="00213259" w:rsidRPr="00663FF2" w:rsidRDefault="00213259">
            <w:pPr>
              <w:rPr>
                <w:rFonts w:ascii="Arial Narrow" w:hAnsi="Arial Narrow"/>
                <w:b/>
                <w:bCs/>
                <w:sz w:val="20"/>
                <w:szCs w:val="20"/>
              </w:rPr>
            </w:pPr>
            <w:r>
              <w:rPr>
                <w:rFonts w:ascii="Arial Narrow" w:hAnsi="Arial Narrow"/>
                <w:b/>
                <w:bCs/>
                <w:sz w:val="20"/>
                <w:szCs w:val="20"/>
              </w:rPr>
              <w:t>Prescribing Instructions:</w:t>
            </w:r>
          </w:p>
          <w:p w14:paraId="4B9E1C0F" w14:textId="77777777" w:rsidR="00213259" w:rsidRPr="00CC0A7A" w:rsidRDefault="00213259">
            <w:pPr>
              <w:rPr>
                <w:rFonts w:ascii="Arial Narrow" w:hAnsi="Arial Narrow"/>
                <w:sz w:val="20"/>
                <w:szCs w:val="20"/>
              </w:rPr>
            </w:pPr>
            <w:r w:rsidRPr="00663FF2">
              <w:rPr>
                <w:rFonts w:ascii="Arial Narrow" w:hAnsi="Arial Narrow"/>
                <w:sz w:val="20"/>
                <w:szCs w:val="20"/>
              </w:rPr>
              <w:t>For the purposes of this restriction, the list of mutations considered to be responsive to ivacaftor is defined in the TGA approved Product Information</w:t>
            </w:r>
          </w:p>
        </w:tc>
      </w:tr>
      <w:tr w:rsidR="00213259" w:rsidRPr="00FE20A5" w14:paraId="2A4E38AD"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424357" w14:textId="77777777" w:rsidR="00213259" w:rsidRPr="000D6CFA" w:rsidRDefault="00213259">
            <w:pPr>
              <w:rPr>
                <w:rFonts w:ascii="Arial Narrow" w:hAnsi="Arial Narrow"/>
                <w:b/>
                <w:bCs/>
                <w:sz w:val="20"/>
                <w:szCs w:val="20"/>
              </w:rPr>
            </w:pPr>
            <w:r>
              <w:rPr>
                <w:rFonts w:ascii="Arial Narrow" w:hAnsi="Arial Narrow"/>
                <w:b/>
                <w:bCs/>
                <w:sz w:val="20"/>
                <w:szCs w:val="20"/>
              </w:rPr>
              <w:t>Prescribing Instructions:</w:t>
            </w:r>
          </w:p>
          <w:p w14:paraId="571E2610" w14:textId="77777777" w:rsidR="00213259" w:rsidRDefault="00213259">
            <w:pPr>
              <w:rPr>
                <w:rFonts w:ascii="Arial Narrow" w:hAnsi="Arial Narrow"/>
                <w:sz w:val="20"/>
                <w:szCs w:val="20"/>
              </w:rPr>
            </w:pPr>
            <w:r w:rsidRPr="00CC0A7A">
              <w:rPr>
                <w:rFonts w:ascii="Arial Narrow" w:hAnsi="Arial Narrow"/>
                <w:sz w:val="20"/>
                <w:szCs w:val="20"/>
              </w:rPr>
              <w:t>Dosage of ivacaftor must not exceed the dose of one tablet (150 mg) or one sachet twice a week, if the patient is concomitantly receiving one of the following strong CYP3A4 drugs inhibitors: boceprevir, clarithromycin, conivaptan, indinavir, itraconazole, ketoconazole, lopinavir/ritonavir, mibefradil, nefazodone, nelfinavir, posaconazole, ritonavir, saquinavir, telaprevir, telithromycin, voriconazole. Where a patient is concomitantly receiving a strong CYP3A4 inhibitor, a single supply of 56 tablets or sachets of ivacaftor will last for 28 weeks.</w:t>
            </w:r>
          </w:p>
          <w:p w14:paraId="3AA71C43" w14:textId="77777777" w:rsidR="00213259" w:rsidRDefault="00213259">
            <w:pPr>
              <w:rPr>
                <w:rFonts w:ascii="Arial Narrow" w:hAnsi="Arial Narrow"/>
                <w:sz w:val="20"/>
                <w:szCs w:val="20"/>
              </w:rPr>
            </w:pPr>
          </w:p>
          <w:p w14:paraId="37F4181F" w14:textId="77777777" w:rsidR="00213259" w:rsidRPr="00CC0A7A" w:rsidRDefault="00213259">
            <w:pPr>
              <w:rPr>
                <w:rFonts w:ascii="Arial Narrow" w:hAnsi="Arial Narrow"/>
                <w:sz w:val="20"/>
                <w:szCs w:val="20"/>
              </w:rPr>
            </w:pPr>
            <w:r w:rsidRPr="7F77D409">
              <w:rPr>
                <w:rFonts w:ascii="Arial Narrow" w:hAnsi="Arial Narrow"/>
                <w:sz w:val="20"/>
                <w:szCs w:val="20"/>
              </w:rPr>
              <w:t xml:space="preserve">Dosage of ivacaftor must not exceed the dose of one tablet (150 mg) or one sachet once daily, if the patient is concomitantly receiving one of the following moderate CYP3A4 inhibitors: amprenavir, aprepitant, atazanavir, darunavir/ritonavir, diltiazem, erythromycin, fluconazole, </w:t>
            </w:r>
            <w:proofErr w:type="spellStart"/>
            <w:r w:rsidRPr="7F77D409">
              <w:rPr>
                <w:rFonts w:ascii="Arial Narrow" w:hAnsi="Arial Narrow"/>
                <w:sz w:val="20"/>
                <w:szCs w:val="20"/>
              </w:rPr>
              <w:t>fosamprenavir</w:t>
            </w:r>
            <w:proofErr w:type="spellEnd"/>
            <w:r w:rsidRPr="7F77D409">
              <w:rPr>
                <w:rFonts w:ascii="Arial Narrow" w:hAnsi="Arial Narrow"/>
                <w:sz w:val="20"/>
                <w:szCs w:val="20"/>
              </w:rPr>
              <w:t>, imatinib, verapamil. Where a patient is concomitantly receiving a moderate CYP3A4 inhibitor, a single supply of 56 tablets or sachets of ivacaftor will last for 8 weeks.</w:t>
            </w:r>
          </w:p>
        </w:tc>
      </w:tr>
      <w:tr w:rsidR="00213259" w:rsidRPr="00FE20A5" w14:paraId="5C05ECC5"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18B1FD" w14:textId="77777777" w:rsidR="00213259" w:rsidRPr="000D6CFA" w:rsidRDefault="00213259">
            <w:pPr>
              <w:rPr>
                <w:rFonts w:ascii="Arial Narrow" w:hAnsi="Arial Narrow"/>
                <w:b/>
                <w:bCs/>
                <w:sz w:val="20"/>
                <w:szCs w:val="20"/>
              </w:rPr>
            </w:pPr>
            <w:r>
              <w:rPr>
                <w:rFonts w:ascii="Arial Narrow" w:hAnsi="Arial Narrow"/>
                <w:b/>
                <w:bCs/>
                <w:sz w:val="20"/>
                <w:szCs w:val="20"/>
              </w:rPr>
              <w:t>Prescribing Instructions:</w:t>
            </w:r>
          </w:p>
          <w:p w14:paraId="2C71335E" w14:textId="77777777" w:rsidR="00213259" w:rsidRPr="00CC0A7A" w:rsidRDefault="00213259">
            <w:pPr>
              <w:rPr>
                <w:rFonts w:ascii="Arial Narrow" w:hAnsi="Arial Narrow"/>
                <w:sz w:val="20"/>
                <w:szCs w:val="20"/>
              </w:rPr>
            </w:pPr>
            <w:r w:rsidRPr="00CC0A7A">
              <w:rPr>
                <w:rFonts w:ascii="Arial Narrow" w:hAnsi="Arial Narrow"/>
                <w:sz w:val="20"/>
                <w:szCs w:val="20"/>
              </w:rPr>
              <w:t>Ivacaftor is not PBS-subsidised for this condition as a sole therapy.</w:t>
            </w:r>
          </w:p>
          <w:p w14:paraId="0DCC6BC0" w14:textId="77777777" w:rsidR="00213259" w:rsidRPr="00CC0A7A" w:rsidRDefault="00213259">
            <w:pPr>
              <w:rPr>
                <w:rFonts w:ascii="Arial Narrow" w:hAnsi="Arial Narrow"/>
                <w:sz w:val="20"/>
                <w:szCs w:val="20"/>
              </w:rPr>
            </w:pPr>
            <w:r w:rsidRPr="00CC0A7A">
              <w:rPr>
                <w:rFonts w:ascii="Arial Narrow" w:hAnsi="Arial Narrow"/>
                <w:sz w:val="20"/>
                <w:szCs w:val="20"/>
              </w:rPr>
              <w:t>Ivacaftor is not PBS-subsidised for this condition in a patient who is currently receiving one of the following CYP3A4 inducers:</w:t>
            </w:r>
          </w:p>
          <w:p w14:paraId="764E6CFA" w14:textId="77777777" w:rsidR="00213259" w:rsidRPr="00CC0A7A" w:rsidRDefault="00213259">
            <w:pPr>
              <w:rPr>
                <w:rFonts w:ascii="Arial Narrow" w:hAnsi="Arial Narrow"/>
                <w:sz w:val="20"/>
                <w:szCs w:val="20"/>
              </w:rPr>
            </w:pPr>
            <w:r w:rsidRPr="7F77D409">
              <w:rPr>
                <w:rFonts w:ascii="Arial Narrow" w:hAnsi="Arial Narrow"/>
                <w:sz w:val="20"/>
                <w:szCs w:val="20"/>
              </w:rPr>
              <w:t xml:space="preserve">Strong CYP3A4 inducers: </w:t>
            </w:r>
            <w:proofErr w:type="spellStart"/>
            <w:r w:rsidRPr="7F77D409">
              <w:rPr>
                <w:rFonts w:ascii="Arial Narrow" w:hAnsi="Arial Narrow"/>
                <w:sz w:val="20"/>
                <w:szCs w:val="20"/>
              </w:rPr>
              <w:t>avasimibe</w:t>
            </w:r>
            <w:proofErr w:type="spellEnd"/>
            <w:r w:rsidRPr="7F77D409">
              <w:rPr>
                <w:rFonts w:ascii="Arial Narrow" w:hAnsi="Arial Narrow"/>
                <w:sz w:val="20"/>
                <w:szCs w:val="20"/>
              </w:rPr>
              <w:t>, carbamazepine, phenobarbital, phenytoin, rifabutin, rifampicin, St. John's wort</w:t>
            </w:r>
          </w:p>
          <w:p w14:paraId="39B7B6EB" w14:textId="77777777" w:rsidR="00213259" w:rsidRPr="00CC0A7A" w:rsidRDefault="00213259">
            <w:pPr>
              <w:rPr>
                <w:rFonts w:ascii="Arial Narrow" w:hAnsi="Arial Narrow"/>
                <w:sz w:val="20"/>
                <w:szCs w:val="20"/>
              </w:rPr>
            </w:pPr>
            <w:r w:rsidRPr="7F77D409">
              <w:rPr>
                <w:rFonts w:ascii="Arial Narrow" w:hAnsi="Arial Narrow"/>
                <w:sz w:val="20"/>
                <w:szCs w:val="20"/>
              </w:rPr>
              <w:t xml:space="preserve">Moderate CYP3A4 inducers: </w:t>
            </w:r>
            <w:proofErr w:type="spellStart"/>
            <w:r w:rsidRPr="7F77D409">
              <w:rPr>
                <w:rFonts w:ascii="Arial Narrow" w:hAnsi="Arial Narrow"/>
                <w:sz w:val="20"/>
                <w:szCs w:val="20"/>
              </w:rPr>
              <w:t>bosentan</w:t>
            </w:r>
            <w:proofErr w:type="spellEnd"/>
            <w:r w:rsidRPr="7F77D409">
              <w:rPr>
                <w:rFonts w:ascii="Arial Narrow" w:hAnsi="Arial Narrow"/>
                <w:sz w:val="20"/>
                <w:szCs w:val="20"/>
              </w:rPr>
              <w:t>, efavirenz, etravirine, modafinil, nafcillin</w:t>
            </w:r>
          </w:p>
          <w:p w14:paraId="57F13833" w14:textId="77777777" w:rsidR="00213259" w:rsidRPr="00CC0A7A" w:rsidRDefault="00213259">
            <w:pPr>
              <w:rPr>
                <w:rFonts w:ascii="Arial Narrow" w:hAnsi="Arial Narrow"/>
                <w:sz w:val="20"/>
                <w:szCs w:val="20"/>
              </w:rPr>
            </w:pPr>
            <w:r w:rsidRPr="00CC0A7A">
              <w:rPr>
                <w:rFonts w:ascii="Arial Narrow" w:hAnsi="Arial Narrow"/>
                <w:sz w:val="20"/>
                <w:szCs w:val="20"/>
              </w:rPr>
              <w:t>Weak CYP3A4 inducers: armodafinil, echinacea, pioglitazone, rufinamide.</w:t>
            </w:r>
          </w:p>
        </w:tc>
      </w:tr>
      <w:tr w:rsidR="00213259" w:rsidRPr="00FE20A5" w14:paraId="172E4F86"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0CEFFC" w14:textId="77777777" w:rsidR="00213259" w:rsidRPr="004D0D4F" w:rsidRDefault="00213259">
            <w:pPr>
              <w:rPr>
                <w:rFonts w:ascii="Arial Narrow" w:hAnsi="Arial Narrow"/>
                <w:b/>
                <w:bCs/>
                <w:sz w:val="20"/>
                <w:szCs w:val="20"/>
              </w:rPr>
            </w:pPr>
            <w:r>
              <w:rPr>
                <w:rFonts w:ascii="Arial Narrow" w:hAnsi="Arial Narrow"/>
                <w:b/>
                <w:bCs/>
                <w:sz w:val="20"/>
                <w:szCs w:val="20"/>
              </w:rPr>
              <w:t>Prescribing Instructions:</w:t>
            </w:r>
          </w:p>
          <w:p w14:paraId="235F8811" w14:textId="77777777" w:rsidR="00213259" w:rsidRPr="00CC0A7A" w:rsidRDefault="00213259">
            <w:pPr>
              <w:rPr>
                <w:rFonts w:ascii="Arial Narrow" w:hAnsi="Arial Narrow"/>
                <w:sz w:val="20"/>
                <w:szCs w:val="20"/>
              </w:rPr>
            </w:pPr>
            <w:r w:rsidRPr="00CC0A7A">
              <w:rPr>
                <w:rFonts w:ascii="Arial Narrow" w:hAnsi="Arial Narrow"/>
                <w:sz w:val="20"/>
                <w:szCs w:val="20"/>
              </w:rPr>
              <w:t>The authority application must be in writing and must include:</w:t>
            </w:r>
          </w:p>
          <w:p w14:paraId="22F3AED9" w14:textId="77777777" w:rsidR="00213259" w:rsidRPr="00CC0A7A" w:rsidRDefault="00213259">
            <w:pPr>
              <w:rPr>
                <w:rFonts w:ascii="Arial Narrow" w:hAnsi="Arial Narrow"/>
                <w:sz w:val="20"/>
                <w:szCs w:val="20"/>
              </w:rPr>
            </w:pPr>
            <w:r w:rsidRPr="00CC0A7A">
              <w:rPr>
                <w:rFonts w:ascii="Arial Narrow" w:hAnsi="Arial Narrow"/>
                <w:sz w:val="20"/>
                <w:szCs w:val="20"/>
              </w:rPr>
              <w:t>(1) a completed authority prescription; and</w:t>
            </w:r>
          </w:p>
          <w:p w14:paraId="798776EC" w14:textId="77777777" w:rsidR="00213259" w:rsidRPr="00CC0A7A" w:rsidRDefault="00213259">
            <w:pPr>
              <w:rPr>
                <w:rFonts w:ascii="Arial Narrow" w:hAnsi="Arial Narrow"/>
                <w:sz w:val="20"/>
                <w:szCs w:val="20"/>
              </w:rPr>
            </w:pPr>
            <w:r w:rsidRPr="00CC0A7A">
              <w:rPr>
                <w:rFonts w:ascii="Arial Narrow" w:hAnsi="Arial Narrow"/>
                <w:sz w:val="20"/>
                <w:szCs w:val="20"/>
              </w:rPr>
              <w:t>(2) a completed Cystic Fibrosis Authority Application Supporting Information Form; and</w:t>
            </w:r>
          </w:p>
          <w:p w14:paraId="5CEA2F7F" w14:textId="77777777" w:rsidR="00213259" w:rsidRPr="00CC0A7A" w:rsidRDefault="00213259">
            <w:pPr>
              <w:rPr>
                <w:rFonts w:ascii="Arial Narrow" w:hAnsi="Arial Narrow"/>
                <w:sz w:val="20"/>
                <w:szCs w:val="20"/>
              </w:rPr>
            </w:pPr>
            <w:r w:rsidRPr="7F77D409">
              <w:rPr>
                <w:rFonts w:ascii="Arial Narrow" w:hAnsi="Arial Narrow"/>
                <w:sz w:val="20"/>
                <w:szCs w:val="20"/>
              </w:rPr>
              <w:t xml:space="preserve">(3) details of the pathology report substantiating G551D mutation or other gating (Class III) mutation on the CFTR gene - quote each of the: </w:t>
            </w:r>
            <w:r w:rsidRPr="7F77D409">
              <w:rPr>
                <w:rFonts w:ascii="Arial Narrow" w:hAnsi="Arial Narrow"/>
                <w:i/>
                <w:iCs/>
                <w:sz w:val="20"/>
                <w:szCs w:val="20"/>
              </w:rPr>
              <w:t>(</w:t>
            </w:r>
            <w:proofErr w:type="spellStart"/>
            <w:r w:rsidRPr="7F77D409">
              <w:rPr>
                <w:rFonts w:ascii="Arial Narrow" w:hAnsi="Arial Narrow"/>
                <w:i/>
                <w:iCs/>
                <w:sz w:val="20"/>
                <w:szCs w:val="20"/>
              </w:rPr>
              <w:t>i</w:t>
            </w:r>
            <w:proofErr w:type="spellEnd"/>
            <w:r w:rsidRPr="7F77D409">
              <w:rPr>
                <w:rFonts w:ascii="Arial Narrow" w:hAnsi="Arial Narrow"/>
                <w:i/>
                <w:iCs/>
                <w:sz w:val="20"/>
                <w:szCs w:val="20"/>
              </w:rPr>
              <w:t>) the specific CFTR mutation listed in the TGA approved Product Information,</w:t>
            </w:r>
            <w:r w:rsidRPr="7F77D409">
              <w:rPr>
                <w:rFonts w:ascii="Arial Narrow" w:hAnsi="Arial Narrow"/>
                <w:sz w:val="20"/>
                <w:szCs w:val="20"/>
              </w:rPr>
              <w:t xml:space="preserve"> (ii) name of the pathology report provider, (iii) date of pathology report, (iv) unique identifying number/code that links the pathology result to the individual patient; and</w:t>
            </w:r>
          </w:p>
          <w:p w14:paraId="1F2D0D68" w14:textId="77777777" w:rsidR="00213259" w:rsidRPr="00CC0A7A" w:rsidRDefault="00213259">
            <w:pPr>
              <w:rPr>
                <w:rFonts w:ascii="Arial Narrow" w:hAnsi="Arial Narrow"/>
                <w:sz w:val="20"/>
                <w:szCs w:val="20"/>
              </w:rPr>
            </w:pPr>
            <w:r w:rsidRPr="00CC0A7A">
              <w:rPr>
                <w:rFonts w:ascii="Arial Narrow" w:hAnsi="Arial Narrow"/>
                <w:sz w:val="20"/>
                <w:szCs w:val="20"/>
              </w:rPr>
              <w:t>(4) current CYP3A4 inhibitors, CYP3A4 inducers and IV antibiotics; and</w:t>
            </w:r>
          </w:p>
          <w:p w14:paraId="1E680256" w14:textId="77777777" w:rsidR="00213259" w:rsidRPr="00D44879" w:rsidRDefault="00213259">
            <w:pPr>
              <w:rPr>
                <w:rFonts w:ascii="Arial Narrow" w:hAnsi="Arial Narrow"/>
                <w:strike/>
                <w:sz w:val="20"/>
                <w:szCs w:val="20"/>
              </w:rPr>
            </w:pPr>
            <w:r w:rsidRPr="00D44879">
              <w:rPr>
                <w:rFonts w:ascii="Arial Narrow" w:hAnsi="Arial Narrow"/>
                <w:strike/>
                <w:sz w:val="20"/>
                <w:szCs w:val="20"/>
              </w:rPr>
              <w:t>(5) sweat chloride result.</w:t>
            </w:r>
          </w:p>
        </w:tc>
      </w:tr>
      <w:tr w:rsidR="00213259" w:rsidRPr="00FE20A5" w14:paraId="50493455"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AB2718" w14:textId="77777777" w:rsidR="00213259" w:rsidRPr="0017028E" w:rsidRDefault="00213259">
            <w:pPr>
              <w:rPr>
                <w:rFonts w:ascii="Arial Narrow" w:hAnsi="Arial Narrow"/>
                <w:i/>
                <w:iCs/>
                <w:sz w:val="20"/>
                <w:szCs w:val="20"/>
              </w:rPr>
            </w:pPr>
            <w:r w:rsidRPr="0017028E">
              <w:rPr>
                <w:rFonts w:ascii="Arial Narrow" w:hAnsi="Arial Narrow"/>
                <w:b/>
                <w:bCs/>
                <w:i/>
                <w:iCs/>
                <w:sz w:val="20"/>
                <w:szCs w:val="20"/>
              </w:rPr>
              <w:t>Administrative Advice:</w:t>
            </w:r>
            <w:r w:rsidRPr="0017028E">
              <w:rPr>
                <w:rFonts w:ascii="Arial Narrow" w:hAnsi="Arial Narrow"/>
                <w:i/>
                <w:iCs/>
                <w:sz w:val="20"/>
                <w:szCs w:val="20"/>
              </w:rPr>
              <w:t xml:space="preserve"> </w:t>
            </w:r>
          </w:p>
          <w:p w14:paraId="6C078BF2" w14:textId="77777777" w:rsidR="00213259" w:rsidRPr="0017028E" w:rsidRDefault="00213259">
            <w:pPr>
              <w:rPr>
                <w:rFonts w:ascii="Arial Narrow" w:hAnsi="Arial Narrow"/>
                <w:i/>
                <w:iCs/>
                <w:sz w:val="20"/>
                <w:szCs w:val="20"/>
              </w:rPr>
            </w:pPr>
            <w:r w:rsidRPr="0017028E">
              <w:rPr>
                <w:rFonts w:ascii="Arial Narrow" w:hAnsi="Arial Narrow"/>
                <w:i/>
                <w:iCs/>
                <w:sz w:val="20"/>
                <w:szCs w:val="20"/>
              </w:rPr>
              <w:t>Any queries concerning the arrangements to prescribe may be directed to Services Australia on 1800 700 270 (hours of operation 8 a.m. to 5 p.m. Monday to Friday).</w:t>
            </w:r>
          </w:p>
          <w:p w14:paraId="7890C702" w14:textId="77777777" w:rsidR="00213259" w:rsidRPr="0017028E" w:rsidRDefault="00213259">
            <w:pPr>
              <w:rPr>
                <w:rFonts w:ascii="Arial Narrow" w:hAnsi="Arial Narrow"/>
                <w:i/>
                <w:iCs/>
                <w:sz w:val="20"/>
                <w:szCs w:val="20"/>
              </w:rPr>
            </w:pPr>
            <w:r w:rsidRPr="0017028E">
              <w:rPr>
                <w:rFonts w:ascii="Arial Narrow" w:hAnsi="Arial Narrow"/>
                <w:i/>
                <w:iCs/>
                <w:sz w:val="20"/>
                <w:szCs w:val="20"/>
              </w:rPr>
              <w:t>Prescribing information (including Authority Application forms and other relevant documentation as applicable) is available on the Services Australia website at www.servicesaustralia.gov.au</w:t>
            </w:r>
          </w:p>
          <w:p w14:paraId="652FA0EB" w14:textId="77777777" w:rsidR="00213259" w:rsidRPr="0017028E" w:rsidRDefault="00213259">
            <w:pPr>
              <w:rPr>
                <w:rFonts w:ascii="Arial Narrow" w:hAnsi="Arial Narrow"/>
                <w:i/>
                <w:iCs/>
                <w:sz w:val="20"/>
                <w:szCs w:val="20"/>
              </w:rPr>
            </w:pPr>
            <w:r w:rsidRPr="7F77D409">
              <w:rPr>
                <w:rFonts w:ascii="Arial Narrow" w:hAnsi="Arial Narrow"/>
                <w:i/>
                <w:iCs/>
                <w:sz w:val="20"/>
                <w:szCs w:val="20"/>
              </w:rPr>
              <w:t>Applications for authority to prescribe should be submitted online using the form upload facility in Health Professional Online Services (HPOS) at www.servicesaustralia.gov.au/hpos</w:t>
            </w:r>
          </w:p>
          <w:p w14:paraId="6F3D47B0" w14:textId="77777777" w:rsidR="00213259" w:rsidRPr="0017028E" w:rsidRDefault="00213259">
            <w:pPr>
              <w:rPr>
                <w:rFonts w:ascii="Arial Narrow" w:hAnsi="Arial Narrow"/>
                <w:i/>
                <w:iCs/>
                <w:sz w:val="20"/>
                <w:szCs w:val="20"/>
              </w:rPr>
            </w:pPr>
            <w:r w:rsidRPr="0017028E">
              <w:rPr>
                <w:rFonts w:ascii="Arial Narrow" w:hAnsi="Arial Narrow"/>
                <w:i/>
                <w:iCs/>
                <w:sz w:val="20"/>
                <w:szCs w:val="20"/>
              </w:rPr>
              <w:t>Or mailed to:</w:t>
            </w:r>
          </w:p>
          <w:p w14:paraId="1CF40F7E" w14:textId="77777777" w:rsidR="00213259" w:rsidRPr="0017028E" w:rsidRDefault="00213259">
            <w:pPr>
              <w:rPr>
                <w:rFonts w:ascii="Arial Narrow" w:hAnsi="Arial Narrow"/>
                <w:i/>
                <w:iCs/>
                <w:sz w:val="20"/>
                <w:szCs w:val="20"/>
              </w:rPr>
            </w:pPr>
            <w:r w:rsidRPr="0017028E">
              <w:rPr>
                <w:rFonts w:ascii="Arial Narrow" w:hAnsi="Arial Narrow"/>
                <w:i/>
                <w:iCs/>
                <w:sz w:val="20"/>
                <w:szCs w:val="20"/>
              </w:rPr>
              <w:t>Services Australia</w:t>
            </w:r>
          </w:p>
          <w:p w14:paraId="5A03259F" w14:textId="77777777" w:rsidR="00213259" w:rsidRPr="0017028E" w:rsidRDefault="00213259">
            <w:pPr>
              <w:rPr>
                <w:rFonts w:ascii="Arial Narrow" w:hAnsi="Arial Narrow"/>
                <w:i/>
                <w:iCs/>
                <w:sz w:val="20"/>
                <w:szCs w:val="20"/>
              </w:rPr>
            </w:pPr>
            <w:r w:rsidRPr="0017028E">
              <w:rPr>
                <w:rFonts w:ascii="Arial Narrow" w:hAnsi="Arial Narrow"/>
                <w:i/>
                <w:iCs/>
                <w:sz w:val="20"/>
                <w:szCs w:val="20"/>
              </w:rPr>
              <w:t>Complex Drugs</w:t>
            </w:r>
          </w:p>
          <w:p w14:paraId="45C71E3A" w14:textId="77777777" w:rsidR="00213259" w:rsidRPr="0017028E" w:rsidRDefault="00213259">
            <w:pPr>
              <w:rPr>
                <w:rFonts w:ascii="Arial Narrow" w:hAnsi="Arial Narrow"/>
                <w:i/>
                <w:iCs/>
                <w:sz w:val="20"/>
                <w:szCs w:val="20"/>
              </w:rPr>
            </w:pPr>
            <w:r w:rsidRPr="0017028E">
              <w:rPr>
                <w:rFonts w:ascii="Arial Narrow" w:hAnsi="Arial Narrow"/>
                <w:i/>
                <w:iCs/>
                <w:sz w:val="20"/>
                <w:szCs w:val="20"/>
              </w:rPr>
              <w:t>Reply Paid 9826</w:t>
            </w:r>
          </w:p>
          <w:p w14:paraId="02DF6C45" w14:textId="77777777" w:rsidR="00213259" w:rsidRPr="00563BB3" w:rsidRDefault="00213259">
            <w:pPr>
              <w:rPr>
                <w:rFonts w:ascii="Arial Narrow" w:hAnsi="Arial Narrow"/>
                <w:b/>
                <w:bCs/>
                <w:sz w:val="20"/>
                <w:szCs w:val="20"/>
              </w:rPr>
            </w:pPr>
            <w:r w:rsidRPr="0017028E">
              <w:rPr>
                <w:rFonts w:ascii="Arial Narrow" w:hAnsi="Arial Narrow"/>
                <w:i/>
                <w:iCs/>
                <w:sz w:val="20"/>
                <w:szCs w:val="20"/>
              </w:rPr>
              <w:t>HOBART TAS 7001</w:t>
            </w:r>
          </w:p>
        </w:tc>
      </w:tr>
      <w:tr w:rsidR="00213259" w:rsidRPr="00FE20A5" w14:paraId="3A2D60F2"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502296" w14:textId="77777777" w:rsidR="00213259" w:rsidRPr="0017028E" w:rsidRDefault="00213259">
            <w:pPr>
              <w:rPr>
                <w:rFonts w:ascii="Arial Narrow" w:hAnsi="Arial Narrow"/>
                <w:b/>
                <w:bCs/>
                <w:i/>
                <w:iCs/>
                <w:sz w:val="20"/>
                <w:szCs w:val="20"/>
              </w:rPr>
            </w:pPr>
            <w:r w:rsidRPr="0017028E">
              <w:rPr>
                <w:rFonts w:ascii="Arial Narrow" w:hAnsi="Arial Narrow"/>
                <w:b/>
                <w:bCs/>
                <w:i/>
                <w:iCs/>
                <w:sz w:val="20"/>
                <w:szCs w:val="20"/>
              </w:rPr>
              <w:t>Administrative Advice:</w:t>
            </w:r>
          </w:p>
          <w:p w14:paraId="314B8B57" w14:textId="77777777" w:rsidR="00213259" w:rsidRPr="00563BB3" w:rsidRDefault="00213259">
            <w:pPr>
              <w:rPr>
                <w:rFonts w:ascii="Arial Narrow" w:hAnsi="Arial Narrow"/>
                <w:b/>
                <w:bCs/>
                <w:sz w:val="20"/>
                <w:szCs w:val="20"/>
              </w:rPr>
            </w:pPr>
            <w:r w:rsidRPr="0017028E">
              <w:rPr>
                <w:rFonts w:ascii="Arial Narrow" w:hAnsi="Arial Narrow"/>
                <w:i/>
                <w:iCs/>
                <w:sz w:val="20"/>
                <w:szCs w:val="20"/>
              </w:rPr>
              <w:lastRenderedPageBreak/>
              <w:t>No increase in the maximum number of repeats may be authorised.</w:t>
            </w:r>
          </w:p>
        </w:tc>
      </w:tr>
      <w:tr w:rsidR="00213259" w:rsidRPr="00FE20A5" w14:paraId="14AF9843"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B2BC92" w14:textId="77777777" w:rsidR="00213259" w:rsidRPr="00A7396A" w:rsidRDefault="00213259">
            <w:pPr>
              <w:rPr>
                <w:rFonts w:ascii="Arial Narrow" w:hAnsi="Arial Narrow"/>
                <w:b/>
                <w:bCs/>
                <w:sz w:val="20"/>
                <w:szCs w:val="20"/>
              </w:rPr>
            </w:pPr>
            <w:r w:rsidRPr="00A7396A">
              <w:rPr>
                <w:rFonts w:ascii="Arial Narrow" w:hAnsi="Arial Narrow"/>
                <w:b/>
                <w:bCs/>
                <w:sz w:val="20"/>
                <w:szCs w:val="20"/>
              </w:rPr>
              <w:lastRenderedPageBreak/>
              <w:t>Administrative Advice:</w:t>
            </w:r>
          </w:p>
          <w:p w14:paraId="27F8F3D9" w14:textId="77777777" w:rsidR="00213259" w:rsidRPr="00A7396A" w:rsidRDefault="00213259">
            <w:pPr>
              <w:rPr>
                <w:rFonts w:ascii="Arial Narrow" w:hAnsi="Arial Narrow"/>
                <w:i/>
                <w:iCs/>
                <w:sz w:val="20"/>
                <w:szCs w:val="20"/>
              </w:rPr>
            </w:pPr>
            <w:r w:rsidRPr="00A7396A">
              <w:rPr>
                <w:rFonts w:ascii="Arial Narrow" w:hAnsi="Arial Narrow"/>
                <w:i/>
                <w:iCs/>
                <w:sz w:val="20"/>
                <w:szCs w:val="20"/>
              </w:rPr>
              <w:t>Special Pricing Arrangements apply.</w:t>
            </w:r>
          </w:p>
        </w:tc>
      </w:tr>
      <w:tr w:rsidR="00213259" w:rsidRPr="00FE20A5" w14:paraId="386C2D12"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25927F" w14:textId="77777777" w:rsidR="00213259" w:rsidRPr="009A1E1A" w:rsidRDefault="00213259">
            <w:pPr>
              <w:rPr>
                <w:rFonts w:ascii="Arial Narrow" w:hAnsi="Arial Narrow"/>
                <w:b/>
                <w:bCs/>
                <w:sz w:val="20"/>
                <w:szCs w:val="20"/>
              </w:rPr>
            </w:pPr>
            <w:r w:rsidRPr="009A1E1A">
              <w:rPr>
                <w:rFonts w:ascii="Arial Narrow" w:hAnsi="Arial Narrow"/>
                <w:b/>
                <w:bCs/>
                <w:sz w:val="20"/>
                <w:szCs w:val="20"/>
              </w:rPr>
              <w:t>Administrative Advice:</w:t>
            </w:r>
          </w:p>
          <w:p w14:paraId="4571C3AA" w14:textId="77777777" w:rsidR="00213259" w:rsidRPr="00A7396A" w:rsidRDefault="00213259">
            <w:pPr>
              <w:rPr>
                <w:rFonts w:ascii="Arial Narrow" w:hAnsi="Arial Narrow"/>
                <w:b/>
                <w:bCs/>
                <w:sz w:val="20"/>
                <w:szCs w:val="20"/>
              </w:rPr>
            </w:pPr>
            <w:r w:rsidRPr="2180C922">
              <w:rPr>
                <w:rFonts w:ascii="Arial Narrow" w:hAnsi="Arial Narrow"/>
                <w:i/>
                <w:iCs/>
                <w:sz w:val="20"/>
                <w:szCs w:val="20"/>
              </w:rPr>
              <w:t>For the purposes of this restriction, the list of gating mutations are: G551D, G1244E, G1349D, G178R, G551S, S1251N, S1255P, S549N or S549R.</w:t>
            </w:r>
          </w:p>
        </w:tc>
      </w:tr>
      <w:tr w:rsidR="00213259" w:rsidRPr="00FE20A5" w14:paraId="2682EF48"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6F9A64" w14:textId="77777777" w:rsidR="00213259" w:rsidRPr="00A7396A" w:rsidRDefault="00213259">
            <w:pPr>
              <w:rPr>
                <w:rFonts w:ascii="Arial Narrow" w:hAnsi="Arial Narrow"/>
                <w:b/>
                <w:bCs/>
                <w:sz w:val="20"/>
                <w:szCs w:val="20"/>
              </w:rPr>
            </w:pPr>
          </w:p>
        </w:tc>
      </w:tr>
    </w:tbl>
    <w:p w14:paraId="082267DD" w14:textId="77777777" w:rsidR="00F769D2" w:rsidRDefault="00F769D2" w:rsidP="00F769D2">
      <w:pPr>
        <w:rPr>
          <w:b/>
        </w:rPr>
      </w:pPr>
    </w:p>
    <w:p w14:paraId="2AF7406F" w14:textId="52521592" w:rsidR="00F769D2" w:rsidRDefault="00F769D2" w:rsidP="00F769D2">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1" w:type="dxa"/>
          <w:bottom w:w="11" w:type="dxa"/>
          <w:right w:w="11" w:type="dxa"/>
        </w:tblCellMar>
        <w:tblLook w:val="04A0" w:firstRow="1" w:lastRow="0" w:firstColumn="1" w:lastColumn="0" w:noHBand="0" w:noVBand="1"/>
      </w:tblPr>
      <w:tblGrid>
        <w:gridCol w:w="9017"/>
      </w:tblGrid>
      <w:tr w:rsidR="00213259" w:rsidRPr="00FE20A5" w14:paraId="7037A956"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97F3597" w14:textId="77777777" w:rsidR="00213259" w:rsidRPr="00CC0A7A" w:rsidRDefault="00213259">
            <w:pPr>
              <w:rPr>
                <w:rFonts w:ascii="Arial Narrow" w:hAnsi="Arial Narrow"/>
                <w:sz w:val="20"/>
                <w:szCs w:val="20"/>
              </w:rPr>
            </w:pPr>
            <w:r w:rsidRPr="00CC0A7A">
              <w:rPr>
                <w:rFonts w:ascii="Arial Narrow" w:hAnsi="Arial Narrow"/>
                <w:sz w:val="20"/>
                <w:szCs w:val="20"/>
              </w:rPr>
              <w:t xml:space="preserve">Category / Program: Section 100 – Highly Specialised Drugs Program </w:t>
            </w:r>
          </w:p>
        </w:tc>
      </w:tr>
      <w:tr w:rsidR="00213259" w:rsidRPr="00FE20A5" w14:paraId="75971444"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193FE7F" w14:textId="77777777" w:rsidR="00213259" w:rsidRPr="00CC0A7A" w:rsidRDefault="00213259">
            <w:pPr>
              <w:rPr>
                <w:rFonts w:ascii="Arial Narrow" w:hAnsi="Arial Narrow"/>
                <w:sz w:val="20"/>
                <w:szCs w:val="20"/>
              </w:rPr>
            </w:pPr>
            <w:r w:rsidRPr="00CC0A7A">
              <w:rPr>
                <w:rFonts w:ascii="Arial Narrow" w:hAnsi="Arial Narrow"/>
                <w:sz w:val="20"/>
                <w:szCs w:val="20"/>
              </w:rPr>
              <w:t xml:space="preserve">Prescriber type: </w:t>
            </w:r>
            <w:r w:rsidRPr="00CC0A7A">
              <w:rPr>
                <w:rFonts w:ascii="Arial Narrow" w:hAnsi="Arial Narrow"/>
                <w:sz w:val="20"/>
                <w:szCs w:val="20"/>
              </w:rPr>
              <w:fldChar w:fldCharType="begin" w:fldLock="1">
                <w:ffData>
                  <w:name w:val=""/>
                  <w:enabled/>
                  <w:calcOnExit w:val="0"/>
                  <w:checkBox>
                    <w:sizeAuto/>
                    <w:default w:val="1"/>
                  </w:checkBox>
                </w:ffData>
              </w:fldChar>
            </w:r>
            <w:r w:rsidRPr="00CC0A7A">
              <w:rPr>
                <w:rFonts w:ascii="Arial Narrow" w:hAnsi="Arial Narrow"/>
                <w:sz w:val="20"/>
                <w:szCs w:val="20"/>
              </w:rPr>
              <w:instrText xml:space="preserve"> FORMCHECKBOX </w:instrText>
            </w:r>
            <w:r w:rsidRPr="00CC0A7A">
              <w:rPr>
                <w:rFonts w:ascii="Arial Narrow" w:hAnsi="Arial Narrow"/>
                <w:sz w:val="20"/>
                <w:szCs w:val="20"/>
              </w:rPr>
            </w:r>
            <w:r w:rsidRPr="00CC0A7A">
              <w:rPr>
                <w:rFonts w:ascii="Arial Narrow" w:hAnsi="Arial Narrow"/>
                <w:sz w:val="20"/>
                <w:szCs w:val="20"/>
              </w:rPr>
              <w:fldChar w:fldCharType="separate"/>
            </w:r>
            <w:r w:rsidRPr="00CC0A7A">
              <w:rPr>
                <w:rFonts w:ascii="Arial Narrow" w:hAnsi="Arial Narrow"/>
                <w:sz w:val="20"/>
                <w:szCs w:val="20"/>
              </w:rPr>
              <w:fldChar w:fldCharType="end"/>
            </w:r>
            <w:r w:rsidRPr="00CC0A7A">
              <w:rPr>
                <w:rFonts w:ascii="Arial Narrow" w:hAnsi="Arial Narrow"/>
                <w:sz w:val="20"/>
                <w:szCs w:val="20"/>
              </w:rPr>
              <w:t xml:space="preserve">Medical Practitioners </w:t>
            </w:r>
          </w:p>
        </w:tc>
      </w:tr>
      <w:tr w:rsidR="00213259" w:rsidRPr="00FE20A5" w14:paraId="0106CE08"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35B8FF" w14:textId="77777777" w:rsidR="00213259" w:rsidRPr="00CC0A7A" w:rsidRDefault="00213259">
            <w:pPr>
              <w:rPr>
                <w:rFonts w:ascii="Arial Narrow" w:hAnsi="Arial Narrow"/>
                <w:sz w:val="20"/>
                <w:szCs w:val="20"/>
              </w:rPr>
            </w:pPr>
            <w:r w:rsidRPr="00CC0A7A">
              <w:rPr>
                <w:rFonts w:ascii="Arial Narrow" w:hAnsi="Arial Narrow"/>
                <w:sz w:val="20"/>
                <w:szCs w:val="20"/>
              </w:rPr>
              <w:t xml:space="preserve">Restriction Type – </w:t>
            </w:r>
            <w:r w:rsidRPr="00CC0A7A">
              <w:rPr>
                <w:rFonts w:ascii="Arial Narrow" w:hAnsi="Arial Narrow"/>
                <w:sz w:val="20"/>
                <w:szCs w:val="20"/>
              </w:rPr>
              <w:fldChar w:fldCharType="begin" w:fldLock="1">
                <w:ffData>
                  <w:name w:val=""/>
                  <w:enabled/>
                  <w:calcOnExit w:val="0"/>
                  <w:checkBox>
                    <w:sizeAuto/>
                    <w:default w:val="1"/>
                  </w:checkBox>
                </w:ffData>
              </w:fldChar>
            </w:r>
            <w:r w:rsidRPr="00CC0A7A">
              <w:rPr>
                <w:rFonts w:ascii="Arial Narrow" w:hAnsi="Arial Narrow"/>
                <w:sz w:val="20"/>
                <w:szCs w:val="20"/>
              </w:rPr>
              <w:instrText xml:space="preserve"> FORMCHECKBOX </w:instrText>
            </w:r>
            <w:r w:rsidRPr="00CC0A7A">
              <w:rPr>
                <w:rFonts w:ascii="Arial Narrow" w:hAnsi="Arial Narrow"/>
                <w:sz w:val="20"/>
                <w:szCs w:val="20"/>
              </w:rPr>
            </w:r>
            <w:r w:rsidRPr="00CC0A7A">
              <w:rPr>
                <w:rFonts w:ascii="Arial Narrow" w:hAnsi="Arial Narrow"/>
                <w:sz w:val="20"/>
                <w:szCs w:val="20"/>
              </w:rPr>
              <w:fldChar w:fldCharType="separate"/>
            </w:r>
            <w:r w:rsidRPr="00CC0A7A">
              <w:rPr>
                <w:rFonts w:ascii="Arial Narrow" w:hAnsi="Arial Narrow"/>
                <w:sz w:val="20"/>
                <w:szCs w:val="20"/>
              </w:rPr>
              <w:fldChar w:fldCharType="end"/>
            </w:r>
            <w:r w:rsidRPr="00CC0A7A">
              <w:rPr>
                <w:rFonts w:ascii="Arial Narrow" w:hAnsi="Arial Narrow"/>
                <w:sz w:val="20"/>
                <w:szCs w:val="20"/>
              </w:rPr>
              <w:t xml:space="preserve">Authority Required – non-immediate/delayed assessment by Services Australia </w:t>
            </w:r>
          </w:p>
        </w:tc>
      </w:tr>
      <w:tr w:rsidR="00213259" w:rsidRPr="00FE20A5" w14:paraId="094289F3"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D12344" w14:textId="77777777" w:rsidR="00213259" w:rsidRPr="0017028E" w:rsidRDefault="00213259">
            <w:pPr>
              <w:rPr>
                <w:rFonts w:ascii="Arial Narrow" w:hAnsi="Arial Narrow"/>
                <w:i/>
                <w:iCs/>
                <w:sz w:val="20"/>
                <w:szCs w:val="20"/>
              </w:rPr>
            </w:pPr>
            <w:r>
              <w:rPr>
                <w:rFonts w:ascii="Arial Narrow" w:hAnsi="Arial Narrow"/>
                <w:b/>
                <w:sz w:val="20"/>
                <w:szCs w:val="20"/>
              </w:rPr>
              <w:t xml:space="preserve">Authority type: </w:t>
            </w:r>
            <w:r>
              <w:rPr>
                <w:rFonts w:ascii="Arial Narrow" w:eastAsia="Calibri" w:hAnsi="Arial Narrow"/>
                <w:sz w:val="20"/>
                <w:szCs w:val="20"/>
              </w:rPr>
              <w:fldChar w:fldCharType="begin" w:fldLock="1">
                <w:ffData>
                  <w:name w:val=""/>
                  <w:enabled/>
                  <w:calcOnExit w:val="0"/>
                  <w:checkBox>
                    <w:sizeAuto/>
                    <w:default w:val="1"/>
                  </w:checkBox>
                </w:ffData>
              </w:fldChar>
            </w:r>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r>
              <w:rPr>
                <w:rFonts w:ascii="Arial Narrow" w:eastAsia="Calibri" w:hAnsi="Arial Narrow"/>
                <w:sz w:val="20"/>
                <w:szCs w:val="20"/>
              </w:rPr>
              <w:t xml:space="preserve"> Complex Authority Required (CAR)</w:t>
            </w:r>
          </w:p>
        </w:tc>
      </w:tr>
      <w:tr w:rsidR="00213259" w:rsidRPr="00FE20A5" w14:paraId="261024DD"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C03723" w14:textId="77777777" w:rsidR="00213259" w:rsidRPr="00484A3A" w:rsidRDefault="00213259">
            <w:pPr>
              <w:rPr>
                <w:rFonts w:ascii="Arial Narrow" w:hAnsi="Arial Narrow"/>
                <w:b/>
                <w:bCs/>
                <w:i/>
                <w:iCs/>
                <w:sz w:val="20"/>
                <w:szCs w:val="20"/>
              </w:rPr>
            </w:pPr>
            <w:r>
              <w:rPr>
                <w:rFonts w:ascii="Arial Narrow" w:hAnsi="Arial Narrow"/>
                <w:b/>
                <w:bCs/>
                <w:i/>
                <w:iCs/>
                <w:sz w:val="20"/>
                <w:szCs w:val="20"/>
              </w:rPr>
              <w:t xml:space="preserve">Indication: </w:t>
            </w:r>
            <w:r w:rsidRPr="00585DDB">
              <w:rPr>
                <w:rFonts w:ascii="Arial Narrow" w:hAnsi="Arial Narrow"/>
                <w:i/>
                <w:iCs/>
                <w:sz w:val="20"/>
                <w:szCs w:val="20"/>
              </w:rPr>
              <w:t>Cystic fibrosis</w:t>
            </w:r>
          </w:p>
        </w:tc>
      </w:tr>
      <w:tr w:rsidR="00213259" w:rsidRPr="00FE20A5" w14:paraId="63AAEC36"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5F4A1B" w14:textId="77777777" w:rsidR="00213259" w:rsidRPr="00167721" w:rsidRDefault="00213259">
            <w:pPr>
              <w:rPr>
                <w:rFonts w:ascii="Arial Narrow" w:hAnsi="Arial Narrow"/>
                <w:i/>
                <w:iCs/>
                <w:sz w:val="20"/>
                <w:szCs w:val="20"/>
              </w:rPr>
            </w:pPr>
            <w:r w:rsidRPr="7F77D409">
              <w:rPr>
                <w:rFonts w:ascii="Arial Narrow" w:hAnsi="Arial Narrow"/>
                <w:b/>
                <w:bCs/>
                <w:sz w:val="20"/>
                <w:szCs w:val="20"/>
              </w:rPr>
              <w:t>Treatment Phase:</w:t>
            </w:r>
            <w:r w:rsidRPr="7F77D409">
              <w:rPr>
                <w:rFonts w:ascii="Arial Narrow" w:hAnsi="Arial Narrow"/>
                <w:sz w:val="20"/>
                <w:szCs w:val="20"/>
              </w:rPr>
              <w:t xml:space="preserve"> Initial treatment </w:t>
            </w:r>
            <w:r w:rsidRPr="7F77D409">
              <w:rPr>
                <w:rFonts w:ascii="Arial Narrow" w:hAnsi="Arial Narrow"/>
                <w:strike/>
                <w:sz w:val="20"/>
                <w:szCs w:val="20"/>
              </w:rPr>
              <w:t>/Continuing treatment</w:t>
            </w:r>
            <w:r w:rsidRPr="7F77D409">
              <w:rPr>
                <w:rFonts w:ascii="Arial Narrow" w:hAnsi="Arial Narrow"/>
                <w:sz w:val="20"/>
                <w:szCs w:val="20"/>
              </w:rPr>
              <w:t xml:space="preserve"> </w:t>
            </w:r>
            <w:r w:rsidRPr="7F77D409">
              <w:rPr>
                <w:rFonts w:ascii="Arial Narrow" w:hAnsi="Arial Narrow"/>
                <w:i/>
                <w:iCs/>
                <w:sz w:val="20"/>
                <w:szCs w:val="20"/>
              </w:rPr>
              <w:t>- New patient (non-gating mutations)</w:t>
            </w:r>
          </w:p>
        </w:tc>
      </w:tr>
      <w:tr w:rsidR="00213259" w:rsidRPr="00FE20A5" w14:paraId="420E1EAF"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6796BA" w14:textId="77777777" w:rsidR="00213259" w:rsidRPr="00F57B69" w:rsidRDefault="00213259">
            <w:pPr>
              <w:rPr>
                <w:rFonts w:ascii="Arial Narrow" w:hAnsi="Arial Narrow"/>
                <w:b/>
                <w:bCs/>
                <w:sz w:val="20"/>
                <w:szCs w:val="20"/>
              </w:rPr>
            </w:pPr>
            <w:r w:rsidRPr="00F57B69">
              <w:rPr>
                <w:rFonts w:ascii="Arial Narrow" w:hAnsi="Arial Narrow"/>
                <w:b/>
                <w:bCs/>
                <w:sz w:val="20"/>
                <w:szCs w:val="20"/>
              </w:rPr>
              <w:t>Clinical criteria:</w:t>
            </w:r>
          </w:p>
        </w:tc>
      </w:tr>
      <w:tr w:rsidR="00213259" w:rsidRPr="00FE20A5" w14:paraId="12E9F5BE"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791365" w14:textId="77777777" w:rsidR="00213259" w:rsidRPr="00CC0A7A" w:rsidRDefault="00213259">
            <w:pPr>
              <w:rPr>
                <w:rFonts w:ascii="Arial Narrow" w:hAnsi="Arial Narrow"/>
                <w:sz w:val="20"/>
                <w:szCs w:val="20"/>
              </w:rPr>
            </w:pPr>
            <w:r w:rsidRPr="7F77D409">
              <w:rPr>
                <w:rFonts w:ascii="Arial Narrow" w:hAnsi="Arial Narrow"/>
                <w:sz w:val="20"/>
                <w:szCs w:val="20"/>
              </w:rPr>
              <w:t>Patient must be assessed through a cystic fibrosis clinic/centre which is under the control of specialist respiratory physicians with experience and expertise in the management of cystic fibrosis. If attendance at such a unit is not possible because of geographical isolation, management (including prescribing) may be in consultation with such a unit</w:t>
            </w:r>
          </w:p>
        </w:tc>
      </w:tr>
      <w:tr w:rsidR="00213259" w:rsidRPr="00FE20A5" w14:paraId="5595E24F"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C7DDD3" w14:textId="77777777" w:rsidR="00213259" w:rsidRPr="00EF230C" w:rsidRDefault="00213259">
            <w:pPr>
              <w:rPr>
                <w:rFonts w:ascii="Arial Narrow" w:hAnsi="Arial Narrow"/>
                <w:b/>
                <w:bCs/>
                <w:sz w:val="20"/>
                <w:szCs w:val="20"/>
              </w:rPr>
            </w:pPr>
            <w:r w:rsidRPr="00EF230C">
              <w:rPr>
                <w:rFonts w:ascii="Arial Narrow" w:hAnsi="Arial Narrow"/>
                <w:b/>
                <w:bCs/>
                <w:sz w:val="20"/>
                <w:szCs w:val="20"/>
              </w:rPr>
              <w:t>AND</w:t>
            </w:r>
          </w:p>
        </w:tc>
      </w:tr>
      <w:tr w:rsidR="00213259" w:rsidRPr="00FE20A5" w14:paraId="76F615C3"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C18ACA" w14:textId="77777777" w:rsidR="00213259" w:rsidRPr="00EF230C" w:rsidRDefault="00213259">
            <w:pPr>
              <w:rPr>
                <w:rFonts w:ascii="Arial Narrow" w:hAnsi="Arial Narrow"/>
                <w:b/>
                <w:bCs/>
                <w:sz w:val="20"/>
                <w:szCs w:val="20"/>
              </w:rPr>
            </w:pPr>
            <w:r w:rsidRPr="00F57B69">
              <w:rPr>
                <w:rFonts w:ascii="Arial Narrow" w:hAnsi="Arial Narrow"/>
                <w:b/>
                <w:bCs/>
                <w:sz w:val="20"/>
                <w:szCs w:val="20"/>
              </w:rPr>
              <w:t>Clinical criteria:</w:t>
            </w:r>
          </w:p>
        </w:tc>
      </w:tr>
      <w:tr w:rsidR="00213259" w:rsidRPr="00FE20A5" w14:paraId="010C13DB"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53EF31" w14:textId="77777777" w:rsidR="00213259" w:rsidRPr="00BB06AA" w:rsidRDefault="00213259">
            <w:pPr>
              <w:rPr>
                <w:rFonts w:ascii="Arial Narrow" w:hAnsi="Arial Narrow"/>
                <w:sz w:val="20"/>
                <w:szCs w:val="20"/>
              </w:rPr>
            </w:pPr>
            <w:r w:rsidRPr="00BB06AA">
              <w:rPr>
                <w:rFonts w:ascii="Arial Narrow" w:hAnsi="Arial Narrow"/>
                <w:sz w:val="20"/>
                <w:szCs w:val="20"/>
              </w:rPr>
              <w:t>Patient must have at least one mutation in the CFTR gene that is responsive to ivacaftor potentiation based on clinical and/or in vitro assay data</w:t>
            </w:r>
          </w:p>
        </w:tc>
      </w:tr>
      <w:tr w:rsidR="00213259" w:rsidRPr="00FE20A5" w14:paraId="3C45EB36"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E8FD30" w14:textId="77777777" w:rsidR="00213259" w:rsidRPr="00EF230C" w:rsidRDefault="00213259">
            <w:pPr>
              <w:rPr>
                <w:rFonts w:ascii="Arial Narrow" w:hAnsi="Arial Narrow"/>
                <w:b/>
                <w:bCs/>
                <w:sz w:val="20"/>
                <w:szCs w:val="20"/>
              </w:rPr>
            </w:pPr>
            <w:r w:rsidRPr="00EF230C">
              <w:rPr>
                <w:rFonts w:ascii="Arial Narrow" w:hAnsi="Arial Narrow"/>
                <w:b/>
                <w:bCs/>
                <w:sz w:val="20"/>
                <w:szCs w:val="20"/>
              </w:rPr>
              <w:t>AND</w:t>
            </w:r>
          </w:p>
        </w:tc>
      </w:tr>
      <w:tr w:rsidR="00213259" w:rsidRPr="00FE20A5" w14:paraId="45D59074"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CAB6D9" w14:textId="77777777" w:rsidR="00213259" w:rsidRPr="00EF230C" w:rsidRDefault="00213259">
            <w:pPr>
              <w:rPr>
                <w:rFonts w:ascii="Arial Narrow" w:hAnsi="Arial Narrow"/>
                <w:b/>
                <w:bCs/>
                <w:sz w:val="20"/>
                <w:szCs w:val="20"/>
              </w:rPr>
            </w:pPr>
            <w:r w:rsidRPr="00F57B69">
              <w:rPr>
                <w:rFonts w:ascii="Arial Narrow" w:hAnsi="Arial Narrow"/>
                <w:b/>
                <w:bCs/>
                <w:sz w:val="20"/>
                <w:szCs w:val="20"/>
              </w:rPr>
              <w:t>Clinical criteria:</w:t>
            </w:r>
          </w:p>
        </w:tc>
      </w:tr>
      <w:tr w:rsidR="00213259" w:rsidRPr="00FE20A5" w14:paraId="3535C07E"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6F9F0E" w14:textId="77777777" w:rsidR="00213259" w:rsidRPr="000603C5" w:rsidRDefault="00213259">
            <w:pPr>
              <w:rPr>
                <w:rFonts w:ascii="Arial Narrow" w:hAnsi="Arial Narrow"/>
                <w:sz w:val="20"/>
                <w:szCs w:val="20"/>
              </w:rPr>
            </w:pPr>
            <w:r w:rsidRPr="7F77D409">
              <w:rPr>
                <w:rFonts w:ascii="Arial Narrow" w:hAnsi="Arial Narrow"/>
                <w:sz w:val="20"/>
                <w:szCs w:val="20"/>
              </w:rPr>
              <w:t>Patient must not have either: (</w:t>
            </w:r>
            <w:proofErr w:type="spellStart"/>
            <w:r w:rsidRPr="7F77D409">
              <w:rPr>
                <w:rFonts w:ascii="Arial Narrow" w:hAnsi="Arial Narrow"/>
                <w:sz w:val="20"/>
                <w:szCs w:val="20"/>
              </w:rPr>
              <w:t>i</w:t>
            </w:r>
            <w:proofErr w:type="spellEnd"/>
            <w:r w:rsidRPr="7F77D409">
              <w:rPr>
                <w:rFonts w:ascii="Arial Narrow" w:hAnsi="Arial Narrow"/>
                <w:sz w:val="20"/>
                <w:szCs w:val="20"/>
              </w:rPr>
              <w:t>) G551D mutation in the cystic fibrosis transmembrane conductance regulator (CFTR) gene; (ii) other gating (class III) mutation in the CFTR gene</w:t>
            </w:r>
          </w:p>
        </w:tc>
      </w:tr>
      <w:tr w:rsidR="00213259" w:rsidRPr="00314CF2" w14:paraId="35BA1DD2"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EBAF8A" w14:textId="77777777" w:rsidR="00213259" w:rsidRPr="00314CF2" w:rsidRDefault="00213259">
            <w:pPr>
              <w:rPr>
                <w:rFonts w:ascii="Arial Narrow" w:hAnsi="Arial Narrow"/>
                <w:b/>
                <w:bCs/>
                <w:strike/>
                <w:sz w:val="20"/>
                <w:szCs w:val="20"/>
              </w:rPr>
            </w:pPr>
            <w:r w:rsidRPr="00314CF2">
              <w:rPr>
                <w:rFonts w:ascii="Arial Narrow" w:hAnsi="Arial Narrow"/>
                <w:b/>
                <w:bCs/>
                <w:strike/>
                <w:sz w:val="20"/>
                <w:szCs w:val="20"/>
              </w:rPr>
              <w:t>AND</w:t>
            </w:r>
          </w:p>
        </w:tc>
      </w:tr>
      <w:tr w:rsidR="00213259" w:rsidRPr="00314CF2" w14:paraId="2C71322C"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184739" w14:textId="77777777" w:rsidR="00213259" w:rsidRPr="00314CF2" w:rsidRDefault="00213259">
            <w:pPr>
              <w:rPr>
                <w:rFonts w:ascii="Arial Narrow" w:hAnsi="Arial Narrow"/>
                <w:b/>
                <w:bCs/>
                <w:strike/>
                <w:sz w:val="20"/>
                <w:szCs w:val="20"/>
              </w:rPr>
            </w:pPr>
            <w:r w:rsidRPr="00314CF2">
              <w:rPr>
                <w:rFonts w:ascii="Arial Narrow" w:hAnsi="Arial Narrow"/>
                <w:b/>
                <w:bCs/>
                <w:strike/>
                <w:sz w:val="20"/>
                <w:szCs w:val="20"/>
              </w:rPr>
              <w:t>Clinical criteria:</w:t>
            </w:r>
          </w:p>
        </w:tc>
      </w:tr>
      <w:tr w:rsidR="00213259" w:rsidRPr="00314CF2" w14:paraId="555B806E"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E1B7F9" w14:textId="77777777" w:rsidR="00213259" w:rsidRPr="00314CF2" w:rsidRDefault="00213259">
            <w:pPr>
              <w:rPr>
                <w:rFonts w:ascii="Arial Narrow" w:hAnsi="Arial Narrow"/>
                <w:strike/>
                <w:sz w:val="20"/>
                <w:szCs w:val="20"/>
              </w:rPr>
            </w:pPr>
            <w:r w:rsidRPr="00314CF2">
              <w:rPr>
                <w:rFonts w:ascii="Arial Narrow" w:hAnsi="Arial Narrow"/>
                <w:strike/>
                <w:sz w:val="20"/>
                <w:szCs w:val="20"/>
              </w:rPr>
              <w:t>Patient must not receive more than 24 weeks of treatment under this restriction per authority application.</w:t>
            </w:r>
          </w:p>
        </w:tc>
      </w:tr>
      <w:tr w:rsidR="00213259" w:rsidRPr="00FE20A5" w14:paraId="1114B254"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32EF56" w14:textId="77777777" w:rsidR="00213259" w:rsidRPr="003D774A" w:rsidRDefault="00213259">
            <w:pPr>
              <w:rPr>
                <w:rFonts w:ascii="Arial Narrow" w:hAnsi="Arial Narrow"/>
                <w:b/>
                <w:bCs/>
                <w:sz w:val="20"/>
                <w:szCs w:val="20"/>
              </w:rPr>
            </w:pPr>
            <w:r w:rsidRPr="003D774A">
              <w:rPr>
                <w:rFonts w:ascii="Arial Narrow" w:hAnsi="Arial Narrow"/>
                <w:b/>
                <w:bCs/>
                <w:sz w:val="20"/>
                <w:szCs w:val="20"/>
              </w:rPr>
              <w:t>AND</w:t>
            </w:r>
          </w:p>
        </w:tc>
      </w:tr>
      <w:tr w:rsidR="00213259" w:rsidRPr="00FE20A5" w14:paraId="5CAEA0AC"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B73665" w14:textId="77777777" w:rsidR="00213259" w:rsidRPr="003D774A" w:rsidRDefault="00213259">
            <w:pPr>
              <w:rPr>
                <w:rFonts w:ascii="Arial Narrow" w:hAnsi="Arial Narrow"/>
                <w:b/>
                <w:bCs/>
                <w:sz w:val="20"/>
                <w:szCs w:val="20"/>
              </w:rPr>
            </w:pPr>
            <w:r w:rsidRPr="003D774A">
              <w:rPr>
                <w:rFonts w:ascii="Arial Narrow" w:hAnsi="Arial Narrow"/>
                <w:b/>
                <w:bCs/>
                <w:sz w:val="20"/>
                <w:szCs w:val="20"/>
              </w:rPr>
              <w:t>Clinical criteria:</w:t>
            </w:r>
          </w:p>
        </w:tc>
      </w:tr>
      <w:tr w:rsidR="00213259" w:rsidRPr="00FE20A5" w14:paraId="5ADA30E2"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0834B0" w14:textId="77777777" w:rsidR="00213259" w:rsidRPr="0088660E" w:rsidRDefault="00213259">
            <w:pPr>
              <w:rPr>
                <w:rFonts w:ascii="Arial Narrow" w:hAnsi="Arial Narrow"/>
                <w:sz w:val="20"/>
                <w:szCs w:val="20"/>
              </w:rPr>
            </w:pPr>
            <w:r w:rsidRPr="0088660E">
              <w:rPr>
                <w:rFonts w:ascii="Arial Narrow" w:hAnsi="Arial Narrow"/>
                <w:sz w:val="20"/>
                <w:szCs w:val="20"/>
              </w:rPr>
              <w:t>The treatment must be given concomitantly with standard therapy for this condition.</w:t>
            </w:r>
          </w:p>
        </w:tc>
      </w:tr>
      <w:tr w:rsidR="00213259" w:rsidRPr="00FE20A5" w14:paraId="2BBC2C32" w14:textId="77777777" w:rsidTr="00213259">
        <w:trPr>
          <w:trHeight w:val="191"/>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AE533E" w14:textId="77777777" w:rsidR="00213259" w:rsidRPr="005721E4" w:rsidRDefault="00213259">
            <w:pPr>
              <w:rPr>
                <w:rFonts w:ascii="Arial Narrow" w:hAnsi="Arial Narrow"/>
                <w:b/>
                <w:bCs/>
                <w:sz w:val="20"/>
                <w:szCs w:val="20"/>
              </w:rPr>
            </w:pPr>
            <w:r w:rsidRPr="005721E4">
              <w:rPr>
                <w:rFonts w:ascii="Arial Narrow" w:hAnsi="Arial Narrow"/>
                <w:b/>
                <w:bCs/>
                <w:sz w:val="20"/>
                <w:szCs w:val="20"/>
              </w:rPr>
              <w:t>Population criteria:</w:t>
            </w:r>
          </w:p>
        </w:tc>
      </w:tr>
      <w:tr w:rsidR="00213259" w:rsidRPr="00FE20A5" w14:paraId="69600823"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464F62" w14:textId="77777777" w:rsidR="00213259" w:rsidRPr="00CC0A7A" w:rsidRDefault="00213259">
            <w:pPr>
              <w:rPr>
                <w:rFonts w:ascii="Arial Narrow" w:hAnsi="Arial Narrow"/>
                <w:sz w:val="20"/>
                <w:szCs w:val="20"/>
              </w:rPr>
            </w:pPr>
            <w:r w:rsidRPr="2509C368">
              <w:rPr>
                <w:rFonts w:ascii="Arial Narrow" w:hAnsi="Arial Narrow"/>
                <w:sz w:val="20"/>
                <w:szCs w:val="20"/>
              </w:rPr>
              <w:t>Patient must be aged 1 month or older</w:t>
            </w:r>
          </w:p>
        </w:tc>
      </w:tr>
      <w:tr w:rsidR="00213259" w:rsidRPr="00FE20A5" w14:paraId="2C4BE665"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55B6EA" w14:textId="77777777" w:rsidR="00213259" w:rsidRPr="00663FF2" w:rsidRDefault="00213259">
            <w:pPr>
              <w:rPr>
                <w:rFonts w:ascii="Arial Narrow" w:hAnsi="Arial Narrow"/>
                <w:b/>
                <w:bCs/>
                <w:sz w:val="20"/>
                <w:szCs w:val="20"/>
              </w:rPr>
            </w:pPr>
            <w:r>
              <w:rPr>
                <w:rFonts w:ascii="Arial Narrow" w:hAnsi="Arial Narrow"/>
                <w:b/>
                <w:bCs/>
                <w:sz w:val="20"/>
                <w:szCs w:val="20"/>
              </w:rPr>
              <w:t>Prescribing Instructions:</w:t>
            </w:r>
          </w:p>
          <w:p w14:paraId="33570447" w14:textId="77777777" w:rsidR="00213259" w:rsidRPr="00CC0A7A" w:rsidRDefault="00213259">
            <w:pPr>
              <w:rPr>
                <w:rFonts w:ascii="Arial Narrow" w:hAnsi="Arial Narrow"/>
                <w:sz w:val="20"/>
                <w:szCs w:val="20"/>
              </w:rPr>
            </w:pPr>
            <w:r w:rsidRPr="00663FF2">
              <w:rPr>
                <w:rFonts w:ascii="Arial Narrow" w:hAnsi="Arial Narrow"/>
                <w:sz w:val="20"/>
                <w:szCs w:val="20"/>
              </w:rPr>
              <w:t>For the purposes of this restriction, the list of mutations considered to be responsive to ivacaftor is defined in the TGA approved Product Information</w:t>
            </w:r>
          </w:p>
        </w:tc>
      </w:tr>
      <w:tr w:rsidR="00213259" w:rsidRPr="00FE20A5" w14:paraId="39DEFA1A"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75D379" w14:textId="77777777" w:rsidR="00213259" w:rsidRPr="000D6CFA" w:rsidRDefault="00213259">
            <w:pPr>
              <w:rPr>
                <w:rFonts w:ascii="Arial Narrow" w:hAnsi="Arial Narrow"/>
                <w:b/>
                <w:bCs/>
                <w:sz w:val="20"/>
                <w:szCs w:val="20"/>
              </w:rPr>
            </w:pPr>
            <w:r>
              <w:rPr>
                <w:rFonts w:ascii="Arial Narrow" w:hAnsi="Arial Narrow"/>
                <w:b/>
                <w:bCs/>
                <w:sz w:val="20"/>
                <w:szCs w:val="20"/>
              </w:rPr>
              <w:t>Prescribing Instructions:</w:t>
            </w:r>
          </w:p>
          <w:p w14:paraId="5A3E856C" w14:textId="77777777" w:rsidR="00213259" w:rsidRDefault="00213259">
            <w:pPr>
              <w:rPr>
                <w:rFonts w:ascii="Arial Narrow" w:hAnsi="Arial Narrow"/>
                <w:sz w:val="20"/>
                <w:szCs w:val="20"/>
              </w:rPr>
            </w:pPr>
            <w:r w:rsidRPr="00CC0A7A">
              <w:rPr>
                <w:rFonts w:ascii="Arial Narrow" w:hAnsi="Arial Narrow"/>
                <w:sz w:val="20"/>
                <w:szCs w:val="20"/>
              </w:rPr>
              <w:t>Dosage of ivacaftor must not exceed the dose of one tablet (150 mg) or one sachet twice a week, if the patient is concomitantly receiving one of the following strong CYP3A4 drugs inhibitors: boceprevir, clarithromycin, conivaptan, indinavir, itraconazole, ketoconazole, lopinavir/ritonavir, mibefradil, nefazodone, nelfinavir, posaconazole, ritonavir, saquinavir, telaprevir, telithromycin, voriconazole. Where a patient is concomitantly receiving a strong CYP3A4 inhibitor, a single supply of 56 tablets or sachets of ivacaftor will last for 28 weeks.</w:t>
            </w:r>
          </w:p>
          <w:p w14:paraId="2B91707B" w14:textId="77777777" w:rsidR="00213259" w:rsidRDefault="00213259">
            <w:pPr>
              <w:rPr>
                <w:rFonts w:ascii="Arial Narrow" w:hAnsi="Arial Narrow"/>
                <w:sz w:val="20"/>
                <w:szCs w:val="20"/>
              </w:rPr>
            </w:pPr>
          </w:p>
          <w:p w14:paraId="0594D5E9" w14:textId="77777777" w:rsidR="00213259" w:rsidRPr="00CC0A7A" w:rsidRDefault="00213259">
            <w:pPr>
              <w:rPr>
                <w:rFonts w:ascii="Arial Narrow" w:hAnsi="Arial Narrow"/>
                <w:sz w:val="20"/>
                <w:szCs w:val="20"/>
              </w:rPr>
            </w:pPr>
            <w:r w:rsidRPr="7F77D409">
              <w:rPr>
                <w:rFonts w:ascii="Arial Narrow" w:hAnsi="Arial Narrow"/>
                <w:sz w:val="20"/>
                <w:szCs w:val="20"/>
              </w:rPr>
              <w:t xml:space="preserve">Dosage of ivacaftor must not exceed the dose of one tablet (150 mg) or one sachet once daily, if the patient is concomitantly receiving one of the following moderate CYP3A4 inhibitors: amprenavir, aprepitant, atazanavir, darunavir/ritonavir, diltiazem, erythromycin, fluconazole, </w:t>
            </w:r>
            <w:proofErr w:type="spellStart"/>
            <w:r w:rsidRPr="7F77D409">
              <w:rPr>
                <w:rFonts w:ascii="Arial Narrow" w:hAnsi="Arial Narrow"/>
                <w:sz w:val="20"/>
                <w:szCs w:val="20"/>
              </w:rPr>
              <w:t>fosamprenavir</w:t>
            </w:r>
            <w:proofErr w:type="spellEnd"/>
            <w:r w:rsidRPr="7F77D409">
              <w:rPr>
                <w:rFonts w:ascii="Arial Narrow" w:hAnsi="Arial Narrow"/>
                <w:sz w:val="20"/>
                <w:szCs w:val="20"/>
              </w:rPr>
              <w:t>, imatinib, verapamil. Where a patient is concomitantly receiving a moderate CYP3A4 inhibitor, a single supply of 56 tablets or sachets of ivacaftor will last for 8 weeks.</w:t>
            </w:r>
          </w:p>
        </w:tc>
      </w:tr>
      <w:tr w:rsidR="00213259" w:rsidRPr="00FE20A5" w14:paraId="13A311FD"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F80889" w14:textId="77777777" w:rsidR="00213259" w:rsidRPr="000D6CFA" w:rsidRDefault="00213259">
            <w:pPr>
              <w:rPr>
                <w:rFonts w:ascii="Arial Narrow" w:hAnsi="Arial Narrow"/>
                <w:b/>
                <w:bCs/>
                <w:sz w:val="20"/>
                <w:szCs w:val="20"/>
              </w:rPr>
            </w:pPr>
            <w:r>
              <w:rPr>
                <w:rFonts w:ascii="Arial Narrow" w:hAnsi="Arial Narrow"/>
                <w:b/>
                <w:bCs/>
                <w:sz w:val="20"/>
                <w:szCs w:val="20"/>
              </w:rPr>
              <w:t>Prescribing Instructions:</w:t>
            </w:r>
          </w:p>
          <w:p w14:paraId="0C6C71A0" w14:textId="77777777" w:rsidR="00213259" w:rsidRPr="00CC0A7A" w:rsidRDefault="00213259">
            <w:pPr>
              <w:rPr>
                <w:rFonts w:ascii="Arial Narrow" w:hAnsi="Arial Narrow"/>
                <w:sz w:val="20"/>
                <w:szCs w:val="20"/>
              </w:rPr>
            </w:pPr>
            <w:r w:rsidRPr="00CC0A7A">
              <w:rPr>
                <w:rFonts w:ascii="Arial Narrow" w:hAnsi="Arial Narrow"/>
                <w:sz w:val="20"/>
                <w:szCs w:val="20"/>
              </w:rPr>
              <w:lastRenderedPageBreak/>
              <w:t>Ivacaftor is not PBS-subsidised for this condition as a sole therapy.</w:t>
            </w:r>
          </w:p>
          <w:p w14:paraId="374FB25C" w14:textId="77777777" w:rsidR="00213259" w:rsidRPr="00CC0A7A" w:rsidRDefault="00213259">
            <w:pPr>
              <w:rPr>
                <w:rFonts w:ascii="Arial Narrow" w:hAnsi="Arial Narrow"/>
                <w:sz w:val="20"/>
                <w:szCs w:val="20"/>
              </w:rPr>
            </w:pPr>
            <w:r w:rsidRPr="00CC0A7A">
              <w:rPr>
                <w:rFonts w:ascii="Arial Narrow" w:hAnsi="Arial Narrow"/>
                <w:sz w:val="20"/>
                <w:szCs w:val="20"/>
              </w:rPr>
              <w:t>Ivacaftor is not PBS-subsidised for this condition in a patient who is currently receiving one of the following CYP3A4 inducers:</w:t>
            </w:r>
          </w:p>
          <w:p w14:paraId="077A45D9" w14:textId="77777777" w:rsidR="00213259" w:rsidRPr="00CC0A7A" w:rsidRDefault="00213259">
            <w:pPr>
              <w:rPr>
                <w:rFonts w:ascii="Arial Narrow" w:hAnsi="Arial Narrow"/>
                <w:sz w:val="20"/>
                <w:szCs w:val="20"/>
              </w:rPr>
            </w:pPr>
            <w:r w:rsidRPr="7F77D409">
              <w:rPr>
                <w:rFonts w:ascii="Arial Narrow" w:hAnsi="Arial Narrow"/>
                <w:sz w:val="20"/>
                <w:szCs w:val="20"/>
              </w:rPr>
              <w:t xml:space="preserve">Strong CYP3A4 inducers: </w:t>
            </w:r>
            <w:proofErr w:type="spellStart"/>
            <w:r w:rsidRPr="7F77D409">
              <w:rPr>
                <w:rFonts w:ascii="Arial Narrow" w:hAnsi="Arial Narrow"/>
                <w:sz w:val="20"/>
                <w:szCs w:val="20"/>
              </w:rPr>
              <w:t>avasimibe</w:t>
            </w:r>
            <w:proofErr w:type="spellEnd"/>
            <w:r w:rsidRPr="7F77D409">
              <w:rPr>
                <w:rFonts w:ascii="Arial Narrow" w:hAnsi="Arial Narrow"/>
                <w:sz w:val="20"/>
                <w:szCs w:val="20"/>
              </w:rPr>
              <w:t>, carbamazepine, phenobarbital, phenytoin, rifabutin, rifampicin, St. John's wort</w:t>
            </w:r>
          </w:p>
          <w:p w14:paraId="78D641D0" w14:textId="77777777" w:rsidR="00213259" w:rsidRPr="00CC0A7A" w:rsidRDefault="00213259">
            <w:pPr>
              <w:rPr>
                <w:rFonts w:ascii="Arial Narrow" w:hAnsi="Arial Narrow"/>
                <w:sz w:val="20"/>
                <w:szCs w:val="20"/>
              </w:rPr>
            </w:pPr>
            <w:r w:rsidRPr="7F77D409">
              <w:rPr>
                <w:rFonts w:ascii="Arial Narrow" w:hAnsi="Arial Narrow"/>
                <w:sz w:val="20"/>
                <w:szCs w:val="20"/>
              </w:rPr>
              <w:t xml:space="preserve">Moderate CYP3A4 inducers: </w:t>
            </w:r>
            <w:proofErr w:type="spellStart"/>
            <w:r w:rsidRPr="7F77D409">
              <w:rPr>
                <w:rFonts w:ascii="Arial Narrow" w:hAnsi="Arial Narrow"/>
                <w:sz w:val="20"/>
                <w:szCs w:val="20"/>
              </w:rPr>
              <w:t>bosentan</w:t>
            </w:r>
            <w:proofErr w:type="spellEnd"/>
            <w:r w:rsidRPr="7F77D409">
              <w:rPr>
                <w:rFonts w:ascii="Arial Narrow" w:hAnsi="Arial Narrow"/>
                <w:sz w:val="20"/>
                <w:szCs w:val="20"/>
              </w:rPr>
              <w:t>, efavirenz, etravirine, modafinil, nafcillin</w:t>
            </w:r>
          </w:p>
          <w:p w14:paraId="4EA7BA4E" w14:textId="77777777" w:rsidR="00213259" w:rsidRPr="00CC0A7A" w:rsidRDefault="00213259">
            <w:pPr>
              <w:rPr>
                <w:rFonts w:ascii="Arial Narrow" w:hAnsi="Arial Narrow"/>
                <w:sz w:val="20"/>
                <w:szCs w:val="20"/>
              </w:rPr>
            </w:pPr>
            <w:r w:rsidRPr="00CC0A7A">
              <w:rPr>
                <w:rFonts w:ascii="Arial Narrow" w:hAnsi="Arial Narrow"/>
                <w:sz w:val="20"/>
                <w:szCs w:val="20"/>
              </w:rPr>
              <w:t>Weak CYP3A4 inducers: armodafinil, echinacea, pioglitazone, rufinamide.</w:t>
            </w:r>
          </w:p>
        </w:tc>
      </w:tr>
      <w:tr w:rsidR="00213259" w:rsidRPr="00FE20A5" w14:paraId="30E3310E"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DDA412" w14:textId="77777777" w:rsidR="00213259" w:rsidRPr="004D0D4F" w:rsidRDefault="00213259">
            <w:pPr>
              <w:rPr>
                <w:rFonts w:ascii="Arial Narrow" w:hAnsi="Arial Narrow"/>
                <w:b/>
                <w:bCs/>
                <w:sz w:val="20"/>
                <w:szCs w:val="20"/>
              </w:rPr>
            </w:pPr>
            <w:r>
              <w:rPr>
                <w:rFonts w:ascii="Arial Narrow" w:hAnsi="Arial Narrow"/>
                <w:b/>
                <w:bCs/>
                <w:sz w:val="20"/>
                <w:szCs w:val="20"/>
              </w:rPr>
              <w:lastRenderedPageBreak/>
              <w:t>Prescribing Instructions:</w:t>
            </w:r>
          </w:p>
          <w:p w14:paraId="3AEC54FA" w14:textId="77777777" w:rsidR="00213259" w:rsidRPr="00CC0A7A" w:rsidRDefault="00213259">
            <w:pPr>
              <w:rPr>
                <w:rFonts w:ascii="Arial Narrow" w:hAnsi="Arial Narrow"/>
                <w:sz w:val="20"/>
                <w:szCs w:val="20"/>
              </w:rPr>
            </w:pPr>
            <w:r w:rsidRPr="00CC0A7A">
              <w:rPr>
                <w:rFonts w:ascii="Arial Narrow" w:hAnsi="Arial Narrow"/>
                <w:sz w:val="20"/>
                <w:szCs w:val="20"/>
              </w:rPr>
              <w:t>The authority application must be in writing and must include:</w:t>
            </w:r>
          </w:p>
          <w:p w14:paraId="1784E033" w14:textId="77777777" w:rsidR="00213259" w:rsidRPr="00CC0A7A" w:rsidRDefault="00213259">
            <w:pPr>
              <w:rPr>
                <w:rFonts w:ascii="Arial Narrow" w:hAnsi="Arial Narrow"/>
                <w:sz w:val="20"/>
                <w:szCs w:val="20"/>
              </w:rPr>
            </w:pPr>
            <w:r w:rsidRPr="00CC0A7A">
              <w:rPr>
                <w:rFonts w:ascii="Arial Narrow" w:hAnsi="Arial Narrow"/>
                <w:sz w:val="20"/>
                <w:szCs w:val="20"/>
              </w:rPr>
              <w:t>(1) a completed authority prescription; and</w:t>
            </w:r>
          </w:p>
          <w:p w14:paraId="5F99D526" w14:textId="77777777" w:rsidR="00213259" w:rsidRPr="00CC0A7A" w:rsidRDefault="00213259">
            <w:pPr>
              <w:rPr>
                <w:rFonts w:ascii="Arial Narrow" w:hAnsi="Arial Narrow"/>
                <w:sz w:val="20"/>
                <w:szCs w:val="20"/>
              </w:rPr>
            </w:pPr>
            <w:r w:rsidRPr="00CC0A7A">
              <w:rPr>
                <w:rFonts w:ascii="Arial Narrow" w:hAnsi="Arial Narrow"/>
                <w:sz w:val="20"/>
                <w:szCs w:val="20"/>
              </w:rPr>
              <w:t>(2) a completed Cystic Fibrosis Authority Application Supporting Information Form; and</w:t>
            </w:r>
          </w:p>
          <w:p w14:paraId="2B92FDBB" w14:textId="77777777" w:rsidR="00213259" w:rsidRPr="00CC0A7A" w:rsidRDefault="00213259">
            <w:pPr>
              <w:rPr>
                <w:rFonts w:ascii="Arial Narrow" w:hAnsi="Arial Narrow"/>
                <w:sz w:val="20"/>
                <w:szCs w:val="20"/>
              </w:rPr>
            </w:pPr>
            <w:r w:rsidRPr="7F77D409">
              <w:rPr>
                <w:rFonts w:ascii="Arial Narrow" w:hAnsi="Arial Narrow"/>
                <w:sz w:val="20"/>
                <w:szCs w:val="20"/>
              </w:rPr>
              <w:t xml:space="preserve">(3) details of the pathology report substantiating </w:t>
            </w:r>
            <w:r w:rsidRPr="7F77D409">
              <w:rPr>
                <w:rFonts w:ascii="Arial Narrow" w:hAnsi="Arial Narrow"/>
                <w:strike/>
                <w:sz w:val="20"/>
                <w:szCs w:val="20"/>
              </w:rPr>
              <w:t>G551D mutation or other gating (Class III) mutation on the CFTR gene -</w:t>
            </w:r>
            <w:r w:rsidRPr="7F77D409">
              <w:rPr>
                <w:rFonts w:ascii="Arial Narrow" w:hAnsi="Arial Narrow"/>
                <w:sz w:val="20"/>
                <w:szCs w:val="20"/>
              </w:rPr>
              <w:t xml:space="preserve"> </w:t>
            </w:r>
            <w:r w:rsidRPr="7F77D409">
              <w:rPr>
                <w:rFonts w:ascii="Arial Narrow" w:hAnsi="Arial Narrow"/>
                <w:i/>
                <w:iCs/>
                <w:sz w:val="20"/>
                <w:szCs w:val="20"/>
              </w:rPr>
              <w:t>the specific mutation considered to be responsive to ivacaftor as listed in the TGA approved Product Information</w:t>
            </w:r>
            <w:r w:rsidRPr="7F77D409">
              <w:rPr>
                <w:rFonts w:ascii="Arial Narrow" w:hAnsi="Arial Narrow"/>
                <w:sz w:val="20"/>
                <w:szCs w:val="20"/>
              </w:rPr>
              <w:t xml:space="preserve">. </w:t>
            </w:r>
            <w:proofErr w:type="spellStart"/>
            <w:r w:rsidRPr="7F77D409">
              <w:rPr>
                <w:rFonts w:ascii="Arial Narrow" w:hAnsi="Arial Narrow"/>
                <w:strike/>
                <w:sz w:val="20"/>
                <w:szCs w:val="20"/>
              </w:rPr>
              <w:t>q</w:t>
            </w:r>
            <w:r w:rsidRPr="7F77D409">
              <w:rPr>
                <w:rFonts w:ascii="Arial Narrow" w:hAnsi="Arial Narrow"/>
                <w:sz w:val="20"/>
                <w:szCs w:val="20"/>
              </w:rPr>
              <w:t>Quote</w:t>
            </w:r>
            <w:proofErr w:type="spellEnd"/>
            <w:r w:rsidRPr="7F77D409">
              <w:rPr>
                <w:rFonts w:ascii="Arial Narrow" w:hAnsi="Arial Narrow"/>
                <w:sz w:val="20"/>
                <w:szCs w:val="20"/>
              </w:rPr>
              <w:t xml:space="preserve"> each of the: </w:t>
            </w:r>
            <w:r w:rsidRPr="7F77D409">
              <w:rPr>
                <w:rFonts w:ascii="Arial Narrow" w:hAnsi="Arial Narrow"/>
                <w:i/>
                <w:iCs/>
                <w:sz w:val="20"/>
                <w:szCs w:val="20"/>
              </w:rPr>
              <w:t>(</w:t>
            </w:r>
            <w:proofErr w:type="spellStart"/>
            <w:r w:rsidRPr="7F77D409">
              <w:rPr>
                <w:rFonts w:ascii="Arial Narrow" w:hAnsi="Arial Narrow"/>
                <w:i/>
                <w:iCs/>
                <w:sz w:val="20"/>
                <w:szCs w:val="20"/>
              </w:rPr>
              <w:t>i</w:t>
            </w:r>
            <w:proofErr w:type="spellEnd"/>
            <w:r w:rsidRPr="7F77D409">
              <w:rPr>
                <w:rFonts w:ascii="Arial Narrow" w:hAnsi="Arial Narrow"/>
                <w:i/>
                <w:iCs/>
                <w:sz w:val="20"/>
                <w:szCs w:val="20"/>
              </w:rPr>
              <w:t xml:space="preserve">) the specific </w:t>
            </w:r>
            <w:r w:rsidRPr="7F77D409">
              <w:rPr>
                <w:rFonts w:ascii="Arial Narrow" w:hAnsi="Arial Narrow"/>
                <w:i/>
                <w:iCs/>
                <w:strike/>
                <w:sz w:val="20"/>
                <w:szCs w:val="20"/>
              </w:rPr>
              <w:t>CFTR</w:t>
            </w:r>
            <w:r w:rsidRPr="7F77D409">
              <w:rPr>
                <w:rFonts w:ascii="Arial Narrow" w:hAnsi="Arial Narrow"/>
                <w:i/>
                <w:iCs/>
                <w:sz w:val="20"/>
                <w:szCs w:val="20"/>
              </w:rPr>
              <w:t xml:space="preserve"> mutation listed in the TGA approved Product Information,</w:t>
            </w:r>
            <w:r w:rsidRPr="7F77D409">
              <w:rPr>
                <w:rFonts w:ascii="Arial Narrow" w:hAnsi="Arial Narrow"/>
                <w:sz w:val="20"/>
                <w:szCs w:val="20"/>
              </w:rPr>
              <w:t xml:space="preserve"> (ii) name of the pathology report provider, (iii) date of pathology report, (iv) unique identifying number/code that links the pathology result to the individual patient; and</w:t>
            </w:r>
          </w:p>
          <w:p w14:paraId="411CAA21" w14:textId="77777777" w:rsidR="00213259" w:rsidRPr="00CC0A7A" w:rsidRDefault="00213259">
            <w:pPr>
              <w:rPr>
                <w:rFonts w:ascii="Arial Narrow" w:hAnsi="Arial Narrow"/>
                <w:sz w:val="20"/>
                <w:szCs w:val="20"/>
              </w:rPr>
            </w:pPr>
            <w:r w:rsidRPr="00CC0A7A">
              <w:rPr>
                <w:rFonts w:ascii="Arial Narrow" w:hAnsi="Arial Narrow"/>
                <w:sz w:val="20"/>
                <w:szCs w:val="20"/>
              </w:rPr>
              <w:t>(4) current CYP3A4 inhibitors, CYP3A4 inducers and IV antibiotics; and</w:t>
            </w:r>
          </w:p>
          <w:p w14:paraId="03B77A80" w14:textId="77777777" w:rsidR="00213259" w:rsidRPr="00D44879" w:rsidRDefault="00213259">
            <w:pPr>
              <w:rPr>
                <w:rFonts w:ascii="Arial Narrow" w:hAnsi="Arial Narrow"/>
                <w:strike/>
                <w:sz w:val="20"/>
                <w:szCs w:val="20"/>
              </w:rPr>
            </w:pPr>
            <w:r w:rsidRPr="00D44879">
              <w:rPr>
                <w:rFonts w:ascii="Arial Narrow" w:hAnsi="Arial Narrow"/>
                <w:strike/>
                <w:sz w:val="20"/>
                <w:szCs w:val="20"/>
              </w:rPr>
              <w:t>(5) sweat chloride result.</w:t>
            </w:r>
          </w:p>
        </w:tc>
      </w:tr>
      <w:tr w:rsidR="00213259" w:rsidRPr="00FE20A5" w14:paraId="5400381D"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63CC6D" w14:textId="77777777" w:rsidR="00213259" w:rsidRPr="0017028E" w:rsidRDefault="00213259">
            <w:pPr>
              <w:rPr>
                <w:rFonts w:ascii="Arial Narrow" w:hAnsi="Arial Narrow"/>
                <w:i/>
                <w:iCs/>
                <w:sz w:val="20"/>
                <w:szCs w:val="20"/>
              </w:rPr>
            </w:pPr>
            <w:r w:rsidRPr="0017028E">
              <w:rPr>
                <w:rFonts w:ascii="Arial Narrow" w:hAnsi="Arial Narrow"/>
                <w:b/>
                <w:bCs/>
                <w:i/>
                <w:iCs/>
                <w:sz w:val="20"/>
                <w:szCs w:val="20"/>
              </w:rPr>
              <w:t>Administrative Advice:</w:t>
            </w:r>
            <w:r w:rsidRPr="0017028E">
              <w:rPr>
                <w:rFonts w:ascii="Arial Narrow" w:hAnsi="Arial Narrow"/>
                <w:i/>
                <w:iCs/>
                <w:sz w:val="20"/>
                <w:szCs w:val="20"/>
              </w:rPr>
              <w:t xml:space="preserve"> </w:t>
            </w:r>
          </w:p>
          <w:p w14:paraId="59A65793" w14:textId="77777777" w:rsidR="00213259" w:rsidRPr="0017028E" w:rsidRDefault="00213259">
            <w:pPr>
              <w:rPr>
                <w:rFonts w:ascii="Arial Narrow" w:hAnsi="Arial Narrow"/>
                <w:i/>
                <w:iCs/>
                <w:sz w:val="20"/>
                <w:szCs w:val="20"/>
              </w:rPr>
            </w:pPr>
            <w:r w:rsidRPr="0017028E">
              <w:rPr>
                <w:rFonts w:ascii="Arial Narrow" w:hAnsi="Arial Narrow"/>
                <w:i/>
                <w:iCs/>
                <w:sz w:val="20"/>
                <w:szCs w:val="20"/>
              </w:rPr>
              <w:t>Any queries concerning the arrangements to prescribe may be directed to Services Australia on 1800 700 270 (hours of operation 8 a.m. to 5 p.m. Monday to Friday).</w:t>
            </w:r>
          </w:p>
          <w:p w14:paraId="5D7A8468" w14:textId="77777777" w:rsidR="00213259" w:rsidRPr="0017028E" w:rsidRDefault="00213259">
            <w:pPr>
              <w:rPr>
                <w:rFonts w:ascii="Arial Narrow" w:hAnsi="Arial Narrow"/>
                <w:i/>
                <w:iCs/>
                <w:sz w:val="20"/>
                <w:szCs w:val="20"/>
              </w:rPr>
            </w:pPr>
            <w:r w:rsidRPr="0017028E">
              <w:rPr>
                <w:rFonts w:ascii="Arial Narrow" w:hAnsi="Arial Narrow"/>
                <w:i/>
                <w:iCs/>
                <w:sz w:val="20"/>
                <w:szCs w:val="20"/>
              </w:rPr>
              <w:t>Prescribing information (including Authority Application forms and other relevant documentation as applicable) is available on the Services Australia website at www.servicesaustralia.gov.au</w:t>
            </w:r>
          </w:p>
          <w:p w14:paraId="40367A19" w14:textId="77777777" w:rsidR="00213259" w:rsidRPr="0017028E" w:rsidRDefault="00213259">
            <w:pPr>
              <w:rPr>
                <w:rFonts w:ascii="Arial Narrow" w:hAnsi="Arial Narrow"/>
                <w:i/>
                <w:iCs/>
                <w:sz w:val="20"/>
                <w:szCs w:val="20"/>
              </w:rPr>
            </w:pPr>
            <w:r w:rsidRPr="7F77D409">
              <w:rPr>
                <w:rFonts w:ascii="Arial Narrow" w:hAnsi="Arial Narrow"/>
                <w:i/>
                <w:iCs/>
                <w:sz w:val="20"/>
                <w:szCs w:val="20"/>
              </w:rPr>
              <w:t>Applications for authority to prescribe should be submitted online using the form upload facility in Health Professional Online Services (HPOS) at www.servicesaustralia.gov.au/hpos</w:t>
            </w:r>
          </w:p>
          <w:p w14:paraId="04F6F5A4" w14:textId="77777777" w:rsidR="00213259" w:rsidRPr="0017028E" w:rsidRDefault="00213259">
            <w:pPr>
              <w:rPr>
                <w:rFonts w:ascii="Arial Narrow" w:hAnsi="Arial Narrow"/>
                <w:i/>
                <w:iCs/>
                <w:sz w:val="20"/>
                <w:szCs w:val="20"/>
              </w:rPr>
            </w:pPr>
            <w:r w:rsidRPr="0017028E">
              <w:rPr>
                <w:rFonts w:ascii="Arial Narrow" w:hAnsi="Arial Narrow"/>
                <w:i/>
                <w:iCs/>
                <w:sz w:val="20"/>
                <w:szCs w:val="20"/>
              </w:rPr>
              <w:t>Or mailed to:</w:t>
            </w:r>
          </w:p>
          <w:p w14:paraId="113A3EEA" w14:textId="77777777" w:rsidR="00213259" w:rsidRPr="0017028E" w:rsidRDefault="00213259">
            <w:pPr>
              <w:rPr>
                <w:rFonts w:ascii="Arial Narrow" w:hAnsi="Arial Narrow"/>
                <w:i/>
                <w:iCs/>
                <w:sz w:val="20"/>
                <w:szCs w:val="20"/>
              </w:rPr>
            </w:pPr>
            <w:r w:rsidRPr="0017028E">
              <w:rPr>
                <w:rFonts w:ascii="Arial Narrow" w:hAnsi="Arial Narrow"/>
                <w:i/>
                <w:iCs/>
                <w:sz w:val="20"/>
                <w:szCs w:val="20"/>
              </w:rPr>
              <w:t>Services Australia</w:t>
            </w:r>
          </w:p>
          <w:p w14:paraId="028C628A" w14:textId="77777777" w:rsidR="00213259" w:rsidRPr="0017028E" w:rsidRDefault="00213259">
            <w:pPr>
              <w:rPr>
                <w:rFonts w:ascii="Arial Narrow" w:hAnsi="Arial Narrow"/>
                <w:i/>
                <w:iCs/>
                <w:sz w:val="20"/>
                <w:szCs w:val="20"/>
              </w:rPr>
            </w:pPr>
            <w:r w:rsidRPr="0017028E">
              <w:rPr>
                <w:rFonts w:ascii="Arial Narrow" w:hAnsi="Arial Narrow"/>
                <w:i/>
                <w:iCs/>
                <w:sz w:val="20"/>
                <w:szCs w:val="20"/>
              </w:rPr>
              <w:t>Complex Drugs</w:t>
            </w:r>
          </w:p>
          <w:p w14:paraId="5EACFF34" w14:textId="77777777" w:rsidR="00213259" w:rsidRPr="0017028E" w:rsidRDefault="00213259">
            <w:pPr>
              <w:rPr>
                <w:rFonts w:ascii="Arial Narrow" w:hAnsi="Arial Narrow"/>
                <w:i/>
                <w:iCs/>
                <w:sz w:val="20"/>
                <w:szCs w:val="20"/>
              </w:rPr>
            </w:pPr>
            <w:r w:rsidRPr="0017028E">
              <w:rPr>
                <w:rFonts w:ascii="Arial Narrow" w:hAnsi="Arial Narrow"/>
                <w:i/>
                <w:iCs/>
                <w:sz w:val="20"/>
                <w:szCs w:val="20"/>
              </w:rPr>
              <w:t>Reply Paid 9826</w:t>
            </w:r>
          </w:p>
          <w:p w14:paraId="2DC75B24" w14:textId="77777777" w:rsidR="00213259" w:rsidRPr="00563BB3" w:rsidRDefault="00213259">
            <w:pPr>
              <w:rPr>
                <w:rFonts w:ascii="Arial Narrow" w:hAnsi="Arial Narrow"/>
                <w:b/>
                <w:bCs/>
                <w:sz w:val="20"/>
                <w:szCs w:val="20"/>
              </w:rPr>
            </w:pPr>
            <w:r w:rsidRPr="0017028E">
              <w:rPr>
                <w:rFonts w:ascii="Arial Narrow" w:hAnsi="Arial Narrow"/>
                <w:i/>
                <w:iCs/>
                <w:sz w:val="20"/>
                <w:szCs w:val="20"/>
              </w:rPr>
              <w:t>HOBART TAS 7001</w:t>
            </w:r>
          </w:p>
        </w:tc>
      </w:tr>
      <w:tr w:rsidR="00213259" w:rsidRPr="00FE20A5" w14:paraId="05F8A82E"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E2DB33" w14:textId="77777777" w:rsidR="00213259" w:rsidRPr="0017028E" w:rsidRDefault="00213259">
            <w:pPr>
              <w:rPr>
                <w:rFonts w:ascii="Arial Narrow" w:hAnsi="Arial Narrow"/>
                <w:b/>
                <w:bCs/>
                <w:i/>
                <w:iCs/>
                <w:sz w:val="20"/>
                <w:szCs w:val="20"/>
              </w:rPr>
            </w:pPr>
            <w:r w:rsidRPr="0017028E">
              <w:rPr>
                <w:rFonts w:ascii="Arial Narrow" w:hAnsi="Arial Narrow"/>
                <w:b/>
                <w:bCs/>
                <w:i/>
                <w:iCs/>
                <w:sz w:val="20"/>
                <w:szCs w:val="20"/>
              </w:rPr>
              <w:t>Administrative Advice:</w:t>
            </w:r>
          </w:p>
          <w:p w14:paraId="34002E30" w14:textId="77777777" w:rsidR="00213259" w:rsidRPr="00563BB3" w:rsidRDefault="00213259">
            <w:pPr>
              <w:rPr>
                <w:rFonts w:ascii="Arial Narrow" w:hAnsi="Arial Narrow"/>
                <w:b/>
                <w:bCs/>
                <w:sz w:val="20"/>
                <w:szCs w:val="20"/>
              </w:rPr>
            </w:pPr>
            <w:r w:rsidRPr="0017028E">
              <w:rPr>
                <w:rFonts w:ascii="Arial Narrow" w:hAnsi="Arial Narrow"/>
                <w:i/>
                <w:iCs/>
                <w:sz w:val="20"/>
                <w:szCs w:val="20"/>
              </w:rPr>
              <w:t>No increase in the maximum number of repeats may be authorised.</w:t>
            </w:r>
          </w:p>
        </w:tc>
      </w:tr>
      <w:tr w:rsidR="00213259" w:rsidRPr="00FE20A5" w14:paraId="5E13D61F" w14:textId="77777777" w:rsidTr="00213259">
        <w:trPr>
          <w:trHeight w:val="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AA273F" w14:textId="77777777" w:rsidR="00213259" w:rsidRPr="00A7396A" w:rsidRDefault="00213259">
            <w:pPr>
              <w:rPr>
                <w:rFonts w:ascii="Arial Narrow" w:hAnsi="Arial Narrow"/>
                <w:b/>
                <w:bCs/>
                <w:sz w:val="20"/>
                <w:szCs w:val="20"/>
              </w:rPr>
            </w:pPr>
            <w:r w:rsidRPr="00A7396A">
              <w:rPr>
                <w:rFonts w:ascii="Arial Narrow" w:hAnsi="Arial Narrow"/>
                <w:b/>
                <w:bCs/>
                <w:sz w:val="20"/>
                <w:szCs w:val="20"/>
              </w:rPr>
              <w:t>Administrative Advice:</w:t>
            </w:r>
          </w:p>
          <w:p w14:paraId="1BB08610" w14:textId="77777777" w:rsidR="00213259" w:rsidRPr="00A7396A" w:rsidRDefault="00213259">
            <w:pPr>
              <w:rPr>
                <w:rFonts w:ascii="Arial Narrow" w:hAnsi="Arial Narrow"/>
                <w:i/>
                <w:iCs/>
                <w:sz w:val="20"/>
                <w:szCs w:val="20"/>
              </w:rPr>
            </w:pPr>
            <w:r w:rsidRPr="00A7396A">
              <w:rPr>
                <w:rFonts w:ascii="Arial Narrow" w:hAnsi="Arial Narrow"/>
                <w:i/>
                <w:iCs/>
                <w:sz w:val="20"/>
                <w:szCs w:val="20"/>
              </w:rPr>
              <w:t>Special Pricing Arrangements apply.</w:t>
            </w:r>
          </w:p>
        </w:tc>
      </w:tr>
    </w:tbl>
    <w:p w14:paraId="024F5B2D" w14:textId="77777777" w:rsidR="00F769D2" w:rsidRDefault="00F769D2" w:rsidP="00F769D2">
      <w:pPr>
        <w:jc w:val="left"/>
      </w:pPr>
    </w:p>
    <w:p w14:paraId="78386A81" w14:textId="24C2C8E0" w:rsidR="004F1F96" w:rsidRPr="00EE55FF" w:rsidRDefault="004F1F96" w:rsidP="7F77D409">
      <w:pPr>
        <w:pStyle w:val="3-BodyText"/>
        <w:rPr>
          <w:color w:val="0066FF"/>
        </w:rPr>
      </w:pPr>
      <w:r w:rsidRPr="7F77D409">
        <w:t>The submission proposed that the current Special Pricing Arrangement, with indication specific effective pricing apply</w:t>
      </w:r>
      <w:r w:rsidR="00972528">
        <w:t>ing</w:t>
      </w:r>
      <w:r w:rsidRPr="7F77D409">
        <w:t xml:space="preserve"> to the proposed new listing</w:t>
      </w:r>
      <w:r w:rsidR="00B65529">
        <w:t xml:space="preserve">. The proposed ex-manufacturer price </w:t>
      </w:r>
      <w:r w:rsidR="007A0774">
        <w:t xml:space="preserve">(EMP) for patients with gating mutations is </w:t>
      </w:r>
      <w:r w:rsidRPr="00EE55FF">
        <w:t>$</w:t>
      </w:r>
      <w:r w:rsidR="000F6865" w:rsidRPr="000F6865">
        <w:rPr>
          <w:color w:val="000000"/>
          <w:w w:val="62"/>
          <w:shd w:val="solid" w:color="000000" w:fill="000000"/>
          <w:fitText w:val="480" w:id="-694419198"/>
          <w14:textFill>
            <w14:solidFill>
              <w14:srgbClr w14:val="000000">
                <w14:alpha w14:val="100000"/>
              </w14:srgbClr>
            </w14:solidFill>
          </w14:textFill>
        </w:rPr>
        <w:t>|||  ||</w:t>
      </w:r>
      <w:r w:rsidR="000F6865" w:rsidRPr="000F6865">
        <w:rPr>
          <w:color w:val="000000"/>
          <w:spacing w:val="2"/>
          <w:w w:val="62"/>
          <w:shd w:val="solid" w:color="000000" w:fill="000000"/>
          <w:fitText w:val="480" w:id="-694419198"/>
          <w14:textFill>
            <w14:solidFill>
              <w14:srgbClr w14:val="000000">
                <w14:alpha w14:val="100000"/>
              </w14:srgbClr>
            </w14:solidFill>
          </w14:textFill>
        </w:rPr>
        <w:t>|</w:t>
      </w:r>
      <w:r w:rsidRPr="00EE55FF">
        <w:t xml:space="preserve"> </w:t>
      </w:r>
      <w:r w:rsidR="007A0774" w:rsidRPr="00EE55FF">
        <w:t xml:space="preserve">per pack </w:t>
      </w:r>
      <w:r w:rsidRPr="00EE55FF">
        <w:t>and for patients with non-gating mutations</w:t>
      </w:r>
      <w:r w:rsidR="007A0774" w:rsidRPr="00EE55FF">
        <w:t xml:space="preserve"> is </w:t>
      </w:r>
      <w:r w:rsidRPr="00EE55FF">
        <w:t>$</w:t>
      </w:r>
      <w:r w:rsidR="000F6865" w:rsidRPr="000F6865">
        <w:rPr>
          <w:color w:val="000000"/>
          <w:w w:val="60"/>
          <w:shd w:val="solid" w:color="000000" w:fill="000000"/>
          <w:fitText w:val="470" w:id="-694419197"/>
          <w14:textFill>
            <w14:solidFill>
              <w14:srgbClr w14:val="000000">
                <w14:alpha w14:val="100000"/>
              </w14:srgbClr>
            </w14:solidFill>
          </w14:textFill>
        </w:rPr>
        <w:t>|||  ||</w:t>
      </w:r>
      <w:r w:rsidR="000F6865" w:rsidRPr="000F6865">
        <w:rPr>
          <w:color w:val="000000"/>
          <w:spacing w:val="6"/>
          <w:w w:val="60"/>
          <w:shd w:val="solid" w:color="000000" w:fill="000000"/>
          <w:fitText w:val="470" w:id="-694419197"/>
          <w14:textFill>
            <w14:solidFill>
              <w14:srgbClr w14:val="000000">
                <w14:alpha w14:val="100000"/>
              </w14:srgbClr>
            </w14:solidFill>
          </w14:textFill>
        </w:rPr>
        <w:t>|</w:t>
      </w:r>
      <w:r w:rsidR="007A0774" w:rsidRPr="00EE55FF">
        <w:t xml:space="preserve"> per pack</w:t>
      </w:r>
      <w:r w:rsidRPr="00EE55FF">
        <w:t xml:space="preserve">.  </w:t>
      </w:r>
    </w:p>
    <w:p w14:paraId="73AA1C4C" w14:textId="583BD1BA" w:rsidR="00213259" w:rsidRPr="001E1ADD" w:rsidRDefault="00972528" w:rsidP="001E1ADD">
      <w:pPr>
        <w:pStyle w:val="3-BodyText"/>
        <w:rPr>
          <w:color w:val="0066FF"/>
        </w:rPr>
      </w:pPr>
      <w:r w:rsidRPr="008655EB">
        <w:t>The pre</w:t>
      </w:r>
      <w:r w:rsidR="00EE55FF" w:rsidRPr="008655EB">
        <w:t>-</w:t>
      </w:r>
      <w:r w:rsidRPr="008655EB">
        <w:t xml:space="preserve">PBAC response </w:t>
      </w:r>
      <w:r w:rsidR="00EE55FF" w:rsidRPr="008655EB">
        <w:t>agreed with the Secretariat’s suggestion</w:t>
      </w:r>
      <w:r w:rsidR="001E1ADD" w:rsidRPr="008655EB">
        <w:t>s</w:t>
      </w:r>
      <w:r w:rsidR="00EE55FF" w:rsidRPr="008655EB">
        <w:t xml:space="preserve"> that </w:t>
      </w:r>
      <w:r w:rsidR="001E1ADD" w:rsidRPr="008655EB">
        <w:t>(</w:t>
      </w:r>
      <w:proofErr w:type="spellStart"/>
      <w:r w:rsidR="001E1ADD" w:rsidRPr="008655EB">
        <w:t>i</w:t>
      </w:r>
      <w:proofErr w:type="spellEnd"/>
      <w:r w:rsidR="001E1ADD" w:rsidRPr="008655EB">
        <w:t xml:space="preserve">) </w:t>
      </w:r>
      <w:r w:rsidR="00EE55FF" w:rsidRPr="008655EB">
        <w:t>an initial restriction with 2 repeats of 56 packs would be sufficient to cater for the short duration of use between 1-4 months of age</w:t>
      </w:r>
      <w:r w:rsidR="001E1ADD" w:rsidRPr="008655EB">
        <w:t xml:space="preserve"> and (</w:t>
      </w:r>
      <w:proofErr w:type="spellStart"/>
      <w:r w:rsidR="001E1ADD" w:rsidRPr="008655EB">
        <w:t>i</w:t>
      </w:r>
      <w:proofErr w:type="spellEnd"/>
      <w:r w:rsidR="001E1ADD" w:rsidRPr="008655EB">
        <w:t xml:space="preserve">) </w:t>
      </w:r>
      <w:r w:rsidR="00EE55FF" w:rsidRPr="008655EB">
        <w:t xml:space="preserve">sweat </w:t>
      </w:r>
      <w:r w:rsidR="00EE55FF" w:rsidRPr="00EE55FF">
        <w:t xml:space="preserve">chloride results be removed from the restriction to align with other recently listed CFTR modulators. </w:t>
      </w:r>
    </w:p>
    <w:p w14:paraId="6C6A9E15" w14:textId="70F5EA18" w:rsidR="00FC0E55" w:rsidRPr="00FC0E55" w:rsidRDefault="00FC0E55" w:rsidP="00FC0E55">
      <w:pPr>
        <w:pStyle w:val="3-BodyText"/>
        <w:numPr>
          <w:ilvl w:val="0"/>
          <w:numId w:val="0"/>
        </w:numPr>
        <w:ind w:left="720"/>
        <w:rPr>
          <w:i/>
          <w:iCs/>
        </w:rPr>
      </w:pPr>
      <w:r w:rsidRPr="00FC0E55">
        <w:rPr>
          <w:i/>
          <w:iCs/>
        </w:rPr>
        <w:t>For more detail on PBAC’s view, see section 7 PBAC outcome.</w:t>
      </w:r>
    </w:p>
    <w:p w14:paraId="7075B85C" w14:textId="62A47B7B" w:rsidR="00B50DB8" w:rsidRPr="0098262F" w:rsidDel="00195452" w:rsidRDefault="00203181" w:rsidP="004E18E9">
      <w:pPr>
        <w:pStyle w:val="2-SectionHeading"/>
      </w:pPr>
      <w:bookmarkStart w:id="14" w:name="_Toc187661080"/>
      <w:r w:rsidRPr="0098262F" w:rsidDel="00195452">
        <w:t xml:space="preserve">Population and </w:t>
      </w:r>
      <w:r w:rsidR="008E0D3C" w:rsidRPr="0098262F" w:rsidDel="00195452">
        <w:t>d</w:t>
      </w:r>
      <w:r w:rsidRPr="0098262F" w:rsidDel="00195452">
        <w:t>isease</w:t>
      </w:r>
      <w:bookmarkEnd w:id="14"/>
    </w:p>
    <w:p w14:paraId="12B13AD3" w14:textId="6C62ED18" w:rsidR="0085120F" w:rsidRPr="00A72C37" w:rsidRDefault="0085120F" w:rsidP="0085120F">
      <w:pPr>
        <w:pStyle w:val="3-BodyText"/>
        <w:rPr>
          <w:color w:val="0066FF"/>
        </w:rPr>
      </w:pPr>
      <w:r w:rsidRPr="00547CE7">
        <w:t>CF is a rare genetic disease that is caused by mutations in the CFTR gene which impair ion transport across epithelial membranes, causing thick mucus to accumulate within the lungs and obstructing the function of the liver, pancreas, and other organs, resulting in significant morbidity, reduced quality of life and premature mortality</w:t>
      </w:r>
      <w:r>
        <w:t>.</w:t>
      </w:r>
    </w:p>
    <w:p w14:paraId="796A147B" w14:textId="77777777" w:rsidR="0085120F" w:rsidRPr="00A72C37" w:rsidRDefault="0085120F" w:rsidP="7F77D409">
      <w:pPr>
        <w:pStyle w:val="3-BodyText"/>
        <w:rPr>
          <w:color w:val="0066FF"/>
        </w:rPr>
      </w:pPr>
      <w:r w:rsidRPr="7F77D409">
        <w:lastRenderedPageBreak/>
        <w:t>CFTR modulators (</w:t>
      </w:r>
      <w:proofErr w:type="spellStart"/>
      <w:r w:rsidRPr="7F77D409">
        <w:t>CFTRm</w:t>
      </w:r>
      <w:proofErr w:type="spellEnd"/>
      <w:r w:rsidRPr="7F77D409">
        <w:t xml:space="preserve">) have been used to treat CF for the last 10 years or more. Initially, clinical trial evidence was used to establish the efficacy of ivacaftor for disease caused by the G551D mutation, but over time, the number of mutations thought to be responsive to treatment has expanded and now includes rare mutations. </w:t>
      </w:r>
    </w:p>
    <w:p w14:paraId="51E5AE96" w14:textId="136A63B1" w:rsidR="00B50DB8" w:rsidRPr="0098262F" w:rsidRDefault="00B50DB8" w:rsidP="004E18E9">
      <w:pPr>
        <w:pStyle w:val="2-SectionHeading"/>
      </w:pPr>
      <w:bookmarkStart w:id="15" w:name="_Toc187661081"/>
      <w:r w:rsidRPr="0098262F">
        <w:t>Comparator</w:t>
      </w:r>
      <w:bookmarkEnd w:id="15"/>
    </w:p>
    <w:p w14:paraId="2793D694" w14:textId="19382595" w:rsidR="00FC0E55" w:rsidRDefault="00ED5BD4" w:rsidP="7F77D409">
      <w:pPr>
        <w:pStyle w:val="3-BodyText"/>
      </w:pPr>
      <w:bookmarkStart w:id="16" w:name="_Ref193463609"/>
      <w:r w:rsidRPr="7F77D409">
        <w:t xml:space="preserve">The submission nominated </w:t>
      </w:r>
      <w:r w:rsidR="0085120F" w:rsidRPr="7F77D409">
        <w:t xml:space="preserve">best supportive care </w:t>
      </w:r>
      <w:r w:rsidRPr="7F77D409">
        <w:t>as the comparator</w:t>
      </w:r>
      <w:r w:rsidR="00175FF4" w:rsidRPr="7F77D409">
        <w:t>.</w:t>
      </w:r>
      <w:r w:rsidR="00E62A01" w:rsidRPr="7F77D409">
        <w:rPr>
          <w:i/>
          <w:iCs/>
        </w:rPr>
        <w:t xml:space="preserve"> </w:t>
      </w:r>
      <w:r w:rsidR="00CB753B" w:rsidRPr="7F77D409">
        <w:rPr>
          <w:i/>
          <w:iCs/>
        </w:rPr>
        <w:t xml:space="preserve"> </w:t>
      </w:r>
      <w:r w:rsidR="00144677" w:rsidRPr="7F77D409">
        <w:t xml:space="preserve">As part of its consideration in November 2023 (see paragraph </w:t>
      </w:r>
      <w:r>
        <w:fldChar w:fldCharType="begin" w:fldLock="1"/>
      </w:r>
      <w:r>
        <w:instrText xml:space="preserve"> REF _Ref185242357 \r \h  \* MERGEFORMAT </w:instrText>
      </w:r>
      <w:r>
        <w:fldChar w:fldCharType="separate"/>
      </w:r>
      <w:r w:rsidR="003B4876">
        <w:t>2.3</w:t>
      </w:r>
      <w:r>
        <w:fldChar w:fldCharType="end"/>
      </w:r>
      <w:r w:rsidR="00144677" w:rsidRPr="7F77D409">
        <w:t xml:space="preserve">), the </w:t>
      </w:r>
      <w:r w:rsidR="002D4C63" w:rsidRPr="7F77D409">
        <w:t xml:space="preserve"> PBAC considered that the nomination of best supportive care as the comparator was reasonable; however, it would have been informative to compare commencing treatment with ivacaftor at 4 months of age with commencing treatment with other </w:t>
      </w:r>
      <w:proofErr w:type="spellStart"/>
      <w:r w:rsidR="002D4C63" w:rsidRPr="7F77D409">
        <w:t>CFTR</w:t>
      </w:r>
      <w:r w:rsidR="00EB2749">
        <w:t>m</w:t>
      </w:r>
      <w:proofErr w:type="spellEnd"/>
      <w:r w:rsidR="002D4C63" w:rsidRPr="7F77D409">
        <w:t xml:space="preserve"> at an older age for some populations</w:t>
      </w:r>
      <w:r w:rsidR="00A97C90" w:rsidRPr="7F77D409">
        <w:t xml:space="preserve"> </w:t>
      </w:r>
      <w:r w:rsidR="002D2FDA" w:rsidRPr="7F77D409">
        <w:t>(para 7.4, ivacaftor PSD, PBAC meeting November 2023)</w:t>
      </w:r>
      <w:bookmarkEnd w:id="16"/>
      <w:r w:rsidR="008655EB">
        <w:t>.</w:t>
      </w:r>
    </w:p>
    <w:p w14:paraId="47D9B48A" w14:textId="433D06B0" w:rsidR="002C2775" w:rsidRPr="0098262F" w:rsidRDefault="00FC0E55" w:rsidP="000B527F">
      <w:pPr>
        <w:pStyle w:val="3-BodyText"/>
        <w:numPr>
          <w:ilvl w:val="0"/>
          <w:numId w:val="0"/>
        </w:numPr>
        <w:ind w:left="720"/>
      </w:pPr>
      <w:r w:rsidRPr="00FC0E55">
        <w:rPr>
          <w:i/>
          <w:iCs/>
        </w:rPr>
        <w:t>For more detail on PBAC’s view, see section 7 PBAC outcome.</w:t>
      </w:r>
    </w:p>
    <w:p w14:paraId="7F9C27C8" w14:textId="77777777" w:rsidR="00223D5A" w:rsidRPr="0098262F" w:rsidRDefault="00223D5A" w:rsidP="00223D5A">
      <w:pPr>
        <w:pStyle w:val="2-SectionHeading"/>
        <w:numPr>
          <w:ilvl w:val="0"/>
          <w:numId w:val="1"/>
        </w:numPr>
      </w:pPr>
      <w:bookmarkStart w:id="17" w:name="_Toc187661082"/>
      <w:bookmarkStart w:id="18" w:name="_Toc22897640"/>
      <w:r w:rsidRPr="0098262F">
        <w:t>Consideration of the evidence</w:t>
      </w:r>
      <w:bookmarkEnd w:id="17"/>
    </w:p>
    <w:p w14:paraId="2B4731D7" w14:textId="77777777" w:rsidR="00B70552" w:rsidRPr="006E1229" w:rsidRDefault="00B70552" w:rsidP="00B70552">
      <w:pPr>
        <w:pStyle w:val="4-SubsectionHeading"/>
      </w:pPr>
      <w:bookmarkStart w:id="19" w:name="_Toc187661083"/>
      <w:r w:rsidRPr="006E1229">
        <w:t>Sponsor hearing</w:t>
      </w:r>
    </w:p>
    <w:p w14:paraId="4179BA7F" w14:textId="1F5FA4AD" w:rsidR="00B70552" w:rsidRPr="00795D1A" w:rsidRDefault="00B70552" w:rsidP="00B70552">
      <w:pPr>
        <w:widowControl w:val="0"/>
        <w:numPr>
          <w:ilvl w:val="1"/>
          <w:numId w:val="1"/>
        </w:numPr>
        <w:spacing w:after="120"/>
        <w:rPr>
          <w:rFonts w:cs="Calibri"/>
          <w:bCs/>
          <w:snapToGrid w:val="0"/>
        </w:rPr>
      </w:pPr>
      <w:r w:rsidRPr="00F91542">
        <w:rPr>
          <w:rFonts w:cs="Calibri"/>
          <w:bCs/>
          <w:snapToGrid w:val="0"/>
        </w:rPr>
        <w:t xml:space="preserve">There was no </w:t>
      </w:r>
      <w:r w:rsidRPr="00795D1A">
        <w:rPr>
          <w:rFonts w:cs="Calibri"/>
          <w:bCs/>
          <w:snapToGrid w:val="0"/>
        </w:rPr>
        <w:t>hearing for this item.</w:t>
      </w:r>
    </w:p>
    <w:p w14:paraId="3C20C5DE" w14:textId="77777777" w:rsidR="00B70552" w:rsidRPr="00795D1A" w:rsidRDefault="00B70552" w:rsidP="00B70552">
      <w:pPr>
        <w:pStyle w:val="4-SubsectionHeading"/>
      </w:pPr>
      <w:r w:rsidRPr="00795D1A">
        <w:t>Consumer comments</w:t>
      </w:r>
    </w:p>
    <w:p w14:paraId="50539F27" w14:textId="036F7482" w:rsidR="00B70552" w:rsidRPr="00795D1A" w:rsidRDefault="00B70552" w:rsidP="00B70552">
      <w:pPr>
        <w:widowControl w:val="0"/>
        <w:numPr>
          <w:ilvl w:val="1"/>
          <w:numId w:val="1"/>
        </w:numPr>
        <w:spacing w:after="120"/>
        <w:rPr>
          <w:rFonts w:asciiTheme="minorHAnsi" w:hAnsiTheme="minorHAnsi"/>
          <w:bCs/>
          <w:snapToGrid w:val="0"/>
        </w:rPr>
      </w:pPr>
      <w:r w:rsidRPr="00795D1A">
        <w:rPr>
          <w:rFonts w:asciiTheme="minorHAnsi" w:hAnsiTheme="minorHAnsi"/>
          <w:bCs/>
          <w:snapToGrid w:val="0"/>
        </w:rPr>
        <w:t>The PBAC noted and welcomed the input from individuals (4)</w:t>
      </w:r>
      <w:r w:rsidR="009C718A" w:rsidRPr="00795D1A">
        <w:rPr>
          <w:rFonts w:asciiTheme="minorHAnsi" w:hAnsiTheme="minorHAnsi"/>
          <w:bCs/>
          <w:snapToGrid w:val="0"/>
        </w:rPr>
        <w:t xml:space="preserve"> </w:t>
      </w:r>
      <w:r w:rsidRPr="00795D1A">
        <w:rPr>
          <w:rFonts w:asciiTheme="minorHAnsi" w:hAnsiTheme="minorHAnsi"/>
          <w:bCs/>
          <w:snapToGrid w:val="0"/>
        </w:rPr>
        <w:t>and organisation</w:t>
      </w:r>
      <w:r w:rsidR="00356CA7">
        <w:rPr>
          <w:rFonts w:asciiTheme="minorHAnsi" w:hAnsiTheme="minorHAnsi"/>
          <w:bCs/>
          <w:snapToGrid w:val="0"/>
        </w:rPr>
        <w:t>s (2)</w:t>
      </w:r>
      <w:r w:rsidR="00A23EB7" w:rsidRPr="00795D1A">
        <w:rPr>
          <w:rFonts w:asciiTheme="minorHAnsi" w:hAnsiTheme="minorHAnsi"/>
          <w:bCs/>
          <w:snapToGrid w:val="0"/>
        </w:rPr>
        <w:t xml:space="preserve"> </w:t>
      </w:r>
      <w:r w:rsidR="009C718A" w:rsidRPr="00795D1A">
        <w:rPr>
          <w:rFonts w:asciiTheme="minorHAnsi" w:hAnsiTheme="minorHAnsi"/>
          <w:bCs/>
          <w:snapToGrid w:val="0"/>
        </w:rPr>
        <w:t xml:space="preserve"> </w:t>
      </w:r>
      <w:r w:rsidRPr="00795D1A">
        <w:rPr>
          <w:rFonts w:asciiTheme="minorHAnsi" w:hAnsiTheme="minorHAnsi"/>
          <w:bCs/>
          <w:snapToGrid w:val="0"/>
        </w:rPr>
        <w:t xml:space="preserve">via the Consumer Comments facility on the PBS website.  The comments </w:t>
      </w:r>
      <w:r w:rsidR="0069171F" w:rsidRPr="00795D1A">
        <w:rPr>
          <w:rFonts w:asciiTheme="minorHAnsi" w:hAnsiTheme="minorHAnsi"/>
          <w:bCs/>
          <w:snapToGrid w:val="0"/>
        </w:rPr>
        <w:t xml:space="preserve">from individuals </w:t>
      </w:r>
      <w:r w:rsidRPr="00795D1A">
        <w:rPr>
          <w:rFonts w:asciiTheme="minorHAnsi" w:hAnsiTheme="minorHAnsi"/>
          <w:bCs/>
          <w:snapToGrid w:val="0"/>
        </w:rPr>
        <w:t xml:space="preserve">described </w:t>
      </w:r>
      <w:r w:rsidR="00825599" w:rsidRPr="00795D1A">
        <w:rPr>
          <w:rFonts w:asciiTheme="minorHAnsi" w:hAnsiTheme="minorHAnsi"/>
          <w:bCs/>
          <w:snapToGrid w:val="0"/>
        </w:rPr>
        <w:t xml:space="preserve">the </w:t>
      </w:r>
      <w:r w:rsidRPr="00795D1A">
        <w:rPr>
          <w:rFonts w:asciiTheme="minorHAnsi" w:hAnsiTheme="minorHAnsi"/>
          <w:bCs/>
          <w:snapToGrid w:val="0"/>
        </w:rPr>
        <w:t xml:space="preserve">benefits of treatment with </w:t>
      </w:r>
      <w:r w:rsidR="000054B2" w:rsidRPr="00795D1A">
        <w:rPr>
          <w:rFonts w:asciiTheme="minorHAnsi" w:hAnsiTheme="minorHAnsi"/>
          <w:bCs/>
          <w:snapToGrid w:val="0"/>
        </w:rPr>
        <w:t xml:space="preserve">ivacaftor </w:t>
      </w:r>
      <w:r w:rsidR="00825599" w:rsidRPr="00795D1A">
        <w:rPr>
          <w:rFonts w:asciiTheme="minorHAnsi" w:hAnsiTheme="minorHAnsi"/>
          <w:bCs/>
          <w:snapToGrid w:val="0"/>
        </w:rPr>
        <w:t>as life-changing</w:t>
      </w:r>
      <w:r w:rsidR="009B02F6" w:rsidRPr="00795D1A">
        <w:rPr>
          <w:rFonts w:asciiTheme="minorHAnsi" w:hAnsiTheme="minorHAnsi"/>
          <w:bCs/>
          <w:snapToGrid w:val="0"/>
        </w:rPr>
        <w:t xml:space="preserve"> </w:t>
      </w:r>
      <w:r w:rsidR="00825599" w:rsidRPr="00795D1A">
        <w:rPr>
          <w:rFonts w:asciiTheme="minorHAnsi" w:hAnsiTheme="minorHAnsi"/>
          <w:bCs/>
          <w:snapToGrid w:val="0"/>
        </w:rPr>
        <w:t xml:space="preserve">stating early access will extend the lives of children afflicted with CF, prevent irreversible scarring of the lungs and lead to better health outcomes. </w:t>
      </w:r>
      <w:r w:rsidR="00224375" w:rsidRPr="00795D1A">
        <w:rPr>
          <w:rFonts w:asciiTheme="minorHAnsi" w:hAnsiTheme="minorHAnsi"/>
          <w:bCs/>
          <w:snapToGrid w:val="0"/>
        </w:rPr>
        <w:t xml:space="preserve">The comments noted the </w:t>
      </w:r>
      <w:r w:rsidR="00CD1AB2" w:rsidRPr="00795D1A">
        <w:rPr>
          <w:rFonts w:asciiTheme="minorHAnsi" w:hAnsiTheme="minorHAnsi"/>
          <w:bCs/>
          <w:snapToGrid w:val="0"/>
        </w:rPr>
        <w:t xml:space="preserve">positive improvement in health and quality of life.  </w:t>
      </w:r>
    </w:p>
    <w:p w14:paraId="66096A37" w14:textId="79AB2E0C" w:rsidR="00795D1A" w:rsidRPr="00795D1A" w:rsidRDefault="00CD1AB2" w:rsidP="00795D1A">
      <w:pPr>
        <w:widowControl w:val="0"/>
        <w:numPr>
          <w:ilvl w:val="1"/>
          <w:numId w:val="1"/>
        </w:numPr>
        <w:spacing w:after="120"/>
        <w:rPr>
          <w:bCs/>
        </w:rPr>
      </w:pPr>
      <w:r w:rsidRPr="00795D1A">
        <w:rPr>
          <w:rFonts w:asciiTheme="minorHAnsi" w:hAnsiTheme="minorHAnsi"/>
          <w:bCs/>
          <w:snapToGrid w:val="0"/>
        </w:rPr>
        <w:t xml:space="preserve">Cystic Fibrosis Australia </w:t>
      </w:r>
      <w:r w:rsidR="00B66E59" w:rsidRPr="00795D1A">
        <w:rPr>
          <w:rFonts w:asciiTheme="minorHAnsi" w:hAnsiTheme="minorHAnsi"/>
          <w:bCs/>
          <w:snapToGrid w:val="0"/>
        </w:rPr>
        <w:t xml:space="preserve">strongly supported expanding access for infants with CF aged 1 to less than 4 months as early intervention can significantly improve health outcomes and quality of life. </w:t>
      </w:r>
      <w:r w:rsidR="00795D1A" w:rsidRPr="00795D1A">
        <w:rPr>
          <w:rFonts w:asciiTheme="minorHAnsi" w:hAnsiTheme="minorHAnsi"/>
          <w:bCs/>
          <w:snapToGrid w:val="0"/>
        </w:rPr>
        <w:t xml:space="preserve">It was noted that </w:t>
      </w:r>
      <w:r w:rsidR="00795D1A" w:rsidRPr="00795D1A">
        <w:rPr>
          <w:bCs/>
        </w:rPr>
        <w:t xml:space="preserve">initiating ivacaftor therapy in infants can maintain healthier lung function, improve weight gain, and reduce complications. </w:t>
      </w:r>
      <w:r w:rsidR="00962591">
        <w:rPr>
          <w:bCs/>
        </w:rPr>
        <w:t xml:space="preserve">CF Together </w:t>
      </w:r>
      <w:r w:rsidR="007E3EE4">
        <w:rPr>
          <w:bCs/>
        </w:rPr>
        <w:t xml:space="preserve">also provided </w:t>
      </w:r>
      <w:r w:rsidR="00E67F75">
        <w:rPr>
          <w:bCs/>
        </w:rPr>
        <w:t xml:space="preserve">strong </w:t>
      </w:r>
      <w:r w:rsidR="005475AE">
        <w:rPr>
          <w:bCs/>
        </w:rPr>
        <w:t xml:space="preserve">support for </w:t>
      </w:r>
      <w:r w:rsidR="00C25326">
        <w:rPr>
          <w:bCs/>
        </w:rPr>
        <w:t>ivacaftor</w:t>
      </w:r>
      <w:r w:rsidR="00962591">
        <w:rPr>
          <w:bCs/>
        </w:rPr>
        <w:t xml:space="preserve"> being available for CF patients aged 1 to </w:t>
      </w:r>
      <w:r w:rsidR="00660EA9">
        <w:rPr>
          <w:bCs/>
        </w:rPr>
        <w:t xml:space="preserve">less than 4 months of age.  </w:t>
      </w:r>
    </w:p>
    <w:p w14:paraId="609C0765" w14:textId="750EC33B" w:rsidR="00B60939" w:rsidRPr="0098262F" w:rsidRDefault="00B60939" w:rsidP="002E4F02">
      <w:pPr>
        <w:pStyle w:val="4-SubsectionHeading"/>
      </w:pPr>
      <w:r w:rsidRPr="0098262F">
        <w:t>Clinical</w:t>
      </w:r>
      <w:r w:rsidR="00F316A6">
        <w:t xml:space="preserve"> </w:t>
      </w:r>
      <w:r w:rsidR="00D5243B" w:rsidRPr="0098262F">
        <w:t>studies</w:t>
      </w:r>
      <w:bookmarkEnd w:id="18"/>
      <w:bookmarkEnd w:id="19"/>
    </w:p>
    <w:p w14:paraId="1B291044" w14:textId="36ED5328" w:rsidR="00D001B1" w:rsidRPr="00D001B1" w:rsidRDefault="00A73134" w:rsidP="7F77D409">
      <w:pPr>
        <w:pStyle w:val="3-BodyText"/>
        <w:rPr>
          <w:color w:val="0066FF"/>
        </w:rPr>
      </w:pPr>
      <w:r w:rsidRPr="7F77D409">
        <w:t xml:space="preserve">The submission </w:t>
      </w:r>
      <w:r w:rsidR="00D5243B" w:rsidRPr="7F77D409">
        <w:t>wa</w:t>
      </w:r>
      <w:r w:rsidRPr="7F77D409">
        <w:t xml:space="preserve">s based on </w:t>
      </w:r>
      <w:r w:rsidR="007014B4" w:rsidRPr="7F77D409">
        <w:t>two studies</w:t>
      </w:r>
      <w:r w:rsidR="00EA567B">
        <w:t>:</w:t>
      </w:r>
      <w:r w:rsidR="007014B4" w:rsidRPr="7F77D409">
        <w:t xml:space="preserve"> Study VX-15-770-124</w:t>
      </w:r>
      <w:r w:rsidR="00987FA7" w:rsidRPr="7F77D409">
        <w:t xml:space="preserve">-Cohort </w:t>
      </w:r>
      <w:r w:rsidR="00EA567B">
        <w:t xml:space="preserve">8 </w:t>
      </w:r>
      <w:r w:rsidR="00A23347">
        <w:t xml:space="preserve">in patients aged 1 to &lt; 4 months and </w:t>
      </w:r>
      <w:r w:rsidR="007014B4" w:rsidRPr="7F77D409">
        <w:t>Study VX</w:t>
      </w:r>
      <w:r w:rsidR="00D001B1" w:rsidRPr="7F77D409">
        <w:t>15-770-126</w:t>
      </w:r>
      <w:r w:rsidR="00A23347">
        <w:t xml:space="preserve"> in patients aged &lt; 24 months. </w:t>
      </w:r>
    </w:p>
    <w:p w14:paraId="2B59ABAC" w14:textId="090004C6" w:rsidR="00862502" w:rsidRPr="0098262F" w:rsidRDefault="00A73134" w:rsidP="002E4F02">
      <w:pPr>
        <w:pStyle w:val="3-BodyText"/>
      </w:pPr>
      <w:r w:rsidRPr="0098262F">
        <w:t xml:space="preserve">Details of the </w:t>
      </w:r>
      <w:r w:rsidR="00D001B1">
        <w:t>studies</w:t>
      </w:r>
      <w:r w:rsidRPr="0098262F">
        <w:t xml:space="preserve"> presented in the submission are provided i</w:t>
      </w:r>
      <w:r w:rsidR="00D001B1">
        <w:t>n</w:t>
      </w:r>
      <w:r w:rsidR="00B21A01">
        <w:t xml:space="preserve"> </w:t>
      </w:r>
      <w:r w:rsidR="004C4FBD">
        <w:fldChar w:fldCharType="begin" w:fldLock="1"/>
      </w:r>
      <w:r w:rsidR="004C4FBD">
        <w:instrText xml:space="preserve"> REF _Ref184896023 \h </w:instrText>
      </w:r>
      <w:r w:rsidR="004C4FBD">
        <w:fldChar w:fldCharType="separate"/>
      </w:r>
      <w:r w:rsidR="00E22042">
        <w:t xml:space="preserve">Table </w:t>
      </w:r>
      <w:r w:rsidR="00E22042">
        <w:rPr>
          <w:noProof/>
        </w:rPr>
        <w:t>2</w:t>
      </w:r>
      <w:r w:rsidR="004C4FBD">
        <w:fldChar w:fldCharType="end"/>
      </w:r>
      <w:r w:rsidR="004C4FBD">
        <w:t>.</w:t>
      </w:r>
    </w:p>
    <w:p w14:paraId="0AFCF9BF" w14:textId="7CE45C0E" w:rsidR="00D001B1" w:rsidRDefault="004C4FBD" w:rsidP="004C4FBD">
      <w:pPr>
        <w:pStyle w:val="Caption"/>
      </w:pPr>
      <w:bookmarkStart w:id="20" w:name="_Ref184896023"/>
      <w:bookmarkStart w:id="21" w:name="_Toc138682455"/>
      <w:bookmarkStart w:id="22" w:name="_Toc138695850"/>
      <w:bookmarkStart w:id="23" w:name="_Toc138752790"/>
      <w:bookmarkStart w:id="24" w:name="_Toc138752926"/>
      <w:bookmarkStart w:id="25" w:name="_Toc139283858"/>
      <w:bookmarkStart w:id="26" w:name="_Toc180759490"/>
      <w:r>
        <w:lastRenderedPageBreak/>
        <w:t xml:space="preserve">Table </w:t>
      </w:r>
      <w:r w:rsidR="00E22042">
        <w:fldChar w:fldCharType="begin" w:fldLock="1"/>
      </w:r>
      <w:r w:rsidR="00E22042">
        <w:instrText xml:space="preserve"> SEQ Table \* ARABIC </w:instrText>
      </w:r>
      <w:r w:rsidR="00E22042">
        <w:fldChar w:fldCharType="separate"/>
      </w:r>
      <w:r w:rsidR="00E22042">
        <w:rPr>
          <w:noProof/>
        </w:rPr>
        <w:t>2</w:t>
      </w:r>
      <w:r w:rsidR="00E22042">
        <w:rPr>
          <w:noProof/>
        </w:rPr>
        <w:fldChar w:fldCharType="end"/>
      </w:r>
      <w:bookmarkEnd w:id="20"/>
      <w:r>
        <w:t xml:space="preserve">: </w:t>
      </w:r>
      <w:r w:rsidR="00D001B1">
        <w:t>Trials (and associated reports) presented in the submission</w:t>
      </w:r>
      <w:bookmarkEnd w:id="21"/>
      <w:bookmarkEnd w:id="22"/>
      <w:bookmarkEnd w:id="23"/>
      <w:bookmarkEnd w:id="24"/>
      <w:bookmarkEnd w:id="25"/>
      <w:bookmarkEnd w:id="26"/>
    </w:p>
    <w:tbl>
      <w:tblPr>
        <w:tblStyle w:val="TableGrid"/>
        <w:tblW w:w="5000" w:type="pct"/>
        <w:tblLook w:val="04A0" w:firstRow="1" w:lastRow="0" w:firstColumn="1" w:lastColumn="0" w:noHBand="0" w:noVBand="1"/>
      </w:tblPr>
      <w:tblGrid>
        <w:gridCol w:w="1336"/>
        <w:gridCol w:w="4756"/>
        <w:gridCol w:w="2925"/>
      </w:tblGrid>
      <w:tr w:rsidR="00B21A01" w:rsidRPr="00D44D38" w14:paraId="1D27842C" w14:textId="21EC7522" w:rsidTr="7F77D409">
        <w:trPr>
          <w:tblHeader/>
        </w:trPr>
        <w:tc>
          <w:tcPr>
            <w:tcW w:w="741" w:type="pct"/>
            <w:vAlign w:val="bottom"/>
          </w:tcPr>
          <w:p w14:paraId="2605BE6C" w14:textId="544CDA49" w:rsidR="00B21A01" w:rsidRPr="00D44D38" w:rsidRDefault="00B21A01" w:rsidP="00B21A01">
            <w:pPr>
              <w:pStyle w:val="In-tableHeading"/>
              <w:rPr>
                <w:bCs/>
              </w:rPr>
            </w:pPr>
            <w:r>
              <w:t>Trial ID</w:t>
            </w:r>
          </w:p>
        </w:tc>
        <w:tc>
          <w:tcPr>
            <w:tcW w:w="2636" w:type="pct"/>
            <w:vAlign w:val="bottom"/>
          </w:tcPr>
          <w:p w14:paraId="45670B41" w14:textId="632E4CFA" w:rsidR="00B21A01" w:rsidRPr="00D44D38" w:rsidRDefault="00B21A01" w:rsidP="00B21A01">
            <w:pPr>
              <w:pStyle w:val="In-tableHeading"/>
              <w:rPr>
                <w:bCs/>
              </w:rPr>
            </w:pPr>
            <w:r>
              <w:t>Protocol title/publication title</w:t>
            </w:r>
          </w:p>
        </w:tc>
        <w:tc>
          <w:tcPr>
            <w:tcW w:w="1622" w:type="pct"/>
          </w:tcPr>
          <w:p w14:paraId="07566DA6" w14:textId="416E56E3" w:rsidR="00B21A01" w:rsidRPr="00D44D38" w:rsidRDefault="00B21A01" w:rsidP="00B21A01">
            <w:pPr>
              <w:pStyle w:val="In-tableHeading"/>
            </w:pPr>
            <w:r>
              <w:t>Publication citation</w:t>
            </w:r>
          </w:p>
        </w:tc>
      </w:tr>
      <w:tr w:rsidR="00B21A01" w:rsidRPr="00D44D38" w14:paraId="796BD3E2" w14:textId="19B93A0C" w:rsidTr="7F77D409">
        <w:trPr>
          <w:trHeight w:val="1095"/>
        </w:trPr>
        <w:tc>
          <w:tcPr>
            <w:tcW w:w="741" w:type="pct"/>
            <w:vMerge w:val="restart"/>
          </w:tcPr>
          <w:p w14:paraId="1006515F" w14:textId="77777777" w:rsidR="00B21A01" w:rsidRPr="00D44D38" w:rsidRDefault="00B21A01" w:rsidP="00B21A01">
            <w:pPr>
              <w:pStyle w:val="TableText0"/>
            </w:pPr>
            <w:r w:rsidRPr="00D44D38">
              <w:t>Study 124</w:t>
            </w:r>
          </w:p>
          <w:p w14:paraId="5D6C64A1" w14:textId="77777777" w:rsidR="00B21A01" w:rsidRPr="00D44D38" w:rsidRDefault="00B21A01" w:rsidP="00B21A01">
            <w:pPr>
              <w:pStyle w:val="TableText0"/>
            </w:pPr>
            <w:r w:rsidRPr="00D44D38">
              <w:t>VX15-770-124</w:t>
            </w:r>
          </w:p>
          <w:p w14:paraId="225D5A65" w14:textId="77777777" w:rsidR="00B21A01" w:rsidRPr="00D44D38" w:rsidRDefault="00B21A01" w:rsidP="00B21A01">
            <w:pPr>
              <w:pStyle w:val="TableText0"/>
            </w:pPr>
            <w:r w:rsidRPr="00D44D38">
              <w:t>NCT02725567</w:t>
            </w:r>
          </w:p>
        </w:tc>
        <w:tc>
          <w:tcPr>
            <w:tcW w:w="2636" w:type="pct"/>
          </w:tcPr>
          <w:p w14:paraId="22DFA93A" w14:textId="77777777" w:rsidR="00B21A01" w:rsidRPr="00D44D38" w:rsidRDefault="00B21A01" w:rsidP="00B21A01">
            <w:pPr>
              <w:pStyle w:val="TableText0"/>
            </w:pPr>
            <w:r w:rsidRPr="7F77D409">
              <w:t xml:space="preserve">A Phase 3, 2-Part, Open-label Study to Evaluate the Safety, Pharmacokinetics, and Pharmacodynamics of Ivacaftor in Subjects With Cystic Fibrosis Who Are Less Than 24 Months of Age at Treatment Initiation and Have an Ivacaftor-Responsive </w:t>
            </w:r>
            <w:r w:rsidRPr="7F77D409">
              <w:rPr>
                <w:i/>
                <w:iCs/>
              </w:rPr>
              <w:t>CFTR</w:t>
            </w:r>
            <w:r w:rsidRPr="7F77D409">
              <w:t xml:space="preserve"> Mutation. Analysis of Subjects 1 to &lt;4 Months of Age (Part A/B Cohort 8)</w:t>
            </w:r>
          </w:p>
        </w:tc>
        <w:tc>
          <w:tcPr>
            <w:tcW w:w="1622" w:type="pct"/>
          </w:tcPr>
          <w:p w14:paraId="6EDE83F3" w14:textId="77777777" w:rsidR="00B21A01" w:rsidRPr="00D44D38" w:rsidRDefault="00B21A01" w:rsidP="00B21A01">
            <w:pPr>
              <w:pStyle w:val="TableText0"/>
            </w:pPr>
            <w:r w:rsidRPr="00D44D38">
              <w:t xml:space="preserve">Clinical Study Report, Interim Analysis </w:t>
            </w:r>
            <w:r>
              <w:t>4, September 2022</w:t>
            </w:r>
          </w:p>
          <w:p w14:paraId="71F48F6F" w14:textId="77777777" w:rsidR="00B21A01" w:rsidRPr="00D44D38" w:rsidRDefault="00B21A01" w:rsidP="00B21A01">
            <w:pPr>
              <w:pStyle w:val="TableText0"/>
            </w:pPr>
          </w:p>
        </w:tc>
      </w:tr>
      <w:tr w:rsidR="00B21A01" w:rsidRPr="00D44D38" w14:paraId="6044C751" w14:textId="4E2F948D" w:rsidTr="7F77D409">
        <w:trPr>
          <w:trHeight w:val="1095"/>
        </w:trPr>
        <w:tc>
          <w:tcPr>
            <w:tcW w:w="741" w:type="pct"/>
            <w:vMerge/>
          </w:tcPr>
          <w:p w14:paraId="38AC7FAF" w14:textId="77777777" w:rsidR="00B21A01" w:rsidRPr="00D44D38" w:rsidRDefault="00B21A01" w:rsidP="00B21A01">
            <w:pPr>
              <w:pStyle w:val="TableText0"/>
            </w:pPr>
          </w:p>
        </w:tc>
        <w:tc>
          <w:tcPr>
            <w:tcW w:w="2636" w:type="pct"/>
          </w:tcPr>
          <w:p w14:paraId="4CAB3CB5" w14:textId="6085D948" w:rsidR="00B21A01" w:rsidRPr="00D44D38" w:rsidRDefault="00B21A01" w:rsidP="00B21A01">
            <w:pPr>
              <w:pStyle w:val="TableText0"/>
            </w:pPr>
            <w:r w:rsidRPr="7F77D409">
              <w:t xml:space="preserve">McNally P, Singh A, McColley SA, Davies JC, Higgins M, Liu M, Lu J, Rodriguez-Romero V, Shih JL, Rosenfeld M; VX15-770-124 Study Group. Safety and efficacy of ivacaftor in infants aged 1 to less than 4 months with cystic fibrosis. </w:t>
            </w:r>
          </w:p>
        </w:tc>
        <w:tc>
          <w:tcPr>
            <w:tcW w:w="1622" w:type="pct"/>
          </w:tcPr>
          <w:p w14:paraId="1262CF66" w14:textId="09ED98C5" w:rsidR="00B21A01" w:rsidRPr="0001206D" w:rsidRDefault="00B21A01" w:rsidP="00B21A01">
            <w:pPr>
              <w:pStyle w:val="TableText0"/>
            </w:pPr>
            <w:r w:rsidRPr="7F77D409">
              <w:rPr>
                <w:i/>
                <w:iCs/>
              </w:rPr>
              <w:t xml:space="preserve">J Cyst </w:t>
            </w:r>
            <w:proofErr w:type="spellStart"/>
            <w:r w:rsidRPr="7F77D409">
              <w:rPr>
                <w:i/>
                <w:iCs/>
              </w:rPr>
              <w:t>Fibros</w:t>
            </w:r>
            <w:proofErr w:type="spellEnd"/>
            <w:r w:rsidRPr="7F77D409">
              <w:t xml:space="preserve">. 2024 May;23(3):429-435. </w:t>
            </w:r>
            <w:proofErr w:type="spellStart"/>
            <w:r w:rsidRPr="7F77D409">
              <w:t>doi</w:t>
            </w:r>
            <w:proofErr w:type="spellEnd"/>
            <w:r w:rsidRPr="7F77D409">
              <w:t>: 10.1016/j.jcf.2024.03.012.</w:t>
            </w:r>
          </w:p>
        </w:tc>
      </w:tr>
      <w:tr w:rsidR="00B21A01" w:rsidRPr="00D44D38" w14:paraId="38318189" w14:textId="73BB3E4A" w:rsidTr="7F77D409">
        <w:trPr>
          <w:trHeight w:val="1355"/>
        </w:trPr>
        <w:tc>
          <w:tcPr>
            <w:tcW w:w="741" w:type="pct"/>
          </w:tcPr>
          <w:p w14:paraId="499F46EA" w14:textId="77777777" w:rsidR="00B21A01" w:rsidRPr="00D44D38" w:rsidRDefault="00B21A01" w:rsidP="00B21A01">
            <w:pPr>
              <w:pStyle w:val="TableText0"/>
              <w:rPr>
                <w:lang w:val="de-DE"/>
              </w:rPr>
            </w:pPr>
            <w:r w:rsidRPr="00D44D38">
              <w:rPr>
                <w:lang w:val="de-DE"/>
              </w:rPr>
              <w:t>Study 126</w:t>
            </w:r>
          </w:p>
          <w:p w14:paraId="7E706CB3" w14:textId="77777777" w:rsidR="00B21A01" w:rsidRPr="00D44D38" w:rsidRDefault="00B21A01" w:rsidP="00B21A01">
            <w:pPr>
              <w:pStyle w:val="TableText0"/>
              <w:rPr>
                <w:lang w:val="de-DE"/>
              </w:rPr>
            </w:pPr>
            <w:r w:rsidRPr="00D44D38">
              <w:rPr>
                <w:lang w:val="de-DE"/>
              </w:rPr>
              <w:t>VX15-770-126</w:t>
            </w:r>
          </w:p>
          <w:p w14:paraId="3A070C3C" w14:textId="77777777" w:rsidR="00B21A01" w:rsidRPr="00D44D38" w:rsidRDefault="00B21A01" w:rsidP="00B21A01">
            <w:pPr>
              <w:pStyle w:val="TableText0"/>
            </w:pPr>
            <w:r w:rsidRPr="00D44D38">
              <w:rPr>
                <w:lang w:val="de-DE"/>
              </w:rPr>
              <w:t>NCT03277196</w:t>
            </w:r>
          </w:p>
        </w:tc>
        <w:tc>
          <w:tcPr>
            <w:tcW w:w="2636" w:type="pct"/>
          </w:tcPr>
          <w:p w14:paraId="64A56571" w14:textId="77777777" w:rsidR="00B21A01" w:rsidRPr="001A397E" w:rsidRDefault="00B21A01" w:rsidP="00B21A01">
            <w:pPr>
              <w:pStyle w:val="TableText0"/>
              <w:rPr>
                <w:lang w:val="de-DE"/>
              </w:rPr>
            </w:pPr>
            <w:r w:rsidRPr="001A397E">
              <w:t>A Phase 3, 2-Arm, Open-label Study to Evaluate the Safety and Pharmacodynamics of Long-term Ivacaftor Treatment in Subjects With Cystic Fibrosis Who Are Less Than 24 Months of Age at Treatment Initiation and Have an Approved Ivacaftor Responsive Mutation</w:t>
            </w:r>
          </w:p>
        </w:tc>
        <w:tc>
          <w:tcPr>
            <w:tcW w:w="1622" w:type="pct"/>
          </w:tcPr>
          <w:p w14:paraId="6E0BB50F" w14:textId="77777777" w:rsidR="00B21A01" w:rsidRDefault="00B21A01" w:rsidP="00B21A01">
            <w:pPr>
              <w:pStyle w:val="TableText0"/>
              <w:rPr>
                <w:lang w:val="de-DE"/>
              </w:rPr>
            </w:pPr>
            <w:r>
              <w:rPr>
                <w:lang w:val="de-DE"/>
              </w:rPr>
              <w:t>Clinical Study Report 1.0, 14 February 2024</w:t>
            </w:r>
          </w:p>
          <w:p w14:paraId="71518C99" w14:textId="77777777" w:rsidR="00B21A01" w:rsidRDefault="00B21A01" w:rsidP="00B21A01">
            <w:pPr>
              <w:pStyle w:val="TableText0"/>
              <w:rPr>
                <w:lang w:val="de-DE"/>
              </w:rPr>
            </w:pPr>
          </w:p>
        </w:tc>
      </w:tr>
    </w:tbl>
    <w:p w14:paraId="5E43244F" w14:textId="65D34DD7" w:rsidR="00D001B1" w:rsidRPr="00272EA9" w:rsidRDefault="00D001B1" w:rsidP="00D001B1">
      <w:pPr>
        <w:pStyle w:val="TableFigureFooter"/>
      </w:pPr>
      <w:r>
        <w:t xml:space="preserve">Source: Table 2.1, p31 of the submission. </w:t>
      </w:r>
    </w:p>
    <w:p w14:paraId="29CD49CB" w14:textId="25A93548" w:rsidR="00E16E64" w:rsidRPr="00AD71C9" w:rsidRDefault="008F120A" w:rsidP="00832036">
      <w:pPr>
        <w:pStyle w:val="3-BodyText"/>
      </w:pPr>
      <w:r w:rsidRPr="0098262F">
        <w:t xml:space="preserve">The key features of the </w:t>
      </w:r>
      <w:r w:rsidR="007170DA" w:rsidRPr="0098262F">
        <w:t>studies</w:t>
      </w:r>
      <w:r w:rsidRPr="0098262F">
        <w:t xml:space="preserve"> are summarised in</w:t>
      </w:r>
      <w:r w:rsidR="00D6076E" w:rsidRPr="0098262F">
        <w:t xml:space="preserve"> </w:t>
      </w:r>
      <w:r w:rsidR="004C4FBD" w:rsidRPr="00AD71C9">
        <w:fldChar w:fldCharType="begin" w:fldLock="1"/>
      </w:r>
      <w:r w:rsidR="004C4FBD" w:rsidRPr="00AD71C9">
        <w:instrText xml:space="preserve"> REF _Ref184896059 \h </w:instrText>
      </w:r>
      <w:r w:rsidR="00AD71C9">
        <w:instrText xml:space="preserve"> \* MERGEFORMAT </w:instrText>
      </w:r>
      <w:r w:rsidR="004C4FBD" w:rsidRPr="00AD71C9">
        <w:fldChar w:fldCharType="separate"/>
      </w:r>
      <w:r w:rsidR="00E22042" w:rsidRPr="00E22042">
        <w:t>Table 3</w:t>
      </w:r>
      <w:r w:rsidR="004C4FBD" w:rsidRPr="00AD71C9">
        <w:fldChar w:fldCharType="end"/>
      </w:r>
      <w:r w:rsidR="004C4FBD" w:rsidRPr="00AD71C9">
        <w:t>.</w:t>
      </w:r>
      <w:bookmarkStart w:id="27" w:name="_Ref104804098"/>
    </w:p>
    <w:p w14:paraId="355E2F15" w14:textId="2849B2F8" w:rsidR="007F1017" w:rsidRPr="00B21A01" w:rsidRDefault="00696EF9" w:rsidP="00B21A01">
      <w:pPr>
        <w:pStyle w:val="TableFigureHeading"/>
        <w:rPr>
          <w:rStyle w:val="CommentReference"/>
          <w:b/>
          <w:szCs w:val="24"/>
        </w:rPr>
      </w:pPr>
      <w:bookmarkStart w:id="28" w:name="_Ref184896059"/>
      <w:r w:rsidRPr="00B21A01">
        <w:rPr>
          <w:rStyle w:val="CommentReference"/>
          <w:b/>
          <w:szCs w:val="24"/>
        </w:rPr>
        <w:t xml:space="preserve">Table </w:t>
      </w:r>
      <w:r w:rsidRPr="00B21A01">
        <w:rPr>
          <w:rStyle w:val="CommentReference"/>
          <w:b/>
          <w:szCs w:val="24"/>
        </w:rPr>
        <w:fldChar w:fldCharType="begin" w:fldLock="1"/>
      </w:r>
      <w:r w:rsidRPr="00B21A01">
        <w:rPr>
          <w:rStyle w:val="CommentReference"/>
          <w:b/>
          <w:szCs w:val="24"/>
        </w:rPr>
        <w:instrText xml:space="preserve"> SEQ Table \* ARABIC </w:instrText>
      </w:r>
      <w:r w:rsidRPr="00B21A01">
        <w:rPr>
          <w:rStyle w:val="CommentReference"/>
          <w:b/>
          <w:szCs w:val="24"/>
        </w:rPr>
        <w:fldChar w:fldCharType="separate"/>
      </w:r>
      <w:r w:rsidR="00E22042">
        <w:rPr>
          <w:rStyle w:val="CommentReference"/>
          <w:b/>
          <w:noProof/>
          <w:szCs w:val="24"/>
        </w:rPr>
        <w:t>3</w:t>
      </w:r>
      <w:r w:rsidRPr="00B21A01">
        <w:rPr>
          <w:rStyle w:val="CommentReference"/>
          <w:b/>
          <w:szCs w:val="24"/>
        </w:rPr>
        <w:fldChar w:fldCharType="end"/>
      </w:r>
      <w:bookmarkEnd w:id="27"/>
      <w:bookmarkEnd w:id="28"/>
      <w:r w:rsidR="00D6076E" w:rsidRPr="00B21A01">
        <w:rPr>
          <w:rStyle w:val="CommentReference"/>
          <w:b/>
          <w:szCs w:val="24"/>
        </w:rPr>
        <w:t xml:space="preserve">: </w:t>
      </w:r>
      <w:r w:rsidR="007F1017" w:rsidRPr="00B21A01">
        <w:rPr>
          <w:rStyle w:val="CommentReference"/>
          <w:b/>
          <w:szCs w:val="24"/>
        </w:rPr>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19"/>
        <w:gridCol w:w="478"/>
        <w:gridCol w:w="1647"/>
        <w:gridCol w:w="907"/>
        <w:gridCol w:w="2373"/>
        <w:gridCol w:w="2393"/>
      </w:tblGrid>
      <w:tr w:rsidR="00B21A01" w:rsidRPr="0098262F" w14:paraId="53DD7CC6" w14:textId="77777777" w:rsidTr="7F77D409">
        <w:trPr>
          <w:cantSplit/>
          <w:tblHeader/>
        </w:trPr>
        <w:tc>
          <w:tcPr>
            <w:tcW w:w="676" w:type="pct"/>
            <w:vAlign w:val="center"/>
          </w:tcPr>
          <w:p w14:paraId="794116BC" w14:textId="77777777" w:rsidR="00B21A01" w:rsidRPr="0098262F" w:rsidRDefault="00B21A01" w:rsidP="001E34DF">
            <w:pPr>
              <w:pStyle w:val="In-tableHeading"/>
              <w:rPr>
                <w:lang w:val="en-AU"/>
              </w:rPr>
            </w:pPr>
            <w:r w:rsidRPr="0098262F">
              <w:rPr>
                <w:lang w:val="en-AU"/>
              </w:rPr>
              <w:t>Trial</w:t>
            </w:r>
          </w:p>
        </w:tc>
        <w:tc>
          <w:tcPr>
            <w:tcW w:w="265" w:type="pct"/>
            <w:vAlign w:val="center"/>
          </w:tcPr>
          <w:p w14:paraId="51122FE5" w14:textId="77777777" w:rsidR="00B21A01" w:rsidRPr="0098262F" w:rsidRDefault="00B21A01" w:rsidP="00EC5836">
            <w:pPr>
              <w:pStyle w:val="In-tableHeading"/>
              <w:jc w:val="center"/>
              <w:rPr>
                <w:lang w:val="en-AU"/>
              </w:rPr>
            </w:pPr>
            <w:r w:rsidRPr="0098262F">
              <w:rPr>
                <w:lang w:val="en-AU"/>
              </w:rPr>
              <w:t>N</w:t>
            </w:r>
          </w:p>
        </w:tc>
        <w:tc>
          <w:tcPr>
            <w:tcW w:w="913" w:type="pct"/>
            <w:vAlign w:val="center"/>
          </w:tcPr>
          <w:p w14:paraId="41C438EF" w14:textId="77777777" w:rsidR="00B21A01" w:rsidRPr="0098262F" w:rsidRDefault="00B21A01" w:rsidP="00EC5836">
            <w:pPr>
              <w:pStyle w:val="In-tableHeading"/>
              <w:jc w:val="center"/>
              <w:rPr>
                <w:lang w:val="en-AU"/>
              </w:rPr>
            </w:pPr>
            <w:r w:rsidRPr="0098262F">
              <w:rPr>
                <w:lang w:val="en-AU"/>
              </w:rPr>
              <w:t>Design/ duration</w:t>
            </w:r>
          </w:p>
        </w:tc>
        <w:tc>
          <w:tcPr>
            <w:tcW w:w="503" w:type="pct"/>
            <w:vAlign w:val="center"/>
          </w:tcPr>
          <w:p w14:paraId="1FC91360" w14:textId="77777777" w:rsidR="00B21A01" w:rsidRPr="0098262F" w:rsidRDefault="00B21A01" w:rsidP="00EC5836">
            <w:pPr>
              <w:pStyle w:val="In-tableHeading"/>
              <w:jc w:val="center"/>
              <w:rPr>
                <w:lang w:val="en-AU"/>
              </w:rPr>
            </w:pPr>
            <w:r w:rsidRPr="0098262F">
              <w:rPr>
                <w:lang w:val="en-AU"/>
              </w:rPr>
              <w:t>Risk of bias</w:t>
            </w:r>
          </w:p>
        </w:tc>
        <w:tc>
          <w:tcPr>
            <w:tcW w:w="1316" w:type="pct"/>
            <w:vAlign w:val="center"/>
          </w:tcPr>
          <w:p w14:paraId="7FF90896" w14:textId="77777777" w:rsidR="00B21A01" w:rsidRPr="0098262F" w:rsidRDefault="00B21A01" w:rsidP="00EC5836">
            <w:pPr>
              <w:pStyle w:val="In-tableHeading"/>
              <w:jc w:val="center"/>
              <w:rPr>
                <w:lang w:val="en-AU"/>
              </w:rPr>
            </w:pPr>
            <w:r w:rsidRPr="0098262F">
              <w:rPr>
                <w:lang w:val="en-AU"/>
              </w:rPr>
              <w:t>Patient population</w:t>
            </w:r>
          </w:p>
        </w:tc>
        <w:tc>
          <w:tcPr>
            <w:tcW w:w="1328" w:type="pct"/>
            <w:vAlign w:val="center"/>
          </w:tcPr>
          <w:p w14:paraId="0FCB63F9" w14:textId="77777777" w:rsidR="00B21A01" w:rsidRPr="0098262F" w:rsidRDefault="00B21A01" w:rsidP="00EC5836">
            <w:pPr>
              <w:pStyle w:val="In-tableHeading"/>
              <w:jc w:val="center"/>
              <w:rPr>
                <w:lang w:val="en-AU"/>
              </w:rPr>
            </w:pPr>
            <w:r w:rsidRPr="0098262F">
              <w:rPr>
                <w:lang w:val="en-AU"/>
              </w:rPr>
              <w:t>Outcome(s)</w:t>
            </w:r>
          </w:p>
        </w:tc>
      </w:tr>
      <w:tr w:rsidR="00B21A01" w:rsidRPr="0098262F" w14:paraId="4EE88DCB" w14:textId="77777777" w:rsidTr="7F77D409">
        <w:trPr>
          <w:cantSplit/>
        </w:trPr>
        <w:tc>
          <w:tcPr>
            <w:tcW w:w="676" w:type="pct"/>
            <w:vAlign w:val="center"/>
          </w:tcPr>
          <w:p w14:paraId="154777DB" w14:textId="77777777" w:rsidR="00B21A01" w:rsidRDefault="00B21A01" w:rsidP="007E45DC">
            <w:pPr>
              <w:pStyle w:val="TableText0"/>
            </w:pPr>
            <w:r>
              <w:t>VX15-770-124</w:t>
            </w:r>
          </w:p>
          <w:p w14:paraId="6EE77D33" w14:textId="4FA5C431" w:rsidR="00B35A27" w:rsidRPr="0098262F" w:rsidRDefault="00B35A27" w:rsidP="007E45DC">
            <w:pPr>
              <w:pStyle w:val="TableText0"/>
            </w:pPr>
            <w:r>
              <w:t>Cohort 8</w:t>
            </w:r>
          </w:p>
        </w:tc>
        <w:tc>
          <w:tcPr>
            <w:tcW w:w="265" w:type="pct"/>
            <w:vAlign w:val="center"/>
          </w:tcPr>
          <w:p w14:paraId="41BB0E41" w14:textId="27D2DC91" w:rsidR="00B21A01" w:rsidRPr="0098262F" w:rsidRDefault="00B21A01" w:rsidP="007E45DC">
            <w:pPr>
              <w:pStyle w:val="TableText0"/>
            </w:pPr>
            <w:r>
              <w:t>7</w:t>
            </w:r>
          </w:p>
        </w:tc>
        <w:tc>
          <w:tcPr>
            <w:tcW w:w="913" w:type="pct"/>
            <w:vAlign w:val="center"/>
          </w:tcPr>
          <w:p w14:paraId="401EAFDA" w14:textId="4C8E314C" w:rsidR="00B21A01" w:rsidRPr="0098262F" w:rsidRDefault="00B21A01" w:rsidP="007E45DC">
            <w:pPr>
              <w:pStyle w:val="TableText0"/>
            </w:pPr>
            <w:r>
              <w:t xml:space="preserve">OL, MC, single arm, </w:t>
            </w:r>
          </w:p>
          <w:p w14:paraId="744D08AC" w14:textId="53136DAD" w:rsidR="00B21A01" w:rsidRPr="0098262F" w:rsidRDefault="00B21A01" w:rsidP="7F77D409">
            <w:pPr>
              <w:pStyle w:val="TableText0"/>
            </w:pPr>
            <w:r w:rsidRPr="7F77D409">
              <w:t xml:space="preserve">24 </w:t>
            </w:r>
            <w:proofErr w:type="spellStart"/>
            <w:r w:rsidRPr="7F77D409">
              <w:t>wk</w:t>
            </w:r>
            <w:proofErr w:type="spellEnd"/>
          </w:p>
        </w:tc>
        <w:tc>
          <w:tcPr>
            <w:tcW w:w="503" w:type="pct"/>
            <w:vAlign w:val="center"/>
          </w:tcPr>
          <w:p w14:paraId="4A529D74" w14:textId="6C986B3B" w:rsidR="00B21A01" w:rsidRPr="00711314" w:rsidRDefault="00B21A01" w:rsidP="007E45DC">
            <w:pPr>
              <w:pStyle w:val="TableText0"/>
            </w:pPr>
            <w:r w:rsidRPr="00711314">
              <w:t>High</w:t>
            </w:r>
          </w:p>
        </w:tc>
        <w:tc>
          <w:tcPr>
            <w:tcW w:w="1316" w:type="pct"/>
            <w:vAlign w:val="center"/>
          </w:tcPr>
          <w:p w14:paraId="5E6F456D" w14:textId="4E9992EE" w:rsidR="00B21A01" w:rsidRPr="0098262F" w:rsidRDefault="00B21A01" w:rsidP="007E45DC">
            <w:pPr>
              <w:pStyle w:val="TableText0"/>
            </w:pPr>
            <w:r w:rsidRPr="7F77D409">
              <w:t xml:space="preserve">CF, sweat chloride </w:t>
            </w:r>
            <w:r w:rsidRPr="7F77D409">
              <w:rPr>
                <w:rFonts w:ascii="Symbol" w:eastAsia="Symbol" w:hAnsi="Symbol" w:cs="Symbol"/>
              </w:rPr>
              <w:t>³</w:t>
            </w:r>
            <w:r w:rsidRPr="7F77D409">
              <w:t xml:space="preserve"> 60 mmol//L, age 1 to &lt;4 </w:t>
            </w:r>
            <w:proofErr w:type="spellStart"/>
            <w:r w:rsidRPr="7F77D409">
              <w:t>mo</w:t>
            </w:r>
            <w:proofErr w:type="spellEnd"/>
            <w:r w:rsidRPr="7F77D409">
              <w:t xml:space="preserve">; born at </w:t>
            </w:r>
            <w:r w:rsidRPr="7F77D409">
              <w:rPr>
                <w:rFonts w:ascii="Symbol" w:eastAsia="Symbol" w:hAnsi="Symbol" w:cs="Symbol"/>
              </w:rPr>
              <w:t>³</w:t>
            </w:r>
            <w:r w:rsidRPr="7F77D409">
              <w:t xml:space="preserve"> 38 </w:t>
            </w:r>
            <w:proofErr w:type="spellStart"/>
            <w:r w:rsidRPr="7F77D409">
              <w:t>wk</w:t>
            </w:r>
            <w:proofErr w:type="spellEnd"/>
            <w:r w:rsidRPr="7F77D409">
              <w:t xml:space="preserve">; weight </w:t>
            </w:r>
            <w:r w:rsidRPr="7F77D409">
              <w:rPr>
                <w:rFonts w:ascii="Symbol" w:eastAsia="Symbol" w:hAnsi="Symbol" w:cs="Symbol"/>
              </w:rPr>
              <w:t>³</w:t>
            </w:r>
            <w:r w:rsidRPr="7F77D409">
              <w:t xml:space="preserve">3kg aged 1 to &lt;3 </w:t>
            </w:r>
            <w:proofErr w:type="spellStart"/>
            <w:r w:rsidRPr="7F77D409">
              <w:t>mo</w:t>
            </w:r>
            <w:proofErr w:type="spellEnd"/>
            <w:r w:rsidRPr="7F77D409">
              <w:t xml:space="preserve"> and </w:t>
            </w:r>
            <w:r w:rsidRPr="7F77D409">
              <w:rPr>
                <w:rFonts w:ascii="Symbol" w:eastAsia="Symbol" w:hAnsi="Symbol" w:cs="Symbol"/>
              </w:rPr>
              <w:t>³</w:t>
            </w:r>
            <w:r w:rsidRPr="7F77D409">
              <w:t xml:space="preserve">5 kg aged 3 to &lt;4 </w:t>
            </w:r>
            <w:proofErr w:type="spellStart"/>
            <w:r w:rsidRPr="7F77D409">
              <w:t>mo</w:t>
            </w:r>
            <w:proofErr w:type="spellEnd"/>
            <w:r w:rsidRPr="7F77D409">
              <w:t>; most patients had G551D or F508del (or both).</w:t>
            </w:r>
          </w:p>
        </w:tc>
        <w:tc>
          <w:tcPr>
            <w:tcW w:w="1328" w:type="pct"/>
            <w:vAlign w:val="center"/>
          </w:tcPr>
          <w:p w14:paraId="6DC76214" w14:textId="4963865D" w:rsidR="00B21A01" w:rsidRPr="0098262F" w:rsidRDefault="00B21A01" w:rsidP="007E45DC">
            <w:pPr>
              <w:pStyle w:val="TableText0"/>
            </w:pPr>
            <w:r>
              <w:t xml:space="preserve">Safety and pharmacokinetics (co-primary); pharmacodynamics (secondary); efficacy (tertiary). </w:t>
            </w:r>
          </w:p>
        </w:tc>
      </w:tr>
      <w:tr w:rsidR="00B21A01" w:rsidRPr="0098262F" w14:paraId="13A6895C" w14:textId="77777777" w:rsidTr="7F77D409">
        <w:trPr>
          <w:cantSplit/>
        </w:trPr>
        <w:tc>
          <w:tcPr>
            <w:tcW w:w="676" w:type="pct"/>
            <w:vAlign w:val="center"/>
          </w:tcPr>
          <w:p w14:paraId="4A9488B3" w14:textId="681127D8" w:rsidR="00B21A01" w:rsidRPr="0098262F" w:rsidRDefault="00B21A01" w:rsidP="007E45DC">
            <w:pPr>
              <w:pStyle w:val="TableText0"/>
            </w:pPr>
            <w:r>
              <w:t>VX15-770-126</w:t>
            </w:r>
          </w:p>
        </w:tc>
        <w:tc>
          <w:tcPr>
            <w:tcW w:w="265" w:type="pct"/>
            <w:vAlign w:val="center"/>
          </w:tcPr>
          <w:p w14:paraId="3F4D20B5" w14:textId="75FAE55A" w:rsidR="00B21A01" w:rsidRPr="0098262F" w:rsidRDefault="00B21A01" w:rsidP="007E45DC">
            <w:pPr>
              <w:pStyle w:val="TableText0"/>
            </w:pPr>
            <w:r>
              <w:t>86</w:t>
            </w:r>
          </w:p>
        </w:tc>
        <w:tc>
          <w:tcPr>
            <w:tcW w:w="913" w:type="pct"/>
            <w:vAlign w:val="center"/>
          </w:tcPr>
          <w:p w14:paraId="0CEC85E4" w14:textId="0DBBD3B7" w:rsidR="00B21A01" w:rsidRPr="0098262F" w:rsidRDefault="00B21A01" w:rsidP="007E45DC">
            <w:pPr>
              <w:pStyle w:val="TableText0"/>
            </w:pPr>
            <w:r w:rsidRPr="7F77D409">
              <w:t xml:space="preserve">OL, MC, single arm, 96 </w:t>
            </w:r>
            <w:proofErr w:type="spellStart"/>
            <w:r w:rsidRPr="7F77D409">
              <w:t>wk</w:t>
            </w:r>
            <w:proofErr w:type="spellEnd"/>
            <w:r w:rsidRPr="7F77D409">
              <w:t xml:space="preserve">; observation cohort planned but no patients were enrolled. </w:t>
            </w:r>
          </w:p>
          <w:p w14:paraId="68D92FE7" w14:textId="3CD83AE7" w:rsidR="00B21A01" w:rsidRPr="0098262F" w:rsidRDefault="00B21A01" w:rsidP="007E45DC">
            <w:pPr>
              <w:pStyle w:val="TableText0"/>
            </w:pPr>
          </w:p>
        </w:tc>
        <w:tc>
          <w:tcPr>
            <w:tcW w:w="503" w:type="pct"/>
            <w:vAlign w:val="center"/>
          </w:tcPr>
          <w:p w14:paraId="6F0F93F8" w14:textId="77777777" w:rsidR="00B21A01" w:rsidRPr="00711314" w:rsidRDefault="00B21A01" w:rsidP="007E45DC">
            <w:pPr>
              <w:pStyle w:val="TableText0"/>
            </w:pPr>
            <w:r w:rsidRPr="00711314">
              <w:t>High</w:t>
            </w:r>
          </w:p>
        </w:tc>
        <w:tc>
          <w:tcPr>
            <w:tcW w:w="1316" w:type="pct"/>
            <w:vAlign w:val="center"/>
          </w:tcPr>
          <w:p w14:paraId="43AC963E" w14:textId="10257004" w:rsidR="00B21A01" w:rsidRPr="0098262F" w:rsidRDefault="00B21A01" w:rsidP="007E45DC">
            <w:pPr>
              <w:pStyle w:val="TableText0"/>
            </w:pPr>
            <w:r w:rsidRPr="7F77D409">
              <w:t xml:space="preserve">Age &lt; 24 </w:t>
            </w:r>
            <w:proofErr w:type="spellStart"/>
            <w:r w:rsidRPr="7F77D409">
              <w:t>mo</w:t>
            </w:r>
            <w:proofErr w:type="spellEnd"/>
            <w:r w:rsidRPr="7F77D409">
              <w:t xml:space="preserve">; patients completing 24 </w:t>
            </w:r>
            <w:proofErr w:type="spellStart"/>
            <w:r w:rsidRPr="7F77D409">
              <w:t>wk</w:t>
            </w:r>
            <w:proofErr w:type="spellEnd"/>
            <w:r w:rsidRPr="7F77D409">
              <w:t xml:space="preserve"> treatment in VX15-770-124 (N = 38) </w:t>
            </w:r>
            <w:r w:rsidRPr="7F77D409">
              <w:rPr>
                <w:i/>
                <w:iCs/>
              </w:rPr>
              <w:t>or</w:t>
            </w:r>
            <w:r w:rsidRPr="7F77D409">
              <w:t xml:space="preserve"> enrolled in VX15-770-124 Part A only </w:t>
            </w:r>
            <w:r w:rsidRPr="7F77D409">
              <w:rPr>
                <w:i/>
                <w:iCs/>
              </w:rPr>
              <w:t>or</w:t>
            </w:r>
            <w:r w:rsidRPr="7F77D409">
              <w:t xml:space="preserve"> not previously exposed to IVA (N = 48); 46/86 had G551D + F508del and 83/86 had either G551D or F508del. </w:t>
            </w:r>
          </w:p>
        </w:tc>
        <w:tc>
          <w:tcPr>
            <w:tcW w:w="1328" w:type="pct"/>
            <w:vAlign w:val="center"/>
          </w:tcPr>
          <w:p w14:paraId="4F0C99D2" w14:textId="27388658" w:rsidR="00B21A01" w:rsidRPr="0098262F" w:rsidRDefault="00B21A01" w:rsidP="007E45DC">
            <w:pPr>
              <w:pStyle w:val="TableText0"/>
            </w:pPr>
            <w:r>
              <w:t>Safety (primary); pharmacokinetics (secondary); efficacy (tertiary).</w:t>
            </w:r>
          </w:p>
        </w:tc>
      </w:tr>
    </w:tbl>
    <w:p w14:paraId="560080D2" w14:textId="252520C3" w:rsidR="00045017" w:rsidRPr="0098262F" w:rsidRDefault="00045017" w:rsidP="00EC5836">
      <w:pPr>
        <w:pStyle w:val="FooterTableFigure"/>
      </w:pPr>
      <w:r w:rsidRPr="0098262F">
        <w:t xml:space="preserve">Source: </w:t>
      </w:r>
      <w:r w:rsidR="00832036">
        <w:t>VX15-770-124 CSR; VX15-770-126 CSR</w:t>
      </w:r>
    </w:p>
    <w:p w14:paraId="1095487C" w14:textId="11BA9544" w:rsidR="00620C25" w:rsidRPr="0098262F" w:rsidRDefault="00832036" w:rsidP="7F77D409">
      <w:pPr>
        <w:pStyle w:val="FooterTableFigure"/>
        <w:rPr>
          <w:sz w:val="20"/>
          <w:szCs w:val="20"/>
        </w:rPr>
      </w:pPr>
      <w:r w:rsidRPr="7F77D409">
        <w:t>CF = cystic fibrosis; IVA. = ivacaftor; MC = multi-centre;</w:t>
      </w:r>
      <w:r w:rsidR="00711314" w:rsidRPr="7F77D409">
        <w:t xml:space="preserve"> </w:t>
      </w:r>
      <w:proofErr w:type="spellStart"/>
      <w:r w:rsidR="00711314" w:rsidRPr="7F77D409">
        <w:t>mo</w:t>
      </w:r>
      <w:proofErr w:type="spellEnd"/>
      <w:r w:rsidR="00711314" w:rsidRPr="7F77D409">
        <w:t xml:space="preserve"> = months;</w:t>
      </w:r>
      <w:r w:rsidRPr="7F77D409">
        <w:t xml:space="preserve"> </w:t>
      </w:r>
      <w:r w:rsidR="00620C25" w:rsidRPr="7F77D409">
        <w:t>OL = open label.</w:t>
      </w:r>
    </w:p>
    <w:p w14:paraId="7B3120EE" w14:textId="020898D5" w:rsidR="007603F0" w:rsidRPr="002B4F31" w:rsidRDefault="007603F0" w:rsidP="002B4F31">
      <w:pPr>
        <w:pStyle w:val="3-BodyText"/>
        <w:rPr>
          <w:color w:val="0066FF"/>
        </w:rPr>
      </w:pPr>
      <w:r>
        <w:rPr>
          <w:lang w:val="en-GB"/>
        </w:rPr>
        <w:t xml:space="preserve">Of the seven subjects in Cohort 8 of VX15-770-124, </w:t>
      </w:r>
      <w:r w:rsidR="00144934">
        <w:rPr>
          <w:lang w:val="en-GB"/>
        </w:rPr>
        <w:t xml:space="preserve">two patients had </w:t>
      </w:r>
      <w:r w:rsidR="00144934" w:rsidRPr="0042387E">
        <w:rPr>
          <w:i/>
          <w:iCs/>
          <w:lang w:val="en-GB"/>
        </w:rPr>
        <w:t>G115D/F508del</w:t>
      </w:r>
      <w:r w:rsidR="00144934">
        <w:rPr>
          <w:lang w:val="en-GB"/>
        </w:rPr>
        <w:t xml:space="preserve"> </w:t>
      </w:r>
      <w:r w:rsidR="0042387E">
        <w:rPr>
          <w:lang w:val="en-GB"/>
        </w:rPr>
        <w:t>genotype</w:t>
      </w:r>
      <w:r w:rsidR="003654B5">
        <w:rPr>
          <w:lang w:val="en-GB"/>
        </w:rPr>
        <w:t xml:space="preserve"> and two had </w:t>
      </w:r>
      <w:r w:rsidR="00877AAC">
        <w:rPr>
          <w:lang w:val="en-GB"/>
        </w:rPr>
        <w:t xml:space="preserve">at least one copy of </w:t>
      </w:r>
      <w:r w:rsidR="003654B5" w:rsidRPr="00A05948">
        <w:rPr>
          <w:i/>
          <w:iCs/>
          <w:lang w:val="en-GB"/>
        </w:rPr>
        <w:t>G115D</w:t>
      </w:r>
      <w:r w:rsidR="003654B5">
        <w:rPr>
          <w:lang w:val="en-GB"/>
        </w:rPr>
        <w:t xml:space="preserve">. </w:t>
      </w:r>
      <w:r>
        <w:rPr>
          <w:lang w:val="en-GB"/>
        </w:rPr>
        <w:t xml:space="preserve"> </w:t>
      </w:r>
      <w:r w:rsidRPr="002B4F31">
        <w:rPr>
          <w:lang w:val="en-GB"/>
        </w:rPr>
        <w:t xml:space="preserve">Of the 86 </w:t>
      </w:r>
      <w:r w:rsidRPr="008339F1">
        <w:rPr>
          <w:lang w:val="en-GB"/>
        </w:rPr>
        <w:t>patients in VX-15-770-126, 68</w:t>
      </w:r>
      <w:r w:rsidR="002B4F31" w:rsidRPr="008339F1">
        <w:rPr>
          <w:lang w:val="en-GB"/>
        </w:rPr>
        <w:t xml:space="preserve"> </w:t>
      </w:r>
      <w:r w:rsidRPr="008339F1">
        <w:rPr>
          <w:lang w:val="en-GB"/>
        </w:rPr>
        <w:t xml:space="preserve">(79.1%) had at least one copy of </w:t>
      </w:r>
      <w:r w:rsidRPr="008655EB">
        <w:rPr>
          <w:i/>
          <w:iCs/>
          <w:lang w:val="en-GB"/>
        </w:rPr>
        <w:t>G551D</w:t>
      </w:r>
      <w:r w:rsidRPr="008339F1">
        <w:rPr>
          <w:lang w:val="en-GB"/>
        </w:rPr>
        <w:t xml:space="preserve">. </w:t>
      </w:r>
      <w:r w:rsidR="002B4F31" w:rsidRPr="008339F1">
        <w:rPr>
          <w:lang w:val="en-GB"/>
        </w:rPr>
        <w:t>The</w:t>
      </w:r>
      <w:r w:rsidR="002B4F31" w:rsidRPr="00046893">
        <w:rPr>
          <w:i/>
          <w:iCs/>
          <w:lang w:val="en-GB"/>
        </w:rPr>
        <w:t xml:space="preserve"> </w:t>
      </w:r>
      <w:r w:rsidR="002B4F31" w:rsidRPr="007C71B5">
        <w:rPr>
          <w:lang w:val="en-GB"/>
        </w:rPr>
        <w:t>evaluation noted</w:t>
      </w:r>
      <w:r w:rsidR="002B4F31">
        <w:rPr>
          <w:lang w:val="en-GB"/>
        </w:rPr>
        <w:t xml:space="preserve"> n</w:t>
      </w:r>
      <w:r w:rsidRPr="002B4F31">
        <w:rPr>
          <w:lang w:val="en-GB"/>
        </w:rPr>
        <w:t>either of these studies provide</w:t>
      </w:r>
      <w:r w:rsidR="00046893">
        <w:rPr>
          <w:lang w:val="en-GB"/>
        </w:rPr>
        <w:t>d</w:t>
      </w:r>
      <w:r w:rsidRPr="002B4F31">
        <w:rPr>
          <w:lang w:val="en-GB"/>
        </w:rPr>
        <w:t xml:space="preserve"> any meaningful data on patients with mutations other than </w:t>
      </w:r>
      <w:r w:rsidRPr="002B4F31">
        <w:rPr>
          <w:i/>
          <w:iCs/>
          <w:lang w:val="en-GB"/>
        </w:rPr>
        <w:t>G551D</w:t>
      </w:r>
      <w:r w:rsidR="00A602E9" w:rsidRPr="002B4F31">
        <w:rPr>
          <w:lang w:val="en-GB"/>
        </w:rPr>
        <w:t>.</w:t>
      </w:r>
    </w:p>
    <w:p w14:paraId="4A4FE085" w14:textId="1C5613CC" w:rsidR="00B60939" w:rsidRPr="0098262F" w:rsidRDefault="00B60939" w:rsidP="00EC5836">
      <w:pPr>
        <w:pStyle w:val="4-SubsectionHeading"/>
      </w:pPr>
      <w:bookmarkStart w:id="29" w:name="_Toc22897641"/>
      <w:bookmarkStart w:id="30" w:name="_Toc187661084"/>
      <w:r w:rsidRPr="0098262F">
        <w:t>Comparative effectiveness</w:t>
      </w:r>
      <w:bookmarkEnd w:id="29"/>
      <w:bookmarkEnd w:id="30"/>
    </w:p>
    <w:p w14:paraId="3E3A2B53" w14:textId="77777777" w:rsidR="0022671B" w:rsidRDefault="00F316A6" w:rsidP="00F316A6">
      <w:pPr>
        <w:pStyle w:val="3-BodyText"/>
      </w:pPr>
      <w:r w:rsidRPr="7F77D409">
        <w:t xml:space="preserve">It is impractical to measure lung function in very small children. </w:t>
      </w:r>
      <w:r w:rsidR="00530A19" w:rsidRPr="7F77D409">
        <w:t xml:space="preserve">Sweat chloride was presented as evidence of ivacaftor effect. </w:t>
      </w:r>
      <w:r w:rsidR="00CB3655" w:rsidRPr="7F77D409">
        <w:t xml:space="preserve">The submission presented the same </w:t>
      </w:r>
      <w:r w:rsidR="00CB3655" w:rsidRPr="7F77D409">
        <w:lastRenderedPageBreak/>
        <w:t xml:space="preserve">discussion of the significance of change in sweat chloride as for the submission for ivacaftor in November 2023 </w:t>
      </w:r>
      <w:r w:rsidR="00FF1D27" w:rsidRPr="7F77D409">
        <w:t>(para 6.67, ivacaftor PSD, November 2023 PBAC meeting)</w:t>
      </w:r>
      <w:r w:rsidR="0022671B" w:rsidRPr="7F77D409">
        <w:t>.</w:t>
      </w:r>
    </w:p>
    <w:p w14:paraId="697749EE" w14:textId="6AF68D0F" w:rsidR="00BF609F" w:rsidRDefault="00BF609F" w:rsidP="00F316A6">
      <w:pPr>
        <w:pStyle w:val="3-BodyText"/>
      </w:pPr>
      <w:r w:rsidRPr="7F77D409">
        <w:t xml:space="preserve">Other outcomes previously considered by PBAC </w:t>
      </w:r>
      <w:r w:rsidR="00A65080" w:rsidRPr="7F77D409">
        <w:t xml:space="preserve">as relevant </w:t>
      </w:r>
      <w:r w:rsidRPr="7F77D409">
        <w:t xml:space="preserve">are nutritional status, pulmonary exacerbations and </w:t>
      </w:r>
      <w:proofErr w:type="spellStart"/>
      <w:r w:rsidRPr="7F77D409">
        <w:t>fecal</w:t>
      </w:r>
      <w:proofErr w:type="spellEnd"/>
      <w:r w:rsidRPr="7F77D409">
        <w:t xml:space="preserve"> elastase-1 as an indication of pancreatic insufficiency. </w:t>
      </w:r>
    </w:p>
    <w:p w14:paraId="6559E801" w14:textId="19FFE357" w:rsidR="00BF609F" w:rsidRDefault="00BF609F" w:rsidP="00BF609F">
      <w:pPr>
        <w:pStyle w:val="3-BodyText"/>
      </w:pPr>
      <w:r>
        <w:t xml:space="preserve">Efficacy data are shown in </w:t>
      </w:r>
      <w:r w:rsidR="00AD71C9">
        <w:fldChar w:fldCharType="begin" w:fldLock="1"/>
      </w:r>
      <w:r w:rsidR="00AD71C9">
        <w:instrText xml:space="preserve"> REF _Ref184987742 \h </w:instrText>
      </w:r>
      <w:r w:rsidR="00AD71C9">
        <w:fldChar w:fldCharType="separate"/>
      </w:r>
      <w:r w:rsidR="00A6545D">
        <w:t xml:space="preserve">Table </w:t>
      </w:r>
      <w:r w:rsidR="00A6545D">
        <w:rPr>
          <w:noProof/>
        </w:rPr>
        <w:t>4</w:t>
      </w:r>
      <w:r w:rsidR="00AD71C9">
        <w:fldChar w:fldCharType="end"/>
      </w:r>
      <w:r w:rsidR="00903B2B">
        <w:t>.</w:t>
      </w:r>
    </w:p>
    <w:p w14:paraId="45266905" w14:textId="0FBCB79D" w:rsidR="00BF609F" w:rsidRDefault="00AD71C9" w:rsidP="00577F81">
      <w:pPr>
        <w:pStyle w:val="Caption"/>
      </w:pPr>
      <w:bookmarkStart w:id="31" w:name="_Ref184987742"/>
      <w:r>
        <w:t xml:space="preserve">Table </w:t>
      </w:r>
      <w:r w:rsidR="00A6545D">
        <w:fldChar w:fldCharType="begin" w:fldLock="1"/>
      </w:r>
      <w:r w:rsidR="00A6545D">
        <w:instrText xml:space="preserve"> SEQ Table \* ARABIC </w:instrText>
      </w:r>
      <w:r w:rsidR="00A6545D">
        <w:fldChar w:fldCharType="separate"/>
      </w:r>
      <w:r w:rsidR="00A6545D">
        <w:rPr>
          <w:noProof/>
        </w:rPr>
        <w:t>4</w:t>
      </w:r>
      <w:r w:rsidR="00A6545D">
        <w:rPr>
          <w:noProof/>
        </w:rPr>
        <w:fldChar w:fldCharType="end"/>
      </w:r>
      <w:bookmarkEnd w:id="31"/>
      <w:r>
        <w:t xml:space="preserve">: </w:t>
      </w:r>
      <w:r w:rsidR="00BF609F">
        <w:t xml:space="preserve">Efficacy outcomes in the submitted studies. </w:t>
      </w:r>
    </w:p>
    <w:tbl>
      <w:tblPr>
        <w:tblStyle w:val="TableGrid"/>
        <w:tblW w:w="0" w:type="auto"/>
        <w:tblInd w:w="-5" w:type="dxa"/>
        <w:tblLook w:val="04A0" w:firstRow="1" w:lastRow="0" w:firstColumn="1" w:lastColumn="0" w:noHBand="0" w:noVBand="1"/>
      </w:tblPr>
      <w:tblGrid>
        <w:gridCol w:w="2694"/>
        <w:gridCol w:w="1559"/>
        <w:gridCol w:w="1559"/>
        <w:gridCol w:w="1701"/>
        <w:gridCol w:w="1509"/>
      </w:tblGrid>
      <w:tr w:rsidR="00BF609F" w14:paraId="1C1652DB" w14:textId="77777777" w:rsidTr="7F77D409">
        <w:trPr>
          <w:trHeight w:val="1027"/>
        </w:trPr>
        <w:tc>
          <w:tcPr>
            <w:tcW w:w="2694" w:type="dxa"/>
            <w:vMerge w:val="restart"/>
          </w:tcPr>
          <w:p w14:paraId="6D97CBEA" w14:textId="77777777" w:rsidR="00BF609F" w:rsidRDefault="00BF609F" w:rsidP="00577F81">
            <w:pPr>
              <w:pStyle w:val="3-BodyText"/>
              <w:keepNext/>
              <w:keepLines/>
              <w:numPr>
                <w:ilvl w:val="0"/>
                <w:numId w:val="0"/>
              </w:numPr>
            </w:pPr>
          </w:p>
        </w:tc>
        <w:tc>
          <w:tcPr>
            <w:tcW w:w="3118" w:type="dxa"/>
            <w:gridSpan w:val="2"/>
          </w:tcPr>
          <w:p w14:paraId="7376CDCF" w14:textId="77777777" w:rsidR="00BF609F" w:rsidRDefault="00BF609F" w:rsidP="00577F81">
            <w:pPr>
              <w:pStyle w:val="In-tableHeading"/>
            </w:pPr>
            <w:r>
              <w:t>VX15-770-124</w:t>
            </w:r>
          </w:p>
          <w:p w14:paraId="2FC27D81" w14:textId="77777777" w:rsidR="00BF609F" w:rsidRDefault="00BF609F" w:rsidP="00577F81">
            <w:pPr>
              <w:pStyle w:val="In-tableHeading"/>
            </w:pPr>
            <w:r>
              <w:t>N = 7</w:t>
            </w:r>
          </w:p>
          <w:p w14:paraId="535588B7" w14:textId="77777777" w:rsidR="00BF609F" w:rsidRDefault="00BF609F" w:rsidP="00577F81">
            <w:pPr>
              <w:pStyle w:val="In-tableHeading"/>
            </w:pPr>
          </w:p>
        </w:tc>
        <w:tc>
          <w:tcPr>
            <w:tcW w:w="3210" w:type="dxa"/>
            <w:gridSpan w:val="2"/>
          </w:tcPr>
          <w:p w14:paraId="136ABFEE" w14:textId="77777777" w:rsidR="00BF609F" w:rsidRDefault="00BF609F" w:rsidP="00577F81">
            <w:pPr>
              <w:pStyle w:val="In-tableHeading"/>
            </w:pPr>
            <w:r>
              <w:t>VX15-770-126</w:t>
            </w:r>
          </w:p>
          <w:p w14:paraId="0151D313" w14:textId="77777777" w:rsidR="00BF609F" w:rsidRDefault="00BF609F" w:rsidP="00577F81">
            <w:pPr>
              <w:pStyle w:val="In-tableHeading"/>
            </w:pPr>
            <w:r>
              <w:t>N = 86</w:t>
            </w:r>
          </w:p>
          <w:p w14:paraId="3B1B2990" w14:textId="77777777" w:rsidR="00BF609F" w:rsidRDefault="00BF609F" w:rsidP="00577F81">
            <w:pPr>
              <w:pStyle w:val="In-tableHeading"/>
            </w:pPr>
          </w:p>
        </w:tc>
      </w:tr>
      <w:tr w:rsidR="00BF609F" w14:paraId="1BE53D04" w14:textId="77777777" w:rsidTr="7F77D409">
        <w:trPr>
          <w:trHeight w:val="1026"/>
        </w:trPr>
        <w:tc>
          <w:tcPr>
            <w:tcW w:w="2694" w:type="dxa"/>
            <w:vMerge/>
          </w:tcPr>
          <w:p w14:paraId="1F755CD3" w14:textId="77777777" w:rsidR="00BF609F" w:rsidRDefault="00BF609F" w:rsidP="00577F81">
            <w:pPr>
              <w:pStyle w:val="3-BodyText"/>
              <w:keepNext/>
              <w:keepLines/>
              <w:numPr>
                <w:ilvl w:val="0"/>
                <w:numId w:val="0"/>
              </w:numPr>
            </w:pPr>
          </w:p>
        </w:tc>
        <w:tc>
          <w:tcPr>
            <w:tcW w:w="1559" w:type="dxa"/>
          </w:tcPr>
          <w:p w14:paraId="7476C624" w14:textId="77777777" w:rsidR="00BF609F" w:rsidRDefault="00BF609F" w:rsidP="00577F81">
            <w:pPr>
              <w:pStyle w:val="In-tableHeading"/>
            </w:pPr>
            <w:r>
              <w:t>Baseline</w:t>
            </w:r>
          </w:p>
        </w:tc>
        <w:tc>
          <w:tcPr>
            <w:tcW w:w="1559" w:type="dxa"/>
          </w:tcPr>
          <w:p w14:paraId="0B9C5BD3" w14:textId="77777777" w:rsidR="00BF609F" w:rsidRDefault="00BF609F" w:rsidP="00577F81">
            <w:pPr>
              <w:pStyle w:val="In-tableHeading"/>
            </w:pPr>
            <w:r>
              <w:t>Absolute Change from Baseline to 24 wk</w:t>
            </w:r>
            <w:r w:rsidRPr="00846346">
              <w:rPr>
                <w:vertAlign w:val="superscript"/>
              </w:rPr>
              <w:t>1</w:t>
            </w:r>
          </w:p>
        </w:tc>
        <w:tc>
          <w:tcPr>
            <w:tcW w:w="1701" w:type="dxa"/>
          </w:tcPr>
          <w:p w14:paraId="087B742A" w14:textId="77777777" w:rsidR="00BF609F" w:rsidRDefault="00BF609F" w:rsidP="00577F81">
            <w:pPr>
              <w:pStyle w:val="In-tableHeading"/>
            </w:pPr>
            <w:r>
              <w:t>Baseline</w:t>
            </w:r>
          </w:p>
        </w:tc>
        <w:tc>
          <w:tcPr>
            <w:tcW w:w="1509" w:type="dxa"/>
          </w:tcPr>
          <w:p w14:paraId="03241FD1" w14:textId="77777777" w:rsidR="00BF609F" w:rsidRDefault="00BF609F" w:rsidP="00577F81">
            <w:pPr>
              <w:pStyle w:val="In-tableHeading"/>
            </w:pPr>
            <w:r>
              <w:t xml:space="preserve">Absolute Change from Baseline to 96 </w:t>
            </w:r>
            <w:proofErr w:type="spellStart"/>
            <w:r>
              <w:t>wk</w:t>
            </w:r>
            <w:proofErr w:type="spellEnd"/>
          </w:p>
        </w:tc>
      </w:tr>
      <w:tr w:rsidR="00BF609F" w14:paraId="3A679F71" w14:textId="77777777" w:rsidTr="7F77D409">
        <w:tc>
          <w:tcPr>
            <w:tcW w:w="2694" w:type="dxa"/>
          </w:tcPr>
          <w:p w14:paraId="44627CC0" w14:textId="77777777" w:rsidR="00BF609F" w:rsidRDefault="00BF609F" w:rsidP="00577F81">
            <w:pPr>
              <w:pStyle w:val="TableText0"/>
            </w:pPr>
            <w:r>
              <w:t>Sweat Chloride, mmol/L</w:t>
            </w:r>
          </w:p>
          <w:p w14:paraId="1158A85F" w14:textId="77777777" w:rsidR="00BF609F" w:rsidRDefault="00BF609F" w:rsidP="00577F81">
            <w:pPr>
              <w:pStyle w:val="TableText0"/>
              <w:jc w:val="right"/>
            </w:pPr>
            <w:r>
              <w:t>n</w:t>
            </w:r>
          </w:p>
          <w:p w14:paraId="113FF717" w14:textId="77777777" w:rsidR="00BF609F" w:rsidRDefault="00BF609F" w:rsidP="00577F81">
            <w:pPr>
              <w:pStyle w:val="TableText0"/>
              <w:jc w:val="right"/>
            </w:pPr>
            <w:r>
              <w:t>Mean (SD)</w:t>
            </w:r>
          </w:p>
          <w:p w14:paraId="5DF6F822" w14:textId="77777777" w:rsidR="00BF609F" w:rsidRDefault="00BF609F" w:rsidP="00577F81">
            <w:pPr>
              <w:pStyle w:val="TableText0"/>
              <w:jc w:val="right"/>
            </w:pPr>
            <w:r>
              <w:t>Median (range)</w:t>
            </w:r>
          </w:p>
        </w:tc>
        <w:tc>
          <w:tcPr>
            <w:tcW w:w="1559" w:type="dxa"/>
          </w:tcPr>
          <w:p w14:paraId="669A14D4" w14:textId="77777777" w:rsidR="00BF609F" w:rsidRDefault="00BF609F" w:rsidP="00577F81">
            <w:pPr>
              <w:pStyle w:val="TableText0"/>
            </w:pPr>
          </w:p>
          <w:p w14:paraId="401DF91C" w14:textId="77777777" w:rsidR="00BF609F" w:rsidRDefault="00BF609F" w:rsidP="00577F81">
            <w:pPr>
              <w:pStyle w:val="TableText0"/>
            </w:pPr>
            <w:r>
              <w:t>7</w:t>
            </w:r>
          </w:p>
          <w:p w14:paraId="58EA76D2" w14:textId="77777777" w:rsidR="00BF609F" w:rsidRDefault="00BF609F" w:rsidP="00577F81">
            <w:pPr>
              <w:pStyle w:val="TableText0"/>
            </w:pPr>
            <w:r>
              <w:t>73.8 (19.1)</w:t>
            </w:r>
          </w:p>
          <w:p w14:paraId="35DD335A" w14:textId="77777777" w:rsidR="00BF609F" w:rsidRDefault="00BF609F" w:rsidP="00577F81">
            <w:pPr>
              <w:pStyle w:val="TableText0"/>
            </w:pPr>
            <w:r>
              <w:t>69.0 (49.0, 103.0)</w:t>
            </w:r>
          </w:p>
        </w:tc>
        <w:tc>
          <w:tcPr>
            <w:tcW w:w="1559" w:type="dxa"/>
          </w:tcPr>
          <w:p w14:paraId="0207CE1A" w14:textId="77777777" w:rsidR="00BF609F" w:rsidRDefault="00BF609F" w:rsidP="00577F81">
            <w:pPr>
              <w:pStyle w:val="TableText0"/>
            </w:pPr>
          </w:p>
          <w:p w14:paraId="007A7D16" w14:textId="77777777" w:rsidR="00BF609F" w:rsidRDefault="00BF609F" w:rsidP="00577F81">
            <w:pPr>
              <w:pStyle w:val="TableText0"/>
            </w:pPr>
            <w:r>
              <w:t>5</w:t>
            </w:r>
          </w:p>
          <w:p w14:paraId="761D6CF7" w14:textId="77777777" w:rsidR="00BF609F" w:rsidRDefault="00BF609F" w:rsidP="00577F81">
            <w:pPr>
              <w:pStyle w:val="TableText0"/>
            </w:pPr>
            <w:r>
              <w:t>-32.9 (33.8)</w:t>
            </w:r>
          </w:p>
          <w:p w14:paraId="61EA2480" w14:textId="77777777" w:rsidR="00BF609F" w:rsidRDefault="00BF609F" w:rsidP="00577F81">
            <w:pPr>
              <w:pStyle w:val="TableText0"/>
            </w:pPr>
            <w:r>
              <w:t>-56.0(-60.0, -8.5)</w:t>
            </w:r>
          </w:p>
        </w:tc>
        <w:tc>
          <w:tcPr>
            <w:tcW w:w="1701" w:type="dxa"/>
          </w:tcPr>
          <w:p w14:paraId="6E873B5B" w14:textId="77777777" w:rsidR="00BF609F" w:rsidRDefault="00BF609F" w:rsidP="00577F81">
            <w:pPr>
              <w:pStyle w:val="TableText0"/>
            </w:pPr>
          </w:p>
          <w:p w14:paraId="54FD11BC" w14:textId="77777777" w:rsidR="00BF609F" w:rsidRDefault="00BF609F" w:rsidP="00577F81">
            <w:pPr>
              <w:pStyle w:val="TableText0"/>
            </w:pPr>
            <w:r>
              <w:t>86</w:t>
            </w:r>
          </w:p>
          <w:p w14:paraId="0B9E46EC" w14:textId="77777777" w:rsidR="00BF609F" w:rsidRDefault="00BF609F" w:rsidP="00577F81">
            <w:pPr>
              <w:pStyle w:val="TableText0"/>
            </w:pPr>
            <w:r>
              <w:t>95.1 (17.9)</w:t>
            </w:r>
          </w:p>
          <w:p w14:paraId="5213753E" w14:textId="77777777" w:rsidR="00BF609F" w:rsidRDefault="00BF609F" w:rsidP="00577F81">
            <w:pPr>
              <w:pStyle w:val="TableText0"/>
            </w:pPr>
            <w:r>
              <w:t>100.0 (39.5, 120.5)</w:t>
            </w:r>
          </w:p>
        </w:tc>
        <w:tc>
          <w:tcPr>
            <w:tcW w:w="1509" w:type="dxa"/>
          </w:tcPr>
          <w:p w14:paraId="4F85BD7D" w14:textId="77777777" w:rsidR="00BF609F" w:rsidRDefault="00BF609F" w:rsidP="00577F81">
            <w:pPr>
              <w:pStyle w:val="TableText0"/>
            </w:pPr>
          </w:p>
          <w:p w14:paraId="58C348D0" w14:textId="77777777" w:rsidR="00BF609F" w:rsidRDefault="00BF609F" w:rsidP="00577F81">
            <w:pPr>
              <w:pStyle w:val="TableText0"/>
            </w:pPr>
            <w:r>
              <w:t>33</w:t>
            </w:r>
          </w:p>
          <w:p w14:paraId="56CD3CB0" w14:textId="77777777" w:rsidR="00BF609F" w:rsidRDefault="00BF609F" w:rsidP="00577F81">
            <w:pPr>
              <w:pStyle w:val="TableText0"/>
            </w:pPr>
            <w:r>
              <w:t>-55.3 (25.0)</w:t>
            </w:r>
          </w:p>
          <w:p w14:paraId="1A9DFFB6" w14:textId="77777777" w:rsidR="00BF609F" w:rsidRDefault="00BF609F" w:rsidP="00577F81">
            <w:pPr>
              <w:pStyle w:val="TableText0"/>
            </w:pPr>
            <w:r>
              <w:t>-60.5 (-93.0, 0.0)</w:t>
            </w:r>
          </w:p>
        </w:tc>
      </w:tr>
      <w:tr w:rsidR="00BF609F" w14:paraId="0E730805" w14:textId="77777777" w:rsidTr="7F77D409">
        <w:tc>
          <w:tcPr>
            <w:tcW w:w="2694" w:type="dxa"/>
          </w:tcPr>
          <w:p w14:paraId="345C7FFA" w14:textId="77777777" w:rsidR="00BF609F" w:rsidRDefault="00BF609F" w:rsidP="00577F81">
            <w:pPr>
              <w:pStyle w:val="TableText0"/>
            </w:pPr>
            <w:r>
              <w:t>Weight for Age, z-score</w:t>
            </w:r>
          </w:p>
          <w:p w14:paraId="5BA67010" w14:textId="77777777" w:rsidR="00BF609F" w:rsidRDefault="00BF609F" w:rsidP="00577F81">
            <w:pPr>
              <w:pStyle w:val="TableText0"/>
              <w:jc w:val="right"/>
            </w:pPr>
            <w:r>
              <w:t>n</w:t>
            </w:r>
          </w:p>
          <w:p w14:paraId="1B25F247" w14:textId="77777777" w:rsidR="00BF609F" w:rsidRDefault="00BF609F" w:rsidP="00577F81">
            <w:pPr>
              <w:pStyle w:val="TableText0"/>
              <w:jc w:val="right"/>
            </w:pPr>
            <w:r>
              <w:t>Mean (SD)</w:t>
            </w:r>
          </w:p>
          <w:p w14:paraId="19CC46D1" w14:textId="77777777" w:rsidR="00BF609F" w:rsidRDefault="00BF609F" w:rsidP="00577F81">
            <w:pPr>
              <w:pStyle w:val="TableText0"/>
              <w:jc w:val="right"/>
            </w:pPr>
            <w:r>
              <w:t>Median (range)</w:t>
            </w:r>
          </w:p>
        </w:tc>
        <w:tc>
          <w:tcPr>
            <w:tcW w:w="1559" w:type="dxa"/>
          </w:tcPr>
          <w:p w14:paraId="4CC57C2B" w14:textId="77777777" w:rsidR="00BF609F" w:rsidRDefault="00BF609F" w:rsidP="00577F81">
            <w:pPr>
              <w:pStyle w:val="TableText0"/>
            </w:pPr>
          </w:p>
          <w:p w14:paraId="4F3958F5" w14:textId="77777777" w:rsidR="00BF609F" w:rsidRDefault="00BF609F" w:rsidP="00577F81">
            <w:pPr>
              <w:pStyle w:val="TableText0"/>
            </w:pPr>
            <w:r>
              <w:t>7</w:t>
            </w:r>
          </w:p>
          <w:p w14:paraId="661698F3" w14:textId="77777777" w:rsidR="00BF609F" w:rsidRDefault="00BF609F" w:rsidP="00577F81">
            <w:pPr>
              <w:pStyle w:val="TableText0"/>
            </w:pPr>
            <w:r>
              <w:t>-0.88 (1.0)</w:t>
            </w:r>
          </w:p>
          <w:p w14:paraId="0BF69C57" w14:textId="77777777" w:rsidR="00BF609F" w:rsidRDefault="00BF609F" w:rsidP="00577F81">
            <w:pPr>
              <w:pStyle w:val="TableText0"/>
            </w:pPr>
            <w:r>
              <w:t>-1.32 (-1.93, 0.70)</w:t>
            </w:r>
          </w:p>
        </w:tc>
        <w:tc>
          <w:tcPr>
            <w:tcW w:w="1559" w:type="dxa"/>
          </w:tcPr>
          <w:p w14:paraId="0ED864F7" w14:textId="77777777" w:rsidR="00BF609F" w:rsidRDefault="00BF609F" w:rsidP="00577F81">
            <w:pPr>
              <w:pStyle w:val="TableText0"/>
            </w:pPr>
          </w:p>
          <w:p w14:paraId="1EA6036B" w14:textId="77777777" w:rsidR="00BF609F" w:rsidRDefault="00BF609F" w:rsidP="00577F81">
            <w:pPr>
              <w:pStyle w:val="TableText0"/>
            </w:pPr>
            <w:r>
              <w:t>6</w:t>
            </w:r>
          </w:p>
          <w:p w14:paraId="61DDCF60" w14:textId="77777777" w:rsidR="00BF609F" w:rsidRDefault="00BF609F" w:rsidP="00577F81">
            <w:pPr>
              <w:pStyle w:val="TableText0"/>
            </w:pPr>
            <w:r>
              <w:t>1.14 (0.89)</w:t>
            </w:r>
          </w:p>
          <w:p w14:paraId="156975DC" w14:textId="77777777" w:rsidR="00BF609F" w:rsidRDefault="00BF609F" w:rsidP="00577F81">
            <w:pPr>
              <w:pStyle w:val="TableText0"/>
            </w:pPr>
            <w:r>
              <w:t>1.01 (0.14, 2.66)</w:t>
            </w:r>
          </w:p>
        </w:tc>
        <w:tc>
          <w:tcPr>
            <w:tcW w:w="1701" w:type="dxa"/>
          </w:tcPr>
          <w:p w14:paraId="09DB468D" w14:textId="77777777" w:rsidR="00BF609F" w:rsidRDefault="00BF609F" w:rsidP="00577F81">
            <w:pPr>
              <w:pStyle w:val="TableText0"/>
            </w:pPr>
          </w:p>
          <w:p w14:paraId="3C2E4998" w14:textId="77777777" w:rsidR="00BF609F" w:rsidRDefault="00BF609F" w:rsidP="00577F81">
            <w:pPr>
              <w:pStyle w:val="TableText0"/>
            </w:pPr>
            <w:r>
              <w:t>86</w:t>
            </w:r>
          </w:p>
          <w:p w14:paraId="56CA12CD" w14:textId="77777777" w:rsidR="00BF609F" w:rsidRDefault="00BF609F" w:rsidP="00577F81">
            <w:pPr>
              <w:pStyle w:val="TableText0"/>
            </w:pPr>
            <w:r>
              <w:t>0.02 (0.96)</w:t>
            </w:r>
          </w:p>
          <w:p w14:paraId="2140205C" w14:textId="77777777" w:rsidR="00BF609F" w:rsidRDefault="00BF609F" w:rsidP="00577F81">
            <w:pPr>
              <w:pStyle w:val="TableText0"/>
            </w:pPr>
            <w:r>
              <w:t>-0.03 (-2.88, 2.07)</w:t>
            </w:r>
          </w:p>
        </w:tc>
        <w:tc>
          <w:tcPr>
            <w:tcW w:w="1509" w:type="dxa"/>
          </w:tcPr>
          <w:p w14:paraId="342633C0" w14:textId="77777777" w:rsidR="00BF609F" w:rsidRDefault="00BF609F" w:rsidP="00577F81">
            <w:pPr>
              <w:pStyle w:val="TableText0"/>
            </w:pPr>
          </w:p>
          <w:p w14:paraId="389C2DC8" w14:textId="77777777" w:rsidR="00BF609F" w:rsidRDefault="00BF609F" w:rsidP="00577F81">
            <w:pPr>
              <w:pStyle w:val="TableText0"/>
            </w:pPr>
            <w:r>
              <w:t>51</w:t>
            </w:r>
          </w:p>
          <w:p w14:paraId="5A95341C" w14:textId="77777777" w:rsidR="00BF609F" w:rsidRDefault="00BF609F" w:rsidP="00577F81">
            <w:pPr>
              <w:pStyle w:val="TableText0"/>
            </w:pPr>
            <w:r>
              <w:t>0.44 (0.84)</w:t>
            </w:r>
          </w:p>
          <w:p w14:paraId="28FD09F0" w14:textId="77777777" w:rsidR="00BF609F" w:rsidRDefault="00BF609F" w:rsidP="00577F81">
            <w:pPr>
              <w:pStyle w:val="TableText0"/>
            </w:pPr>
            <w:r>
              <w:t>0.44 (-0.89, 2.20)</w:t>
            </w:r>
          </w:p>
        </w:tc>
      </w:tr>
      <w:tr w:rsidR="00BF609F" w14:paraId="7445E197" w14:textId="77777777" w:rsidTr="7F77D409">
        <w:tc>
          <w:tcPr>
            <w:tcW w:w="2694" w:type="dxa"/>
          </w:tcPr>
          <w:p w14:paraId="6E075465" w14:textId="77777777" w:rsidR="00BF609F" w:rsidRDefault="00BF609F" w:rsidP="00577F81">
            <w:pPr>
              <w:pStyle w:val="TableText0"/>
            </w:pPr>
            <w:proofErr w:type="spellStart"/>
            <w:r w:rsidRPr="7F77D409">
              <w:t>Fecal</w:t>
            </w:r>
            <w:proofErr w:type="spellEnd"/>
            <w:r w:rsidRPr="7F77D409">
              <w:t xml:space="preserve"> elastase-1, mcg/g</w:t>
            </w:r>
          </w:p>
          <w:p w14:paraId="2A3DA9D1" w14:textId="77777777" w:rsidR="00BF609F" w:rsidRDefault="00BF609F" w:rsidP="00577F81">
            <w:pPr>
              <w:pStyle w:val="TableText0"/>
              <w:jc w:val="right"/>
            </w:pPr>
            <w:r>
              <w:t>n</w:t>
            </w:r>
          </w:p>
          <w:p w14:paraId="1AA88BD2" w14:textId="77777777" w:rsidR="00BF609F" w:rsidRDefault="00BF609F" w:rsidP="00577F81">
            <w:pPr>
              <w:pStyle w:val="TableText0"/>
              <w:jc w:val="right"/>
            </w:pPr>
            <w:r>
              <w:t>Mean (SD)</w:t>
            </w:r>
          </w:p>
          <w:p w14:paraId="4F08C969" w14:textId="77777777" w:rsidR="00BF609F" w:rsidRDefault="00BF609F" w:rsidP="00577F81">
            <w:pPr>
              <w:pStyle w:val="TableText0"/>
              <w:jc w:val="right"/>
            </w:pPr>
            <w:r>
              <w:t>Median (range)</w:t>
            </w:r>
          </w:p>
        </w:tc>
        <w:tc>
          <w:tcPr>
            <w:tcW w:w="1559" w:type="dxa"/>
          </w:tcPr>
          <w:p w14:paraId="1F239DFC" w14:textId="77777777" w:rsidR="00BF609F" w:rsidRDefault="00BF609F" w:rsidP="00577F81">
            <w:pPr>
              <w:pStyle w:val="TableText0"/>
            </w:pPr>
          </w:p>
          <w:p w14:paraId="3470820C" w14:textId="77777777" w:rsidR="00BF609F" w:rsidRDefault="00BF609F" w:rsidP="00577F81">
            <w:pPr>
              <w:pStyle w:val="TableText0"/>
            </w:pPr>
            <w:r>
              <w:t>6</w:t>
            </w:r>
          </w:p>
          <w:p w14:paraId="5B39D45C" w14:textId="77777777" w:rsidR="00BF609F" w:rsidRDefault="00BF609F" w:rsidP="00577F81">
            <w:pPr>
              <w:pStyle w:val="TableText0"/>
            </w:pPr>
            <w:r>
              <w:t>344.8 (197.5)</w:t>
            </w:r>
          </w:p>
          <w:p w14:paraId="5494AAA2" w14:textId="77777777" w:rsidR="00BF609F" w:rsidRDefault="00BF609F" w:rsidP="00577F81">
            <w:pPr>
              <w:pStyle w:val="TableText0"/>
            </w:pPr>
            <w:r>
              <w:t>424.5 (31.0, 500.0)</w:t>
            </w:r>
          </w:p>
        </w:tc>
        <w:tc>
          <w:tcPr>
            <w:tcW w:w="1559" w:type="dxa"/>
          </w:tcPr>
          <w:p w14:paraId="6662E131" w14:textId="77777777" w:rsidR="00BF609F" w:rsidRDefault="00BF609F" w:rsidP="00577F81">
            <w:pPr>
              <w:pStyle w:val="TableText0"/>
            </w:pPr>
          </w:p>
          <w:p w14:paraId="7A65F48E" w14:textId="77777777" w:rsidR="00BF609F" w:rsidRDefault="00BF609F" w:rsidP="00577F81">
            <w:pPr>
              <w:pStyle w:val="TableText0"/>
            </w:pPr>
            <w:r>
              <w:t>5</w:t>
            </w:r>
          </w:p>
          <w:p w14:paraId="3463F109" w14:textId="77777777" w:rsidR="00BF609F" w:rsidRDefault="00BF609F" w:rsidP="00577F81">
            <w:pPr>
              <w:pStyle w:val="TableText0"/>
            </w:pPr>
            <w:r>
              <w:t>417.2 (185.1)</w:t>
            </w:r>
          </w:p>
          <w:p w14:paraId="7922AD13" w14:textId="77777777" w:rsidR="00BF609F" w:rsidRDefault="00BF609F" w:rsidP="00577F81">
            <w:pPr>
              <w:pStyle w:val="TableText0"/>
            </w:pPr>
            <w:r>
              <w:t>500.0 (86.0, 500.0)</w:t>
            </w:r>
          </w:p>
        </w:tc>
        <w:tc>
          <w:tcPr>
            <w:tcW w:w="1701" w:type="dxa"/>
          </w:tcPr>
          <w:p w14:paraId="4256A4B1" w14:textId="77777777" w:rsidR="00BF609F" w:rsidRDefault="00BF609F" w:rsidP="00577F81">
            <w:pPr>
              <w:pStyle w:val="TableText0"/>
            </w:pPr>
          </w:p>
          <w:p w14:paraId="10F8FEA2" w14:textId="77777777" w:rsidR="00BF609F" w:rsidRDefault="00BF609F" w:rsidP="00577F81">
            <w:pPr>
              <w:pStyle w:val="TableText0"/>
            </w:pPr>
            <w:r>
              <w:t>82</w:t>
            </w:r>
          </w:p>
          <w:p w14:paraId="3B4D48A5" w14:textId="77777777" w:rsidR="00BF609F" w:rsidRDefault="00BF609F" w:rsidP="00577F81">
            <w:pPr>
              <w:pStyle w:val="TableText0"/>
            </w:pPr>
            <w:r>
              <w:t>213.4 (214.8)</w:t>
            </w:r>
          </w:p>
          <w:p w14:paraId="1EE8B9D6" w14:textId="77777777" w:rsidR="00BF609F" w:rsidRDefault="00BF609F" w:rsidP="00577F81">
            <w:pPr>
              <w:pStyle w:val="TableText0"/>
            </w:pPr>
            <w:r>
              <w:t xml:space="preserve">103.5 (7.5, 500.0) </w:t>
            </w:r>
          </w:p>
        </w:tc>
        <w:tc>
          <w:tcPr>
            <w:tcW w:w="1509" w:type="dxa"/>
          </w:tcPr>
          <w:p w14:paraId="612DFCB0" w14:textId="77777777" w:rsidR="00BF609F" w:rsidRDefault="00BF609F" w:rsidP="00577F81">
            <w:pPr>
              <w:pStyle w:val="TableText0"/>
            </w:pPr>
          </w:p>
          <w:p w14:paraId="3C43E3C0" w14:textId="77777777" w:rsidR="00BF609F" w:rsidRDefault="00BF609F" w:rsidP="00577F81">
            <w:pPr>
              <w:pStyle w:val="TableText0"/>
            </w:pPr>
            <w:r>
              <w:t>33</w:t>
            </w:r>
          </w:p>
          <w:p w14:paraId="1385013D" w14:textId="77777777" w:rsidR="00BF609F" w:rsidRDefault="00BF609F" w:rsidP="00577F81">
            <w:pPr>
              <w:pStyle w:val="TableText0"/>
            </w:pPr>
            <w:r>
              <w:t>225.6 (202.4)</w:t>
            </w:r>
          </w:p>
          <w:p w14:paraId="708D3562" w14:textId="77777777" w:rsidR="00BF609F" w:rsidRDefault="00BF609F" w:rsidP="00577F81">
            <w:pPr>
              <w:pStyle w:val="TableText0"/>
            </w:pPr>
            <w:r>
              <w:t>272.0 (-94.0, 492.5)</w:t>
            </w:r>
          </w:p>
        </w:tc>
      </w:tr>
    </w:tbl>
    <w:p w14:paraId="37EC5AC3" w14:textId="77777777" w:rsidR="00BF609F" w:rsidRDefault="00BF609F" w:rsidP="00577F81">
      <w:pPr>
        <w:pStyle w:val="TableFigureFooter"/>
        <w:keepNext/>
      </w:pPr>
      <w:r>
        <w:t xml:space="preserve">Source: VX15-770-124 CSR, Table 11-2, p46; Table 11-3, p48; Table 11-4, pp52-53; VX15-770-124 CSR, Table 11-1, pp38-39; Table 11-2, pp41-42. </w:t>
      </w:r>
    </w:p>
    <w:p w14:paraId="0162BCE4" w14:textId="77777777" w:rsidR="00BF609F" w:rsidRDefault="00BF609F" w:rsidP="00577F81">
      <w:pPr>
        <w:pStyle w:val="TableFigureFooter"/>
        <w:keepNext/>
      </w:pPr>
      <w:r>
        <w:t xml:space="preserve">mcg = microgram; SD = standard deviation. </w:t>
      </w:r>
    </w:p>
    <w:p w14:paraId="43F52655" w14:textId="77777777" w:rsidR="00BF609F" w:rsidRPr="00F316A6" w:rsidRDefault="00BF609F" w:rsidP="00577F81">
      <w:pPr>
        <w:pStyle w:val="TableFigureFooter"/>
        <w:keepNext/>
      </w:pPr>
      <w:r w:rsidRPr="00846346">
        <w:rPr>
          <w:vertAlign w:val="superscript"/>
        </w:rPr>
        <w:t>1</w:t>
      </w:r>
      <w:r>
        <w:t xml:space="preserve"> Except for sweat chloride, for which data are at 12 weeks: only one subject had sweat chloride data for week 24 and this subject showed no change in sweat chloride at this assessment. </w:t>
      </w:r>
    </w:p>
    <w:p w14:paraId="60B53D16" w14:textId="6D4DFFE7" w:rsidR="000D2F12" w:rsidRDefault="00A915BF" w:rsidP="00F316A6">
      <w:pPr>
        <w:pStyle w:val="3-BodyText"/>
      </w:pPr>
      <w:r w:rsidRPr="7F77D409">
        <w:t xml:space="preserve">In VX15-770-126 nutritional parameters were normal at baseline and although they tended to increase during treatment the significance of this is unclear, especially in the context of missing data. </w:t>
      </w:r>
      <w:r w:rsidR="000D2F12" w:rsidRPr="7F77D409">
        <w:t xml:space="preserve"> </w:t>
      </w:r>
    </w:p>
    <w:p w14:paraId="0F6E6F6E" w14:textId="1D68EB86" w:rsidR="00530A19" w:rsidRPr="00530A19" w:rsidRDefault="00530A19" w:rsidP="7F77D409">
      <w:pPr>
        <w:pStyle w:val="3-BodyText"/>
      </w:pPr>
      <w:r w:rsidRPr="7F77D409">
        <w:t>High</w:t>
      </w:r>
      <w:r w:rsidR="00962B54" w:rsidRPr="7F77D409">
        <w:t>er</w:t>
      </w:r>
      <w:r w:rsidRPr="7F77D409">
        <w:t xml:space="preserve"> levels of </w:t>
      </w:r>
      <w:proofErr w:type="spellStart"/>
      <w:r w:rsidRPr="7F77D409">
        <w:t>fecal</w:t>
      </w:r>
      <w:proofErr w:type="spellEnd"/>
      <w:r w:rsidRPr="7F77D409">
        <w:t xml:space="preserve"> elastase-1 are associated with </w:t>
      </w:r>
      <w:r w:rsidR="00962B54" w:rsidRPr="7F77D409">
        <w:t>improved</w:t>
      </w:r>
      <w:r w:rsidRPr="7F77D409">
        <w:t xml:space="preserve"> pancreatic function, and the PBAC has previously accepted levels </w:t>
      </w:r>
      <w:r w:rsidR="001C51BA" w:rsidRPr="7F77D409">
        <w:t xml:space="preserve">lower </w:t>
      </w:r>
      <w:r w:rsidRPr="7F77D409">
        <w:t xml:space="preserve">than 200mcg/g as indicative of pancreatic </w:t>
      </w:r>
      <w:r w:rsidR="001C51BA" w:rsidRPr="7F77D409">
        <w:t>in</w:t>
      </w:r>
      <w:r w:rsidRPr="7F77D409">
        <w:t>sufficiency (</w:t>
      </w:r>
      <w:r w:rsidR="003B5613">
        <w:t>p</w:t>
      </w:r>
      <w:r w:rsidRPr="7F77D409">
        <w:t xml:space="preserve">aragraph 6.14, </w:t>
      </w:r>
      <w:r w:rsidR="00FF1D27" w:rsidRPr="7F77D409">
        <w:t xml:space="preserve">ivacaftor PSD, </w:t>
      </w:r>
      <w:r w:rsidRPr="7F77D409">
        <w:t xml:space="preserve">PBAC Meeting November 2023). </w:t>
      </w:r>
      <w:proofErr w:type="spellStart"/>
      <w:r w:rsidR="00BF609F" w:rsidRPr="7F77D409">
        <w:rPr>
          <w:rStyle w:val="CommentReference"/>
          <w:rFonts w:asciiTheme="minorHAnsi" w:hAnsiTheme="minorHAnsi"/>
          <w:b w:val="0"/>
          <w:color w:val="000000" w:themeColor="text1"/>
          <w:sz w:val="24"/>
          <w:szCs w:val="24"/>
        </w:rPr>
        <w:t>Fecal</w:t>
      </w:r>
      <w:proofErr w:type="spellEnd"/>
      <w:r w:rsidR="00BF609F" w:rsidRPr="7F77D409">
        <w:rPr>
          <w:rStyle w:val="CommentReference"/>
          <w:rFonts w:asciiTheme="minorHAnsi" w:hAnsiTheme="minorHAnsi"/>
          <w:b w:val="0"/>
          <w:color w:val="000000" w:themeColor="text1"/>
          <w:sz w:val="24"/>
          <w:szCs w:val="24"/>
        </w:rPr>
        <w:t xml:space="preserve"> elastase-1 was above 200 mcg/g at baseline in most patients in VX15-770-124, and although the mean and median values increased at 24 weeks treatment, it was not reported whether the level in any patient crossed the threshold indicating pancreatic insufficiency.  Similarly, in VX15-770-126, mean and median </w:t>
      </w:r>
      <w:proofErr w:type="spellStart"/>
      <w:r w:rsidR="00BF609F" w:rsidRPr="7F77D409">
        <w:rPr>
          <w:rStyle w:val="CommentReference"/>
          <w:rFonts w:asciiTheme="minorHAnsi" w:hAnsiTheme="minorHAnsi"/>
          <w:b w:val="0"/>
          <w:color w:val="000000" w:themeColor="text1"/>
          <w:sz w:val="24"/>
          <w:szCs w:val="24"/>
        </w:rPr>
        <w:t>fecal</w:t>
      </w:r>
      <w:proofErr w:type="spellEnd"/>
      <w:r w:rsidR="00BF609F" w:rsidRPr="7F77D409">
        <w:rPr>
          <w:rStyle w:val="CommentReference"/>
          <w:rFonts w:asciiTheme="minorHAnsi" w:hAnsiTheme="minorHAnsi"/>
          <w:b w:val="0"/>
          <w:color w:val="000000" w:themeColor="text1"/>
          <w:sz w:val="24"/>
          <w:szCs w:val="24"/>
        </w:rPr>
        <w:t xml:space="preserve"> elastase-1 were higher at 96 weeks but whether patients crossed the pancreatic insufficiency threshold was not reported.</w:t>
      </w:r>
    </w:p>
    <w:p w14:paraId="03930F58" w14:textId="14DFC4D5" w:rsidR="009B4F1F" w:rsidRPr="00530A19" w:rsidRDefault="00C03EA9" w:rsidP="7F77D409">
      <w:pPr>
        <w:pStyle w:val="3-BodyText"/>
      </w:pPr>
      <w:r w:rsidRPr="7F77D409">
        <w:t>In both studies, pulmonary exacerbations were defined by a combination of antibiotic treatment (oral, inhaled, or intravenous) and clinical criteria</w:t>
      </w:r>
      <w:r w:rsidR="009B4F1F" w:rsidRPr="7F77D409">
        <w:t>.</w:t>
      </w:r>
      <w:r w:rsidRPr="7F77D409">
        <w:t xml:space="preserve"> </w:t>
      </w:r>
      <w:r w:rsidR="00962B54" w:rsidRPr="7F77D409">
        <w:t>T</w:t>
      </w:r>
      <w:r w:rsidRPr="7F77D409">
        <w:t xml:space="preserve">wo sets of clinical </w:t>
      </w:r>
      <w:r w:rsidRPr="7F77D409">
        <w:lastRenderedPageBreak/>
        <w:t>criteria</w:t>
      </w:r>
      <w:r w:rsidR="00BF609F" w:rsidRPr="7F77D409">
        <w:t xml:space="preserve"> were used</w:t>
      </w:r>
      <w:r w:rsidRPr="7F77D409">
        <w:t xml:space="preserve">; List A: oxygen saturation &lt; 90% breathing room air, or </w:t>
      </w:r>
      <w:r w:rsidRPr="7F77D409">
        <w:rPr>
          <w:rFonts w:ascii="Symbol" w:eastAsia="Symbol" w:hAnsi="Symbol" w:cs="Symbol"/>
        </w:rPr>
        <w:t>³</w:t>
      </w:r>
      <w:r w:rsidRPr="7F77D409">
        <w:t xml:space="preserve">5% fall from baseline; new lobar infiltrates or atelectasis on CXR; </w:t>
      </w:r>
      <w:proofErr w:type="spellStart"/>
      <w:r w:rsidRPr="7F77D409">
        <w:t>hemoptysis</w:t>
      </w:r>
      <w:proofErr w:type="spellEnd"/>
      <w:r w:rsidRPr="7F77D409">
        <w:t xml:space="preserve"> (more than streaks more than once); List B: increased respiratory rate for </w:t>
      </w:r>
      <w:r w:rsidRPr="7F77D409">
        <w:rPr>
          <w:rFonts w:ascii="Symbol" w:eastAsia="Symbol" w:hAnsi="Symbol" w:cs="Symbol"/>
        </w:rPr>
        <w:t>³</w:t>
      </w:r>
      <w:r w:rsidRPr="7F77D409">
        <w:t xml:space="preserve">3 days; new or increased adventitial lung sounds; </w:t>
      </w:r>
      <w:r w:rsidR="009B4F1F" w:rsidRPr="7F77D409">
        <w:t xml:space="preserve">increased cough for </w:t>
      </w:r>
      <w:r w:rsidR="009B4F1F" w:rsidRPr="7F77D409">
        <w:rPr>
          <w:rFonts w:ascii="Symbol" w:eastAsia="Symbol" w:hAnsi="Symbol" w:cs="Symbol"/>
        </w:rPr>
        <w:t>³</w:t>
      </w:r>
      <w:r w:rsidR="009B4F1F" w:rsidRPr="7F77D409">
        <w:t xml:space="preserve">3 days; increased sputum for </w:t>
      </w:r>
      <w:r w:rsidR="009B4F1F" w:rsidRPr="7F77D409">
        <w:rPr>
          <w:rFonts w:ascii="Symbol" w:eastAsia="Symbol" w:hAnsi="Symbol" w:cs="Symbol"/>
        </w:rPr>
        <w:t>³</w:t>
      </w:r>
      <w:r w:rsidR="009B4F1F" w:rsidRPr="7F77D409">
        <w:t xml:space="preserve">3 days. </w:t>
      </w:r>
      <w:r w:rsidR="00962B54" w:rsidRPr="7F77D409">
        <w:t>Because there is no accepted clinical definition of pulmonary exacerbation in this age group, data were collected using</w:t>
      </w:r>
      <w:r w:rsidR="009B4F1F" w:rsidRPr="7F77D409">
        <w:t xml:space="preserve"> two definitions: Definition 1 = antibiotic treatment plus any criterion from List A or List B; Definition 2 = antibiotic treatment plus one List A criterion or two List B criteria.</w:t>
      </w:r>
    </w:p>
    <w:p w14:paraId="5C509059" w14:textId="49CF1BF5" w:rsidR="009B4F1F" w:rsidRPr="009B4F1F" w:rsidRDefault="004E4E26">
      <w:pPr>
        <w:pStyle w:val="3-BodyText"/>
        <w:rPr>
          <w:lang w:val="en-GB"/>
        </w:rPr>
      </w:pPr>
      <w:r>
        <w:t xml:space="preserve">There were no recorded pulmonary exacerbations </w:t>
      </w:r>
      <w:r w:rsidR="00962B54">
        <w:t xml:space="preserve">by either definition </w:t>
      </w:r>
      <w:r>
        <w:t>during treatment</w:t>
      </w:r>
      <w:r w:rsidR="00747182">
        <w:t xml:space="preserve"> in VX15-770-124.</w:t>
      </w:r>
    </w:p>
    <w:p w14:paraId="380F7A6F" w14:textId="2124DCF6" w:rsidR="004E4E26" w:rsidRPr="009B4F1F" w:rsidRDefault="00747182" w:rsidP="7F77D409">
      <w:pPr>
        <w:pStyle w:val="3-BodyText"/>
      </w:pPr>
      <w:r w:rsidRPr="7F77D409">
        <w:t>In VX15-770-126</w:t>
      </w:r>
      <w:r w:rsidR="009B4F1F" w:rsidRPr="7F77D409">
        <w:t xml:space="preserve">, by Definition 1, 40 </w:t>
      </w:r>
      <w:r w:rsidR="00E91F5C" w:rsidRPr="7F77D409">
        <w:t xml:space="preserve">(46.5%) </w:t>
      </w:r>
      <w:r w:rsidR="009B4F1F" w:rsidRPr="7F77D409">
        <w:t>patients had 117 exacerbations (events/year = 0.89). By Definition 2, 24</w:t>
      </w:r>
      <w:r w:rsidR="00E91F5C" w:rsidRPr="7F77D409">
        <w:t xml:space="preserve"> (27.9%)</w:t>
      </w:r>
      <w:r w:rsidR="009B4F1F" w:rsidRPr="7F77D409">
        <w:t xml:space="preserve"> subjects had 51 exacerbations (events/year = 0.39). </w:t>
      </w:r>
      <w:r w:rsidR="00BA4E0C" w:rsidRPr="7F77D409">
        <w:t>It is difficult to compare these results to</w:t>
      </w:r>
      <w:r w:rsidR="003F38CF" w:rsidRPr="7F77D409">
        <w:t xml:space="preserve"> those observed in trials in older patients</w:t>
      </w:r>
      <w:r w:rsidR="00BA4E0C" w:rsidRPr="7F77D409">
        <w:t xml:space="preserve"> because the definition </w:t>
      </w:r>
      <w:r w:rsidR="00160CEE" w:rsidRPr="7F77D409">
        <w:t xml:space="preserve">of </w:t>
      </w:r>
      <w:r w:rsidR="00684E07" w:rsidRPr="7F77D409">
        <w:t xml:space="preserve">an </w:t>
      </w:r>
      <w:r w:rsidR="00160CEE" w:rsidRPr="7F77D409">
        <w:t xml:space="preserve">exacerbation </w:t>
      </w:r>
      <w:r w:rsidR="00554F27" w:rsidRPr="7F77D409">
        <w:t xml:space="preserve">was not consistent </w:t>
      </w:r>
      <w:r w:rsidR="00684E07" w:rsidRPr="7F77D409">
        <w:t>across</w:t>
      </w:r>
      <w:r w:rsidR="00554F27" w:rsidRPr="7F77D409">
        <w:t xml:space="preserve"> trials</w:t>
      </w:r>
      <w:r w:rsidR="008F4F88" w:rsidRPr="7F77D409">
        <w:t>.</w:t>
      </w:r>
      <w:r w:rsidR="00BA4E0C" w:rsidRPr="7F77D409">
        <w:t xml:space="preserve"> </w:t>
      </w:r>
    </w:p>
    <w:p w14:paraId="1665FD9D" w14:textId="631810EB" w:rsidR="00BF609F" w:rsidRPr="00A65080" w:rsidRDefault="00BF609F" w:rsidP="00BF609F">
      <w:pPr>
        <w:pStyle w:val="3-BodyText"/>
        <w:rPr>
          <w:rFonts w:cstheme="minorHAnsi"/>
          <w:color w:val="000000" w:themeColor="text1"/>
          <w:szCs w:val="24"/>
        </w:rPr>
      </w:pPr>
      <w:r>
        <w:t xml:space="preserve">Change </w:t>
      </w:r>
      <w:r w:rsidRPr="00A30712">
        <w:t>in sweat chloride by study visit in Cohort 8 of VX15-770-124 are shown in</w:t>
      </w:r>
      <w:r w:rsidRPr="00577477">
        <w:rPr>
          <w:b/>
          <w:bCs/>
        </w:rPr>
        <w:t xml:space="preserve"> </w:t>
      </w:r>
      <w:r w:rsidR="00AD71C9" w:rsidRPr="00577477">
        <w:rPr>
          <w:b/>
          <w:bCs/>
        </w:rPr>
        <w:fldChar w:fldCharType="begin" w:fldLock="1"/>
      </w:r>
      <w:r w:rsidR="00AD71C9" w:rsidRPr="00577477">
        <w:rPr>
          <w:b/>
          <w:bCs/>
        </w:rPr>
        <w:instrText xml:space="preserve"> REF _Ref184987892 \h </w:instrText>
      </w:r>
      <w:r w:rsidR="00577477">
        <w:rPr>
          <w:b/>
          <w:bCs/>
        </w:rPr>
        <w:instrText xml:space="preserve"> \* MERGEFORMAT </w:instrText>
      </w:r>
      <w:r w:rsidR="00AD71C9" w:rsidRPr="00577477">
        <w:rPr>
          <w:b/>
          <w:bCs/>
        </w:rPr>
      </w:r>
      <w:r w:rsidR="00AD71C9" w:rsidRPr="00577477">
        <w:rPr>
          <w:b/>
          <w:bCs/>
        </w:rPr>
        <w:fldChar w:fldCharType="separate"/>
      </w:r>
      <w:r w:rsidR="00E22042" w:rsidRPr="00577477">
        <w:rPr>
          <w:rStyle w:val="TableFigureHeadingChar"/>
          <w:b w:val="0"/>
          <w:bCs w:val="0"/>
        </w:rPr>
        <w:t xml:space="preserve">Figure </w:t>
      </w:r>
      <w:r w:rsidR="00E22042" w:rsidRPr="00577477">
        <w:rPr>
          <w:rStyle w:val="TableFigureHeadingChar"/>
          <w:b w:val="0"/>
          <w:bCs w:val="0"/>
          <w:noProof/>
        </w:rPr>
        <w:t>1</w:t>
      </w:r>
      <w:r w:rsidR="00AD71C9" w:rsidRPr="00577477">
        <w:rPr>
          <w:b/>
          <w:bCs/>
        </w:rPr>
        <w:fldChar w:fldCharType="end"/>
      </w:r>
      <w:r w:rsidR="00172991">
        <w:rPr>
          <w:i/>
          <w:iCs/>
        </w:rPr>
        <w:t>.</w:t>
      </w:r>
    </w:p>
    <w:p w14:paraId="61BF2A07" w14:textId="61D4871D" w:rsidR="00BF609F" w:rsidRDefault="00AD71C9" w:rsidP="00AD71C9">
      <w:pPr>
        <w:pStyle w:val="Caption"/>
        <w:jc w:val="left"/>
      </w:pPr>
      <w:bookmarkStart w:id="32" w:name="_Ref184987892"/>
      <w:bookmarkStart w:id="33" w:name="_Toc180759535"/>
      <w:r w:rsidRPr="00AD71C9">
        <w:rPr>
          <w:rStyle w:val="TableFigureHeadingChar"/>
          <w:b/>
          <w:bCs/>
        </w:rPr>
        <w:t xml:space="preserve">Figure </w:t>
      </w:r>
      <w:r w:rsidRPr="00AD71C9">
        <w:rPr>
          <w:rStyle w:val="TableFigureHeadingChar"/>
          <w:b/>
          <w:bCs/>
        </w:rPr>
        <w:fldChar w:fldCharType="begin" w:fldLock="1"/>
      </w:r>
      <w:r w:rsidRPr="00AD71C9">
        <w:rPr>
          <w:rStyle w:val="TableFigureHeadingChar"/>
          <w:b/>
          <w:bCs/>
        </w:rPr>
        <w:instrText xml:space="preserve"> SEQ Figure \* ARABIC </w:instrText>
      </w:r>
      <w:r w:rsidRPr="00AD71C9">
        <w:rPr>
          <w:rStyle w:val="TableFigureHeadingChar"/>
          <w:b/>
          <w:bCs/>
        </w:rPr>
        <w:fldChar w:fldCharType="separate"/>
      </w:r>
      <w:r w:rsidR="00E22042">
        <w:rPr>
          <w:rStyle w:val="TableFigureHeadingChar"/>
          <w:b/>
          <w:bCs/>
          <w:noProof/>
        </w:rPr>
        <w:t>1</w:t>
      </w:r>
      <w:r w:rsidRPr="00AD71C9">
        <w:rPr>
          <w:rStyle w:val="TableFigureHeadingChar"/>
          <w:b/>
          <w:bCs/>
        </w:rPr>
        <w:fldChar w:fldCharType="end"/>
      </w:r>
      <w:bookmarkEnd w:id="32"/>
      <w:r w:rsidRPr="00AD71C9">
        <w:rPr>
          <w:rStyle w:val="TableFigureHeadingChar"/>
          <w:b/>
          <w:bCs/>
        </w:rPr>
        <w:t xml:space="preserve">: </w:t>
      </w:r>
      <w:r w:rsidR="00BF609F" w:rsidRPr="00AD71C9">
        <w:rPr>
          <w:rStyle w:val="TableFigureHeadingChar"/>
          <w:b/>
          <w:bCs/>
        </w:rPr>
        <w:t>Change from baseline in sweat chloride in Cohort 8 in VX15-770-124</w:t>
      </w:r>
      <w:bookmarkEnd w:id="33"/>
      <w:r w:rsidR="00BF609F" w:rsidRPr="00224181">
        <w:rPr>
          <w:noProof/>
        </w:rPr>
        <w:drawing>
          <wp:inline distT="0" distB="0" distL="0" distR="0" wp14:anchorId="6FF97419" wp14:editId="4FE7E0E3">
            <wp:extent cx="6029325" cy="3315046"/>
            <wp:effectExtent l="0" t="0" r="0" b="0"/>
            <wp:docPr id="405227460" name="Picture 1" descr="A graph with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227460" name="Picture 1" descr="A graph with lines and numbers&#10;&#10;Description automatically generated"/>
                    <pic:cNvPicPr/>
                  </pic:nvPicPr>
                  <pic:blipFill>
                    <a:blip r:embed="rId8"/>
                    <a:stretch>
                      <a:fillRect/>
                    </a:stretch>
                  </pic:blipFill>
                  <pic:spPr>
                    <a:xfrm>
                      <a:off x="0" y="0"/>
                      <a:ext cx="6030913" cy="3315919"/>
                    </a:xfrm>
                    <a:prstGeom prst="rect">
                      <a:avLst/>
                    </a:prstGeom>
                  </pic:spPr>
                </pic:pic>
              </a:graphicData>
            </a:graphic>
          </wp:inline>
        </w:drawing>
      </w:r>
    </w:p>
    <w:p w14:paraId="7DBC3F02" w14:textId="77777777" w:rsidR="00BF609F" w:rsidRDefault="00BF609F" w:rsidP="00BF609F">
      <w:pPr>
        <w:pStyle w:val="TableFigureFooter"/>
      </w:pPr>
      <w:r w:rsidRPr="00556DCB">
        <w:t xml:space="preserve">Source: </w:t>
      </w:r>
      <w:r>
        <w:t xml:space="preserve">Figure 2.2, p40 of the submission. </w:t>
      </w:r>
    </w:p>
    <w:p w14:paraId="39CA2238" w14:textId="77777777" w:rsidR="00BF609F" w:rsidRDefault="00BF609F" w:rsidP="00BF609F">
      <w:pPr>
        <w:pStyle w:val="TableFigureFooter"/>
      </w:pPr>
      <w:r>
        <w:t>B = baseline; D = day; IVA, ivacaftor; n = number of patients contributing data; W, week.</w:t>
      </w:r>
    </w:p>
    <w:p w14:paraId="1A8F86CD" w14:textId="11BE9CE4" w:rsidR="00BF609F" w:rsidRPr="00556DCB" w:rsidRDefault="00BF609F" w:rsidP="00BF609F">
      <w:pPr>
        <w:pStyle w:val="TableFigureFooter"/>
      </w:pPr>
      <w:r w:rsidRPr="7F77D409">
        <w:t>One subject discontinued study drug treatment at Week 9</w:t>
      </w:r>
      <w:r w:rsidR="003F38CF" w:rsidRPr="7F77D409">
        <w:t>,</w:t>
      </w:r>
      <w:r w:rsidRPr="7F77D409">
        <w:t xml:space="preserve"> but did not discontinue the study until Week 24. Data for this subject were included in the efficacy analyses.</w:t>
      </w:r>
    </w:p>
    <w:p w14:paraId="2F743D7A" w14:textId="0ED93296" w:rsidR="00BF609F" w:rsidRDefault="00BF609F" w:rsidP="00BF609F">
      <w:pPr>
        <w:pStyle w:val="3-BodyText"/>
        <w:rPr>
          <w:i/>
          <w:iCs/>
        </w:rPr>
      </w:pPr>
      <w:r w:rsidRPr="00AD71C9">
        <w:t xml:space="preserve">Changes in sweat chloride </w:t>
      </w:r>
      <w:r w:rsidR="00F914B5" w:rsidRPr="00AD71C9">
        <w:t xml:space="preserve">by study visit </w:t>
      </w:r>
      <w:r w:rsidRPr="00AD71C9">
        <w:t xml:space="preserve">in VX15-770-126 are shown in </w:t>
      </w:r>
      <w:r w:rsidR="00AD71C9" w:rsidRPr="00AD71C9">
        <w:fldChar w:fldCharType="begin" w:fldLock="1"/>
      </w:r>
      <w:r w:rsidR="00AD71C9" w:rsidRPr="00AD71C9">
        <w:instrText xml:space="preserve"> REF _Ref184987959 \h </w:instrText>
      </w:r>
      <w:r w:rsidR="00AD71C9">
        <w:instrText xml:space="preserve"> \* MERGEFORMAT </w:instrText>
      </w:r>
      <w:r w:rsidR="00AD71C9" w:rsidRPr="00AD71C9">
        <w:fldChar w:fldCharType="separate"/>
      </w:r>
      <w:r w:rsidR="00E22042">
        <w:t xml:space="preserve">Figure </w:t>
      </w:r>
      <w:r w:rsidR="00E22042">
        <w:rPr>
          <w:noProof/>
        </w:rPr>
        <w:t>2</w:t>
      </w:r>
      <w:r w:rsidR="00AD71C9" w:rsidRPr="00AD71C9">
        <w:fldChar w:fldCharType="end"/>
      </w:r>
      <w:r w:rsidR="00172991">
        <w:t>.</w:t>
      </w:r>
      <w:r w:rsidR="00AD71C9">
        <w:rPr>
          <w:i/>
          <w:iCs/>
        </w:rPr>
        <w:t xml:space="preserve"> </w:t>
      </w:r>
    </w:p>
    <w:p w14:paraId="19674877" w14:textId="712195B4" w:rsidR="00BF609F" w:rsidRDefault="00AD71C9" w:rsidP="00AD71C9">
      <w:pPr>
        <w:pStyle w:val="Caption"/>
      </w:pPr>
      <w:bookmarkStart w:id="34" w:name="_Ref184987959"/>
      <w:bookmarkStart w:id="35" w:name="_Toc180759539"/>
      <w:r>
        <w:lastRenderedPageBreak/>
        <w:t xml:space="preserve">Figure </w:t>
      </w:r>
      <w:r w:rsidR="00E22042">
        <w:fldChar w:fldCharType="begin" w:fldLock="1"/>
      </w:r>
      <w:r w:rsidR="00E22042">
        <w:instrText xml:space="preserve"> SEQ Figure \* ARABIC </w:instrText>
      </w:r>
      <w:r w:rsidR="00E22042">
        <w:fldChar w:fldCharType="separate"/>
      </w:r>
      <w:r w:rsidR="00E22042">
        <w:rPr>
          <w:noProof/>
        </w:rPr>
        <w:t>2</w:t>
      </w:r>
      <w:r w:rsidR="00E22042">
        <w:rPr>
          <w:noProof/>
        </w:rPr>
        <w:fldChar w:fldCharType="end"/>
      </w:r>
      <w:bookmarkEnd w:id="34"/>
      <w:r>
        <w:t xml:space="preserve">: </w:t>
      </w:r>
      <w:r w:rsidR="00BF609F">
        <w:t>Change from baseline in sweat chloride to 96 weeks in VX15-770-126</w:t>
      </w:r>
      <w:bookmarkEnd w:id="35"/>
    </w:p>
    <w:p w14:paraId="2A53BA39" w14:textId="77777777" w:rsidR="00BF609F" w:rsidRDefault="00BF609F" w:rsidP="00BF609F">
      <w:pPr>
        <w:pStyle w:val="Pic"/>
      </w:pPr>
      <w:r>
        <w:rPr>
          <w:noProof/>
          <w:sz w:val="24"/>
          <w:szCs w:val="24"/>
        </w:rPr>
        <w:drawing>
          <wp:inline distT="0" distB="0" distL="0" distR="0" wp14:anchorId="0DAB3D68" wp14:editId="7D5F898E">
            <wp:extent cx="5964948" cy="2590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21819"/>
                    <a:stretch/>
                  </pic:blipFill>
                  <pic:spPr bwMode="auto">
                    <a:xfrm>
                      <a:off x="0" y="0"/>
                      <a:ext cx="6001211" cy="2606551"/>
                    </a:xfrm>
                    <a:prstGeom prst="rect">
                      <a:avLst/>
                    </a:prstGeom>
                    <a:noFill/>
                    <a:ln>
                      <a:noFill/>
                    </a:ln>
                    <a:extLst>
                      <a:ext uri="{53640926-AAD7-44D8-BBD7-CCE9431645EC}">
                        <a14:shadowObscured xmlns:a14="http://schemas.microsoft.com/office/drawing/2010/main"/>
                      </a:ext>
                    </a:extLst>
                  </pic:spPr>
                </pic:pic>
              </a:graphicData>
            </a:graphic>
          </wp:inline>
        </w:drawing>
      </w:r>
    </w:p>
    <w:p w14:paraId="5CFC2F25" w14:textId="5D673533" w:rsidR="00BF609F" w:rsidRPr="00F914B5" w:rsidRDefault="00BF609F" w:rsidP="00F914B5">
      <w:pPr>
        <w:pStyle w:val="TableFigureFooter"/>
        <w:rPr>
          <w:rStyle w:val="CommentReference"/>
          <w:b w:val="0"/>
          <w:i/>
          <w:iCs/>
          <w:sz w:val="18"/>
          <w:szCs w:val="22"/>
        </w:rPr>
      </w:pPr>
      <w:r>
        <w:t>Source: Figure 2.6, p52 of the submission. W = week.</w:t>
      </w:r>
      <w:r>
        <w:br/>
      </w:r>
      <w:r>
        <w:rPr>
          <w:i/>
          <w:iCs/>
        </w:rPr>
        <w:t xml:space="preserve">  </w:t>
      </w:r>
    </w:p>
    <w:p w14:paraId="1452C351" w14:textId="0D19F1B0" w:rsidR="00B60939" w:rsidRPr="0098262F" w:rsidRDefault="00B60939" w:rsidP="00D86231">
      <w:pPr>
        <w:pStyle w:val="4-SubsectionHeading"/>
      </w:pPr>
      <w:bookmarkStart w:id="36" w:name="_Toc22897642"/>
      <w:bookmarkStart w:id="37" w:name="_Toc187661085"/>
      <w:r w:rsidRPr="0098262F">
        <w:t>Comparative harms</w:t>
      </w:r>
      <w:bookmarkEnd w:id="36"/>
      <w:bookmarkEnd w:id="37"/>
    </w:p>
    <w:p w14:paraId="613F8053" w14:textId="2118003F" w:rsidR="00221CC7" w:rsidRDefault="00221CC7" w:rsidP="00D86231">
      <w:pPr>
        <w:pStyle w:val="3-BodyText"/>
        <w:rPr>
          <w:color w:val="000000" w:themeColor="text1"/>
        </w:rPr>
      </w:pPr>
      <w:r w:rsidRPr="00221CC7">
        <w:rPr>
          <w:color w:val="000000" w:themeColor="text1"/>
        </w:rPr>
        <w:t>Adverse events in the studies are shown in</w:t>
      </w:r>
      <w:r w:rsidR="00FF1D27">
        <w:rPr>
          <w:color w:val="000000" w:themeColor="text1"/>
        </w:rPr>
        <w:t xml:space="preserve"> </w:t>
      </w:r>
      <w:r w:rsidR="00AD71C9">
        <w:rPr>
          <w:color w:val="000000" w:themeColor="text1"/>
        </w:rPr>
        <w:fldChar w:fldCharType="begin" w:fldLock="1"/>
      </w:r>
      <w:r w:rsidR="00AD71C9">
        <w:rPr>
          <w:color w:val="000000" w:themeColor="text1"/>
        </w:rPr>
        <w:instrText xml:space="preserve"> REF _Ref184988061 \h </w:instrText>
      </w:r>
      <w:r w:rsidR="00AD71C9">
        <w:rPr>
          <w:color w:val="000000" w:themeColor="text1"/>
        </w:rPr>
      </w:r>
      <w:r w:rsidR="00AD71C9">
        <w:rPr>
          <w:color w:val="000000" w:themeColor="text1"/>
        </w:rPr>
        <w:fldChar w:fldCharType="separate"/>
      </w:r>
      <w:r w:rsidR="00A6545D">
        <w:t xml:space="preserve">Table </w:t>
      </w:r>
      <w:r w:rsidR="00A6545D">
        <w:rPr>
          <w:noProof/>
        </w:rPr>
        <w:t>5</w:t>
      </w:r>
      <w:r w:rsidR="00AD71C9">
        <w:rPr>
          <w:color w:val="000000" w:themeColor="text1"/>
        </w:rPr>
        <w:fldChar w:fldCharType="end"/>
      </w:r>
      <w:r w:rsidR="00AD71C9">
        <w:rPr>
          <w:color w:val="000000" w:themeColor="text1"/>
        </w:rPr>
        <w:t>.</w:t>
      </w:r>
      <w:r w:rsidR="00884BEB">
        <w:rPr>
          <w:color w:val="000000" w:themeColor="text1"/>
        </w:rPr>
        <w:t xml:space="preserve"> </w:t>
      </w:r>
    </w:p>
    <w:p w14:paraId="17672F7B" w14:textId="3A00DCC0" w:rsidR="00221CC7" w:rsidRDefault="00AD71C9" w:rsidP="00AD71C9">
      <w:pPr>
        <w:pStyle w:val="Caption"/>
      </w:pPr>
      <w:bookmarkStart w:id="38" w:name="_Ref184988061"/>
      <w:r>
        <w:lastRenderedPageBreak/>
        <w:t xml:space="preserve">Table </w:t>
      </w:r>
      <w:r w:rsidR="00A6545D">
        <w:fldChar w:fldCharType="begin" w:fldLock="1"/>
      </w:r>
      <w:r w:rsidR="00A6545D">
        <w:instrText xml:space="preserve"> SEQ Table \* ARABIC </w:instrText>
      </w:r>
      <w:r w:rsidR="00A6545D">
        <w:fldChar w:fldCharType="separate"/>
      </w:r>
      <w:r w:rsidR="00A6545D">
        <w:rPr>
          <w:noProof/>
        </w:rPr>
        <w:t>5</w:t>
      </w:r>
      <w:r w:rsidR="00A6545D">
        <w:rPr>
          <w:noProof/>
        </w:rPr>
        <w:fldChar w:fldCharType="end"/>
      </w:r>
      <w:bookmarkEnd w:id="38"/>
      <w:r>
        <w:t xml:space="preserve">: </w:t>
      </w:r>
      <w:r w:rsidR="00221CC7">
        <w:t xml:space="preserve">Adverse events in the submitted studies. </w:t>
      </w:r>
    </w:p>
    <w:tbl>
      <w:tblPr>
        <w:tblStyle w:val="TableGrid"/>
        <w:tblW w:w="0" w:type="auto"/>
        <w:tblLook w:val="04A0" w:firstRow="1" w:lastRow="0" w:firstColumn="1" w:lastColumn="0" w:noHBand="0" w:noVBand="1"/>
      </w:tblPr>
      <w:tblGrid>
        <w:gridCol w:w="3005"/>
        <w:gridCol w:w="3006"/>
        <w:gridCol w:w="3006"/>
      </w:tblGrid>
      <w:tr w:rsidR="00221CC7" w14:paraId="6681329A" w14:textId="77777777" w:rsidTr="7F77D409">
        <w:tc>
          <w:tcPr>
            <w:tcW w:w="3005" w:type="dxa"/>
          </w:tcPr>
          <w:p w14:paraId="592A02B2" w14:textId="77777777" w:rsidR="00221CC7" w:rsidRDefault="00221CC7" w:rsidP="00221CC7">
            <w:pPr>
              <w:pStyle w:val="TableFigureHeading"/>
            </w:pPr>
          </w:p>
        </w:tc>
        <w:tc>
          <w:tcPr>
            <w:tcW w:w="3006" w:type="dxa"/>
          </w:tcPr>
          <w:p w14:paraId="404E7482" w14:textId="77777777" w:rsidR="00221CC7" w:rsidRDefault="00221CC7" w:rsidP="00221CC7">
            <w:pPr>
              <w:pStyle w:val="In-tableHeading"/>
            </w:pPr>
            <w:r>
              <w:t>VX15-770-124</w:t>
            </w:r>
          </w:p>
          <w:p w14:paraId="3BB64E97" w14:textId="120F5FDE" w:rsidR="00221CC7" w:rsidRDefault="00221CC7" w:rsidP="00221CC7">
            <w:pPr>
              <w:pStyle w:val="In-tableHeading"/>
            </w:pPr>
            <w:r>
              <w:t>N = 7</w:t>
            </w:r>
          </w:p>
        </w:tc>
        <w:tc>
          <w:tcPr>
            <w:tcW w:w="3006" w:type="dxa"/>
          </w:tcPr>
          <w:p w14:paraId="373BABA3" w14:textId="77777777" w:rsidR="00221CC7" w:rsidRDefault="00221CC7" w:rsidP="00221CC7">
            <w:pPr>
              <w:pStyle w:val="In-tableHeading"/>
            </w:pPr>
            <w:r>
              <w:t>VX15-770-126</w:t>
            </w:r>
          </w:p>
          <w:p w14:paraId="5BF1CE38" w14:textId="72DD871C" w:rsidR="00221CC7" w:rsidRDefault="00221CC7" w:rsidP="00221CC7">
            <w:pPr>
              <w:pStyle w:val="In-tableHeading"/>
            </w:pPr>
            <w:r>
              <w:t>N = 86</w:t>
            </w:r>
          </w:p>
        </w:tc>
      </w:tr>
      <w:tr w:rsidR="00866BFE" w14:paraId="726B0F79" w14:textId="77777777" w:rsidTr="7F77D409">
        <w:tc>
          <w:tcPr>
            <w:tcW w:w="3005" w:type="dxa"/>
          </w:tcPr>
          <w:p w14:paraId="6A3FC149" w14:textId="734F4C1A" w:rsidR="00866BFE" w:rsidRDefault="00866BFE" w:rsidP="00221CC7">
            <w:pPr>
              <w:pStyle w:val="TableText0"/>
            </w:pPr>
            <w:r>
              <w:t>Duration of Treatment</w:t>
            </w:r>
            <w:r w:rsidR="00F914B5">
              <w:t>, weeks</w:t>
            </w:r>
          </w:p>
          <w:p w14:paraId="70CD8A36" w14:textId="77777777" w:rsidR="00866BFE" w:rsidRDefault="00866BFE" w:rsidP="00866BFE">
            <w:pPr>
              <w:pStyle w:val="TableText0"/>
              <w:jc w:val="right"/>
            </w:pPr>
            <w:r>
              <w:t>Mean (SD)</w:t>
            </w:r>
          </w:p>
          <w:p w14:paraId="69A7AB06" w14:textId="5AD08ACE" w:rsidR="00866BFE" w:rsidRDefault="00866BFE" w:rsidP="00866BFE">
            <w:pPr>
              <w:pStyle w:val="TableText0"/>
              <w:jc w:val="right"/>
            </w:pPr>
            <w:r>
              <w:t>Median (range)</w:t>
            </w:r>
          </w:p>
        </w:tc>
        <w:tc>
          <w:tcPr>
            <w:tcW w:w="3006" w:type="dxa"/>
          </w:tcPr>
          <w:p w14:paraId="20FFF269" w14:textId="77777777" w:rsidR="00866BFE" w:rsidRDefault="00866BFE" w:rsidP="00221CC7">
            <w:pPr>
              <w:pStyle w:val="TableText0"/>
            </w:pPr>
          </w:p>
          <w:p w14:paraId="5E2BEE08" w14:textId="77777777" w:rsidR="00866BFE" w:rsidRDefault="00866BFE" w:rsidP="00221CC7">
            <w:pPr>
              <w:pStyle w:val="TableText0"/>
            </w:pPr>
            <w:r>
              <w:t>22.0 (5.7)</w:t>
            </w:r>
          </w:p>
          <w:p w14:paraId="6058E40A" w14:textId="4833C3ED" w:rsidR="00866BFE" w:rsidRDefault="00866BFE" w:rsidP="00221CC7">
            <w:pPr>
              <w:pStyle w:val="TableText0"/>
            </w:pPr>
            <w:r>
              <w:t>24.0 (9, 25)</w:t>
            </w:r>
          </w:p>
        </w:tc>
        <w:tc>
          <w:tcPr>
            <w:tcW w:w="3006" w:type="dxa"/>
          </w:tcPr>
          <w:p w14:paraId="56B64B3E" w14:textId="77777777" w:rsidR="00866BFE" w:rsidRDefault="00866BFE" w:rsidP="00221CC7">
            <w:pPr>
              <w:pStyle w:val="TableText0"/>
            </w:pPr>
          </w:p>
          <w:p w14:paraId="4553190C" w14:textId="77777777" w:rsidR="00866BFE" w:rsidRDefault="00866BFE" w:rsidP="00221CC7">
            <w:pPr>
              <w:pStyle w:val="TableText0"/>
            </w:pPr>
            <w:r>
              <w:t>80.0 (27.6)</w:t>
            </w:r>
          </w:p>
          <w:p w14:paraId="4D312BD3" w14:textId="127C1EA8" w:rsidR="00866BFE" w:rsidRDefault="00866BFE" w:rsidP="00221CC7">
            <w:pPr>
              <w:pStyle w:val="TableText0"/>
            </w:pPr>
            <w:r>
              <w:t>96.1 (5.1, 99.1)</w:t>
            </w:r>
          </w:p>
        </w:tc>
      </w:tr>
      <w:tr w:rsidR="00866BFE" w14:paraId="1ED1F8E1" w14:textId="77777777" w:rsidTr="7F77D409">
        <w:tc>
          <w:tcPr>
            <w:tcW w:w="3005" w:type="dxa"/>
          </w:tcPr>
          <w:p w14:paraId="5B16BCCE" w14:textId="639631E2" w:rsidR="00F914B5" w:rsidRDefault="00866BFE" w:rsidP="00F914B5">
            <w:pPr>
              <w:pStyle w:val="TableText0"/>
            </w:pPr>
            <w:r>
              <w:t>Treatment Duration Category, n (%)</w:t>
            </w:r>
          </w:p>
          <w:p w14:paraId="66257504" w14:textId="039DB7AF" w:rsidR="00866BFE" w:rsidRDefault="00866BFE" w:rsidP="00866BFE">
            <w:pPr>
              <w:pStyle w:val="TableText0"/>
              <w:jc w:val="right"/>
            </w:pPr>
            <w:r>
              <w:rPr>
                <w:rFonts w:ascii="Symbol" w:eastAsia="Symbol" w:hAnsi="Symbol" w:cs="Symbol"/>
              </w:rPr>
              <w:t>£</w:t>
            </w:r>
            <w:r>
              <w:t>24 wk</w:t>
            </w:r>
            <w:r w:rsidR="00F914B5" w:rsidRPr="00F914B5">
              <w:rPr>
                <w:vertAlign w:val="superscript"/>
              </w:rPr>
              <w:t>1</w:t>
            </w:r>
          </w:p>
          <w:p w14:paraId="57C62187" w14:textId="26FF4B61" w:rsidR="00866BFE" w:rsidRDefault="00866BFE" w:rsidP="7F77D409">
            <w:pPr>
              <w:pStyle w:val="TableText0"/>
              <w:jc w:val="right"/>
            </w:pPr>
            <w:r w:rsidRPr="7F77D409">
              <w:t>&gt;24</w:t>
            </w:r>
            <w:r w:rsidR="00071B8A" w:rsidRPr="7F77D409">
              <w:t xml:space="preserve"> but </w:t>
            </w:r>
            <w:r w:rsidR="00071B8A" w:rsidRPr="7F77D409">
              <w:rPr>
                <w:rFonts w:ascii="Symbol" w:eastAsia="Symbol" w:hAnsi="Symbol" w:cs="Symbol"/>
              </w:rPr>
              <w:t>£</w:t>
            </w:r>
            <w:r w:rsidR="00071B8A" w:rsidRPr="7F77D409">
              <w:t>72</w:t>
            </w:r>
            <w:r w:rsidRPr="7F77D409">
              <w:t xml:space="preserve"> </w:t>
            </w:r>
            <w:proofErr w:type="spellStart"/>
            <w:r w:rsidRPr="7F77D409">
              <w:t>wk</w:t>
            </w:r>
            <w:proofErr w:type="spellEnd"/>
          </w:p>
          <w:p w14:paraId="480293F9" w14:textId="5D15E63F" w:rsidR="00866BFE" w:rsidRDefault="00866BFE" w:rsidP="7F77D409">
            <w:pPr>
              <w:pStyle w:val="TableText0"/>
              <w:jc w:val="right"/>
            </w:pPr>
            <w:r w:rsidRPr="7F77D409">
              <w:t xml:space="preserve">&gt;72 </w:t>
            </w:r>
            <w:proofErr w:type="spellStart"/>
            <w:r w:rsidRPr="7F77D409">
              <w:t>wk</w:t>
            </w:r>
            <w:proofErr w:type="spellEnd"/>
          </w:p>
        </w:tc>
        <w:tc>
          <w:tcPr>
            <w:tcW w:w="3006" w:type="dxa"/>
          </w:tcPr>
          <w:p w14:paraId="03ECA547" w14:textId="6D605A04" w:rsidR="00F914B5" w:rsidRDefault="00F914B5" w:rsidP="00866BFE">
            <w:pPr>
              <w:pStyle w:val="TableText0"/>
            </w:pPr>
          </w:p>
          <w:p w14:paraId="1590893B" w14:textId="4AE6663A" w:rsidR="00866BFE" w:rsidRDefault="00866BFE" w:rsidP="00866BFE">
            <w:pPr>
              <w:pStyle w:val="TableText0"/>
            </w:pPr>
            <w:r w:rsidRPr="00866BFE">
              <w:t>6</w:t>
            </w:r>
            <w:r>
              <w:t xml:space="preserve"> (85.7)</w:t>
            </w:r>
          </w:p>
          <w:p w14:paraId="36489CAC" w14:textId="3752E2F7" w:rsidR="00866BFE" w:rsidRDefault="00F914B5" w:rsidP="00221CC7">
            <w:pPr>
              <w:pStyle w:val="TableText0"/>
            </w:pPr>
            <w:r>
              <w:t>-</w:t>
            </w:r>
          </w:p>
          <w:p w14:paraId="25F395DE" w14:textId="1AAF4B94" w:rsidR="000D2F12" w:rsidRDefault="000D2F12" w:rsidP="00221CC7">
            <w:pPr>
              <w:pStyle w:val="TableText0"/>
            </w:pPr>
            <w:r>
              <w:t>-</w:t>
            </w:r>
          </w:p>
        </w:tc>
        <w:tc>
          <w:tcPr>
            <w:tcW w:w="3006" w:type="dxa"/>
          </w:tcPr>
          <w:p w14:paraId="6879A256" w14:textId="77777777" w:rsidR="00866BFE" w:rsidRDefault="00866BFE" w:rsidP="00221CC7">
            <w:pPr>
              <w:pStyle w:val="TableText0"/>
            </w:pPr>
          </w:p>
          <w:p w14:paraId="105DC3C5" w14:textId="33A6086B" w:rsidR="00866BFE" w:rsidRDefault="00071B8A" w:rsidP="00221CC7">
            <w:pPr>
              <w:pStyle w:val="TableText0"/>
            </w:pPr>
            <w:r>
              <w:t>6 (7.0%)</w:t>
            </w:r>
          </w:p>
          <w:p w14:paraId="1C1FC649" w14:textId="77777777" w:rsidR="00071B8A" w:rsidRDefault="00071B8A" w:rsidP="00221CC7">
            <w:pPr>
              <w:pStyle w:val="TableText0"/>
            </w:pPr>
            <w:r>
              <w:t>16 (18.6%)</w:t>
            </w:r>
          </w:p>
          <w:p w14:paraId="0CC93A65" w14:textId="72C1CE9A" w:rsidR="00071B8A" w:rsidRDefault="00071B8A" w:rsidP="00221CC7">
            <w:pPr>
              <w:pStyle w:val="TableText0"/>
            </w:pPr>
            <w:r>
              <w:t>64 (74.4%)</w:t>
            </w:r>
          </w:p>
        </w:tc>
      </w:tr>
      <w:tr w:rsidR="00221CC7" w14:paraId="474A41E2" w14:textId="77777777" w:rsidTr="7F77D409">
        <w:tc>
          <w:tcPr>
            <w:tcW w:w="3005" w:type="dxa"/>
          </w:tcPr>
          <w:p w14:paraId="057F2C3E" w14:textId="09D8A857" w:rsidR="00221CC7" w:rsidRDefault="00221CC7" w:rsidP="00221CC7">
            <w:pPr>
              <w:pStyle w:val="TableText0"/>
            </w:pPr>
            <w:r>
              <w:t>Patients with AEs, n (%)</w:t>
            </w:r>
          </w:p>
        </w:tc>
        <w:tc>
          <w:tcPr>
            <w:tcW w:w="3006" w:type="dxa"/>
          </w:tcPr>
          <w:p w14:paraId="7AD10862" w14:textId="05AE998C" w:rsidR="00221CC7" w:rsidRDefault="00221CC7" w:rsidP="00221CC7">
            <w:pPr>
              <w:pStyle w:val="TableText0"/>
            </w:pPr>
            <w:r>
              <w:t>4 (57.1%)</w:t>
            </w:r>
          </w:p>
        </w:tc>
        <w:tc>
          <w:tcPr>
            <w:tcW w:w="3006" w:type="dxa"/>
          </w:tcPr>
          <w:p w14:paraId="403B8AD7" w14:textId="3AA0D9AF" w:rsidR="00221CC7" w:rsidRDefault="00071B8A" w:rsidP="00221CC7">
            <w:pPr>
              <w:pStyle w:val="TableText0"/>
            </w:pPr>
            <w:r>
              <w:t>85 (99%)</w:t>
            </w:r>
          </w:p>
        </w:tc>
      </w:tr>
      <w:tr w:rsidR="00221CC7" w14:paraId="26EB8FE7" w14:textId="77777777" w:rsidTr="7F77D409">
        <w:tc>
          <w:tcPr>
            <w:tcW w:w="3005" w:type="dxa"/>
          </w:tcPr>
          <w:p w14:paraId="06CE4489" w14:textId="1F9FF15C" w:rsidR="00221CC7" w:rsidRDefault="00071B8A" w:rsidP="00221CC7">
            <w:pPr>
              <w:pStyle w:val="TableText0"/>
            </w:pPr>
            <w:r>
              <w:t xml:space="preserve">Total </w:t>
            </w:r>
            <w:r w:rsidR="00221CC7">
              <w:t>AEs</w:t>
            </w:r>
          </w:p>
        </w:tc>
        <w:tc>
          <w:tcPr>
            <w:tcW w:w="3006" w:type="dxa"/>
          </w:tcPr>
          <w:p w14:paraId="3227EF8C" w14:textId="44D5B5D2" w:rsidR="00221CC7" w:rsidRDefault="00221CC7" w:rsidP="00221CC7">
            <w:pPr>
              <w:pStyle w:val="TableText0"/>
            </w:pPr>
            <w:r>
              <w:t>14</w:t>
            </w:r>
          </w:p>
        </w:tc>
        <w:tc>
          <w:tcPr>
            <w:tcW w:w="3006" w:type="dxa"/>
          </w:tcPr>
          <w:p w14:paraId="411D950B" w14:textId="50088C67" w:rsidR="00221CC7" w:rsidRDefault="00071B8A" w:rsidP="00221CC7">
            <w:pPr>
              <w:pStyle w:val="TableText0"/>
            </w:pPr>
            <w:r>
              <w:t>968</w:t>
            </w:r>
          </w:p>
        </w:tc>
      </w:tr>
      <w:tr w:rsidR="00221CC7" w14:paraId="702A9603" w14:textId="77777777" w:rsidTr="7F77D409">
        <w:tc>
          <w:tcPr>
            <w:tcW w:w="3005" w:type="dxa"/>
          </w:tcPr>
          <w:p w14:paraId="35FC60A5" w14:textId="08889292" w:rsidR="00221CC7" w:rsidRDefault="00071B8A" w:rsidP="00221CC7">
            <w:pPr>
              <w:pStyle w:val="TableText0"/>
            </w:pPr>
            <w:r>
              <w:t xml:space="preserve">Patients with </w:t>
            </w:r>
            <w:r w:rsidR="00221CC7">
              <w:t>SAEs</w:t>
            </w:r>
            <w:r>
              <w:t xml:space="preserve"> n, (%)</w:t>
            </w:r>
          </w:p>
        </w:tc>
        <w:tc>
          <w:tcPr>
            <w:tcW w:w="3006" w:type="dxa"/>
          </w:tcPr>
          <w:p w14:paraId="2E14579C" w14:textId="0B294B15" w:rsidR="00221CC7" w:rsidRDefault="00221CC7" w:rsidP="00221CC7">
            <w:pPr>
              <w:pStyle w:val="TableText0"/>
            </w:pPr>
            <w:r>
              <w:t>0</w:t>
            </w:r>
          </w:p>
        </w:tc>
        <w:tc>
          <w:tcPr>
            <w:tcW w:w="3006" w:type="dxa"/>
          </w:tcPr>
          <w:p w14:paraId="5D71C1F4" w14:textId="6ED79313" w:rsidR="00221CC7" w:rsidRDefault="00071B8A" w:rsidP="00221CC7">
            <w:pPr>
              <w:pStyle w:val="TableText0"/>
            </w:pPr>
            <w:r>
              <w:t>21 (24.4%)</w:t>
            </w:r>
          </w:p>
        </w:tc>
      </w:tr>
      <w:tr w:rsidR="00071B8A" w14:paraId="52C88670" w14:textId="77777777" w:rsidTr="7F77D409">
        <w:tc>
          <w:tcPr>
            <w:tcW w:w="3005" w:type="dxa"/>
          </w:tcPr>
          <w:p w14:paraId="35768960" w14:textId="289778FD" w:rsidR="00071B8A" w:rsidRDefault="00071B8A" w:rsidP="00221CC7">
            <w:pPr>
              <w:pStyle w:val="TableText0"/>
            </w:pPr>
            <w:r>
              <w:t>Total SAEs</w:t>
            </w:r>
          </w:p>
        </w:tc>
        <w:tc>
          <w:tcPr>
            <w:tcW w:w="3006" w:type="dxa"/>
          </w:tcPr>
          <w:p w14:paraId="1F80EE9C" w14:textId="560951DC" w:rsidR="00071B8A" w:rsidRDefault="00071B8A" w:rsidP="00221CC7">
            <w:pPr>
              <w:pStyle w:val="TableText0"/>
            </w:pPr>
            <w:r>
              <w:t>0</w:t>
            </w:r>
          </w:p>
        </w:tc>
        <w:tc>
          <w:tcPr>
            <w:tcW w:w="3006" w:type="dxa"/>
          </w:tcPr>
          <w:p w14:paraId="304E9C22" w14:textId="23DBBD0F" w:rsidR="00071B8A" w:rsidRDefault="00071B8A" w:rsidP="00221CC7">
            <w:pPr>
              <w:pStyle w:val="TableText0"/>
            </w:pPr>
            <w:r>
              <w:t>36</w:t>
            </w:r>
          </w:p>
        </w:tc>
      </w:tr>
      <w:tr w:rsidR="00221CC7" w14:paraId="0A529CB4" w14:textId="77777777" w:rsidTr="7F77D409">
        <w:tc>
          <w:tcPr>
            <w:tcW w:w="3005" w:type="dxa"/>
          </w:tcPr>
          <w:p w14:paraId="2CC9F245" w14:textId="4DB7440C" w:rsidR="00221CC7" w:rsidRDefault="00221CC7" w:rsidP="00221CC7">
            <w:pPr>
              <w:pStyle w:val="TableText0"/>
            </w:pPr>
            <w:r>
              <w:t>Patients with AE leading to discontinuation of ivacaftor, n (%)</w:t>
            </w:r>
          </w:p>
        </w:tc>
        <w:tc>
          <w:tcPr>
            <w:tcW w:w="3006" w:type="dxa"/>
          </w:tcPr>
          <w:p w14:paraId="5A5FFA3C" w14:textId="45D167FD" w:rsidR="00221CC7" w:rsidRDefault="00221CC7" w:rsidP="00221CC7">
            <w:pPr>
              <w:pStyle w:val="TableText0"/>
            </w:pPr>
            <w:r>
              <w:t>1 (14.3%)</w:t>
            </w:r>
          </w:p>
        </w:tc>
        <w:tc>
          <w:tcPr>
            <w:tcW w:w="3006" w:type="dxa"/>
          </w:tcPr>
          <w:p w14:paraId="2F0FC057" w14:textId="0119B10B" w:rsidR="00221CC7" w:rsidRDefault="00071B8A" w:rsidP="00221CC7">
            <w:pPr>
              <w:pStyle w:val="TableText0"/>
            </w:pPr>
            <w:r>
              <w:t>2 (2.3%)</w:t>
            </w:r>
          </w:p>
        </w:tc>
      </w:tr>
      <w:tr w:rsidR="00071B8A" w14:paraId="6D96DD3D" w14:textId="77777777" w:rsidTr="7F77D409">
        <w:tc>
          <w:tcPr>
            <w:tcW w:w="3005" w:type="dxa"/>
          </w:tcPr>
          <w:p w14:paraId="7C59BA5E" w14:textId="2964B307" w:rsidR="00071B8A" w:rsidRDefault="00071B8A" w:rsidP="00221CC7">
            <w:pPr>
              <w:pStyle w:val="TableText0"/>
            </w:pPr>
            <w:r>
              <w:t>Patients with AE leading to interruption of ivacaftor, n (%)</w:t>
            </w:r>
          </w:p>
        </w:tc>
        <w:tc>
          <w:tcPr>
            <w:tcW w:w="3006" w:type="dxa"/>
          </w:tcPr>
          <w:p w14:paraId="194FA9ED" w14:textId="1734D110" w:rsidR="00071B8A" w:rsidRDefault="00071B8A" w:rsidP="00221CC7">
            <w:pPr>
              <w:pStyle w:val="TableText0"/>
            </w:pPr>
            <w:r>
              <w:t>-</w:t>
            </w:r>
          </w:p>
        </w:tc>
        <w:tc>
          <w:tcPr>
            <w:tcW w:w="3006" w:type="dxa"/>
          </w:tcPr>
          <w:p w14:paraId="2036B3A7" w14:textId="1A856F7B" w:rsidR="00071B8A" w:rsidRDefault="00071B8A" w:rsidP="00221CC7">
            <w:pPr>
              <w:pStyle w:val="TableText0"/>
            </w:pPr>
            <w:r>
              <w:t>8 (9.3%)</w:t>
            </w:r>
          </w:p>
        </w:tc>
      </w:tr>
      <w:tr w:rsidR="00221CC7" w14:paraId="5042E58F" w14:textId="77777777" w:rsidTr="7F77D409">
        <w:tc>
          <w:tcPr>
            <w:tcW w:w="3005" w:type="dxa"/>
          </w:tcPr>
          <w:p w14:paraId="7B8CCA9A" w14:textId="7C4C75F4" w:rsidR="00221CC7" w:rsidRDefault="00221CC7" w:rsidP="00221CC7">
            <w:pPr>
              <w:pStyle w:val="TableText0"/>
            </w:pPr>
            <w:r>
              <w:t>ALT elevated, n (%)</w:t>
            </w:r>
          </w:p>
          <w:p w14:paraId="0BA94F0E" w14:textId="11EEEE9B" w:rsidR="00221CC7" w:rsidRDefault="00221CC7" w:rsidP="00221CC7">
            <w:pPr>
              <w:pStyle w:val="TableText0"/>
            </w:pPr>
            <w:r>
              <w:rPr>
                <w:rFonts w:ascii="Symbol" w:eastAsia="Symbol" w:hAnsi="Symbol" w:cs="Symbol"/>
              </w:rPr>
              <w:t>£</w:t>
            </w:r>
            <w:r>
              <w:t>2 x ULN</w:t>
            </w:r>
          </w:p>
          <w:p w14:paraId="4CCB4BF0" w14:textId="1281C612" w:rsidR="00380809" w:rsidRDefault="00380809" w:rsidP="00221CC7">
            <w:pPr>
              <w:pStyle w:val="TableText0"/>
            </w:pPr>
            <w:r>
              <w:t xml:space="preserve">&gt;2 but </w:t>
            </w:r>
            <w:r>
              <w:rPr>
                <w:rFonts w:ascii="Symbol" w:eastAsia="Symbol" w:hAnsi="Symbol" w:cs="Symbol"/>
              </w:rPr>
              <w:t>£</w:t>
            </w:r>
            <w:r>
              <w:t>3 x ULN</w:t>
            </w:r>
          </w:p>
          <w:p w14:paraId="1E5269BA" w14:textId="140758CB" w:rsidR="00221CC7" w:rsidRDefault="00221CC7" w:rsidP="00221CC7">
            <w:pPr>
              <w:pStyle w:val="TableText0"/>
            </w:pPr>
            <w:r>
              <w:t>&gt;3 x ULN</w:t>
            </w:r>
          </w:p>
        </w:tc>
        <w:tc>
          <w:tcPr>
            <w:tcW w:w="3006" w:type="dxa"/>
          </w:tcPr>
          <w:p w14:paraId="2FE75DA8" w14:textId="0A1395AB" w:rsidR="00221CC7" w:rsidRDefault="00380809" w:rsidP="00221CC7">
            <w:pPr>
              <w:pStyle w:val="TableText0"/>
            </w:pPr>
            <w:r>
              <w:t>5 (71.4%)</w:t>
            </w:r>
          </w:p>
          <w:p w14:paraId="5E1A462E" w14:textId="77777777" w:rsidR="00866BFE" w:rsidRDefault="00866BFE" w:rsidP="00221CC7">
            <w:pPr>
              <w:pStyle w:val="TableText0"/>
            </w:pPr>
            <w:r>
              <w:t>3 (42.9%)</w:t>
            </w:r>
          </w:p>
          <w:p w14:paraId="428635A9" w14:textId="57AB4CF8" w:rsidR="00380809" w:rsidRDefault="00380809" w:rsidP="00221CC7">
            <w:pPr>
              <w:pStyle w:val="TableText0"/>
            </w:pPr>
            <w:r>
              <w:t>1 (14.3%)</w:t>
            </w:r>
          </w:p>
          <w:p w14:paraId="5AAED138" w14:textId="4B20C083" w:rsidR="00866BFE" w:rsidRDefault="00866BFE" w:rsidP="00221CC7">
            <w:pPr>
              <w:pStyle w:val="TableText0"/>
            </w:pPr>
            <w:r>
              <w:t>1 (14.3%)</w:t>
            </w:r>
          </w:p>
        </w:tc>
        <w:tc>
          <w:tcPr>
            <w:tcW w:w="3006" w:type="dxa"/>
          </w:tcPr>
          <w:p w14:paraId="0EF369BE" w14:textId="7951388F" w:rsidR="00221CC7" w:rsidRDefault="00380809" w:rsidP="00221CC7">
            <w:pPr>
              <w:pStyle w:val="TableText0"/>
            </w:pPr>
            <w:r>
              <w:t>30 (34.9%)</w:t>
            </w:r>
          </w:p>
          <w:p w14:paraId="206FCF11" w14:textId="77777777" w:rsidR="00071B8A" w:rsidRDefault="00071B8A" w:rsidP="00221CC7">
            <w:pPr>
              <w:pStyle w:val="TableText0"/>
            </w:pPr>
            <w:r>
              <w:t>24 (27.9%)</w:t>
            </w:r>
          </w:p>
          <w:p w14:paraId="2F719F12" w14:textId="3341B677" w:rsidR="00380809" w:rsidRDefault="00380809" w:rsidP="00221CC7">
            <w:pPr>
              <w:pStyle w:val="TableText0"/>
            </w:pPr>
            <w:r>
              <w:t>1 (1.2%)</w:t>
            </w:r>
          </w:p>
          <w:p w14:paraId="7F9D4A93" w14:textId="18AC9234" w:rsidR="00071B8A" w:rsidRDefault="00071B8A" w:rsidP="00221CC7">
            <w:pPr>
              <w:pStyle w:val="TableText0"/>
            </w:pPr>
            <w:r>
              <w:t>5 (5.8%)</w:t>
            </w:r>
          </w:p>
        </w:tc>
      </w:tr>
      <w:tr w:rsidR="00221CC7" w14:paraId="39314585" w14:textId="77777777" w:rsidTr="7F77D409">
        <w:tc>
          <w:tcPr>
            <w:tcW w:w="3005" w:type="dxa"/>
          </w:tcPr>
          <w:p w14:paraId="37E3E20D" w14:textId="77777777" w:rsidR="00221CC7" w:rsidRDefault="00221CC7" w:rsidP="00221CC7">
            <w:pPr>
              <w:pStyle w:val="TableText0"/>
            </w:pPr>
            <w:r>
              <w:t>AST elevated, n (%)</w:t>
            </w:r>
          </w:p>
          <w:p w14:paraId="46B497F6" w14:textId="5B26E8DC" w:rsidR="00071B8A" w:rsidRDefault="00071B8A" w:rsidP="00221CC7">
            <w:pPr>
              <w:pStyle w:val="TableText0"/>
            </w:pPr>
            <w:r>
              <w:rPr>
                <w:rFonts w:ascii="Symbol" w:eastAsia="Symbol" w:hAnsi="Symbol" w:cs="Symbol"/>
              </w:rPr>
              <w:t>£</w:t>
            </w:r>
            <w:r>
              <w:t>2 x ULN</w:t>
            </w:r>
          </w:p>
          <w:p w14:paraId="0CC34ABD" w14:textId="6FA55165" w:rsidR="00380809" w:rsidRDefault="00380809" w:rsidP="00221CC7">
            <w:pPr>
              <w:pStyle w:val="TableText0"/>
            </w:pPr>
            <w:r>
              <w:t xml:space="preserve">&gt;2 but </w:t>
            </w:r>
            <w:r>
              <w:rPr>
                <w:rFonts w:ascii="Symbol" w:eastAsia="Symbol" w:hAnsi="Symbol" w:cs="Symbol"/>
              </w:rPr>
              <w:t>£</w:t>
            </w:r>
            <w:r>
              <w:t>3 x ULN</w:t>
            </w:r>
          </w:p>
          <w:p w14:paraId="316D780A" w14:textId="40BC54A0" w:rsidR="00866BFE" w:rsidRDefault="00866BFE" w:rsidP="00866BFE">
            <w:pPr>
              <w:pStyle w:val="TableText0"/>
            </w:pPr>
            <w:r w:rsidRPr="00866BFE">
              <w:rPr>
                <w:bCs w:val="0"/>
              </w:rPr>
              <w:t>&gt;</w:t>
            </w:r>
            <w:r>
              <w:t>3 x ULN</w:t>
            </w:r>
          </w:p>
        </w:tc>
        <w:tc>
          <w:tcPr>
            <w:tcW w:w="3006" w:type="dxa"/>
          </w:tcPr>
          <w:p w14:paraId="7B62B314" w14:textId="77777777" w:rsidR="00221CC7" w:rsidRDefault="00221CC7" w:rsidP="00221CC7">
            <w:pPr>
              <w:pStyle w:val="TableText0"/>
            </w:pPr>
          </w:p>
          <w:p w14:paraId="1BF782C2" w14:textId="77777777" w:rsidR="00071B8A" w:rsidRDefault="00071B8A" w:rsidP="00221CC7">
            <w:pPr>
              <w:pStyle w:val="TableText0"/>
            </w:pPr>
            <w:r>
              <w:t xml:space="preserve">- </w:t>
            </w:r>
          </w:p>
          <w:p w14:paraId="24E5FD42" w14:textId="77777777" w:rsidR="00380809" w:rsidRDefault="00380809" w:rsidP="00221CC7">
            <w:pPr>
              <w:pStyle w:val="TableText0"/>
            </w:pPr>
            <w:r>
              <w:t>-</w:t>
            </w:r>
          </w:p>
          <w:p w14:paraId="4FA2F059" w14:textId="4383732A" w:rsidR="00866BFE" w:rsidRDefault="00866BFE" w:rsidP="00221CC7">
            <w:pPr>
              <w:pStyle w:val="TableText0"/>
            </w:pPr>
            <w:r>
              <w:t>1 (14.3%)</w:t>
            </w:r>
          </w:p>
        </w:tc>
        <w:tc>
          <w:tcPr>
            <w:tcW w:w="3006" w:type="dxa"/>
          </w:tcPr>
          <w:p w14:paraId="5DEAD4CE" w14:textId="783CE6FD" w:rsidR="00221CC7" w:rsidRDefault="00380809" w:rsidP="00221CC7">
            <w:pPr>
              <w:pStyle w:val="TableText0"/>
            </w:pPr>
            <w:r>
              <w:t>11 (12.8%)</w:t>
            </w:r>
          </w:p>
          <w:p w14:paraId="3052B43F" w14:textId="69660E88" w:rsidR="00380809" w:rsidRDefault="00380809" w:rsidP="00221CC7">
            <w:pPr>
              <w:pStyle w:val="TableText0"/>
            </w:pPr>
            <w:r>
              <w:t xml:space="preserve">9 (10.5%) </w:t>
            </w:r>
          </w:p>
          <w:p w14:paraId="3B6F024D" w14:textId="77777777" w:rsidR="00380809" w:rsidRDefault="00380809" w:rsidP="00221CC7">
            <w:pPr>
              <w:pStyle w:val="TableText0"/>
            </w:pPr>
            <w:r>
              <w:t>2 (2.3%)</w:t>
            </w:r>
          </w:p>
          <w:p w14:paraId="38EB6292" w14:textId="2E8A842B" w:rsidR="00380809" w:rsidRDefault="00380809" w:rsidP="00221CC7">
            <w:pPr>
              <w:pStyle w:val="TableText0"/>
            </w:pPr>
            <w:r>
              <w:t xml:space="preserve">- </w:t>
            </w:r>
          </w:p>
        </w:tc>
      </w:tr>
      <w:tr w:rsidR="00221CC7" w14:paraId="0094AAC0" w14:textId="77777777" w:rsidTr="7F77D409">
        <w:tc>
          <w:tcPr>
            <w:tcW w:w="3005" w:type="dxa"/>
          </w:tcPr>
          <w:p w14:paraId="26ACB475" w14:textId="13787D13" w:rsidR="00866BFE" w:rsidRDefault="00866BFE" w:rsidP="00221CC7">
            <w:pPr>
              <w:pStyle w:val="TableText0"/>
            </w:pPr>
            <w:r>
              <w:t>Total bilirubin elevated,</w:t>
            </w:r>
            <w:r w:rsidR="00380809">
              <w:t xml:space="preserve"> n</w:t>
            </w:r>
            <w:r>
              <w:t xml:space="preserve"> (%)</w:t>
            </w:r>
          </w:p>
          <w:p w14:paraId="3244C7EC" w14:textId="1F41F763" w:rsidR="00866BFE" w:rsidRDefault="00866BFE" w:rsidP="00866BFE">
            <w:pPr>
              <w:pStyle w:val="TableText0"/>
            </w:pPr>
            <w:r w:rsidRPr="00866BFE">
              <w:rPr>
                <w:bCs w:val="0"/>
              </w:rPr>
              <w:t>&gt;</w:t>
            </w:r>
            <w:r>
              <w:t>2 x ULN</w:t>
            </w:r>
          </w:p>
        </w:tc>
        <w:tc>
          <w:tcPr>
            <w:tcW w:w="3006" w:type="dxa"/>
          </w:tcPr>
          <w:p w14:paraId="1B904CC7" w14:textId="2896DB97" w:rsidR="00221CC7" w:rsidRDefault="00380809" w:rsidP="00221CC7">
            <w:pPr>
              <w:pStyle w:val="TableText0"/>
            </w:pPr>
            <w:r>
              <w:t>1 (14.3%)</w:t>
            </w:r>
          </w:p>
          <w:p w14:paraId="13B682F3" w14:textId="7C799FE9" w:rsidR="00866BFE" w:rsidRDefault="00866BFE" w:rsidP="00221CC7">
            <w:pPr>
              <w:pStyle w:val="TableText0"/>
            </w:pPr>
            <w:r>
              <w:t>1 (14.3%)</w:t>
            </w:r>
          </w:p>
        </w:tc>
        <w:tc>
          <w:tcPr>
            <w:tcW w:w="3006" w:type="dxa"/>
          </w:tcPr>
          <w:p w14:paraId="58E6E148" w14:textId="77777777" w:rsidR="00221CC7" w:rsidRDefault="00380809" w:rsidP="00221CC7">
            <w:pPr>
              <w:pStyle w:val="TableText0"/>
            </w:pPr>
            <w:r>
              <w:t>0</w:t>
            </w:r>
          </w:p>
          <w:p w14:paraId="5BCA726D" w14:textId="2C5D7201" w:rsidR="00380809" w:rsidRDefault="00380809" w:rsidP="00221CC7">
            <w:pPr>
              <w:pStyle w:val="TableText0"/>
            </w:pPr>
            <w:r>
              <w:t>0</w:t>
            </w:r>
          </w:p>
        </w:tc>
      </w:tr>
      <w:tr w:rsidR="000D2F12" w14:paraId="76F3776A" w14:textId="77777777" w:rsidTr="7F77D409">
        <w:tc>
          <w:tcPr>
            <w:tcW w:w="3005" w:type="dxa"/>
          </w:tcPr>
          <w:p w14:paraId="5AA03CC5" w14:textId="5BD40A5E" w:rsidR="000D2F12" w:rsidRDefault="000D2F12" w:rsidP="00221CC7">
            <w:pPr>
              <w:pStyle w:val="TableText0"/>
            </w:pPr>
            <w:r>
              <w:t>Rash, n (%)</w:t>
            </w:r>
          </w:p>
        </w:tc>
        <w:tc>
          <w:tcPr>
            <w:tcW w:w="3006" w:type="dxa"/>
          </w:tcPr>
          <w:p w14:paraId="504842C8" w14:textId="23947EA3" w:rsidR="000D2F12" w:rsidRDefault="000D2F12" w:rsidP="00221CC7">
            <w:pPr>
              <w:pStyle w:val="TableText0"/>
            </w:pPr>
            <w:r>
              <w:t xml:space="preserve">- </w:t>
            </w:r>
          </w:p>
        </w:tc>
        <w:tc>
          <w:tcPr>
            <w:tcW w:w="3006" w:type="dxa"/>
          </w:tcPr>
          <w:p w14:paraId="7F36DE1A" w14:textId="0484191B" w:rsidR="000D2F12" w:rsidRDefault="000D2F12" w:rsidP="00221CC7">
            <w:pPr>
              <w:pStyle w:val="TableText0"/>
            </w:pPr>
            <w:r>
              <w:t>21 (24.4%)</w:t>
            </w:r>
          </w:p>
        </w:tc>
      </w:tr>
    </w:tbl>
    <w:p w14:paraId="18B17FFF" w14:textId="36D7813B" w:rsidR="00221CC7" w:rsidRDefault="00380809" w:rsidP="000D2F12">
      <w:pPr>
        <w:pStyle w:val="TableFigureFooter"/>
      </w:pPr>
      <w:r>
        <w:t xml:space="preserve">Source: VX15-770-124 CSR, Table 12-2, p60; Table 12-2, pp60-61; Table 12-4, p64; VX15-770-126 CSR, Table 12-1, p56, Table 12-2, p57, Table 12-5, p61. </w:t>
      </w:r>
    </w:p>
    <w:p w14:paraId="33975D00" w14:textId="77777777" w:rsidR="00F914B5" w:rsidRDefault="00380809" w:rsidP="000D2F12">
      <w:pPr>
        <w:pStyle w:val="TableFigureFooter"/>
      </w:pPr>
      <w:r>
        <w:t xml:space="preserve">AE = adverse event; ALT = alanine aminotransferase; AST = aspartate aminotransferase; </w:t>
      </w:r>
      <w:r w:rsidR="000D2F12">
        <w:t>SAE = serious adverse event; SD. = standard deviation.</w:t>
      </w:r>
    </w:p>
    <w:p w14:paraId="1111F7BA" w14:textId="2C1D2752" w:rsidR="00380809" w:rsidRPr="00221CC7" w:rsidRDefault="00F914B5" w:rsidP="000D2F12">
      <w:pPr>
        <w:pStyle w:val="TableFigureFooter"/>
      </w:pPr>
      <w:r w:rsidRPr="7F77D409">
        <w:rPr>
          <w:vertAlign w:val="superscript"/>
        </w:rPr>
        <w:t>1</w:t>
      </w:r>
      <w:r w:rsidRPr="7F77D409">
        <w:t xml:space="preserve"> One patient discontinued treatment at week 9</w:t>
      </w:r>
      <w:r w:rsidR="00941982" w:rsidRPr="7F77D409">
        <w:t xml:space="preserve"> because of abnormal liver function. </w:t>
      </w:r>
    </w:p>
    <w:p w14:paraId="7190DB90" w14:textId="47A1CFFB" w:rsidR="00221CC7" w:rsidRPr="000D2F12" w:rsidRDefault="000D2F12" w:rsidP="000D2F12">
      <w:pPr>
        <w:pStyle w:val="3-BodyText"/>
      </w:pPr>
      <w:r w:rsidRPr="000D2F12">
        <w:t xml:space="preserve">As in other studies of ivacaftor, </w:t>
      </w:r>
      <w:r>
        <w:t xml:space="preserve">rash and </w:t>
      </w:r>
      <w:r w:rsidRPr="000D2F12">
        <w:t xml:space="preserve">liver function abnormalities were </w:t>
      </w:r>
      <w:r>
        <w:t xml:space="preserve">common. </w:t>
      </w:r>
    </w:p>
    <w:p w14:paraId="04908C7F" w14:textId="415B9B7D" w:rsidR="007F1017" w:rsidRPr="0098262F" w:rsidRDefault="007F1017" w:rsidP="00D86231">
      <w:pPr>
        <w:pStyle w:val="4-SubsectionHeading"/>
      </w:pPr>
      <w:bookmarkStart w:id="39" w:name="_Toc22897643"/>
      <w:bookmarkStart w:id="40" w:name="_Toc187661086"/>
      <w:r w:rsidRPr="0098262F">
        <w:t>Benefits/harms</w:t>
      </w:r>
      <w:bookmarkEnd w:id="39"/>
      <w:bookmarkEnd w:id="40"/>
    </w:p>
    <w:p w14:paraId="7398D11E" w14:textId="7C0A0A24" w:rsidR="007F1017" w:rsidRPr="0098262F" w:rsidRDefault="009539DE" w:rsidP="00D2155B">
      <w:pPr>
        <w:pStyle w:val="3-BodyText"/>
      </w:pPr>
      <w:r w:rsidRPr="7F77D409">
        <w:rPr>
          <w:color w:val="000000" w:themeColor="text1"/>
        </w:rPr>
        <w:t xml:space="preserve">The data </w:t>
      </w:r>
      <w:r w:rsidR="00E926A5" w:rsidRPr="7F77D409">
        <w:t>presented in the submission did not allow for a</w:t>
      </w:r>
      <w:r w:rsidR="0085309D" w:rsidRPr="7F77D409">
        <w:t xml:space="preserve"> </w:t>
      </w:r>
      <w:r w:rsidR="00E926A5" w:rsidRPr="7F77D409">
        <w:t xml:space="preserve">comparison of the benefits and harms of </w:t>
      </w:r>
      <w:r w:rsidRPr="7F77D409">
        <w:t xml:space="preserve">ivacaftor </w:t>
      </w:r>
      <w:r w:rsidR="00763D68">
        <w:t xml:space="preserve">vs best supportive care </w:t>
      </w:r>
      <w:r w:rsidRPr="7F77D409">
        <w:t xml:space="preserve">in this population. </w:t>
      </w:r>
      <w:r w:rsidR="00E926A5" w:rsidRPr="7F77D409">
        <w:t>Accordingly, a benefits/harms table has not been presented.</w:t>
      </w:r>
    </w:p>
    <w:p w14:paraId="7A1772B6" w14:textId="23BB3145" w:rsidR="00B60939" w:rsidRPr="0098262F" w:rsidRDefault="00B60939" w:rsidP="00E9094A">
      <w:pPr>
        <w:pStyle w:val="4-SubsectionHeading"/>
      </w:pPr>
      <w:bookmarkStart w:id="41" w:name="_Toc22897644"/>
      <w:bookmarkStart w:id="42" w:name="_Toc187661087"/>
      <w:r w:rsidRPr="0098262F">
        <w:t>Clinical claim</w:t>
      </w:r>
      <w:bookmarkEnd w:id="41"/>
      <w:bookmarkEnd w:id="42"/>
    </w:p>
    <w:p w14:paraId="0BCB860C" w14:textId="70848EF5" w:rsidR="007913F7" w:rsidRPr="009539DE" w:rsidRDefault="005F7588" w:rsidP="009539DE">
      <w:pPr>
        <w:pStyle w:val="3-BodyText"/>
        <w:rPr>
          <w:szCs w:val="24"/>
        </w:rPr>
      </w:pPr>
      <w:r w:rsidRPr="00453DE0">
        <w:t xml:space="preserve">The submission described </w:t>
      </w:r>
      <w:r w:rsidR="007913F7">
        <w:t>ivacaftor</w:t>
      </w:r>
      <w:r w:rsidRPr="00453DE0">
        <w:t xml:space="preserve"> as superior in terms of effectiveness</w:t>
      </w:r>
      <w:r w:rsidR="009539DE">
        <w:t xml:space="preserve"> and comparable in terms of safety to best supportive care in infants aged 1-4 months </w:t>
      </w:r>
      <w:r w:rsidR="009539DE" w:rsidRPr="009539DE">
        <w:rPr>
          <w:szCs w:val="24"/>
        </w:rPr>
        <w:t xml:space="preserve">with </w:t>
      </w:r>
      <w:r w:rsidR="009539DE" w:rsidRPr="00F866FB">
        <w:rPr>
          <w:szCs w:val="24"/>
        </w:rPr>
        <w:t xml:space="preserve">either a </w:t>
      </w:r>
      <w:r w:rsidR="009539DE" w:rsidRPr="009539DE">
        <w:rPr>
          <w:i/>
          <w:szCs w:val="24"/>
        </w:rPr>
        <w:t>G551D</w:t>
      </w:r>
      <w:r w:rsidR="009539DE" w:rsidRPr="009539DE">
        <w:rPr>
          <w:szCs w:val="24"/>
        </w:rPr>
        <w:t xml:space="preserve"> mutation or other gating (Class III) mutation in the </w:t>
      </w:r>
      <w:r w:rsidR="009539DE" w:rsidRPr="009539DE">
        <w:rPr>
          <w:i/>
          <w:szCs w:val="24"/>
        </w:rPr>
        <w:t>CFTR</w:t>
      </w:r>
      <w:r w:rsidR="009539DE" w:rsidRPr="009539DE">
        <w:rPr>
          <w:szCs w:val="24"/>
        </w:rPr>
        <w:t xml:space="preserve"> gene on at least one allele, </w:t>
      </w:r>
      <w:r w:rsidR="009539DE" w:rsidRPr="00F866FB">
        <w:rPr>
          <w:szCs w:val="24"/>
        </w:rPr>
        <w:t>or</w:t>
      </w:r>
      <w:r w:rsidR="009539DE" w:rsidRPr="009539DE">
        <w:rPr>
          <w:szCs w:val="24"/>
        </w:rPr>
        <w:t xml:space="preserve"> at least one mutation in the </w:t>
      </w:r>
      <w:r w:rsidR="009539DE" w:rsidRPr="009539DE">
        <w:rPr>
          <w:i/>
          <w:iCs/>
          <w:szCs w:val="24"/>
        </w:rPr>
        <w:t>CFTR</w:t>
      </w:r>
      <w:r w:rsidR="009539DE" w:rsidRPr="009539DE">
        <w:rPr>
          <w:szCs w:val="24"/>
        </w:rPr>
        <w:t xml:space="preserve"> gene that is responsive to IVA potentiation based on clinical and/or </w:t>
      </w:r>
      <w:r w:rsidR="009539DE" w:rsidRPr="001C2169">
        <w:rPr>
          <w:i/>
          <w:iCs/>
          <w:szCs w:val="24"/>
        </w:rPr>
        <w:t>in</w:t>
      </w:r>
      <w:r w:rsidR="009539DE" w:rsidRPr="009539DE">
        <w:rPr>
          <w:szCs w:val="24"/>
        </w:rPr>
        <w:t xml:space="preserve"> </w:t>
      </w:r>
      <w:r w:rsidR="009539DE" w:rsidRPr="009539DE">
        <w:rPr>
          <w:i/>
          <w:iCs/>
          <w:szCs w:val="24"/>
        </w:rPr>
        <w:t>vitro</w:t>
      </w:r>
      <w:r w:rsidR="009539DE" w:rsidRPr="009539DE">
        <w:rPr>
          <w:szCs w:val="24"/>
        </w:rPr>
        <w:t xml:space="preserve"> assay data. </w:t>
      </w:r>
    </w:p>
    <w:p w14:paraId="1CCE1281" w14:textId="76DDBAAD" w:rsidR="001D5E3F" w:rsidRPr="00A30712" w:rsidRDefault="00F37B2B" w:rsidP="7F77D409">
      <w:pPr>
        <w:pStyle w:val="3-BodyText"/>
        <w:rPr>
          <w:color w:val="0066FF"/>
        </w:rPr>
      </w:pPr>
      <w:r w:rsidRPr="7F77D409">
        <w:rPr>
          <w:rFonts w:eastAsia="Calibri"/>
        </w:rPr>
        <w:t xml:space="preserve">With regard to </w:t>
      </w:r>
      <w:r w:rsidR="00E62A01" w:rsidRPr="7F77D409">
        <w:rPr>
          <w:rFonts w:eastAsia="Calibri"/>
        </w:rPr>
        <w:t>effectiveness</w:t>
      </w:r>
      <w:r w:rsidRPr="7F77D409">
        <w:rPr>
          <w:rFonts w:eastAsia="Calibri"/>
        </w:rPr>
        <w:t>, t</w:t>
      </w:r>
      <w:r w:rsidR="005F7588" w:rsidRPr="7F77D409">
        <w:rPr>
          <w:rFonts w:eastAsia="Calibri"/>
        </w:rPr>
        <w:t>h</w:t>
      </w:r>
      <w:r w:rsidR="001D5E3F" w:rsidRPr="7F77D409">
        <w:rPr>
          <w:rFonts w:eastAsia="Calibri"/>
        </w:rPr>
        <w:t>e</w:t>
      </w:r>
      <w:r w:rsidR="005F7588" w:rsidRPr="7F77D409">
        <w:rPr>
          <w:rFonts w:eastAsia="Calibri"/>
        </w:rPr>
        <w:t xml:space="preserve"> </w:t>
      </w:r>
      <w:r w:rsidR="00326AFF">
        <w:rPr>
          <w:rFonts w:eastAsia="Calibri"/>
        </w:rPr>
        <w:t xml:space="preserve">evaluation considered the </w:t>
      </w:r>
      <w:r w:rsidR="005F7588" w:rsidRPr="7F77D409">
        <w:rPr>
          <w:rFonts w:eastAsia="Calibri"/>
        </w:rPr>
        <w:t>claim was not adequately supported</w:t>
      </w:r>
      <w:r w:rsidR="009539DE" w:rsidRPr="7F77D409">
        <w:rPr>
          <w:rFonts w:eastAsia="Calibri"/>
        </w:rPr>
        <w:t>.</w:t>
      </w:r>
      <w:r w:rsidR="001D5E3F" w:rsidRPr="7F77D409">
        <w:rPr>
          <w:rFonts w:eastAsia="Calibri"/>
        </w:rPr>
        <w:t xml:space="preserve"> </w:t>
      </w:r>
      <w:r w:rsidRPr="7F77D409">
        <w:rPr>
          <w:color w:val="000000" w:themeColor="text1"/>
        </w:rPr>
        <w:t>The submitted data</w:t>
      </w:r>
      <w:r w:rsidR="006B5BB9" w:rsidRPr="7F77D409">
        <w:rPr>
          <w:color w:val="000000" w:themeColor="text1"/>
        </w:rPr>
        <w:t>, taken as a whole,</w:t>
      </w:r>
      <w:r w:rsidRPr="7F77D409">
        <w:rPr>
          <w:color w:val="000000" w:themeColor="text1"/>
        </w:rPr>
        <w:t xml:space="preserve"> support a conclusion that ivacaftor increases the activity of the CFTR in infants aged 1-4 months with</w:t>
      </w:r>
      <w:r w:rsidR="00211D40" w:rsidRPr="7F77D409">
        <w:rPr>
          <w:color w:val="000000" w:themeColor="text1"/>
        </w:rPr>
        <w:t xml:space="preserve"> the </w:t>
      </w:r>
      <w:r w:rsidR="00211D40" w:rsidRPr="7F77D409">
        <w:rPr>
          <w:i/>
          <w:iCs/>
          <w:color w:val="000000" w:themeColor="text1"/>
        </w:rPr>
        <w:t>G551D</w:t>
      </w:r>
      <w:r w:rsidR="00211D40" w:rsidRPr="7F77D409">
        <w:rPr>
          <w:color w:val="000000" w:themeColor="text1"/>
        </w:rPr>
        <w:t xml:space="preserve"> </w:t>
      </w:r>
      <w:r w:rsidR="00565F9B" w:rsidRPr="7F77D409">
        <w:t xml:space="preserve">or other </w:t>
      </w:r>
      <w:r w:rsidR="00565F9B" w:rsidRPr="7F77D409">
        <w:lastRenderedPageBreak/>
        <w:t>gating (Class III) mutation</w:t>
      </w:r>
      <w:r w:rsidRPr="7F77D409">
        <w:rPr>
          <w:color w:val="000000" w:themeColor="text1"/>
        </w:rPr>
        <w:t xml:space="preserve">. No evidence was submitted that this results in clinical benefit. </w:t>
      </w:r>
      <w:r w:rsidRPr="7F77D409">
        <w:rPr>
          <w:rFonts w:eastAsia="Calibri"/>
        </w:rPr>
        <w:t>T</w:t>
      </w:r>
      <w:r w:rsidR="001C2169" w:rsidRPr="7F77D409">
        <w:rPr>
          <w:rFonts w:eastAsia="Calibri"/>
        </w:rPr>
        <w:t xml:space="preserve">he great majority of patients in the submitted data had </w:t>
      </w:r>
      <w:r w:rsidR="00A37A51" w:rsidRPr="7F77D409">
        <w:rPr>
          <w:rFonts w:eastAsia="Calibri"/>
        </w:rPr>
        <w:t xml:space="preserve">the </w:t>
      </w:r>
      <w:r w:rsidRPr="7F77D409">
        <w:rPr>
          <w:rFonts w:eastAsia="Calibri"/>
          <w:i/>
          <w:iCs/>
        </w:rPr>
        <w:t>G551D</w:t>
      </w:r>
      <w:r w:rsidRPr="7F77D409">
        <w:rPr>
          <w:rFonts w:eastAsia="Calibri"/>
        </w:rPr>
        <w:t xml:space="preserve"> </w:t>
      </w:r>
      <w:r w:rsidR="00A37A51" w:rsidRPr="7F77D409">
        <w:rPr>
          <w:rFonts w:eastAsia="Calibri"/>
        </w:rPr>
        <w:t>genotype</w:t>
      </w:r>
      <w:r w:rsidR="008B6E33" w:rsidRPr="7F77D409">
        <w:rPr>
          <w:rFonts w:eastAsia="Calibri"/>
        </w:rPr>
        <w:t xml:space="preserve">. </w:t>
      </w:r>
      <w:r w:rsidRPr="7F77D409">
        <w:rPr>
          <w:rFonts w:eastAsia="Calibri"/>
        </w:rPr>
        <w:t xml:space="preserve"> </w:t>
      </w:r>
    </w:p>
    <w:p w14:paraId="54D3A82D" w14:textId="57E67BFE" w:rsidR="005F7588" w:rsidRPr="00EF6C99" w:rsidRDefault="00F37B2B" w:rsidP="7F77D409">
      <w:pPr>
        <w:pStyle w:val="3-BodyText"/>
        <w:rPr>
          <w:color w:val="0066FF"/>
        </w:rPr>
      </w:pPr>
      <w:r w:rsidRPr="7F77D409">
        <w:rPr>
          <w:rFonts w:eastAsia="Calibri"/>
        </w:rPr>
        <w:t>With regard to safety, t</w:t>
      </w:r>
      <w:r w:rsidR="001D5E3F" w:rsidRPr="7F77D409">
        <w:rPr>
          <w:rFonts w:eastAsia="Calibri"/>
        </w:rPr>
        <w:t>h</w:t>
      </w:r>
      <w:r w:rsidRPr="7F77D409">
        <w:rPr>
          <w:rFonts w:eastAsia="Calibri"/>
        </w:rPr>
        <w:t>e</w:t>
      </w:r>
      <w:r w:rsidR="001D5E3F" w:rsidRPr="7F77D409">
        <w:rPr>
          <w:rFonts w:eastAsia="Calibri"/>
        </w:rPr>
        <w:t xml:space="preserve"> </w:t>
      </w:r>
      <w:r w:rsidR="00291BA6">
        <w:rPr>
          <w:rFonts w:eastAsia="Calibri"/>
        </w:rPr>
        <w:t xml:space="preserve">evaluation considered the </w:t>
      </w:r>
      <w:r w:rsidR="001D5E3F" w:rsidRPr="7F77D409">
        <w:rPr>
          <w:rFonts w:eastAsia="Calibri"/>
        </w:rPr>
        <w:t xml:space="preserve">claim was not adequately supported. </w:t>
      </w:r>
      <w:r w:rsidR="006B5BB9" w:rsidRPr="7F77D409">
        <w:rPr>
          <w:rFonts w:eastAsia="Calibri"/>
        </w:rPr>
        <w:t>In VX15-770-126 a</w:t>
      </w:r>
      <w:r w:rsidR="001D5E3F" w:rsidRPr="7F77D409">
        <w:rPr>
          <w:rFonts w:eastAsia="Calibri"/>
        </w:rPr>
        <w:t>dverse events of rash and liver function test abnormalities were common</w:t>
      </w:r>
      <w:r w:rsidRPr="7F77D409">
        <w:rPr>
          <w:rFonts w:eastAsia="Calibri"/>
        </w:rPr>
        <w:t xml:space="preserve">, and </w:t>
      </w:r>
      <w:r w:rsidR="0080089D" w:rsidRPr="7F77D409">
        <w:rPr>
          <w:rFonts w:eastAsia="Calibri"/>
        </w:rPr>
        <w:t>required interruption of treatment. N</w:t>
      </w:r>
      <w:r w:rsidRPr="7F77D409">
        <w:rPr>
          <w:rFonts w:eastAsia="Calibri"/>
        </w:rPr>
        <w:t>o data was submitted to show that these adverse events are less common in infants aged 1-4 months</w:t>
      </w:r>
      <w:r w:rsidR="00941982" w:rsidRPr="7F77D409">
        <w:rPr>
          <w:rFonts w:eastAsia="Calibri"/>
        </w:rPr>
        <w:t xml:space="preserve">, or equally common in patients in this age group receiving BSC. </w:t>
      </w:r>
      <w:r w:rsidR="001D5E3F" w:rsidRPr="7F77D409">
        <w:rPr>
          <w:rFonts w:eastAsia="Calibri"/>
        </w:rPr>
        <w:t xml:space="preserve"> </w:t>
      </w:r>
    </w:p>
    <w:p w14:paraId="71028024" w14:textId="44F1DA77" w:rsidR="00EF6C99" w:rsidRPr="00A852F4" w:rsidRDefault="00EF6C99" w:rsidP="00EF6C99">
      <w:pPr>
        <w:pStyle w:val="3-BodyText"/>
        <w:rPr>
          <w:snapToGrid w:val="0"/>
        </w:rPr>
      </w:pPr>
      <w:bookmarkStart w:id="43" w:name="_Hlk76376200"/>
      <w:r w:rsidRPr="00A852F4">
        <w:rPr>
          <w:iCs/>
          <w:snapToGrid w:val="0"/>
        </w:rPr>
        <w:t>The</w:t>
      </w:r>
      <w:r w:rsidRPr="00A852F4">
        <w:rPr>
          <w:snapToGrid w:val="0"/>
        </w:rPr>
        <w:t xml:space="preserve"> PBAC considered that the </w:t>
      </w:r>
      <w:r w:rsidR="00446577" w:rsidRPr="00A852F4">
        <w:rPr>
          <w:snapToGrid w:val="0"/>
        </w:rPr>
        <w:t xml:space="preserve">claim of superior comparative effectiveness was </w:t>
      </w:r>
      <w:r w:rsidR="00097218" w:rsidRPr="00A852F4">
        <w:rPr>
          <w:snapToGrid w:val="0"/>
        </w:rPr>
        <w:t>uncertain</w:t>
      </w:r>
      <w:r w:rsidR="008C248A">
        <w:rPr>
          <w:snapToGrid w:val="0"/>
        </w:rPr>
        <w:t>.</w:t>
      </w:r>
      <w:r w:rsidR="00A852F4" w:rsidRPr="00A852F4">
        <w:rPr>
          <w:snapToGrid w:val="0"/>
        </w:rPr>
        <w:t xml:space="preserve"> </w:t>
      </w:r>
    </w:p>
    <w:p w14:paraId="07FACE0E" w14:textId="0CD635E4" w:rsidR="00EF6C99" w:rsidRPr="00A852F4" w:rsidRDefault="00EF6C99" w:rsidP="00EF6C99">
      <w:pPr>
        <w:pStyle w:val="3-BodyText"/>
        <w:rPr>
          <w:snapToGrid w:val="0"/>
        </w:rPr>
      </w:pPr>
      <w:r w:rsidRPr="00A852F4">
        <w:rPr>
          <w:snapToGrid w:val="0"/>
        </w:rPr>
        <w:t xml:space="preserve">The PBAC considered that the claim of </w:t>
      </w:r>
      <w:r w:rsidR="00C632F2" w:rsidRPr="00A852F4">
        <w:rPr>
          <w:snapToGrid w:val="0"/>
        </w:rPr>
        <w:t xml:space="preserve">comparable </w:t>
      </w:r>
      <w:r w:rsidRPr="00A852F4">
        <w:rPr>
          <w:snapToGrid w:val="0"/>
        </w:rPr>
        <w:t xml:space="preserve">safety </w:t>
      </w:r>
      <w:r w:rsidR="00C632F2" w:rsidRPr="00A852F4">
        <w:rPr>
          <w:snapToGrid w:val="0"/>
        </w:rPr>
        <w:t xml:space="preserve">to best supportive care </w:t>
      </w:r>
      <w:r w:rsidRPr="00A852F4">
        <w:rPr>
          <w:snapToGrid w:val="0"/>
        </w:rPr>
        <w:t>was</w:t>
      </w:r>
      <w:r w:rsidR="00C632F2" w:rsidRPr="00A852F4">
        <w:rPr>
          <w:snapToGrid w:val="0"/>
        </w:rPr>
        <w:t xml:space="preserve"> unable to be </w:t>
      </w:r>
      <w:r w:rsidRPr="00A852F4">
        <w:rPr>
          <w:snapToGrid w:val="0"/>
        </w:rPr>
        <w:t xml:space="preserve">supported by </w:t>
      </w:r>
      <w:r w:rsidR="00E54CAE">
        <w:rPr>
          <w:snapToGrid w:val="0"/>
        </w:rPr>
        <w:t>the data</w:t>
      </w:r>
      <w:r w:rsidRPr="00A852F4">
        <w:rPr>
          <w:snapToGrid w:val="0"/>
        </w:rPr>
        <w:t>.</w:t>
      </w:r>
    </w:p>
    <w:p w14:paraId="74A1172E" w14:textId="128C170E" w:rsidR="00B60939" w:rsidRPr="0098262F" w:rsidRDefault="00B60939" w:rsidP="00E9094A">
      <w:pPr>
        <w:pStyle w:val="4-SubsectionHeading"/>
      </w:pPr>
      <w:bookmarkStart w:id="44" w:name="_Toc22897645"/>
      <w:bookmarkStart w:id="45" w:name="_Toc187661088"/>
      <w:bookmarkEnd w:id="43"/>
      <w:r w:rsidRPr="0098262F">
        <w:t>Economic analysis</w:t>
      </w:r>
      <w:bookmarkEnd w:id="44"/>
      <w:bookmarkEnd w:id="45"/>
      <w:r w:rsidR="00491B3A" w:rsidRPr="0098262F">
        <w:t xml:space="preserve"> </w:t>
      </w:r>
    </w:p>
    <w:p w14:paraId="7922BFF9" w14:textId="449E44A8" w:rsidR="00D71E0D" w:rsidRPr="0098262F" w:rsidRDefault="00D71E0D" w:rsidP="007E21E6">
      <w:pPr>
        <w:pStyle w:val="3-BodyText"/>
      </w:pPr>
      <w:r w:rsidRPr="7F77D409">
        <w:t xml:space="preserve">The submission did not present an economic analysis.  The submission </w:t>
      </w:r>
      <w:r w:rsidR="007913F7" w:rsidRPr="7F77D409">
        <w:t xml:space="preserve">stated </w:t>
      </w:r>
      <w:r w:rsidRPr="7F77D409">
        <w:t>that the request for reimbursement is based on equity and the expected benefit of treatment in these patients.</w:t>
      </w:r>
    </w:p>
    <w:p w14:paraId="472842D7" w14:textId="4AE95FA0" w:rsidR="00C25D9C" w:rsidRPr="0098262F" w:rsidRDefault="00C25D9C" w:rsidP="00BB732D">
      <w:pPr>
        <w:pStyle w:val="4-SubsectionHeading"/>
      </w:pPr>
      <w:bookmarkStart w:id="46" w:name="_Toc22897646"/>
      <w:bookmarkStart w:id="47" w:name="_Toc187661089"/>
      <w:r w:rsidRPr="0098262F">
        <w:t>Drug</w:t>
      </w:r>
      <w:r w:rsidR="009A5ABC" w:rsidRPr="0098262F">
        <w:t>/</w:t>
      </w:r>
      <w:r w:rsidRPr="0098262F">
        <w:t xml:space="preserve"> cost/patient</w:t>
      </w:r>
      <w:bookmarkEnd w:id="46"/>
      <w:bookmarkEnd w:id="47"/>
    </w:p>
    <w:p w14:paraId="51691BD3" w14:textId="3B95F1C5" w:rsidR="00494207" w:rsidRPr="0098262F" w:rsidRDefault="004C4FBD" w:rsidP="004C4FBD">
      <w:pPr>
        <w:pStyle w:val="Caption"/>
        <w:rPr>
          <w:rStyle w:val="CommentReference"/>
          <w:b/>
          <w:szCs w:val="24"/>
        </w:rPr>
      </w:pPr>
      <w:bookmarkStart w:id="48" w:name="_Ref194062917"/>
      <w:r>
        <w:t xml:space="preserve">Table </w:t>
      </w:r>
      <w:r w:rsidR="00A6545D">
        <w:fldChar w:fldCharType="begin" w:fldLock="1"/>
      </w:r>
      <w:r w:rsidR="00A6545D">
        <w:instrText xml:space="preserve"> SEQ Table \* ARABIC </w:instrText>
      </w:r>
      <w:r w:rsidR="00A6545D">
        <w:fldChar w:fldCharType="separate"/>
      </w:r>
      <w:r w:rsidR="00A6545D">
        <w:rPr>
          <w:noProof/>
        </w:rPr>
        <w:t>6</w:t>
      </w:r>
      <w:r w:rsidR="00A6545D">
        <w:rPr>
          <w:noProof/>
        </w:rPr>
        <w:fldChar w:fldCharType="end"/>
      </w:r>
      <w:bookmarkEnd w:id="48"/>
      <w:r>
        <w:t xml:space="preserve">: </w:t>
      </w:r>
      <w:r w:rsidR="00494207" w:rsidRPr="0098262F">
        <w:rPr>
          <w:rStyle w:val="CommentReference"/>
          <w:b/>
          <w:szCs w:val="24"/>
        </w:rPr>
        <w:t xml:space="preserve">Drug cost per patient </w:t>
      </w:r>
      <w:r w:rsidR="00BB1E5D">
        <w:rPr>
          <w:rStyle w:val="CommentReference"/>
          <w:b/>
          <w:szCs w:val="24"/>
        </w:rPr>
        <w:t>aged 1-4 months</w:t>
      </w:r>
      <w:r w:rsidR="00BB1E5D" w:rsidRPr="00BB1E5D">
        <w:rPr>
          <w:rStyle w:val="CommentReference"/>
          <w:b/>
          <w:szCs w:val="24"/>
        </w:rPr>
        <w:t xml:space="preserve"> </w:t>
      </w:r>
      <w:r w:rsidR="00BB1E5D" w:rsidRPr="0098262F">
        <w:rPr>
          <w:rStyle w:val="CommentReference"/>
          <w:b/>
          <w:szCs w:val="24"/>
        </w:rPr>
        <w:t xml:space="preserve">for </w:t>
      </w:r>
      <w:r w:rsidR="00BB1E5D">
        <w:rPr>
          <w:rStyle w:val="CommentReference"/>
          <w:b/>
          <w:szCs w:val="24"/>
        </w:rPr>
        <w:t>ivacaftor</w:t>
      </w:r>
      <w:r w:rsidR="0001750B">
        <w:rPr>
          <w:rStyle w:val="CommentReference"/>
          <w:b/>
          <w:szCs w:val="24"/>
        </w:rPr>
        <w:t>, as</w:t>
      </w:r>
      <w:r w:rsidR="000A65D1">
        <w:rPr>
          <w:rStyle w:val="CommentReference"/>
          <w:b/>
          <w:szCs w:val="24"/>
        </w:rPr>
        <w:t xml:space="preserve"> applied</w:t>
      </w:r>
      <w:r w:rsidR="0001750B">
        <w:rPr>
          <w:rStyle w:val="CommentReference"/>
          <w:b/>
          <w:szCs w:val="24"/>
        </w:rPr>
        <w:t xml:space="preserve"> in financial estimates</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44"/>
        <w:gridCol w:w="2978"/>
        <w:gridCol w:w="2298"/>
      </w:tblGrid>
      <w:tr w:rsidR="00BB1E5D" w:rsidRPr="0098262F" w14:paraId="21AC90BD" w14:textId="77777777" w:rsidTr="004F306D">
        <w:trPr>
          <w:cantSplit/>
          <w:tblHeader/>
          <w:jc w:val="center"/>
        </w:trPr>
        <w:tc>
          <w:tcPr>
            <w:tcW w:w="2009" w:type="pct"/>
            <w:vAlign w:val="center"/>
          </w:tcPr>
          <w:p w14:paraId="485D48B1" w14:textId="77777777" w:rsidR="00BB1E5D" w:rsidRPr="0098262F" w:rsidRDefault="00BB1E5D" w:rsidP="00BB732D">
            <w:pPr>
              <w:pStyle w:val="In-tableHeading"/>
              <w:jc w:val="center"/>
              <w:rPr>
                <w:lang w:val="en-AU"/>
              </w:rPr>
            </w:pPr>
          </w:p>
        </w:tc>
        <w:tc>
          <w:tcPr>
            <w:tcW w:w="1688" w:type="pct"/>
            <w:vAlign w:val="center"/>
          </w:tcPr>
          <w:p w14:paraId="3642530E" w14:textId="73130FF4" w:rsidR="00BB1E5D" w:rsidRPr="0098262F" w:rsidRDefault="00BB1E5D" w:rsidP="00BB732D">
            <w:pPr>
              <w:pStyle w:val="In-tableHeading"/>
              <w:jc w:val="center"/>
              <w:rPr>
                <w:lang w:val="en-AU"/>
              </w:rPr>
            </w:pPr>
            <w:r>
              <w:rPr>
                <w:lang w:val="en-AU"/>
              </w:rPr>
              <w:t>Gating population</w:t>
            </w:r>
          </w:p>
        </w:tc>
        <w:tc>
          <w:tcPr>
            <w:tcW w:w="1303" w:type="pct"/>
            <w:vAlign w:val="center"/>
          </w:tcPr>
          <w:p w14:paraId="44C76606" w14:textId="615CED86" w:rsidR="00BB1E5D" w:rsidRPr="0098262F" w:rsidRDefault="00BB1E5D" w:rsidP="00BB732D">
            <w:pPr>
              <w:pStyle w:val="In-tableHeading"/>
              <w:jc w:val="center"/>
              <w:rPr>
                <w:lang w:val="en-AU"/>
              </w:rPr>
            </w:pPr>
            <w:r>
              <w:rPr>
                <w:lang w:val="en-AU"/>
              </w:rPr>
              <w:t>Non-gating population</w:t>
            </w:r>
          </w:p>
        </w:tc>
      </w:tr>
      <w:tr w:rsidR="00BB1E5D" w:rsidRPr="0098262F" w14:paraId="4283F455" w14:textId="77777777" w:rsidTr="004F306D">
        <w:trPr>
          <w:cantSplit/>
          <w:tblHeader/>
          <w:jc w:val="center"/>
        </w:trPr>
        <w:tc>
          <w:tcPr>
            <w:tcW w:w="2009" w:type="pct"/>
            <w:vAlign w:val="center"/>
          </w:tcPr>
          <w:p w14:paraId="61682C7A" w14:textId="662DA046" w:rsidR="00BB1E5D" w:rsidRPr="0098262F" w:rsidRDefault="00BB1E5D" w:rsidP="00BB1E5D">
            <w:pPr>
              <w:pStyle w:val="TableText0"/>
            </w:pPr>
            <w:r w:rsidRPr="2180C922">
              <w:t>Cost per 28 day pack (effective price)</w:t>
            </w:r>
          </w:p>
        </w:tc>
        <w:tc>
          <w:tcPr>
            <w:tcW w:w="1688" w:type="pct"/>
            <w:vAlign w:val="center"/>
          </w:tcPr>
          <w:p w14:paraId="747F3C21" w14:textId="3C89AF5D" w:rsidR="00BB1E5D" w:rsidRPr="0098262F" w:rsidRDefault="00BB1E5D" w:rsidP="00BB1E5D">
            <w:pPr>
              <w:pStyle w:val="TableText0"/>
            </w:pPr>
            <w:r>
              <w:t>$</w:t>
            </w:r>
            <w:r w:rsidR="000F6865" w:rsidRPr="000F6865">
              <w:rPr>
                <w:color w:val="000000"/>
                <w:spacing w:val="53"/>
                <w:shd w:val="solid" w:color="000000" w:fill="000000"/>
                <w:fitText w:val="330" w:id="-694419196"/>
                <w14:textFill>
                  <w14:solidFill>
                    <w14:srgbClr w14:val="000000">
                      <w14:alpha w14:val="100000"/>
                    </w14:srgbClr>
                  </w14:solidFill>
                </w14:textFill>
              </w:rPr>
              <w:t>|||</w:t>
            </w:r>
            <w:r w:rsidR="000F6865" w:rsidRPr="000F6865">
              <w:rPr>
                <w:color w:val="000000"/>
                <w:spacing w:val="1"/>
                <w:shd w:val="solid" w:color="000000" w:fill="000000"/>
                <w:fitText w:val="330" w:id="-694419196"/>
                <w14:textFill>
                  <w14:solidFill>
                    <w14:srgbClr w14:val="000000">
                      <w14:alpha w14:val="100000"/>
                    </w14:srgbClr>
                  </w14:solidFill>
                </w14:textFill>
              </w:rPr>
              <w:t>|</w:t>
            </w:r>
          </w:p>
        </w:tc>
        <w:tc>
          <w:tcPr>
            <w:tcW w:w="1303" w:type="pct"/>
            <w:vAlign w:val="center"/>
          </w:tcPr>
          <w:p w14:paraId="5032A8D6" w14:textId="341DAEDA" w:rsidR="00BB1E5D" w:rsidRPr="0098262F" w:rsidRDefault="00BB1E5D" w:rsidP="00BB1E5D">
            <w:pPr>
              <w:pStyle w:val="TableText0"/>
            </w:pPr>
            <w:r>
              <w:t>$</w:t>
            </w:r>
            <w:r w:rsidR="000F6865" w:rsidRPr="000F6865">
              <w:rPr>
                <w:color w:val="000000"/>
                <w:spacing w:val="53"/>
                <w:shd w:val="solid" w:color="000000" w:fill="000000"/>
                <w:fitText w:val="330" w:id="-694419195"/>
                <w14:textFill>
                  <w14:solidFill>
                    <w14:srgbClr w14:val="000000">
                      <w14:alpha w14:val="100000"/>
                    </w14:srgbClr>
                  </w14:solidFill>
                </w14:textFill>
              </w:rPr>
              <w:t>|||</w:t>
            </w:r>
            <w:r w:rsidR="000F6865" w:rsidRPr="000F6865">
              <w:rPr>
                <w:color w:val="000000"/>
                <w:spacing w:val="1"/>
                <w:shd w:val="solid" w:color="000000" w:fill="000000"/>
                <w:fitText w:val="330" w:id="-694419195"/>
                <w14:textFill>
                  <w14:solidFill>
                    <w14:srgbClr w14:val="000000">
                      <w14:alpha w14:val="100000"/>
                    </w14:srgbClr>
                  </w14:solidFill>
                </w14:textFill>
              </w:rPr>
              <w:t>|</w:t>
            </w:r>
          </w:p>
        </w:tc>
      </w:tr>
      <w:tr w:rsidR="00BB1E5D" w:rsidRPr="0098262F" w14:paraId="745DAF0B" w14:textId="77777777" w:rsidTr="004F306D">
        <w:trPr>
          <w:cantSplit/>
          <w:jc w:val="center"/>
        </w:trPr>
        <w:tc>
          <w:tcPr>
            <w:tcW w:w="2009" w:type="pct"/>
            <w:vAlign w:val="center"/>
          </w:tcPr>
          <w:p w14:paraId="743973CE" w14:textId="7F6A8AF9" w:rsidR="00BB1E5D" w:rsidRPr="0098262F" w:rsidRDefault="00BB1E5D" w:rsidP="007E45DC">
            <w:pPr>
              <w:pStyle w:val="TableText0"/>
            </w:pPr>
            <w:r>
              <w:t>Compliance</w:t>
            </w:r>
          </w:p>
        </w:tc>
        <w:tc>
          <w:tcPr>
            <w:tcW w:w="1688" w:type="pct"/>
            <w:vAlign w:val="center"/>
          </w:tcPr>
          <w:p w14:paraId="5B1C9B2C" w14:textId="537289E7" w:rsidR="00BB1E5D" w:rsidRPr="0098262F" w:rsidRDefault="005757C7" w:rsidP="007E45DC">
            <w:pPr>
              <w:pStyle w:val="TableText0"/>
            </w:pPr>
            <w:r>
              <w:t>100%</w:t>
            </w:r>
          </w:p>
        </w:tc>
        <w:tc>
          <w:tcPr>
            <w:tcW w:w="1303" w:type="pct"/>
            <w:vAlign w:val="center"/>
          </w:tcPr>
          <w:p w14:paraId="23821253" w14:textId="51DD1E2A" w:rsidR="00BB1E5D" w:rsidRPr="0098262F" w:rsidRDefault="005757C7" w:rsidP="007E45DC">
            <w:pPr>
              <w:pStyle w:val="TableText0"/>
            </w:pPr>
            <w:r>
              <w:t>100%</w:t>
            </w:r>
          </w:p>
        </w:tc>
      </w:tr>
      <w:tr w:rsidR="00BB1E5D" w:rsidRPr="0098262F" w14:paraId="0B84FE33" w14:textId="77777777" w:rsidTr="004F306D">
        <w:trPr>
          <w:cantSplit/>
          <w:jc w:val="center"/>
        </w:trPr>
        <w:tc>
          <w:tcPr>
            <w:tcW w:w="2009" w:type="pct"/>
            <w:vAlign w:val="center"/>
          </w:tcPr>
          <w:p w14:paraId="49111F6C" w14:textId="46D44CD1" w:rsidR="00BB1E5D" w:rsidRPr="0098262F" w:rsidRDefault="00BB1E5D" w:rsidP="007E45DC">
            <w:pPr>
              <w:pStyle w:val="TableText0"/>
            </w:pPr>
            <w:r w:rsidRPr="2180C922">
              <w:t>Cost per 3 months treatment</w:t>
            </w:r>
            <w:r w:rsidR="00FB732E" w:rsidRPr="2180C922">
              <w:t xml:space="preserve"> (3.26 scripts)</w:t>
            </w:r>
            <w:r w:rsidR="00FB732E" w:rsidRPr="2180C922">
              <w:rPr>
                <w:vertAlign w:val="superscript"/>
              </w:rPr>
              <w:t>a</w:t>
            </w:r>
            <w:r w:rsidR="00FB732E" w:rsidRPr="2180C922">
              <w:t xml:space="preserve"> </w:t>
            </w:r>
          </w:p>
        </w:tc>
        <w:tc>
          <w:tcPr>
            <w:tcW w:w="1688" w:type="pct"/>
            <w:vAlign w:val="center"/>
          </w:tcPr>
          <w:p w14:paraId="30EF57C3" w14:textId="68AC7C15" w:rsidR="00BB1E5D" w:rsidRPr="0098262F" w:rsidRDefault="00FB732E" w:rsidP="007E45DC">
            <w:pPr>
              <w:pStyle w:val="TableText0"/>
            </w:pPr>
            <w:r>
              <w:t>$</w:t>
            </w:r>
            <w:r w:rsidR="000F6865" w:rsidRPr="000F6865">
              <w:rPr>
                <w:color w:val="000000"/>
                <w:spacing w:val="53"/>
                <w:shd w:val="solid" w:color="000000" w:fill="000000"/>
                <w:fitText w:val="330" w:id="-694419194"/>
                <w14:textFill>
                  <w14:solidFill>
                    <w14:srgbClr w14:val="000000">
                      <w14:alpha w14:val="100000"/>
                    </w14:srgbClr>
                  </w14:solidFill>
                </w14:textFill>
              </w:rPr>
              <w:t>|||</w:t>
            </w:r>
            <w:r w:rsidR="000F6865" w:rsidRPr="000F6865">
              <w:rPr>
                <w:color w:val="000000"/>
                <w:spacing w:val="1"/>
                <w:shd w:val="solid" w:color="000000" w:fill="000000"/>
                <w:fitText w:val="330" w:id="-694419194"/>
                <w14:textFill>
                  <w14:solidFill>
                    <w14:srgbClr w14:val="000000">
                      <w14:alpha w14:val="100000"/>
                    </w14:srgbClr>
                  </w14:solidFill>
                </w14:textFill>
              </w:rPr>
              <w:t>|</w:t>
            </w:r>
          </w:p>
        </w:tc>
        <w:tc>
          <w:tcPr>
            <w:tcW w:w="1303" w:type="pct"/>
            <w:vAlign w:val="center"/>
          </w:tcPr>
          <w:p w14:paraId="40F6D5BC" w14:textId="3ADC77A5" w:rsidR="00BB1E5D" w:rsidRPr="0098262F" w:rsidRDefault="000A65D1" w:rsidP="000A65D1">
            <w:pPr>
              <w:pStyle w:val="TableText0"/>
            </w:pPr>
            <w:r>
              <w:t>$</w:t>
            </w:r>
            <w:r w:rsidR="000F6865" w:rsidRPr="000F6865">
              <w:rPr>
                <w:color w:val="000000"/>
                <w:spacing w:val="53"/>
                <w:shd w:val="solid" w:color="000000" w:fill="000000"/>
                <w:fitText w:val="330" w:id="-694419193"/>
                <w14:textFill>
                  <w14:solidFill>
                    <w14:srgbClr w14:val="000000">
                      <w14:alpha w14:val="100000"/>
                    </w14:srgbClr>
                  </w14:solidFill>
                </w14:textFill>
              </w:rPr>
              <w:t>|||</w:t>
            </w:r>
            <w:r w:rsidR="000F6865" w:rsidRPr="000F6865">
              <w:rPr>
                <w:color w:val="000000"/>
                <w:spacing w:val="1"/>
                <w:shd w:val="solid" w:color="000000" w:fill="000000"/>
                <w:fitText w:val="330" w:id="-694419193"/>
                <w14:textFill>
                  <w14:solidFill>
                    <w14:srgbClr w14:val="000000">
                      <w14:alpha w14:val="100000"/>
                    </w14:srgbClr>
                  </w14:solidFill>
                </w14:textFill>
              </w:rPr>
              <w:t>|</w:t>
            </w:r>
          </w:p>
        </w:tc>
      </w:tr>
    </w:tbl>
    <w:p w14:paraId="5303E537" w14:textId="77777777" w:rsidR="00120D6B" w:rsidRDefault="00494207" w:rsidP="00120D6B">
      <w:pPr>
        <w:pStyle w:val="TableFigureFooter"/>
      </w:pPr>
      <w:r w:rsidRPr="0098262F">
        <w:t>Source</w:t>
      </w:r>
      <w:r w:rsidR="00FB732E">
        <w:t xml:space="preserve">: constructed during the evaluation from the information in the submission. </w:t>
      </w:r>
      <w:r w:rsidR="00FB732E">
        <w:rPr>
          <w:vertAlign w:val="superscript"/>
        </w:rPr>
        <w:t>a</w:t>
      </w:r>
      <w:r w:rsidR="00B60AA0">
        <w:t xml:space="preserve"> 365.25/28/12*3</w:t>
      </w:r>
      <w:bookmarkStart w:id="49" w:name="_Toc22897647"/>
    </w:p>
    <w:p w14:paraId="268768EF" w14:textId="273C6538" w:rsidR="00B60939" w:rsidRPr="0098262F" w:rsidRDefault="00B60939" w:rsidP="002B05A1">
      <w:pPr>
        <w:pStyle w:val="4-SubsectionHeading"/>
      </w:pPr>
      <w:bookmarkStart w:id="50" w:name="_Toc187661090"/>
      <w:r w:rsidRPr="0098262F">
        <w:t>Estimated PBS usage &amp; financial implications</w:t>
      </w:r>
      <w:bookmarkEnd w:id="49"/>
      <w:bookmarkEnd w:id="50"/>
    </w:p>
    <w:p w14:paraId="785601C5" w14:textId="7A887159" w:rsidR="00AF2C25" w:rsidRPr="00AF2C25" w:rsidRDefault="00C25D9C" w:rsidP="002B05A1">
      <w:pPr>
        <w:pStyle w:val="3-BodyText"/>
        <w:rPr>
          <w:color w:val="0066FF"/>
        </w:rPr>
      </w:pPr>
      <w:r w:rsidRPr="0098262F">
        <w:t xml:space="preserve">This submission </w:t>
      </w:r>
      <w:r w:rsidR="00936214">
        <w:t>was not</w:t>
      </w:r>
      <w:r w:rsidR="00D23D11" w:rsidRPr="0098262F">
        <w:t xml:space="preserve"> </w:t>
      </w:r>
      <w:r w:rsidRPr="0098262F">
        <w:t>considered by DUSC</w:t>
      </w:r>
      <w:r w:rsidRPr="0098262F">
        <w:rPr>
          <w:color w:val="0070C0"/>
        </w:rPr>
        <w:t>.</w:t>
      </w:r>
      <w:r w:rsidR="00BC591F" w:rsidRPr="0098262F">
        <w:rPr>
          <w:color w:val="0070C0"/>
        </w:rPr>
        <w:t xml:space="preserve"> </w:t>
      </w:r>
    </w:p>
    <w:p w14:paraId="16EF4367" w14:textId="2F6961EE" w:rsidR="002B05A1" w:rsidRPr="00D25267" w:rsidRDefault="00260494" w:rsidP="00D25267">
      <w:pPr>
        <w:pStyle w:val="3-BodyText"/>
      </w:pPr>
      <w:r w:rsidRPr="7F77D409">
        <w:t>The submission used an epidemiological approach to estimate the number of patients aged 1-4 months who would be diagnosed with CF, with either a G551D or other gating Class III mutation or at least one mutation responsive to IVA potentiation based on clinical and/or in vitro assay data. The estimates were based on data from the Australian Cystic Fibrosis Data Registry</w:t>
      </w:r>
      <w:r w:rsidR="00787A3C">
        <w:t xml:space="preserve">. </w:t>
      </w:r>
      <w:r w:rsidRPr="7F77D409">
        <w:t>The submission stated that the approach used was consistent with that used in the PBAC submission for IVA therapy for patients with CF aged 4-12 months of age</w:t>
      </w:r>
      <w:r w:rsidR="00D25267" w:rsidRPr="7F77D409">
        <w:t>. The key inputs for the financial estimates are shown in</w:t>
      </w:r>
      <w:r w:rsidR="00FB732E" w:rsidRPr="7F77D409">
        <w:t xml:space="preserve"> </w:t>
      </w:r>
      <w:r>
        <w:fldChar w:fldCharType="begin" w:fldLock="1"/>
      </w:r>
      <w:r>
        <w:instrText xml:space="preserve"> REF _Ref184896177 \h </w:instrText>
      </w:r>
      <w:r>
        <w:fldChar w:fldCharType="separate"/>
      </w:r>
      <w:r w:rsidR="00A6545D">
        <w:t xml:space="preserve">Table </w:t>
      </w:r>
      <w:r w:rsidR="00A6545D">
        <w:rPr>
          <w:noProof/>
        </w:rPr>
        <w:t>7</w:t>
      </w:r>
      <w:r>
        <w:fldChar w:fldCharType="end"/>
      </w:r>
      <w:r w:rsidR="00A62425" w:rsidRPr="7F77D409">
        <w:t>.</w:t>
      </w:r>
    </w:p>
    <w:p w14:paraId="3393BCE7" w14:textId="64C15EB9" w:rsidR="00E42F73" w:rsidRPr="0098262F" w:rsidRDefault="004C4FBD" w:rsidP="004C4FBD">
      <w:pPr>
        <w:pStyle w:val="Caption"/>
        <w:rPr>
          <w:rStyle w:val="CommentReference"/>
          <w:b/>
          <w:szCs w:val="24"/>
        </w:rPr>
      </w:pPr>
      <w:bookmarkStart w:id="51" w:name="_Ref184896177"/>
      <w:r>
        <w:lastRenderedPageBreak/>
        <w:t xml:space="preserve">Table </w:t>
      </w:r>
      <w:r w:rsidR="00A6545D">
        <w:fldChar w:fldCharType="begin" w:fldLock="1"/>
      </w:r>
      <w:r w:rsidR="00A6545D">
        <w:instrText xml:space="preserve"> SEQ Table \* ARABIC </w:instrText>
      </w:r>
      <w:r w:rsidR="00A6545D">
        <w:fldChar w:fldCharType="separate"/>
      </w:r>
      <w:r w:rsidR="00A6545D">
        <w:rPr>
          <w:noProof/>
        </w:rPr>
        <w:t>7</w:t>
      </w:r>
      <w:r w:rsidR="00A6545D">
        <w:rPr>
          <w:noProof/>
        </w:rPr>
        <w:fldChar w:fldCharType="end"/>
      </w:r>
      <w:bookmarkEnd w:id="51"/>
      <w:r>
        <w:t xml:space="preserve">: </w:t>
      </w:r>
      <w:r w:rsidR="00E42F73" w:rsidRPr="0098262F">
        <w:rPr>
          <w:rStyle w:val="CommentReference"/>
          <w:b/>
          <w:szCs w:val="24"/>
        </w:rPr>
        <w:t>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3"/>
        <w:gridCol w:w="4094"/>
        <w:gridCol w:w="3210"/>
      </w:tblGrid>
      <w:tr w:rsidR="00E42F73" w:rsidRPr="0098262F" w14:paraId="7AFD013A" w14:textId="77777777" w:rsidTr="7F77D409">
        <w:trPr>
          <w:tblHeader/>
        </w:trPr>
        <w:tc>
          <w:tcPr>
            <w:tcW w:w="950" w:type="pct"/>
            <w:vAlign w:val="center"/>
          </w:tcPr>
          <w:p w14:paraId="45C2C4CE" w14:textId="370E9AAB" w:rsidR="00E42F73" w:rsidRPr="0098262F" w:rsidRDefault="004658B5" w:rsidP="007925DF">
            <w:pPr>
              <w:pStyle w:val="In-tableHeading"/>
              <w:rPr>
                <w:lang w:val="en-AU"/>
              </w:rPr>
            </w:pPr>
            <w:r w:rsidRPr="0098262F">
              <w:rPr>
                <w:lang w:val="en-AU"/>
              </w:rPr>
              <w:t>Parameter</w:t>
            </w:r>
          </w:p>
        </w:tc>
        <w:tc>
          <w:tcPr>
            <w:tcW w:w="2270" w:type="pct"/>
            <w:vAlign w:val="center"/>
          </w:tcPr>
          <w:p w14:paraId="5C04F956" w14:textId="559E8DB1" w:rsidR="00E42F73" w:rsidRPr="0098262F" w:rsidRDefault="004658B5" w:rsidP="007925DF">
            <w:pPr>
              <w:pStyle w:val="In-tableHeading"/>
              <w:rPr>
                <w:lang w:val="en-AU"/>
              </w:rPr>
            </w:pPr>
            <w:r w:rsidRPr="0098262F">
              <w:rPr>
                <w:lang w:val="en-AU"/>
              </w:rPr>
              <w:t>Value applied and source</w:t>
            </w:r>
          </w:p>
        </w:tc>
        <w:tc>
          <w:tcPr>
            <w:tcW w:w="1780" w:type="pct"/>
            <w:vAlign w:val="center"/>
          </w:tcPr>
          <w:p w14:paraId="45DE44AA" w14:textId="4713F72E" w:rsidR="00E42F73" w:rsidRPr="0098262F" w:rsidRDefault="004658B5" w:rsidP="007925DF">
            <w:pPr>
              <w:pStyle w:val="In-tableHeading"/>
              <w:rPr>
                <w:lang w:val="en-AU"/>
              </w:rPr>
            </w:pPr>
            <w:r w:rsidRPr="0098262F">
              <w:rPr>
                <w:lang w:val="en-AU"/>
              </w:rPr>
              <w:t>Comment</w:t>
            </w:r>
          </w:p>
        </w:tc>
      </w:tr>
      <w:tr w:rsidR="00E42F73" w:rsidRPr="0098262F" w14:paraId="4BEF206D" w14:textId="77777777" w:rsidTr="7F77D409">
        <w:tc>
          <w:tcPr>
            <w:tcW w:w="950" w:type="pct"/>
            <w:vAlign w:val="center"/>
          </w:tcPr>
          <w:p w14:paraId="5724F53F" w14:textId="0D8E9936" w:rsidR="00E42F73" w:rsidRPr="0098262F" w:rsidRDefault="007F1D4D" w:rsidP="007E45DC">
            <w:pPr>
              <w:pStyle w:val="TableText0"/>
            </w:pPr>
            <w:r>
              <w:t>P</w:t>
            </w:r>
            <w:r w:rsidR="004658B5" w:rsidRPr="0098262F">
              <w:t>revalent population</w:t>
            </w:r>
          </w:p>
        </w:tc>
        <w:tc>
          <w:tcPr>
            <w:tcW w:w="2270" w:type="pct"/>
            <w:vAlign w:val="center"/>
          </w:tcPr>
          <w:p w14:paraId="12F19A79" w14:textId="57F9713F" w:rsidR="00E42F73" w:rsidRDefault="007F1D4D" w:rsidP="007E45DC">
            <w:pPr>
              <w:pStyle w:val="TableText0"/>
            </w:pPr>
            <w:r>
              <w:t xml:space="preserve">The prevalence of CF patients aged &lt; 12 months was based on the ACFDR data. </w:t>
            </w:r>
          </w:p>
          <w:p w14:paraId="2974F923" w14:textId="138F888E" w:rsidR="00260494" w:rsidRPr="0098262F" w:rsidRDefault="00260494" w:rsidP="00E41A03">
            <w:pPr>
              <w:pStyle w:val="TableText0"/>
            </w:pPr>
          </w:p>
        </w:tc>
        <w:tc>
          <w:tcPr>
            <w:tcW w:w="1780" w:type="pct"/>
            <w:vAlign w:val="center"/>
          </w:tcPr>
          <w:p w14:paraId="0C3D359F" w14:textId="4B97BCBE" w:rsidR="00150A35" w:rsidRDefault="007F1D4D" w:rsidP="00150A35">
            <w:pPr>
              <w:pStyle w:val="TableText0"/>
            </w:pPr>
            <w:r>
              <w:t xml:space="preserve">Yearly growth of </w:t>
            </w:r>
            <w:r w:rsidR="00150A35">
              <w:t>3.6%</w:t>
            </w:r>
            <w:r>
              <w:t xml:space="preserve"> assumed</w:t>
            </w:r>
            <w:r w:rsidR="00150A35">
              <w:t xml:space="preserve">  </w:t>
            </w:r>
          </w:p>
          <w:p w14:paraId="078672CF" w14:textId="4D2F9F90" w:rsidR="00EB72B7" w:rsidRPr="0098262F" w:rsidRDefault="00EB72B7" w:rsidP="007E45DC">
            <w:pPr>
              <w:pStyle w:val="TableText0"/>
            </w:pPr>
          </w:p>
        </w:tc>
      </w:tr>
      <w:tr w:rsidR="00E42F73" w:rsidRPr="0098262F" w14:paraId="72C9FBDD" w14:textId="77777777" w:rsidTr="7F77D409">
        <w:tc>
          <w:tcPr>
            <w:tcW w:w="950" w:type="pct"/>
            <w:vAlign w:val="center"/>
          </w:tcPr>
          <w:p w14:paraId="2FBBDC67" w14:textId="24F16667" w:rsidR="00E42F73" w:rsidRPr="0098262F" w:rsidRDefault="004658B5" w:rsidP="007E45DC">
            <w:pPr>
              <w:pStyle w:val="TableText0"/>
            </w:pPr>
            <w:r w:rsidRPr="0098262F">
              <w:t>Uptake rate</w:t>
            </w:r>
          </w:p>
        </w:tc>
        <w:tc>
          <w:tcPr>
            <w:tcW w:w="2270" w:type="pct"/>
            <w:vAlign w:val="center"/>
          </w:tcPr>
          <w:p w14:paraId="550316FC" w14:textId="1F950C86" w:rsidR="00E42F73" w:rsidRPr="0098262F" w:rsidRDefault="000F6865" w:rsidP="007E45DC">
            <w:pPr>
              <w:pStyle w:val="TableText0"/>
            </w:pPr>
            <w:r w:rsidRPr="000F6865">
              <w:rPr>
                <w:color w:val="000000"/>
                <w:spacing w:val="53"/>
                <w:shd w:val="solid" w:color="000000" w:fill="000000"/>
                <w:fitText w:val="330" w:id="-694419192"/>
                <w14:textFill>
                  <w14:solidFill>
                    <w14:srgbClr w14:val="000000">
                      <w14:alpha w14:val="100000"/>
                    </w14:srgbClr>
                  </w14:solidFill>
                </w14:textFill>
              </w:rPr>
              <w:t>|||</w:t>
            </w:r>
            <w:r w:rsidRPr="000F6865">
              <w:rPr>
                <w:color w:val="000000"/>
                <w:spacing w:val="1"/>
                <w:shd w:val="solid" w:color="000000" w:fill="000000"/>
                <w:fitText w:val="330" w:id="-694419192"/>
                <w14:textFill>
                  <w14:solidFill>
                    <w14:srgbClr w14:val="000000">
                      <w14:alpha w14:val="100000"/>
                    </w14:srgbClr>
                  </w14:solidFill>
                </w14:textFill>
              </w:rPr>
              <w:t>|</w:t>
            </w:r>
            <w:r w:rsidR="00052782">
              <w:t>% per year</w:t>
            </w:r>
          </w:p>
        </w:tc>
        <w:tc>
          <w:tcPr>
            <w:tcW w:w="1780" w:type="pct"/>
            <w:vAlign w:val="center"/>
          </w:tcPr>
          <w:p w14:paraId="7295AAE5" w14:textId="6452E186" w:rsidR="00E42F73" w:rsidRPr="0098262F" w:rsidRDefault="00052782" w:rsidP="007E45DC">
            <w:pPr>
              <w:pStyle w:val="TableText0"/>
            </w:pPr>
            <w:r w:rsidRPr="7F77D409">
              <w:t xml:space="preserve">Based on the expected uptake in </w:t>
            </w:r>
            <w:r w:rsidR="007F1D4D">
              <w:t xml:space="preserve">the </w:t>
            </w:r>
            <w:r w:rsidRPr="7F77D409">
              <w:t>Nov</w:t>
            </w:r>
            <w:r w:rsidR="007F1D4D">
              <w:t>ember</w:t>
            </w:r>
            <w:r w:rsidRPr="7F77D409">
              <w:t xml:space="preserve"> 2023 submissio</w:t>
            </w:r>
            <w:r w:rsidR="007F1D4D">
              <w:t>n (for patients aged 4 to &lt; 12 months)</w:t>
            </w:r>
          </w:p>
        </w:tc>
      </w:tr>
      <w:tr w:rsidR="00A05C32" w:rsidRPr="0098262F" w14:paraId="512A8938" w14:textId="77777777" w:rsidTr="7F77D409">
        <w:tc>
          <w:tcPr>
            <w:tcW w:w="950" w:type="pct"/>
            <w:vAlign w:val="center"/>
          </w:tcPr>
          <w:p w14:paraId="006B470A" w14:textId="6B0B105E" w:rsidR="00A05C32" w:rsidRPr="0098262F" w:rsidRDefault="00A05C32" w:rsidP="007E45DC">
            <w:pPr>
              <w:pStyle w:val="TableText0"/>
            </w:pPr>
            <w:r w:rsidRPr="0098262F">
              <w:t>Compliance rate</w:t>
            </w:r>
          </w:p>
          <w:p w14:paraId="1F4C70A3" w14:textId="47B94491" w:rsidR="00A05C32" w:rsidRPr="0098262F" w:rsidRDefault="00A05C32" w:rsidP="007E45DC">
            <w:pPr>
              <w:pStyle w:val="TableText0"/>
            </w:pPr>
          </w:p>
        </w:tc>
        <w:tc>
          <w:tcPr>
            <w:tcW w:w="2270" w:type="pct"/>
            <w:vAlign w:val="center"/>
          </w:tcPr>
          <w:p w14:paraId="5289CDB1" w14:textId="4BACD26E" w:rsidR="00A05C32" w:rsidRPr="0098262F" w:rsidRDefault="00052782" w:rsidP="007E45DC">
            <w:pPr>
              <w:pStyle w:val="TableText0"/>
            </w:pPr>
            <w:r w:rsidRPr="7F77D409">
              <w:t>Assumed to be 100% for the 1-4</w:t>
            </w:r>
            <w:r w:rsidR="00DF5522" w:rsidRPr="7F77D409">
              <w:t xml:space="preserve"> </w:t>
            </w:r>
            <w:r w:rsidRPr="7F77D409">
              <w:t>month age treatmen</w:t>
            </w:r>
            <w:r w:rsidR="007E45DC" w:rsidRPr="7F77D409">
              <w:t>t</w:t>
            </w:r>
            <w:r w:rsidRPr="7F77D409">
              <w:t xml:space="preserve"> period</w:t>
            </w:r>
          </w:p>
        </w:tc>
        <w:tc>
          <w:tcPr>
            <w:tcW w:w="1780" w:type="pct"/>
            <w:vAlign w:val="center"/>
          </w:tcPr>
          <w:p w14:paraId="0BA4ED26" w14:textId="6E62D58B" w:rsidR="00A05C32" w:rsidRPr="0098262F" w:rsidRDefault="00A05C32" w:rsidP="007E45DC">
            <w:pPr>
              <w:pStyle w:val="TableText0"/>
            </w:pPr>
          </w:p>
        </w:tc>
      </w:tr>
      <w:tr w:rsidR="00D25267" w:rsidRPr="0098262F" w14:paraId="1059FC73" w14:textId="77777777" w:rsidTr="7F77D409">
        <w:tc>
          <w:tcPr>
            <w:tcW w:w="950" w:type="pct"/>
            <w:vAlign w:val="center"/>
          </w:tcPr>
          <w:p w14:paraId="76A3126A" w14:textId="41BE3D24" w:rsidR="00D25267" w:rsidRPr="0098262F" w:rsidRDefault="00D25267" w:rsidP="007E45DC">
            <w:pPr>
              <w:pStyle w:val="TableText0"/>
            </w:pPr>
            <w:r w:rsidRPr="7F77D409">
              <w:t>Effective prices for ivacaftor, per 28 day pack irrespective of formulation</w:t>
            </w:r>
          </w:p>
        </w:tc>
        <w:tc>
          <w:tcPr>
            <w:tcW w:w="2270" w:type="pct"/>
            <w:vAlign w:val="center"/>
          </w:tcPr>
          <w:p w14:paraId="487C1358" w14:textId="76921880" w:rsidR="00D25267" w:rsidRDefault="00D25267" w:rsidP="007E45DC">
            <w:pPr>
              <w:pStyle w:val="TableText0"/>
            </w:pPr>
            <w:r>
              <w:t>Gating mutation: $</w:t>
            </w:r>
            <w:r w:rsidR="000F6865" w:rsidRPr="000F6865">
              <w:rPr>
                <w:color w:val="000000"/>
                <w:spacing w:val="53"/>
                <w:shd w:val="solid" w:color="000000" w:fill="000000"/>
                <w:fitText w:val="330" w:id="-694419191"/>
                <w14:textFill>
                  <w14:solidFill>
                    <w14:srgbClr w14:val="000000">
                      <w14:alpha w14:val="100000"/>
                    </w14:srgbClr>
                  </w14:solidFill>
                </w14:textFill>
              </w:rPr>
              <w:t>|||</w:t>
            </w:r>
            <w:r w:rsidR="000F6865" w:rsidRPr="000F6865">
              <w:rPr>
                <w:color w:val="000000"/>
                <w:spacing w:val="1"/>
                <w:shd w:val="solid" w:color="000000" w:fill="000000"/>
                <w:fitText w:val="330" w:id="-694419191"/>
                <w14:textFill>
                  <w14:solidFill>
                    <w14:srgbClr w14:val="000000">
                      <w14:alpha w14:val="100000"/>
                    </w14:srgbClr>
                  </w14:solidFill>
                </w14:textFill>
              </w:rPr>
              <w:t>|</w:t>
            </w:r>
          </w:p>
          <w:p w14:paraId="690671BA" w14:textId="4ECC6283" w:rsidR="00D25267" w:rsidRDefault="00D25267" w:rsidP="007E45DC">
            <w:pPr>
              <w:pStyle w:val="TableText0"/>
            </w:pPr>
            <w:r>
              <w:t>Non-gating mutation: $</w:t>
            </w:r>
            <w:r w:rsidR="000F6865" w:rsidRPr="000F6865">
              <w:rPr>
                <w:color w:val="000000"/>
                <w:spacing w:val="53"/>
                <w:shd w:val="solid" w:color="000000" w:fill="000000"/>
                <w:fitText w:val="330" w:id="-694419190"/>
                <w14:textFill>
                  <w14:solidFill>
                    <w14:srgbClr w14:val="000000">
                      <w14:alpha w14:val="100000"/>
                    </w14:srgbClr>
                  </w14:solidFill>
                </w14:textFill>
              </w:rPr>
              <w:t>|||</w:t>
            </w:r>
            <w:r w:rsidR="000F6865" w:rsidRPr="000F6865">
              <w:rPr>
                <w:color w:val="000000"/>
                <w:spacing w:val="1"/>
                <w:shd w:val="solid" w:color="000000" w:fill="000000"/>
                <w:fitText w:val="330" w:id="-694419190"/>
                <w14:textFill>
                  <w14:solidFill>
                    <w14:srgbClr w14:val="000000">
                      <w14:alpha w14:val="100000"/>
                    </w14:srgbClr>
                  </w14:solidFill>
                </w14:textFill>
              </w:rPr>
              <w:t>|</w:t>
            </w:r>
          </w:p>
        </w:tc>
        <w:tc>
          <w:tcPr>
            <w:tcW w:w="1780" w:type="pct"/>
            <w:vAlign w:val="center"/>
          </w:tcPr>
          <w:p w14:paraId="3745EB20" w14:textId="77777777" w:rsidR="00D25267" w:rsidRDefault="00D25267" w:rsidP="007E45DC">
            <w:pPr>
              <w:pStyle w:val="TableText0"/>
            </w:pPr>
          </w:p>
        </w:tc>
      </w:tr>
      <w:tr w:rsidR="00D244B6" w:rsidRPr="0098262F" w14:paraId="18F4FF1F" w14:textId="77777777" w:rsidTr="7F77D409">
        <w:tc>
          <w:tcPr>
            <w:tcW w:w="950" w:type="pct"/>
            <w:vAlign w:val="center"/>
          </w:tcPr>
          <w:p w14:paraId="09A388E2" w14:textId="6478CBDB" w:rsidR="00D244B6" w:rsidRPr="0098262F" w:rsidRDefault="007E45DC" w:rsidP="007E45DC">
            <w:pPr>
              <w:pStyle w:val="TableText0"/>
            </w:pPr>
            <w:r>
              <w:t>Scripts per year</w:t>
            </w:r>
          </w:p>
        </w:tc>
        <w:tc>
          <w:tcPr>
            <w:tcW w:w="2270" w:type="pct"/>
            <w:vAlign w:val="center"/>
          </w:tcPr>
          <w:p w14:paraId="61C6F202" w14:textId="734C2DB9" w:rsidR="00D244B6" w:rsidRPr="0098262F" w:rsidRDefault="007E45DC" w:rsidP="007E45DC">
            <w:pPr>
              <w:pStyle w:val="TableText0"/>
            </w:pPr>
            <w:r w:rsidRPr="7F77D409">
              <w:t>13.04; adjusted for this indication to 3.26</w:t>
            </w:r>
          </w:p>
        </w:tc>
        <w:tc>
          <w:tcPr>
            <w:tcW w:w="1780" w:type="pct"/>
            <w:vAlign w:val="center"/>
          </w:tcPr>
          <w:p w14:paraId="283F2180" w14:textId="2AAFD495" w:rsidR="00D244B6" w:rsidRPr="00A30712" w:rsidRDefault="007F1D4D" w:rsidP="007E45DC">
            <w:pPr>
              <w:pStyle w:val="TableText0"/>
            </w:pPr>
            <w:r>
              <w:t>All patients under 12 months of age assumed to receive 3.26 scripts</w:t>
            </w:r>
          </w:p>
        </w:tc>
      </w:tr>
      <w:tr w:rsidR="004658B5" w:rsidRPr="0098262F" w14:paraId="7B7FA999" w14:textId="77777777" w:rsidTr="7F77D409">
        <w:tc>
          <w:tcPr>
            <w:tcW w:w="950" w:type="pct"/>
            <w:vAlign w:val="center"/>
          </w:tcPr>
          <w:p w14:paraId="2C67FF14" w14:textId="3C27622B" w:rsidR="004658B5" w:rsidRPr="0098262F" w:rsidRDefault="004658B5" w:rsidP="007E45DC">
            <w:pPr>
              <w:pStyle w:val="TableText0"/>
            </w:pPr>
            <w:r w:rsidRPr="0098262F">
              <w:t>MBS item</w:t>
            </w:r>
          </w:p>
        </w:tc>
        <w:tc>
          <w:tcPr>
            <w:tcW w:w="2270" w:type="pct"/>
            <w:vAlign w:val="center"/>
          </w:tcPr>
          <w:p w14:paraId="2CB17643" w14:textId="7EC9228E" w:rsidR="004658B5" w:rsidRPr="0098262F" w:rsidRDefault="007E45DC" w:rsidP="007E45DC">
            <w:pPr>
              <w:pStyle w:val="TableText0"/>
            </w:pPr>
            <w:r w:rsidRPr="7F77D409">
              <w:t xml:space="preserve">One additional </w:t>
            </w:r>
            <w:r w:rsidR="000F2E0A">
              <w:t>liver function test</w:t>
            </w:r>
            <w:r w:rsidRPr="7F77D409">
              <w:t>, MBS item $17.70</w:t>
            </w:r>
            <w:r w:rsidR="00E81A5E" w:rsidRPr="7F77D409">
              <w:t xml:space="preserve"> </w:t>
            </w:r>
          </w:p>
        </w:tc>
        <w:tc>
          <w:tcPr>
            <w:tcW w:w="1780" w:type="pct"/>
            <w:vAlign w:val="center"/>
          </w:tcPr>
          <w:p w14:paraId="2F12B392" w14:textId="4DEF5061" w:rsidR="004658B5" w:rsidRPr="0098262F" w:rsidRDefault="007F1D4D" w:rsidP="007E45DC">
            <w:pPr>
              <w:pStyle w:val="TableText0"/>
            </w:pPr>
            <w:r>
              <w:t xml:space="preserve">Consistent with the </w:t>
            </w:r>
            <w:r w:rsidRPr="7F77D409">
              <w:t>Nov</w:t>
            </w:r>
            <w:r>
              <w:t>ember</w:t>
            </w:r>
            <w:r w:rsidRPr="7F77D409">
              <w:t xml:space="preserve"> 2023 submissio</w:t>
            </w:r>
            <w:r>
              <w:t>n (for patients aged 4 to &lt; 12 months)</w:t>
            </w:r>
          </w:p>
        </w:tc>
      </w:tr>
    </w:tbl>
    <w:p w14:paraId="18D32C76" w14:textId="4D4BE689" w:rsidR="00E42F73" w:rsidRDefault="00E42F73" w:rsidP="007925DF">
      <w:pPr>
        <w:pStyle w:val="FooterTableFigure"/>
      </w:pPr>
      <w:r w:rsidRPr="0098262F">
        <w:t xml:space="preserve">Source: </w:t>
      </w:r>
      <w:r w:rsidR="00052782">
        <w:t xml:space="preserve"> constructed from </w:t>
      </w:r>
      <w:r w:rsidRPr="0098262F">
        <w:t>Table</w:t>
      </w:r>
      <w:r w:rsidR="00052782">
        <w:t xml:space="preserve">s 4.1 and 4.2, p62 and text in section 4 </w:t>
      </w:r>
      <w:r w:rsidRPr="0098262F">
        <w:t>of the submission.</w:t>
      </w:r>
    </w:p>
    <w:p w14:paraId="67A7FF00" w14:textId="155A6286" w:rsidR="00F62C31" w:rsidRDefault="000F2E0A" w:rsidP="007925DF">
      <w:pPr>
        <w:pStyle w:val="FooterTableFigure"/>
      </w:pPr>
      <w:r>
        <w:t>ACFDR = Australian Cystic Fibrosis Data Registry; CF = cystic fibrosis</w:t>
      </w:r>
    </w:p>
    <w:p w14:paraId="42DC1D05" w14:textId="575154B3" w:rsidR="00D25267" w:rsidRPr="0098262F" w:rsidRDefault="00D25267" w:rsidP="00D25267">
      <w:pPr>
        <w:pStyle w:val="3-BodyText"/>
      </w:pPr>
      <w:r>
        <w:t>The total number of patients treated, scripts dispensed and cost to the PBS, using the current effective prices of ivacaftor, are shown in</w:t>
      </w:r>
      <w:r w:rsidR="002B1CA8">
        <w:t xml:space="preserve"> </w:t>
      </w:r>
      <w:r w:rsidR="00A62425">
        <w:fldChar w:fldCharType="begin" w:fldLock="1"/>
      </w:r>
      <w:r w:rsidR="00A62425">
        <w:instrText xml:space="preserve"> REF _Ref184896201 \h </w:instrText>
      </w:r>
      <w:r w:rsidR="00A62425">
        <w:fldChar w:fldCharType="separate"/>
      </w:r>
      <w:r w:rsidR="00A6545D">
        <w:t xml:space="preserve">Table </w:t>
      </w:r>
      <w:r w:rsidR="00A6545D">
        <w:rPr>
          <w:noProof/>
        </w:rPr>
        <w:t>8</w:t>
      </w:r>
      <w:r w:rsidR="00A62425">
        <w:fldChar w:fldCharType="end"/>
      </w:r>
      <w:r w:rsidR="00A62425">
        <w:t xml:space="preserve">. </w:t>
      </w:r>
      <w:r>
        <w:t>There was not expected to be any impact on use of other medicines.</w:t>
      </w:r>
    </w:p>
    <w:p w14:paraId="7EFA0F41" w14:textId="77777777" w:rsidR="007E45DC" w:rsidRDefault="007E45DC" w:rsidP="00E16AD8">
      <w:pPr>
        <w:pStyle w:val="Caption"/>
      </w:pPr>
      <w:bookmarkStart w:id="52" w:name="_Ref104805295"/>
    </w:p>
    <w:p w14:paraId="38EC053C" w14:textId="287F2012" w:rsidR="00C25D9C" w:rsidRPr="0098262F" w:rsidRDefault="004C4FBD" w:rsidP="004C4FBD">
      <w:pPr>
        <w:pStyle w:val="Caption"/>
      </w:pPr>
      <w:bookmarkStart w:id="53" w:name="_Ref184896201"/>
      <w:bookmarkEnd w:id="52"/>
      <w:r>
        <w:t xml:space="preserve">Table </w:t>
      </w:r>
      <w:r w:rsidR="005249AA">
        <w:fldChar w:fldCharType="begin" w:fldLock="1"/>
      </w:r>
      <w:r w:rsidR="005249AA">
        <w:instrText xml:space="preserve"> SEQ Table \* ARABIC </w:instrText>
      </w:r>
      <w:r w:rsidR="005249AA">
        <w:fldChar w:fldCharType="separate"/>
      </w:r>
      <w:r w:rsidR="005249AA">
        <w:rPr>
          <w:noProof/>
        </w:rPr>
        <w:t>8</w:t>
      </w:r>
      <w:r w:rsidR="005249AA">
        <w:rPr>
          <w:noProof/>
        </w:rPr>
        <w:fldChar w:fldCharType="end"/>
      </w:r>
      <w:bookmarkEnd w:id="53"/>
      <w:r>
        <w:t xml:space="preserve">: </w:t>
      </w:r>
      <w:r w:rsidR="002A2F50" w:rsidRPr="0098262F">
        <w:rPr>
          <w:rStyle w:val="CommentReference"/>
          <w:b/>
          <w:szCs w:val="24"/>
        </w:rPr>
        <w:t>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385A9D" w:rsidRPr="0098262F" w14:paraId="43A2A3A1" w14:textId="77777777" w:rsidTr="7F77D409">
        <w:trPr>
          <w:tblHeader/>
        </w:trPr>
        <w:tc>
          <w:tcPr>
            <w:tcW w:w="1334" w:type="pct"/>
            <w:vAlign w:val="center"/>
          </w:tcPr>
          <w:p w14:paraId="0A4E41E1" w14:textId="77777777" w:rsidR="00385A9D" w:rsidRPr="0098262F" w:rsidRDefault="00385A9D" w:rsidP="00606FBA">
            <w:pPr>
              <w:pStyle w:val="In-tableHeading"/>
              <w:jc w:val="center"/>
              <w:rPr>
                <w:lang w:val="en-AU"/>
              </w:rPr>
            </w:pPr>
          </w:p>
        </w:tc>
        <w:tc>
          <w:tcPr>
            <w:tcW w:w="611" w:type="pct"/>
            <w:vAlign w:val="center"/>
          </w:tcPr>
          <w:p w14:paraId="77420B6F" w14:textId="77777777" w:rsidR="00385A9D" w:rsidRPr="0098262F" w:rsidRDefault="00385A9D" w:rsidP="00606FBA">
            <w:pPr>
              <w:pStyle w:val="In-tableHeading"/>
              <w:jc w:val="center"/>
              <w:rPr>
                <w:lang w:val="en-AU"/>
              </w:rPr>
            </w:pPr>
            <w:r w:rsidRPr="0098262F">
              <w:rPr>
                <w:lang w:val="en-AU"/>
              </w:rPr>
              <w:t>Year 1</w:t>
            </w:r>
          </w:p>
        </w:tc>
        <w:tc>
          <w:tcPr>
            <w:tcW w:w="611" w:type="pct"/>
            <w:vAlign w:val="center"/>
          </w:tcPr>
          <w:p w14:paraId="3BBD9218" w14:textId="77777777" w:rsidR="00385A9D" w:rsidRPr="0098262F" w:rsidRDefault="00385A9D" w:rsidP="00606FBA">
            <w:pPr>
              <w:pStyle w:val="In-tableHeading"/>
              <w:jc w:val="center"/>
              <w:rPr>
                <w:lang w:val="en-AU"/>
              </w:rPr>
            </w:pPr>
            <w:r w:rsidRPr="0098262F">
              <w:rPr>
                <w:lang w:val="en-AU"/>
              </w:rPr>
              <w:t>Year 2</w:t>
            </w:r>
          </w:p>
        </w:tc>
        <w:tc>
          <w:tcPr>
            <w:tcW w:w="611" w:type="pct"/>
            <w:vAlign w:val="center"/>
          </w:tcPr>
          <w:p w14:paraId="729A646E" w14:textId="77777777" w:rsidR="00385A9D" w:rsidRPr="0098262F" w:rsidRDefault="00385A9D" w:rsidP="00606FBA">
            <w:pPr>
              <w:pStyle w:val="In-tableHeading"/>
              <w:jc w:val="center"/>
              <w:rPr>
                <w:lang w:val="en-AU"/>
              </w:rPr>
            </w:pPr>
            <w:r w:rsidRPr="0098262F">
              <w:rPr>
                <w:lang w:val="en-AU"/>
              </w:rPr>
              <w:t>Year 3</w:t>
            </w:r>
          </w:p>
        </w:tc>
        <w:tc>
          <w:tcPr>
            <w:tcW w:w="611" w:type="pct"/>
            <w:vAlign w:val="center"/>
          </w:tcPr>
          <w:p w14:paraId="280BB544" w14:textId="77777777" w:rsidR="00385A9D" w:rsidRPr="0098262F" w:rsidRDefault="00385A9D" w:rsidP="00606FBA">
            <w:pPr>
              <w:pStyle w:val="In-tableHeading"/>
              <w:jc w:val="center"/>
              <w:rPr>
                <w:lang w:val="en-AU"/>
              </w:rPr>
            </w:pPr>
            <w:r w:rsidRPr="0098262F">
              <w:rPr>
                <w:lang w:val="en-AU"/>
              </w:rPr>
              <w:t>Year 4</w:t>
            </w:r>
          </w:p>
        </w:tc>
        <w:tc>
          <w:tcPr>
            <w:tcW w:w="611" w:type="pct"/>
            <w:vAlign w:val="center"/>
          </w:tcPr>
          <w:p w14:paraId="6435BB5B" w14:textId="77777777" w:rsidR="00385A9D" w:rsidRPr="0098262F" w:rsidRDefault="00385A9D" w:rsidP="00606FBA">
            <w:pPr>
              <w:pStyle w:val="In-tableHeading"/>
              <w:jc w:val="center"/>
              <w:rPr>
                <w:lang w:val="en-AU"/>
              </w:rPr>
            </w:pPr>
            <w:r w:rsidRPr="0098262F">
              <w:rPr>
                <w:lang w:val="en-AU"/>
              </w:rPr>
              <w:t>Year 5</w:t>
            </w:r>
          </w:p>
        </w:tc>
        <w:tc>
          <w:tcPr>
            <w:tcW w:w="611" w:type="pct"/>
          </w:tcPr>
          <w:p w14:paraId="7C618119" w14:textId="77777777" w:rsidR="00385A9D" w:rsidRPr="0098262F" w:rsidRDefault="00385A9D" w:rsidP="00606FBA">
            <w:pPr>
              <w:pStyle w:val="In-tableHeading"/>
              <w:jc w:val="center"/>
              <w:rPr>
                <w:lang w:val="en-AU"/>
              </w:rPr>
            </w:pPr>
            <w:r w:rsidRPr="0098262F">
              <w:rPr>
                <w:lang w:val="en-AU"/>
              </w:rPr>
              <w:t>Year 6</w:t>
            </w:r>
          </w:p>
        </w:tc>
      </w:tr>
      <w:tr w:rsidR="00385A9D" w:rsidRPr="0098262F" w14:paraId="3C519059" w14:textId="77777777" w:rsidTr="7F77D409">
        <w:tc>
          <w:tcPr>
            <w:tcW w:w="5000" w:type="pct"/>
            <w:gridSpan w:val="7"/>
            <w:vAlign w:val="center"/>
          </w:tcPr>
          <w:p w14:paraId="516C2197" w14:textId="77777777" w:rsidR="00385A9D" w:rsidRPr="0098262F" w:rsidRDefault="00385A9D" w:rsidP="00606FBA">
            <w:pPr>
              <w:pStyle w:val="In-tableHeading"/>
              <w:rPr>
                <w:bCs/>
                <w:color w:val="000000"/>
                <w:lang w:val="en-AU"/>
              </w:rPr>
            </w:pPr>
            <w:r w:rsidRPr="0098262F">
              <w:rPr>
                <w:bCs/>
                <w:color w:val="000000"/>
                <w:lang w:val="en-AU"/>
              </w:rPr>
              <w:t>Estimated extent of use</w:t>
            </w:r>
          </w:p>
        </w:tc>
      </w:tr>
      <w:tr w:rsidR="00E41A03" w:rsidRPr="0098262F" w14:paraId="148A8EEF" w14:textId="77777777" w:rsidTr="008655EB">
        <w:tc>
          <w:tcPr>
            <w:tcW w:w="1334" w:type="pct"/>
            <w:vAlign w:val="center"/>
          </w:tcPr>
          <w:p w14:paraId="201B6ECA" w14:textId="3CCEC724" w:rsidR="00E41A03" w:rsidRPr="0098262F" w:rsidRDefault="00E41A03" w:rsidP="00E41A03">
            <w:pPr>
              <w:pStyle w:val="TableText0"/>
              <w:rPr>
                <w:rFonts w:ascii="Times" w:hAnsi="Times"/>
              </w:rPr>
            </w:pPr>
            <w:r w:rsidRPr="0098262F">
              <w:t>Number of patients treated</w:t>
            </w:r>
            <w:r>
              <w:t xml:space="preserve"> – gating mutation</w:t>
            </w:r>
          </w:p>
        </w:tc>
        <w:tc>
          <w:tcPr>
            <w:tcW w:w="611" w:type="pct"/>
            <w:tcBorders>
              <w:top w:val="nil"/>
              <w:left w:val="nil"/>
              <w:bottom w:val="single" w:sz="4" w:space="0" w:color="auto"/>
              <w:right w:val="single" w:sz="4" w:space="0" w:color="auto"/>
            </w:tcBorders>
            <w:vAlign w:val="center"/>
          </w:tcPr>
          <w:p w14:paraId="577607A9" w14:textId="4FDC8B4C" w:rsidR="00E41A03" w:rsidRPr="00227199" w:rsidRDefault="000F6865" w:rsidP="00E41A03">
            <w:pPr>
              <w:pStyle w:val="TableText0"/>
              <w:rPr>
                <w:highlight w:val="darkGray"/>
              </w:rPr>
            </w:pPr>
            <w:r w:rsidRPr="000F6865">
              <w:rPr>
                <w:color w:val="000000"/>
                <w:spacing w:val="53"/>
                <w:shd w:val="solid" w:color="000000" w:fill="000000"/>
                <w:fitText w:val="330" w:id="-694419189"/>
                <w14:textFill>
                  <w14:solidFill>
                    <w14:srgbClr w14:val="000000">
                      <w14:alpha w14:val="100000"/>
                    </w14:srgbClr>
                  </w14:solidFill>
                </w14:textFill>
              </w:rPr>
              <w:t>|||</w:t>
            </w:r>
            <w:r w:rsidRPr="000F6865">
              <w:rPr>
                <w:color w:val="000000"/>
                <w:spacing w:val="1"/>
                <w:shd w:val="solid" w:color="000000" w:fill="000000"/>
                <w:fitText w:val="330" w:id="-694419189"/>
                <w14:textFill>
                  <w14:solidFill>
                    <w14:srgbClr w14:val="000000">
                      <w14:alpha w14:val="100000"/>
                    </w14:srgbClr>
                  </w14:solidFill>
                </w14:textFill>
              </w:rPr>
              <w:t>|</w:t>
            </w:r>
            <w:r w:rsidR="001412CD" w:rsidRPr="00CB5E47">
              <w:rPr>
                <w:vertAlign w:val="superscript"/>
              </w:rPr>
              <w:t>1</w:t>
            </w:r>
          </w:p>
        </w:tc>
        <w:tc>
          <w:tcPr>
            <w:tcW w:w="611" w:type="pct"/>
            <w:tcBorders>
              <w:top w:val="nil"/>
              <w:left w:val="single" w:sz="4" w:space="0" w:color="auto"/>
              <w:bottom w:val="single" w:sz="4" w:space="0" w:color="auto"/>
              <w:right w:val="single" w:sz="4" w:space="0" w:color="auto"/>
            </w:tcBorders>
            <w:vAlign w:val="center"/>
          </w:tcPr>
          <w:p w14:paraId="6610B4C9" w14:textId="0D9E0B5C" w:rsidR="00E41A03" w:rsidRPr="00227199" w:rsidRDefault="000F6865" w:rsidP="00E41A03">
            <w:pPr>
              <w:pStyle w:val="TableText0"/>
              <w:rPr>
                <w:highlight w:val="darkGray"/>
              </w:rPr>
            </w:pPr>
            <w:r w:rsidRPr="000F6865">
              <w:rPr>
                <w:color w:val="000000"/>
                <w:spacing w:val="53"/>
                <w:shd w:val="solid" w:color="000000" w:fill="000000"/>
                <w:fitText w:val="330" w:id="-694419188"/>
                <w14:textFill>
                  <w14:solidFill>
                    <w14:srgbClr w14:val="000000">
                      <w14:alpha w14:val="100000"/>
                    </w14:srgbClr>
                  </w14:solidFill>
                </w14:textFill>
              </w:rPr>
              <w:t>|||</w:t>
            </w:r>
            <w:r w:rsidRPr="000F6865">
              <w:rPr>
                <w:color w:val="000000"/>
                <w:spacing w:val="1"/>
                <w:shd w:val="solid" w:color="000000" w:fill="000000"/>
                <w:fitText w:val="330" w:id="-694419188"/>
                <w14:textFill>
                  <w14:solidFill>
                    <w14:srgbClr w14:val="000000">
                      <w14:alpha w14:val="100000"/>
                    </w14:srgbClr>
                  </w14:solidFill>
                </w14:textFill>
              </w:rPr>
              <w:t>|</w:t>
            </w:r>
            <w:r w:rsidR="00CB5E47" w:rsidRPr="00CB5E47">
              <w:rPr>
                <w:vertAlign w:val="superscript"/>
              </w:rPr>
              <w:t>1</w:t>
            </w:r>
          </w:p>
        </w:tc>
        <w:tc>
          <w:tcPr>
            <w:tcW w:w="611" w:type="pct"/>
            <w:tcBorders>
              <w:top w:val="nil"/>
              <w:left w:val="single" w:sz="4" w:space="0" w:color="auto"/>
              <w:bottom w:val="single" w:sz="4" w:space="0" w:color="auto"/>
              <w:right w:val="single" w:sz="4" w:space="0" w:color="auto"/>
            </w:tcBorders>
            <w:vAlign w:val="center"/>
          </w:tcPr>
          <w:p w14:paraId="29F46D6B" w14:textId="3B77E24E" w:rsidR="00E41A03" w:rsidRPr="00227199" w:rsidRDefault="000F6865" w:rsidP="00E41A03">
            <w:pPr>
              <w:pStyle w:val="TableText0"/>
              <w:rPr>
                <w:highlight w:val="darkGray"/>
              </w:rPr>
            </w:pPr>
            <w:r w:rsidRPr="000F6865">
              <w:rPr>
                <w:color w:val="000000"/>
                <w:spacing w:val="53"/>
                <w:shd w:val="solid" w:color="000000" w:fill="000000"/>
                <w:fitText w:val="330" w:id="-694419187"/>
                <w14:textFill>
                  <w14:solidFill>
                    <w14:srgbClr w14:val="000000">
                      <w14:alpha w14:val="100000"/>
                    </w14:srgbClr>
                  </w14:solidFill>
                </w14:textFill>
              </w:rPr>
              <w:t>|||</w:t>
            </w:r>
            <w:r w:rsidRPr="000F6865">
              <w:rPr>
                <w:color w:val="000000"/>
                <w:spacing w:val="1"/>
                <w:shd w:val="solid" w:color="000000" w:fill="000000"/>
                <w:fitText w:val="330" w:id="-694419187"/>
                <w14:textFill>
                  <w14:solidFill>
                    <w14:srgbClr w14:val="000000">
                      <w14:alpha w14:val="100000"/>
                    </w14:srgbClr>
                  </w14:solidFill>
                </w14:textFill>
              </w:rPr>
              <w:t>|</w:t>
            </w:r>
            <w:r w:rsidR="00CB5E47" w:rsidRPr="00CB5E47">
              <w:rPr>
                <w:vertAlign w:val="superscript"/>
              </w:rPr>
              <w:t>1</w:t>
            </w:r>
          </w:p>
        </w:tc>
        <w:tc>
          <w:tcPr>
            <w:tcW w:w="611" w:type="pct"/>
            <w:tcBorders>
              <w:top w:val="nil"/>
              <w:left w:val="single" w:sz="4" w:space="0" w:color="auto"/>
              <w:bottom w:val="single" w:sz="4" w:space="0" w:color="auto"/>
              <w:right w:val="single" w:sz="4" w:space="0" w:color="auto"/>
            </w:tcBorders>
            <w:vAlign w:val="center"/>
          </w:tcPr>
          <w:p w14:paraId="21167904" w14:textId="5D503333" w:rsidR="00E41A03" w:rsidRPr="00227199" w:rsidRDefault="000F6865" w:rsidP="00E41A03">
            <w:pPr>
              <w:pStyle w:val="TableText0"/>
              <w:rPr>
                <w:highlight w:val="darkGray"/>
              </w:rPr>
            </w:pPr>
            <w:r w:rsidRPr="000F6865">
              <w:rPr>
                <w:color w:val="000000"/>
                <w:spacing w:val="53"/>
                <w:shd w:val="solid" w:color="000000" w:fill="000000"/>
                <w:fitText w:val="330" w:id="-694419186"/>
                <w14:textFill>
                  <w14:solidFill>
                    <w14:srgbClr w14:val="000000">
                      <w14:alpha w14:val="100000"/>
                    </w14:srgbClr>
                  </w14:solidFill>
                </w14:textFill>
              </w:rPr>
              <w:t>|||</w:t>
            </w:r>
            <w:r w:rsidRPr="000F6865">
              <w:rPr>
                <w:color w:val="000000"/>
                <w:spacing w:val="1"/>
                <w:shd w:val="solid" w:color="000000" w:fill="000000"/>
                <w:fitText w:val="330" w:id="-694419186"/>
                <w14:textFill>
                  <w14:solidFill>
                    <w14:srgbClr w14:val="000000">
                      <w14:alpha w14:val="100000"/>
                    </w14:srgbClr>
                  </w14:solidFill>
                </w14:textFill>
              </w:rPr>
              <w:t>|</w:t>
            </w:r>
            <w:r w:rsidR="00CB5E47" w:rsidRPr="00CB5E47">
              <w:rPr>
                <w:vertAlign w:val="superscript"/>
              </w:rPr>
              <w:t>1</w:t>
            </w:r>
          </w:p>
        </w:tc>
        <w:tc>
          <w:tcPr>
            <w:tcW w:w="611" w:type="pct"/>
            <w:tcBorders>
              <w:top w:val="nil"/>
              <w:left w:val="single" w:sz="4" w:space="0" w:color="auto"/>
              <w:bottom w:val="single" w:sz="4" w:space="0" w:color="auto"/>
              <w:right w:val="single" w:sz="4" w:space="0" w:color="auto"/>
            </w:tcBorders>
            <w:vAlign w:val="center"/>
          </w:tcPr>
          <w:p w14:paraId="762D4B71" w14:textId="1385CA56" w:rsidR="00E41A03" w:rsidRPr="00227199" w:rsidRDefault="000F6865" w:rsidP="00E41A03">
            <w:pPr>
              <w:pStyle w:val="TableText0"/>
              <w:rPr>
                <w:highlight w:val="darkGray"/>
              </w:rPr>
            </w:pPr>
            <w:r w:rsidRPr="000F6865">
              <w:rPr>
                <w:color w:val="000000"/>
                <w:spacing w:val="53"/>
                <w:shd w:val="solid" w:color="000000" w:fill="000000"/>
                <w:fitText w:val="330" w:id="-694419185"/>
                <w14:textFill>
                  <w14:solidFill>
                    <w14:srgbClr w14:val="000000">
                      <w14:alpha w14:val="100000"/>
                    </w14:srgbClr>
                  </w14:solidFill>
                </w14:textFill>
              </w:rPr>
              <w:t>|||</w:t>
            </w:r>
            <w:r w:rsidRPr="000F6865">
              <w:rPr>
                <w:color w:val="000000"/>
                <w:spacing w:val="1"/>
                <w:shd w:val="solid" w:color="000000" w:fill="000000"/>
                <w:fitText w:val="330" w:id="-694419185"/>
                <w14:textFill>
                  <w14:solidFill>
                    <w14:srgbClr w14:val="000000">
                      <w14:alpha w14:val="100000"/>
                    </w14:srgbClr>
                  </w14:solidFill>
                </w14:textFill>
              </w:rPr>
              <w:t>|</w:t>
            </w:r>
            <w:r w:rsidR="00CB5E47" w:rsidRPr="00CB5E47">
              <w:rPr>
                <w:vertAlign w:val="superscript"/>
              </w:rPr>
              <w:t>1</w:t>
            </w:r>
          </w:p>
        </w:tc>
        <w:tc>
          <w:tcPr>
            <w:tcW w:w="611" w:type="pct"/>
            <w:tcBorders>
              <w:top w:val="nil"/>
              <w:left w:val="single" w:sz="4" w:space="0" w:color="auto"/>
              <w:bottom w:val="single" w:sz="4" w:space="0" w:color="auto"/>
              <w:right w:val="single" w:sz="4" w:space="0" w:color="auto"/>
            </w:tcBorders>
            <w:vAlign w:val="center"/>
          </w:tcPr>
          <w:p w14:paraId="42B428B5" w14:textId="4E733D7B" w:rsidR="00E41A03" w:rsidRPr="00227199" w:rsidRDefault="000F6865" w:rsidP="00E41A03">
            <w:pPr>
              <w:pStyle w:val="TableText0"/>
              <w:rPr>
                <w:highlight w:val="darkGray"/>
              </w:rPr>
            </w:pPr>
            <w:r w:rsidRPr="000F6865">
              <w:rPr>
                <w:color w:val="000000"/>
                <w:spacing w:val="53"/>
                <w:shd w:val="solid" w:color="000000" w:fill="000000"/>
                <w:fitText w:val="330" w:id="-694419184"/>
                <w14:textFill>
                  <w14:solidFill>
                    <w14:srgbClr w14:val="000000">
                      <w14:alpha w14:val="100000"/>
                    </w14:srgbClr>
                  </w14:solidFill>
                </w14:textFill>
              </w:rPr>
              <w:t>|||</w:t>
            </w:r>
            <w:r w:rsidRPr="000F6865">
              <w:rPr>
                <w:color w:val="000000"/>
                <w:spacing w:val="1"/>
                <w:shd w:val="solid" w:color="000000" w:fill="000000"/>
                <w:fitText w:val="330" w:id="-694419184"/>
                <w14:textFill>
                  <w14:solidFill>
                    <w14:srgbClr w14:val="000000">
                      <w14:alpha w14:val="100000"/>
                    </w14:srgbClr>
                  </w14:solidFill>
                </w14:textFill>
              </w:rPr>
              <w:t>|</w:t>
            </w:r>
            <w:r w:rsidR="00CB5E47" w:rsidRPr="00CB5E47">
              <w:rPr>
                <w:vertAlign w:val="superscript"/>
              </w:rPr>
              <w:t>1</w:t>
            </w:r>
          </w:p>
        </w:tc>
      </w:tr>
      <w:tr w:rsidR="00E41A03" w:rsidRPr="0098262F" w14:paraId="53DAD7BE" w14:textId="77777777" w:rsidTr="008655EB">
        <w:tc>
          <w:tcPr>
            <w:tcW w:w="1334" w:type="pct"/>
            <w:vAlign w:val="center"/>
          </w:tcPr>
          <w:p w14:paraId="2F728C01" w14:textId="6FA962F3" w:rsidR="00E41A03" w:rsidRPr="0098262F" w:rsidRDefault="00E41A03" w:rsidP="00E41A03">
            <w:pPr>
              <w:pStyle w:val="TableText0"/>
            </w:pPr>
            <w:r>
              <w:t>Number of patients treated- non-gating mutation</w:t>
            </w:r>
          </w:p>
        </w:tc>
        <w:tc>
          <w:tcPr>
            <w:tcW w:w="611" w:type="pct"/>
            <w:tcBorders>
              <w:top w:val="single" w:sz="4" w:space="0" w:color="auto"/>
              <w:left w:val="nil"/>
              <w:bottom w:val="single" w:sz="4" w:space="0" w:color="auto"/>
              <w:right w:val="single" w:sz="4" w:space="0" w:color="auto"/>
            </w:tcBorders>
            <w:vAlign w:val="center"/>
          </w:tcPr>
          <w:p w14:paraId="5871C426" w14:textId="43C56131" w:rsidR="00E41A03" w:rsidRPr="00227199" w:rsidRDefault="000F6865" w:rsidP="00E41A03">
            <w:pPr>
              <w:pStyle w:val="TableText0"/>
              <w:rPr>
                <w:highlight w:val="darkGray"/>
              </w:rPr>
            </w:pPr>
            <w:r w:rsidRPr="000F6865">
              <w:rPr>
                <w:color w:val="000000"/>
                <w:spacing w:val="53"/>
                <w:shd w:val="solid" w:color="000000" w:fill="000000"/>
                <w:fitText w:val="330" w:id="-694419200"/>
                <w14:textFill>
                  <w14:solidFill>
                    <w14:srgbClr w14:val="000000">
                      <w14:alpha w14:val="100000"/>
                    </w14:srgbClr>
                  </w14:solidFill>
                </w14:textFill>
              </w:rPr>
              <w:t>|||</w:t>
            </w:r>
            <w:r w:rsidRPr="000F6865">
              <w:rPr>
                <w:color w:val="000000"/>
                <w:spacing w:val="1"/>
                <w:shd w:val="solid" w:color="000000" w:fill="000000"/>
                <w:fitText w:val="330" w:id="-694419200"/>
                <w14:textFill>
                  <w14:solidFill>
                    <w14:srgbClr w14:val="000000">
                      <w14:alpha w14:val="100000"/>
                    </w14:srgbClr>
                  </w14:solidFill>
                </w14:textFill>
              </w:rPr>
              <w:t>|</w:t>
            </w:r>
            <w:r w:rsidR="00CB5E47" w:rsidRPr="00CB5E47">
              <w:rPr>
                <w:vertAlign w:val="superscript"/>
              </w:rPr>
              <w:t>1</w:t>
            </w:r>
          </w:p>
        </w:tc>
        <w:tc>
          <w:tcPr>
            <w:tcW w:w="611" w:type="pct"/>
            <w:tcBorders>
              <w:top w:val="single" w:sz="4" w:space="0" w:color="auto"/>
              <w:left w:val="single" w:sz="4" w:space="0" w:color="auto"/>
              <w:bottom w:val="single" w:sz="4" w:space="0" w:color="auto"/>
              <w:right w:val="single" w:sz="4" w:space="0" w:color="auto"/>
            </w:tcBorders>
            <w:vAlign w:val="center"/>
          </w:tcPr>
          <w:p w14:paraId="1F7ED214" w14:textId="0ACD3952" w:rsidR="00E41A03" w:rsidRPr="00227199" w:rsidRDefault="000F6865" w:rsidP="00E41A03">
            <w:pPr>
              <w:pStyle w:val="TableText0"/>
              <w:rPr>
                <w:highlight w:val="darkGray"/>
              </w:rPr>
            </w:pPr>
            <w:r w:rsidRPr="000F6865">
              <w:rPr>
                <w:color w:val="000000"/>
                <w:spacing w:val="53"/>
                <w:shd w:val="solid" w:color="000000" w:fill="000000"/>
                <w:fitText w:val="330" w:id="-694419199"/>
                <w14:textFill>
                  <w14:solidFill>
                    <w14:srgbClr w14:val="000000">
                      <w14:alpha w14:val="100000"/>
                    </w14:srgbClr>
                  </w14:solidFill>
                </w14:textFill>
              </w:rPr>
              <w:t>|||</w:t>
            </w:r>
            <w:r w:rsidRPr="000F6865">
              <w:rPr>
                <w:color w:val="000000"/>
                <w:spacing w:val="1"/>
                <w:shd w:val="solid" w:color="000000" w:fill="000000"/>
                <w:fitText w:val="330" w:id="-694419199"/>
                <w14:textFill>
                  <w14:solidFill>
                    <w14:srgbClr w14:val="000000">
                      <w14:alpha w14:val="100000"/>
                    </w14:srgbClr>
                  </w14:solidFill>
                </w14:textFill>
              </w:rPr>
              <w:t>|</w:t>
            </w:r>
            <w:r w:rsidR="00CB5E47" w:rsidRPr="00CB5E47">
              <w:rPr>
                <w:vertAlign w:val="superscript"/>
              </w:rPr>
              <w:t>1</w:t>
            </w:r>
          </w:p>
        </w:tc>
        <w:tc>
          <w:tcPr>
            <w:tcW w:w="611" w:type="pct"/>
            <w:tcBorders>
              <w:top w:val="single" w:sz="4" w:space="0" w:color="auto"/>
              <w:left w:val="single" w:sz="4" w:space="0" w:color="auto"/>
              <w:bottom w:val="single" w:sz="4" w:space="0" w:color="auto"/>
              <w:right w:val="single" w:sz="4" w:space="0" w:color="auto"/>
            </w:tcBorders>
            <w:vAlign w:val="center"/>
          </w:tcPr>
          <w:p w14:paraId="5F4E0ECC" w14:textId="2B9392A0" w:rsidR="00E41A03" w:rsidRPr="00227199" w:rsidRDefault="000F6865" w:rsidP="00E41A03">
            <w:pPr>
              <w:pStyle w:val="TableText0"/>
              <w:rPr>
                <w:highlight w:val="darkGray"/>
              </w:rPr>
            </w:pPr>
            <w:r w:rsidRPr="000F6865">
              <w:rPr>
                <w:color w:val="000000"/>
                <w:spacing w:val="53"/>
                <w:shd w:val="solid" w:color="000000" w:fill="000000"/>
                <w:fitText w:val="330" w:id="-694419198"/>
                <w14:textFill>
                  <w14:solidFill>
                    <w14:srgbClr w14:val="000000">
                      <w14:alpha w14:val="100000"/>
                    </w14:srgbClr>
                  </w14:solidFill>
                </w14:textFill>
              </w:rPr>
              <w:t>|||</w:t>
            </w:r>
            <w:r w:rsidRPr="000F6865">
              <w:rPr>
                <w:color w:val="000000"/>
                <w:spacing w:val="1"/>
                <w:shd w:val="solid" w:color="000000" w:fill="000000"/>
                <w:fitText w:val="330" w:id="-694419198"/>
                <w14:textFill>
                  <w14:solidFill>
                    <w14:srgbClr w14:val="000000">
                      <w14:alpha w14:val="100000"/>
                    </w14:srgbClr>
                  </w14:solidFill>
                </w14:textFill>
              </w:rPr>
              <w:t>|</w:t>
            </w:r>
            <w:r w:rsidR="00CB5E47" w:rsidRPr="00CB5E47">
              <w:rPr>
                <w:vertAlign w:val="superscript"/>
              </w:rPr>
              <w:t>1</w:t>
            </w:r>
          </w:p>
        </w:tc>
        <w:tc>
          <w:tcPr>
            <w:tcW w:w="611" w:type="pct"/>
            <w:tcBorders>
              <w:top w:val="single" w:sz="4" w:space="0" w:color="auto"/>
              <w:left w:val="single" w:sz="4" w:space="0" w:color="auto"/>
              <w:bottom w:val="single" w:sz="4" w:space="0" w:color="auto"/>
              <w:right w:val="single" w:sz="4" w:space="0" w:color="auto"/>
            </w:tcBorders>
            <w:vAlign w:val="center"/>
          </w:tcPr>
          <w:p w14:paraId="509A9787" w14:textId="5647A736" w:rsidR="00E41A03" w:rsidRPr="00227199" w:rsidRDefault="000F6865" w:rsidP="00E41A03">
            <w:pPr>
              <w:pStyle w:val="TableText0"/>
              <w:rPr>
                <w:highlight w:val="darkGray"/>
              </w:rPr>
            </w:pPr>
            <w:r w:rsidRPr="000F6865">
              <w:rPr>
                <w:color w:val="000000"/>
                <w:spacing w:val="53"/>
                <w:shd w:val="solid" w:color="000000" w:fill="000000"/>
                <w:fitText w:val="330" w:id="-694419197"/>
                <w14:textFill>
                  <w14:solidFill>
                    <w14:srgbClr w14:val="000000">
                      <w14:alpha w14:val="100000"/>
                    </w14:srgbClr>
                  </w14:solidFill>
                </w14:textFill>
              </w:rPr>
              <w:t>|||</w:t>
            </w:r>
            <w:r w:rsidRPr="000F6865">
              <w:rPr>
                <w:color w:val="000000"/>
                <w:spacing w:val="1"/>
                <w:shd w:val="solid" w:color="000000" w:fill="000000"/>
                <w:fitText w:val="330" w:id="-694419197"/>
                <w14:textFill>
                  <w14:solidFill>
                    <w14:srgbClr w14:val="000000">
                      <w14:alpha w14:val="100000"/>
                    </w14:srgbClr>
                  </w14:solidFill>
                </w14:textFill>
              </w:rPr>
              <w:t>|</w:t>
            </w:r>
            <w:r w:rsidR="00CB5E47" w:rsidRPr="00CB5E47">
              <w:rPr>
                <w:vertAlign w:val="superscript"/>
              </w:rPr>
              <w:t>1</w:t>
            </w:r>
          </w:p>
        </w:tc>
        <w:tc>
          <w:tcPr>
            <w:tcW w:w="611" w:type="pct"/>
            <w:tcBorders>
              <w:top w:val="single" w:sz="4" w:space="0" w:color="auto"/>
              <w:left w:val="single" w:sz="4" w:space="0" w:color="auto"/>
              <w:bottom w:val="single" w:sz="4" w:space="0" w:color="auto"/>
              <w:right w:val="single" w:sz="4" w:space="0" w:color="auto"/>
            </w:tcBorders>
            <w:vAlign w:val="center"/>
          </w:tcPr>
          <w:p w14:paraId="55B3F3B4" w14:textId="67984A31" w:rsidR="00E41A03" w:rsidRPr="00227199" w:rsidRDefault="000F6865" w:rsidP="00E41A03">
            <w:pPr>
              <w:pStyle w:val="TableText0"/>
              <w:rPr>
                <w:highlight w:val="darkGray"/>
              </w:rPr>
            </w:pPr>
            <w:r w:rsidRPr="000F6865">
              <w:rPr>
                <w:color w:val="000000"/>
                <w:spacing w:val="53"/>
                <w:shd w:val="solid" w:color="000000" w:fill="000000"/>
                <w:fitText w:val="330" w:id="-694419196"/>
                <w14:textFill>
                  <w14:solidFill>
                    <w14:srgbClr w14:val="000000">
                      <w14:alpha w14:val="100000"/>
                    </w14:srgbClr>
                  </w14:solidFill>
                </w14:textFill>
              </w:rPr>
              <w:t>|||</w:t>
            </w:r>
            <w:r w:rsidRPr="000F6865">
              <w:rPr>
                <w:color w:val="000000"/>
                <w:spacing w:val="1"/>
                <w:shd w:val="solid" w:color="000000" w:fill="000000"/>
                <w:fitText w:val="330" w:id="-694419196"/>
                <w14:textFill>
                  <w14:solidFill>
                    <w14:srgbClr w14:val="000000">
                      <w14:alpha w14:val="100000"/>
                    </w14:srgbClr>
                  </w14:solidFill>
                </w14:textFill>
              </w:rPr>
              <w:t>|</w:t>
            </w:r>
            <w:r w:rsidR="00CB5E47" w:rsidRPr="00CB5E47">
              <w:rPr>
                <w:vertAlign w:val="superscript"/>
              </w:rPr>
              <w:t>1</w:t>
            </w:r>
          </w:p>
        </w:tc>
        <w:tc>
          <w:tcPr>
            <w:tcW w:w="611" w:type="pct"/>
            <w:tcBorders>
              <w:top w:val="single" w:sz="4" w:space="0" w:color="auto"/>
              <w:left w:val="single" w:sz="4" w:space="0" w:color="auto"/>
              <w:bottom w:val="single" w:sz="4" w:space="0" w:color="auto"/>
              <w:right w:val="single" w:sz="4" w:space="0" w:color="auto"/>
            </w:tcBorders>
            <w:vAlign w:val="center"/>
          </w:tcPr>
          <w:p w14:paraId="73991C2D" w14:textId="172188A5" w:rsidR="00E41A03" w:rsidRPr="00227199" w:rsidRDefault="000F6865" w:rsidP="00E41A03">
            <w:pPr>
              <w:pStyle w:val="TableText0"/>
              <w:rPr>
                <w:highlight w:val="darkGray"/>
              </w:rPr>
            </w:pPr>
            <w:r w:rsidRPr="000F6865">
              <w:rPr>
                <w:color w:val="000000"/>
                <w:spacing w:val="53"/>
                <w:shd w:val="solid" w:color="000000" w:fill="000000"/>
                <w:fitText w:val="330" w:id="-694419195"/>
                <w14:textFill>
                  <w14:solidFill>
                    <w14:srgbClr w14:val="000000">
                      <w14:alpha w14:val="100000"/>
                    </w14:srgbClr>
                  </w14:solidFill>
                </w14:textFill>
              </w:rPr>
              <w:t>|||</w:t>
            </w:r>
            <w:r w:rsidRPr="000F6865">
              <w:rPr>
                <w:color w:val="000000"/>
                <w:spacing w:val="1"/>
                <w:shd w:val="solid" w:color="000000" w:fill="000000"/>
                <w:fitText w:val="330" w:id="-694419195"/>
                <w14:textFill>
                  <w14:solidFill>
                    <w14:srgbClr w14:val="000000">
                      <w14:alpha w14:val="100000"/>
                    </w14:srgbClr>
                  </w14:solidFill>
                </w14:textFill>
              </w:rPr>
              <w:t>|</w:t>
            </w:r>
            <w:r w:rsidR="00CB5E47" w:rsidRPr="00CB5E47">
              <w:rPr>
                <w:vertAlign w:val="superscript"/>
              </w:rPr>
              <w:t>1</w:t>
            </w:r>
          </w:p>
        </w:tc>
      </w:tr>
      <w:tr w:rsidR="00E41A03" w:rsidRPr="0098262F" w14:paraId="1CEE4D09" w14:textId="77777777" w:rsidTr="008655EB">
        <w:tc>
          <w:tcPr>
            <w:tcW w:w="1334" w:type="pct"/>
            <w:vAlign w:val="center"/>
          </w:tcPr>
          <w:p w14:paraId="229A1EDF" w14:textId="457854B4" w:rsidR="00E41A03" w:rsidRPr="007E45DC" w:rsidRDefault="00E41A03" w:rsidP="00E41A03">
            <w:pPr>
              <w:pStyle w:val="TableText0"/>
              <w:rPr>
                <w:rFonts w:ascii="Times" w:hAnsi="Times"/>
              </w:rPr>
            </w:pPr>
            <w:r w:rsidRPr="7F77D409">
              <w:t xml:space="preserve">Number of scripts </w:t>
            </w:r>
            <w:proofErr w:type="spellStart"/>
            <w:r w:rsidRPr="7F77D409">
              <w:t>dispensed</w:t>
            </w:r>
            <w:r w:rsidRPr="7F77D409">
              <w:rPr>
                <w:vertAlign w:val="superscript"/>
              </w:rPr>
              <w:t>a</w:t>
            </w:r>
            <w:proofErr w:type="spellEnd"/>
            <w:r w:rsidRPr="7F77D409">
              <w:t xml:space="preserve"> – gating mutation</w:t>
            </w:r>
          </w:p>
        </w:tc>
        <w:tc>
          <w:tcPr>
            <w:tcW w:w="611" w:type="pct"/>
            <w:tcBorders>
              <w:top w:val="single" w:sz="4" w:space="0" w:color="auto"/>
              <w:left w:val="nil"/>
              <w:bottom w:val="nil"/>
              <w:right w:val="single" w:sz="4" w:space="0" w:color="auto"/>
            </w:tcBorders>
            <w:vAlign w:val="center"/>
          </w:tcPr>
          <w:p w14:paraId="0D9F25C2" w14:textId="15F89A21" w:rsidR="00E41A03" w:rsidRPr="00227199" w:rsidRDefault="000F6865" w:rsidP="00E41A03">
            <w:pPr>
              <w:pStyle w:val="TableText0"/>
              <w:rPr>
                <w:highlight w:val="darkGray"/>
              </w:rPr>
            </w:pPr>
            <w:r w:rsidRPr="000F6865">
              <w:rPr>
                <w:color w:val="000000"/>
                <w:spacing w:val="53"/>
                <w:shd w:val="solid" w:color="000000" w:fill="000000"/>
                <w:fitText w:val="330" w:id="-694419194"/>
                <w14:textFill>
                  <w14:solidFill>
                    <w14:srgbClr w14:val="000000">
                      <w14:alpha w14:val="100000"/>
                    </w14:srgbClr>
                  </w14:solidFill>
                </w14:textFill>
              </w:rPr>
              <w:t>|||</w:t>
            </w:r>
            <w:r w:rsidRPr="000F6865">
              <w:rPr>
                <w:color w:val="000000"/>
                <w:spacing w:val="1"/>
                <w:shd w:val="solid" w:color="000000" w:fill="000000"/>
                <w:fitText w:val="330" w:id="-694419194"/>
                <w14:textFill>
                  <w14:solidFill>
                    <w14:srgbClr w14:val="000000">
                      <w14:alpha w14:val="100000"/>
                    </w14:srgbClr>
                  </w14:solidFill>
                </w14:textFill>
              </w:rPr>
              <w:t>|</w:t>
            </w:r>
            <w:r w:rsidR="00CB5E47" w:rsidRPr="00CB5E47">
              <w:rPr>
                <w:vertAlign w:val="superscript"/>
              </w:rPr>
              <w:t>1</w:t>
            </w:r>
          </w:p>
        </w:tc>
        <w:tc>
          <w:tcPr>
            <w:tcW w:w="611" w:type="pct"/>
            <w:tcBorders>
              <w:top w:val="single" w:sz="4" w:space="0" w:color="auto"/>
              <w:left w:val="single" w:sz="4" w:space="0" w:color="auto"/>
              <w:bottom w:val="nil"/>
              <w:right w:val="single" w:sz="4" w:space="0" w:color="auto"/>
            </w:tcBorders>
            <w:vAlign w:val="center"/>
          </w:tcPr>
          <w:p w14:paraId="2D7847AA" w14:textId="5CB03E34" w:rsidR="00E41A03" w:rsidRPr="00227199" w:rsidRDefault="000F6865" w:rsidP="00E41A03">
            <w:pPr>
              <w:pStyle w:val="TableText0"/>
              <w:rPr>
                <w:highlight w:val="darkGray"/>
              </w:rPr>
            </w:pPr>
            <w:r w:rsidRPr="000F6865">
              <w:rPr>
                <w:color w:val="000000"/>
                <w:spacing w:val="53"/>
                <w:shd w:val="solid" w:color="000000" w:fill="000000"/>
                <w:fitText w:val="330" w:id="-694419193"/>
                <w14:textFill>
                  <w14:solidFill>
                    <w14:srgbClr w14:val="000000">
                      <w14:alpha w14:val="100000"/>
                    </w14:srgbClr>
                  </w14:solidFill>
                </w14:textFill>
              </w:rPr>
              <w:t>|||</w:t>
            </w:r>
            <w:r w:rsidRPr="000F6865">
              <w:rPr>
                <w:color w:val="000000"/>
                <w:spacing w:val="1"/>
                <w:shd w:val="solid" w:color="000000" w:fill="000000"/>
                <w:fitText w:val="330" w:id="-694419193"/>
                <w14:textFill>
                  <w14:solidFill>
                    <w14:srgbClr w14:val="000000">
                      <w14:alpha w14:val="100000"/>
                    </w14:srgbClr>
                  </w14:solidFill>
                </w14:textFill>
              </w:rPr>
              <w:t>|</w:t>
            </w:r>
            <w:r w:rsidR="00CB5E47" w:rsidRPr="00CB5E47">
              <w:rPr>
                <w:vertAlign w:val="superscript"/>
              </w:rPr>
              <w:t>1</w:t>
            </w:r>
          </w:p>
        </w:tc>
        <w:tc>
          <w:tcPr>
            <w:tcW w:w="611" w:type="pct"/>
            <w:tcBorders>
              <w:top w:val="single" w:sz="4" w:space="0" w:color="auto"/>
              <w:left w:val="single" w:sz="4" w:space="0" w:color="auto"/>
              <w:bottom w:val="nil"/>
              <w:right w:val="single" w:sz="4" w:space="0" w:color="auto"/>
            </w:tcBorders>
            <w:vAlign w:val="center"/>
          </w:tcPr>
          <w:p w14:paraId="7A620378" w14:textId="4EAC9B2D" w:rsidR="00E41A03" w:rsidRPr="00227199" w:rsidRDefault="000F6865" w:rsidP="00E41A03">
            <w:pPr>
              <w:pStyle w:val="TableText0"/>
              <w:rPr>
                <w:highlight w:val="darkGray"/>
              </w:rPr>
            </w:pPr>
            <w:r w:rsidRPr="000F6865">
              <w:rPr>
                <w:color w:val="000000"/>
                <w:spacing w:val="53"/>
                <w:shd w:val="solid" w:color="000000" w:fill="000000"/>
                <w:fitText w:val="330" w:id="-694419192"/>
                <w14:textFill>
                  <w14:solidFill>
                    <w14:srgbClr w14:val="000000">
                      <w14:alpha w14:val="100000"/>
                    </w14:srgbClr>
                  </w14:solidFill>
                </w14:textFill>
              </w:rPr>
              <w:t>|||</w:t>
            </w:r>
            <w:r w:rsidRPr="000F6865">
              <w:rPr>
                <w:color w:val="000000"/>
                <w:spacing w:val="1"/>
                <w:shd w:val="solid" w:color="000000" w:fill="000000"/>
                <w:fitText w:val="330" w:id="-694419192"/>
                <w14:textFill>
                  <w14:solidFill>
                    <w14:srgbClr w14:val="000000">
                      <w14:alpha w14:val="100000"/>
                    </w14:srgbClr>
                  </w14:solidFill>
                </w14:textFill>
              </w:rPr>
              <w:t>|</w:t>
            </w:r>
            <w:r w:rsidR="00CB5E47" w:rsidRPr="00CB5E47">
              <w:rPr>
                <w:vertAlign w:val="superscript"/>
              </w:rPr>
              <w:t>1</w:t>
            </w:r>
          </w:p>
        </w:tc>
        <w:tc>
          <w:tcPr>
            <w:tcW w:w="611" w:type="pct"/>
            <w:tcBorders>
              <w:top w:val="single" w:sz="4" w:space="0" w:color="auto"/>
              <w:left w:val="single" w:sz="4" w:space="0" w:color="auto"/>
              <w:bottom w:val="nil"/>
              <w:right w:val="single" w:sz="4" w:space="0" w:color="auto"/>
            </w:tcBorders>
            <w:vAlign w:val="center"/>
          </w:tcPr>
          <w:p w14:paraId="1D2C1413" w14:textId="6EB68E0E" w:rsidR="00E41A03" w:rsidRPr="00227199" w:rsidRDefault="000F6865" w:rsidP="00E41A03">
            <w:pPr>
              <w:pStyle w:val="TableText0"/>
              <w:rPr>
                <w:highlight w:val="darkGray"/>
              </w:rPr>
            </w:pPr>
            <w:r w:rsidRPr="000F6865">
              <w:rPr>
                <w:color w:val="000000"/>
                <w:spacing w:val="53"/>
                <w:shd w:val="solid" w:color="000000" w:fill="000000"/>
                <w:fitText w:val="330" w:id="-694419191"/>
                <w14:textFill>
                  <w14:solidFill>
                    <w14:srgbClr w14:val="000000">
                      <w14:alpha w14:val="100000"/>
                    </w14:srgbClr>
                  </w14:solidFill>
                </w14:textFill>
              </w:rPr>
              <w:t>|||</w:t>
            </w:r>
            <w:r w:rsidRPr="000F6865">
              <w:rPr>
                <w:color w:val="000000"/>
                <w:spacing w:val="1"/>
                <w:shd w:val="solid" w:color="000000" w:fill="000000"/>
                <w:fitText w:val="330" w:id="-694419191"/>
                <w14:textFill>
                  <w14:solidFill>
                    <w14:srgbClr w14:val="000000">
                      <w14:alpha w14:val="100000"/>
                    </w14:srgbClr>
                  </w14:solidFill>
                </w14:textFill>
              </w:rPr>
              <w:t>|</w:t>
            </w:r>
            <w:r w:rsidR="00CB5E47" w:rsidRPr="00CB5E47">
              <w:rPr>
                <w:vertAlign w:val="superscript"/>
              </w:rPr>
              <w:t>1</w:t>
            </w:r>
          </w:p>
        </w:tc>
        <w:tc>
          <w:tcPr>
            <w:tcW w:w="611" w:type="pct"/>
            <w:tcBorders>
              <w:top w:val="single" w:sz="4" w:space="0" w:color="auto"/>
              <w:left w:val="single" w:sz="4" w:space="0" w:color="auto"/>
              <w:bottom w:val="nil"/>
              <w:right w:val="single" w:sz="4" w:space="0" w:color="auto"/>
            </w:tcBorders>
            <w:vAlign w:val="center"/>
          </w:tcPr>
          <w:p w14:paraId="3F0ACB95" w14:textId="65BDE5D2" w:rsidR="00E41A03" w:rsidRPr="00227199" w:rsidRDefault="000F6865" w:rsidP="00E41A03">
            <w:pPr>
              <w:pStyle w:val="TableText0"/>
              <w:rPr>
                <w:highlight w:val="darkGray"/>
              </w:rPr>
            </w:pPr>
            <w:r w:rsidRPr="000F6865">
              <w:rPr>
                <w:color w:val="000000"/>
                <w:spacing w:val="53"/>
                <w:shd w:val="solid" w:color="000000" w:fill="000000"/>
                <w:fitText w:val="330" w:id="-694419190"/>
                <w14:textFill>
                  <w14:solidFill>
                    <w14:srgbClr w14:val="000000">
                      <w14:alpha w14:val="100000"/>
                    </w14:srgbClr>
                  </w14:solidFill>
                </w14:textFill>
              </w:rPr>
              <w:t>|||</w:t>
            </w:r>
            <w:r w:rsidRPr="000F6865">
              <w:rPr>
                <w:color w:val="000000"/>
                <w:spacing w:val="1"/>
                <w:shd w:val="solid" w:color="000000" w:fill="000000"/>
                <w:fitText w:val="330" w:id="-694419190"/>
                <w14:textFill>
                  <w14:solidFill>
                    <w14:srgbClr w14:val="000000">
                      <w14:alpha w14:val="100000"/>
                    </w14:srgbClr>
                  </w14:solidFill>
                </w14:textFill>
              </w:rPr>
              <w:t>|</w:t>
            </w:r>
            <w:r w:rsidR="00CB5E47" w:rsidRPr="00CB5E47">
              <w:rPr>
                <w:vertAlign w:val="superscript"/>
              </w:rPr>
              <w:t>1</w:t>
            </w:r>
          </w:p>
        </w:tc>
        <w:tc>
          <w:tcPr>
            <w:tcW w:w="611" w:type="pct"/>
            <w:tcBorders>
              <w:top w:val="single" w:sz="4" w:space="0" w:color="auto"/>
              <w:left w:val="single" w:sz="4" w:space="0" w:color="auto"/>
              <w:bottom w:val="nil"/>
              <w:right w:val="single" w:sz="4" w:space="0" w:color="auto"/>
            </w:tcBorders>
            <w:vAlign w:val="center"/>
          </w:tcPr>
          <w:p w14:paraId="1C30F331" w14:textId="23BCCDA1" w:rsidR="00E41A03" w:rsidRPr="00227199" w:rsidRDefault="000F6865" w:rsidP="00E41A03">
            <w:pPr>
              <w:pStyle w:val="TableText0"/>
              <w:rPr>
                <w:highlight w:val="darkGray"/>
              </w:rPr>
            </w:pPr>
            <w:r w:rsidRPr="000F6865">
              <w:rPr>
                <w:color w:val="000000"/>
                <w:spacing w:val="53"/>
                <w:shd w:val="solid" w:color="000000" w:fill="000000"/>
                <w:fitText w:val="330" w:id="-694419189"/>
                <w14:textFill>
                  <w14:solidFill>
                    <w14:srgbClr w14:val="000000">
                      <w14:alpha w14:val="100000"/>
                    </w14:srgbClr>
                  </w14:solidFill>
                </w14:textFill>
              </w:rPr>
              <w:t>|||</w:t>
            </w:r>
            <w:r w:rsidRPr="000F6865">
              <w:rPr>
                <w:color w:val="000000"/>
                <w:spacing w:val="1"/>
                <w:shd w:val="solid" w:color="000000" w:fill="000000"/>
                <w:fitText w:val="330" w:id="-694419189"/>
                <w14:textFill>
                  <w14:solidFill>
                    <w14:srgbClr w14:val="000000">
                      <w14:alpha w14:val="100000"/>
                    </w14:srgbClr>
                  </w14:solidFill>
                </w14:textFill>
              </w:rPr>
              <w:t>|</w:t>
            </w:r>
            <w:r w:rsidR="00CB5E47" w:rsidRPr="00CB5E47">
              <w:rPr>
                <w:vertAlign w:val="superscript"/>
              </w:rPr>
              <w:t>1</w:t>
            </w:r>
          </w:p>
        </w:tc>
      </w:tr>
      <w:tr w:rsidR="00E41A03" w:rsidRPr="0098262F" w14:paraId="74F9E60F" w14:textId="77777777" w:rsidTr="7F77D409">
        <w:tc>
          <w:tcPr>
            <w:tcW w:w="1334" w:type="pct"/>
            <w:vAlign w:val="center"/>
          </w:tcPr>
          <w:p w14:paraId="6C2B37DC" w14:textId="079A536C" w:rsidR="00E41A03" w:rsidRPr="0098262F" w:rsidRDefault="00E41A03" w:rsidP="00E41A03">
            <w:pPr>
              <w:pStyle w:val="TableText0"/>
            </w:pPr>
            <w:r w:rsidRPr="7F77D409">
              <w:t xml:space="preserve">Number of scripts </w:t>
            </w:r>
            <w:proofErr w:type="spellStart"/>
            <w:r w:rsidRPr="7F77D409">
              <w:t>dispensed</w:t>
            </w:r>
            <w:r w:rsidRPr="7F77D409">
              <w:rPr>
                <w:vertAlign w:val="superscript"/>
              </w:rPr>
              <w:t>a</w:t>
            </w:r>
            <w:proofErr w:type="spellEnd"/>
            <w:r w:rsidRPr="7F77D409">
              <w:t xml:space="preserve"> – non- gating mutation</w:t>
            </w:r>
          </w:p>
        </w:tc>
        <w:tc>
          <w:tcPr>
            <w:tcW w:w="611" w:type="pct"/>
            <w:vAlign w:val="center"/>
          </w:tcPr>
          <w:p w14:paraId="510AE20A" w14:textId="4C2FCA17" w:rsidR="00E41A03" w:rsidRPr="00227199" w:rsidRDefault="000F6865" w:rsidP="00E41A03">
            <w:pPr>
              <w:pStyle w:val="TableText0"/>
              <w:rPr>
                <w:highlight w:val="darkGray"/>
              </w:rPr>
            </w:pPr>
            <w:r w:rsidRPr="000F6865">
              <w:rPr>
                <w:color w:val="000000"/>
                <w:spacing w:val="53"/>
                <w:shd w:val="solid" w:color="000000" w:fill="000000"/>
                <w:fitText w:val="330" w:id="-694419188"/>
                <w14:textFill>
                  <w14:solidFill>
                    <w14:srgbClr w14:val="000000">
                      <w14:alpha w14:val="100000"/>
                    </w14:srgbClr>
                  </w14:solidFill>
                </w14:textFill>
              </w:rPr>
              <w:t>|||</w:t>
            </w:r>
            <w:r w:rsidRPr="000F6865">
              <w:rPr>
                <w:color w:val="000000"/>
                <w:spacing w:val="1"/>
                <w:shd w:val="solid" w:color="000000" w:fill="000000"/>
                <w:fitText w:val="330" w:id="-694419188"/>
                <w14:textFill>
                  <w14:solidFill>
                    <w14:srgbClr w14:val="000000">
                      <w14:alpha w14:val="100000"/>
                    </w14:srgbClr>
                  </w14:solidFill>
                </w14:textFill>
              </w:rPr>
              <w:t>|</w:t>
            </w:r>
            <w:r w:rsidR="00CB5E47" w:rsidRPr="00CB5E47">
              <w:rPr>
                <w:vertAlign w:val="superscript"/>
              </w:rPr>
              <w:t>1</w:t>
            </w:r>
          </w:p>
        </w:tc>
        <w:tc>
          <w:tcPr>
            <w:tcW w:w="611" w:type="pct"/>
            <w:vAlign w:val="center"/>
          </w:tcPr>
          <w:p w14:paraId="298E81DC" w14:textId="3EECCDC0" w:rsidR="00E41A03" w:rsidRPr="00227199" w:rsidRDefault="000F6865" w:rsidP="00E41A03">
            <w:pPr>
              <w:pStyle w:val="TableText0"/>
              <w:rPr>
                <w:highlight w:val="darkGray"/>
              </w:rPr>
            </w:pPr>
            <w:r w:rsidRPr="000F6865">
              <w:rPr>
                <w:color w:val="000000"/>
                <w:spacing w:val="53"/>
                <w:shd w:val="solid" w:color="000000" w:fill="000000"/>
                <w:fitText w:val="330" w:id="-694419187"/>
                <w14:textFill>
                  <w14:solidFill>
                    <w14:srgbClr w14:val="000000">
                      <w14:alpha w14:val="100000"/>
                    </w14:srgbClr>
                  </w14:solidFill>
                </w14:textFill>
              </w:rPr>
              <w:t>|||</w:t>
            </w:r>
            <w:r w:rsidRPr="000F6865">
              <w:rPr>
                <w:color w:val="000000"/>
                <w:spacing w:val="1"/>
                <w:shd w:val="solid" w:color="000000" w:fill="000000"/>
                <w:fitText w:val="330" w:id="-694419187"/>
                <w14:textFill>
                  <w14:solidFill>
                    <w14:srgbClr w14:val="000000">
                      <w14:alpha w14:val="100000"/>
                    </w14:srgbClr>
                  </w14:solidFill>
                </w14:textFill>
              </w:rPr>
              <w:t>|</w:t>
            </w:r>
            <w:r w:rsidR="00CB5E47" w:rsidRPr="00CB5E47">
              <w:rPr>
                <w:vertAlign w:val="superscript"/>
              </w:rPr>
              <w:t>1</w:t>
            </w:r>
          </w:p>
        </w:tc>
        <w:tc>
          <w:tcPr>
            <w:tcW w:w="611" w:type="pct"/>
            <w:vAlign w:val="center"/>
          </w:tcPr>
          <w:p w14:paraId="5B18A1CC" w14:textId="4C708B7A" w:rsidR="00E41A03" w:rsidRPr="00227199" w:rsidRDefault="000F6865" w:rsidP="00E41A03">
            <w:pPr>
              <w:pStyle w:val="TableText0"/>
              <w:rPr>
                <w:highlight w:val="darkGray"/>
              </w:rPr>
            </w:pPr>
            <w:r w:rsidRPr="000F6865">
              <w:rPr>
                <w:color w:val="000000"/>
                <w:spacing w:val="53"/>
                <w:shd w:val="solid" w:color="000000" w:fill="000000"/>
                <w:fitText w:val="330" w:id="-694419186"/>
                <w14:textFill>
                  <w14:solidFill>
                    <w14:srgbClr w14:val="000000">
                      <w14:alpha w14:val="100000"/>
                    </w14:srgbClr>
                  </w14:solidFill>
                </w14:textFill>
              </w:rPr>
              <w:t>|||</w:t>
            </w:r>
            <w:r w:rsidRPr="000F6865">
              <w:rPr>
                <w:color w:val="000000"/>
                <w:spacing w:val="1"/>
                <w:shd w:val="solid" w:color="000000" w:fill="000000"/>
                <w:fitText w:val="330" w:id="-694419186"/>
                <w14:textFill>
                  <w14:solidFill>
                    <w14:srgbClr w14:val="000000">
                      <w14:alpha w14:val="100000"/>
                    </w14:srgbClr>
                  </w14:solidFill>
                </w14:textFill>
              </w:rPr>
              <w:t>|</w:t>
            </w:r>
            <w:r w:rsidR="00CB5E47" w:rsidRPr="00CB5E47">
              <w:rPr>
                <w:vertAlign w:val="superscript"/>
              </w:rPr>
              <w:t>1</w:t>
            </w:r>
          </w:p>
        </w:tc>
        <w:tc>
          <w:tcPr>
            <w:tcW w:w="611" w:type="pct"/>
            <w:vAlign w:val="center"/>
          </w:tcPr>
          <w:p w14:paraId="5B03F6E2" w14:textId="4155C450" w:rsidR="00E41A03" w:rsidRPr="00227199" w:rsidRDefault="000F6865" w:rsidP="00E41A03">
            <w:pPr>
              <w:pStyle w:val="TableText0"/>
              <w:rPr>
                <w:highlight w:val="darkGray"/>
              </w:rPr>
            </w:pPr>
            <w:r w:rsidRPr="000F6865">
              <w:rPr>
                <w:color w:val="000000"/>
                <w:spacing w:val="53"/>
                <w:shd w:val="solid" w:color="000000" w:fill="000000"/>
                <w:fitText w:val="330" w:id="-694419185"/>
                <w14:textFill>
                  <w14:solidFill>
                    <w14:srgbClr w14:val="000000">
                      <w14:alpha w14:val="100000"/>
                    </w14:srgbClr>
                  </w14:solidFill>
                </w14:textFill>
              </w:rPr>
              <w:t>|||</w:t>
            </w:r>
            <w:r w:rsidRPr="000F6865">
              <w:rPr>
                <w:color w:val="000000"/>
                <w:spacing w:val="1"/>
                <w:shd w:val="solid" w:color="000000" w:fill="000000"/>
                <w:fitText w:val="330" w:id="-694419185"/>
                <w14:textFill>
                  <w14:solidFill>
                    <w14:srgbClr w14:val="000000">
                      <w14:alpha w14:val="100000"/>
                    </w14:srgbClr>
                  </w14:solidFill>
                </w14:textFill>
              </w:rPr>
              <w:t>|</w:t>
            </w:r>
            <w:r w:rsidR="00CB5E47" w:rsidRPr="00CB5E47">
              <w:rPr>
                <w:vertAlign w:val="superscript"/>
              </w:rPr>
              <w:t>1</w:t>
            </w:r>
          </w:p>
        </w:tc>
        <w:tc>
          <w:tcPr>
            <w:tcW w:w="611" w:type="pct"/>
            <w:vAlign w:val="center"/>
          </w:tcPr>
          <w:p w14:paraId="42232BE5" w14:textId="675A9B19" w:rsidR="00E41A03" w:rsidRPr="00227199" w:rsidRDefault="000F6865" w:rsidP="00E41A03">
            <w:pPr>
              <w:pStyle w:val="TableText0"/>
              <w:rPr>
                <w:highlight w:val="darkGray"/>
              </w:rPr>
            </w:pPr>
            <w:r w:rsidRPr="000F6865">
              <w:rPr>
                <w:color w:val="000000"/>
                <w:spacing w:val="53"/>
                <w:shd w:val="solid" w:color="000000" w:fill="000000"/>
                <w:fitText w:val="330" w:id="-694419184"/>
                <w14:textFill>
                  <w14:solidFill>
                    <w14:srgbClr w14:val="000000">
                      <w14:alpha w14:val="100000"/>
                    </w14:srgbClr>
                  </w14:solidFill>
                </w14:textFill>
              </w:rPr>
              <w:t>|||</w:t>
            </w:r>
            <w:r w:rsidRPr="000F6865">
              <w:rPr>
                <w:color w:val="000000"/>
                <w:spacing w:val="1"/>
                <w:shd w:val="solid" w:color="000000" w:fill="000000"/>
                <w:fitText w:val="330" w:id="-694419184"/>
                <w14:textFill>
                  <w14:solidFill>
                    <w14:srgbClr w14:val="000000">
                      <w14:alpha w14:val="100000"/>
                    </w14:srgbClr>
                  </w14:solidFill>
                </w14:textFill>
              </w:rPr>
              <w:t>|</w:t>
            </w:r>
            <w:r w:rsidR="00CB5E47" w:rsidRPr="00CB5E47">
              <w:rPr>
                <w:vertAlign w:val="superscript"/>
              </w:rPr>
              <w:t>1</w:t>
            </w:r>
          </w:p>
        </w:tc>
        <w:tc>
          <w:tcPr>
            <w:tcW w:w="611" w:type="pct"/>
            <w:vAlign w:val="center"/>
          </w:tcPr>
          <w:p w14:paraId="5A57CA54" w14:textId="4E9C6D91" w:rsidR="00E41A03" w:rsidRPr="00227199" w:rsidRDefault="000F6865" w:rsidP="00E41A03">
            <w:pPr>
              <w:pStyle w:val="TableText0"/>
              <w:rPr>
                <w:highlight w:val="darkGray"/>
              </w:rPr>
            </w:pPr>
            <w:r w:rsidRPr="000F6865">
              <w:rPr>
                <w:color w:val="000000"/>
                <w:spacing w:val="53"/>
                <w:shd w:val="solid" w:color="000000" w:fill="000000"/>
                <w:fitText w:val="330" w:id="-694419200"/>
                <w14:textFill>
                  <w14:solidFill>
                    <w14:srgbClr w14:val="000000">
                      <w14:alpha w14:val="100000"/>
                    </w14:srgbClr>
                  </w14:solidFill>
                </w14:textFill>
              </w:rPr>
              <w:t>|||</w:t>
            </w:r>
            <w:r w:rsidRPr="000F6865">
              <w:rPr>
                <w:color w:val="000000"/>
                <w:spacing w:val="1"/>
                <w:shd w:val="solid" w:color="000000" w:fill="000000"/>
                <w:fitText w:val="330" w:id="-694419200"/>
                <w14:textFill>
                  <w14:solidFill>
                    <w14:srgbClr w14:val="000000">
                      <w14:alpha w14:val="100000"/>
                    </w14:srgbClr>
                  </w14:solidFill>
                </w14:textFill>
              </w:rPr>
              <w:t>|</w:t>
            </w:r>
            <w:r w:rsidR="00CB5E47" w:rsidRPr="00CB5E47">
              <w:rPr>
                <w:vertAlign w:val="superscript"/>
              </w:rPr>
              <w:t>1</w:t>
            </w:r>
          </w:p>
        </w:tc>
      </w:tr>
      <w:tr w:rsidR="00E41A03" w:rsidRPr="0098262F" w14:paraId="4FA07BD8" w14:textId="2A35A21C" w:rsidTr="7F77D409">
        <w:tc>
          <w:tcPr>
            <w:tcW w:w="5000" w:type="pct"/>
            <w:gridSpan w:val="7"/>
            <w:vAlign w:val="center"/>
          </w:tcPr>
          <w:p w14:paraId="1A627EA0" w14:textId="0140B392" w:rsidR="00E41A03" w:rsidRPr="0098262F" w:rsidRDefault="00E41A03" w:rsidP="00E41A03">
            <w:pPr>
              <w:pStyle w:val="In-tableHeading"/>
              <w:rPr>
                <w:lang w:val="en-AU"/>
              </w:rPr>
            </w:pPr>
            <w:r w:rsidRPr="0098262F">
              <w:rPr>
                <w:lang w:val="en-AU"/>
              </w:rPr>
              <w:t>Net financial implications</w:t>
            </w:r>
            <w:r w:rsidRPr="0098262F">
              <w:rPr>
                <w:color w:val="4BACC6" w:themeColor="accent5"/>
                <w:lang w:val="en-AU"/>
              </w:rPr>
              <w:t xml:space="preserve"> </w:t>
            </w:r>
          </w:p>
        </w:tc>
      </w:tr>
      <w:tr w:rsidR="00E41A03" w:rsidRPr="0098262F" w14:paraId="3F33D4C6" w14:textId="12F049D0" w:rsidTr="0084275A">
        <w:tc>
          <w:tcPr>
            <w:tcW w:w="1334" w:type="pct"/>
            <w:vAlign w:val="center"/>
          </w:tcPr>
          <w:p w14:paraId="5ABBDE64" w14:textId="6698DD3E" w:rsidR="00E41A03" w:rsidRPr="0098262F" w:rsidRDefault="00E41A03" w:rsidP="00E41A03">
            <w:pPr>
              <w:pStyle w:val="TableText0"/>
            </w:pPr>
            <w:r w:rsidRPr="0098262F">
              <w:t>Net cost to PBS/RPBS</w:t>
            </w:r>
          </w:p>
        </w:tc>
        <w:tc>
          <w:tcPr>
            <w:tcW w:w="611" w:type="pct"/>
            <w:tcBorders>
              <w:top w:val="single" w:sz="4" w:space="0" w:color="auto"/>
              <w:left w:val="single" w:sz="4" w:space="0" w:color="auto"/>
              <w:bottom w:val="single" w:sz="4" w:space="0" w:color="auto"/>
              <w:right w:val="single" w:sz="4" w:space="0" w:color="auto"/>
            </w:tcBorders>
            <w:vAlign w:val="center"/>
          </w:tcPr>
          <w:p w14:paraId="744F82C2" w14:textId="681485B5" w:rsidR="00E41A03" w:rsidRPr="00227199" w:rsidRDefault="000F6865" w:rsidP="00E41A03">
            <w:pPr>
              <w:pStyle w:val="TableText0"/>
              <w:rPr>
                <w:highlight w:val="darkGray"/>
              </w:rPr>
            </w:pPr>
            <w:r w:rsidRPr="000F6865">
              <w:rPr>
                <w:rFonts w:cs="Arial"/>
                <w:color w:val="000000"/>
                <w:spacing w:val="53"/>
                <w:szCs w:val="20"/>
                <w:shd w:val="solid" w:color="000000" w:fill="000000"/>
                <w:fitText w:val="330" w:id="-694419199"/>
                <w14:textFill>
                  <w14:solidFill>
                    <w14:srgbClr w14:val="000000">
                      <w14:alpha w14:val="100000"/>
                    </w14:srgbClr>
                  </w14:solidFill>
                </w14:textFill>
              </w:rPr>
              <w:t>|||</w:t>
            </w:r>
            <w:r w:rsidRPr="000F6865">
              <w:rPr>
                <w:rFonts w:cs="Arial"/>
                <w:color w:val="000000"/>
                <w:spacing w:val="1"/>
                <w:szCs w:val="20"/>
                <w:shd w:val="solid" w:color="000000" w:fill="000000"/>
                <w:fitText w:val="330" w:id="-694419199"/>
                <w14:textFill>
                  <w14:solidFill>
                    <w14:srgbClr w14:val="000000">
                      <w14:alpha w14:val="100000"/>
                    </w14:srgbClr>
                  </w14:solidFill>
                </w14:textFill>
              </w:rPr>
              <w:t>|</w:t>
            </w:r>
            <w:r w:rsidR="00CB5E47" w:rsidRPr="00CB5E47">
              <w:rPr>
                <w:rFonts w:cs="Arial"/>
                <w:color w:val="000000"/>
                <w:szCs w:val="20"/>
                <w:vertAlign w:val="superscript"/>
              </w:rPr>
              <w:t>2</w:t>
            </w:r>
          </w:p>
        </w:tc>
        <w:tc>
          <w:tcPr>
            <w:tcW w:w="611" w:type="pct"/>
            <w:tcBorders>
              <w:top w:val="single" w:sz="4" w:space="0" w:color="auto"/>
              <w:left w:val="nil"/>
              <w:bottom w:val="single" w:sz="4" w:space="0" w:color="auto"/>
              <w:right w:val="single" w:sz="4" w:space="0" w:color="auto"/>
            </w:tcBorders>
            <w:vAlign w:val="center"/>
          </w:tcPr>
          <w:p w14:paraId="295843EA" w14:textId="222B4775" w:rsidR="00E41A03" w:rsidRPr="00227199" w:rsidRDefault="000F6865" w:rsidP="00E41A03">
            <w:pPr>
              <w:pStyle w:val="TableText0"/>
              <w:rPr>
                <w:highlight w:val="darkGray"/>
              </w:rPr>
            </w:pPr>
            <w:r w:rsidRPr="000F6865">
              <w:rPr>
                <w:rFonts w:cs="Arial"/>
                <w:color w:val="000000"/>
                <w:spacing w:val="53"/>
                <w:szCs w:val="20"/>
                <w:shd w:val="solid" w:color="000000" w:fill="000000"/>
                <w:fitText w:val="330" w:id="-694419198"/>
                <w14:textFill>
                  <w14:solidFill>
                    <w14:srgbClr w14:val="000000">
                      <w14:alpha w14:val="100000"/>
                    </w14:srgbClr>
                  </w14:solidFill>
                </w14:textFill>
              </w:rPr>
              <w:t>|||</w:t>
            </w:r>
            <w:r w:rsidRPr="000F6865">
              <w:rPr>
                <w:rFonts w:cs="Arial"/>
                <w:color w:val="000000"/>
                <w:spacing w:val="1"/>
                <w:szCs w:val="20"/>
                <w:shd w:val="solid" w:color="000000" w:fill="000000"/>
                <w:fitText w:val="330" w:id="-694419198"/>
                <w14:textFill>
                  <w14:solidFill>
                    <w14:srgbClr w14:val="000000">
                      <w14:alpha w14:val="100000"/>
                    </w14:srgbClr>
                  </w14:solidFill>
                </w14:textFill>
              </w:rPr>
              <w:t>|</w:t>
            </w:r>
            <w:r w:rsidR="00CB5E47" w:rsidRPr="00CB5E47">
              <w:rPr>
                <w:rFonts w:cs="Arial"/>
                <w:color w:val="000000"/>
                <w:szCs w:val="20"/>
                <w:vertAlign w:val="superscript"/>
              </w:rPr>
              <w:t>2</w:t>
            </w:r>
          </w:p>
        </w:tc>
        <w:tc>
          <w:tcPr>
            <w:tcW w:w="611" w:type="pct"/>
            <w:tcBorders>
              <w:top w:val="single" w:sz="4" w:space="0" w:color="auto"/>
              <w:left w:val="nil"/>
              <w:bottom w:val="single" w:sz="4" w:space="0" w:color="auto"/>
              <w:right w:val="single" w:sz="4" w:space="0" w:color="auto"/>
            </w:tcBorders>
            <w:vAlign w:val="center"/>
          </w:tcPr>
          <w:p w14:paraId="3A32302A" w14:textId="7F94FECE" w:rsidR="00E41A03" w:rsidRPr="00227199" w:rsidRDefault="000F6865" w:rsidP="00E41A03">
            <w:pPr>
              <w:pStyle w:val="TableText0"/>
              <w:rPr>
                <w:highlight w:val="darkGray"/>
              </w:rPr>
            </w:pPr>
            <w:r w:rsidRPr="000F6865">
              <w:rPr>
                <w:rFonts w:cs="Arial"/>
                <w:color w:val="000000"/>
                <w:spacing w:val="53"/>
                <w:szCs w:val="20"/>
                <w:shd w:val="solid" w:color="000000" w:fill="000000"/>
                <w:fitText w:val="330" w:id="-694419197"/>
                <w14:textFill>
                  <w14:solidFill>
                    <w14:srgbClr w14:val="000000">
                      <w14:alpha w14:val="100000"/>
                    </w14:srgbClr>
                  </w14:solidFill>
                </w14:textFill>
              </w:rPr>
              <w:t>|||</w:t>
            </w:r>
            <w:r w:rsidRPr="000F6865">
              <w:rPr>
                <w:rFonts w:cs="Arial"/>
                <w:color w:val="000000"/>
                <w:spacing w:val="1"/>
                <w:szCs w:val="20"/>
                <w:shd w:val="solid" w:color="000000" w:fill="000000"/>
                <w:fitText w:val="330" w:id="-694419197"/>
                <w14:textFill>
                  <w14:solidFill>
                    <w14:srgbClr w14:val="000000">
                      <w14:alpha w14:val="100000"/>
                    </w14:srgbClr>
                  </w14:solidFill>
                </w14:textFill>
              </w:rPr>
              <w:t>|</w:t>
            </w:r>
            <w:r w:rsidR="00CB5E47" w:rsidRPr="00CB5E47">
              <w:rPr>
                <w:rFonts w:cs="Arial"/>
                <w:color w:val="000000"/>
                <w:szCs w:val="20"/>
                <w:vertAlign w:val="superscript"/>
              </w:rPr>
              <w:t>2</w:t>
            </w:r>
          </w:p>
        </w:tc>
        <w:tc>
          <w:tcPr>
            <w:tcW w:w="611" w:type="pct"/>
            <w:tcBorders>
              <w:top w:val="single" w:sz="4" w:space="0" w:color="auto"/>
              <w:left w:val="nil"/>
              <w:bottom w:val="single" w:sz="4" w:space="0" w:color="auto"/>
              <w:right w:val="single" w:sz="4" w:space="0" w:color="auto"/>
            </w:tcBorders>
            <w:vAlign w:val="center"/>
          </w:tcPr>
          <w:p w14:paraId="326E9207" w14:textId="26A6C582" w:rsidR="00E41A03" w:rsidRPr="00227199" w:rsidRDefault="000F6865" w:rsidP="00E41A03">
            <w:pPr>
              <w:pStyle w:val="TableText0"/>
              <w:rPr>
                <w:highlight w:val="darkGray"/>
              </w:rPr>
            </w:pPr>
            <w:r w:rsidRPr="000F6865">
              <w:rPr>
                <w:rFonts w:cs="Arial"/>
                <w:color w:val="000000"/>
                <w:spacing w:val="53"/>
                <w:szCs w:val="20"/>
                <w:shd w:val="solid" w:color="000000" w:fill="000000"/>
                <w:fitText w:val="330" w:id="-694419196"/>
                <w14:textFill>
                  <w14:solidFill>
                    <w14:srgbClr w14:val="000000">
                      <w14:alpha w14:val="100000"/>
                    </w14:srgbClr>
                  </w14:solidFill>
                </w14:textFill>
              </w:rPr>
              <w:t>|||</w:t>
            </w:r>
            <w:r w:rsidRPr="000F6865">
              <w:rPr>
                <w:rFonts w:cs="Arial"/>
                <w:color w:val="000000"/>
                <w:spacing w:val="1"/>
                <w:szCs w:val="20"/>
                <w:shd w:val="solid" w:color="000000" w:fill="000000"/>
                <w:fitText w:val="330" w:id="-694419196"/>
                <w14:textFill>
                  <w14:solidFill>
                    <w14:srgbClr w14:val="000000">
                      <w14:alpha w14:val="100000"/>
                    </w14:srgbClr>
                  </w14:solidFill>
                </w14:textFill>
              </w:rPr>
              <w:t>|</w:t>
            </w:r>
            <w:r w:rsidR="00CB5E47" w:rsidRPr="00CB5E47">
              <w:rPr>
                <w:rFonts w:cs="Arial"/>
                <w:color w:val="000000"/>
                <w:szCs w:val="20"/>
                <w:vertAlign w:val="superscript"/>
              </w:rPr>
              <w:t>2</w:t>
            </w:r>
          </w:p>
        </w:tc>
        <w:tc>
          <w:tcPr>
            <w:tcW w:w="611" w:type="pct"/>
            <w:tcBorders>
              <w:top w:val="single" w:sz="4" w:space="0" w:color="auto"/>
              <w:left w:val="nil"/>
              <w:bottom w:val="single" w:sz="4" w:space="0" w:color="auto"/>
              <w:right w:val="single" w:sz="4" w:space="0" w:color="auto"/>
            </w:tcBorders>
            <w:vAlign w:val="center"/>
          </w:tcPr>
          <w:p w14:paraId="56E4D70E" w14:textId="59858361" w:rsidR="00E41A03" w:rsidRPr="00227199" w:rsidRDefault="000F6865" w:rsidP="00E41A03">
            <w:pPr>
              <w:pStyle w:val="TableText0"/>
              <w:rPr>
                <w:highlight w:val="darkGray"/>
              </w:rPr>
            </w:pPr>
            <w:r w:rsidRPr="000F6865">
              <w:rPr>
                <w:rFonts w:cs="Arial"/>
                <w:color w:val="000000"/>
                <w:spacing w:val="53"/>
                <w:szCs w:val="20"/>
                <w:shd w:val="solid" w:color="000000" w:fill="000000"/>
                <w:fitText w:val="330" w:id="-694419195"/>
                <w14:textFill>
                  <w14:solidFill>
                    <w14:srgbClr w14:val="000000">
                      <w14:alpha w14:val="100000"/>
                    </w14:srgbClr>
                  </w14:solidFill>
                </w14:textFill>
              </w:rPr>
              <w:t>|||</w:t>
            </w:r>
            <w:r w:rsidRPr="000F6865">
              <w:rPr>
                <w:rFonts w:cs="Arial"/>
                <w:color w:val="000000"/>
                <w:spacing w:val="1"/>
                <w:szCs w:val="20"/>
                <w:shd w:val="solid" w:color="000000" w:fill="000000"/>
                <w:fitText w:val="330" w:id="-694419195"/>
                <w14:textFill>
                  <w14:solidFill>
                    <w14:srgbClr w14:val="000000">
                      <w14:alpha w14:val="100000"/>
                    </w14:srgbClr>
                  </w14:solidFill>
                </w14:textFill>
              </w:rPr>
              <w:t>|</w:t>
            </w:r>
            <w:r w:rsidR="00CB5E47" w:rsidRPr="00CB5E47">
              <w:rPr>
                <w:rFonts w:cs="Arial"/>
                <w:color w:val="000000"/>
                <w:szCs w:val="20"/>
                <w:vertAlign w:val="superscript"/>
              </w:rPr>
              <w:t>2</w:t>
            </w:r>
          </w:p>
        </w:tc>
        <w:tc>
          <w:tcPr>
            <w:tcW w:w="611" w:type="pct"/>
            <w:tcBorders>
              <w:top w:val="single" w:sz="4" w:space="0" w:color="auto"/>
              <w:left w:val="nil"/>
              <w:bottom w:val="single" w:sz="4" w:space="0" w:color="auto"/>
              <w:right w:val="single" w:sz="4" w:space="0" w:color="auto"/>
            </w:tcBorders>
            <w:vAlign w:val="center"/>
          </w:tcPr>
          <w:p w14:paraId="241B1CFD" w14:textId="20661F56" w:rsidR="00E41A03" w:rsidRPr="00227199" w:rsidRDefault="000F6865" w:rsidP="00E41A03">
            <w:pPr>
              <w:pStyle w:val="TableText0"/>
              <w:rPr>
                <w:highlight w:val="darkGray"/>
              </w:rPr>
            </w:pPr>
            <w:r w:rsidRPr="000F6865">
              <w:rPr>
                <w:rFonts w:cs="Arial"/>
                <w:color w:val="000000"/>
                <w:spacing w:val="53"/>
                <w:szCs w:val="20"/>
                <w:shd w:val="solid" w:color="000000" w:fill="000000"/>
                <w:fitText w:val="330" w:id="-694419194"/>
                <w14:textFill>
                  <w14:solidFill>
                    <w14:srgbClr w14:val="000000">
                      <w14:alpha w14:val="100000"/>
                    </w14:srgbClr>
                  </w14:solidFill>
                </w14:textFill>
              </w:rPr>
              <w:t>|||</w:t>
            </w:r>
            <w:r w:rsidRPr="000F6865">
              <w:rPr>
                <w:rFonts w:cs="Arial"/>
                <w:color w:val="000000"/>
                <w:spacing w:val="1"/>
                <w:szCs w:val="20"/>
                <w:shd w:val="solid" w:color="000000" w:fill="000000"/>
                <w:fitText w:val="330" w:id="-694419194"/>
                <w14:textFill>
                  <w14:solidFill>
                    <w14:srgbClr w14:val="000000">
                      <w14:alpha w14:val="100000"/>
                    </w14:srgbClr>
                  </w14:solidFill>
                </w14:textFill>
              </w:rPr>
              <w:t>|</w:t>
            </w:r>
            <w:r w:rsidR="00CB5E47" w:rsidRPr="00CB5E47">
              <w:rPr>
                <w:rFonts w:cs="Arial"/>
                <w:color w:val="000000"/>
                <w:szCs w:val="20"/>
                <w:vertAlign w:val="superscript"/>
              </w:rPr>
              <w:t>2</w:t>
            </w:r>
          </w:p>
        </w:tc>
      </w:tr>
      <w:tr w:rsidR="00E41A03" w:rsidRPr="0098262F" w14:paraId="571B64F4" w14:textId="132AC086" w:rsidTr="008655EB">
        <w:tc>
          <w:tcPr>
            <w:tcW w:w="1334" w:type="pct"/>
            <w:vAlign w:val="center"/>
          </w:tcPr>
          <w:p w14:paraId="427698FB" w14:textId="6AF46F35" w:rsidR="00E41A03" w:rsidRPr="0098262F" w:rsidRDefault="00E41A03" w:rsidP="00E41A03">
            <w:pPr>
              <w:pStyle w:val="TableText0"/>
              <w:rPr>
                <w:rFonts w:ascii="Times" w:hAnsi="Times"/>
              </w:rPr>
            </w:pPr>
            <w:r w:rsidRPr="0098262F">
              <w:t>Net cost to MBS</w:t>
            </w:r>
            <w:r>
              <w:t xml:space="preserve"> </w:t>
            </w:r>
          </w:p>
        </w:tc>
        <w:tc>
          <w:tcPr>
            <w:tcW w:w="611" w:type="pct"/>
            <w:tcBorders>
              <w:top w:val="single" w:sz="4" w:space="0" w:color="auto"/>
              <w:left w:val="single" w:sz="4" w:space="0" w:color="auto"/>
              <w:bottom w:val="single" w:sz="4" w:space="0" w:color="auto"/>
              <w:right w:val="single" w:sz="4" w:space="0" w:color="auto"/>
            </w:tcBorders>
            <w:vAlign w:val="center"/>
          </w:tcPr>
          <w:p w14:paraId="5AD7A1FC" w14:textId="4B91D8C8" w:rsidR="00E41A03" w:rsidRPr="00227199" w:rsidRDefault="000F6865" w:rsidP="00E41A03">
            <w:pPr>
              <w:pStyle w:val="TableText0"/>
              <w:rPr>
                <w:rFonts w:cs="Arial"/>
                <w:color w:val="000000"/>
                <w:szCs w:val="20"/>
                <w:highlight w:val="darkGray"/>
              </w:rPr>
            </w:pPr>
            <w:r w:rsidRPr="000F6865">
              <w:rPr>
                <w:rFonts w:cs="Arial"/>
                <w:color w:val="000000"/>
                <w:spacing w:val="53"/>
                <w:szCs w:val="20"/>
                <w:shd w:val="solid" w:color="000000" w:fill="000000"/>
                <w:fitText w:val="330" w:id="-694419193"/>
                <w14:textFill>
                  <w14:solidFill>
                    <w14:srgbClr w14:val="000000">
                      <w14:alpha w14:val="100000"/>
                    </w14:srgbClr>
                  </w14:solidFill>
                </w14:textFill>
              </w:rPr>
              <w:t>|||</w:t>
            </w:r>
            <w:r w:rsidRPr="000F6865">
              <w:rPr>
                <w:rFonts w:cs="Arial"/>
                <w:color w:val="000000"/>
                <w:spacing w:val="1"/>
                <w:szCs w:val="20"/>
                <w:shd w:val="solid" w:color="000000" w:fill="000000"/>
                <w:fitText w:val="330" w:id="-694419193"/>
                <w14:textFill>
                  <w14:solidFill>
                    <w14:srgbClr w14:val="000000">
                      <w14:alpha w14:val="100000"/>
                    </w14:srgbClr>
                  </w14:solidFill>
                </w14:textFill>
              </w:rPr>
              <w:t>|</w:t>
            </w:r>
            <w:r w:rsidR="00CB5E47" w:rsidRPr="00CB5E47">
              <w:rPr>
                <w:rFonts w:cs="Arial"/>
                <w:color w:val="000000"/>
                <w:szCs w:val="20"/>
                <w:vertAlign w:val="superscript"/>
              </w:rPr>
              <w:t>2</w:t>
            </w:r>
          </w:p>
        </w:tc>
        <w:tc>
          <w:tcPr>
            <w:tcW w:w="611" w:type="pct"/>
            <w:tcBorders>
              <w:top w:val="single" w:sz="4" w:space="0" w:color="auto"/>
              <w:left w:val="nil"/>
              <w:bottom w:val="single" w:sz="4" w:space="0" w:color="auto"/>
              <w:right w:val="single" w:sz="4" w:space="0" w:color="auto"/>
            </w:tcBorders>
            <w:vAlign w:val="center"/>
          </w:tcPr>
          <w:p w14:paraId="1D6E215B" w14:textId="5D591A96" w:rsidR="00E41A03" w:rsidRPr="00227199" w:rsidRDefault="000F6865" w:rsidP="00E41A03">
            <w:pPr>
              <w:pStyle w:val="TableText0"/>
              <w:rPr>
                <w:rFonts w:cs="Arial"/>
                <w:color w:val="000000"/>
                <w:szCs w:val="20"/>
                <w:highlight w:val="darkGray"/>
              </w:rPr>
            </w:pPr>
            <w:r w:rsidRPr="000F6865">
              <w:rPr>
                <w:rFonts w:cs="Arial"/>
                <w:color w:val="000000"/>
                <w:spacing w:val="53"/>
                <w:szCs w:val="20"/>
                <w:shd w:val="solid" w:color="000000" w:fill="000000"/>
                <w:fitText w:val="330" w:id="-694419192"/>
                <w14:textFill>
                  <w14:solidFill>
                    <w14:srgbClr w14:val="000000">
                      <w14:alpha w14:val="100000"/>
                    </w14:srgbClr>
                  </w14:solidFill>
                </w14:textFill>
              </w:rPr>
              <w:t>|||</w:t>
            </w:r>
            <w:r w:rsidRPr="000F6865">
              <w:rPr>
                <w:rFonts w:cs="Arial"/>
                <w:color w:val="000000"/>
                <w:spacing w:val="1"/>
                <w:szCs w:val="20"/>
                <w:shd w:val="solid" w:color="000000" w:fill="000000"/>
                <w:fitText w:val="330" w:id="-694419192"/>
                <w14:textFill>
                  <w14:solidFill>
                    <w14:srgbClr w14:val="000000">
                      <w14:alpha w14:val="100000"/>
                    </w14:srgbClr>
                  </w14:solidFill>
                </w14:textFill>
              </w:rPr>
              <w:t>|</w:t>
            </w:r>
            <w:r w:rsidR="00CB5E47" w:rsidRPr="00CB5E47">
              <w:rPr>
                <w:rFonts w:cs="Arial"/>
                <w:color w:val="000000"/>
                <w:szCs w:val="20"/>
                <w:vertAlign w:val="superscript"/>
              </w:rPr>
              <w:t>2</w:t>
            </w:r>
          </w:p>
        </w:tc>
        <w:tc>
          <w:tcPr>
            <w:tcW w:w="611" w:type="pct"/>
            <w:tcBorders>
              <w:top w:val="single" w:sz="4" w:space="0" w:color="auto"/>
              <w:left w:val="nil"/>
              <w:bottom w:val="single" w:sz="4" w:space="0" w:color="auto"/>
              <w:right w:val="single" w:sz="4" w:space="0" w:color="auto"/>
            </w:tcBorders>
            <w:vAlign w:val="center"/>
          </w:tcPr>
          <w:p w14:paraId="25026D9D" w14:textId="5BC9008B" w:rsidR="00E41A03" w:rsidRPr="00227199" w:rsidRDefault="000F6865" w:rsidP="00E41A03">
            <w:pPr>
              <w:pStyle w:val="TableText0"/>
              <w:rPr>
                <w:rFonts w:cs="Arial"/>
                <w:color w:val="000000"/>
                <w:szCs w:val="20"/>
                <w:highlight w:val="darkGray"/>
              </w:rPr>
            </w:pPr>
            <w:r w:rsidRPr="000F6865">
              <w:rPr>
                <w:rFonts w:cs="Arial"/>
                <w:color w:val="000000"/>
                <w:spacing w:val="53"/>
                <w:szCs w:val="20"/>
                <w:shd w:val="solid" w:color="000000" w:fill="000000"/>
                <w:fitText w:val="330" w:id="-694419191"/>
                <w14:textFill>
                  <w14:solidFill>
                    <w14:srgbClr w14:val="000000">
                      <w14:alpha w14:val="100000"/>
                    </w14:srgbClr>
                  </w14:solidFill>
                </w14:textFill>
              </w:rPr>
              <w:t>|||</w:t>
            </w:r>
            <w:r w:rsidRPr="000F6865">
              <w:rPr>
                <w:rFonts w:cs="Arial"/>
                <w:color w:val="000000"/>
                <w:spacing w:val="1"/>
                <w:szCs w:val="20"/>
                <w:shd w:val="solid" w:color="000000" w:fill="000000"/>
                <w:fitText w:val="330" w:id="-694419191"/>
                <w14:textFill>
                  <w14:solidFill>
                    <w14:srgbClr w14:val="000000">
                      <w14:alpha w14:val="100000"/>
                    </w14:srgbClr>
                  </w14:solidFill>
                </w14:textFill>
              </w:rPr>
              <w:t>|</w:t>
            </w:r>
            <w:r w:rsidR="00CB5E47" w:rsidRPr="00CB5E47">
              <w:rPr>
                <w:rFonts w:cs="Arial"/>
                <w:color w:val="000000"/>
                <w:szCs w:val="20"/>
                <w:vertAlign w:val="superscript"/>
              </w:rPr>
              <w:t>2</w:t>
            </w:r>
          </w:p>
        </w:tc>
        <w:tc>
          <w:tcPr>
            <w:tcW w:w="611" w:type="pct"/>
            <w:tcBorders>
              <w:top w:val="single" w:sz="4" w:space="0" w:color="auto"/>
              <w:left w:val="nil"/>
              <w:bottom w:val="single" w:sz="4" w:space="0" w:color="auto"/>
              <w:right w:val="single" w:sz="4" w:space="0" w:color="auto"/>
            </w:tcBorders>
            <w:vAlign w:val="center"/>
          </w:tcPr>
          <w:p w14:paraId="6933D36F" w14:textId="15EA5EB8" w:rsidR="00E41A03" w:rsidRPr="00227199" w:rsidRDefault="000F6865" w:rsidP="00E41A03">
            <w:pPr>
              <w:pStyle w:val="TableText0"/>
              <w:rPr>
                <w:rFonts w:cs="Arial"/>
                <w:color w:val="000000"/>
                <w:szCs w:val="20"/>
                <w:highlight w:val="darkGray"/>
              </w:rPr>
            </w:pPr>
            <w:r w:rsidRPr="000F6865">
              <w:rPr>
                <w:rFonts w:cs="Arial"/>
                <w:color w:val="000000"/>
                <w:spacing w:val="53"/>
                <w:szCs w:val="20"/>
                <w:shd w:val="solid" w:color="000000" w:fill="000000"/>
                <w:fitText w:val="330" w:id="-694419190"/>
                <w14:textFill>
                  <w14:solidFill>
                    <w14:srgbClr w14:val="000000">
                      <w14:alpha w14:val="100000"/>
                    </w14:srgbClr>
                  </w14:solidFill>
                </w14:textFill>
              </w:rPr>
              <w:t>|||</w:t>
            </w:r>
            <w:r w:rsidRPr="000F6865">
              <w:rPr>
                <w:rFonts w:cs="Arial"/>
                <w:color w:val="000000"/>
                <w:spacing w:val="1"/>
                <w:szCs w:val="20"/>
                <w:shd w:val="solid" w:color="000000" w:fill="000000"/>
                <w:fitText w:val="330" w:id="-694419190"/>
                <w14:textFill>
                  <w14:solidFill>
                    <w14:srgbClr w14:val="000000">
                      <w14:alpha w14:val="100000"/>
                    </w14:srgbClr>
                  </w14:solidFill>
                </w14:textFill>
              </w:rPr>
              <w:t>|</w:t>
            </w:r>
            <w:r w:rsidR="00CB5E47" w:rsidRPr="00CB5E47">
              <w:rPr>
                <w:rFonts w:cs="Arial"/>
                <w:color w:val="000000"/>
                <w:szCs w:val="20"/>
                <w:vertAlign w:val="superscript"/>
              </w:rPr>
              <w:t>2</w:t>
            </w:r>
          </w:p>
        </w:tc>
        <w:tc>
          <w:tcPr>
            <w:tcW w:w="611" w:type="pct"/>
            <w:tcBorders>
              <w:top w:val="single" w:sz="4" w:space="0" w:color="auto"/>
              <w:left w:val="nil"/>
              <w:bottom w:val="single" w:sz="4" w:space="0" w:color="auto"/>
              <w:right w:val="single" w:sz="4" w:space="0" w:color="auto"/>
            </w:tcBorders>
            <w:vAlign w:val="center"/>
          </w:tcPr>
          <w:p w14:paraId="04433A65" w14:textId="6EEB3517" w:rsidR="00E41A03" w:rsidRPr="00227199" w:rsidRDefault="000F6865" w:rsidP="00E41A03">
            <w:pPr>
              <w:pStyle w:val="TableText0"/>
              <w:rPr>
                <w:rFonts w:cs="Arial"/>
                <w:color w:val="000000"/>
                <w:szCs w:val="20"/>
                <w:highlight w:val="darkGray"/>
              </w:rPr>
            </w:pPr>
            <w:r w:rsidRPr="000F6865">
              <w:rPr>
                <w:rFonts w:cs="Arial"/>
                <w:color w:val="000000"/>
                <w:spacing w:val="53"/>
                <w:szCs w:val="20"/>
                <w:shd w:val="solid" w:color="000000" w:fill="000000"/>
                <w:fitText w:val="330" w:id="-694419189"/>
                <w14:textFill>
                  <w14:solidFill>
                    <w14:srgbClr w14:val="000000">
                      <w14:alpha w14:val="100000"/>
                    </w14:srgbClr>
                  </w14:solidFill>
                </w14:textFill>
              </w:rPr>
              <w:t>|||</w:t>
            </w:r>
            <w:r w:rsidRPr="000F6865">
              <w:rPr>
                <w:rFonts w:cs="Arial"/>
                <w:color w:val="000000"/>
                <w:spacing w:val="1"/>
                <w:szCs w:val="20"/>
                <w:shd w:val="solid" w:color="000000" w:fill="000000"/>
                <w:fitText w:val="330" w:id="-694419189"/>
                <w14:textFill>
                  <w14:solidFill>
                    <w14:srgbClr w14:val="000000">
                      <w14:alpha w14:val="100000"/>
                    </w14:srgbClr>
                  </w14:solidFill>
                </w14:textFill>
              </w:rPr>
              <w:t>|</w:t>
            </w:r>
            <w:r w:rsidR="00CB5E47" w:rsidRPr="00CB5E47">
              <w:rPr>
                <w:rFonts w:cs="Arial"/>
                <w:color w:val="000000"/>
                <w:szCs w:val="20"/>
                <w:vertAlign w:val="superscript"/>
              </w:rPr>
              <w:t>2</w:t>
            </w:r>
          </w:p>
        </w:tc>
        <w:tc>
          <w:tcPr>
            <w:tcW w:w="611" w:type="pct"/>
            <w:tcBorders>
              <w:top w:val="single" w:sz="4" w:space="0" w:color="auto"/>
              <w:left w:val="nil"/>
              <w:bottom w:val="single" w:sz="4" w:space="0" w:color="auto"/>
              <w:right w:val="single" w:sz="4" w:space="0" w:color="auto"/>
            </w:tcBorders>
            <w:vAlign w:val="center"/>
          </w:tcPr>
          <w:p w14:paraId="2223EBD7" w14:textId="0397B182" w:rsidR="00E41A03" w:rsidRPr="00227199" w:rsidRDefault="000F6865" w:rsidP="00E41A03">
            <w:pPr>
              <w:pStyle w:val="TableText0"/>
              <w:rPr>
                <w:rFonts w:cs="Arial"/>
                <w:color w:val="000000"/>
                <w:szCs w:val="20"/>
                <w:highlight w:val="darkGray"/>
              </w:rPr>
            </w:pPr>
            <w:r w:rsidRPr="000F6865">
              <w:rPr>
                <w:rFonts w:cs="Arial"/>
                <w:color w:val="000000"/>
                <w:spacing w:val="53"/>
                <w:szCs w:val="20"/>
                <w:shd w:val="solid" w:color="000000" w:fill="000000"/>
                <w:fitText w:val="330" w:id="-694419188"/>
                <w14:textFill>
                  <w14:solidFill>
                    <w14:srgbClr w14:val="000000">
                      <w14:alpha w14:val="100000"/>
                    </w14:srgbClr>
                  </w14:solidFill>
                </w14:textFill>
              </w:rPr>
              <w:t>|||</w:t>
            </w:r>
            <w:r w:rsidRPr="000F6865">
              <w:rPr>
                <w:rFonts w:cs="Arial"/>
                <w:color w:val="000000"/>
                <w:spacing w:val="1"/>
                <w:szCs w:val="20"/>
                <w:shd w:val="solid" w:color="000000" w:fill="000000"/>
                <w:fitText w:val="330" w:id="-694419188"/>
                <w14:textFill>
                  <w14:solidFill>
                    <w14:srgbClr w14:val="000000">
                      <w14:alpha w14:val="100000"/>
                    </w14:srgbClr>
                  </w14:solidFill>
                </w14:textFill>
              </w:rPr>
              <w:t>|</w:t>
            </w:r>
            <w:r w:rsidR="00CB5E47" w:rsidRPr="00CB5E47">
              <w:rPr>
                <w:rFonts w:cs="Arial"/>
                <w:color w:val="000000"/>
                <w:szCs w:val="20"/>
                <w:vertAlign w:val="superscript"/>
              </w:rPr>
              <w:t>2</w:t>
            </w:r>
          </w:p>
        </w:tc>
      </w:tr>
      <w:tr w:rsidR="00E41A03" w:rsidRPr="00444353" w14:paraId="123830C0" w14:textId="5AA68A7B" w:rsidTr="0084275A">
        <w:tc>
          <w:tcPr>
            <w:tcW w:w="1334" w:type="pct"/>
            <w:vAlign w:val="center"/>
          </w:tcPr>
          <w:p w14:paraId="50FCDA47" w14:textId="307D9262" w:rsidR="00E41A03" w:rsidRPr="003175C4" w:rsidRDefault="00E41A03" w:rsidP="00E41A03">
            <w:pPr>
              <w:pStyle w:val="TableText0"/>
              <w:rPr>
                <w:rFonts w:cs="Arial"/>
                <w:color w:val="000000"/>
                <w:szCs w:val="20"/>
              </w:rPr>
            </w:pPr>
            <w:r w:rsidRPr="003175C4">
              <w:rPr>
                <w:rFonts w:cs="Arial"/>
                <w:color w:val="000000"/>
                <w:szCs w:val="20"/>
              </w:rPr>
              <w:t>Net cost to PBS/RPBS/MBS</w:t>
            </w:r>
          </w:p>
        </w:tc>
        <w:tc>
          <w:tcPr>
            <w:tcW w:w="611" w:type="pct"/>
            <w:tcBorders>
              <w:top w:val="nil"/>
              <w:left w:val="nil"/>
              <w:bottom w:val="single" w:sz="4" w:space="0" w:color="auto"/>
              <w:right w:val="single" w:sz="4" w:space="0" w:color="auto"/>
            </w:tcBorders>
            <w:vAlign w:val="center"/>
          </w:tcPr>
          <w:p w14:paraId="0F4EB661" w14:textId="4A89C002" w:rsidR="00E41A03" w:rsidRPr="00227199" w:rsidRDefault="000F6865" w:rsidP="00E41A03">
            <w:pPr>
              <w:pStyle w:val="TableText0"/>
              <w:rPr>
                <w:rFonts w:cs="Arial"/>
                <w:color w:val="000000"/>
                <w:szCs w:val="20"/>
                <w:highlight w:val="darkGray"/>
              </w:rPr>
            </w:pPr>
            <w:r w:rsidRPr="000F6865">
              <w:rPr>
                <w:rFonts w:cs="Arial"/>
                <w:color w:val="000000"/>
                <w:spacing w:val="53"/>
                <w:szCs w:val="20"/>
                <w:shd w:val="solid" w:color="000000" w:fill="000000"/>
                <w:fitText w:val="330" w:id="-694419187"/>
                <w14:textFill>
                  <w14:solidFill>
                    <w14:srgbClr w14:val="000000">
                      <w14:alpha w14:val="100000"/>
                    </w14:srgbClr>
                  </w14:solidFill>
                </w14:textFill>
              </w:rPr>
              <w:t>|||</w:t>
            </w:r>
            <w:r w:rsidRPr="000F6865">
              <w:rPr>
                <w:rFonts w:cs="Arial"/>
                <w:color w:val="000000"/>
                <w:spacing w:val="1"/>
                <w:szCs w:val="20"/>
                <w:shd w:val="solid" w:color="000000" w:fill="000000"/>
                <w:fitText w:val="330" w:id="-694419187"/>
                <w14:textFill>
                  <w14:solidFill>
                    <w14:srgbClr w14:val="000000">
                      <w14:alpha w14:val="100000"/>
                    </w14:srgbClr>
                  </w14:solidFill>
                </w14:textFill>
              </w:rPr>
              <w:t>|</w:t>
            </w:r>
            <w:r w:rsidR="00CB5E47" w:rsidRPr="00CB5E47">
              <w:rPr>
                <w:rFonts w:cs="Arial"/>
                <w:color w:val="000000"/>
                <w:szCs w:val="20"/>
                <w:vertAlign w:val="superscript"/>
              </w:rPr>
              <w:t>2</w:t>
            </w:r>
          </w:p>
        </w:tc>
        <w:tc>
          <w:tcPr>
            <w:tcW w:w="611" w:type="pct"/>
            <w:tcBorders>
              <w:top w:val="nil"/>
              <w:left w:val="single" w:sz="4" w:space="0" w:color="auto"/>
              <w:bottom w:val="single" w:sz="4" w:space="0" w:color="auto"/>
              <w:right w:val="single" w:sz="4" w:space="0" w:color="auto"/>
            </w:tcBorders>
            <w:vAlign w:val="center"/>
          </w:tcPr>
          <w:p w14:paraId="59B75FE2" w14:textId="18A54240" w:rsidR="00E41A03" w:rsidRPr="00227199" w:rsidRDefault="000F6865" w:rsidP="00E41A03">
            <w:pPr>
              <w:pStyle w:val="TableText0"/>
              <w:rPr>
                <w:rFonts w:cs="Arial"/>
                <w:color w:val="000000"/>
                <w:szCs w:val="20"/>
                <w:highlight w:val="darkGray"/>
              </w:rPr>
            </w:pPr>
            <w:r w:rsidRPr="000F6865">
              <w:rPr>
                <w:rFonts w:cs="Arial"/>
                <w:color w:val="000000"/>
                <w:spacing w:val="53"/>
                <w:szCs w:val="20"/>
                <w:shd w:val="solid" w:color="000000" w:fill="000000"/>
                <w:fitText w:val="330" w:id="-694419186"/>
                <w14:textFill>
                  <w14:solidFill>
                    <w14:srgbClr w14:val="000000">
                      <w14:alpha w14:val="100000"/>
                    </w14:srgbClr>
                  </w14:solidFill>
                </w14:textFill>
              </w:rPr>
              <w:t>|||</w:t>
            </w:r>
            <w:r w:rsidRPr="000F6865">
              <w:rPr>
                <w:rFonts w:cs="Arial"/>
                <w:color w:val="000000"/>
                <w:spacing w:val="1"/>
                <w:szCs w:val="20"/>
                <w:shd w:val="solid" w:color="000000" w:fill="000000"/>
                <w:fitText w:val="330" w:id="-694419186"/>
                <w14:textFill>
                  <w14:solidFill>
                    <w14:srgbClr w14:val="000000">
                      <w14:alpha w14:val="100000"/>
                    </w14:srgbClr>
                  </w14:solidFill>
                </w14:textFill>
              </w:rPr>
              <w:t>|</w:t>
            </w:r>
            <w:r w:rsidR="00CB5E47" w:rsidRPr="00CB5E47">
              <w:rPr>
                <w:rFonts w:cs="Arial"/>
                <w:color w:val="000000"/>
                <w:szCs w:val="20"/>
                <w:vertAlign w:val="superscript"/>
              </w:rPr>
              <w:t>2</w:t>
            </w:r>
          </w:p>
        </w:tc>
        <w:tc>
          <w:tcPr>
            <w:tcW w:w="611" w:type="pct"/>
            <w:tcBorders>
              <w:top w:val="nil"/>
              <w:left w:val="single" w:sz="4" w:space="0" w:color="auto"/>
              <w:bottom w:val="single" w:sz="4" w:space="0" w:color="auto"/>
              <w:right w:val="single" w:sz="4" w:space="0" w:color="auto"/>
            </w:tcBorders>
            <w:vAlign w:val="center"/>
          </w:tcPr>
          <w:p w14:paraId="6AE6473A" w14:textId="54ACC333" w:rsidR="00E41A03" w:rsidRPr="00227199" w:rsidRDefault="000F6865" w:rsidP="00E41A03">
            <w:pPr>
              <w:pStyle w:val="TableText0"/>
              <w:rPr>
                <w:rFonts w:cs="Arial"/>
                <w:color w:val="000000"/>
                <w:szCs w:val="20"/>
                <w:highlight w:val="darkGray"/>
              </w:rPr>
            </w:pPr>
            <w:r w:rsidRPr="000F6865">
              <w:rPr>
                <w:rFonts w:cs="Arial"/>
                <w:color w:val="000000"/>
                <w:spacing w:val="53"/>
                <w:szCs w:val="20"/>
                <w:shd w:val="solid" w:color="000000" w:fill="000000"/>
                <w:fitText w:val="330" w:id="-694419185"/>
                <w14:textFill>
                  <w14:solidFill>
                    <w14:srgbClr w14:val="000000">
                      <w14:alpha w14:val="100000"/>
                    </w14:srgbClr>
                  </w14:solidFill>
                </w14:textFill>
              </w:rPr>
              <w:t>|||</w:t>
            </w:r>
            <w:r w:rsidRPr="000F6865">
              <w:rPr>
                <w:rFonts w:cs="Arial"/>
                <w:color w:val="000000"/>
                <w:spacing w:val="1"/>
                <w:szCs w:val="20"/>
                <w:shd w:val="solid" w:color="000000" w:fill="000000"/>
                <w:fitText w:val="330" w:id="-694419185"/>
                <w14:textFill>
                  <w14:solidFill>
                    <w14:srgbClr w14:val="000000">
                      <w14:alpha w14:val="100000"/>
                    </w14:srgbClr>
                  </w14:solidFill>
                </w14:textFill>
              </w:rPr>
              <w:t>|</w:t>
            </w:r>
            <w:r w:rsidR="00483C7D" w:rsidRPr="00CB5E47">
              <w:rPr>
                <w:rFonts w:cs="Arial"/>
                <w:color w:val="000000"/>
                <w:szCs w:val="20"/>
                <w:vertAlign w:val="superscript"/>
              </w:rPr>
              <w:t>2</w:t>
            </w:r>
          </w:p>
        </w:tc>
        <w:tc>
          <w:tcPr>
            <w:tcW w:w="611" w:type="pct"/>
            <w:tcBorders>
              <w:top w:val="nil"/>
              <w:left w:val="single" w:sz="4" w:space="0" w:color="auto"/>
              <w:bottom w:val="single" w:sz="4" w:space="0" w:color="auto"/>
              <w:right w:val="single" w:sz="4" w:space="0" w:color="auto"/>
            </w:tcBorders>
            <w:vAlign w:val="center"/>
          </w:tcPr>
          <w:p w14:paraId="1F476C04" w14:textId="5004AC75" w:rsidR="00E41A03" w:rsidRPr="00227199" w:rsidRDefault="000F6865" w:rsidP="00E41A03">
            <w:pPr>
              <w:pStyle w:val="TableText0"/>
              <w:rPr>
                <w:rFonts w:cs="Arial"/>
                <w:color w:val="000000"/>
                <w:szCs w:val="20"/>
                <w:highlight w:val="darkGray"/>
              </w:rPr>
            </w:pPr>
            <w:r w:rsidRPr="000F6865">
              <w:rPr>
                <w:rFonts w:cs="Arial"/>
                <w:color w:val="000000"/>
                <w:spacing w:val="53"/>
                <w:szCs w:val="20"/>
                <w:shd w:val="solid" w:color="000000" w:fill="000000"/>
                <w:fitText w:val="330" w:id="-694419184"/>
                <w14:textFill>
                  <w14:solidFill>
                    <w14:srgbClr w14:val="000000">
                      <w14:alpha w14:val="100000"/>
                    </w14:srgbClr>
                  </w14:solidFill>
                </w14:textFill>
              </w:rPr>
              <w:t>|||</w:t>
            </w:r>
            <w:r w:rsidRPr="000F6865">
              <w:rPr>
                <w:rFonts w:cs="Arial"/>
                <w:color w:val="000000"/>
                <w:spacing w:val="1"/>
                <w:szCs w:val="20"/>
                <w:shd w:val="solid" w:color="000000" w:fill="000000"/>
                <w:fitText w:val="330" w:id="-694419184"/>
                <w14:textFill>
                  <w14:solidFill>
                    <w14:srgbClr w14:val="000000">
                      <w14:alpha w14:val="100000"/>
                    </w14:srgbClr>
                  </w14:solidFill>
                </w14:textFill>
              </w:rPr>
              <w:t>|</w:t>
            </w:r>
            <w:r w:rsidR="00483C7D" w:rsidRPr="00CB5E47">
              <w:rPr>
                <w:rFonts w:cs="Arial"/>
                <w:color w:val="000000"/>
                <w:szCs w:val="20"/>
                <w:vertAlign w:val="superscript"/>
              </w:rPr>
              <w:t>2</w:t>
            </w:r>
          </w:p>
        </w:tc>
        <w:tc>
          <w:tcPr>
            <w:tcW w:w="611" w:type="pct"/>
            <w:tcBorders>
              <w:top w:val="nil"/>
              <w:left w:val="single" w:sz="4" w:space="0" w:color="auto"/>
              <w:bottom w:val="single" w:sz="4" w:space="0" w:color="auto"/>
              <w:right w:val="single" w:sz="4" w:space="0" w:color="auto"/>
            </w:tcBorders>
            <w:vAlign w:val="center"/>
          </w:tcPr>
          <w:p w14:paraId="12079751" w14:textId="56B59259" w:rsidR="00E41A03" w:rsidRPr="00227199" w:rsidRDefault="000F6865" w:rsidP="00E41A03">
            <w:pPr>
              <w:pStyle w:val="TableText0"/>
              <w:rPr>
                <w:rFonts w:cs="Arial"/>
                <w:color w:val="000000"/>
                <w:szCs w:val="20"/>
                <w:highlight w:val="darkGray"/>
              </w:rPr>
            </w:pPr>
            <w:r w:rsidRPr="000F6865">
              <w:rPr>
                <w:rFonts w:cs="Arial"/>
                <w:color w:val="000000"/>
                <w:spacing w:val="53"/>
                <w:szCs w:val="20"/>
                <w:shd w:val="solid" w:color="000000" w:fill="000000"/>
                <w:fitText w:val="330" w:id="-694419200"/>
                <w14:textFill>
                  <w14:solidFill>
                    <w14:srgbClr w14:val="000000">
                      <w14:alpha w14:val="100000"/>
                    </w14:srgbClr>
                  </w14:solidFill>
                </w14:textFill>
              </w:rPr>
              <w:t>|||</w:t>
            </w:r>
            <w:r w:rsidRPr="000F6865">
              <w:rPr>
                <w:rFonts w:cs="Arial"/>
                <w:color w:val="000000"/>
                <w:spacing w:val="1"/>
                <w:szCs w:val="20"/>
                <w:shd w:val="solid" w:color="000000" w:fill="000000"/>
                <w:fitText w:val="330" w:id="-694419200"/>
                <w14:textFill>
                  <w14:solidFill>
                    <w14:srgbClr w14:val="000000">
                      <w14:alpha w14:val="100000"/>
                    </w14:srgbClr>
                  </w14:solidFill>
                </w14:textFill>
              </w:rPr>
              <w:t>|</w:t>
            </w:r>
            <w:r w:rsidR="00483C7D" w:rsidRPr="00CB5E47">
              <w:rPr>
                <w:rFonts w:cs="Arial"/>
                <w:color w:val="000000"/>
                <w:szCs w:val="20"/>
                <w:vertAlign w:val="superscript"/>
              </w:rPr>
              <w:t>2</w:t>
            </w:r>
          </w:p>
        </w:tc>
        <w:tc>
          <w:tcPr>
            <w:tcW w:w="611" w:type="pct"/>
            <w:tcBorders>
              <w:top w:val="nil"/>
              <w:left w:val="single" w:sz="4" w:space="0" w:color="auto"/>
              <w:bottom w:val="single" w:sz="4" w:space="0" w:color="auto"/>
              <w:right w:val="nil"/>
            </w:tcBorders>
            <w:vAlign w:val="center"/>
          </w:tcPr>
          <w:p w14:paraId="4844CB4D" w14:textId="7E925C7B" w:rsidR="00E41A03" w:rsidRPr="00227199" w:rsidRDefault="000F6865" w:rsidP="00E41A03">
            <w:pPr>
              <w:pStyle w:val="TableText0"/>
              <w:rPr>
                <w:rFonts w:cs="Arial"/>
                <w:color w:val="000000"/>
                <w:szCs w:val="20"/>
                <w:highlight w:val="darkGray"/>
              </w:rPr>
            </w:pPr>
            <w:r w:rsidRPr="000F6865">
              <w:rPr>
                <w:rFonts w:cs="Arial"/>
                <w:color w:val="000000"/>
                <w:spacing w:val="53"/>
                <w:szCs w:val="20"/>
                <w:shd w:val="solid" w:color="000000" w:fill="000000"/>
                <w:fitText w:val="330" w:id="-694419199"/>
                <w14:textFill>
                  <w14:solidFill>
                    <w14:srgbClr w14:val="000000">
                      <w14:alpha w14:val="100000"/>
                    </w14:srgbClr>
                  </w14:solidFill>
                </w14:textFill>
              </w:rPr>
              <w:t>|||</w:t>
            </w:r>
            <w:r w:rsidRPr="000F6865">
              <w:rPr>
                <w:rFonts w:cs="Arial"/>
                <w:color w:val="000000"/>
                <w:spacing w:val="1"/>
                <w:szCs w:val="20"/>
                <w:shd w:val="solid" w:color="000000" w:fill="000000"/>
                <w:fitText w:val="330" w:id="-694419199"/>
                <w14:textFill>
                  <w14:solidFill>
                    <w14:srgbClr w14:val="000000">
                      <w14:alpha w14:val="100000"/>
                    </w14:srgbClr>
                  </w14:solidFill>
                </w14:textFill>
              </w:rPr>
              <w:t>|</w:t>
            </w:r>
            <w:r w:rsidR="00483C7D" w:rsidRPr="00CB5E47">
              <w:rPr>
                <w:rFonts w:cs="Arial"/>
                <w:color w:val="000000"/>
                <w:szCs w:val="20"/>
                <w:vertAlign w:val="superscript"/>
              </w:rPr>
              <w:t>2</w:t>
            </w:r>
          </w:p>
        </w:tc>
      </w:tr>
    </w:tbl>
    <w:p w14:paraId="484CF5B6" w14:textId="1C508922" w:rsidR="00620C25" w:rsidRPr="00444353" w:rsidRDefault="00620C25" w:rsidP="00444353">
      <w:pPr>
        <w:pStyle w:val="TableText0"/>
        <w:rPr>
          <w:rFonts w:cs="Arial"/>
          <w:b/>
          <w:color w:val="000000"/>
          <w:szCs w:val="20"/>
        </w:rPr>
      </w:pPr>
      <w:r w:rsidRPr="00444353">
        <w:rPr>
          <w:rFonts w:cs="Arial"/>
          <w:color w:val="000000"/>
          <w:szCs w:val="20"/>
        </w:rPr>
        <w:t>Source: Table</w:t>
      </w:r>
      <w:r w:rsidR="00D25267" w:rsidRPr="00444353">
        <w:rPr>
          <w:rFonts w:cs="Arial"/>
          <w:color w:val="000000"/>
          <w:szCs w:val="20"/>
        </w:rPr>
        <w:t>s 4.3</w:t>
      </w:r>
      <w:r w:rsidRPr="00444353">
        <w:rPr>
          <w:rFonts w:cs="Arial"/>
          <w:color w:val="000000"/>
          <w:szCs w:val="20"/>
        </w:rPr>
        <w:t>,</w:t>
      </w:r>
      <w:r w:rsidR="00D25267" w:rsidRPr="00444353">
        <w:rPr>
          <w:rFonts w:cs="Arial"/>
          <w:color w:val="000000"/>
          <w:szCs w:val="20"/>
        </w:rPr>
        <w:t>4.4, 4.6, 4.10, 4.13</w:t>
      </w:r>
      <w:r w:rsidRPr="00444353">
        <w:rPr>
          <w:rFonts w:cs="Arial"/>
          <w:color w:val="000000"/>
          <w:szCs w:val="20"/>
        </w:rPr>
        <w:t xml:space="preserve"> of the submission.</w:t>
      </w:r>
    </w:p>
    <w:p w14:paraId="4EF757F1" w14:textId="77777777" w:rsidR="00227199" w:rsidRDefault="004D0309" w:rsidP="00227199">
      <w:pPr>
        <w:rPr>
          <w:rFonts w:ascii="Arial Narrow" w:hAnsi="Arial Narrow"/>
          <w:sz w:val="20"/>
          <w:szCs w:val="18"/>
        </w:rPr>
      </w:pPr>
      <w:r w:rsidRPr="00986E90">
        <w:rPr>
          <w:rFonts w:ascii="Arial Narrow" w:hAnsi="Arial Narrow"/>
          <w:sz w:val="20"/>
          <w:szCs w:val="18"/>
          <w:vertAlign w:val="superscript"/>
        </w:rPr>
        <w:t xml:space="preserve">a </w:t>
      </w:r>
      <w:r w:rsidR="00E466F3" w:rsidRPr="00986E90">
        <w:rPr>
          <w:rFonts w:ascii="Arial Narrow" w:hAnsi="Arial Narrow"/>
          <w:sz w:val="20"/>
          <w:szCs w:val="18"/>
        </w:rPr>
        <w:t xml:space="preserve">Assuming </w:t>
      </w:r>
      <w:r w:rsidR="0098358B" w:rsidRPr="00986E90">
        <w:rPr>
          <w:rFonts w:ascii="Arial Narrow" w:hAnsi="Arial Narrow"/>
          <w:sz w:val="20"/>
          <w:szCs w:val="18"/>
        </w:rPr>
        <w:t xml:space="preserve">an additional </w:t>
      </w:r>
      <w:r w:rsidR="007E45DC" w:rsidRPr="00986E90">
        <w:rPr>
          <w:rFonts w:ascii="Arial Narrow" w:hAnsi="Arial Narrow"/>
          <w:sz w:val="20"/>
          <w:szCs w:val="18"/>
        </w:rPr>
        <w:t>3.26</w:t>
      </w:r>
      <w:r w:rsidR="00E466F3" w:rsidRPr="00986E90">
        <w:rPr>
          <w:rFonts w:ascii="Arial Narrow" w:hAnsi="Arial Narrow"/>
          <w:sz w:val="20"/>
          <w:szCs w:val="18"/>
        </w:rPr>
        <w:t xml:space="preserve"> </w:t>
      </w:r>
      <w:r w:rsidR="0027406D" w:rsidRPr="00986E90">
        <w:rPr>
          <w:rFonts w:ascii="Arial Narrow" w:hAnsi="Arial Narrow"/>
          <w:sz w:val="20"/>
          <w:szCs w:val="18"/>
        </w:rPr>
        <w:t>scripts</w:t>
      </w:r>
      <w:r w:rsidRPr="00986E90">
        <w:rPr>
          <w:rFonts w:ascii="Arial Narrow" w:hAnsi="Arial Narrow"/>
          <w:sz w:val="20"/>
          <w:szCs w:val="18"/>
        </w:rPr>
        <w:t xml:space="preserve"> </w:t>
      </w:r>
      <w:r w:rsidR="00163080" w:rsidRPr="00986E90">
        <w:rPr>
          <w:rFonts w:ascii="Arial Narrow" w:hAnsi="Arial Narrow"/>
          <w:sz w:val="20"/>
          <w:szCs w:val="18"/>
        </w:rPr>
        <w:t xml:space="preserve">(i.e., 4 months of treatment) </w:t>
      </w:r>
      <w:r w:rsidR="0098358B" w:rsidRPr="00986E90">
        <w:rPr>
          <w:rFonts w:ascii="Arial Narrow" w:hAnsi="Arial Narrow"/>
          <w:sz w:val="20"/>
          <w:szCs w:val="18"/>
        </w:rPr>
        <w:t xml:space="preserve">per patient </w:t>
      </w:r>
    </w:p>
    <w:p w14:paraId="47A75B69" w14:textId="1D6BE330" w:rsidR="00227199" w:rsidRPr="009A6D58" w:rsidRDefault="00227199" w:rsidP="00227199">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7A6A9864" w14:textId="77777777" w:rsidR="00227199" w:rsidRPr="009A6D58" w:rsidRDefault="00227199" w:rsidP="00227199">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EA49F0">
        <w:rPr>
          <w:rFonts w:ascii="Arial Narrow" w:hAnsi="Arial Narrow"/>
          <w:i/>
          <w:sz w:val="18"/>
          <w:szCs w:val="18"/>
        </w:rPr>
        <w:t>&lt; 500</w:t>
      </w:r>
    </w:p>
    <w:p w14:paraId="66653EF2" w14:textId="77777777" w:rsidR="00227199" w:rsidRPr="009A6D58" w:rsidRDefault="00227199" w:rsidP="00227199">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D71A55">
        <w:rPr>
          <w:rFonts w:ascii="Arial Narrow" w:hAnsi="Arial Narrow"/>
          <w:i/>
          <w:sz w:val="18"/>
          <w:szCs w:val="18"/>
        </w:rPr>
        <w:t>$0 to &lt; $10 million</w:t>
      </w:r>
    </w:p>
    <w:p w14:paraId="2236EBAB" w14:textId="2CCC7233" w:rsidR="00986E90" w:rsidRPr="00986E90" w:rsidRDefault="00986E90" w:rsidP="00986E90">
      <w:pPr>
        <w:pStyle w:val="3-BodyText"/>
        <w:numPr>
          <w:ilvl w:val="0"/>
          <w:numId w:val="0"/>
        </w:numPr>
        <w:spacing w:after="120"/>
        <w:ind w:left="720" w:hanging="720"/>
        <w:rPr>
          <w:rFonts w:ascii="Arial Narrow" w:hAnsi="Arial Narrow"/>
          <w:sz w:val="20"/>
          <w:szCs w:val="18"/>
        </w:rPr>
      </w:pPr>
    </w:p>
    <w:p w14:paraId="1B691C63" w14:textId="409DB45E" w:rsidR="006A016F" w:rsidRPr="00422176" w:rsidRDefault="000902D9" w:rsidP="00525B6C">
      <w:pPr>
        <w:pStyle w:val="3-BodyText"/>
      </w:pPr>
      <w:r w:rsidRPr="0098262F">
        <w:t xml:space="preserve">The total cost to the PBS/RPBS of listing </w:t>
      </w:r>
      <w:r w:rsidR="00525B6C">
        <w:t>ivacaftor</w:t>
      </w:r>
      <w:r w:rsidRPr="0098262F">
        <w:t xml:space="preserve"> was estimated </w:t>
      </w:r>
      <w:r w:rsidR="00A05C32" w:rsidRPr="0098262F">
        <w:t>to be</w:t>
      </w:r>
      <w:r w:rsidRPr="0098262F">
        <w:t xml:space="preserve"> </w:t>
      </w:r>
      <w:r w:rsidR="00C8313C" w:rsidRPr="00C8313C">
        <w:t>0 to &lt; $10 million</w:t>
      </w:r>
      <w:r w:rsidR="00C8313C" w:rsidRPr="00C8313C" w:rsidDel="00C8313C">
        <w:t xml:space="preserve"> </w:t>
      </w:r>
      <w:r w:rsidRPr="0098262F">
        <w:t xml:space="preserve">in Year 6, and a total of </w:t>
      </w:r>
      <w:r w:rsidR="00C8313C" w:rsidRPr="00C8313C">
        <w:t>0 to &lt; $10 million</w:t>
      </w:r>
      <w:r w:rsidR="00C8313C" w:rsidRPr="00C8313C" w:rsidDel="00C8313C">
        <w:t xml:space="preserve"> </w:t>
      </w:r>
      <w:r w:rsidRPr="0098262F">
        <w:t>in the first 6 years of listing</w:t>
      </w:r>
      <w:r w:rsidR="00525B6C">
        <w:rPr>
          <w:color w:val="3366FF"/>
        </w:rPr>
        <w:t xml:space="preserve">. </w:t>
      </w:r>
    </w:p>
    <w:p w14:paraId="6015A395" w14:textId="2EDB6A4E" w:rsidR="00576972" w:rsidRPr="0098262F" w:rsidRDefault="00576972" w:rsidP="00606FBA">
      <w:pPr>
        <w:pStyle w:val="4-SubsectionHeading"/>
      </w:pPr>
      <w:bookmarkStart w:id="54" w:name="_Toc22897649"/>
      <w:bookmarkStart w:id="55" w:name="_Toc187661092"/>
      <w:r w:rsidRPr="0098262F">
        <w:lastRenderedPageBreak/>
        <w:t>Financial Management – Risk Sharing Arrangements</w:t>
      </w:r>
      <w:bookmarkEnd w:id="54"/>
      <w:bookmarkEnd w:id="55"/>
    </w:p>
    <w:p w14:paraId="25BA2464" w14:textId="75B5BA6E" w:rsidR="00894CD6" w:rsidRPr="00195034" w:rsidRDefault="00525B6C" w:rsidP="004C2AC2">
      <w:pPr>
        <w:pStyle w:val="3-BodyText"/>
        <w:rPr>
          <w:color w:val="0066FF"/>
        </w:rPr>
      </w:pPr>
      <w:bookmarkStart w:id="56" w:name="_Ref193702282"/>
      <w:r w:rsidRPr="00525B6C">
        <w:t>The submission proposed that</w:t>
      </w:r>
      <w:r>
        <w:t xml:space="preserve"> the requested population be included in the existing Deed of agreement</w:t>
      </w:r>
      <w:r w:rsidR="005E4786">
        <w:t xml:space="preserve"> for CFTR modulators</w:t>
      </w:r>
      <w:r w:rsidRPr="008A351E">
        <w:t>, with no change to the subsidisation caps.</w:t>
      </w:r>
      <w:bookmarkEnd w:id="56"/>
      <w:r>
        <w:t xml:space="preserve"> </w:t>
      </w:r>
    </w:p>
    <w:p w14:paraId="0BD2BAEF" w14:textId="2378AC90" w:rsidR="00195034" w:rsidRPr="005657CB" w:rsidRDefault="00195034" w:rsidP="00195034">
      <w:pPr>
        <w:pStyle w:val="3-BodyText"/>
      </w:pPr>
      <w:r w:rsidRPr="00B62396">
        <w:t>Information for the shared CF cap is provided in</w:t>
      </w:r>
      <w:r w:rsidR="004C4FBD">
        <w:t xml:space="preserve"> </w:t>
      </w:r>
      <w:r w:rsidR="00A62425">
        <w:fldChar w:fldCharType="begin" w:fldLock="1"/>
      </w:r>
      <w:r w:rsidR="00A62425">
        <w:instrText xml:space="preserve"> REF _Ref184896231 \h </w:instrText>
      </w:r>
      <w:r w:rsidR="00A62425">
        <w:fldChar w:fldCharType="separate"/>
      </w:r>
      <w:r w:rsidR="00A6545D" w:rsidRPr="2180C922">
        <w:t xml:space="preserve">Table </w:t>
      </w:r>
      <w:r w:rsidR="00A6545D">
        <w:rPr>
          <w:noProof/>
        </w:rPr>
        <w:t>9</w:t>
      </w:r>
      <w:r w:rsidR="00A62425">
        <w:fldChar w:fldCharType="end"/>
      </w:r>
      <w:r w:rsidR="00A62425">
        <w:t xml:space="preserve">. </w:t>
      </w:r>
      <w:r w:rsidRPr="00B62396">
        <w:t xml:space="preserve">Ivacaftor was included in the </w:t>
      </w:r>
      <w:r w:rsidRPr="005657CB">
        <w:t xml:space="preserve">shared cap in June 2024. </w:t>
      </w:r>
    </w:p>
    <w:p w14:paraId="2E5A1E18" w14:textId="55571C45" w:rsidR="00195034" w:rsidRPr="005657CB" w:rsidRDefault="004C4FBD" w:rsidP="00564EFA">
      <w:pPr>
        <w:pStyle w:val="Caption"/>
        <w:shd w:val="clear" w:color="auto" w:fill="FFFFFF" w:themeFill="background1"/>
      </w:pPr>
      <w:bookmarkStart w:id="57" w:name="_Ref184896231"/>
      <w:r w:rsidRPr="005657CB">
        <w:t xml:space="preserve">Table </w:t>
      </w:r>
      <w:r w:rsidRPr="005657CB">
        <w:fldChar w:fldCharType="begin" w:fldLock="1"/>
      </w:r>
      <w:r w:rsidRPr="005657CB">
        <w:instrText xml:space="preserve"> SEQ Table \* ARABIC </w:instrText>
      </w:r>
      <w:r w:rsidRPr="005657CB">
        <w:fldChar w:fldCharType="separate"/>
      </w:r>
      <w:r w:rsidR="00A6545D" w:rsidRPr="005657CB">
        <w:rPr>
          <w:noProof/>
        </w:rPr>
        <w:t>9</w:t>
      </w:r>
      <w:r w:rsidRPr="005657CB">
        <w:rPr>
          <w:noProof/>
        </w:rPr>
        <w:fldChar w:fldCharType="end"/>
      </w:r>
      <w:bookmarkEnd w:id="57"/>
      <w:r w:rsidRPr="005657CB">
        <w:t xml:space="preserve">: </w:t>
      </w:r>
      <w:r w:rsidR="00195034" w:rsidRPr="005657CB">
        <w:t>Current RSA for IVA, LUM/IVA, TEZ/IVA and ELX/TEZ/IVA (</w:t>
      </w:r>
      <w:r w:rsidR="000F6865" w:rsidRPr="000F6865">
        <w:rPr>
          <w:color w:val="000000"/>
          <w:spacing w:val="12"/>
          <w:shd w:val="solid" w:color="000000" w:fill="000000"/>
          <w:fitText w:val="340" w:id="-694419198"/>
          <w14:textFill>
            <w14:solidFill>
              <w14:srgbClr w14:val="000000">
                <w14:alpha w14:val="100000"/>
              </w14:srgbClr>
            </w14:solidFill>
          </w14:textFill>
        </w:rPr>
        <w:t>||  |</w:t>
      </w:r>
      <w:r w:rsidR="000F6865" w:rsidRPr="000F6865">
        <w:rPr>
          <w:color w:val="000000"/>
          <w:spacing w:val="5"/>
          <w:shd w:val="solid" w:color="000000" w:fill="000000"/>
          <w:fitText w:val="340" w:id="-694419198"/>
          <w14:textFill>
            <w14:solidFill>
              <w14:srgbClr w14:val="000000">
                <w14:alpha w14:val="100000"/>
              </w14:srgbClr>
            </w14:solidFill>
          </w14:textFill>
        </w:rPr>
        <w:t>|</w:t>
      </w:r>
      <w:r w:rsidR="00195034" w:rsidRPr="005657CB">
        <w:t>% rebate for expenditure over the cap)</w:t>
      </w:r>
    </w:p>
    <w:tbl>
      <w:tblPr>
        <w:tblStyle w:val="HTATableshaded"/>
        <w:tblW w:w="5000" w:type="pct"/>
        <w:tblLook w:val="04A0" w:firstRow="1" w:lastRow="0" w:firstColumn="1" w:lastColumn="0" w:noHBand="0" w:noVBand="1"/>
      </w:tblPr>
      <w:tblGrid>
        <w:gridCol w:w="1857"/>
        <w:gridCol w:w="1611"/>
        <w:gridCol w:w="1730"/>
        <w:gridCol w:w="2226"/>
        <w:gridCol w:w="1593"/>
      </w:tblGrid>
      <w:tr w:rsidR="00195034" w:rsidRPr="005657CB" w14:paraId="572FB5B3" w14:textId="77777777" w:rsidTr="000F6865">
        <w:trPr>
          <w:cnfStyle w:val="100000000000" w:firstRow="1" w:lastRow="0" w:firstColumn="0" w:lastColumn="0" w:oddVBand="0" w:evenVBand="0" w:oddHBand="0" w:evenHBand="0" w:firstRowFirstColumn="0" w:firstRowLastColumn="0" w:lastRowFirstColumn="0" w:lastRowLastColumn="0"/>
          <w:trHeight w:val="315"/>
        </w:trPr>
        <w:tc>
          <w:tcPr>
            <w:tcW w:w="1100" w:type="pct"/>
            <w:noWrap/>
            <w:hideMark/>
          </w:tcPr>
          <w:p w14:paraId="52414C32" w14:textId="77777777" w:rsidR="00195034" w:rsidRPr="005657CB" w:rsidRDefault="00195034" w:rsidP="00564EFA">
            <w:pPr>
              <w:pStyle w:val="In-tableHeading"/>
              <w:shd w:val="clear" w:color="auto" w:fill="FFFFFF" w:themeFill="background1"/>
              <w:rPr>
                <w:bCs/>
                <w:sz w:val="20"/>
                <w:szCs w:val="20"/>
              </w:rPr>
            </w:pPr>
            <w:r w:rsidRPr="005657CB">
              <w:rPr>
                <w:bCs/>
                <w:sz w:val="20"/>
                <w:szCs w:val="20"/>
              </w:rPr>
              <w:t xml:space="preserve">Cap Year </w:t>
            </w:r>
          </w:p>
        </w:tc>
        <w:tc>
          <w:tcPr>
            <w:tcW w:w="900" w:type="pct"/>
            <w:noWrap/>
            <w:hideMark/>
          </w:tcPr>
          <w:p w14:paraId="2E14ECF6" w14:textId="7E472C12" w:rsidR="00195034" w:rsidRPr="005657CB" w:rsidRDefault="00195034" w:rsidP="00564EFA">
            <w:pPr>
              <w:pStyle w:val="In-tableHeading"/>
              <w:shd w:val="clear" w:color="auto" w:fill="FFFFFF" w:themeFill="background1"/>
              <w:rPr>
                <w:bCs/>
                <w:sz w:val="20"/>
                <w:szCs w:val="20"/>
              </w:rPr>
            </w:pPr>
            <w:r w:rsidRPr="005657CB">
              <w:rPr>
                <w:bCs/>
                <w:sz w:val="20"/>
                <w:szCs w:val="20"/>
              </w:rPr>
              <w:t>Cap Threshold</w:t>
            </w:r>
            <w:r w:rsidR="003C76A2" w:rsidRPr="005657CB">
              <w:rPr>
                <w:bCs/>
                <w:sz w:val="20"/>
                <w:szCs w:val="20"/>
              </w:rPr>
              <w:t xml:space="preserve"> ($)</w:t>
            </w:r>
          </w:p>
        </w:tc>
        <w:tc>
          <w:tcPr>
            <w:tcW w:w="1100" w:type="pct"/>
            <w:hideMark/>
          </w:tcPr>
          <w:p w14:paraId="73D36830" w14:textId="75D8D48B" w:rsidR="00195034" w:rsidRPr="005657CB" w:rsidRDefault="00195034" w:rsidP="00564EFA">
            <w:pPr>
              <w:pStyle w:val="In-tableHeading"/>
              <w:shd w:val="clear" w:color="auto" w:fill="FFFFFF" w:themeFill="background1"/>
              <w:rPr>
                <w:bCs/>
                <w:sz w:val="20"/>
                <w:szCs w:val="20"/>
              </w:rPr>
            </w:pPr>
            <w:r w:rsidRPr="005657CB">
              <w:rPr>
                <w:bCs/>
                <w:sz w:val="20"/>
                <w:szCs w:val="20"/>
              </w:rPr>
              <w:t>Total Commonwealth payment </w:t>
            </w:r>
            <w:r w:rsidR="003C76A2" w:rsidRPr="005657CB">
              <w:rPr>
                <w:bCs/>
                <w:sz w:val="20"/>
                <w:szCs w:val="20"/>
              </w:rPr>
              <w:t xml:space="preserve"> ($)</w:t>
            </w:r>
          </w:p>
        </w:tc>
        <w:tc>
          <w:tcPr>
            <w:tcW w:w="1300" w:type="pct"/>
            <w:hideMark/>
          </w:tcPr>
          <w:p w14:paraId="1050FCF1" w14:textId="77777777" w:rsidR="00195034" w:rsidRPr="005657CB" w:rsidRDefault="00195034" w:rsidP="00564EFA">
            <w:pPr>
              <w:pStyle w:val="In-tableHeading"/>
              <w:shd w:val="clear" w:color="auto" w:fill="FFFFFF" w:themeFill="background1"/>
              <w:rPr>
                <w:bCs/>
                <w:sz w:val="20"/>
                <w:szCs w:val="20"/>
              </w:rPr>
            </w:pPr>
            <w:r w:rsidRPr="005657CB">
              <w:rPr>
                <w:bCs/>
                <w:sz w:val="20"/>
                <w:szCs w:val="20"/>
              </w:rPr>
              <w:t>% market share by drug</w:t>
            </w:r>
          </w:p>
        </w:tc>
        <w:tc>
          <w:tcPr>
            <w:tcW w:w="500" w:type="pct"/>
            <w:noWrap/>
            <w:hideMark/>
          </w:tcPr>
          <w:p w14:paraId="0E0454A3" w14:textId="77777777" w:rsidR="00195034" w:rsidRPr="005657CB" w:rsidRDefault="00195034" w:rsidP="00564EFA">
            <w:pPr>
              <w:pStyle w:val="In-tableHeading"/>
              <w:shd w:val="clear" w:color="auto" w:fill="FFFFFF" w:themeFill="background1"/>
              <w:rPr>
                <w:bCs/>
                <w:sz w:val="20"/>
                <w:szCs w:val="20"/>
              </w:rPr>
            </w:pPr>
            <w:r w:rsidRPr="005657CB">
              <w:rPr>
                <w:bCs/>
                <w:sz w:val="20"/>
                <w:szCs w:val="20"/>
              </w:rPr>
              <w:t>% of Cap reached</w:t>
            </w:r>
          </w:p>
        </w:tc>
      </w:tr>
      <w:tr w:rsidR="00195034" w:rsidRPr="005657CB" w14:paraId="24A55098" w14:textId="77777777" w:rsidTr="000F6865">
        <w:trPr>
          <w:trHeight w:val="315"/>
        </w:trPr>
        <w:tc>
          <w:tcPr>
            <w:tcW w:w="1100" w:type="pct"/>
            <w:noWrap/>
            <w:hideMark/>
          </w:tcPr>
          <w:p w14:paraId="5C5A6E9D" w14:textId="77777777" w:rsidR="00195034" w:rsidRPr="005657CB" w:rsidRDefault="00195034" w:rsidP="00564EFA">
            <w:pPr>
              <w:pStyle w:val="TableText0"/>
              <w:shd w:val="clear" w:color="auto" w:fill="FFFFFF" w:themeFill="background1"/>
            </w:pPr>
            <w:r w:rsidRPr="005657CB">
              <w:t>1 Year (Apr-22 – Mar 23)</w:t>
            </w:r>
          </w:p>
        </w:tc>
        <w:tc>
          <w:tcPr>
            <w:tcW w:w="900" w:type="pct"/>
            <w:tcBorders>
              <w:bottom w:val="single" w:sz="4" w:space="0" w:color="auto"/>
            </w:tcBorders>
            <w:shd w:val="solid" w:color="000000" w:fill="000000"/>
            <w:noWrap/>
            <w:hideMark/>
          </w:tcPr>
          <w:p w14:paraId="14526E08" w14:textId="0BE613F3" w:rsidR="00195034" w:rsidRPr="005657CB" w:rsidRDefault="000F6865" w:rsidP="00564EFA">
            <w:pPr>
              <w:pStyle w:val="TableText0"/>
              <w:shd w:val="clear" w:color="auto" w:fill="FFFFFF" w:themeFill="background1"/>
            </w:pPr>
            <w:r w:rsidRPr="000F6865">
              <w:rPr>
                <w:color w:val="000000"/>
                <w:spacing w:val="213"/>
                <w:fitText w:val="290" w:id="-694419197"/>
                <w14:textFill>
                  <w14:solidFill>
                    <w14:srgbClr w14:val="000000">
                      <w14:alpha w14:val="100000"/>
                    </w14:srgbClr>
                  </w14:solidFill>
                </w14:textFill>
              </w:rPr>
              <w:t>|</w:t>
            </w:r>
            <w:r w:rsidRPr="000F6865">
              <w:rPr>
                <w:color w:val="000000"/>
                <w:fitText w:val="290" w:id="-694419197"/>
                <w14:textFill>
                  <w14:solidFill>
                    <w14:srgbClr w14:val="000000">
                      <w14:alpha w14:val="100000"/>
                    </w14:srgbClr>
                  </w14:solidFill>
                </w14:textFill>
              </w:rPr>
              <w:t>|</w:t>
            </w:r>
          </w:p>
        </w:tc>
        <w:tc>
          <w:tcPr>
            <w:tcW w:w="1100" w:type="pct"/>
            <w:tcBorders>
              <w:bottom w:val="single" w:sz="4" w:space="0" w:color="auto"/>
            </w:tcBorders>
            <w:shd w:val="solid" w:color="000000" w:fill="000000"/>
          </w:tcPr>
          <w:p w14:paraId="3953D916" w14:textId="40137A26" w:rsidR="00195034" w:rsidRPr="005657CB" w:rsidRDefault="000F6865" w:rsidP="00564EFA">
            <w:pPr>
              <w:pStyle w:val="TableText0"/>
              <w:shd w:val="clear" w:color="auto" w:fill="FFFFFF" w:themeFill="background1"/>
            </w:pPr>
            <w:r w:rsidRPr="000F6865">
              <w:rPr>
                <w:color w:val="000000"/>
                <w:spacing w:val="213"/>
                <w:fitText w:val="290" w:id="-694419196"/>
                <w14:textFill>
                  <w14:solidFill>
                    <w14:srgbClr w14:val="000000">
                      <w14:alpha w14:val="100000"/>
                    </w14:srgbClr>
                  </w14:solidFill>
                </w14:textFill>
              </w:rPr>
              <w:t>|</w:t>
            </w:r>
            <w:r w:rsidRPr="000F6865">
              <w:rPr>
                <w:color w:val="000000"/>
                <w:fitText w:val="290" w:id="-694419196"/>
                <w14:textFill>
                  <w14:solidFill>
                    <w14:srgbClr w14:val="000000">
                      <w14:alpha w14:val="100000"/>
                    </w14:srgbClr>
                  </w14:solidFill>
                </w14:textFill>
              </w:rPr>
              <w:t>|</w:t>
            </w:r>
          </w:p>
        </w:tc>
        <w:tc>
          <w:tcPr>
            <w:tcW w:w="1300" w:type="pct"/>
            <w:hideMark/>
          </w:tcPr>
          <w:p w14:paraId="60BBF2F6" w14:textId="181B9AAA" w:rsidR="00195034" w:rsidRPr="005657CB" w:rsidRDefault="00195034" w:rsidP="00564EFA">
            <w:pPr>
              <w:pStyle w:val="TableText0"/>
              <w:shd w:val="clear" w:color="auto" w:fill="FFFFFF" w:themeFill="background1"/>
            </w:pPr>
            <w:r w:rsidRPr="005657CB">
              <w:t xml:space="preserve">LUM/IVA: </w:t>
            </w:r>
            <w:r w:rsidR="000F6865" w:rsidRPr="000F6865">
              <w:rPr>
                <w:color w:val="000000"/>
                <w:spacing w:val="223"/>
                <w:shd w:val="solid" w:color="000000" w:fill="000000"/>
                <w:fitText w:val="300" w:id="-694419195"/>
                <w14:textFill>
                  <w14:solidFill>
                    <w14:srgbClr w14:val="000000">
                      <w14:alpha w14:val="100000"/>
                    </w14:srgbClr>
                  </w14:solidFill>
                </w14:textFill>
              </w:rPr>
              <w:t>|</w:t>
            </w:r>
            <w:r w:rsidR="000F6865" w:rsidRPr="000F6865">
              <w:rPr>
                <w:color w:val="000000"/>
                <w:spacing w:val="1"/>
                <w:shd w:val="solid" w:color="000000" w:fill="000000"/>
                <w:fitText w:val="300" w:id="-694419195"/>
                <w14:textFill>
                  <w14:solidFill>
                    <w14:srgbClr w14:val="000000">
                      <w14:alpha w14:val="100000"/>
                    </w14:srgbClr>
                  </w14:solidFill>
                </w14:textFill>
              </w:rPr>
              <w:t>|</w:t>
            </w:r>
            <w:r w:rsidRPr="005657CB">
              <w:t xml:space="preserve">%; TEZ/IVA: </w:t>
            </w:r>
            <w:r w:rsidR="000F6865" w:rsidRPr="000F6865">
              <w:rPr>
                <w:color w:val="000000"/>
                <w:spacing w:val="213"/>
                <w:shd w:val="solid" w:color="000000" w:fill="000000"/>
                <w:fitText w:val="290" w:id="-694419194"/>
                <w14:textFill>
                  <w14:solidFill>
                    <w14:srgbClr w14:val="000000">
                      <w14:alpha w14:val="100000"/>
                    </w14:srgbClr>
                  </w14:solidFill>
                </w14:textFill>
              </w:rPr>
              <w:t>|</w:t>
            </w:r>
            <w:r w:rsidR="000F6865" w:rsidRPr="000F6865">
              <w:rPr>
                <w:color w:val="000000"/>
                <w:spacing w:val="1"/>
                <w:shd w:val="solid" w:color="000000" w:fill="000000"/>
                <w:fitText w:val="290" w:id="-694419194"/>
                <w14:textFill>
                  <w14:solidFill>
                    <w14:srgbClr w14:val="000000">
                      <w14:alpha w14:val="100000"/>
                    </w14:srgbClr>
                  </w14:solidFill>
                </w14:textFill>
              </w:rPr>
              <w:t>|</w:t>
            </w:r>
            <w:r w:rsidRPr="005657CB">
              <w:t xml:space="preserve">%; ELX/TEZ/IVA: </w:t>
            </w:r>
            <w:r w:rsidR="000F6865" w:rsidRPr="000F6865">
              <w:rPr>
                <w:color w:val="000000"/>
                <w:spacing w:val="223"/>
                <w:shd w:val="solid" w:color="000000" w:fill="000000"/>
                <w:fitText w:val="300" w:id="-694419193"/>
                <w14:textFill>
                  <w14:solidFill>
                    <w14:srgbClr w14:val="000000">
                      <w14:alpha w14:val="100000"/>
                    </w14:srgbClr>
                  </w14:solidFill>
                </w14:textFill>
              </w:rPr>
              <w:t>|</w:t>
            </w:r>
            <w:r w:rsidR="000F6865" w:rsidRPr="000F6865">
              <w:rPr>
                <w:color w:val="000000"/>
                <w:spacing w:val="1"/>
                <w:shd w:val="solid" w:color="000000" w:fill="000000"/>
                <w:fitText w:val="300" w:id="-694419193"/>
                <w14:textFill>
                  <w14:solidFill>
                    <w14:srgbClr w14:val="000000">
                      <w14:alpha w14:val="100000"/>
                    </w14:srgbClr>
                  </w14:solidFill>
                </w14:textFill>
              </w:rPr>
              <w:t>|</w:t>
            </w:r>
            <w:r w:rsidRPr="005657CB">
              <w:t>%</w:t>
            </w:r>
          </w:p>
        </w:tc>
        <w:tc>
          <w:tcPr>
            <w:tcW w:w="500" w:type="pct"/>
            <w:noWrap/>
            <w:hideMark/>
          </w:tcPr>
          <w:p w14:paraId="2564BCA2" w14:textId="625EB222" w:rsidR="00195034" w:rsidRPr="005657CB" w:rsidRDefault="000F6865" w:rsidP="00564EFA">
            <w:pPr>
              <w:pStyle w:val="TableText0"/>
              <w:shd w:val="clear" w:color="auto" w:fill="FFFFFF" w:themeFill="background1"/>
            </w:pPr>
            <w:r w:rsidRPr="000F6865">
              <w:rPr>
                <w:color w:val="000000"/>
                <w:spacing w:val="213"/>
                <w:shd w:val="solid" w:color="000000" w:fill="000000"/>
                <w:fitText w:val="290" w:id="-694419192"/>
                <w14:textFill>
                  <w14:solidFill>
                    <w14:srgbClr w14:val="000000">
                      <w14:alpha w14:val="100000"/>
                    </w14:srgbClr>
                  </w14:solidFill>
                </w14:textFill>
              </w:rPr>
              <w:t>|</w:t>
            </w:r>
            <w:r w:rsidRPr="000F6865">
              <w:rPr>
                <w:color w:val="000000"/>
                <w:spacing w:val="1"/>
                <w:shd w:val="solid" w:color="000000" w:fill="000000"/>
                <w:fitText w:val="290" w:id="-694419192"/>
                <w14:textFill>
                  <w14:solidFill>
                    <w14:srgbClr w14:val="000000">
                      <w14:alpha w14:val="100000"/>
                    </w14:srgbClr>
                  </w14:solidFill>
                </w14:textFill>
              </w:rPr>
              <w:t>|</w:t>
            </w:r>
            <w:r w:rsidR="00195034" w:rsidRPr="005657CB">
              <w:t>%</w:t>
            </w:r>
          </w:p>
        </w:tc>
      </w:tr>
      <w:tr w:rsidR="00195034" w:rsidRPr="005657CB" w14:paraId="67729C16" w14:textId="77777777" w:rsidTr="000F6865">
        <w:trPr>
          <w:trHeight w:val="315"/>
        </w:trPr>
        <w:tc>
          <w:tcPr>
            <w:tcW w:w="1100" w:type="pct"/>
            <w:noWrap/>
            <w:hideMark/>
          </w:tcPr>
          <w:p w14:paraId="7511A478" w14:textId="77777777" w:rsidR="00195034" w:rsidRPr="005657CB" w:rsidRDefault="00195034" w:rsidP="00564EFA">
            <w:pPr>
              <w:pStyle w:val="TableText0"/>
              <w:shd w:val="clear" w:color="auto" w:fill="FFFFFF" w:themeFill="background1"/>
            </w:pPr>
            <w:r w:rsidRPr="005657CB">
              <w:t>2 Year (Apr-23 – Mar 24)</w:t>
            </w:r>
          </w:p>
        </w:tc>
        <w:tc>
          <w:tcPr>
            <w:tcW w:w="900" w:type="pct"/>
            <w:tcBorders>
              <w:bottom w:val="single" w:sz="4" w:space="0" w:color="auto"/>
            </w:tcBorders>
            <w:shd w:val="solid" w:color="000000" w:fill="000000"/>
            <w:noWrap/>
            <w:hideMark/>
          </w:tcPr>
          <w:p w14:paraId="40DF73D9" w14:textId="307A4F8A" w:rsidR="00195034" w:rsidRPr="005657CB" w:rsidRDefault="000F6865" w:rsidP="00564EFA">
            <w:pPr>
              <w:pStyle w:val="TableText0"/>
              <w:shd w:val="clear" w:color="auto" w:fill="FFFFFF" w:themeFill="background1"/>
            </w:pPr>
            <w:r w:rsidRPr="000F6865">
              <w:rPr>
                <w:color w:val="000000"/>
                <w:spacing w:val="213"/>
                <w:fitText w:val="290" w:id="-694419191"/>
                <w14:textFill>
                  <w14:solidFill>
                    <w14:srgbClr w14:val="000000">
                      <w14:alpha w14:val="100000"/>
                    </w14:srgbClr>
                  </w14:solidFill>
                </w14:textFill>
              </w:rPr>
              <w:t>|</w:t>
            </w:r>
            <w:r w:rsidRPr="000F6865">
              <w:rPr>
                <w:color w:val="000000"/>
                <w:fitText w:val="290" w:id="-694419191"/>
                <w14:textFill>
                  <w14:solidFill>
                    <w14:srgbClr w14:val="000000">
                      <w14:alpha w14:val="100000"/>
                    </w14:srgbClr>
                  </w14:solidFill>
                </w14:textFill>
              </w:rPr>
              <w:t>|</w:t>
            </w:r>
          </w:p>
        </w:tc>
        <w:tc>
          <w:tcPr>
            <w:tcW w:w="1100" w:type="pct"/>
            <w:tcBorders>
              <w:bottom w:val="single" w:sz="4" w:space="0" w:color="auto"/>
            </w:tcBorders>
            <w:shd w:val="solid" w:color="000000" w:fill="000000"/>
          </w:tcPr>
          <w:p w14:paraId="576C272B" w14:textId="0A9A7ADA" w:rsidR="00195034" w:rsidRPr="005657CB" w:rsidRDefault="000F6865" w:rsidP="00564EFA">
            <w:pPr>
              <w:pStyle w:val="TableText0"/>
              <w:shd w:val="clear" w:color="auto" w:fill="FFFFFF" w:themeFill="background1"/>
            </w:pPr>
            <w:r w:rsidRPr="000F6865">
              <w:rPr>
                <w:color w:val="000000"/>
                <w:spacing w:val="213"/>
                <w:fitText w:val="290" w:id="-694419190"/>
                <w14:textFill>
                  <w14:solidFill>
                    <w14:srgbClr w14:val="000000">
                      <w14:alpha w14:val="100000"/>
                    </w14:srgbClr>
                  </w14:solidFill>
                </w14:textFill>
              </w:rPr>
              <w:t>|</w:t>
            </w:r>
            <w:r w:rsidRPr="000F6865">
              <w:rPr>
                <w:color w:val="000000"/>
                <w:fitText w:val="290" w:id="-694419190"/>
                <w14:textFill>
                  <w14:solidFill>
                    <w14:srgbClr w14:val="000000">
                      <w14:alpha w14:val="100000"/>
                    </w14:srgbClr>
                  </w14:solidFill>
                </w14:textFill>
              </w:rPr>
              <w:t>|</w:t>
            </w:r>
          </w:p>
        </w:tc>
        <w:tc>
          <w:tcPr>
            <w:tcW w:w="1300" w:type="pct"/>
            <w:hideMark/>
          </w:tcPr>
          <w:p w14:paraId="6B278691" w14:textId="787B5084" w:rsidR="00195034" w:rsidRPr="005657CB" w:rsidRDefault="00195034" w:rsidP="00564EFA">
            <w:pPr>
              <w:pStyle w:val="TableText0"/>
              <w:shd w:val="clear" w:color="auto" w:fill="FFFFFF" w:themeFill="background1"/>
            </w:pPr>
            <w:r w:rsidRPr="005657CB">
              <w:t xml:space="preserve">LUM/IVA: </w:t>
            </w:r>
            <w:r w:rsidR="000F6865" w:rsidRPr="000F6865">
              <w:rPr>
                <w:color w:val="000000"/>
                <w:spacing w:val="223"/>
                <w:shd w:val="solid" w:color="000000" w:fill="000000"/>
                <w:fitText w:val="300" w:id="-694419189"/>
                <w14:textFill>
                  <w14:solidFill>
                    <w14:srgbClr w14:val="000000">
                      <w14:alpha w14:val="100000"/>
                    </w14:srgbClr>
                  </w14:solidFill>
                </w14:textFill>
              </w:rPr>
              <w:t>|</w:t>
            </w:r>
            <w:r w:rsidR="000F6865" w:rsidRPr="000F6865">
              <w:rPr>
                <w:color w:val="000000"/>
                <w:spacing w:val="1"/>
                <w:shd w:val="solid" w:color="000000" w:fill="000000"/>
                <w:fitText w:val="300" w:id="-694419189"/>
                <w14:textFill>
                  <w14:solidFill>
                    <w14:srgbClr w14:val="000000">
                      <w14:alpha w14:val="100000"/>
                    </w14:srgbClr>
                  </w14:solidFill>
                </w14:textFill>
              </w:rPr>
              <w:t>|</w:t>
            </w:r>
            <w:r w:rsidRPr="005657CB">
              <w:t xml:space="preserve">%; TEZ/IVA: </w:t>
            </w:r>
            <w:r w:rsidR="000F6865" w:rsidRPr="000F6865">
              <w:rPr>
                <w:color w:val="000000"/>
                <w:spacing w:val="213"/>
                <w:shd w:val="solid" w:color="000000" w:fill="000000"/>
                <w:fitText w:val="290" w:id="-694419188"/>
                <w14:textFill>
                  <w14:solidFill>
                    <w14:srgbClr w14:val="000000">
                      <w14:alpha w14:val="100000"/>
                    </w14:srgbClr>
                  </w14:solidFill>
                </w14:textFill>
              </w:rPr>
              <w:t>|</w:t>
            </w:r>
            <w:r w:rsidR="000F6865" w:rsidRPr="000F6865">
              <w:rPr>
                <w:color w:val="000000"/>
                <w:spacing w:val="1"/>
                <w:shd w:val="solid" w:color="000000" w:fill="000000"/>
                <w:fitText w:val="290" w:id="-694419188"/>
                <w14:textFill>
                  <w14:solidFill>
                    <w14:srgbClr w14:val="000000">
                      <w14:alpha w14:val="100000"/>
                    </w14:srgbClr>
                  </w14:solidFill>
                </w14:textFill>
              </w:rPr>
              <w:t>|</w:t>
            </w:r>
            <w:r w:rsidRPr="005657CB">
              <w:t>% ELX/TEZ/IVA:</w:t>
            </w:r>
            <w:r w:rsidR="000F6865" w:rsidRPr="000F6865">
              <w:rPr>
                <w:color w:val="000000"/>
                <w:spacing w:val="223"/>
                <w:shd w:val="solid" w:color="000000" w:fill="000000"/>
                <w:fitText w:val="300" w:id="-694419187"/>
                <w14:textFill>
                  <w14:solidFill>
                    <w14:srgbClr w14:val="000000">
                      <w14:alpha w14:val="100000"/>
                    </w14:srgbClr>
                  </w14:solidFill>
                </w14:textFill>
              </w:rPr>
              <w:t>|</w:t>
            </w:r>
            <w:r w:rsidR="000F6865" w:rsidRPr="000F6865">
              <w:rPr>
                <w:color w:val="000000"/>
                <w:spacing w:val="1"/>
                <w:shd w:val="solid" w:color="000000" w:fill="000000"/>
                <w:fitText w:val="300" w:id="-694419187"/>
                <w14:textFill>
                  <w14:solidFill>
                    <w14:srgbClr w14:val="000000">
                      <w14:alpha w14:val="100000"/>
                    </w14:srgbClr>
                  </w14:solidFill>
                </w14:textFill>
              </w:rPr>
              <w:t>|</w:t>
            </w:r>
            <w:r w:rsidRPr="005657CB">
              <w:t>%</w:t>
            </w:r>
          </w:p>
        </w:tc>
        <w:tc>
          <w:tcPr>
            <w:tcW w:w="500" w:type="pct"/>
            <w:noWrap/>
            <w:hideMark/>
          </w:tcPr>
          <w:p w14:paraId="666262BB" w14:textId="615EF806" w:rsidR="00195034" w:rsidRPr="005657CB" w:rsidRDefault="000F6865" w:rsidP="00564EFA">
            <w:pPr>
              <w:pStyle w:val="TableText0"/>
              <w:shd w:val="clear" w:color="auto" w:fill="FFFFFF" w:themeFill="background1"/>
            </w:pPr>
            <w:r w:rsidRPr="000F6865">
              <w:rPr>
                <w:color w:val="000000"/>
                <w:spacing w:val="213"/>
                <w:shd w:val="solid" w:color="000000" w:fill="000000"/>
                <w:fitText w:val="290" w:id="-694419186"/>
                <w14:textFill>
                  <w14:solidFill>
                    <w14:srgbClr w14:val="000000">
                      <w14:alpha w14:val="100000"/>
                    </w14:srgbClr>
                  </w14:solidFill>
                </w14:textFill>
              </w:rPr>
              <w:t>|</w:t>
            </w:r>
            <w:r w:rsidRPr="000F6865">
              <w:rPr>
                <w:color w:val="000000"/>
                <w:spacing w:val="1"/>
                <w:shd w:val="solid" w:color="000000" w:fill="000000"/>
                <w:fitText w:val="290" w:id="-694419186"/>
                <w14:textFill>
                  <w14:solidFill>
                    <w14:srgbClr w14:val="000000">
                      <w14:alpha w14:val="100000"/>
                    </w14:srgbClr>
                  </w14:solidFill>
                </w14:textFill>
              </w:rPr>
              <w:t>|</w:t>
            </w:r>
            <w:r w:rsidR="00195034" w:rsidRPr="005657CB">
              <w:t>%</w:t>
            </w:r>
          </w:p>
        </w:tc>
      </w:tr>
      <w:tr w:rsidR="00195034" w:rsidRPr="005657CB" w14:paraId="07EF9354" w14:textId="77777777" w:rsidTr="000F6865">
        <w:trPr>
          <w:trHeight w:val="315"/>
        </w:trPr>
        <w:tc>
          <w:tcPr>
            <w:tcW w:w="1100" w:type="pct"/>
            <w:noWrap/>
            <w:hideMark/>
          </w:tcPr>
          <w:p w14:paraId="32DAF75F" w14:textId="77777777" w:rsidR="00195034" w:rsidRPr="005657CB" w:rsidRDefault="00195034" w:rsidP="00564EFA">
            <w:pPr>
              <w:pStyle w:val="TableText0"/>
              <w:shd w:val="clear" w:color="auto" w:fill="FFFFFF" w:themeFill="background1"/>
            </w:pPr>
            <w:r w:rsidRPr="005657CB">
              <w:t>3 Year (Apr-24 – Mar 25)</w:t>
            </w:r>
          </w:p>
        </w:tc>
        <w:tc>
          <w:tcPr>
            <w:tcW w:w="900" w:type="pct"/>
            <w:tcBorders>
              <w:bottom w:val="single" w:sz="4" w:space="0" w:color="auto"/>
            </w:tcBorders>
            <w:shd w:val="solid" w:color="000000" w:fill="000000"/>
            <w:noWrap/>
          </w:tcPr>
          <w:p w14:paraId="1550C943" w14:textId="3F65FD41" w:rsidR="00195034" w:rsidRPr="005657CB" w:rsidRDefault="000F6865" w:rsidP="00564EFA">
            <w:pPr>
              <w:pStyle w:val="TableText0"/>
              <w:shd w:val="clear" w:color="auto" w:fill="FFFFFF" w:themeFill="background1"/>
            </w:pPr>
            <w:r w:rsidRPr="000F6865">
              <w:rPr>
                <w:color w:val="000000"/>
                <w:spacing w:val="213"/>
                <w:fitText w:val="290" w:id="-694419185"/>
                <w14:textFill>
                  <w14:solidFill>
                    <w14:srgbClr w14:val="000000">
                      <w14:alpha w14:val="100000"/>
                    </w14:srgbClr>
                  </w14:solidFill>
                </w14:textFill>
              </w:rPr>
              <w:t>|</w:t>
            </w:r>
            <w:r w:rsidRPr="000F6865">
              <w:rPr>
                <w:color w:val="000000"/>
                <w:fitText w:val="290" w:id="-694419185"/>
                <w14:textFill>
                  <w14:solidFill>
                    <w14:srgbClr w14:val="000000">
                      <w14:alpha w14:val="100000"/>
                    </w14:srgbClr>
                  </w14:solidFill>
                </w14:textFill>
              </w:rPr>
              <w:t>|</w:t>
            </w:r>
          </w:p>
        </w:tc>
        <w:tc>
          <w:tcPr>
            <w:tcW w:w="1100" w:type="pct"/>
            <w:shd w:val="solid" w:color="000000" w:fill="000000"/>
          </w:tcPr>
          <w:p w14:paraId="5745C955" w14:textId="76D14771" w:rsidR="00195034" w:rsidRPr="005657CB" w:rsidRDefault="000F6865" w:rsidP="00564EFA">
            <w:pPr>
              <w:pStyle w:val="TableText0"/>
              <w:shd w:val="clear" w:color="auto" w:fill="FFFFFF" w:themeFill="background1"/>
            </w:pPr>
            <w:r w:rsidRPr="000F6865">
              <w:rPr>
                <w:color w:val="000000"/>
                <w:spacing w:val="213"/>
                <w:fitText w:val="290" w:id="-694419184"/>
                <w14:textFill>
                  <w14:solidFill>
                    <w14:srgbClr w14:val="000000">
                      <w14:alpha w14:val="100000"/>
                    </w14:srgbClr>
                  </w14:solidFill>
                </w14:textFill>
              </w:rPr>
              <w:t>|</w:t>
            </w:r>
            <w:r w:rsidRPr="000F6865">
              <w:rPr>
                <w:color w:val="000000"/>
                <w:fitText w:val="290" w:id="-694419184"/>
                <w14:textFill>
                  <w14:solidFill>
                    <w14:srgbClr w14:val="000000">
                      <w14:alpha w14:val="100000"/>
                    </w14:srgbClr>
                  </w14:solidFill>
                </w14:textFill>
              </w:rPr>
              <w:t>|</w:t>
            </w:r>
          </w:p>
        </w:tc>
        <w:tc>
          <w:tcPr>
            <w:tcW w:w="1300" w:type="pct"/>
          </w:tcPr>
          <w:p w14:paraId="2B49B259" w14:textId="5D968579" w:rsidR="00195034" w:rsidRPr="005657CB" w:rsidRDefault="00195034" w:rsidP="00564EFA">
            <w:pPr>
              <w:pStyle w:val="TableText0"/>
              <w:shd w:val="clear" w:color="auto" w:fill="FFFFFF" w:themeFill="background1"/>
            </w:pPr>
            <w:r w:rsidRPr="005657CB">
              <w:t xml:space="preserve">LUM/IVA: </w:t>
            </w:r>
            <w:r w:rsidR="000F6865" w:rsidRPr="000F6865">
              <w:rPr>
                <w:color w:val="000000"/>
                <w:spacing w:val="223"/>
                <w:shd w:val="solid" w:color="000000" w:fill="000000"/>
                <w:fitText w:val="300" w:id="-694419200"/>
                <w14:textFill>
                  <w14:solidFill>
                    <w14:srgbClr w14:val="000000">
                      <w14:alpha w14:val="100000"/>
                    </w14:srgbClr>
                  </w14:solidFill>
                </w14:textFill>
              </w:rPr>
              <w:t>|</w:t>
            </w:r>
            <w:r w:rsidR="000F6865" w:rsidRPr="000F6865">
              <w:rPr>
                <w:color w:val="000000"/>
                <w:spacing w:val="1"/>
                <w:shd w:val="solid" w:color="000000" w:fill="000000"/>
                <w:fitText w:val="300" w:id="-694419200"/>
                <w14:textFill>
                  <w14:solidFill>
                    <w14:srgbClr w14:val="000000">
                      <w14:alpha w14:val="100000"/>
                    </w14:srgbClr>
                  </w14:solidFill>
                </w14:textFill>
              </w:rPr>
              <w:t>|</w:t>
            </w:r>
            <w:r w:rsidRPr="005657CB">
              <w:t xml:space="preserve">%; TEZ/IVA: </w:t>
            </w:r>
            <w:r w:rsidR="000F6865" w:rsidRPr="000F6865">
              <w:rPr>
                <w:color w:val="000000"/>
                <w:spacing w:val="213"/>
                <w:shd w:val="solid" w:color="000000" w:fill="000000"/>
                <w:fitText w:val="290" w:id="-694419199"/>
                <w14:textFill>
                  <w14:solidFill>
                    <w14:srgbClr w14:val="000000">
                      <w14:alpha w14:val="100000"/>
                    </w14:srgbClr>
                  </w14:solidFill>
                </w14:textFill>
              </w:rPr>
              <w:t>|</w:t>
            </w:r>
            <w:r w:rsidR="000F6865" w:rsidRPr="000F6865">
              <w:rPr>
                <w:color w:val="000000"/>
                <w:spacing w:val="1"/>
                <w:shd w:val="solid" w:color="000000" w:fill="000000"/>
                <w:fitText w:val="290" w:id="-694419199"/>
                <w14:textFill>
                  <w14:solidFill>
                    <w14:srgbClr w14:val="000000">
                      <w14:alpha w14:val="100000"/>
                    </w14:srgbClr>
                  </w14:solidFill>
                </w14:textFill>
              </w:rPr>
              <w:t>|</w:t>
            </w:r>
            <w:r w:rsidRPr="005657CB">
              <w:t>% ELX/TEZ/IVA:</w:t>
            </w:r>
            <w:r w:rsidR="000F6865" w:rsidRPr="000F6865">
              <w:rPr>
                <w:color w:val="000000"/>
                <w:spacing w:val="223"/>
                <w:shd w:val="solid" w:color="000000" w:fill="000000"/>
                <w:fitText w:val="300" w:id="-694419198"/>
                <w14:textFill>
                  <w14:solidFill>
                    <w14:srgbClr w14:val="000000">
                      <w14:alpha w14:val="100000"/>
                    </w14:srgbClr>
                  </w14:solidFill>
                </w14:textFill>
              </w:rPr>
              <w:t>|</w:t>
            </w:r>
            <w:r w:rsidR="000F6865" w:rsidRPr="000F6865">
              <w:rPr>
                <w:color w:val="000000"/>
                <w:spacing w:val="1"/>
                <w:shd w:val="solid" w:color="000000" w:fill="000000"/>
                <w:fitText w:val="300" w:id="-694419198"/>
                <w14:textFill>
                  <w14:solidFill>
                    <w14:srgbClr w14:val="000000">
                      <w14:alpha w14:val="100000"/>
                    </w14:srgbClr>
                  </w14:solidFill>
                </w14:textFill>
              </w:rPr>
              <w:t>|</w:t>
            </w:r>
            <w:r w:rsidRPr="005657CB">
              <w:t xml:space="preserve">%; IVA </w:t>
            </w:r>
            <w:r w:rsidRPr="004133D4">
              <w:t>6</w:t>
            </w:r>
            <w:r w:rsidRPr="005657CB">
              <w:t>%</w:t>
            </w:r>
          </w:p>
        </w:tc>
        <w:tc>
          <w:tcPr>
            <w:tcW w:w="500" w:type="pct"/>
            <w:noWrap/>
          </w:tcPr>
          <w:p w14:paraId="454BCC76" w14:textId="3D9BD73C" w:rsidR="00195034" w:rsidRPr="005657CB" w:rsidRDefault="000F6865" w:rsidP="00564EFA">
            <w:pPr>
              <w:pStyle w:val="TableText0"/>
              <w:shd w:val="clear" w:color="auto" w:fill="FFFFFF" w:themeFill="background1"/>
            </w:pPr>
            <w:r w:rsidRPr="000F6865">
              <w:rPr>
                <w:color w:val="000000"/>
                <w:spacing w:val="213"/>
                <w:shd w:val="solid" w:color="000000" w:fill="000000"/>
                <w:fitText w:val="290" w:id="-694419197"/>
                <w14:textFill>
                  <w14:solidFill>
                    <w14:srgbClr w14:val="000000">
                      <w14:alpha w14:val="100000"/>
                    </w14:srgbClr>
                  </w14:solidFill>
                </w14:textFill>
              </w:rPr>
              <w:t>|</w:t>
            </w:r>
            <w:r w:rsidRPr="000F6865">
              <w:rPr>
                <w:color w:val="000000"/>
                <w:spacing w:val="1"/>
                <w:shd w:val="solid" w:color="000000" w:fill="000000"/>
                <w:fitText w:val="290" w:id="-694419197"/>
                <w14:textFill>
                  <w14:solidFill>
                    <w14:srgbClr w14:val="000000">
                      <w14:alpha w14:val="100000"/>
                    </w14:srgbClr>
                  </w14:solidFill>
                </w14:textFill>
              </w:rPr>
              <w:t>|</w:t>
            </w:r>
            <w:r w:rsidR="007D2200" w:rsidRPr="005657CB">
              <w:t>%</w:t>
            </w:r>
          </w:p>
        </w:tc>
      </w:tr>
      <w:tr w:rsidR="00195034" w:rsidRPr="005657CB" w14:paraId="6B4AEA08" w14:textId="77777777" w:rsidTr="000F6865">
        <w:trPr>
          <w:trHeight w:val="315"/>
        </w:trPr>
        <w:tc>
          <w:tcPr>
            <w:tcW w:w="1100" w:type="pct"/>
            <w:noWrap/>
            <w:hideMark/>
          </w:tcPr>
          <w:p w14:paraId="0CF3A36F" w14:textId="77777777" w:rsidR="00195034" w:rsidRPr="005657CB" w:rsidRDefault="00195034" w:rsidP="00564EFA">
            <w:pPr>
              <w:pStyle w:val="TableText0"/>
              <w:shd w:val="clear" w:color="auto" w:fill="FFFFFF" w:themeFill="background1"/>
            </w:pPr>
            <w:r w:rsidRPr="005657CB">
              <w:t>4 Year (Apr-25 – Mar 26)</w:t>
            </w:r>
          </w:p>
        </w:tc>
        <w:tc>
          <w:tcPr>
            <w:tcW w:w="900" w:type="pct"/>
            <w:tcBorders>
              <w:bottom w:val="single" w:sz="4" w:space="0" w:color="auto"/>
            </w:tcBorders>
            <w:shd w:val="solid" w:color="000000" w:fill="000000"/>
            <w:noWrap/>
          </w:tcPr>
          <w:p w14:paraId="79D1895A" w14:textId="5E3303EB" w:rsidR="00195034" w:rsidRPr="005657CB" w:rsidRDefault="000F6865" w:rsidP="00564EFA">
            <w:pPr>
              <w:pStyle w:val="TableText0"/>
              <w:shd w:val="clear" w:color="auto" w:fill="FFFFFF" w:themeFill="background1"/>
            </w:pPr>
            <w:r w:rsidRPr="000F6865">
              <w:rPr>
                <w:color w:val="000000"/>
                <w:spacing w:val="213"/>
                <w:fitText w:val="290" w:id="-694419196"/>
                <w14:textFill>
                  <w14:solidFill>
                    <w14:srgbClr w14:val="000000">
                      <w14:alpha w14:val="100000"/>
                    </w14:srgbClr>
                  </w14:solidFill>
                </w14:textFill>
              </w:rPr>
              <w:t>|</w:t>
            </w:r>
            <w:r w:rsidRPr="000F6865">
              <w:rPr>
                <w:color w:val="000000"/>
                <w:fitText w:val="290" w:id="-694419196"/>
                <w14:textFill>
                  <w14:solidFill>
                    <w14:srgbClr w14:val="000000">
                      <w14:alpha w14:val="100000"/>
                    </w14:srgbClr>
                  </w14:solidFill>
                </w14:textFill>
              </w:rPr>
              <w:t>|</w:t>
            </w:r>
          </w:p>
        </w:tc>
        <w:tc>
          <w:tcPr>
            <w:tcW w:w="1100" w:type="pct"/>
          </w:tcPr>
          <w:p w14:paraId="768F2C17" w14:textId="77777777" w:rsidR="00195034" w:rsidRPr="005657CB" w:rsidRDefault="00195034" w:rsidP="00564EFA">
            <w:pPr>
              <w:pStyle w:val="TableText0"/>
              <w:shd w:val="clear" w:color="auto" w:fill="FFFFFF" w:themeFill="background1"/>
            </w:pPr>
          </w:p>
        </w:tc>
        <w:tc>
          <w:tcPr>
            <w:tcW w:w="1300" w:type="pct"/>
          </w:tcPr>
          <w:p w14:paraId="6D9B6BDC" w14:textId="77777777" w:rsidR="00195034" w:rsidRPr="005657CB" w:rsidRDefault="00195034" w:rsidP="00564EFA">
            <w:pPr>
              <w:pStyle w:val="TableText0"/>
              <w:shd w:val="clear" w:color="auto" w:fill="FFFFFF" w:themeFill="background1"/>
            </w:pPr>
          </w:p>
        </w:tc>
        <w:tc>
          <w:tcPr>
            <w:tcW w:w="500" w:type="pct"/>
            <w:noWrap/>
          </w:tcPr>
          <w:p w14:paraId="7E85BA59" w14:textId="77777777" w:rsidR="00195034" w:rsidRPr="005657CB" w:rsidRDefault="00195034" w:rsidP="00564EFA">
            <w:pPr>
              <w:pStyle w:val="TableText0"/>
              <w:shd w:val="clear" w:color="auto" w:fill="FFFFFF" w:themeFill="background1"/>
            </w:pPr>
          </w:p>
        </w:tc>
      </w:tr>
      <w:tr w:rsidR="00195034" w:rsidRPr="005657CB" w14:paraId="6AE62AFD" w14:textId="77777777" w:rsidTr="000F6865">
        <w:trPr>
          <w:trHeight w:val="315"/>
        </w:trPr>
        <w:tc>
          <w:tcPr>
            <w:tcW w:w="1100" w:type="pct"/>
            <w:noWrap/>
            <w:hideMark/>
          </w:tcPr>
          <w:p w14:paraId="34011EEE" w14:textId="77777777" w:rsidR="00195034" w:rsidRPr="005657CB" w:rsidRDefault="00195034" w:rsidP="00564EFA">
            <w:pPr>
              <w:pStyle w:val="TableText0"/>
              <w:shd w:val="clear" w:color="auto" w:fill="FFFFFF" w:themeFill="background1"/>
            </w:pPr>
            <w:r w:rsidRPr="005657CB">
              <w:t>5 Year (Apr-26 – Mar 27)</w:t>
            </w:r>
          </w:p>
        </w:tc>
        <w:tc>
          <w:tcPr>
            <w:tcW w:w="900" w:type="pct"/>
            <w:shd w:val="solid" w:color="000000" w:fill="000000"/>
            <w:noWrap/>
          </w:tcPr>
          <w:p w14:paraId="2A0C6B33" w14:textId="5CB79A16" w:rsidR="00195034" w:rsidRPr="005657CB" w:rsidRDefault="000F6865" w:rsidP="00564EFA">
            <w:pPr>
              <w:pStyle w:val="TableText0"/>
              <w:shd w:val="clear" w:color="auto" w:fill="FFFFFF" w:themeFill="background1"/>
            </w:pPr>
            <w:r w:rsidRPr="000F6865">
              <w:rPr>
                <w:color w:val="000000"/>
                <w:spacing w:val="213"/>
                <w:fitText w:val="290" w:id="-694419195"/>
                <w14:textFill>
                  <w14:solidFill>
                    <w14:srgbClr w14:val="000000">
                      <w14:alpha w14:val="100000"/>
                    </w14:srgbClr>
                  </w14:solidFill>
                </w14:textFill>
              </w:rPr>
              <w:t>|</w:t>
            </w:r>
            <w:r w:rsidRPr="000F6865">
              <w:rPr>
                <w:color w:val="000000"/>
                <w:fitText w:val="290" w:id="-694419195"/>
                <w14:textFill>
                  <w14:solidFill>
                    <w14:srgbClr w14:val="000000">
                      <w14:alpha w14:val="100000"/>
                    </w14:srgbClr>
                  </w14:solidFill>
                </w14:textFill>
              </w:rPr>
              <w:t>|</w:t>
            </w:r>
          </w:p>
        </w:tc>
        <w:tc>
          <w:tcPr>
            <w:tcW w:w="1100" w:type="pct"/>
          </w:tcPr>
          <w:p w14:paraId="39795C18" w14:textId="77777777" w:rsidR="00195034" w:rsidRPr="005657CB" w:rsidRDefault="00195034" w:rsidP="00564EFA">
            <w:pPr>
              <w:pStyle w:val="TableText0"/>
              <w:shd w:val="clear" w:color="auto" w:fill="FFFFFF" w:themeFill="background1"/>
            </w:pPr>
          </w:p>
        </w:tc>
        <w:tc>
          <w:tcPr>
            <w:tcW w:w="1300" w:type="pct"/>
          </w:tcPr>
          <w:p w14:paraId="7FCED304" w14:textId="77777777" w:rsidR="00195034" w:rsidRPr="005657CB" w:rsidRDefault="00195034" w:rsidP="00564EFA">
            <w:pPr>
              <w:pStyle w:val="TableText0"/>
              <w:shd w:val="clear" w:color="auto" w:fill="FFFFFF" w:themeFill="background1"/>
            </w:pPr>
          </w:p>
        </w:tc>
        <w:tc>
          <w:tcPr>
            <w:tcW w:w="500" w:type="pct"/>
            <w:noWrap/>
          </w:tcPr>
          <w:p w14:paraId="3C82398A" w14:textId="77777777" w:rsidR="00195034" w:rsidRPr="005657CB" w:rsidRDefault="00195034" w:rsidP="00564EFA">
            <w:pPr>
              <w:pStyle w:val="TableText0"/>
              <w:shd w:val="clear" w:color="auto" w:fill="FFFFFF" w:themeFill="background1"/>
            </w:pPr>
          </w:p>
        </w:tc>
      </w:tr>
    </w:tbl>
    <w:p w14:paraId="1B0C0D2B" w14:textId="77777777" w:rsidR="00195034" w:rsidRPr="005657CB" w:rsidRDefault="00195034" w:rsidP="00564EFA">
      <w:pPr>
        <w:pStyle w:val="TableFigureFooter"/>
        <w:shd w:val="clear" w:color="auto" w:fill="FFFFFF" w:themeFill="background1"/>
        <w:rPr>
          <w:rFonts w:eastAsiaTheme="minorHAnsi"/>
        </w:rPr>
      </w:pPr>
      <w:r w:rsidRPr="005657CB">
        <w:rPr>
          <w:rFonts w:eastAsiaTheme="minorHAnsi"/>
        </w:rPr>
        <w:t>Source: Department of Health</w:t>
      </w:r>
    </w:p>
    <w:p w14:paraId="3861FBC5" w14:textId="77777777" w:rsidR="00195034" w:rsidRPr="005657CB" w:rsidRDefault="00195034" w:rsidP="00564EFA">
      <w:pPr>
        <w:pStyle w:val="TableFigureFooter"/>
        <w:shd w:val="clear" w:color="auto" w:fill="FFFFFF" w:themeFill="background1"/>
        <w:rPr>
          <w:rFonts w:eastAsiaTheme="minorHAnsi"/>
        </w:rPr>
      </w:pPr>
      <w:r w:rsidRPr="005657CB">
        <w:rPr>
          <w:rFonts w:eastAsiaTheme="minorHAnsi"/>
        </w:rPr>
        <w:t xml:space="preserve">ELX/TEZ/IVA = </w:t>
      </w:r>
      <w:proofErr w:type="spellStart"/>
      <w:r w:rsidRPr="005657CB">
        <w:rPr>
          <w:rFonts w:eastAsiaTheme="minorHAnsi"/>
        </w:rPr>
        <w:t>elexacaftor</w:t>
      </w:r>
      <w:proofErr w:type="spellEnd"/>
      <w:r w:rsidRPr="005657CB">
        <w:rPr>
          <w:rFonts w:eastAsiaTheme="minorHAnsi"/>
        </w:rPr>
        <w:t>/</w:t>
      </w:r>
      <w:proofErr w:type="spellStart"/>
      <w:r w:rsidRPr="005657CB">
        <w:rPr>
          <w:rFonts w:eastAsiaTheme="minorHAnsi"/>
        </w:rPr>
        <w:t>tezacaftor</w:t>
      </w:r>
      <w:proofErr w:type="spellEnd"/>
      <w:r w:rsidRPr="005657CB">
        <w:rPr>
          <w:rFonts w:eastAsiaTheme="minorHAnsi"/>
        </w:rPr>
        <w:t xml:space="preserve">/ivacaftor; IVA = ivacaftor; LUM/IVA = lumacaftor/ivacaftor; TEZ/IVA = </w:t>
      </w:r>
      <w:proofErr w:type="spellStart"/>
      <w:r w:rsidRPr="005657CB">
        <w:rPr>
          <w:rFonts w:eastAsiaTheme="minorHAnsi"/>
        </w:rPr>
        <w:t>tezacaftor</w:t>
      </w:r>
      <w:proofErr w:type="spellEnd"/>
      <w:r w:rsidRPr="005657CB">
        <w:rPr>
          <w:rFonts w:eastAsiaTheme="minorHAnsi"/>
        </w:rPr>
        <w:t>/ivacaftor</w:t>
      </w:r>
    </w:p>
    <w:p w14:paraId="2204838B" w14:textId="7F34A30F" w:rsidR="00195034" w:rsidRPr="0078234E" w:rsidRDefault="00195034" w:rsidP="00564EFA">
      <w:pPr>
        <w:pStyle w:val="TableFigureFooter"/>
        <w:shd w:val="clear" w:color="auto" w:fill="FFFFFF" w:themeFill="background1"/>
        <w:rPr>
          <w:rFonts w:eastAsiaTheme="minorEastAsia"/>
        </w:rPr>
      </w:pPr>
      <w:r w:rsidRPr="005657CB">
        <w:rPr>
          <w:rFonts w:eastAsiaTheme="minorEastAsia"/>
        </w:rPr>
        <w:t>Note: </w:t>
      </w:r>
      <w:r w:rsidRPr="005657CB">
        <w:rPr>
          <w:rFonts w:ascii="Aptos" w:eastAsiaTheme="minorEastAsia" w:hAnsi="Aptos" w:cs="Calibri"/>
          <w:sz w:val="22"/>
          <w:lang w:eastAsia="en-US"/>
        </w:rPr>
        <w:t xml:space="preserve"> </w:t>
      </w:r>
      <w:r w:rsidRPr="005657CB">
        <w:rPr>
          <w:rFonts w:eastAsiaTheme="minorEastAsia"/>
        </w:rPr>
        <w:t xml:space="preserve">Year 3 contains </w:t>
      </w:r>
      <w:r w:rsidR="00A31900" w:rsidRPr="005657CB">
        <w:rPr>
          <w:rFonts w:eastAsiaTheme="minorEastAsia"/>
        </w:rPr>
        <w:t>10</w:t>
      </w:r>
      <w:r w:rsidRPr="005657CB">
        <w:rPr>
          <w:rFonts w:eastAsiaTheme="minorEastAsia"/>
        </w:rPr>
        <w:t xml:space="preserve"> months of data only and the draft amounts may change subject to end of financial year adjustments.</w:t>
      </w:r>
    </w:p>
    <w:p w14:paraId="18FBC870" w14:textId="5BCD1DB6" w:rsidR="00AA7A50" w:rsidRDefault="00CB3DC1" w:rsidP="00120D6B">
      <w:pPr>
        <w:pStyle w:val="3-BodyText"/>
        <w:numPr>
          <w:ilvl w:val="0"/>
          <w:numId w:val="0"/>
        </w:numPr>
        <w:ind w:left="720"/>
        <w:rPr>
          <w:color w:val="0066FF"/>
        </w:rPr>
      </w:pPr>
      <w:r w:rsidRPr="00FC0E55">
        <w:rPr>
          <w:i/>
          <w:iCs/>
        </w:rPr>
        <w:t>For more detail on PBAC’s view, see section 7 PBAC outcome</w:t>
      </w:r>
      <w:r w:rsidR="00F560B7">
        <w:rPr>
          <w:i/>
          <w:iCs/>
        </w:rPr>
        <w:t xml:space="preserve">. </w:t>
      </w:r>
    </w:p>
    <w:p w14:paraId="6B2E72E0" w14:textId="77777777" w:rsidR="003C6CE5" w:rsidRPr="0090150D" w:rsidRDefault="003C6CE5" w:rsidP="003C6CE5">
      <w:pPr>
        <w:pStyle w:val="2-SectionHeading"/>
        <w:numPr>
          <w:ilvl w:val="0"/>
          <w:numId w:val="1"/>
        </w:numPr>
      </w:pPr>
      <w:r w:rsidRPr="0090150D">
        <w:t>PBAC Outcome</w:t>
      </w:r>
    </w:p>
    <w:p w14:paraId="6F045E14" w14:textId="483444EE" w:rsidR="00CF19C3" w:rsidRPr="008A351E" w:rsidRDefault="00AB5718" w:rsidP="001A47CC">
      <w:pPr>
        <w:pStyle w:val="3-BodyText"/>
      </w:pPr>
      <w:r w:rsidRPr="00AB5718">
        <w:t xml:space="preserve">The PBAC recommended </w:t>
      </w:r>
      <w:r>
        <w:t>the</w:t>
      </w:r>
      <w:r w:rsidR="00196E27">
        <w:t xml:space="preserve"> </w:t>
      </w:r>
      <w:r w:rsidRPr="00AB5718">
        <w:t xml:space="preserve">Section 100 (Highly Specialised Drugs Program) </w:t>
      </w:r>
      <w:r>
        <w:t xml:space="preserve">listing </w:t>
      </w:r>
      <w:r w:rsidR="00A213A4">
        <w:t xml:space="preserve">of </w:t>
      </w:r>
      <w:r w:rsidR="00B05F01">
        <w:t xml:space="preserve">ivacaftor granules </w:t>
      </w:r>
      <w:r w:rsidR="00AF7770">
        <w:t>13.4 mg</w:t>
      </w:r>
      <w:r w:rsidR="00A213A4">
        <w:t xml:space="preserve"> for the treatment </w:t>
      </w:r>
      <w:r w:rsidRPr="00AB5718">
        <w:t xml:space="preserve">of cystic fibrosis (CF) in patients aged </w:t>
      </w:r>
      <w:r w:rsidR="00A213A4">
        <w:t xml:space="preserve">1 month to less than </w:t>
      </w:r>
      <w:r w:rsidRPr="00AB5718">
        <w:t xml:space="preserve">4 months who have at least one mutation in the cystic fibrosis transmembrane conductance regulator (CFTR) </w:t>
      </w:r>
      <w:r w:rsidR="00B62460">
        <w:t xml:space="preserve">gene </w:t>
      </w:r>
      <w:r w:rsidRPr="00AB5718">
        <w:t xml:space="preserve">that is responsive to ivacaftor based on clinical and/ or </w:t>
      </w:r>
      <w:r w:rsidRPr="00623771">
        <w:rPr>
          <w:i/>
          <w:iCs/>
        </w:rPr>
        <w:t>in vitro</w:t>
      </w:r>
      <w:r w:rsidRPr="00AB5718">
        <w:t xml:space="preserve"> assay data. </w:t>
      </w:r>
      <w:r w:rsidR="00737672" w:rsidRPr="00737672">
        <w:t xml:space="preserve">The PBAC noted that, overall, the evidence supporting the clinical claim in the submission was </w:t>
      </w:r>
      <w:r w:rsidR="00737672">
        <w:t xml:space="preserve">very </w:t>
      </w:r>
      <w:r w:rsidR="00737672" w:rsidRPr="00737672">
        <w:t xml:space="preserve">limited but acknowledged the difficulties in obtaining </w:t>
      </w:r>
      <w:r w:rsidR="00623771">
        <w:t xml:space="preserve">clinical </w:t>
      </w:r>
      <w:r w:rsidR="00737672" w:rsidRPr="00737672">
        <w:t>data in this population.</w:t>
      </w:r>
      <w:r w:rsidR="00737672">
        <w:t xml:space="preserve"> </w:t>
      </w:r>
      <w:r w:rsidR="0012250B" w:rsidRPr="0012250B">
        <w:t xml:space="preserve">The PBAC considered </w:t>
      </w:r>
      <w:r w:rsidR="0012250B">
        <w:t xml:space="preserve">ivacaftor </w:t>
      </w:r>
      <w:r w:rsidR="0012250B" w:rsidRPr="0012250B">
        <w:t xml:space="preserve">was likely to be cost-effective for this population at the current PBS price. The PBAC advised this population could be included in the current risk sharing arrangement for CFTR </w:t>
      </w:r>
      <w:r w:rsidR="0012250B" w:rsidRPr="008A351E">
        <w:t>modulators with no increase in expenditure caps.</w:t>
      </w:r>
    </w:p>
    <w:p w14:paraId="2E3AD740" w14:textId="7B4FA84C" w:rsidR="00441B8E" w:rsidRDefault="008A33BE" w:rsidP="001A47CC">
      <w:pPr>
        <w:pStyle w:val="3-BodyText"/>
      </w:pPr>
      <w:r w:rsidRPr="008A33BE">
        <w:t>The PBAC acknowledged the consumer comments strongly supported the extension of the listing for ivacaftor.</w:t>
      </w:r>
    </w:p>
    <w:p w14:paraId="77ED94DE" w14:textId="77777777" w:rsidR="003823D6" w:rsidRDefault="003823D6" w:rsidP="003823D6">
      <w:pPr>
        <w:pStyle w:val="3-BodyText"/>
      </w:pPr>
      <w:r>
        <w:t xml:space="preserve">The PBAC advised the amendments to the restriction criteria proposed by the Secretariat in Section 3 were reasonable.  </w:t>
      </w:r>
    </w:p>
    <w:p w14:paraId="171598A0" w14:textId="6818EA2E" w:rsidR="006A5603" w:rsidRPr="006A5603" w:rsidRDefault="006A5603" w:rsidP="006A5603">
      <w:pPr>
        <w:pStyle w:val="3-BodyText"/>
      </w:pPr>
      <w:r w:rsidRPr="006A5603">
        <w:t xml:space="preserve">The PBAC considered that the nomination of best supportive care (BSC) as the comparator was reasonable; however, </w:t>
      </w:r>
      <w:r w:rsidR="00D9732B">
        <w:t>as raised</w:t>
      </w:r>
      <w:r w:rsidR="003E39B7">
        <w:t xml:space="preserve"> previously</w:t>
      </w:r>
      <w:r w:rsidR="00E43F3C">
        <w:t xml:space="preserve"> (see paragraph </w:t>
      </w:r>
      <w:r w:rsidR="00E43F3C">
        <w:fldChar w:fldCharType="begin" w:fldLock="1"/>
      </w:r>
      <w:r w:rsidR="00E43F3C">
        <w:instrText xml:space="preserve"> REF _Ref193463609 \r \h </w:instrText>
      </w:r>
      <w:r w:rsidR="00E43F3C">
        <w:fldChar w:fldCharType="separate"/>
      </w:r>
      <w:r w:rsidR="00DD7522">
        <w:t>5.1</w:t>
      </w:r>
      <w:r w:rsidR="00E43F3C">
        <w:fldChar w:fldCharType="end"/>
      </w:r>
      <w:r w:rsidR="00E43F3C">
        <w:t>)</w:t>
      </w:r>
      <w:r w:rsidR="00D9732B">
        <w:t xml:space="preserve">, </w:t>
      </w:r>
      <w:r w:rsidRPr="006A5603">
        <w:t xml:space="preserve">it would have been informative to compare commencing treatment at </w:t>
      </w:r>
      <w:r w:rsidR="003E5DE1">
        <w:t>1</w:t>
      </w:r>
      <w:r w:rsidRPr="006A5603">
        <w:t xml:space="preserve"> month</w:t>
      </w:r>
      <w:r w:rsidR="003E5DE1">
        <w:t xml:space="preserve"> </w:t>
      </w:r>
      <w:r w:rsidRPr="006A5603">
        <w:t>of age with commencing treatment</w:t>
      </w:r>
      <w:r w:rsidR="003E5DE1">
        <w:t xml:space="preserve"> at 4 months of age</w:t>
      </w:r>
      <w:r w:rsidRPr="006A5603">
        <w:t xml:space="preserve">. </w:t>
      </w:r>
    </w:p>
    <w:p w14:paraId="571384DC" w14:textId="4E680453" w:rsidR="007B1EDB" w:rsidRDefault="00FF5296" w:rsidP="001A47CC">
      <w:pPr>
        <w:pStyle w:val="3-BodyText"/>
      </w:pPr>
      <w:r w:rsidRPr="00FF5296">
        <w:lastRenderedPageBreak/>
        <w:t xml:space="preserve">The PBAC noted the submission presented </w:t>
      </w:r>
      <w:r>
        <w:t xml:space="preserve">data from </w:t>
      </w:r>
      <w:r w:rsidR="004849FC">
        <w:t xml:space="preserve">one single arm study in patients aged 1 to 4 months of age (n=7) and one single arm study in patients aged less than 24 months of age (n=86) </w:t>
      </w:r>
      <w:r w:rsidRPr="00FF5296">
        <w:t>to support the clinical claim that ivacaftor is superior to BSC in terms of efficacy.</w:t>
      </w:r>
      <w:r w:rsidR="00415912" w:rsidRPr="00415912">
        <w:t xml:space="preserve"> </w:t>
      </w:r>
      <w:r w:rsidR="00E94298">
        <w:t xml:space="preserve">The PBAC noted </w:t>
      </w:r>
      <w:r w:rsidR="0052128D">
        <w:t xml:space="preserve">most patients </w:t>
      </w:r>
      <w:r w:rsidR="00CC0CA9">
        <w:t xml:space="preserve">had a </w:t>
      </w:r>
      <w:r w:rsidR="00CC0CA9" w:rsidRPr="00CC0CA9">
        <w:rPr>
          <w:i/>
          <w:iCs/>
        </w:rPr>
        <w:t>G551D</w:t>
      </w:r>
      <w:r w:rsidR="00CC0CA9">
        <w:t xml:space="preserve"> mutation and there was limited data on patients with</w:t>
      </w:r>
      <w:r w:rsidR="00000883">
        <w:t xml:space="preserve"> non-gating mutations</w:t>
      </w:r>
      <w:r w:rsidR="00CC0CA9">
        <w:t xml:space="preserve">. </w:t>
      </w:r>
      <w:r w:rsidR="00CA7BB4">
        <w:t>The PBAC noted</w:t>
      </w:r>
      <w:r w:rsidR="000F4EDE">
        <w:t xml:space="preserve"> treatment with ivacaftor resulted in a reduction in sweat chloride</w:t>
      </w:r>
      <w:r w:rsidR="008679B9">
        <w:t xml:space="preserve"> </w:t>
      </w:r>
      <w:r w:rsidR="005A35B5">
        <w:t xml:space="preserve">over time </w:t>
      </w:r>
      <w:r w:rsidR="008556F0">
        <w:t xml:space="preserve">(see </w:t>
      </w:r>
      <w:r w:rsidR="008556F0">
        <w:fldChar w:fldCharType="begin" w:fldLock="1"/>
      </w:r>
      <w:r w:rsidR="008556F0">
        <w:instrText xml:space="preserve"> REF _Ref184987892 \h  \* MERGEFORMAT </w:instrText>
      </w:r>
      <w:r w:rsidR="008556F0">
        <w:fldChar w:fldCharType="separate"/>
      </w:r>
      <w:r w:rsidR="003B4876" w:rsidRPr="003B4876">
        <w:t>Figure 1</w:t>
      </w:r>
      <w:r w:rsidR="008556F0">
        <w:fldChar w:fldCharType="end"/>
      </w:r>
      <w:r w:rsidR="008556F0">
        <w:t xml:space="preserve"> and </w:t>
      </w:r>
      <w:r w:rsidR="008556F0">
        <w:fldChar w:fldCharType="begin" w:fldLock="1"/>
      </w:r>
      <w:r w:rsidR="008556F0">
        <w:instrText xml:space="preserve"> REF _Ref184987959 \h </w:instrText>
      </w:r>
      <w:r w:rsidR="008556F0">
        <w:fldChar w:fldCharType="separate"/>
      </w:r>
      <w:r w:rsidR="003B4876">
        <w:t xml:space="preserve">Figure </w:t>
      </w:r>
      <w:r w:rsidR="003B4876">
        <w:rPr>
          <w:noProof/>
        </w:rPr>
        <w:t>2</w:t>
      </w:r>
      <w:r w:rsidR="008556F0">
        <w:fldChar w:fldCharType="end"/>
      </w:r>
      <w:r w:rsidR="008556F0">
        <w:t>)</w:t>
      </w:r>
      <w:r w:rsidR="008679B9">
        <w:t xml:space="preserve">. </w:t>
      </w:r>
      <w:r w:rsidR="00AC71FF">
        <w:t>The PBAC</w:t>
      </w:r>
      <w:r w:rsidR="00285ADE">
        <w:t xml:space="preserve"> noted other outcome</w:t>
      </w:r>
      <w:r w:rsidR="00DD20E2">
        <w:t>s</w:t>
      </w:r>
      <w:r w:rsidR="003F4AF9">
        <w:t xml:space="preserve"> improved after treatment with ivacaftor </w:t>
      </w:r>
      <w:r w:rsidR="0014695B">
        <w:t xml:space="preserve">(nutritional status, pulmonary exacerbations, </w:t>
      </w:r>
      <w:proofErr w:type="spellStart"/>
      <w:r w:rsidR="0014695B">
        <w:t>fecal</w:t>
      </w:r>
      <w:proofErr w:type="spellEnd"/>
      <w:r w:rsidR="0014695B">
        <w:t xml:space="preserve"> elastase-1)</w:t>
      </w:r>
      <w:r w:rsidR="00A70DFD">
        <w:t xml:space="preserve"> but limited conclusions could be drawn given the small patient numbers</w:t>
      </w:r>
      <w:r w:rsidR="00DD20E2">
        <w:t>.</w:t>
      </w:r>
      <w:r w:rsidR="00AC71FF">
        <w:t xml:space="preserve">  </w:t>
      </w:r>
      <w:r w:rsidR="008679B9">
        <w:t>The PBAC considered that,</w:t>
      </w:r>
      <w:r w:rsidR="00E74AA8">
        <w:t xml:space="preserve"> overall, treatment with ivacaftor was likely to provide a clinical benefit in patients aged 1 month to </w:t>
      </w:r>
      <w:r w:rsidR="008D6753">
        <w:t>less than</w:t>
      </w:r>
      <w:r w:rsidR="00E74AA8">
        <w:t xml:space="preserve"> 4 months</w:t>
      </w:r>
      <w:r w:rsidR="005D4367">
        <w:t xml:space="preserve"> </w:t>
      </w:r>
      <w:r w:rsidR="00C94A85">
        <w:t xml:space="preserve">with gating or responsive mutations </w:t>
      </w:r>
      <w:r w:rsidR="005D4367">
        <w:t xml:space="preserve">compared to best supportive care; however, the magnitude of benefit was uncertain.  </w:t>
      </w:r>
      <w:r w:rsidR="008679B9">
        <w:t xml:space="preserve"> </w:t>
      </w:r>
    </w:p>
    <w:p w14:paraId="6A6D5017" w14:textId="2EB61068" w:rsidR="008C336B" w:rsidRPr="00F91CC3" w:rsidRDefault="008C336B" w:rsidP="008C336B">
      <w:pPr>
        <w:pStyle w:val="3-BodyText"/>
        <w:numPr>
          <w:ilvl w:val="1"/>
          <w:numId w:val="1"/>
        </w:numPr>
        <w:spacing w:before="0" w:after="120"/>
        <w:rPr>
          <w:i/>
        </w:rPr>
      </w:pPr>
      <w:r w:rsidRPr="00F91CC3">
        <w:rPr>
          <w:iCs/>
        </w:rPr>
        <w:t xml:space="preserve">The PBAC </w:t>
      </w:r>
      <w:r w:rsidR="001D3DB5">
        <w:rPr>
          <w:iCs/>
        </w:rPr>
        <w:t xml:space="preserve">recalled it had previously accepted the </w:t>
      </w:r>
      <w:r w:rsidRPr="00F91CC3">
        <w:rPr>
          <w:iCs/>
        </w:rPr>
        <w:t>claim that ivacaftor had comparable safety to BSC</w:t>
      </w:r>
      <w:r w:rsidR="001D3DB5">
        <w:rPr>
          <w:iCs/>
        </w:rPr>
        <w:t xml:space="preserve"> (paragraph 7.6, ivacaftor PSD, November 2023 PBAC meeting) and </w:t>
      </w:r>
      <w:r w:rsidRPr="00F91CC3">
        <w:rPr>
          <w:iCs/>
        </w:rPr>
        <w:t xml:space="preserve">the adverse events </w:t>
      </w:r>
      <w:r w:rsidR="001D3DB5">
        <w:rPr>
          <w:iCs/>
        </w:rPr>
        <w:t xml:space="preserve">observed in the younger population </w:t>
      </w:r>
      <w:r w:rsidRPr="00F91CC3">
        <w:rPr>
          <w:iCs/>
        </w:rPr>
        <w:t>were similar to that observed in other populations</w:t>
      </w:r>
      <w:r w:rsidRPr="00F91CC3">
        <w:rPr>
          <w:i/>
        </w:rPr>
        <w:t>.</w:t>
      </w:r>
    </w:p>
    <w:p w14:paraId="615D87A3" w14:textId="0D1D92A0" w:rsidR="00B9280B" w:rsidRDefault="0011368A" w:rsidP="001A47CC">
      <w:pPr>
        <w:pStyle w:val="3-BodyText"/>
      </w:pPr>
      <w:r w:rsidRPr="0011368A">
        <w:t>The PBAC noted no economic evaluation was presented, with the sponsor requesting ivacaftor</w:t>
      </w:r>
      <w:r w:rsidR="00691595">
        <w:t xml:space="preserve"> </w:t>
      </w:r>
      <w:r w:rsidRPr="0011368A">
        <w:t>be made available for the additional patients at the same price as it is currently reimbursed through the PBS on the basis of equity and the expected benefit of treating patients at a younger age.</w:t>
      </w:r>
      <w:r w:rsidR="001F5225">
        <w:t xml:space="preserve"> </w:t>
      </w:r>
      <w:r w:rsidR="0012637F" w:rsidRPr="0012637F">
        <w:t xml:space="preserve">The PBAC recalled it had initially recommended the listing of CFTR modulators with high and likely underestimated </w:t>
      </w:r>
      <w:r w:rsidR="0037071C">
        <w:t>incremental cost effectiveness ratios</w:t>
      </w:r>
      <w:r w:rsidR="00F256AD">
        <w:t xml:space="preserve"> </w:t>
      </w:r>
      <w:r w:rsidR="0012637F" w:rsidRPr="0012637F">
        <w:t xml:space="preserve">on the basis of high clinical need. </w:t>
      </w:r>
      <w:r w:rsidR="00ED24EA">
        <w:t xml:space="preserve">The PBAC noted that, over time, expanded populations (i.e., </w:t>
      </w:r>
      <w:r w:rsidR="00ED24EA" w:rsidRPr="0012637F">
        <w:t>for younger patients and those with rarer mutations</w:t>
      </w:r>
      <w:r w:rsidR="00ED24EA">
        <w:t xml:space="preserve">) have been recommended for listing. </w:t>
      </w:r>
      <w:r w:rsidR="0012637F" w:rsidRPr="0012637F">
        <w:t>The PBAC noted the magnitude of clinical benefit is less certain in the expanded populations, and this may result in use that is less cost effective overall. </w:t>
      </w:r>
      <w:r w:rsidR="006A1655">
        <w:t xml:space="preserve"> </w:t>
      </w:r>
    </w:p>
    <w:p w14:paraId="7EFD7ADB" w14:textId="11054514" w:rsidR="007B1EDB" w:rsidRDefault="00B54ACE" w:rsidP="00A663A3">
      <w:pPr>
        <w:pStyle w:val="3-BodyText"/>
      </w:pPr>
      <w:r>
        <w:t xml:space="preserve">The PBAC </w:t>
      </w:r>
      <w:r w:rsidR="00FB38F6">
        <w:t xml:space="preserve">recalled that in November 2023 it had </w:t>
      </w:r>
      <w:r>
        <w:t>considered it unlikely ivacaftor would be cost effective at the requested price</w:t>
      </w:r>
      <w:r w:rsidR="007D6935">
        <w:t xml:space="preserve"> (</w:t>
      </w:r>
      <w:r w:rsidR="00A663A3">
        <w:t xml:space="preserve">i.e., </w:t>
      </w:r>
      <w:r w:rsidR="006D1B58">
        <w:t>cost per pack of  $</w:t>
      </w:r>
      <w:r w:rsidR="000F6865" w:rsidRPr="000F6865">
        <w:rPr>
          <w:color w:val="000000"/>
          <w:w w:val="60"/>
          <w:shd w:val="solid" w:color="000000" w:fill="000000"/>
          <w:fitText w:val="470" w:id="-694419194"/>
          <w14:textFill>
            <w14:solidFill>
              <w14:srgbClr w14:val="000000">
                <w14:alpha w14:val="100000"/>
              </w14:srgbClr>
            </w14:solidFill>
          </w14:textFill>
        </w:rPr>
        <w:t>|||  ||</w:t>
      </w:r>
      <w:r w:rsidR="000F6865" w:rsidRPr="000F6865">
        <w:rPr>
          <w:color w:val="000000"/>
          <w:spacing w:val="6"/>
          <w:w w:val="60"/>
          <w:shd w:val="solid" w:color="000000" w:fill="000000"/>
          <w:fitText w:val="470" w:id="-694419194"/>
          <w14:textFill>
            <w14:solidFill>
              <w14:srgbClr w14:val="000000">
                <w14:alpha w14:val="100000"/>
              </w14:srgbClr>
            </w14:solidFill>
          </w14:textFill>
        </w:rPr>
        <w:t>|</w:t>
      </w:r>
      <w:r w:rsidR="006D1B58">
        <w:t xml:space="preserve"> as per </w:t>
      </w:r>
      <w:r w:rsidR="00A663A3">
        <w:t xml:space="preserve">the gating population price outlined in </w:t>
      </w:r>
      <w:r w:rsidR="00A663A3">
        <w:fldChar w:fldCharType="begin" w:fldLock="1"/>
      </w:r>
      <w:r w:rsidR="00A663A3">
        <w:instrText xml:space="preserve"> REF _Ref194062917 \h </w:instrText>
      </w:r>
      <w:r w:rsidR="00A663A3">
        <w:fldChar w:fldCharType="separate"/>
      </w:r>
      <w:r w:rsidR="009E3CFE">
        <w:t xml:space="preserve">Table </w:t>
      </w:r>
      <w:r w:rsidR="009E3CFE">
        <w:rPr>
          <w:noProof/>
        </w:rPr>
        <w:t>6</w:t>
      </w:r>
      <w:r w:rsidR="00A663A3">
        <w:fldChar w:fldCharType="end"/>
      </w:r>
      <w:r w:rsidR="00A663A3">
        <w:t>)</w:t>
      </w:r>
      <w:r>
        <w:t>, given its cost per patient per year was substantially higher than the current CFTR modulators and that most patients will transition to a CFTR modulator at an older age.</w:t>
      </w:r>
      <w:r w:rsidR="00A663A3">
        <w:t xml:space="preserve"> </w:t>
      </w:r>
      <w:r w:rsidR="005D4FBE">
        <w:t xml:space="preserve">The PBAC noted that with the </w:t>
      </w:r>
      <w:r w:rsidR="00DE6704">
        <w:t xml:space="preserve">March 2025 </w:t>
      </w:r>
      <w:r w:rsidR="005D4FBE">
        <w:t>recommendation of ELX/TEZ/IVA for</w:t>
      </w:r>
      <w:r w:rsidR="00F3337F">
        <w:t xml:space="preserve"> patients who have at least one mutation in the CFTR gene that is responsive to </w:t>
      </w:r>
      <w:r w:rsidR="00F3337F" w:rsidRPr="00547CE7">
        <w:t>ELX/TEZ/IVA</w:t>
      </w:r>
      <w:r w:rsidR="00F3337F">
        <w:t xml:space="preserve"> based on clinical and/or </w:t>
      </w:r>
      <w:r w:rsidR="00F3337F" w:rsidRPr="00A663A3">
        <w:rPr>
          <w:i/>
          <w:iCs/>
        </w:rPr>
        <w:t>in vitro</w:t>
      </w:r>
      <w:r w:rsidR="00F3337F">
        <w:t xml:space="preserve"> assay data, </w:t>
      </w:r>
      <w:r w:rsidR="000045EB">
        <w:t xml:space="preserve">all patients </w:t>
      </w:r>
      <w:r w:rsidR="008965F4">
        <w:t>aged 1</w:t>
      </w:r>
      <w:r w:rsidR="009A31C6">
        <w:t xml:space="preserve"> month</w:t>
      </w:r>
      <w:r w:rsidR="008965F4">
        <w:t xml:space="preserve"> to less </w:t>
      </w:r>
      <w:r w:rsidR="0072335B">
        <w:t xml:space="preserve">than 4 months </w:t>
      </w:r>
      <w:r w:rsidR="009A31C6">
        <w:t>of age</w:t>
      </w:r>
      <w:r w:rsidR="0072335B">
        <w:t xml:space="preserve"> </w:t>
      </w:r>
      <w:r w:rsidR="000045EB">
        <w:t xml:space="preserve">eligible for ivacaftor could </w:t>
      </w:r>
      <w:r w:rsidR="0068357E">
        <w:t>transition to ELX/TEZ</w:t>
      </w:r>
      <w:r w:rsidR="00CF7249">
        <w:t>/</w:t>
      </w:r>
      <w:r w:rsidR="0068357E">
        <w:t xml:space="preserve">IVA at 2 years </w:t>
      </w:r>
      <w:r w:rsidR="00CF7249">
        <w:t>of age</w:t>
      </w:r>
      <w:r w:rsidR="00F3337F">
        <w:t>.</w:t>
      </w:r>
      <w:r w:rsidR="000D7B13">
        <w:t xml:space="preserve"> </w:t>
      </w:r>
      <w:r w:rsidR="002270E6">
        <w:t xml:space="preserve"> </w:t>
      </w:r>
    </w:p>
    <w:p w14:paraId="06493313" w14:textId="23F2F26C" w:rsidR="007B1EDB" w:rsidRDefault="00473CE6" w:rsidP="001A47CC">
      <w:pPr>
        <w:pStyle w:val="3-BodyText"/>
      </w:pPr>
      <w:r w:rsidRPr="00473CE6">
        <w:t>The PBAC considered that the methodology for estimating the number of additional patients that would be eligible for ivacaftor and the estimated financial impact was reasonable.</w:t>
      </w:r>
      <w:r w:rsidR="005E4786">
        <w:t xml:space="preserve"> </w:t>
      </w:r>
    </w:p>
    <w:p w14:paraId="5C1CFE28" w14:textId="67ECD0EF" w:rsidR="004C5233" w:rsidRPr="00404E24" w:rsidRDefault="004C5233" w:rsidP="001A47CC">
      <w:pPr>
        <w:pStyle w:val="3-BodyText"/>
      </w:pPr>
      <w:r w:rsidRPr="00F91CC3">
        <w:rPr>
          <w:bCs/>
        </w:rPr>
        <w:t xml:space="preserve">The PBAC advised that </w:t>
      </w:r>
      <w:r>
        <w:rPr>
          <w:bCs/>
        </w:rPr>
        <w:t xml:space="preserve">the </w:t>
      </w:r>
      <w:r w:rsidRPr="00F91CC3">
        <w:rPr>
          <w:bCs/>
        </w:rPr>
        <w:t>extended population should be included in the existing</w:t>
      </w:r>
      <w:r w:rsidR="00852CC3">
        <w:rPr>
          <w:bCs/>
        </w:rPr>
        <w:t xml:space="preserve"> </w:t>
      </w:r>
      <w:r w:rsidR="005E4786">
        <w:rPr>
          <w:bCs/>
        </w:rPr>
        <w:t xml:space="preserve">Risk Sharing </w:t>
      </w:r>
      <w:r w:rsidR="005E4786" w:rsidRPr="008A351E">
        <w:rPr>
          <w:bCs/>
        </w:rPr>
        <w:t xml:space="preserve">Arrangement </w:t>
      </w:r>
      <w:r w:rsidRPr="008A351E">
        <w:rPr>
          <w:bCs/>
        </w:rPr>
        <w:t>with no increase in expenditure caps as proposed in the submission (see paragrap</w:t>
      </w:r>
      <w:r>
        <w:rPr>
          <w:bCs/>
        </w:rPr>
        <w:t xml:space="preserve">h </w:t>
      </w:r>
      <w:r>
        <w:rPr>
          <w:bCs/>
        </w:rPr>
        <w:fldChar w:fldCharType="begin" w:fldLock="1"/>
      </w:r>
      <w:r>
        <w:rPr>
          <w:bCs/>
        </w:rPr>
        <w:instrText xml:space="preserve"> REF _Ref193702282 \r \h </w:instrText>
      </w:r>
      <w:r>
        <w:rPr>
          <w:bCs/>
        </w:rPr>
      </w:r>
      <w:r>
        <w:rPr>
          <w:bCs/>
        </w:rPr>
        <w:fldChar w:fldCharType="separate"/>
      </w:r>
      <w:r w:rsidR="00DD7522">
        <w:rPr>
          <w:bCs/>
        </w:rPr>
        <w:t>6.31</w:t>
      </w:r>
      <w:r>
        <w:rPr>
          <w:bCs/>
        </w:rPr>
        <w:fldChar w:fldCharType="end"/>
      </w:r>
      <w:r>
        <w:rPr>
          <w:bCs/>
        </w:rPr>
        <w:t xml:space="preserve">).  </w:t>
      </w:r>
      <w:r w:rsidR="0081208B">
        <w:rPr>
          <w:bCs/>
        </w:rPr>
        <w:t xml:space="preserve"> </w:t>
      </w:r>
    </w:p>
    <w:p w14:paraId="0E2457D2" w14:textId="418815DB" w:rsidR="00441B8E" w:rsidRPr="00981EEC" w:rsidRDefault="00441B8E" w:rsidP="00441B8E">
      <w:pPr>
        <w:pStyle w:val="3-BodyText"/>
      </w:pPr>
      <w:r w:rsidRPr="00441B8E">
        <w:lastRenderedPageBreak/>
        <w:t xml:space="preserve">The PBAC found that the criteria prescribed by the National Health (Pharmaceuticals and Vaccines – Cost Recovery) Regulations 2022 for Pricing Pathway A were not met. Specifically, the PBAC found that in </w:t>
      </w:r>
      <w:r w:rsidRPr="00981EEC">
        <w:t>the circumstances of its recommendation for ivacaftor:</w:t>
      </w:r>
    </w:p>
    <w:p w14:paraId="2349DC59" w14:textId="2E5672D2" w:rsidR="00441B8E" w:rsidRPr="00981EEC" w:rsidRDefault="00441B8E" w:rsidP="00441B8E">
      <w:pPr>
        <w:pStyle w:val="3-BodyText"/>
        <w:numPr>
          <w:ilvl w:val="0"/>
          <w:numId w:val="42"/>
        </w:numPr>
      </w:pPr>
      <w:r w:rsidRPr="00981EEC">
        <w:t>Based on the available evidence the magnitude of benefit of treatment with ivacaftor</w:t>
      </w:r>
      <w:r w:rsidR="00F560B7" w:rsidRPr="00981EEC">
        <w:t xml:space="preserve"> </w:t>
      </w:r>
      <w:r w:rsidRPr="00981EEC">
        <w:t xml:space="preserve">was not able to be quantified, and therefore the criteria of having a substantial and clinically relevant improvement in efficacy compared to best supportive care was not met; </w:t>
      </w:r>
    </w:p>
    <w:p w14:paraId="6396F9A1" w14:textId="392E5391" w:rsidR="00441B8E" w:rsidRPr="00981EEC" w:rsidRDefault="00441B8E" w:rsidP="00441B8E">
      <w:pPr>
        <w:pStyle w:val="3-BodyText"/>
        <w:numPr>
          <w:ilvl w:val="0"/>
          <w:numId w:val="42"/>
        </w:numPr>
      </w:pPr>
      <w:r w:rsidRPr="00981EEC">
        <w:t xml:space="preserve">The treatment is </w:t>
      </w:r>
      <w:r w:rsidR="00295BDF">
        <w:t xml:space="preserve">not </w:t>
      </w:r>
      <w:r w:rsidRPr="00981EEC">
        <w:t>expected to address a high and urgent unmet clinical need</w:t>
      </w:r>
      <w:r w:rsidR="00981EEC" w:rsidRPr="00981EEC">
        <w:t xml:space="preserve"> as patients would have access to ivacaftor from 4 months of age</w:t>
      </w:r>
      <w:r w:rsidRPr="00981EEC">
        <w:t xml:space="preserve">; </w:t>
      </w:r>
    </w:p>
    <w:p w14:paraId="31F37147" w14:textId="77777777" w:rsidR="00441B8E" w:rsidRPr="00441B8E" w:rsidRDefault="00441B8E" w:rsidP="00441B8E">
      <w:pPr>
        <w:pStyle w:val="3-BodyText"/>
        <w:numPr>
          <w:ilvl w:val="0"/>
          <w:numId w:val="42"/>
        </w:numPr>
      </w:pPr>
      <w:r w:rsidRPr="00441B8E">
        <w:t xml:space="preserve">It was not necessary to make a finding in relation to whether it would be in the public interest for the subsequent pricing application to be progressed under Pricing Pathway A because one or more of the preceding tests had failed. </w:t>
      </w:r>
    </w:p>
    <w:p w14:paraId="634D77D3" w14:textId="699BB4F8" w:rsidR="00441B8E" w:rsidRPr="00441B8E" w:rsidRDefault="00441B8E" w:rsidP="00441B8E">
      <w:pPr>
        <w:pStyle w:val="3-BodyText"/>
      </w:pPr>
      <w:r w:rsidRPr="00441B8E">
        <w:t xml:space="preserve">The PBAC noted that this submission is not eligible for an Independent Review as it received a positive recommendation. </w:t>
      </w:r>
    </w:p>
    <w:p w14:paraId="2DFABAFC" w14:textId="77777777" w:rsidR="00441B8E" w:rsidRPr="00F91CC3" w:rsidRDefault="00441B8E" w:rsidP="00441B8E">
      <w:pPr>
        <w:pStyle w:val="3-BodyText"/>
        <w:numPr>
          <w:ilvl w:val="0"/>
          <w:numId w:val="0"/>
        </w:numPr>
        <w:rPr>
          <w:b/>
          <w:bCs/>
        </w:rPr>
      </w:pPr>
    </w:p>
    <w:p w14:paraId="06E42D84" w14:textId="77777777" w:rsidR="00441B8E" w:rsidRPr="00F91CC3" w:rsidRDefault="00441B8E" w:rsidP="00441B8E">
      <w:pPr>
        <w:pStyle w:val="3-BodyText"/>
        <w:numPr>
          <w:ilvl w:val="0"/>
          <w:numId w:val="0"/>
        </w:numPr>
        <w:rPr>
          <w:b/>
          <w:bCs/>
        </w:rPr>
      </w:pPr>
      <w:r w:rsidRPr="00F91CC3">
        <w:rPr>
          <w:b/>
          <w:bCs/>
        </w:rPr>
        <w:t>Outcome:</w:t>
      </w:r>
    </w:p>
    <w:p w14:paraId="689BDCD6" w14:textId="5BAEDDE5" w:rsidR="001968F9" w:rsidRPr="006F1F4D" w:rsidRDefault="00441B8E" w:rsidP="006F1F4D">
      <w:pPr>
        <w:rPr>
          <w:rFonts w:asciiTheme="minorHAnsi" w:hAnsiTheme="minorHAnsi"/>
          <w:bCs/>
          <w:snapToGrid w:val="0"/>
        </w:rPr>
      </w:pPr>
      <w:r w:rsidRPr="00F91CC3">
        <w:rPr>
          <w:rFonts w:asciiTheme="minorHAnsi" w:hAnsiTheme="minorHAnsi"/>
          <w:bCs/>
          <w:snapToGrid w:val="0"/>
        </w:rPr>
        <w:t xml:space="preserve">Recommended </w:t>
      </w:r>
    </w:p>
    <w:p w14:paraId="1DCCAB78" w14:textId="77777777" w:rsidR="00441B8E" w:rsidRPr="00F91CC3" w:rsidRDefault="00441B8E" w:rsidP="00441B8E">
      <w:pPr>
        <w:pStyle w:val="2-SectionHeading"/>
        <w:numPr>
          <w:ilvl w:val="0"/>
          <w:numId w:val="1"/>
        </w:numPr>
      </w:pPr>
      <w:r w:rsidRPr="00F91CC3">
        <w:t>Recommended listing</w:t>
      </w:r>
    </w:p>
    <w:p w14:paraId="16EC9A67" w14:textId="64EB1DB6" w:rsidR="00441B8E" w:rsidRPr="00120D6B" w:rsidRDefault="001968F9" w:rsidP="001968F9">
      <w:pPr>
        <w:pStyle w:val="3-BodyText"/>
      </w:pPr>
      <w:r>
        <w:t>Add new item:</w:t>
      </w:r>
    </w:p>
    <w:p w14:paraId="4B50E260" w14:textId="6A1CD840" w:rsidR="00871FA9" w:rsidRPr="0098262F" w:rsidRDefault="00871FA9" w:rsidP="00B76C92">
      <w:pPr>
        <w:pStyle w:val="3-BodyText"/>
        <w:numPr>
          <w:ilvl w:val="0"/>
          <w:numId w:val="0"/>
        </w:numPr>
        <w:ind w:left="720"/>
        <w:rPr>
          <w:color w:val="0066FF"/>
        </w:rPr>
      </w:pPr>
    </w:p>
    <w:p w14:paraId="5983A1EF" w14:textId="77777777" w:rsidR="00DB76E9" w:rsidRDefault="00DB76E9">
      <w:pPr>
        <w:jc w:val="left"/>
        <w:rPr>
          <w:rFonts w:asciiTheme="minorHAnsi" w:eastAsiaTheme="majorEastAsia" w:hAnsiTheme="minorHAnsi" w:cstheme="majorBidi"/>
          <w:b/>
          <w:color w:val="000000" w:themeColor="text1"/>
        </w:rPr>
      </w:pPr>
      <w:r>
        <w:br w:type="page"/>
      </w:r>
    </w:p>
    <w:p w14:paraId="444B1BEE" w14:textId="3B803139" w:rsidR="00C65571" w:rsidRPr="00587BE8" w:rsidRDefault="00C65571" w:rsidP="00C65571">
      <w:pPr>
        <w:pStyle w:val="Heading2"/>
        <w:rPr>
          <w:bCs/>
          <w:sz w:val="24"/>
          <w:szCs w:val="26"/>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1130"/>
        <w:gridCol w:w="2410"/>
        <w:gridCol w:w="1701"/>
        <w:gridCol w:w="709"/>
        <w:gridCol w:w="709"/>
        <w:gridCol w:w="708"/>
        <w:gridCol w:w="1650"/>
      </w:tblGrid>
      <w:tr w:rsidR="00C65571" w14:paraId="4AFBB113" w14:textId="77777777" w:rsidTr="00744B8B">
        <w:trPr>
          <w:cantSplit/>
          <w:trHeight w:val="23"/>
        </w:trPr>
        <w:tc>
          <w:tcPr>
            <w:tcW w:w="3540" w:type="dxa"/>
            <w:gridSpan w:val="2"/>
            <w:tcBorders>
              <w:top w:val="single" w:sz="4" w:space="0" w:color="auto"/>
              <w:left w:val="single" w:sz="4" w:space="0" w:color="auto"/>
              <w:bottom w:val="single" w:sz="4" w:space="0" w:color="auto"/>
              <w:right w:val="single" w:sz="4" w:space="0" w:color="auto"/>
            </w:tcBorders>
            <w:vAlign w:val="center"/>
            <w:hideMark/>
          </w:tcPr>
          <w:p w14:paraId="107B5F37" w14:textId="77777777" w:rsidR="00C65571" w:rsidRDefault="00C65571">
            <w:pPr>
              <w:keepLines/>
              <w:spacing w:line="254" w:lineRule="auto"/>
              <w:jc w:val="center"/>
              <w:rPr>
                <w:rFonts w:ascii="Arial Narrow" w:hAnsi="Arial Narrow"/>
                <w:b/>
                <w:bCs/>
                <w:sz w:val="20"/>
                <w:szCs w:val="20"/>
              </w:rPr>
            </w:pPr>
            <w:r>
              <w:rPr>
                <w:rFonts w:ascii="Arial Narrow" w:hAnsi="Arial Narrow"/>
                <w:b/>
                <w:bCs/>
                <w:sz w:val="20"/>
                <w:szCs w:val="20"/>
              </w:rPr>
              <w:t>MEDICINAL PRODUCT</w:t>
            </w:r>
          </w:p>
          <w:p w14:paraId="68008E14" w14:textId="77777777" w:rsidR="00C65571" w:rsidRDefault="00C65571">
            <w:pPr>
              <w:keepLines/>
              <w:spacing w:line="254" w:lineRule="auto"/>
              <w:jc w:val="center"/>
              <w:rPr>
                <w:rFonts w:ascii="Arial Narrow" w:hAnsi="Arial Narrow"/>
                <w:b/>
                <w:sz w:val="20"/>
                <w:szCs w:val="20"/>
              </w:rPr>
            </w:pPr>
            <w:r>
              <w:rPr>
                <w:rFonts w:ascii="Arial Narrow" w:hAnsi="Arial Narrow"/>
                <w:b/>
                <w:bCs/>
                <w:sz w:val="20"/>
                <w:szCs w:val="20"/>
              </w:rPr>
              <w:t>medicinal product pack</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5791F1" w14:textId="77777777" w:rsidR="00C65571" w:rsidRDefault="00C65571">
            <w:pPr>
              <w:keepLines/>
              <w:spacing w:line="254" w:lineRule="auto"/>
              <w:jc w:val="center"/>
              <w:rPr>
                <w:rFonts w:ascii="Arial Narrow" w:hAnsi="Arial Narrow"/>
                <w:b/>
                <w:sz w:val="20"/>
                <w:szCs w:val="20"/>
              </w:rPr>
            </w:pPr>
            <w:r>
              <w:rPr>
                <w:rFonts w:ascii="Arial Narrow" w:hAnsi="Arial Narrow"/>
                <w:b/>
                <w:sz w:val="20"/>
                <w:szCs w:val="20"/>
              </w:rPr>
              <w:t>PBS item code</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86D458" w14:textId="77777777" w:rsidR="00C65571" w:rsidRDefault="00C65571">
            <w:pPr>
              <w:keepLines/>
              <w:spacing w:line="254" w:lineRule="auto"/>
              <w:jc w:val="center"/>
              <w:rPr>
                <w:rFonts w:ascii="Arial Narrow" w:hAnsi="Arial Narrow"/>
                <w:b/>
                <w:sz w:val="20"/>
                <w:szCs w:val="20"/>
              </w:rPr>
            </w:pPr>
            <w:r>
              <w:rPr>
                <w:rFonts w:ascii="Arial Narrow" w:hAnsi="Arial Narrow"/>
                <w:b/>
                <w:sz w:val="20"/>
                <w:szCs w:val="20"/>
              </w:rPr>
              <w:t>Max. qty packs</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8D0F4F" w14:textId="77777777" w:rsidR="00C65571" w:rsidRDefault="00C65571">
            <w:pPr>
              <w:keepLines/>
              <w:spacing w:line="254" w:lineRule="auto"/>
              <w:jc w:val="center"/>
              <w:rPr>
                <w:rFonts w:ascii="Arial Narrow" w:hAnsi="Arial Narrow"/>
                <w:b/>
                <w:sz w:val="20"/>
                <w:szCs w:val="20"/>
              </w:rPr>
            </w:pPr>
            <w:r>
              <w:rPr>
                <w:rFonts w:ascii="Arial Narrow" w:hAnsi="Arial Narrow"/>
                <w:b/>
                <w:sz w:val="20"/>
                <w:szCs w:val="20"/>
              </w:rPr>
              <w:t>Max. qty units</w:t>
            </w:r>
          </w:p>
        </w:tc>
        <w:tc>
          <w:tcPr>
            <w:tcW w:w="708" w:type="dxa"/>
            <w:tcBorders>
              <w:top w:val="single" w:sz="4" w:space="0" w:color="auto"/>
              <w:left w:val="single" w:sz="4" w:space="0" w:color="auto"/>
              <w:bottom w:val="single" w:sz="4" w:space="0" w:color="auto"/>
              <w:right w:val="single" w:sz="4" w:space="0" w:color="auto"/>
            </w:tcBorders>
            <w:vAlign w:val="center"/>
            <w:hideMark/>
          </w:tcPr>
          <w:p w14:paraId="53910D49" w14:textId="77777777" w:rsidR="00C65571" w:rsidRDefault="00C65571" w:rsidP="2180C922">
            <w:pPr>
              <w:keepLines/>
              <w:spacing w:line="254" w:lineRule="auto"/>
              <w:jc w:val="center"/>
              <w:rPr>
                <w:rFonts w:ascii="Arial Narrow" w:hAnsi="Arial Narrow"/>
                <w:b/>
                <w:bCs/>
                <w:sz w:val="20"/>
                <w:szCs w:val="20"/>
              </w:rPr>
            </w:pPr>
            <w:r w:rsidRPr="2180C922">
              <w:rPr>
                <w:rFonts w:ascii="Arial Narrow" w:hAnsi="Arial Narrow"/>
                <w:b/>
                <w:bCs/>
                <w:sz w:val="20"/>
                <w:szCs w:val="20"/>
              </w:rPr>
              <w:t>№.of</w:t>
            </w:r>
          </w:p>
          <w:p w14:paraId="7EB77D36" w14:textId="77777777" w:rsidR="00C65571" w:rsidRDefault="00C65571">
            <w:pPr>
              <w:keepLines/>
              <w:spacing w:line="254" w:lineRule="auto"/>
              <w:jc w:val="center"/>
              <w:rPr>
                <w:rFonts w:ascii="Arial Narrow" w:hAnsi="Arial Narrow"/>
                <w:b/>
                <w:sz w:val="20"/>
                <w:szCs w:val="20"/>
              </w:rPr>
            </w:pPr>
            <w:r>
              <w:rPr>
                <w:rFonts w:ascii="Arial Narrow" w:hAnsi="Arial Narrow"/>
                <w:b/>
                <w:sz w:val="20"/>
                <w:szCs w:val="20"/>
              </w:rPr>
              <w:t>Rpts</w:t>
            </w:r>
          </w:p>
        </w:tc>
        <w:tc>
          <w:tcPr>
            <w:tcW w:w="1650" w:type="dxa"/>
            <w:tcBorders>
              <w:top w:val="single" w:sz="4" w:space="0" w:color="auto"/>
              <w:left w:val="single" w:sz="4" w:space="0" w:color="auto"/>
              <w:bottom w:val="single" w:sz="4" w:space="0" w:color="auto"/>
              <w:right w:val="single" w:sz="4" w:space="0" w:color="auto"/>
            </w:tcBorders>
            <w:vAlign w:val="center"/>
            <w:hideMark/>
          </w:tcPr>
          <w:p w14:paraId="604B7CB2" w14:textId="77777777" w:rsidR="00C65571" w:rsidRDefault="00C65571">
            <w:pPr>
              <w:keepLines/>
              <w:spacing w:line="254" w:lineRule="auto"/>
              <w:jc w:val="center"/>
              <w:rPr>
                <w:rFonts w:ascii="Arial Narrow" w:hAnsi="Arial Narrow"/>
                <w:b/>
                <w:sz w:val="20"/>
                <w:szCs w:val="20"/>
                <w:lang w:val="fr-FR"/>
              </w:rPr>
            </w:pPr>
            <w:r>
              <w:rPr>
                <w:rFonts w:ascii="Arial Narrow" w:hAnsi="Arial Narrow"/>
                <w:b/>
                <w:sz w:val="20"/>
                <w:szCs w:val="20"/>
              </w:rPr>
              <w:t>Available brands</w:t>
            </w:r>
          </w:p>
        </w:tc>
      </w:tr>
      <w:tr w:rsidR="00C65571" w14:paraId="03FB948E" w14:textId="77777777" w:rsidTr="00744B8B">
        <w:trPr>
          <w:cantSplit/>
          <w:trHeight w:val="23"/>
        </w:trPr>
        <w:tc>
          <w:tcPr>
            <w:tcW w:w="9017" w:type="dxa"/>
            <w:gridSpan w:val="7"/>
            <w:tcBorders>
              <w:top w:val="single" w:sz="4" w:space="0" w:color="auto"/>
              <w:left w:val="single" w:sz="4" w:space="0" w:color="auto"/>
              <w:bottom w:val="single" w:sz="4" w:space="0" w:color="auto"/>
              <w:right w:val="single" w:sz="4" w:space="0" w:color="auto"/>
            </w:tcBorders>
            <w:vAlign w:val="center"/>
            <w:hideMark/>
          </w:tcPr>
          <w:p w14:paraId="34C4FBC5" w14:textId="77777777" w:rsidR="00C65571" w:rsidRDefault="00C65571">
            <w:pPr>
              <w:keepLines/>
              <w:spacing w:line="254" w:lineRule="auto"/>
              <w:rPr>
                <w:rFonts w:ascii="Arial Narrow" w:hAnsi="Arial Narrow"/>
                <w:sz w:val="20"/>
                <w:szCs w:val="20"/>
              </w:rPr>
            </w:pPr>
            <w:r>
              <w:rPr>
                <w:rFonts w:ascii="Arial Narrow" w:hAnsi="Arial Narrow"/>
                <w:sz w:val="20"/>
                <w:szCs w:val="20"/>
              </w:rPr>
              <w:t>IVACAFTOR</w:t>
            </w:r>
          </w:p>
        </w:tc>
      </w:tr>
      <w:tr w:rsidR="00C65571" w14:paraId="1750AF41" w14:textId="77777777" w:rsidTr="00744B8B">
        <w:trPr>
          <w:cantSplit/>
          <w:trHeight w:val="23"/>
        </w:trPr>
        <w:tc>
          <w:tcPr>
            <w:tcW w:w="3540" w:type="dxa"/>
            <w:gridSpan w:val="2"/>
            <w:tcBorders>
              <w:top w:val="single" w:sz="4" w:space="0" w:color="auto"/>
              <w:left w:val="single" w:sz="4" w:space="0" w:color="auto"/>
              <w:bottom w:val="single" w:sz="4" w:space="0" w:color="auto"/>
              <w:right w:val="single" w:sz="4" w:space="0" w:color="auto"/>
            </w:tcBorders>
            <w:vAlign w:val="center"/>
          </w:tcPr>
          <w:p w14:paraId="657EB2D9" w14:textId="77777777" w:rsidR="00C65571" w:rsidRPr="009B3A66" w:rsidRDefault="00C65571">
            <w:pPr>
              <w:keepLines/>
              <w:rPr>
                <w:rFonts w:ascii="Arial Narrow" w:hAnsi="Arial Narrow"/>
                <w:sz w:val="20"/>
                <w:szCs w:val="20"/>
              </w:rPr>
            </w:pPr>
            <w:r w:rsidRPr="009B3A66">
              <w:rPr>
                <w:rFonts w:ascii="Arial Narrow" w:hAnsi="Arial Narrow"/>
                <w:sz w:val="20"/>
                <w:szCs w:val="20"/>
              </w:rPr>
              <w:t>Ivacaftor</w:t>
            </w:r>
            <w:r>
              <w:rPr>
                <w:rFonts w:ascii="Arial Narrow" w:hAnsi="Arial Narrow"/>
                <w:sz w:val="20"/>
                <w:szCs w:val="20"/>
              </w:rPr>
              <w:t xml:space="preserve"> 13.4</w:t>
            </w:r>
            <w:r w:rsidRPr="009B3A66">
              <w:rPr>
                <w:rFonts w:ascii="Arial Narrow" w:hAnsi="Arial Narrow"/>
                <w:sz w:val="20"/>
                <w:szCs w:val="20"/>
              </w:rPr>
              <w:t xml:space="preserve"> mg granules</w:t>
            </w:r>
            <w:r>
              <w:rPr>
                <w:rFonts w:ascii="Arial Narrow" w:hAnsi="Arial Narrow"/>
                <w:sz w:val="20"/>
                <w:szCs w:val="20"/>
              </w:rPr>
              <w:t xml:space="preserve">, </w:t>
            </w:r>
            <w:r w:rsidRPr="009B3A66">
              <w:rPr>
                <w:rFonts w:ascii="Arial Narrow" w:hAnsi="Arial Narrow"/>
                <w:sz w:val="20"/>
                <w:szCs w:val="20"/>
              </w:rPr>
              <w:t>56 sachets</w:t>
            </w:r>
          </w:p>
        </w:tc>
        <w:tc>
          <w:tcPr>
            <w:tcW w:w="1701" w:type="dxa"/>
            <w:tcBorders>
              <w:top w:val="single" w:sz="4" w:space="0" w:color="auto"/>
              <w:left w:val="single" w:sz="4" w:space="0" w:color="auto"/>
              <w:bottom w:val="single" w:sz="4" w:space="0" w:color="auto"/>
              <w:right w:val="single" w:sz="4" w:space="0" w:color="auto"/>
            </w:tcBorders>
            <w:vAlign w:val="center"/>
          </w:tcPr>
          <w:p w14:paraId="48A00F90" w14:textId="77777777" w:rsidR="00C65571" w:rsidRDefault="00C65571">
            <w:pPr>
              <w:keepLines/>
              <w:jc w:val="center"/>
              <w:rPr>
                <w:rFonts w:ascii="Arial Narrow" w:hAnsi="Arial Narrow"/>
                <w:sz w:val="20"/>
                <w:szCs w:val="20"/>
              </w:rPr>
            </w:pPr>
            <w:r>
              <w:rPr>
                <w:rFonts w:ascii="Arial Narrow" w:hAnsi="Arial Narrow"/>
                <w:sz w:val="20"/>
                <w:szCs w:val="20"/>
              </w:rPr>
              <w:t>NEW HSD</w:t>
            </w:r>
            <w:r w:rsidRPr="009B3A66">
              <w:rPr>
                <w:rFonts w:ascii="Arial Narrow" w:hAnsi="Arial Narrow"/>
                <w:sz w:val="20"/>
                <w:szCs w:val="20"/>
              </w:rPr>
              <w:t xml:space="preserve"> </w:t>
            </w:r>
            <w:r>
              <w:rPr>
                <w:rFonts w:ascii="Arial Narrow" w:hAnsi="Arial Narrow"/>
                <w:sz w:val="20"/>
                <w:szCs w:val="20"/>
              </w:rPr>
              <w:t>(Public)</w:t>
            </w:r>
          </w:p>
          <w:p w14:paraId="3F81F442" w14:textId="77777777" w:rsidR="00C65571" w:rsidRDefault="00C65571">
            <w:pPr>
              <w:keepLines/>
              <w:jc w:val="center"/>
              <w:rPr>
                <w:rFonts w:ascii="Arial Narrow" w:hAnsi="Arial Narrow"/>
                <w:sz w:val="20"/>
                <w:szCs w:val="20"/>
              </w:rPr>
            </w:pPr>
            <w:r>
              <w:rPr>
                <w:rFonts w:ascii="Arial Narrow" w:hAnsi="Arial Narrow"/>
                <w:sz w:val="20"/>
                <w:szCs w:val="20"/>
              </w:rPr>
              <w:t>NEW HSD</w:t>
            </w:r>
            <w:r w:rsidRPr="009B3A66">
              <w:rPr>
                <w:rFonts w:ascii="Arial Narrow" w:hAnsi="Arial Narrow"/>
                <w:sz w:val="20"/>
                <w:szCs w:val="20"/>
              </w:rPr>
              <w:t xml:space="preserve"> </w:t>
            </w:r>
            <w:r>
              <w:rPr>
                <w:rFonts w:ascii="Arial Narrow" w:hAnsi="Arial Narrow"/>
                <w:sz w:val="20"/>
                <w:szCs w:val="20"/>
              </w:rPr>
              <w:t>(Private)</w:t>
            </w:r>
          </w:p>
        </w:tc>
        <w:tc>
          <w:tcPr>
            <w:tcW w:w="709" w:type="dxa"/>
            <w:tcBorders>
              <w:top w:val="single" w:sz="4" w:space="0" w:color="auto"/>
              <w:left w:val="single" w:sz="4" w:space="0" w:color="auto"/>
              <w:bottom w:val="single" w:sz="4" w:space="0" w:color="auto"/>
              <w:right w:val="single" w:sz="4" w:space="0" w:color="auto"/>
            </w:tcBorders>
            <w:vAlign w:val="center"/>
          </w:tcPr>
          <w:p w14:paraId="778465DC" w14:textId="77777777" w:rsidR="00C65571" w:rsidRDefault="00C65571">
            <w:pPr>
              <w:keepLines/>
              <w:jc w:val="center"/>
              <w:rPr>
                <w:rFonts w:ascii="Arial Narrow" w:hAnsi="Arial Narrow"/>
                <w:sz w:val="20"/>
                <w:szCs w:val="20"/>
              </w:rPr>
            </w:pPr>
            <w:r>
              <w:rPr>
                <w:rFonts w:ascii="Arial Narrow" w:hAnsi="Arial Narrow"/>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14:paraId="2D44999E" w14:textId="77777777" w:rsidR="00C65571" w:rsidRDefault="00C65571">
            <w:pPr>
              <w:keepLines/>
              <w:jc w:val="center"/>
              <w:rPr>
                <w:rFonts w:ascii="Arial Narrow" w:hAnsi="Arial Narrow"/>
                <w:sz w:val="20"/>
                <w:szCs w:val="20"/>
              </w:rPr>
            </w:pPr>
            <w:r>
              <w:rPr>
                <w:rFonts w:ascii="Arial Narrow" w:hAnsi="Arial Narrow"/>
                <w:sz w:val="20"/>
                <w:szCs w:val="20"/>
              </w:rPr>
              <w:t>56</w:t>
            </w:r>
          </w:p>
        </w:tc>
        <w:tc>
          <w:tcPr>
            <w:tcW w:w="708" w:type="dxa"/>
            <w:tcBorders>
              <w:top w:val="single" w:sz="4" w:space="0" w:color="auto"/>
              <w:left w:val="single" w:sz="4" w:space="0" w:color="auto"/>
              <w:bottom w:val="single" w:sz="4" w:space="0" w:color="auto"/>
              <w:right w:val="single" w:sz="4" w:space="0" w:color="auto"/>
            </w:tcBorders>
            <w:vAlign w:val="center"/>
          </w:tcPr>
          <w:p w14:paraId="3BC5FD11" w14:textId="5806B352" w:rsidR="00C65571" w:rsidRDefault="00C65571">
            <w:pPr>
              <w:keepLines/>
              <w:jc w:val="center"/>
              <w:rPr>
                <w:rFonts w:ascii="Arial Narrow" w:hAnsi="Arial Narrow"/>
                <w:sz w:val="20"/>
                <w:szCs w:val="20"/>
              </w:rPr>
            </w:pPr>
            <w:r w:rsidRPr="00673AFB">
              <w:rPr>
                <w:rFonts w:ascii="Arial Narrow" w:hAnsi="Arial Narrow"/>
                <w:i/>
                <w:iCs/>
                <w:sz w:val="20"/>
                <w:szCs w:val="20"/>
              </w:rPr>
              <w:t>2</w:t>
            </w:r>
          </w:p>
        </w:tc>
        <w:tc>
          <w:tcPr>
            <w:tcW w:w="1650" w:type="dxa"/>
            <w:tcBorders>
              <w:top w:val="single" w:sz="4" w:space="0" w:color="auto"/>
              <w:left w:val="single" w:sz="4" w:space="0" w:color="auto"/>
              <w:bottom w:val="single" w:sz="4" w:space="0" w:color="auto"/>
              <w:right w:val="single" w:sz="4" w:space="0" w:color="auto"/>
            </w:tcBorders>
            <w:vAlign w:val="center"/>
          </w:tcPr>
          <w:p w14:paraId="358A57A2" w14:textId="77777777" w:rsidR="00C65571" w:rsidRPr="009B3A66" w:rsidRDefault="00C65571">
            <w:pPr>
              <w:keepLines/>
              <w:jc w:val="center"/>
              <w:rPr>
                <w:rFonts w:ascii="Arial Narrow" w:hAnsi="Arial Narrow"/>
                <w:sz w:val="20"/>
                <w:szCs w:val="20"/>
              </w:rPr>
            </w:pPr>
            <w:r w:rsidRPr="009B3A66">
              <w:rPr>
                <w:rFonts w:ascii="Arial Narrow" w:hAnsi="Arial Narrow"/>
                <w:sz w:val="20"/>
                <w:szCs w:val="20"/>
              </w:rPr>
              <w:t>Kalydeco</w:t>
            </w:r>
          </w:p>
        </w:tc>
      </w:tr>
      <w:tr w:rsidR="00C65571" w14:paraId="3B2FEDFF" w14:textId="77777777" w:rsidTr="00744B8B">
        <w:trPr>
          <w:cantSplit/>
          <w:trHeight w:val="23"/>
        </w:trPr>
        <w:tc>
          <w:tcPr>
            <w:tcW w:w="9017" w:type="dxa"/>
            <w:gridSpan w:val="7"/>
            <w:tcBorders>
              <w:top w:val="single" w:sz="4" w:space="0" w:color="auto"/>
              <w:left w:val="single" w:sz="4" w:space="0" w:color="auto"/>
              <w:bottom w:val="single" w:sz="4" w:space="0" w:color="auto"/>
              <w:right w:val="single" w:sz="4" w:space="0" w:color="auto"/>
            </w:tcBorders>
            <w:vAlign w:val="center"/>
          </w:tcPr>
          <w:p w14:paraId="0D601C72" w14:textId="77777777" w:rsidR="00C65571" w:rsidRPr="009B3A66" w:rsidRDefault="00C65571">
            <w:pPr>
              <w:keepLines/>
              <w:jc w:val="center"/>
              <w:rPr>
                <w:rFonts w:ascii="Arial Narrow" w:hAnsi="Arial Narrow"/>
                <w:sz w:val="20"/>
                <w:szCs w:val="20"/>
              </w:rPr>
            </w:pPr>
          </w:p>
        </w:tc>
      </w:tr>
      <w:tr w:rsidR="00C65571" w:rsidRPr="00FE20A5" w14:paraId="3F1619F3" w14:textId="77777777" w:rsidTr="00744B8B">
        <w:tblPrEx>
          <w:tblCellMar>
            <w:top w:w="11" w:type="dxa"/>
            <w:bottom w:w="11" w:type="dxa"/>
          </w:tblCellMar>
        </w:tblPrEx>
        <w:trPr>
          <w:trHeight w:val="23"/>
        </w:trPr>
        <w:tc>
          <w:tcPr>
            <w:tcW w:w="901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CA2C66" w14:textId="77777777" w:rsidR="00C65571" w:rsidRPr="00CC0A7A" w:rsidRDefault="00C65571" w:rsidP="7F77D409">
            <w:pPr>
              <w:rPr>
                <w:rFonts w:ascii="Arial Narrow" w:hAnsi="Arial Narrow"/>
                <w:sz w:val="20"/>
                <w:szCs w:val="20"/>
              </w:rPr>
            </w:pPr>
            <w:r w:rsidRPr="7F77D409">
              <w:rPr>
                <w:rFonts w:ascii="Arial Narrow" w:hAnsi="Arial Narrow"/>
                <w:b/>
                <w:bCs/>
                <w:sz w:val="20"/>
                <w:szCs w:val="20"/>
              </w:rPr>
              <w:t>Restriction Summary [variant of: 15256] / Treatment of Concept: [variant of: 15251]</w:t>
            </w:r>
          </w:p>
        </w:tc>
      </w:tr>
      <w:tr w:rsidR="00C65571" w:rsidRPr="00FE20A5" w14:paraId="197A244E" w14:textId="77777777" w:rsidTr="00744B8B">
        <w:tblPrEx>
          <w:tblCellMar>
            <w:top w:w="11" w:type="dxa"/>
            <w:bottom w:w="11" w:type="dxa"/>
          </w:tblCellMar>
        </w:tblPrEx>
        <w:trPr>
          <w:trHeight w:val="23"/>
        </w:trPr>
        <w:tc>
          <w:tcPr>
            <w:tcW w:w="1130" w:type="dxa"/>
            <w:vMerge w:val="restart"/>
            <w:tcBorders>
              <w:top w:val="single" w:sz="4" w:space="0" w:color="auto"/>
              <w:left w:val="single" w:sz="4" w:space="0" w:color="auto"/>
              <w:right w:val="single" w:sz="4" w:space="0" w:color="auto"/>
            </w:tcBorders>
            <w:tcMar>
              <w:top w:w="15" w:type="dxa"/>
              <w:left w:w="15" w:type="dxa"/>
              <w:bottom w:w="15" w:type="dxa"/>
              <w:right w:w="15" w:type="dxa"/>
            </w:tcMar>
          </w:tcPr>
          <w:p w14:paraId="4DEE5166" w14:textId="77777777" w:rsidR="00C65571" w:rsidRPr="00C87807" w:rsidRDefault="00C65571">
            <w:pPr>
              <w:jc w:val="center"/>
              <w:rPr>
                <w:rFonts w:ascii="Arial Narrow" w:hAnsi="Arial Narrow"/>
                <w:b/>
                <w:bCs/>
                <w:sz w:val="20"/>
                <w:szCs w:val="20"/>
              </w:rPr>
            </w:pPr>
            <w:r w:rsidRPr="003E0392">
              <w:rPr>
                <w:rFonts w:ascii="Arial Narrow" w:hAnsi="Arial Narrow"/>
                <w:b/>
                <w:bCs/>
                <w:sz w:val="20"/>
                <w:szCs w:val="20"/>
              </w:rPr>
              <w:t>Concept ID</w:t>
            </w:r>
          </w:p>
          <w:p w14:paraId="4AB592E4" w14:textId="77777777" w:rsidR="00C65571" w:rsidRPr="00CC0A7A" w:rsidRDefault="00C65571">
            <w:pPr>
              <w:jc w:val="center"/>
              <w:rPr>
                <w:rFonts w:ascii="Arial Narrow" w:hAnsi="Arial Narrow"/>
                <w:sz w:val="20"/>
                <w:szCs w:val="20"/>
              </w:rPr>
            </w:pPr>
            <w:r w:rsidRPr="00CC0A7A">
              <w:rPr>
                <w:rFonts w:ascii="Arial Narrow" w:hAnsi="Arial Narrow"/>
                <w:sz w:val="20"/>
                <w:szCs w:val="20"/>
              </w:rPr>
              <w:t>(for internal Dept. use)</w:t>
            </w: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D110B1" w14:textId="77777777" w:rsidR="00C65571" w:rsidRPr="00CC0A7A" w:rsidRDefault="00C65571">
            <w:pPr>
              <w:rPr>
                <w:rFonts w:ascii="Arial Narrow" w:hAnsi="Arial Narrow"/>
                <w:sz w:val="20"/>
                <w:szCs w:val="20"/>
              </w:rPr>
            </w:pPr>
            <w:r w:rsidRPr="00CC0A7A">
              <w:rPr>
                <w:rFonts w:ascii="Arial Narrow" w:hAnsi="Arial Narrow"/>
                <w:sz w:val="20"/>
                <w:szCs w:val="20"/>
              </w:rPr>
              <w:t xml:space="preserve">Category / Program: </w:t>
            </w:r>
            <w:r w:rsidRPr="00CC0A7A">
              <w:rPr>
                <w:rFonts w:ascii="Arial Narrow" w:hAnsi="Arial Narrow"/>
                <w:sz w:val="20"/>
                <w:szCs w:val="20"/>
              </w:rPr>
              <w:fldChar w:fldCharType="begin" w:fldLock="1">
                <w:ffData>
                  <w:name w:val=""/>
                  <w:enabled/>
                  <w:calcOnExit w:val="0"/>
                  <w:checkBox>
                    <w:sizeAuto/>
                    <w:default w:val="1"/>
                  </w:checkBox>
                </w:ffData>
              </w:fldChar>
            </w:r>
            <w:r w:rsidRPr="00CC0A7A">
              <w:rPr>
                <w:rFonts w:ascii="Arial Narrow" w:hAnsi="Arial Narrow"/>
                <w:sz w:val="20"/>
                <w:szCs w:val="20"/>
              </w:rPr>
              <w:instrText xml:space="preserve"> FORMCHECKBOX </w:instrText>
            </w:r>
            <w:r w:rsidRPr="00CC0A7A">
              <w:rPr>
                <w:rFonts w:ascii="Arial Narrow" w:hAnsi="Arial Narrow"/>
                <w:sz w:val="20"/>
                <w:szCs w:val="20"/>
              </w:rPr>
            </w:r>
            <w:r w:rsidRPr="00CC0A7A">
              <w:rPr>
                <w:rFonts w:ascii="Arial Narrow" w:hAnsi="Arial Narrow"/>
                <w:sz w:val="20"/>
                <w:szCs w:val="20"/>
              </w:rPr>
              <w:fldChar w:fldCharType="separate"/>
            </w:r>
            <w:r w:rsidRPr="00CC0A7A">
              <w:rPr>
                <w:rFonts w:ascii="Arial Narrow" w:hAnsi="Arial Narrow"/>
                <w:sz w:val="20"/>
                <w:szCs w:val="20"/>
              </w:rPr>
              <w:fldChar w:fldCharType="end"/>
            </w:r>
            <w:r>
              <w:rPr>
                <w:rFonts w:ascii="Arial Narrow" w:hAnsi="Arial Narrow"/>
                <w:sz w:val="20"/>
                <w:szCs w:val="20"/>
              </w:rPr>
              <w:t xml:space="preserve"> </w:t>
            </w:r>
            <w:r w:rsidRPr="00CC0A7A">
              <w:rPr>
                <w:rFonts w:ascii="Arial Narrow" w:hAnsi="Arial Narrow"/>
                <w:sz w:val="20"/>
                <w:szCs w:val="20"/>
              </w:rPr>
              <w:t xml:space="preserve">Section 100 – Highly Specialised Drugs Program </w:t>
            </w:r>
            <w:r>
              <w:rPr>
                <w:rFonts w:ascii="Arial Narrow" w:eastAsia="Calibri" w:hAnsi="Arial Narrow"/>
                <w:sz w:val="20"/>
                <w:szCs w:val="20"/>
              </w:rPr>
              <w:t>– Public (Code HB)</w:t>
            </w:r>
            <w:r w:rsidRPr="001428E9">
              <w:rPr>
                <w:rFonts w:ascii="Arial Narrow" w:eastAsia="Calibri" w:hAnsi="Arial Narrow"/>
                <w:color w:val="FF0000"/>
                <w:sz w:val="20"/>
                <w:szCs w:val="20"/>
              </w:rPr>
              <w:t xml:space="preserve"> </w:t>
            </w:r>
            <w:r>
              <w:rPr>
                <w:rFonts w:ascii="Arial Narrow" w:eastAsia="Calibri" w:hAnsi="Arial Narrow"/>
                <w:sz w:val="20"/>
                <w:szCs w:val="20"/>
              </w:rPr>
              <w:t>/ Private (Code HS)</w:t>
            </w:r>
          </w:p>
        </w:tc>
      </w:tr>
      <w:tr w:rsidR="00C65571" w:rsidRPr="00FE20A5" w14:paraId="1FBECC58" w14:textId="77777777" w:rsidTr="00744B8B">
        <w:tblPrEx>
          <w:tblCellMar>
            <w:top w:w="11" w:type="dxa"/>
            <w:bottom w:w="11" w:type="dxa"/>
          </w:tblCellMar>
        </w:tblPrEx>
        <w:trPr>
          <w:trHeight w:val="23"/>
        </w:trPr>
        <w:tc>
          <w:tcPr>
            <w:tcW w:w="1130" w:type="dxa"/>
            <w:vMerge/>
            <w:vAlign w:val="center"/>
            <w:hideMark/>
          </w:tcPr>
          <w:p w14:paraId="7DCF7B2E" w14:textId="77777777" w:rsidR="00C65571" w:rsidRPr="00CC0A7A" w:rsidRDefault="00C65571">
            <w:pP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BB5926B" w14:textId="77777777" w:rsidR="00C65571" w:rsidRPr="00CC0A7A" w:rsidRDefault="00C65571">
            <w:pPr>
              <w:rPr>
                <w:rFonts w:ascii="Arial Narrow" w:hAnsi="Arial Narrow"/>
                <w:sz w:val="20"/>
                <w:szCs w:val="20"/>
              </w:rPr>
            </w:pPr>
            <w:r w:rsidRPr="00CC0A7A">
              <w:rPr>
                <w:rFonts w:ascii="Arial Narrow" w:hAnsi="Arial Narrow"/>
                <w:sz w:val="20"/>
                <w:szCs w:val="20"/>
              </w:rPr>
              <w:t xml:space="preserve">Prescriber type: </w:t>
            </w:r>
            <w:r w:rsidRPr="00CC0A7A">
              <w:rPr>
                <w:rFonts w:ascii="Arial Narrow" w:hAnsi="Arial Narrow"/>
                <w:sz w:val="20"/>
                <w:szCs w:val="20"/>
              </w:rPr>
              <w:fldChar w:fldCharType="begin" w:fldLock="1">
                <w:ffData>
                  <w:name w:val=""/>
                  <w:enabled/>
                  <w:calcOnExit w:val="0"/>
                  <w:checkBox>
                    <w:sizeAuto/>
                    <w:default w:val="1"/>
                  </w:checkBox>
                </w:ffData>
              </w:fldChar>
            </w:r>
            <w:r w:rsidRPr="00CC0A7A">
              <w:rPr>
                <w:rFonts w:ascii="Arial Narrow" w:hAnsi="Arial Narrow"/>
                <w:sz w:val="20"/>
                <w:szCs w:val="20"/>
              </w:rPr>
              <w:instrText xml:space="preserve"> FORMCHECKBOX </w:instrText>
            </w:r>
            <w:r w:rsidRPr="00CC0A7A">
              <w:rPr>
                <w:rFonts w:ascii="Arial Narrow" w:hAnsi="Arial Narrow"/>
                <w:sz w:val="20"/>
                <w:szCs w:val="20"/>
              </w:rPr>
            </w:r>
            <w:r w:rsidRPr="00CC0A7A">
              <w:rPr>
                <w:rFonts w:ascii="Arial Narrow" w:hAnsi="Arial Narrow"/>
                <w:sz w:val="20"/>
                <w:szCs w:val="20"/>
              </w:rPr>
              <w:fldChar w:fldCharType="separate"/>
            </w:r>
            <w:r w:rsidRPr="00CC0A7A">
              <w:rPr>
                <w:rFonts w:ascii="Arial Narrow" w:hAnsi="Arial Narrow"/>
                <w:sz w:val="20"/>
                <w:szCs w:val="20"/>
              </w:rPr>
              <w:fldChar w:fldCharType="end"/>
            </w:r>
            <w:r>
              <w:rPr>
                <w:rFonts w:ascii="Arial Narrow" w:hAnsi="Arial Narrow"/>
                <w:sz w:val="20"/>
                <w:szCs w:val="20"/>
              </w:rPr>
              <w:t xml:space="preserve"> </w:t>
            </w:r>
            <w:r w:rsidRPr="00CC0A7A">
              <w:rPr>
                <w:rFonts w:ascii="Arial Narrow" w:hAnsi="Arial Narrow"/>
                <w:sz w:val="20"/>
                <w:szCs w:val="20"/>
              </w:rPr>
              <w:t xml:space="preserve">Medical Practitioners </w:t>
            </w:r>
          </w:p>
        </w:tc>
      </w:tr>
      <w:tr w:rsidR="00C65571" w:rsidRPr="00FE20A5" w14:paraId="2F10B3A3" w14:textId="77777777" w:rsidTr="00744B8B">
        <w:tblPrEx>
          <w:tblCellMar>
            <w:top w:w="11" w:type="dxa"/>
            <w:bottom w:w="11" w:type="dxa"/>
          </w:tblCellMar>
        </w:tblPrEx>
        <w:trPr>
          <w:trHeight w:val="23"/>
        </w:trPr>
        <w:tc>
          <w:tcPr>
            <w:tcW w:w="1130" w:type="dxa"/>
            <w:vMerge/>
            <w:vAlign w:val="center"/>
            <w:hideMark/>
          </w:tcPr>
          <w:p w14:paraId="75B20BA8" w14:textId="77777777" w:rsidR="00C65571" w:rsidRPr="00CC0A7A" w:rsidRDefault="00C65571">
            <w:pP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A761501" w14:textId="77777777" w:rsidR="00C65571" w:rsidRPr="00CC0A7A" w:rsidRDefault="00C65571">
            <w:pPr>
              <w:rPr>
                <w:rFonts w:ascii="Arial Narrow" w:hAnsi="Arial Narrow"/>
                <w:sz w:val="20"/>
                <w:szCs w:val="20"/>
              </w:rPr>
            </w:pPr>
            <w:r w:rsidRPr="00CC0A7A">
              <w:rPr>
                <w:rFonts w:ascii="Arial Narrow" w:hAnsi="Arial Narrow"/>
                <w:sz w:val="20"/>
                <w:szCs w:val="20"/>
              </w:rPr>
              <w:t xml:space="preserve">Restriction Type – </w:t>
            </w:r>
            <w:r w:rsidRPr="00CC0A7A">
              <w:rPr>
                <w:rFonts w:ascii="Arial Narrow" w:hAnsi="Arial Narrow"/>
                <w:sz w:val="20"/>
                <w:szCs w:val="20"/>
              </w:rPr>
              <w:fldChar w:fldCharType="begin" w:fldLock="1">
                <w:ffData>
                  <w:name w:val=""/>
                  <w:enabled/>
                  <w:calcOnExit w:val="0"/>
                  <w:checkBox>
                    <w:sizeAuto/>
                    <w:default w:val="1"/>
                  </w:checkBox>
                </w:ffData>
              </w:fldChar>
            </w:r>
            <w:r w:rsidRPr="00CC0A7A">
              <w:rPr>
                <w:rFonts w:ascii="Arial Narrow" w:hAnsi="Arial Narrow"/>
                <w:sz w:val="20"/>
                <w:szCs w:val="20"/>
              </w:rPr>
              <w:instrText xml:space="preserve"> FORMCHECKBOX </w:instrText>
            </w:r>
            <w:r w:rsidRPr="00CC0A7A">
              <w:rPr>
                <w:rFonts w:ascii="Arial Narrow" w:hAnsi="Arial Narrow"/>
                <w:sz w:val="20"/>
                <w:szCs w:val="20"/>
              </w:rPr>
            </w:r>
            <w:r w:rsidRPr="00CC0A7A">
              <w:rPr>
                <w:rFonts w:ascii="Arial Narrow" w:hAnsi="Arial Narrow"/>
                <w:sz w:val="20"/>
                <w:szCs w:val="20"/>
              </w:rPr>
              <w:fldChar w:fldCharType="separate"/>
            </w:r>
            <w:r w:rsidRPr="00CC0A7A">
              <w:rPr>
                <w:rFonts w:ascii="Arial Narrow" w:hAnsi="Arial Narrow"/>
                <w:sz w:val="20"/>
                <w:szCs w:val="20"/>
              </w:rPr>
              <w:fldChar w:fldCharType="end"/>
            </w:r>
            <w:r w:rsidRPr="00CC0A7A">
              <w:rPr>
                <w:rFonts w:ascii="Arial Narrow" w:hAnsi="Arial Narrow"/>
                <w:sz w:val="20"/>
                <w:szCs w:val="20"/>
              </w:rPr>
              <w:t xml:space="preserve">Authority Required – non-immediate/delayed assessment by Services Australia </w:t>
            </w:r>
          </w:p>
        </w:tc>
      </w:tr>
      <w:tr w:rsidR="00C65571" w:rsidRPr="00FE20A5" w14:paraId="38A2137F" w14:textId="77777777" w:rsidTr="00744B8B">
        <w:tblPrEx>
          <w:tblCellMar>
            <w:top w:w="11" w:type="dxa"/>
            <w:bottom w:w="11" w:type="dxa"/>
          </w:tblCellMar>
        </w:tblPrEx>
        <w:trPr>
          <w:trHeight w:val="23"/>
        </w:trPr>
        <w:tc>
          <w:tcPr>
            <w:tcW w:w="1130" w:type="dxa"/>
            <w:vMerge/>
            <w:tcMar>
              <w:top w:w="15" w:type="dxa"/>
              <w:left w:w="15" w:type="dxa"/>
              <w:bottom w:w="15" w:type="dxa"/>
              <w:right w:w="15" w:type="dxa"/>
            </w:tcMar>
            <w:vAlign w:val="center"/>
          </w:tcPr>
          <w:p w14:paraId="2EC839C0" w14:textId="77777777" w:rsidR="00C65571" w:rsidRPr="0017028E" w:rsidRDefault="00C65571">
            <w:pPr>
              <w:jc w:val="center"/>
              <w:rPr>
                <w:rFonts w:ascii="Arial Narrow" w:hAnsi="Arial Narrow"/>
                <w:i/>
                <w:iCs/>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5C43CE" w14:textId="77777777" w:rsidR="00C65571" w:rsidRPr="0017028E" w:rsidRDefault="00C65571">
            <w:pPr>
              <w:keepLines/>
              <w:rPr>
                <w:rFonts w:ascii="Arial Narrow" w:hAnsi="Arial Narrow"/>
                <w:i/>
                <w:iCs/>
                <w:sz w:val="20"/>
                <w:szCs w:val="20"/>
              </w:rPr>
            </w:pPr>
            <w:r>
              <w:rPr>
                <w:rFonts w:ascii="Arial Narrow" w:hAnsi="Arial Narrow"/>
                <w:b/>
                <w:sz w:val="20"/>
                <w:szCs w:val="20"/>
              </w:rPr>
              <w:t xml:space="preserve">Authority type: </w:t>
            </w:r>
            <w:r>
              <w:rPr>
                <w:rFonts w:ascii="Arial Narrow" w:eastAsia="Calibri" w:hAnsi="Arial Narrow"/>
                <w:sz w:val="20"/>
                <w:szCs w:val="20"/>
              </w:rPr>
              <w:fldChar w:fldCharType="begin" w:fldLock="1">
                <w:ffData>
                  <w:name w:val=""/>
                  <w:enabled/>
                  <w:calcOnExit w:val="0"/>
                  <w:checkBox>
                    <w:sizeAuto/>
                    <w:default w:val="1"/>
                  </w:checkBox>
                </w:ffData>
              </w:fldChar>
            </w:r>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r>
              <w:rPr>
                <w:rFonts w:ascii="Arial Narrow" w:eastAsia="Calibri" w:hAnsi="Arial Narrow"/>
                <w:sz w:val="20"/>
                <w:szCs w:val="20"/>
              </w:rPr>
              <w:t xml:space="preserve"> Complex Authority Required (CAR)</w:t>
            </w:r>
          </w:p>
        </w:tc>
      </w:tr>
      <w:tr w:rsidR="00C65571" w:rsidRPr="00FE20A5" w14:paraId="3D61AC52" w14:textId="77777777" w:rsidTr="00744B8B">
        <w:tblPrEx>
          <w:tblCellMar>
            <w:top w:w="11" w:type="dxa"/>
            <w:bottom w:w="11" w:type="dxa"/>
          </w:tblCellMar>
        </w:tblPrEx>
        <w:trPr>
          <w:trHeight w:val="23"/>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D2CAED" w14:textId="03185DBC" w:rsidR="00C65571" w:rsidRPr="0017028E" w:rsidRDefault="00C65571">
            <w:pPr>
              <w:jc w:val="center"/>
              <w:rPr>
                <w:rFonts w:ascii="Arial Narrow" w:hAnsi="Arial Narrow"/>
                <w:i/>
                <w:iCs/>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BFAD20" w14:textId="77777777" w:rsidR="00C65571" w:rsidRPr="00484A3A" w:rsidRDefault="00C65571">
            <w:pPr>
              <w:rPr>
                <w:rFonts w:ascii="Arial Narrow" w:hAnsi="Arial Narrow"/>
                <w:b/>
                <w:bCs/>
                <w:i/>
                <w:iCs/>
                <w:sz w:val="20"/>
                <w:szCs w:val="20"/>
              </w:rPr>
            </w:pPr>
            <w:r>
              <w:rPr>
                <w:rFonts w:ascii="Arial Narrow" w:hAnsi="Arial Narrow"/>
                <w:b/>
                <w:bCs/>
                <w:i/>
                <w:iCs/>
                <w:sz w:val="20"/>
                <w:szCs w:val="20"/>
              </w:rPr>
              <w:t xml:space="preserve">Indication: </w:t>
            </w:r>
            <w:r w:rsidRPr="00673AFB">
              <w:rPr>
                <w:rFonts w:ascii="Arial Narrow" w:hAnsi="Arial Narrow"/>
                <w:i/>
                <w:iCs/>
                <w:sz w:val="20"/>
                <w:szCs w:val="20"/>
              </w:rPr>
              <w:t>Cystic fibrosis</w:t>
            </w:r>
          </w:p>
        </w:tc>
      </w:tr>
      <w:tr w:rsidR="00C65571" w:rsidRPr="00FE20A5" w14:paraId="54ACD1E8" w14:textId="77777777" w:rsidTr="00744B8B">
        <w:tblPrEx>
          <w:tblCellMar>
            <w:top w:w="11" w:type="dxa"/>
            <w:bottom w:w="11" w:type="dxa"/>
          </w:tblCellMar>
        </w:tblPrEx>
        <w:trPr>
          <w:trHeight w:val="23"/>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1C9DD4" w14:textId="77777777" w:rsidR="00C65571" w:rsidRPr="00CC0A7A" w:rsidRDefault="00C65571">
            <w:pPr>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DFB843" w14:textId="73154B30" w:rsidR="00C65571" w:rsidRPr="00167721" w:rsidRDefault="00C65571">
            <w:pPr>
              <w:rPr>
                <w:rFonts w:ascii="Arial Narrow" w:hAnsi="Arial Narrow"/>
                <w:i/>
                <w:iCs/>
                <w:sz w:val="20"/>
                <w:szCs w:val="20"/>
              </w:rPr>
            </w:pPr>
            <w:r w:rsidRPr="521BDE2C">
              <w:rPr>
                <w:rFonts w:ascii="Arial Narrow" w:hAnsi="Arial Narrow"/>
                <w:b/>
                <w:bCs/>
                <w:sz w:val="20"/>
                <w:szCs w:val="20"/>
              </w:rPr>
              <w:t>Treatment Phase:</w:t>
            </w:r>
            <w:r w:rsidRPr="521BDE2C">
              <w:rPr>
                <w:rFonts w:ascii="Arial Narrow" w:hAnsi="Arial Narrow"/>
                <w:sz w:val="20"/>
                <w:szCs w:val="20"/>
              </w:rPr>
              <w:t xml:space="preserve"> Initial treatment</w:t>
            </w:r>
            <w:r w:rsidRPr="521BDE2C">
              <w:rPr>
                <w:rFonts w:ascii="Arial Narrow" w:hAnsi="Arial Narrow"/>
                <w:i/>
                <w:iCs/>
                <w:sz w:val="20"/>
                <w:szCs w:val="20"/>
              </w:rPr>
              <w:t xml:space="preserve">- </w:t>
            </w:r>
            <w:r w:rsidRPr="00744B8B">
              <w:rPr>
                <w:rFonts w:ascii="Arial Narrow" w:hAnsi="Arial Narrow"/>
                <w:sz w:val="20"/>
                <w:szCs w:val="20"/>
              </w:rPr>
              <w:t>New Patient (gating mutations)</w:t>
            </w:r>
            <w:r w:rsidRPr="521BDE2C">
              <w:rPr>
                <w:rFonts w:ascii="Arial Narrow" w:hAnsi="Arial Narrow"/>
                <w:sz w:val="20"/>
                <w:szCs w:val="20"/>
              </w:rPr>
              <w:t xml:space="preserve"> </w:t>
            </w:r>
          </w:p>
        </w:tc>
      </w:tr>
      <w:tr w:rsidR="00C65571" w:rsidRPr="00FE20A5" w14:paraId="6EEDB34C" w14:textId="77777777" w:rsidTr="00744B8B">
        <w:tblPrEx>
          <w:tblCellMar>
            <w:top w:w="11" w:type="dxa"/>
            <w:bottom w:w="11" w:type="dxa"/>
          </w:tblCellMar>
        </w:tblPrEx>
        <w:trPr>
          <w:trHeight w:val="23"/>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FD9CE2" w14:textId="58D0A0E7" w:rsidR="00C65571" w:rsidRPr="00CC0A7A" w:rsidRDefault="00C65571">
            <w:pPr>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783749" w14:textId="77777777" w:rsidR="00C65571" w:rsidRPr="00F57B69" w:rsidRDefault="00C65571">
            <w:pPr>
              <w:rPr>
                <w:rFonts w:ascii="Arial Narrow" w:hAnsi="Arial Narrow"/>
                <w:b/>
                <w:bCs/>
                <w:sz w:val="20"/>
                <w:szCs w:val="20"/>
              </w:rPr>
            </w:pPr>
            <w:r w:rsidRPr="00F57B69">
              <w:rPr>
                <w:rFonts w:ascii="Arial Narrow" w:hAnsi="Arial Narrow"/>
                <w:b/>
                <w:bCs/>
                <w:sz w:val="20"/>
                <w:szCs w:val="20"/>
              </w:rPr>
              <w:t>Clinical criteria:</w:t>
            </w:r>
          </w:p>
        </w:tc>
      </w:tr>
      <w:tr w:rsidR="00C65571" w:rsidRPr="00FE20A5" w14:paraId="23015567" w14:textId="77777777" w:rsidTr="00744B8B">
        <w:tblPrEx>
          <w:tblCellMar>
            <w:top w:w="11" w:type="dxa"/>
            <w:bottom w:w="11" w:type="dxa"/>
          </w:tblCellMar>
        </w:tblPrEx>
        <w:trPr>
          <w:trHeight w:val="23"/>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046B43" w14:textId="56B9B32F" w:rsidR="00C65571" w:rsidRPr="00CC0A7A" w:rsidRDefault="00C65571">
            <w:pPr>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93BE89" w14:textId="77777777" w:rsidR="00C65571" w:rsidRPr="00CC0A7A" w:rsidRDefault="00C65571" w:rsidP="7F77D409">
            <w:pPr>
              <w:rPr>
                <w:rFonts w:ascii="Arial Narrow" w:hAnsi="Arial Narrow"/>
                <w:sz w:val="20"/>
                <w:szCs w:val="20"/>
              </w:rPr>
            </w:pPr>
            <w:r w:rsidRPr="7F77D409">
              <w:rPr>
                <w:rFonts w:ascii="Arial Narrow" w:hAnsi="Arial Narrow"/>
                <w:sz w:val="20"/>
                <w:szCs w:val="20"/>
              </w:rPr>
              <w:t>Patient must be assessed through a cystic fibrosis clinic/centre which is under the control of specialist respiratory physicians with experience and expertise in the management of cystic fibrosis. If attendance at such a unit is not possible because of geographical isolation, management (including prescribing) may be in consultation with such a unit</w:t>
            </w:r>
          </w:p>
        </w:tc>
      </w:tr>
      <w:tr w:rsidR="00C65571" w:rsidRPr="00FE20A5" w14:paraId="324A0060" w14:textId="77777777" w:rsidTr="00744B8B">
        <w:tblPrEx>
          <w:tblCellMar>
            <w:top w:w="11" w:type="dxa"/>
            <w:bottom w:w="11" w:type="dxa"/>
          </w:tblCellMar>
        </w:tblPrEx>
        <w:trPr>
          <w:trHeight w:val="23"/>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361CC6" w14:textId="77777777" w:rsidR="00C65571" w:rsidRPr="00CC0A7A" w:rsidRDefault="00C65571">
            <w:pP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FA8EEE" w14:textId="77777777" w:rsidR="00C65571" w:rsidRPr="00EF230C" w:rsidRDefault="00C65571">
            <w:pPr>
              <w:rPr>
                <w:rFonts w:ascii="Arial Narrow" w:hAnsi="Arial Narrow"/>
                <w:b/>
                <w:bCs/>
                <w:sz w:val="20"/>
                <w:szCs w:val="20"/>
              </w:rPr>
            </w:pPr>
            <w:r w:rsidRPr="00EF230C">
              <w:rPr>
                <w:rFonts w:ascii="Arial Narrow" w:hAnsi="Arial Narrow"/>
                <w:b/>
                <w:bCs/>
                <w:sz w:val="20"/>
                <w:szCs w:val="20"/>
              </w:rPr>
              <w:t>AND</w:t>
            </w:r>
          </w:p>
        </w:tc>
      </w:tr>
      <w:tr w:rsidR="00C65571" w:rsidRPr="00FE20A5" w14:paraId="0A7E80F3" w14:textId="77777777" w:rsidTr="00744B8B">
        <w:tblPrEx>
          <w:tblCellMar>
            <w:top w:w="11" w:type="dxa"/>
            <w:bottom w:w="11" w:type="dxa"/>
          </w:tblCellMar>
        </w:tblPrEx>
        <w:trPr>
          <w:trHeight w:val="23"/>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FD3A64" w14:textId="2D1BE6D2" w:rsidR="00C65571" w:rsidRPr="00CC0A7A" w:rsidRDefault="00C65571">
            <w:pPr>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B5EE2A" w14:textId="77777777" w:rsidR="00C65571" w:rsidRPr="00EF230C" w:rsidRDefault="00C65571">
            <w:pPr>
              <w:rPr>
                <w:rFonts w:ascii="Arial Narrow" w:hAnsi="Arial Narrow"/>
                <w:b/>
                <w:bCs/>
                <w:sz w:val="20"/>
                <w:szCs w:val="20"/>
              </w:rPr>
            </w:pPr>
            <w:r w:rsidRPr="00EF230C">
              <w:rPr>
                <w:rFonts w:ascii="Arial Narrow" w:hAnsi="Arial Narrow"/>
                <w:b/>
                <w:bCs/>
                <w:sz w:val="20"/>
                <w:szCs w:val="20"/>
              </w:rPr>
              <w:t>Clinical criteria:</w:t>
            </w:r>
          </w:p>
        </w:tc>
      </w:tr>
      <w:tr w:rsidR="00C65571" w:rsidRPr="00FE20A5" w14:paraId="60726154" w14:textId="77777777" w:rsidTr="00744B8B">
        <w:tblPrEx>
          <w:tblCellMar>
            <w:top w:w="11" w:type="dxa"/>
            <w:bottom w:w="11" w:type="dxa"/>
          </w:tblCellMar>
        </w:tblPrEx>
        <w:trPr>
          <w:trHeight w:val="23"/>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25ACE4" w14:textId="2272CA7A" w:rsidR="00C65571" w:rsidRPr="00CC0A7A" w:rsidRDefault="00C65571">
            <w:pPr>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666CA9" w14:textId="77777777" w:rsidR="00C65571" w:rsidRPr="00CC0A7A" w:rsidRDefault="00C65571">
            <w:pPr>
              <w:rPr>
                <w:rFonts w:ascii="Arial Narrow" w:hAnsi="Arial Narrow"/>
                <w:sz w:val="20"/>
                <w:szCs w:val="20"/>
              </w:rPr>
            </w:pPr>
            <w:r w:rsidRPr="00CC0A7A">
              <w:rPr>
                <w:rFonts w:ascii="Arial Narrow" w:hAnsi="Arial Narrow"/>
                <w:sz w:val="20"/>
                <w:szCs w:val="20"/>
              </w:rPr>
              <w:t xml:space="preserve">Patient must have G551D mutation in the cystic fibrosis transmembrane conductance regulator (CFTR) gene on at least 1 allele; </w:t>
            </w:r>
          </w:p>
          <w:p w14:paraId="76637452" w14:textId="77777777" w:rsidR="00C65571" w:rsidRPr="00EF230C" w:rsidRDefault="00C65571">
            <w:pPr>
              <w:rPr>
                <w:rFonts w:ascii="Arial Narrow" w:hAnsi="Arial Narrow"/>
                <w:b/>
                <w:bCs/>
                <w:sz w:val="20"/>
                <w:szCs w:val="20"/>
              </w:rPr>
            </w:pPr>
            <w:r w:rsidRPr="00EF230C">
              <w:rPr>
                <w:rFonts w:ascii="Arial Narrow" w:hAnsi="Arial Narrow"/>
                <w:b/>
                <w:bCs/>
                <w:sz w:val="20"/>
                <w:szCs w:val="20"/>
              </w:rPr>
              <w:t>OR</w:t>
            </w:r>
          </w:p>
        </w:tc>
      </w:tr>
      <w:tr w:rsidR="00C65571" w:rsidRPr="00FE20A5" w14:paraId="5DDDB313" w14:textId="77777777" w:rsidTr="00744B8B">
        <w:tblPrEx>
          <w:tblCellMar>
            <w:top w:w="11" w:type="dxa"/>
            <w:bottom w:w="11" w:type="dxa"/>
          </w:tblCellMar>
        </w:tblPrEx>
        <w:trPr>
          <w:trHeight w:val="23"/>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0CB0F4" w14:textId="28CE6909" w:rsidR="00C65571" w:rsidRPr="00CC0A7A" w:rsidRDefault="00C65571">
            <w:pPr>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ED4786" w14:textId="77777777" w:rsidR="00C65571" w:rsidRPr="00CC0A7A" w:rsidRDefault="00C65571">
            <w:pPr>
              <w:rPr>
                <w:rFonts w:ascii="Arial Narrow" w:hAnsi="Arial Narrow"/>
                <w:sz w:val="20"/>
                <w:szCs w:val="20"/>
              </w:rPr>
            </w:pPr>
            <w:r w:rsidRPr="00CC0A7A">
              <w:rPr>
                <w:rFonts w:ascii="Arial Narrow" w:hAnsi="Arial Narrow"/>
                <w:sz w:val="20"/>
                <w:szCs w:val="20"/>
              </w:rPr>
              <w:t>Patient must have other gating (class III) mutation in the CFTR gene on at least 1 allele,</w:t>
            </w:r>
          </w:p>
        </w:tc>
      </w:tr>
      <w:tr w:rsidR="00C65571" w:rsidRPr="00FE20A5" w14:paraId="293B00F4" w14:textId="77777777" w:rsidTr="00744B8B">
        <w:tblPrEx>
          <w:tblCellMar>
            <w:top w:w="11" w:type="dxa"/>
            <w:bottom w:w="11" w:type="dxa"/>
          </w:tblCellMar>
        </w:tblPrEx>
        <w:trPr>
          <w:trHeight w:val="23"/>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3E7610" w14:textId="77777777" w:rsidR="00C65571" w:rsidRPr="00CC0A7A" w:rsidRDefault="00C65571">
            <w:pPr>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441DE1" w14:textId="77777777" w:rsidR="00C65571" w:rsidRPr="003D774A" w:rsidRDefault="00C65571">
            <w:pPr>
              <w:rPr>
                <w:rFonts w:ascii="Arial Narrow" w:hAnsi="Arial Narrow"/>
                <w:b/>
                <w:bCs/>
                <w:sz w:val="20"/>
                <w:szCs w:val="20"/>
              </w:rPr>
            </w:pPr>
            <w:r w:rsidRPr="003D774A">
              <w:rPr>
                <w:rFonts w:ascii="Arial Narrow" w:hAnsi="Arial Narrow"/>
                <w:b/>
                <w:bCs/>
                <w:sz w:val="20"/>
                <w:szCs w:val="20"/>
              </w:rPr>
              <w:t>AND</w:t>
            </w:r>
          </w:p>
        </w:tc>
      </w:tr>
      <w:tr w:rsidR="00C65571" w:rsidRPr="00FE20A5" w14:paraId="41213B25" w14:textId="77777777" w:rsidTr="00744B8B">
        <w:tblPrEx>
          <w:tblCellMar>
            <w:top w:w="11" w:type="dxa"/>
            <w:bottom w:w="11" w:type="dxa"/>
          </w:tblCellMar>
        </w:tblPrEx>
        <w:trPr>
          <w:trHeight w:val="23"/>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A05DAA" w14:textId="11A05963" w:rsidR="00C65571" w:rsidRPr="00CC0A7A" w:rsidRDefault="00C65571">
            <w:pPr>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363878" w14:textId="77777777" w:rsidR="00C65571" w:rsidRPr="003D774A" w:rsidRDefault="00C65571">
            <w:pPr>
              <w:rPr>
                <w:rFonts w:ascii="Arial Narrow" w:hAnsi="Arial Narrow"/>
                <w:b/>
                <w:bCs/>
                <w:sz w:val="20"/>
                <w:szCs w:val="20"/>
              </w:rPr>
            </w:pPr>
            <w:r w:rsidRPr="003D774A">
              <w:rPr>
                <w:rFonts w:ascii="Arial Narrow" w:hAnsi="Arial Narrow"/>
                <w:b/>
                <w:bCs/>
                <w:sz w:val="20"/>
                <w:szCs w:val="20"/>
              </w:rPr>
              <w:t>Clinical criteria:</w:t>
            </w:r>
          </w:p>
        </w:tc>
      </w:tr>
      <w:tr w:rsidR="00C65571" w:rsidRPr="00FE20A5" w14:paraId="095C2BE1" w14:textId="77777777" w:rsidTr="00744B8B">
        <w:tblPrEx>
          <w:tblCellMar>
            <w:top w:w="11" w:type="dxa"/>
            <w:bottom w:w="11" w:type="dxa"/>
          </w:tblCellMar>
        </w:tblPrEx>
        <w:trPr>
          <w:trHeight w:val="23"/>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E6D555" w14:textId="4F91D9A5" w:rsidR="00C65571" w:rsidRPr="0088660E" w:rsidRDefault="00C65571">
            <w:pPr>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92DE04" w14:textId="77777777" w:rsidR="00C65571" w:rsidRPr="0088660E" w:rsidRDefault="00C65571">
            <w:pPr>
              <w:rPr>
                <w:rFonts w:ascii="Arial Narrow" w:hAnsi="Arial Narrow"/>
                <w:sz w:val="20"/>
                <w:szCs w:val="20"/>
              </w:rPr>
            </w:pPr>
            <w:r w:rsidRPr="0088660E">
              <w:rPr>
                <w:rFonts w:ascii="Arial Narrow" w:hAnsi="Arial Narrow"/>
                <w:sz w:val="20"/>
                <w:szCs w:val="20"/>
              </w:rPr>
              <w:t>The treatment must be given concomitantly with standard therapy for this condition.</w:t>
            </w:r>
          </w:p>
        </w:tc>
      </w:tr>
      <w:tr w:rsidR="00C65571" w:rsidRPr="00FE20A5" w14:paraId="077B045B" w14:textId="77777777" w:rsidTr="00744B8B">
        <w:tblPrEx>
          <w:tblCellMar>
            <w:top w:w="11" w:type="dxa"/>
            <w:bottom w:w="11" w:type="dxa"/>
          </w:tblCellMar>
        </w:tblPrEx>
        <w:trPr>
          <w:trHeight w:val="23"/>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0C03D9" w14:textId="77777777" w:rsidR="00C65571" w:rsidRPr="0088660E" w:rsidRDefault="00C65571">
            <w:pPr>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FC5CA5" w14:textId="77777777" w:rsidR="00C65571" w:rsidRPr="0088660E" w:rsidRDefault="00C65571">
            <w:pPr>
              <w:rPr>
                <w:rFonts w:ascii="Arial Narrow" w:hAnsi="Arial Narrow"/>
                <w:sz w:val="20"/>
                <w:szCs w:val="20"/>
              </w:rPr>
            </w:pPr>
            <w:r w:rsidRPr="003D774A">
              <w:rPr>
                <w:rFonts w:ascii="Arial Narrow" w:hAnsi="Arial Narrow"/>
                <w:b/>
                <w:bCs/>
                <w:sz w:val="20"/>
                <w:szCs w:val="20"/>
              </w:rPr>
              <w:t>AND</w:t>
            </w:r>
          </w:p>
        </w:tc>
      </w:tr>
      <w:tr w:rsidR="00C65571" w:rsidRPr="00FE20A5" w14:paraId="0E6F96E1" w14:textId="77777777" w:rsidTr="00744B8B">
        <w:tblPrEx>
          <w:tblCellMar>
            <w:top w:w="11" w:type="dxa"/>
            <w:bottom w:w="11" w:type="dxa"/>
          </w:tblCellMar>
        </w:tblPrEx>
        <w:trPr>
          <w:trHeight w:val="300"/>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62C571" w14:textId="77777777" w:rsidR="00C65571" w:rsidRPr="00CC0A7A" w:rsidRDefault="00C65571">
            <w:pPr>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3D443D" w14:textId="77777777" w:rsidR="00C65571" w:rsidRPr="005721E4" w:rsidRDefault="00C65571">
            <w:pPr>
              <w:rPr>
                <w:rFonts w:ascii="Arial Narrow" w:hAnsi="Arial Narrow"/>
                <w:b/>
                <w:bCs/>
                <w:sz w:val="20"/>
                <w:szCs w:val="20"/>
              </w:rPr>
            </w:pPr>
            <w:r w:rsidRPr="005721E4">
              <w:rPr>
                <w:rFonts w:ascii="Arial Narrow" w:hAnsi="Arial Narrow"/>
                <w:b/>
                <w:bCs/>
                <w:sz w:val="20"/>
                <w:szCs w:val="20"/>
              </w:rPr>
              <w:t>Population criteria:</w:t>
            </w:r>
          </w:p>
        </w:tc>
      </w:tr>
      <w:tr w:rsidR="00C65571" w:rsidRPr="00FE20A5" w14:paraId="6D824C32" w14:textId="77777777" w:rsidTr="00744B8B">
        <w:tblPrEx>
          <w:tblCellMar>
            <w:top w:w="11" w:type="dxa"/>
            <w:bottom w:w="11" w:type="dxa"/>
          </w:tblCellMar>
        </w:tblPrEx>
        <w:trPr>
          <w:trHeight w:val="23"/>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FBEA7C" w14:textId="29576F00" w:rsidR="00C65571" w:rsidRPr="00CC0A7A" w:rsidRDefault="00C65571">
            <w:pPr>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5F9275" w14:textId="77777777" w:rsidR="00C65571" w:rsidRPr="00CC0A7A" w:rsidRDefault="00C65571">
            <w:pPr>
              <w:rPr>
                <w:rFonts w:ascii="Arial Narrow" w:hAnsi="Arial Narrow"/>
                <w:sz w:val="20"/>
                <w:szCs w:val="20"/>
              </w:rPr>
            </w:pPr>
            <w:r w:rsidRPr="2509C368">
              <w:rPr>
                <w:rFonts w:ascii="Arial Narrow" w:hAnsi="Arial Narrow"/>
                <w:sz w:val="20"/>
                <w:szCs w:val="20"/>
              </w:rPr>
              <w:t>Patient must be aged 1 month or older</w:t>
            </w:r>
          </w:p>
        </w:tc>
      </w:tr>
      <w:tr w:rsidR="00C65571" w:rsidRPr="00FE20A5" w14:paraId="462E795F" w14:textId="77777777" w:rsidTr="00744B8B">
        <w:tblPrEx>
          <w:tblCellMar>
            <w:top w:w="11" w:type="dxa"/>
            <w:bottom w:w="11" w:type="dxa"/>
          </w:tblCellMar>
        </w:tblPrEx>
        <w:trPr>
          <w:trHeight w:val="23"/>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B21520" w14:textId="77777777" w:rsidR="00C65571" w:rsidRPr="00CC0A7A" w:rsidRDefault="00C65571">
            <w:pPr>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E13155" w14:textId="77777777" w:rsidR="00C65571" w:rsidRPr="00CC0A7A" w:rsidRDefault="00C65571">
            <w:pPr>
              <w:rPr>
                <w:rFonts w:ascii="Arial Narrow" w:hAnsi="Arial Narrow"/>
                <w:sz w:val="20"/>
                <w:szCs w:val="20"/>
              </w:rPr>
            </w:pPr>
          </w:p>
        </w:tc>
      </w:tr>
      <w:tr w:rsidR="00C65571" w:rsidRPr="00FE20A5" w14:paraId="24EBA14D" w14:textId="77777777" w:rsidTr="00744B8B">
        <w:tblPrEx>
          <w:tblCellMar>
            <w:top w:w="11" w:type="dxa"/>
            <w:bottom w:w="11" w:type="dxa"/>
          </w:tblCellMar>
        </w:tblPrEx>
        <w:trPr>
          <w:trHeight w:val="23"/>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F31623" w14:textId="1A4A2799" w:rsidR="00C65571" w:rsidRPr="00CC0A7A" w:rsidRDefault="00C65571">
            <w:pPr>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A53ABF" w14:textId="77777777" w:rsidR="00C65571" w:rsidRPr="00663FF2" w:rsidRDefault="00C65571">
            <w:pPr>
              <w:rPr>
                <w:rFonts w:ascii="Arial Narrow" w:hAnsi="Arial Narrow"/>
                <w:b/>
                <w:bCs/>
                <w:sz w:val="20"/>
                <w:szCs w:val="20"/>
              </w:rPr>
            </w:pPr>
            <w:r>
              <w:rPr>
                <w:rFonts w:ascii="Arial Narrow" w:hAnsi="Arial Narrow"/>
                <w:b/>
                <w:bCs/>
                <w:sz w:val="20"/>
                <w:szCs w:val="20"/>
              </w:rPr>
              <w:t>Prescribing Instructions:</w:t>
            </w:r>
          </w:p>
          <w:p w14:paraId="7CCB78F1" w14:textId="77777777" w:rsidR="00C65571" w:rsidRPr="00CC0A7A" w:rsidRDefault="00C65571">
            <w:pPr>
              <w:rPr>
                <w:rFonts w:ascii="Arial Narrow" w:hAnsi="Arial Narrow"/>
                <w:sz w:val="20"/>
                <w:szCs w:val="20"/>
              </w:rPr>
            </w:pPr>
            <w:r w:rsidRPr="00663FF2">
              <w:rPr>
                <w:rFonts w:ascii="Arial Narrow" w:hAnsi="Arial Narrow"/>
                <w:sz w:val="20"/>
                <w:szCs w:val="20"/>
              </w:rPr>
              <w:t>For the purposes of this restriction, the list of mutations considered to be responsive to ivacaftor is defined in the TGA approved Product Information</w:t>
            </w:r>
          </w:p>
        </w:tc>
      </w:tr>
      <w:tr w:rsidR="00C65571" w:rsidRPr="00FE20A5" w14:paraId="5A0DD425" w14:textId="77777777" w:rsidTr="00744B8B">
        <w:tblPrEx>
          <w:tblCellMar>
            <w:top w:w="11" w:type="dxa"/>
            <w:bottom w:w="11" w:type="dxa"/>
          </w:tblCellMar>
        </w:tblPrEx>
        <w:trPr>
          <w:trHeight w:val="23"/>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97C23D" w14:textId="29DDCED5" w:rsidR="00C65571" w:rsidRPr="00CC0A7A" w:rsidRDefault="00C65571">
            <w:pPr>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039200" w14:textId="77777777" w:rsidR="00C65571" w:rsidRPr="000D6CFA" w:rsidRDefault="00C65571">
            <w:pPr>
              <w:rPr>
                <w:rFonts w:ascii="Arial Narrow" w:hAnsi="Arial Narrow"/>
                <w:b/>
                <w:bCs/>
                <w:sz w:val="20"/>
                <w:szCs w:val="20"/>
              </w:rPr>
            </w:pPr>
            <w:r>
              <w:rPr>
                <w:rFonts w:ascii="Arial Narrow" w:hAnsi="Arial Narrow"/>
                <w:b/>
                <w:bCs/>
                <w:sz w:val="20"/>
                <w:szCs w:val="20"/>
              </w:rPr>
              <w:t>Prescribing Instructions:</w:t>
            </w:r>
          </w:p>
          <w:p w14:paraId="6704DCF2" w14:textId="77777777" w:rsidR="00C65571" w:rsidRDefault="00C65571">
            <w:pPr>
              <w:rPr>
                <w:rFonts w:ascii="Arial Narrow" w:hAnsi="Arial Narrow"/>
                <w:sz w:val="20"/>
                <w:szCs w:val="20"/>
              </w:rPr>
            </w:pPr>
            <w:r w:rsidRPr="00CC0A7A">
              <w:rPr>
                <w:rFonts w:ascii="Arial Narrow" w:hAnsi="Arial Narrow"/>
                <w:sz w:val="20"/>
                <w:szCs w:val="20"/>
              </w:rPr>
              <w:t>Dosage of ivacaftor must not exceed the dose of one tablet (150 mg) or one sachet twice a week, if the patient is concomitantly receiving one of the following strong CYP3A4 drugs inhibitors: boceprevir, clarithromycin, conivaptan, indinavir, itraconazole, ketoconazole, lopinavir/ritonavir, mibefradil, nefazodone, nelfinavir, posaconazole, ritonavir, saquinavir, telaprevir, telithromycin, voriconazole. Where a patient is concomitantly receiving a strong CYP3A4 inhibitor, a single supply of 56 tablets or sachets of ivacaftor will last for 28 weeks.</w:t>
            </w:r>
          </w:p>
          <w:p w14:paraId="409D0CAD" w14:textId="77777777" w:rsidR="00C65571" w:rsidRDefault="00C65571">
            <w:pPr>
              <w:rPr>
                <w:rFonts w:ascii="Arial Narrow" w:hAnsi="Arial Narrow"/>
                <w:sz w:val="20"/>
                <w:szCs w:val="20"/>
              </w:rPr>
            </w:pPr>
          </w:p>
          <w:p w14:paraId="63FC1DBD" w14:textId="77777777" w:rsidR="00C65571" w:rsidRPr="00CC0A7A" w:rsidRDefault="00C65571" w:rsidP="7F77D409">
            <w:pPr>
              <w:rPr>
                <w:rFonts w:ascii="Arial Narrow" w:hAnsi="Arial Narrow"/>
                <w:sz w:val="20"/>
                <w:szCs w:val="20"/>
              </w:rPr>
            </w:pPr>
            <w:r w:rsidRPr="7F77D409">
              <w:rPr>
                <w:rFonts w:ascii="Arial Narrow" w:hAnsi="Arial Narrow"/>
                <w:sz w:val="20"/>
                <w:szCs w:val="20"/>
              </w:rPr>
              <w:t xml:space="preserve">Dosage of ivacaftor must not exceed the dose of one tablet (150 mg) or one sachet once daily, if the patient is concomitantly receiving one of the following moderate CYP3A4 inhibitors: amprenavir, aprepitant, atazanavir, darunavir/ritonavir, diltiazem, erythromycin, fluconazole, </w:t>
            </w:r>
            <w:proofErr w:type="spellStart"/>
            <w:r w:rsidRPr="7F77D409">
              <w:rPr>
                <w:rFonts w:ascii="Arial Narrow" w:hAnsi="Arial Narrow"/>
                <w:sz w:val="20"/>
                <w:szCs w:val="20"/>
              </w:rPr>
              <w:t>fosamprenavir</w:t>
            </w:r>
            <w:proofErr w:type="spellEnd"/>
            <w:r w:rsidRPr="7F77D409">
              <w:rPr>
                <w:rFonts w:ascii="Arial Narrow" w:hAnsi="Arial Narrow"/>
                <w:sz w:val="20"/>
                <w:szCs w:val="20"/>
              </w:rPr>
              <w:t>, imatinib, verapamil. Where a patient is concomitantly receiving a moderate CYP3A4 inhibitor, a single supply of 56 tablets or sachets of ivacaftor will last for 8 weeks.</w:t>
            </w:r>
          </w:p>
        </w:tc>
      </w:tr>
      <w:tr w:rsidR="00C65571" w:rsidRPr="00FE20A5" w14:paraId="27B90D3D" w14:textId="77777777" w:rsidTr="00744B8B">
        <w:tblPrEx>
          <w:tblCellMar>
            <w:top w:w="11" w:type="dxa"/>
            <w:bottom w:w="11" w:type="dxa"/>
          </w:tblCellMar>
        </w:tblPrEx>
        <w:trPr>
          <w:trHeight w:val="23"/>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906C47" w14:textId="3D548856" w:rsidR="00C65571" w:rsidRPr="00CC0A7A" w:rsidRDefault="00C65571">
            <w:pPr>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96BBA8" w14:textId="77777777" w:rsidR="00C65571" w:rsidRPr="000D6CFA" w:rsidRDefault="00C65571">
            <w:pPr>
              <w:rPr>
                <w:rFonts w:ascii="Arial Narrow" w:hAnsi="Arial Narrow"/>
                <w:b/>
                <w:bCs/>
                <w:sz w:val="20"/>
                <w:szCs w:val="20"/>
              </w:rPr>
            </w:pPr>
            <w:r>
              <w:rPr>
                <w:rFonts w:ascii="Arial Narrow" w:hAnsi="Arial Narrow"/>
                <w:b/>
                <w:bCs/>
                <w:sz w:val="20"/>
                <w:szCs w:val="20"/>
              </w:rPr>
              <w:t>Prescribing Instructions:</w:t>
            </w:r>
          </w:p>
          <w:p w14:paraId="2BA9EA08" w14:textId="77777777" w:rsidR="00C65571" w:rsidRPr="00CC0A7A" w:rsidRDefault="00C65571">
            <w:pPr>
              <w:rPr>
                <w:rFonts w:ascii="Arial Narrow" w:hAnsi="Arial Narrow"/>
                <w:sz w:val="20"/>
                <w:szCs w:val="20"/>
              </w:rPr>
            </w:pPr>
            <w:r w:rsidRPr="00CC0A7A">
              <w:rPr>
                <w:rFonts w:ascii="Arial Narrow" w:hAnsi="Arial Narrow"/>
                <w:sz w:val="20"/>
                <w:szCs w:val="20"/>
              </w:rPr>
              <w:lastRenderedPageBreak/>
              <w:t>Ivacaftor is not PBS-subsidised for this condition as a sole therapy.</w:t>
            </w:r>
          </w:p>
          <w:p w14:paraId="3084121E" w14:textId="77777777" w:rsidR="00C65571" w:rsidRPr="00CC0A7A" w:rsidRDefault="00C65571">
            <w:pPr>
              <w:rPr>
                <w:rFonts w:ascii="Arial Narrow" w:hAnsi="Arial Narrow"/>
                <w:sz w:val="20"/>
                <w:szCs w:val="20"/>
              </w:rPr>
            </w:pPr>
            <w:r w:rsidRPr="00CC0A7A">
              <w:rPr>
                <w:rFonts w:ascii="Arial Narrow" w:hAnsi="Arial Narrow"/>
                <w:sz w:val="20"/>
                <w:szCs w:val="20"/>
              </w:rPr>
              <w:t>Ivacaftor is not PBS-subsidised for this condition in a patient who is currently receiving one of the following CYP3A4 inducers:</w:t>
            </w:r>
          </w:p>
          <w:p w14:paraId="55B7E13D" w14:textId="77777777" w:rsidR="00C65571" w:rsidRPr="00CC0A7A" w:rsidRDefault="00C65571" w:rsidP="7F77D409">
            <w:pPr>
              <w:rPr>
                <w:rFonts w:ascii="Arial Narrow" w:hAnsi="Arial Narrow"/>
                <w:sz w:val="20"/>
                <w:szCs w:val="20"/>
              </w:rPr>
            </w:pPr>
            <w:r w:rsidRPr="7F77D409">
              <w:rPr>
                <w:rFonts w:ascii="Arial Narrow" w:hAnsi="Arial Narrow"/>
                <w:sz w:val="20"/>
                <w:szCs w:val="20"/>
              </w:rPr>
              <w:t xml:space="preserve">Strong CYP3A4 inducers: </w:t>
            </w:r>
            <w:proofErr w:type="spellStart"/>
            <w:r w:rsidRPr="7F77D409">
              <w:rPr>
                <w:rFonts w:ascii="Arial Narrow" w:hAnsi="Arial Narrow"/>
                <w:sz w:val="20"/>
                <w:szCs w:val="20"/>
              </w:rPr>
              <w:t>avasimibe</w:t>
            </w:r>
            <w:proofErr w:type="spellEnd"/>
            <w:r w:rsidRPr="7F77D409">
              <w:rPr>
                <w:rFonts w:ascii="Arial Narrow" w:hAnsi="Arial Narrow"/>
                <w:sz w:val="20"/>
                <w:szCs w:val="20"/>
              </w:rPr>
              <w:t>, carbamazepine, phenobarbital, phenytoin, rifabutin, rifampicin, St. John's wort</w:t>
            </w:r>
          </w:p>
          <w:p w14:paraId="0A48C0EC" w14:textId="77777777" w:rsidR="00C65571" w:rsidRPr="00CC0A7A" w:rsidRDefault="00C65571" w:rsidP="7F77D409">
            <w:pPr>
              <w:rPr>
                <w:rFonts w:ascii="Arial Narrow" w:hAnsi="Arial Narrow"/>
                <w:sz w:val="20"/>
                <w:szCs w:val="20"/>
              </w:rPr>
            </w:pPr>
            <w:r w:rsidRPr="7F77D409">
              <w:rPr>
                <w:rFonts w:ascii="Arial Narrow" w:hAnsi="Arial Narrow"/>
                <w:sz w:val="20"/>
                <w:szCs w:val="20"/>
              </w:rPr>
              <w:t xml:space="preserve">Moderate CYP3A4 inducers: </w:t>
            </w:r>
            <w:proofErr w:type="spellStart"/>
            <w:r w:rsidRPr="7F77D409">
              <w:rPr>
                <w:rFonts w:ascii="Arial Narrow" w:hAnsi="Arial Narrow"/>
                <w:sz w:val="20"/>
                <w:szCs w:val="20"/>
              </w:rPr>
              <w:t>bosentan</w:t>
            </w:r>
            <w:proofErr w:type="spellEnd"/>
            <w:r w:rsidRPr="7F77D409">
              <w:rPr>
                <w:rFonts w:ascii="Arial Narrow" w:hAnsi="Arial Narrow"/>
                <w:sz w:val="20"/>
                <w:szCs w:val="20"/>
              </w:rPr>
              <w:t>, efavirenz, etravirine, modafinil, nafcillin</w:t>
            </w:r>
          </w:p>
          <w:p w14:paraId="241DD675" w14:textId="77777777" w:rsidR="00C65571" w:rsidRPr="00CC0A7A" w:rsidRDefault="00C65571">
            <w:pPr>
              <w:rPr>
                <w:rFonts w:ascii="Arial Narrow" w:hAnsi="Arial Narrow"/>
                <w:sz w:val="20"/>
                <w:szCs w:val="20"/>
              </w:rPr>
            </w:pPr>
            <w:r w:rsidRPr="00CC0A7A">
              <w:rPr>
                <w:rFonts w:ascii="Arial Narrow" w:hAnsi="Arial Narrow"/>
                <w:sz w:val="20"/>
                <w:szCs w:val="20"/>
              </w:rPr>
              <w:t>Weak CYP3A4 inducers: armodafinil, echinacea, pioglitazone, rufinamide.</w:t>
            </w:r>
          </w:p>
        </w:tc>
      </w:tr>
      <w:tr w:rsidR="00C65571" w:rsidRPr="00FE20A5" w14:paraId="6A8F64DE" w14:textId="77777777" w:rsidTr="00744B8B">
        <w:tblPrEx>
          <w:tblCellMar>
            <w:top w:w="11" w:type="dxa"/>
            <w:bottom w:w="11" w:type="dxa"/>
          </w:tblCellMar>
        </w:tblPrEx>
        <w:trPr>
          <w:trHeight w:val="23"/>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3DA29F" w14:textId="722110AB" w:rsidR="000351B3" w:rsidRPr="00CC0A7A" w:rsidRDefault="000351B3">
            <w:pPr>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946FD9" w14:textId="77777777" w:rsidR="00C65571" w:rsidRPr="004D0D4F" w:rsidRDefault="00C65571">
            <w:pPr>
              <w:rPr>
                <w:rFonts w:ascii="Arial Narrow" w:hAnsi="Arial Narrow"/>
                <w:b/>
                <w:bCs/>
                <w:sz w:val="20"/>
                <w:szCs w:val="20"/>
              </w:rPr>
            </w:pPr>
            <w:r>
              <w:rPr>
                <w:rFonts w:ascii="Arial Narrow" w:hAnsi="Arial Narrow"/>
                <w:b/>
                <w:bCs/>
                <w:sz w:val="20"/>
                <w:szCs w:val="20"/>
              </w:rPr>
              <w:t>Prescribing Instructions:</w:t>
            </w:r>
          </w:p>
          <w:p w14:paraId="3D93B99D" w14:textId="2D214D7E" w:rsidR="00C65571" w:rsidRPr="00CC0A7A" w:rsidRDefault="00C65571">
            <w:pPr>
              <w:rPr>
                <w:rFonts w:ascii="Arial Narrow" w:hAnsi="Arial Narrow"/>
                <w:sz w:val="20"/>
                <w:szCs w:val="20"/>
              </w:rPr>
            </w:pPr>
            <w:r w:rsidRPr="00CC0A7A">
              <w:rPr>
                <w:rFonts w:ascii="Arial Narrow" w:hAnsi="Arial Narrow"/>
                <w:sz w:val="20"/>
                <w:szCs w:val="20"/>
              </w:rPr>
              <w:t xml:space="preserve">The authority application must be </w:t>
            </w:r>
            <w:r w:rsidR="007F7C86">
              <w:rPr>
                <w:rFonts w:ascii="Arial Narrow" w:hAnsi="Arial Narrow"/>
                <w:sz w:val="20"/>
                <w:szCs w:val="20"/>
              </w:rPr>
              <w:t>made via the Online PBS Authoriti</w:t>
            </w:r>
            <w:r w:rsidR="0027561F">
              <w:rPr>
                <w:rFonts w:ascii="Arial Narrow" w:hAnsi="Arial Narrow"/>
                <w:sz w:val="20"/>
                <w:szCs w:val="20"/>
              </w:rPr>
              <w:t xml:space="preserve">es System, or </w:t>
            </w:r>
            <w:r w:rsidRPr="00CC0A7A">
              <w:rPr>
                <w:rFonts w:ascii="Arial Narrow" w:hAnsi="Arial Narrow"/>
                <w:sz w:val="20"/>
                <w:szCs w:val="20"/>
              </w:rPr>
              <w:t>in writing</w:t>
            </w:r>
            <w:r w:rsidR="00D4687A">
              <w:rPr>
                <w:rFonts w:ascii="Arial Narrow" w:hAnsi="Arial Narrow"/>
                <w:sz w:val="20"/>
                <w:szCs w:val="20"/>
              </w:rPr>
              <w:t xml:space="preserve"> via H</w:t>
            </w:r>
            <w:r w:rsidR="0058276C">
              <w:rPr>
                <w:rFonts w:ascii="Arial Narrow" w:hAnsi="Arial Narrow"/>
                <w:sz w:val="20"/>
                <w:szCs w:val="20"/>
              </w:rPr>
              <w:t>POS form upload or mail</w:t>
            </w:r>
            <w:r w:rsidRPr="00CC0A7A">
              <w:rPr>
                <w:rFonts w:ascii="Arial Narrow" w:hAnsi="Arial Narrow"/>
                <w:sz w:val="20"/>
                <w:szCs w:val="20"/>
              </w:rPr>
              <w:t xml:space="preserve"> and must include:</w:t>
            </w:r>
          </w:p>
          <w:p w14:paraId="6A7257BB" w14:textId="6EBD3B73" w:rsidR="00C65571" w:rsidRPr="00CC0A7A" w:rsidRDefault="00C65571" w:rsidP="7F77D409">
            <w:pPr>
              <w:rPr>
                <w:rFonts w:ascii="Arial Narrow" w:hAnsi="Arial Narrow"/>
                <w:sz w:val="20"/>
                <w:szCs w:val="20"/>
              </w:rPr>
            </w:pPr>
            <w:r w:rsidRPr="7F77D409">
              <w:rPr>
                <w:rFonts w:ascii="Arial Narrow" w:hAnsi="Arial Narrow"/>
                <w:sz w:val="20"/>
                <w:szCs w:val="20"/>
              </w:rPr>
              <w:t>(</w:t>
            </w:r>
            <w:r w:rsidR="00FC3CD3">
              <w:rPr>
                <w:rFonts w:ascii="Arial Narrow" w:hAnsi="Arial Narrow"/>
                <w:sz w:val="20"/>
                <w:szCs w:val="20"/>
              </w:rPr>
              <w:t>1</w:t>
            </w:r>
            <w:r w:rsidRPr="7F77D409">
              <w:rPr>
                <w:rFonts w:ascii="Arial Narrow" w:hAnsi="Arial Narrow"/>
                <w:sz w:val="20"/>
                <w:szCs w:val="20"/>
              </w:rPr>
              <w:t>) details of the pathology report s</w:t>
            </w:r>
            <w:r w:rsidRPr="00744B8B">
              <w:rPr>
                <w:rFonts w:ascii="Arial Narrow" w:hAnsi="Arial Narrow"/>
                <w:sz w:val="20"/>
                <w:szCs w:val="20"/>
              </w:rPr>
              <w:t>ubstantiating G551D mutation or other gating (Class III) mutation on the CFTR gene - quote each of the: (</w:t>
            </w:r>
            <w:r w:rsidR="007A6338">
              <w:rPr>
                <w:rFonts w:ascii="Arial Narrow" w:hAnsi="Arial Narrow"/>
                <w:sz w:val="20"/>
                <w:szCs w:val="20"/>
              </w:rPr>
              <w:t>a</w:t>
            </w:r>
            <w:r w:rsidRPr="00744B8B">
              <w:rPr>
                <w:rFonts w:ascii="Arial Narrow" w:hAnsi="Arial Narrow"/>
                <w:sz w:val="20"/>
                <w:szCs w:val="20"/>
              </w:rPr>
              <w:t>) the specific CFTR mutation listed in the TGA approved Product Information, (</w:t>
            </w:r>
            <w:r w:rsidR="007A6338">
              <w:rPr>
                <w:rFonts w:ascii="Arial Narrow" w:hAnsi="Arial Narrow"/>
                <w:sz w:val="20"/>
                <w:szCs w:val="20"/>
              </w:rPr>
              <w:t>b</w:t>
            </w:r>
            <w:r w:rsidRPr="00744B8B">
              <w:rPr>
                <w:rFonts w:ascii="Arial Narrow" w:hAnsi="Arial Narrow"/>
                <w:sz w:val="20"/>
                <w:szCs w:val="20"/>
              </w:rPr>
              <w:t>) name of the pathology report provider, (</w:t>
            </w:r>
            <w:r w:rsidR="007A6338">
              <w:rPr>
                <w:rFonts w:ascii="Arial Narrow" w:hAnsi="Arial Narrow"/>
                <w:sz w:val="20"/>
                <w:szCs w:val="20"/>
              </w:rPr>
              <w:t>c</w:t>
            </w:r>
            <w:r w:rsidRPr="00744B8B">
              <w:rPr>
                <w:rFonts w:ascii="Arial Narrow" w:hAnsi="Arial Narrow"/>
                <w:sz w:val="20"/>
                <w:szCs w:val="20"/>
              </w:rPr>
              <w:t>) date of pathology report, (</w:t>
            </w:r>
            <w:r w:rsidR="007A6338">
              <w:rPr>
                <w:rFonts w:ascii="Arial Narrow" w:hAnsi="Arial Narrow"/>
                <w:sz w:val="20"/>
                <w:szCs w:val="20"/>
              </w:rPr>
              <w:t>d</w:t>
            </w:r>
            <w:r w:rsidRPr="00744B8B">
              <w:rPr>
                <w:rFonts w:ascii="Arial Narrow" w:hAnsi="Arial Narrow"/>
                <w:sz w:val="20"/>
                <w:szCs w:val="20"/>
              </w:rPr>
              <w:t>) unique identifying number/code that links the pathology result to the individual patient; and</w:t>
            </w:r>
          </w:p>
          <w:p w14:paraId="769C705C" w14:textId="0190EA29" w:rsidR="00C65571" w:rsidRPr="00D44879" w:rsidRDefault="00C65571">
            <w:pPr>
              <w:rPr>
                <w:rFonts w:ascii="Arial Narrow" w:hAnsi="Arial Narrow"/>
                <w:strike/>
                <w:sz w:val="20"/>
                <w:szCs w:val="20"/>
              </w:rPr>
            </w:pPr>
            <w:r w:rsidRPr="00CC0A7A">
              <w:rPr>
                <w:rFonts w:ascii="Arial Narrow" w:hAnsi="Arial Narrow"/>
                <w:sz w:val="20"/>
                <w:szCs w:val="20"/>
              </w:rPr>
              <w:t>(</w:t>
            </w:r>
            <w:r w:rsidR="00146E0F">
              <w:rPr>
                <w:rFonts w:ascii="Arial Narrow" w:hAnsi="Arial Narrow"/>
                <w:sz w:val="20"/>
                <w:szCs w:val="20"/>
              </w:rPr>
              <w:t>2</w:t>
            </w:r>
            <w:r w:rsidRPr="00CC0A7A">
              <w:rPr>
                <w:rFonts w:ascii="Arial Narrow" w:hAnsi="Arial Narrow"/>
                <w:sz w:val="20"/>
                <w:szCs w:val="20"/>
              </w:rPr>
              <w:t>) current CYP3A4 inhibitors, CYP3A4 inducers and IV antibiotics</w:t>
            </w:r>
          </w:p>
        </w:tc>
      </w:tr>
      <w:tr w:rsidR="00343B89" w:rsidRPr="00FE20A5" w14:paraId="457E5AD9" w14:textId="77777777" w:rsidTr="00744B8B">
        <w:tblPrEx>
          <w:tblCellMar>
            <w:top w:w="11" w:type="dxa"/>
            <w:bottom w:w="11" w:type="dxa"/>
          </w:tblCellMar>
        </w:tblPrEx>
        <w:trPr>
          <w:trHeight w:val="23"/>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980636" w14:textId="79896E4C" w:rsidR="00343B89" w:rsidDel="00BB68BF" w:rsidRDefault="00343B89">
            <w:pPr>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8C86A7" w14:textId="7765E66B" w:rsidR="007E648A" w:rsidRPr="007E648A" w:rsidRDefault="007E648A" w:rsidP="007E648A">
            <w:pPr>
              <w:rPr>
                <w:rFonts w:ascii="Arial Narrow" w:hAnsi="Arial Narrow"/>
                <w:b/>
                <w:bCs/>
                <w:sz w:val="20"/>
                <w:szCs w:val="20"/>
              </w:rPr>
            </w:pPr>
            <w:r>
              <w:rPr>
                <w:rFonts w:ascii="Arial Narrow" w:hAnsi="Arial Narrow"/>
                <w:b/>
                <w:bCs/>
                <w:sz w:val="20"/>
                <w:szCs w:val="20"/>
              </w:rPr>
              <w:t>Prescribing Instructions:</w:t>
            </w:r>
          </w:p>
          <w:p w14:paraId="39EFB75C" w14:textId="7701DE43" w:rsidR="007E648A" w:rsidRPr="007E648A" w:rsidRDefault="007E648A" w:rsidP="007E648A">
            <w:pPr>
              <w:rPr>
                <w:rFonts w:ascii="Arial Narrow" w:hAnsi="Arial Narrow"/>
                <w:sz w:val="20"/>
                <w:szCs w:val="20"/>
              </w:rPr>
            </w:pPr>
            <w:r w:rsidRPr="007E648A">
              <w:rPr>
                <w:rFonts w:ascii="Arial Narrow" w:hAnsi="Arial Narrow"/>
                <w:sz w:val="20"/>
                <w:szCs w:val="20"/>
              </w:rPr>
              <w:t>If the application is submitted through HPOS form upload or mail, it must include:</w:t>
            </w:r>
          </w:p>
          <w:p w14:paraId="64932CB0" w14:textId="389A9AA1" w:rsidR="007E648A" w:rsidRPr="007E648A" w:rsidRDefault="007E648A" w:rsidP="007E648A">
            <w:pPr>
              <w:rPr>
                <w:rFonts w:ascii="Arial Narrow" w:hAnsi="Arial Narrow"/>
                <w:sz w:val="20"/>
                <w:szCs w:val="20"/>
              </w:rPr>
            </w:pPr>
            <w:r w:rsidRPr="007E648A">
              <w:rPr>
                <w:rFonts w:ascii="Arial Narrow" w:hAnsi="Arial Narrow"/>
                <w:sz w:val="20"/>
                <w:szCs w:val="20"/>
              </w:rPr>
              <w:t>(</w:t>
            </w:r>
            <w:proofErr w:type="spellStart"/>
            <w:r w:rsidRPr="007E648A">
              <w:rPr>
                <w:rFonts w:ascii="Arial Narrow" w:hAnsi="Arial Narrow"/>
                <w:sz w:val="20"/>
                <w:szCs w:val="20"/>
              </w:rPr>
              <w:t>i</w:t>
            </w:r>
            <w:proofErr w:type="spellEnd"/>
            <w:r w:rsidRPr="007E648A">
              <w:rPr>
                <w:rFonts w:ascii="Arial Narrow" w:hAnsi="Arial Narrow"/>
                <w:sz w:val="20"/>
                <w:szCs w:val="20"/>
              </w:rPr>
              <w:t>) details of the proposed prescription; and</w:t>
            </w:r>
          </w:p>
          <w:p w14:paraId="753320CD" w14:textId="7D26468F" w:rsidR="00343B89" w:rsidRDefault="007E648A" w:rsidP="007E648A">
            <w:pPr>
              <w:rPr>
                <w:rFonts w:ascii="Arial Narrow" w:hAnsi="Arial Narrow"/>
                <w:b/>
                <w:bCs/>
                <w:sz w:val="20"/>
                <w:szCs w:val="20"/>
              </w:rPr>
            </w:pPr>
            <w:r w:rsidRPr="007E648A">
              <w:rPr>
                <w:rFonts w:ascii="Arial Narrow" w:hAnsi="Arial Narrow"/>
                <w:sz w:val="20"/>
                <w:szCs w:val="20"/>
              </w:rPr>
              <w:t>(ii) a completed authority application form relevant to the indication and treatment phase (the latest version is located on the website specified in the Administrative Advice).</w:t>
            </w:r>
          </w:p>
        </w:tc>
      </w:tr>
      <w:tr w:rsidR="00C65571" w:rsidRPr="00FE20A5" w14:paraId="039C6988" w14:textId="77777777" w:rsidTr="00744B8B">
        <w:tblPrEx>
          <w:tblCellMar>
            <w:top w:w="11" w:type="dxa"/>
            <w:bottom w:w="11" w:type="dxa"/>
          </w:tblCellMar>
        </w:tblPrEx>
        <w:trPr>
          <w:trHeight w:val="23"/>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1D84C6" w14:textId="28595551" w:rsidR="00C65571" w:rsidRPr="00744B8B" w:rsidRDefault="00C65571">
            <w:pPr>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7B5786" w14:textId="77777777" w:rsidR="00C65571" w:rsidRPr="00744B8B" w:rsidRDefault="00C65571">
            <w:pPr>
              <w:rPr>
                <w:rFonts w:ascii="Arial Narrow" w:hAnsi="Arial Narrow"/>
                <w:sz w:val="20"/>
                <w:szCs w:val="20"/>
              </w:rPr>
            </w:pPr>
            <w:r w:rsidRPr="00744B8B">
              <w:rPr>
                <w:rFonts w:ascii="Arial Narrow" w:hAnsi="Arial Narrow"/>
                <w:b/>
                <w:bCs/>
                <w:sz w:val="20"/>
                <w:szCs w:val="20"/>
              </w:rPr>
              <w:t>Administrative Advice:</w:t>
            </w:r>
            <w:r w:rsidRPr="00744B8B">
              <w:rPr>
                <w:rFonts w:ascii="Arial Narrow" w:hAnsi="Arial Narrow"/>
                <w:sz w:val="20"/>
                <w:szCs w:val="20"/>
              </w:rPr>
              <w:t xml:space="preserve"> </w:t>
            </w:r>
          </w:p>
          <w:p w14:paraId="0BD9A758" w14:textId="77777777" w:rsidR="00C65571" w:rsidRPr="00744B8B" w:rsidRDefault="00C65571">
            <w:pPr>
              <w:rPr>
                <w:rFonts w:ascii="Arial Narrow" w:hAnsi="Arial Narrow"/>
                <w:sz w:val="20"/>
                <w:szCs w:val="20"/>
              </w:rPr>
            </w:pPr>
            <w:r w:rsidRPr="00744B8B">
              <w:rPr>
                <w:rFonts w:ascii="Arial Narrow" w:hAnsi="Arial Narrow"/>
                <w:sz w:val="20"/>
                <w:szCs w:val="20"/>
              </w:rPr>
              <w:t>Any queries concerning the arrangements to prescribe may be directed to Services Australia on 1800 700 270 (hours of operation 8 a.m. to 5 p.m. Monday to Friday).</w:t>
            </w:r>
          </w:p>
          <w:p w14:paraId="37F59198" w14:textId="77777777" w:rsidR="00C65571" w:rsidRPr="00744B8B" w:rsidRDefault="00C65571">
            <w:pPr>
              <w:rPr>
                <w:rFonts w:ascii="Arial Narrow" w:hAnsi="Arial Narrow"/>
                <w:sz w:val="20"/>
                <w:szCs w:val="20"/>
              </w:rPr>
            </w:pPr>
            <w:r w:rsidRPr="00744B8B">
              <w:rPr>
                <w:rFonts w:ascii="Arial Narrow" w:hAnsi="Arial Narrow"/>
                <w:sz w:val="20"/>
                <w:szCs w:val="20"/>
              </w:rPr>
              <w:t>Prescribing information (including Authority Application forms and other relevant documentation as applicable) is available on the Services Australia website at www.servicesaustralia.gov.au</w:t>
            </w:r>
          </w:p>
          <w:p w14:paraId="62DF37A7" w14:textId="77777777" w:rsidR="00C65571" w:rsidRPr="00744B8B" w:rsidRDefault="00C65571" w:rsidP="7F77D409">
            <w:pPr>
              <w:rPr>
                <w:rFonts w:ascii="Arial Narrow" w:hAnsi="Arial Narrow"/>
                <w:sz w:val="20"/>
                <w:szCs w:val="20"/>
              </w:rPr>
            </w:pPr>
            <w:r w:rsidRPr="00744B8B">
              <w:rPr>
                <w:rFonts w:ascii="Arial Narrow" w:hAnsi="Arial Narrow"/>
                <w:sz w:val="20"/>
                <w:szCs w:val="20"/>
              </w:rPr>
              <w:t>Applications for authority to prescribe should be submitted online using the form upload facility in Health Professional Online Services (HPOS) at www.servicesaustralia.gov.au/hpos</w:t>
            </w:r>
          </w:p>
          <w:p w14:paraId="2866EDCB" w14:textId="77777777" w:rsidR="00C65571" w:rsidRPr="00744B8B" w:rsidRDefault="00C65571">
            <w:pPr>
              <w:rPr>
                <w:rFonts w:ascii="Arial Narrow" w:hAnsi="Arial Narrow"/>
                <w:sz w:val="20"/>
                <w:szCs w:val="20"/>
              </w:rPr>
            </w:pPr>
            <w:r w:rsidRPr="00744B8B">
              <w:rPr>
                <w:rFonts w:ascii="Arial Narrow" w:hAnsi="Arial Narrow"/>
                <w:sz w:val="20"/>
                <w:szCs w:val="20"/>
              </w:rPr>
              <w:t>Or mailed to:</w:t>
            </w:r>
          </w:p>
          <w:p w14:paraId="0FBD3C59" w14:textId="77777777" w:rsidR="00C65571" w:rsidRPr="00744B8B" w:rsidRDefault="00C65571">
            <w:pPr>
              <w:rPr>
                <w:rFonts w:ascii="Arial Narrow" w:hAnsi="Arial Narrow"/>
                <w:sz w:val="20"/>
                <w:szCs w:val="20"/>
              </w:rPr>
            </w:pPr>
            <w:r w:rsidRPr="00744B8B">
              <w:rPr>
                <w:rFonts w:ascii="Arial Narrow" w:hAnsi="Arial Narrow"/>
                <w:sz w:val="20"/>
                <w:szCs w:val="20"/>
              </w:rPr>
              <w:t>Services Australia</w:t>
            </w:r>
          </w:p>
          <w:p w14:paraId="69C0CD44" w14:textId="77777777" w:rsidR="00C65571" w:rsidRPr="00744B8B" w:rsidRDefault="00C65571">
            <w:pPr>
              <w:rPr>
                <w:rFonts w:ascii="Arial Narrow" w:hAnsi="Arial Narrow"/>
                <w:sz w:val="20"/>
                <w:szCs w:val="20"/>
              </w:rPr>
            </w:pPr>
            <w:r w:rsidRPr="00744B8B">
              <w:rPr>
                <w:rFonts w:ascii="Arial Narrow" w:hAnsi="Arial Narrow"/>
                <w:sz w:val="20"/>
                <w:szCs w:val="20"/>
              </w:rPr>
              <w:t>Complex Drugs</w:t>
            </w:r>
          </w:p>
          <w:p w14:paraId="248F869E" w14:textId="77777777" w:rsidR="00C65571" w:rsidRPr="00744B8B" w:rsidRDefault="00C65571">
            <w:pPr>
              <w:rPr>
                <w:rFonts w:ascii="Arial Narrow" w:hAnsi="Arial Narrow"/>
                <w:sz w:val="20"/>
                <w:szCs w:val="20"/>
              </w:rPr>
            </w:pPr>
            <w:r w:rsidRPr="00744B8B">
              <w:rPr>
                <w:rFonts w:ascii="Arial Narrow" w:hAnsi="Arial Narrow"/>
                <w:sz w:val="20"/>
                <w:szCs w:val="20"/>
              </w:rPr>
              <w:t>Reply Paid 9826</w:t>
            </w:r>
          </w:p>
          <w:p w14:paraId="312C17DE" w14:textId="77777777" w:rsidR="00C65571" w:rsidRPr="00563BB3" w:rsidRDefault="00C65571">
            <w:pPr>
              <w:rPr>
                <w:rFonts w:ascii="Arial Narrow" w:hAnsi="Arial Narrow"/>
                <w:b/>
                <w:bCs/>
                <w:sz w:val="20"/>
                <w:szCs w:val="20"/>
              </w:rPr>
            </w:pPr>
            <w:r w:rsidRPr="00744B8B">
              <w:rPr>
                <w:rFonts w:ascii="Arial Narrow" w:hAnsi="Arial Narrow"/>
                <w:sz w:val="20"/>
                <w:szCs w:val="20"/>
              </w:rPr>
              <w:t>HOBART TAS 7001</w:t>
            </w:r>
          </w:p>
        </w:tc>
      </w:tr>
      <w:tr w:rsidR="00C65571" w:rsidRPr="00FE20A5" w14:paraId="2A419727" w14:textId="77777777" w:rsidTr="00744B8B">
        <w:tblPrEx>
          <w:tblCellMar>
            <w:top w:w="11" w:type="dxa"/>
            <w:bottom w:w="11" w:type="dxa"/>
          </w:tblCellMar>
        </w:tblPrEx>
        <w:trPr>
          <w:trHeight w:val="23"/>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893DA1" w14:textId="062ADA13" w:rsidR="00C65571" w:rsidRPr="00744B8B" w:rsidRDefault="00C65571">
            <w:pPr>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0E1E50" w14:textId="77777777" w:rsidR="00C65571" w:rsidRPr="00744B8B" w:rsidRDefault="00C65571">
            <w:pPr>
              <w:rPr>
                <w:rFonts w:ascii="Arial Narrow" w:hAnsi="Arial Narrow"/>
                <w:b/>
                <w:bCs/>
                <w:sz w:val="20"/>
                <w:szCs w:val="20"/>
              </w:rPr>
            </w:pPr>
            <w:r w:rsidRPr="00744B8B">
              <w:rPr>
                <w:rFonts w:ascii="Arial Narrow" w:hAnsi="Arial Narrow"/>
                <w:b/>
                <w:bCs/>
                <w:sz w:val="20"/>
                <w:szCs w:val="20"/>
              </w:rPr>
              <w:t>Administrative Advice:</w:t>
            </w:r>
          </w:p>
          <w:p w14:paraId="66AD87DA" w14:textId="77777777" w:rsidR="00C65571" w:rsidRPr="00744B8B" w:rsidRDefault="00C65571">
            <w:pPr>
              <w:rPr>
                <w:rFonts w:ascii="Arial Narrow" w:hAnsi="Arial Narrow"/>
                <w:b/>
                <w:bCs/>
                <w:sz w:val="20"/>
                <w:szCs w:val="20"/>
              </w:rPr>
            </w:pPr>
            <w:r w:rsidRPr="00744B8B">
              <w:rPr>
                <w:rFonts w:ascii="Arial Narrow" w:hAnsi="Arial Narrow"/>
                <w:sz w:val="20"/>
                <w:szCs w:val="20"/>
              </w:rPr>
              <w:t>No increase in the maximum number of repeats may be authorised.</w:t>
            </w:r>
          </w:p>
        </w:tc>
      </w:tr>
      <w:tr w:rsidR="00C65571" w:rsidRPr="00FE20A5" w14:paraId="541E712D" w14:textId="77777777" w:rsidTr="00744B8B">
        <w:tblPrEx>
          <w:tblCellMar>
            <w:top w:w="11" w:type="dxa"/>
            <w:bottom w:w="11" w:type="dxa"/>
          </w:tblCellMar>
        </w:tblPrEx>
        <w:trPr>
          <w:trHeight w:val="23"/>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508EA8" w14:textId="34FCAF9E" w:rsidR="00C65571" w:rsidRPr="00744B8B" w:rsidRDefault="00C65571">
            <w:pPr>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7D948D" w14:textId="77777777" w:rsidR="00C65571" w:rsidRPr="00744B8B" w:rsidRDefault="00C65571">
            <w:pPr>
              <w:rPr>
                <w:rFonts w:ascii="Arial Narrow" w:hAnsi="Arial Narrow"/>
                <w:b/>
                <w:bCs/>
                <w:sz w:val="20"/>
                <w:szCs w:val="20"/>
              </w:rPr>
            </w:pPr>
            <w:r w:rsidRPr="00744B8B">
              <w:rPr>
                <w:rFonts w:ascii="Arial Narrow" w:hAnsi="Arial Narrow"/>
                <w:b/>
                <w:bCs/>
                <w:sz w:val="20"/>
                <w:szCs w:val="20"/>
              </w:rPr>
              <w:t>Administrative Advice:</w:t>
            </w:r>
          </w:p>
          <w:p w14:paraId="3EB8D70A" w14:textId="77777777" w:rsidR="00C65571" w:rsidRPr="00744B8B" w:rsidRDefault="00C65571">
            <w:pPr>
              <w:rPr>
                <w:rFonts w:ascii="Arial Narrow" w:hAnsi="Arial Narrow"/>
                <w:sz w:val="20"/>
                <w:szCs w:val="20"/>
              </w:rPr>
            </w:pPr>
            <w:r w:rsidRPr="00744B8B">
              <w:rPr>
                <w:rFonts w:ascii="Arial Narrow" w:hAnsi="Arial Narrow"/>
                <w:sz w:val="20"/>
                <w:szCs w:val="20"/>
              </w:rPr>
              <w:t>Special Pricing Arrangements apply.</w:t>
            </w:r>
          </w:p>
        </w:tc>
      </w:tr>
      <w:tr w:rsidR="00C65571" w:rsidRPr="00FE20A5" w14:paraId="0E091040" w14:textId="77777777" w:rsidTr="00744B8B">
        <w:tblPrEx>
          <w:tblCellMar>
            <w:top w:w="11" w:type="dxa"/>
            <w:bottom w:w="11" w:type="dxa"/>
          </w:tblCellMar>
        </w:tblPrEx>
        <w:trPr>
          <w:trHeight w:val="23"/>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E89D52" w14:textId="5CEA1A63" w:rsidR="00C65571" w:rsidRPr="00744B8B" w:rsidRDefault="00C65571">
            <w:pPr>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E821B1" w14:textId="77777777" w:rsidR="00C65571" w:rsidRPr="00744B8B" w:rsidRDefault="00C65571">
            <w:pPr>
              <w:rPr>
                <w:rFonts w:ascii="Arial Narrow" w:hAnsi="Arial Narrow"/>
                <w:b/>
                <w:bCs/>
                <w:sz w:val="20"/>
                <w:szCs w:val="20"/>
              </w:rPr>
            </w:pPr>
            <w:r w:rsidRPr="00744B8B">
              <w:rPr>
                <w:rFonts w:ascii="Arial Narrow" w:hAnsi="Arial Narrow"/>
                <w:b/>
                <w:bCs/>
                <w:sz w:val="20"/>
                <w:szCs w:val="20"/>
              </w:rPr>
              <w:t>Administrative Advice:</w:t>
            </w:r>
          </w:p>
          <w:p w14:paraId="6061410A" w14:textId="77777777" w:rsidR="00C65571" w:rsidRPr="00744B8B" w:rsidRDefault="00C65571" w:rsidP="2180C922">
            <w:pPr>
              <w:rPr>
                <w:rFonts w:ascii="Arial Narrow" w:hAnsi="Arial Narrow"/>
                <w:b/>
                <w:bCs/>
                <w:sz w:val="20"/>
                <w:szCs w:val="20"/>
              </w:rPr>
            </w:pPr>
            <w:r w:rsidRPr="00744B8B">
              <w:rPr>
                <w:rFonts w:ascii="Arial Narrow" w:hAnsi="Arial Narrow"/>
                <w:sz w:val="20"/>
                <w:szCs w:val="20"/>
              </w:rPr>
              <w:t>For the purposes of this restriction, the list of gating mutations are: G551D, G1244E, G1349D, G178R, G551S, S1251N, S1255P, S549N or S549R.</w:t>
            </w:r>
          </w:p>
        </w:tc>
      </w:tr>
      <w:tr w:rsidR="00C65571" w:rsidRPr="00FE20A5" w14:paraId="5D2F59B7" w14:textId="77777777" w:rsidTr="00744B8B">
        <w:tblPrEx>
          <w:tblCellMar>
            <w:top w:w="11" w:type="dxa"/>
            <w:bottom w:w="11" w:type="dxa"/>
          </w:tblCellMar>
        </w:tblPrEx>
        <w:trPr>
          <w:trHeight w:val="23"/>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C12525" w14:textId="77777777" w:rsidR="00C65571" w:rsidRPr="00A7396A" w:rsidRDefault="00C65571">
            <w:pPr>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BAB144" w14:textId="77777777" w:rsidR="00C65571" w:rsidRPr="00A7396A" w:rsidRDefault="00C65571">
            <w:pPr>
              <w:rPr>
                <w:rFonts w:ascii="Arial Narrow" w:hAnsi="Arial Narrow"/>
                <w:b/>
                <w:bCs/>
                <w:sz w:val="20"/>
                <w:szCs w:val="20"/>
              </w:rPr>
            </w:pPr>
          </w:p>
        </w:tc>
      </w:tr>
    </w:tbl>
    <w:p w14:paraId="7C919D6A" w14:textId="77777777" w:rsidR="00C65571" w:rsidRDefault="00C65571" w:rsidP="00C65571">
      <w:pPr>
        <w:rPr>
          <w:b/>
        </w:rPr>
      </w:pPr>
    </w:p>
    <w:p w14:paraId="7950E6D6" w14:textId="77777777" w:rsidR="00C65571" w:rsidRDefault="00C65571" w:rsidP="7F77D409">
      <w:pPr>
        <w:rPr>
          <w:b/>
          <w:bCs/>
        </w:rPr>
      </w:pPr>
      <w:r w:rsidRPr="7F77D409">
        <w:rPr>
          <w:b/>
          <w:bCs/>
        </w:rPr>
        <w:t>Initial treatment (Non- Gating mutations)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1130"/>
        <w:gridCol w:w="2410"/>
        <w:gridCol w:w="1701"/>
        <w:gridCol w:w="709"/>
        <w:gridCol w:w="709"/>
        <w:gridCol w:w="708"/>
        <w:gridCol w:w="1650"/>
      </w:tblGrid>
      <w:tr w:rsidR="00C65571" w14:paraId="46E20A3C" w14:textId="77777777" w:rsidTr="00744B8B">
        <w:trPr>
          <w:cantSplit/>
          <w:trHeight w:val="23"/>
        </w:trPr>
        <w:tc>
          <w:tcPr>
            <w:tcW w:w="3540" w:type="dxa"/>
            <w:gridSpan w:val="2"/>
            <w:tcBorders>
              <w:top w:val="single" w:sz="4" w:space="0" w:color="auto"/>
              <w:left w:val="single" w:sz="4" w:space="0" w:color="auto"/>
              <w:bottom w:val="single" w:sz="4" w:space="0" w:color="auto"/>
              <w:right w:val="single" w:sz="4" w:space="0" w:color="auto"/>
            </w:tcBorders>
            <w:vAlign w:val="center"/>
            <w:hideMark/>
          </w:tcPr>
          <w:p w14:paraId="2FB49F59" w14:textId="77777777" w:rsidR="00C65571" w:rsidRDefault="00C65571">
            <w:pPr>
              <w:keepLines/>
              <w:spacing w:line="254" w:lineRule="auto"/>
              <w:jc w:val="center"/>
              <w:rPr>
                <w:rFonts w:ascii="Arial Narrow" w:hAnsi="Arial Narrow"/>
                <w:b/>
                <w:bCs/>
                <w:sz w:val="20"/>
                <w:szCs w:val="20"/>
              </w:rPr>
            </w:pPr>
            <w:r>
              <w:rPr>
                <w:rFonts w:ascii="Arial Narrow" w:hAnsi="Arial Narrow"/>
                <w:b/>
                <w:bCs/>
                <w:sz w:val="20"/>
                <w:szCs w:val="20"/>
              </w:rPr>
              <w:t>MEDICINAL PRODUCT</w:t>
            </w:r>
          </w:p>
          <w:p w14:paraId="3F51D9B2" w14:textId="77777777" w:rsidR="00C65571" w:rsidRDefault="00C65571">
            <w:pPr>
              <w:keepLines/>
              <w:spacing w:line="254" w:lineRule="auto"/>
              <w:jc w:val="center"/>
              <w:rPr>
                <w:rFonts w:ascii="Arial Narrow" w:hAnsi="Arial Narrow"/>
                <w:b/>
                <w:sz w:val="20"/>
                <w:szCs w:val="20"/>
              </w:rPr>
            </w:pPr>
            <w:r>
              <w:rPr>
                <w:rFonts w:ascii="Arial Narrow" w:hAnsi="Arial Narrow"/>
                <w:b/>
                <w:bCs/>
                <w:sz w:val="20"/>
                <w:szCs w:val="20"/>
              </w:rPr>
              <w:t>medicinal product pack</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195CA1" w14:textId="77777777" w:rsidR="00C65571" w:rsidRDefault="00C65571">
            <w:pPr>
              <w:keepLines/>
              <w:spacing w:line="254" w:lineRule="auto"/>
              <w:jc w:val="center"/>
              <w:rPr>
                <w:rFonts w:ascii="Arial Narrow" w:hAnsi="Arial Narrow"/>
                <w:b/>
                <w:sz w:val="20"/>
                <w:szCs w:val="20"/>
              </w:rPr>
            </w:pPr>
            <w:r>
              <w:rPr>
                <w:rFonts w:ascii="Arial Narrow" w:hAnsi="Arial Narrow"/>
                <w:b/>
                <w:sz w:val="20"/>
                <w:szCs w:val="20"/>
              </w:rPr>
              <w:t>PBS item code</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035398" w14:textId="77777777" w:rsidR="00C65571" w:rsidRDefault="00C65571">
            <w:pPr>
              <w:keepLines/>
              <w:spacing w:line="254" w:lineRule="auto"/>
              <w:jc w:val="center"/>
              <w:rPr>
                <w:rFonts w:ascii="Arial Narrow" w:hAnsi="Arial Narrow"/>
                <w:b/>
                <w:sz w:val="20"/>
                <w:szCs w:val="20"/>
              </w:rPr>
            </w:pPr>
            <w:r>
              <w:rPr>
                <w:rFonts w:ascii="Arial Narrow" w:hAnsi="Arial Narrow"/>
                <w:b/>
                <w:sz w:val="20"/>
                <w:szCs w:val="20"/>
              </w:rPr>
              <w:t>Max. qty packs</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AAD685" w14:textId="77777777" w:rsidR="00C65571" w:rsidRDefault="00C65571">
            <w:pPr>
              <w:keepLines/>
              <w:spacing w:line="254" w:lineRule="auto"/>
              <w:jc w:val="center"/>
              <w:rPr>
                <w:rFonts w:ascii="Arial Narrow" w:hAnsi="Arial Narrow"/>
                <w:b/>
                <w:sz w:val="20"/>
                <w:szCs w:val="20"/>
              </w:rPr>
            </w:pPr>
            <w:r>
              <w:rPr>
                <w:rFonts w:ascii="Arial Narrow" w:hAnsi="Arial Narrow"/>
                <w:b/>
                <w:sz w:val="20"/>
                <w:szCs w:val="20"/>
              </w:rPr>
              <w:t>Max. qty units</w:t>
            </w:r>
          </w:p>
        </w:tc>
        <w:tc>
          <w:tcPr>
            <w:tcW w:w="708" w:type="dxa"/>
            <w:tcBorders>
              <w:top w:val="single" w:sz="4" w:space="0" w:color="auto"/>
              <w:left w:val="single" w:sz="4" w:space="0" w:color="auto"/>
              <w:bottom w:val="single" w:sz="4" w:space="0" w:color="auto"/>
              <w:right w:val="single" w:sz="4" w:space="0" w:color="auto"/>
            </w:tcBorders>
            <w:vAlign w:val="center"/>
            <w:hideMark/>
          </w:tcPr>
          <w:p w14:paraId="18F4802A" w14:textId="77777777" w:rsidR="00C65571" w:rsidRDefault="00C65571" w:rsidP="7F77D409">
            <w:pPr>
              <w:keepLines/>
              <w:spacing w:line="254" w:lineRule="auto"/>
              <w:jc w:val="center"/>
              <w:rPr>
                <w:rFonts w:ascii="Arial Narrow" w:hAnsi="Arial Narrow"/>
                <w:b/>
                <w:bCs/>
                <w:sz w:val="20"/>
                <w:szCs w:val="20"/>
              </w:rPr>
            </w:pPr>
            <w:r w:rsidRPr="7F77D409">
              <w:rPr>
                <w:rFonts w:ascii="Arial Narrow" w:hAnsi="Arial Narrow"/>
                <w:b/>
                <w:bCs/>
                <w:sz w:val="20"/>
                <w:szCs w:val="20"/>
              </w:rPr>
              <w:t>№.of</w:t>
            </w:r>
          </w:p>
          <w:p w14:paraId="76E5888C" w14:textId="77777777" w:rsidR="00C65571" w:rsidRDefault="00C65571">
            <w:pPr>
              <w:keepLines/>
              <w:spacing w:line="254" w:lineRule="auto"/>
              <w:jc w:val="center"/>
              <w:rPr>
                <w:rFonts w:ascii="Arial Narrow" w:hAnsi="Arial Narrow"/>
                <w:b/>
                <w:sz w:val="20"/>
                <w:szCs w:val="20"/>
              </w:rPr>
            </w:pPr>
            <w:r>
              <w:rPr>
                <w:rFonts w:ascii="Arial Narrow" w:hAnsi="Arial Narrow"/>
                <w:b/>
                <w:sz w:val="20"/>
                <w:szCs w:val="20"/>
              </w:rPr>
              <w:t>Rpts</w:t>
            </w:r>
          </w:p>
        </w:tc>
        <w:tc>
          <w:tcPr>
            <w:tcW w:w="1650" w:type="dxa"/>
            <w:tcBorders>
              <w:top w:val="single" w:sz="4" w:space="0" w:color="auto"/>
              <w:left w:val="single" w:sz="4" w:space="0" w:color="auto"/>
              <w:bottom w:val="single" w:sz="4" w:space="0" w:color="auto"/>
              <w:right w:val="single" w:sz="4" w:space="0" w:color="auto"/>
            </w:tcBorders>
            <w:vAlign w:val="center"/>
            <w:hideMark/>
          </w:tcPr>
          <w:p w14:paraId="5EB45307" w14:textId="77777777" w:rsidR="00C65571" w:rsidRDefault="00C65571">
            <w:pPr>
              <w:keepLines/>
              <w:spacing w:line="254" w:lineRule="auto"/>
              <w:jc w:val="center"/>
              <w:rPr>
                <w:rFonts w:ascii="Arial Narrow" w:hAnsi="Arial Narrow"/>
                <w:b/>
                <w:sz w:val="20"/>
                <w:szCs w:val="20"/>
                <w:lang w:val="fr-FR"/>
              </w:rPr>
            </w:pPr>
            <w:r>
              <w:rPr>
                <w:rFonts w:ascii="Arial Narrow" w:hAnsi="Arial Narrow"/>
                <w:b/>
                <w:sz w:val="20"/>
                <w:szCs w:val="20"/>
              </w:rPr>
              <w:t>Available brands</w:t>
            </w:r>
          </w:p>
        </w:tc>
      </w:tr>
      <w:tr w:rsidR="00C65571" w14:paraId="2FC3096A" w14:textId="77777777" w:rsidTr="00744B8B">
        <w:trPr>
          <w:cantSplit/>
          <w:trHeight w:val="23"/>
        </w:trPr>
        <w:tc>
          <w:tcPr>
            <w:tcW w:w="9017" w:type="dxa"/>
            <w:gridSpan w:val="7"/>
            <w:tcBorders>
              <w:top w:val="single" w:sz="4" w:space="0" w:color="auto"/>
              <w:left w:val="single" w:sz="4" w:space="0" w:color="auto"/>
              <w:bottom w:val="single" w:sz="4" w:space="0" w:color="auto"/>
              <w:right w:val="single" w:sz="4" w:space="0" w:color="auto"/>
            </w:tcBorders>
            <w:vAlign w:val="center"/>
            <w:hideMark/>
          </w:tcPr>
          <w:p w14:paraId="68AF7FB4" w14:textId="77777777" w:rsidR="00C65571" w:rsidRDefault="00C65571">
            <w:pPr>
              <w:keepLines/>
              <w:spacing w:line="254" w:lineRule="auto"/>
              <w:rPr>
                <w:rFonts w:ascii="Arial Narrow" w:hAnsi="Arial Narrow"/>
                <w:sz w:val="20"/>
                <w:szCs w:val="20"/>
              </w:rPr>
            </w:pPr>
            <w:r>
              <w:rPr>
                <w:rFonts w:ascii="Arial Narrow" w:hAnsi="Arial Narrow"/>
                <w:sz w:val="20"/>
                <w:szCs w:val="20"/>
              </w:rPr>
              <w:t>IVACAFTOR</w:t>
            </w:r>
          </w:p>
        </w:tc>
      </w:tr>
      <w:tr w:rsidR="00C65571" w14:paraId="13D513A6" w14:textId="77777777" w:rsidTr="00744B8B">
        <w:trPr>
          <w:cantSplit/>
          <w:trHeight w:val="23"/>
        </w:trPr>
        <w:tc>
          <w:tcPr>
            <w:tcW w:w="3540" w:type="dxa"/>
            <w:gridSpan w:val="2"/>
            <w:tcBorders>
              <w:top w:val="single" w:sz="4" w:space="0" w:color="auto"/>
              <w:left w:val="single" w:sz="4" w:space="0" w:color="auto"/>
              <w:bottom w:val="single" w:sz="4" w:space="0" w:color="auto"/>
              <w:right w:val="single" w:sz="4" w:space="0" w:color="auto"/>
            </w:tcBorders>
            <w:vAlign w:val="center"/>
          </w:tcPr>
          <w:p w14:paraId="684CE5FF" w14:textId="77777777" w:rsidR="00C65571" w:rsidRPr="009B3A66" w:rsidRDefault="00C65571">
            <w:pPr>
              <w:keepLines/>
              <w:rPr>
                <w:rFonts w:ascii="Arial Narrow" w:hAnsi="Arial Narrow"/>
                <w:sz w:val="20"/>
                <w:szCs w:val="20"/>
              </w:rPr>
            </w:pPr>
            <w:r w:rsidRPr="009B3A66">
              <w:rPr>
                <w:rFonts w:ascii="Arial Narrow" w:hAnsi="Arial Narrow"/>
                <w:sz w:val="20"/>
                <w:szCs w:val="20"/>
              </w:rPr>
              <w:t>Ivacaftor</w:t>
            </w:r>
            <w:r>
              <w:rPr>
                <w:rFonts w:ascii="Arial Narrow" w:hAnsi="Arial Narrow"/>
                <w:sz w:val="20"/>
                <w:szCs w:val="20"/>
              </w:rPr>
              <w:t xml:space="preserve"> 13.4</w:t>
            </w:r>
            <w:r w:rsidRPr="009B3A66">
              <w:rPr>
                <w:rFonts w:ascii="Arial Narrow" w:hAnsi="Arial Narrow"/>
                <w:sz w:val="20"/>
                <w:szCs w:val="20"/>
              </w:rPr>
              <w:t xml:space="preserve"> mg granules</w:t>
            </w:r>
            <w:r>
              <w:rPr>
                <w:rFonts w:ascii="Arial Narrow" w:hAnsi="Arial Narrow"/>
                <w:sz w:val="20"/>
                <w:szCs w:val="20"/>
              </w:rPr>
              <w:t xml:space="preserve">, </w:t>
            </w:r>
            <w:r w:rsidRPr="009B3A66">
              <w:rPr>
                <w:rFonts w:ascii="Arial Narrow" w:hAnsi="Arial Narrow"/>
                <w:sz w:val="20"/>
                <w:szCs w:val="20"/>
              </w:rPr>
              <w:t>56 sachets</w:t>
            </w:r>
          </w:p>
        </w:tc>
        <w:tc>
          <w:tcPr>
            <w:tcW w:w="1701" w:type="dxa"/>
            <w:tcBorders>
              <w:top w:val="single" w:sz="4" w:space="0" w:color="auto"/>
              <w:left w:val="single" w:sz="4" w:space="0" w:color="auto"/>
              <w:bottom w:val="single" w:sz="4" w:space="0" w:color="auto"/>
              <w:right w:val="single" w:sz="4" w:space="0" w:color="auto"/>
            </w:tcBorders>
            <w:vAlign w:val="center"/>
          </w:tcPr>
          <w:p w14:paraId="69205435" w14:textId="77777777" w:rsidR="00C65571" w:rsidRDefault="00C65571">
            <w:pPr>
              <w:keepLines/>
              <w:jc w:val="center"/>
              <w:rPr>
                <w:rFonts w:ascii="Arial Narrow" w:hAnsi="Arial Narrow"/>
                <w:sz w:val="20"/>
                <w:szCs w:val="20"/>
              </w:rPr>
            </w:pPr>
            <w:r>
              <w:rPr>
                <w:rFonts w:ascii="Arial Narrow" w:hAnsi="Arial Narrow"/>
                <w:sz w:val="20"/>
                <w:szCs w:val="20"/>
              </w:rPr>
              <w:t>NEW HSD</w:t>
            </w:r>
            <w:r w:rsidRPr="009B3A66">
              <w:rPr>
                <w:rFonts w:ascii="Arial Narrow" w:hAnsi="Arial Narrow"/>
                <w:sz w:val="20"/>
                <w:szCs w:val="20"/>
              </w:rPr>
              <w:t xml:space="preserve"> </w:t>
            </w:r>
            <w:r>
              <w:rPr>
                <w:rFonts w:ascii="Arial Narrow" w:hAnsi="Arial Narrow"/>
                <w:sz w:val="20"/>
                <w:szCs w:val="20"/>
              </w:rPr>
              <w:t>(Public)</w:t>
            </w:r>
          </w:p>
          <w:p w14:paraId="184B56AA" w14:textId="77777777" w:rsidR="00C65571" w:rsidRDefault="00C65571">
            <w:pPr>
              <w:keepLines/>
              <w:jc w:val="center"/>
              <w:rPr>
                <w:rFonts w:ascii="Arial Narrow" w:hAnsi="Arial Narrow"/>
                <w:sz w:val="20"/>
                <w:szCs w:val="20"/>
              </w:rPr>
            </w:pPr>
            <w:r>
              <w:rPr>
                <w:rFonts w:ascii="Arial Narrow" w:hAnsi="Arial Narrow"/>
                <w:sz w:val="20"/>
                <w:szCs w:val="20"/>
              </w:rPr>
              <w:t>NEW HSD</w:t>
            </w:r>
            <w:r w:rsidRPr="009B3A66">
              <w:rPr>
                <w:rFonts w:ascii="Arial Narrow" w:hAnsi="Arial Narrow"/>
                <w:sz w:val="20"/>
                <w:szCs w:val="20"/>
              </w:rPr>
              <w:t xml:space="preserve"> </w:t>
            </w:r>
            <w:r>
              <w:rPr>
                <w:rFonts w:ascii="Arial Narrow" w:hAnsi="Arial Narrow"/>
                <w:sz w:val="20"/>
                <w:szCs w:val="20"/>
              </w:rPr>
              <w:t>(Private)</w:t>
            </w:r>
          </w:p>
        </w:tc>
        <w:tc>
          <w:tcPr>
            <w:tcW w:w="709" w:type="dxa"/>
            <w:tcBorders>
              <w:top w:val="single" w:sz="4" w:space="0" w:color="auto"/>
              <w:left w:val="single" w:sz="4" w:space="0" w:color="auto"/>
              <w:bottom w:val="single" w:sz="4" w:space="0" w:color="auto"/>
              <w:right w:val="single" w:sz="4" w:space="0" w:color="auto"/>
            </w:tcBorders>
            <w:vAlign w:val="center"/>
          </w:tcPr>
          <w:p w14:paraId="1D487055" w14:textId="77777777" w:rsidR="00C65571" w:rsidRDefault="00C65571">
            <w:pPr>
              <w:keepLines/>
              <w:jc w:val="center"/>
              <w:rPr>
                <w:rFonts w:ascii="Arial Narrow" w:hAnsi="Arial Narrow"/>
                <w:sz w:val="20"/>
                <w:szCs w:val="20"/>
              </w:rPr>
            </w:pPr>
            <w:r>
              <w:rPr>
                <w:rFonts w:ascii="Arial Narrow" w:hAnsi="Arial Narrow"/>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14:paraId="7F0A25AC" w14:textId="77777777" w:rsidR="00C65571" w:rsidRDefault="00C65571">
            <w:pPr>
              <w:keepLines/>
              <w:jc w:val="center"/>
              <w:rPr>
                <w:rFonts w:ascii="Arial Narrow" w:hAnsi="Arial Narrow"/>
                <w:sz w:val="20"/>
                <w:szCs w:val="20"/>
              </w:rPr>
            </w:pPr>
            <w:r>
              <w:rPr>
                <w:rFonts w:ascii="Arial Narrow" w:hAnsi="Arial Narrow"/>
                <w:sz w:val="20"/>
                <w:szCs w:val="20"/>
              </w:rPr>
              <w:t>56</w:t>
            </w:r>
          </w:p>
        </w:tc>
        <w:tc>
          <w:tcPr>
            <w:tcW w:w="708" w:type="dxa"/>
            <w:tcBorders>
              <w:top w:val="single" w:sz="4" w:space="0" w:color="auto"/>
              <w:left w:val="single" w:sz="4" w:space="0" w:color="auto"/>
              <w:bottom w:val="single" w:sz="4" w:space="0" w:color="auto"/>
              <w:right w:val="single" w:sz="4" w:space="0" w:color="auto"/>
            </w:tcBorders>
            <w:vAlign w:val="center"/>
          </w:tcPr>
          <w:p w14:paraId="43542B8C" w14:textId="281BA373" w:rsidR="00C65571" w:rsidRDefault="00C65571">
            <w:pPr>
              <w:keepLines/>
              <w:jc w:val="center"/>
              <w:rPr>
                <w:rFonts w:ascii="Arial Narrow" w:hAnsi="Arial Narrow"/>
                <w:sz w:val="20"/>
                <w:szCs w:val="20"/>
              </w:rPr>
            </w:pPr>
            <w:r w:rsidRPr="00744B8B">
              <w:rPr>
                <w:rFonts w:ascii="Arial Narrow" w:hAnsi="Arial Narrow"/>
                <w:sz w:val="20"/>
                <w:szCs w:val="20"/>
              </w:rPr>
              <w:t>2</w:t>
            </w:r>
          </w:p>
        </w:tc>
        <w:tc>
          <w:tcPr>
            <w:tcW w:w="1650" w:type="dxa"/>
            <w:tcBorders>
              <w:top w:val="single" w:sz="4" w:space="0" w:color="auto"/>
              <w:left w:val="single" w:sz="4" w:space="0" w:color="auto"/>
              <w:bottom w:val="single" w:sz="4" w:space="0" w:color="auto"/>
              <w:right w:val="single" w:sz="4" w:space="0" w:color="auto"/>
            </w:tcBorders>
            <w:vAlign w:val="center"/>
          </w:tcPr>
          <w:p w14:paraId="0F1781A3" w14:textId="77777777" w:rsidR="00C65571" w:rsidRPr="009B3A66" w:rsidRDefault="00C65571">
            <w:pPr>
              <w:keepLines/>
              <w:jc w:val="center"/>
              <w:rPr>
                <w:rFonts w:ascii="Arial Narrow" w:hAnsi="Arial Narrow"/>
                <w:sz w:val="20"/>
                <w:szCs w:val="20"/>
              </w:rPr>
            </w:pPr>
            <w:r w:rsidRPr="009B3A66">
              <w:rPr>
                <w:rFonts w:ascii="Arial Narrow" w:hAnsi="Arial Narrow"/>
                <w:sz w:val="20"/>
                <w:szCs w:val="20"/>
              </w:rPr>
              <w:t>Kalydeco</w:t>
            </w:r>
          </w:p>
        </w:tc>
      </w:tr>
      <w:tr w:rsidR="00C65571" w:rsidRPr="00FE20A5" w14:paraId="1A019BD0" w14:textId="77777777" w:rsidTr="00744B8B">
        <w:tblPrEx>
          <w:tblCellMar>
            <w:top w:w="11" w:type="dxa"/>
            <w:bottom w:w="11" w:type="dxa"/>
          </w:tblCellMar>
        </w:tblPrEx>
        <w:trPr>
          <w:trHeight w:val="23"/>
        </w:trPr>
        <w:tc>
          <w:tcPr>
            <w:tcW w:w="901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5F7B14" w14:textId="77777777" w:rsidR="00C65571" w:rsidRPr="001428E9" w:rsidRDefault="00C65571">
            <w:pPr>
              <w:rPr>
                <w:rFonts w:ascii="Arial Narrow" w:hAnsi="Arial Narrow"/>
                <w:b/>
                <w:sz w:val="20"/>
                <w:szCs w:val="20"/>
              </w:rPr>
            </w:pPr>
          </w:p>
        </w:tc>
      </w:tr>
      <w:tr w:rsidR="00C65571" w:rsidRPr="00FE20A5" w14:paraId="4005E20F" w14:textId="77777777" w:rsidTr="00744B8B">
        <w:tblPrEx>
          <w:tblCellMar>
            <w:top w:w="11" w:type="dxa"/>
            <w:bottom w:w="11" w:type="dxa"/>
          </w:tblCellMar>
        </w:tblPrEx>
        <w:trPr>
          <w:trHeight w:val="23"/>
        </w:trPr>
        <w:tc>
          <w:tcPr>
            <w:tcW w:w="901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C3439E" w14:textId="77777777" w:rsidR="00C65571" w:rsidRPr="00CC0A7A" w:rsidRDefault="00C65571" w:rsidP="7F77D409">
            <w:pPr>
              <w:rPr>
                <w:rFonts w:ascii="Arial Narrow" w:hAnsi="Arial Narrow"/>
                <w:sz w:val="20"/>
                <w:szCs w:val="20"/>
              </w:rPr>
            </w:pPr>
            <w:r w:rsidRPr="7F77D409">
              <w:rPr>
                <w:rFonts w:ascii="Arial Narrow" w:hAnsi="Arial Narrow"/>
                <w:b/>
                <w:bCs/>
                <w:sz w:val="20"/>
                <w:szCs w:val="20"/>
              </w:rPr>
              <w:t>Restriction Summary [variant of: 15254] / Treatment of Concept: [variant of: 15253]</w:t>
            </w:r>
          </w:p>
        </w:tc>
      </w:tr>
      <w:tr w:rsidR="00C65571" w:rsidRPr="00FE20A5" w14:paraId="31B43152" w14:textId="77777777" w:rsidTr="00744B8B">
        <w:tblPrEx>
          <w:tblCellMar>
            <w:top w:w="11" w:type="dxa"/>
            <w:bottom w:w="11" w:type="dxa"/>
          </w:tblCellMar>
        </w:tblPrEx>
        <w:trPr>
          <w:trHeight w:val="23"/>
        </w:trPr>
        <w:tc>
          <w:tcPr>
            <w:tcW w:w="1130" w:type="dxa"/>
            <w:vMerge w:val="restart"/>
            <w:tcBorders>
              <w:top w:val="single" w:sz="4" w:space="0" w:color="auto"/>
              <w:left w:val="single" w:sz="4" w:space="0" w:color="auto"/>
              <w:right w:val="single" w:sz="4" w:space="0" w:color="auto"/>
            </w:tcBorders>
            <w:tcMar>
              <w:top w:w="15" w:type="dxa"/>
              <w:left w:w="15" w:type="dxa"/>
              <w:bottom w:w="15" w:type="dxa"/>
              <w:right w:w="15" w:type="dxa"/>
            </w:tcMar>
          </w:tcPr>
          <w:p w14:paraId="3CBE353D" w14:textId="77777777" w:rsidR="00C65571" w:rsidRPr="00F62976" w:rsidRDefault="00C65571">
            <w:pPr>
              <w:jc w:val="center"/>
              <w:rPr>
                <w:rFonts w:ascii="Arial Narrow" w:hAnsi="Arial Narrow"/>
                <w:b/>
                <w:bCs/>
                <w:sz w:val="20"/>
                <w:szCs w:val="20"/>
              </w:rPr>
            </w:pPr>
            <w:r w:rsidRPr="00F62976">
              <w:rPr>
                <w:rFonts w:ascii="Arial Narrow" w:hAnsi="Arial Narrow"/>
                <w:b/>
                <w:bCs/>
                <w:sz w:val="20"/>
                <w:szCs w:val="20"/>
              </w:rPr>
              <w:t>Concept ID</w:t>
            </w:r>
          </w:p>
          <w:p w14:paraId="680D2C31" w14:textId="77777777" w:rsidR="00C65571" w:rsidRPr="00CC0A7A" w:rsidRDefault="00C65571">
            <w:pPr>
              <w:jc w:val="center"/>
              <w:rPr>
                <w:rFonts w:ascii="Arial Narrow" w:hAnsi="Arial Narrow"/>
                <w:sz w:val="20"/>
                <w:szCs w:val="20"/>
              </w:rPr>
            </w:pPr>
            <w:r w:rsidRPr="00CC0A7A">
              <w:rPr>
                <w:rFonts w:ascii="Arial Narrow" w:hAnsi="Arial Narrow"/>
                <w:sz w:val="20"/>
                <w:szCs w:val="20"/>
              </w:rPr>
              <w:lastRenderedPageBreak/>
              <w:t>(for internal Dept. use)</w:t>
            </w: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C653522" w14:textId="77777777" w:rsidR="00C65571" w:rsidRPr="00CC0A7A" w:rsidRDefault="00C65571">
            <w:pPr>
              <w:rPr>
                <w:rFonts w:ascii="Arial Narrow" w:hAnsi="Arial Narrow"/>
                <w:sz w:val="20"/>
                <w:szCs w:val="20"/>
              </w:rPr>
            </w:pPr>
            <w:r w:rsidRPr="00CC0A7A">
              <w:rPr>
                <w:rFonts w:ascii="Arial Narrow" w:hAnsi="Arial Narrow"/>
                <w:sz w:val="20"/>
                <w:szCs w:val="20"/>
              </w:rPr>
              <w:lastRenderedPageBreak/>
              <w:t xml:space="preserve">Category / Program: Section 100 – Highly Specialised Drugs Program </w:t>
            </w:r>
          </w:p>
        </w:tc>
      </w:tr>
      <w:tr w:rsidR="00C65571" w:rsidRPr="00FE20A5" w14:paraId="419FAE7D" w14:textId="77777777" w:rsidTr="00744B8B">
        <w:tblPrEx>
          <w:tblCellMar>
            <w:top w:w="11" w:type="dxa"/>
            <w:bottom w:w="11" w:type="dxa"/>
          </w:tblCellMar>
        </w:tblPrEx>
        <w:trPr>
          <w:trHeight w:val="23"/>
        </w:trPr>
        <w:tc>
          <w:tcPr>
            <w:tcW w:w="1130" w:type="dxa"/>
            <w:vMerge/>
            <w:vAlign w:val="center"/>
            <w:hideMark/>
          </w:tcPr>
          <w:p w14:paraId="68D4D3B4" w14:textId="77777777" w:rsidR="00C65571" w:rsidRPr="00CC0A7A" w:rsidRDefault="00C65571">
            <w:pP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7CA9414" w14:textId="77777777" w:rsidR="00C65571" w:rsidRPr="00CC0A7A" w:rsidRDefault="00C65571">
            <w:pPr>
              <w:rPr>
                <w:rFonts w:ascii="Arial Narrow" w:hAnsi="Arial Narrow"/>
                <w:sz w:val="20"/>
                <w:szCs w:val="20"/>
              </w:rPr>
            </w:pPr>
            <w:r w:rsidRPr="00CC0A7A">
              <w:rPr>
                <w:rFonts w:ascii="Arial Narrow" w:hAnsi="Arial Narrow"/>
                <w:sz w:val="20"/>
                <w:szCs w:val="20"/>
              </w:rPr>
              <w:t xml:space="preserve">Prescriber type: </w:t>
            </w:r>
            <w:r w:rsidRPr="00CC0A7A">
              <w:rPr>
                <w:rFonts w:ascii="Arial Narrow" w:hAnsi="Arial Narrow"/>
                <w:sz w:val="20"/>
                <w:szCs w:val="20"/>
              </w:rPr>
              <w:fldChar w:fldCharType="begin" w:fldLock="1">
                <w:ffData>
                  <w:name w:val=""/>
                  <w:enabled/>
                  <w:calcOnExit w:val="0"/>
                  <w:checkBox>
                    <w:sizeAuto/>
                    <w:default w:val="1"/>
                  </w:checkBox>
                </w:ffData>
              </w:fldChar>
            </w:r>
            <w:r w:rsidRPr="00CC0A7A">
              <w:rPr>
                <w:rFonts w:ascii="Arial Narrow" w:hAnsi="Arial Narrow"/>
                <w:sz w:val="20"/>
                <w:szCs w:val="20"/>
              </w:rPr>
              <w:instrText xml:space="preserve"> FORMCHECKBOX </w:instrText>
            </w:r>
            <w:r w:rsidRPr="00CC0A7A">
              <w:rPr>
                <w:rFonts w:ascii="Arial Narrow" w:hAnsi="Arial Narrow"/>
                <w:sz w:val="20"/>
                <w:szCs w:val="20"/>
              </w:rPr>
            </w:r>
            <w:r w:rsidRPr="00CC0A7A">
              <w:rPr>
                <w:rFonts w:ascii="Arial Narrow" w:hAnsi="Arial Narrow"/>
                <w:sz w:val="20"/>
                <w:szCs w:val="20"/>
              </w:rPr>
              <w:fldChar w:fldCharType="separate"/>
            </w:r>
            <w:r w:rsidRPr="00CC0A7A">
              <w:rPr>
                <w:rFonts w:ascii="Arial Narrow" w:hAnsi="Arial Narrow"/>
                <w:sz w:val="20"/>
                <w:szCs w:val="20"/>
              </w:rPr>
              <w:fldChar w:fldCharType="end"/>
            </w:r>
            <w:r w:rsidRPr="00CC0A7A">
              <w:rPr>
                <w:rFonts w:ascii="Arial Narrow" w:hAnsi="Arial Narrow"/>
                <w:sz w:val="20"/>
                <w:szCs w:val="20"/>
              </w:rPr>
              <w:t xml:space="preserve">Medical Practitioners </w:t>
            </w:r>
          </w:p>
        </w:tc>
      </w:tr>
      <w:tr w:rsidR="00C65571" w:rsidRPr="00FE20A5" w14:paraId="0F72142C" w14:textId="77777777" w:rsidTr="00744B8B">
        <w:tblPrEx>
          <w:tblCellMar>
            <w:top w:w="11" w:type="dxa"/>
            <w:bottom w:w="11" w:type="dxa"/>
          </w:tblCellMar>
        </w:tblPrEx>
        <w:trPr>
          <w:trHeight w:val="23"/>
        </w:trPr>
        <w:tc>
          <w:tcPr>
            <w:tcW w:w="1130" w:type="dxa"/>
            <w:vMerge/>
            <w:vAlign w:val="center"/>
            <w:hideMark/>
          </w:tcPr>
          <w:p w14:paraId="25F5C87B" w14:textId="77777777" w:rsidR="00C65571" w:rsidRPr="00CC0A7A" w:rsidRDefault="00C65571">
            <w:pP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118CCB5" w14:textId="77777777" w:rsidR="00C65571" w:rsidRPr="00CC0A7A" w:rsidRDefault="00C65571">
            <w:pPr>
              <w:rPr>
                <w:rFonts w:ascii="Arial Narrow" w:hAnsi="Arial Narrow"/>
                <w:sz w:val="20"/>
                <w:szCs w:val="20"/>
              </w:rPr>
            </w:pPr>
            <w:r w:rsidRPr="00CC0A7A">
              <w:rPr>
                <w:rFonts w:ascii="Arial Narrow" w:hAnsi="Arial Narrow"/>
                <w:sz w:val="20"/>
                <w:szCs w:val="20"/>
              </w:rPr>
              <w:t xml:space="preserve">Restriction Type – </w:t>
            </w:r>
            <w:r w:rsidRPr="00CC0A7A">
              <w:rPr>
                <w:rFonts w:ascii="Arial Narrow" w:hAnsi="Arial Narrow"/>
                <w:sz w:val="20"/>
                <w:szCs w:val="20"/>
              </w:rPr>
              <w:fldChar w:fldCharType="begin" w:fldLock="1">
                <w:ffData>
                  <w:name w:val=""/>
                  <w:enabled/>
                  <w:calcOnExit w:val="0"/>
                  <w:checkBox>
                    <w:sizeAuto/>
                    <w:default w:val="1"/>
                  </w:checkBox>
                </w:ffData>
              </w:fldChar>
            </w:r>
            <w:r w:rsidRPr="00CC0A7A">
              <w:rPr>
                <w:rFonts w:ascii="Arial Narrow" w:hAnsi="Arial Narrow"/>
                <w:sz w:val="20"/>
                <w:szCs w:val="20"/>
              </w:rPr>
              <w:instrText xml:space="preserve"> FORMCHECKBOX </w:instrText>
            </w:r>
            <w:r w:rsidRPr="00CC0A7A">
              <w:rPr>
                <w:rFonts w:ascii="Arial Narrow" w:hAnsi="Arial Narrow"/>
                <w:sz w:val="20"/>
                <w:szCs w:val="20"/>
              </w:rPr>
            </w:r>
            <w:r w:rsidRPr="00CC0A7A">
              <w:rPr>
                <w:rFonts w:ascii="Arial Narrow" w:hAnsi="Arial Narrow"/>
                <w:sz w:val="20"/>
                <w:szCs w:val="20"/>
              </w:rPr>
              <w:fldChar w:fldCharType="separate"/>
            </w:r>
            <w:r w:rsidRPr="00CC0A7A">
              <w:rPr>
                <w:rFonts w:ascii="Arial Narrow" w:hAnsi="Arial Narrow"/>
                <w:sz w:val="20"/>
                <w:szCs w:val="20"/>
              </w:rPr>
              <w:fldChar w:fldCharType="end"/>
            </w:r>
            <w:r w:rsidRPr="00CC0A7A">
              <w:rPr>
                <w:rFonts w:ascii="Arial Narrow" w:hAnsi="Arial Narrow"/>
                <w:sz w:val="20"/>
                <w:szCs w:val="20"/>
              </w:rPr>
              <w:t xml:space="preserve">Authority Required – non-immediate/delayed assessment by Services Australia </w:t>
            </w:r>
          </w:p>
        </w:tc>
      </w:tr>
      <w:tr w:rsidR="00C65571" w:rsidRPr="00FE20A5" w14:paraId="71E473B7" w14:textId="77777777" w:rsidTr="00744B8B">
        <w:tblPrEx>
          <w:tblCellMar>
            <w:top w:w="11" w:type="dxa"/>
            <w:bottom w:w="11" w:type="dxa"/>
          </w:tblCellMar>
        </w:tblPrEx>
        <w:trPr>
          <w:trHeight w:val="23"/>
        </w:trPr>
        <w:tc>
          <w:tcPr>
            <w:tcW w:w="1130" w:type="dxa"/>
            <w:vMerge/>
            <w:tcMar>
              <w:top w:w="15" w:type="dxa"/>
              <w:left w:w="15" w:type="dxa"/>
              <w:bottom w:w="15" w:type="dxa"/>
              <w:right w:w="15" w:type="dxa"/>
            </w:tcMar>
            <w:vAlign w:val="center"/>
          </w:tcPr>
          <w:p w14:paraId="267C9C5A" w14:textId="77777777" w:rsidR="00C65571" w:rsidRPr="0017028E" w:rsidRDefault="00C65571">
            <w:pPr>
              <w:jc w:val="center"/>
              <w:rPr>
                <w:rFonts w:ascii="Arial Narrow" w:hAnsi="Arial Narrow"/>
                <w:i/>
                <w:iCs/>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86DD4C" w14:textId="77777777" w:rsidR="00C65571" w:rsidRPr="0017028E" w:rsidRDefault="00C65571">
            <w:pPr>
              <w:rPr>
                <w:rFonts w:ascii="Arial Narrow" w:hAnsi="Arial Narrow"/>
                <w:i/>
                <w:iCs/>
                <w:sz w:val="20"/>
                <w:szCs w:val="20"/>
              </w:rPr>
            </w:pPr>
            <w:r>
              <w:rPr>
                <w:rFonts w:ascii="Arial Narrow" w:hAnsi="Arial Narrow"/>
                <w:b/>
                <w:sz w:val="20"/>
                <w:szCs w:val="20"/>
              </w:rPr>
              <w:t xml:space="preserve">Authority type: </w:t>
            </w:r>
            <w:r>
              <w:rPr>
                <w:rFonts w:ascii="Arial Narrow" w:eastAsia="Calibri" w:hAnsi="Arial Narrow"/>
                <w:sz w:val="20"/>
                <w:szCs w:val="20"/>
              </w:rPr>
              <w:fldChar w:fldCharType="begin" w:fldLock="1">
                <w:ffData>
                  <w:name w:val=""/>
                  <w:enabled/>
                  <w:calcOnExit w:val="0"/>
                  <w:checkBox>
                    <w:sizeAuto/>
                    <w:default w:val="1"/>
                  </w:checkBox>
                </w:ffData>
              </w:fldChar>
            </w:r>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r>
              <w:rPr>
                <w:rFonts w:ascii="Arial Narrow" w:eastAsia="Calibri" w:hAnsi="Arial Narrow"/>
                <w:sz w:val="20"/>
                <w:szCs w:val="20"/>
              </w:rPr>
              <w:t xml:space="preserve"> Complex Authority Required (CAR)</w:t>
            </w:r>
          </w:p>
        </w:tc>
      </w:tr>
      <w:tr w:rsidR="00C65571" w:rsidRPr="00FE20A5" w14:paraId="14F06128" w14:textId="77777777" w:rsidTr="00744B8B">
        <w:tblPrEx>
          <w:tblCellMar>
            <w:top w:w="11" w:type="dxa"/>
            <w:bottom w:w="11" w:type="dxa"/>
          </w:tblCellMar>
        </w:tblPrEx>
        <w:trPr>
          <w:trHeight w:val="23"/>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381BC7" w14:textId="1C032793" w:rsidR="00C65571" w:rsidRPr="00744B8B" w:rsidRDefault="00C65571">
            <w:pPr>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8E9B80" w14:textId="77777777" w:rsidR="00C65571" w:rsidRPr="00744B8B" w:rsidRDefault="00C65571">
            <w:pPr>
              <w:rPr>
                <w:rFonts w:ascii="Arial Narrow" w:hAnsi="Arial Narrow"/>
                <w:b/>
                <w:bCs/>
                <w:sz w:val="20"/>
                <w:szCs w:val="20"/>
              </w:rPr>
            </w:pPr>
            <w:r w:rsidRPr="00744B8B">
              <w:rPr>
                <w:rFonts w:ascii="Arial Narrow" w:hAnsi="Arial Narrow"/>
                <w:b/>
                <w:bCs/>
                <w:sz w:val="20"/>
                <w:szCs w:val="20"/>
              </w:rPr>
              <w:t xml:space="preserve">Indication: </w:t>
            </w:r>
            <w:r w:rsidRPr="00744B8B">
              <w:rPr>
                <w:rFonts w:ascii="Arial Narrow" w:hAnsi="Arial Narrow"/>
                <w:sz w:val="20"/>
                <w:szCs w:val="20"/>
              </w:rPr>
              <w:t>Cystic fibrosis</w:t>
            </w:r>
          </w:p>
        </w:tc>
      </w:tr>
      <w:tr w:rsidR="00C65571" w:rsidRPr="00FE20A5" w14:paraId="43DCF2DD" w14:textId="77777777" w:rsidTr="00744B8B">
        <w:tblPrEx>
          <w:tblCellMar>
            <w:top w:w="11" w:type="dxa"/>
            <w:bottom w:w="11" w:type="dxa"/>
          </w:tblCellMar>
        </w:tblPrEx>
        <w:trPr>
          <w:trHeight w:val="23"/>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CC0555" w14:textId="77777777" w:rsidR="00C65571" w:rsidRPr="00CC0A7A" w:rsidRDefault="00C65571">
            <w:pPr>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F58ADD" w14:textId="77777777" w:rsidR="00C65571" w:rsidRPr="00167721" w:rsidRDefault="00C65571" w:rsidP="7F77D409">
            <w:pPr>
              <w:rPr>
                <w:rFonts w:ascii="Arial Narrow" w:hAnsi="Arial Narrow"/>
                <w:i/>
                <w:iCs/>
                <w:sz w:val="20"/>
                <w:szCs w:val="20"/>
              </w:rPr>
            </w:pPr>
            <w:r w:rsidRPr="7F77D409">
              <w:rPr>
                <w:rFonts w:ascii="Arial Narrow" w:hAnsi="Arial Narrow"/>
                <w:b/>
                <w:bCs/>
                <w:sz w:val="20"/>
                <w:szCs w:val="20"/>
              </w:rPr>
              <w:t>Treatment Phase:</w:t>
            </w:r>
            <w:r w:rsidRPr="7F77D409">
              <w:rPr>
                <w:rFonts w:ascii="Arial Narrow" w:hAnsi="Arial Narrow"/>
                <w:sz w:val="20"/>
                <w:szCs w:val="20"/>
              </w:rPr>
              <w:t xml:space="preserve"> Initial treatment </w:t>
            </w:r>
            <w:r w:rsidRPr="7F77D409">
              <w:rPr>
                <w:rFonts w:ascii="Arial Narrow" w:hAnsi="Arial Narrow"/>
                <w:strike/>
                <w:sz w:val="20"/>
                <w:szCs w:val="20"/>
              </w:rPr>
              <w:t>/Continuing treatment</w:t>
            </w:r>
            <w:r w:rsidRPr="7F77D409">
              <w:rPr>
                <w:rFonts w:ascii="Arial Narrow" w:hAnsi="Arial Narrow"/>
                <w:sz w:val="20"/>
                <w:szCs w:val="20"/>
              </w:rPr>
              <w:t xml:space="preserve"> </w:t>
            </w:r>
            <w:r w:rsidRPr="7F77D409">
              <w:rPr>
                <w:rFonts w:ascii="Arial Narrow" w:hAnsi="Arial Narrow"/>
                <w:i/>
                <w:iCs/>
                <w:sz w:val="20"/>
                <w:szCs w:val="20"/>
              </w:rPr>
              <w:t>- New patient (non-gating mutations)</w:t>
            </w:r>
          </w:p>
        </w:tc>
      </w:tr>
      <w:tr w:rsidR="00C65571" w:rsidRPr="00FE20A5" w14:paraId="31860C46" w14:textId="77777777" w:rsidTr="00744B8B">
        <w:tblPrEx>
          <w:tblCellMar>
            <w:top w:w="11" w:type="dxa"/>
            <w:bottom w:w="11" w:type="dxa"/>
          </w:tblCellMar>
        </w:tblPrEx>
        <w:trPr>
          <w:trHeight w:val="23"/>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5DD312" w14:textId="4012038D" w:rsidR="00C65571" w:rsidRPr="00CC0A7A" w:rsidRDefault="00C65571">
            <w:pPr>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77084B" w14:textId="77777777" w:rsidR="00C65571" w:rsidRPr="00F57B69" w:rsidRDefault="00C65571">
            <w:pPr>
              <w:rPr>
                <w:rFonts w:ascii="Arial Narrow" w:hAnsi="Arial Narrow"/>
                <w:b/>
                <w:bCs/>
                <w:sz w:val="20"/>
                <w:szCs w:val="20"/>
              </w:rPr>
            </w:pPr>
            <w:r w:rsidRPr="00F57B69">
              <w:rPr>
                <w:rFonts w:ascii="Arial Narrow" w:hAnsi="Arial Narrow"/>
                <w:b/>
                <w:bCs/>
                <w:sz w:val="20"/>
                <w:szCs w:val="20"/>
              </w:rPr>
              <w:t>Clinical criteria:</w:t>
            </w:r>
          </w:p>
        </w:tc>
      </w:tr>
      <w:tr w:rsidR="00C65571" w:rsidRPr="00FE20A5" w14:paraId="08AD8ACC" w14:textId="77777777" w:rsidTr="00744B8B">
        <w:tblPrEx>
          <w:tblCellMar>
            <w:top w:w="11" w:type="dxa"/>
            <w:bottom w:w="11" w:type="dxa"/>
          </w:tblCellMar>
        </w:tblPrEx>
        <w:trPr>
          <w:trHeight w:val="23"/>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91A9E6" w14:textId="0E1F0733" w:rsidR="00C65571" w:rsidRPr="00CC0A7A" w:rsidRDefault="00C65571">
            <w:pPr>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2FDFE8" w14:textId="77777777" w:rsidR="00C65571" w:rsidRPr="00CC0A7A" w:rsidRDefault="00C65571" w:rsidP="7F77D409">
            <w:pPr>
              <w:rPr>
                <w:rFonts w:ascii="Arial Narrow" w:hAnsi="Arial Narrow"/>
                <w:sz w:val="20"/>
                <w:szCs w:val="20"/>
              </w:rPr>
            </w:pPr>
            <w:r w:rsidRPr="7F77D409">
              <w:rPr>
                <w:rFonts w:ascii="Arial Narrow" w:hAnsi="Arial Narrow"/>
                <w:sz w:val="20"/>
                <w:szCs w:val="20"/>
              </w:rPr>
              <w:t>Patient must be assessed through a cystic fibrosis clinic/centre which is under the control of specialist respiratory physicians with experience and expertise in the management of cystic fibrosis. If attendance at such a unit is not possible because of geographical isolation, management (including prescribing) may be in consultation with such a unit</w:t>
            </w:r>
          </w:p>
        </w:tc>
      </w:tr>
      <w:tr w:rsidR="00C65571" w:rsidRPr="00FE20A5" w14:paraId="11293CC9" w14:textId="77777777" w:rsidTr="00744B8B">
        <w:tblPrEx>
          <w:tblCellMar>
            <w:top w:w="11" w:type="dxa"/>
            <w:bottom w:w="11" w:type="dxa"/>
          </w:tblCellMar>
        </w:tblPrEx>
        <w:trPr>
          <w:trHeight w:val="23"/>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B25A7A" w14:textId="77777777" w:rsidR="00C65571" w:rsidRPr="00CC0A7A" w:rsidRDefault="00C65571">
            <w:pP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45ADCC" w14:textId="77777777" w:rsidR="00C65571" w:rsidRPr="00EF230C" w:rsidRDefault="00C65571">
            <w:pPr>
              <w:rPr>
                <w:rFonts w:ascii="Arial Narrow" w:hAnsi="Arial Narrow"/>
                <w:b/>
                <w:bCs/>
                <w:sz w:val="20"/>
                <w:szCs w:val="20"/>
              </w:rPr>
            </w:pPr>
            <w:r w:rsidRPr="00EF230C">
              <w:rPr>
                <w:rFonts w:ascii="Arial Narrow" w:hAnsi="Arial Narrow"/>
                <w:b/>
                <w:bCs/>
                <w:sz w:val="20"/>
                <w:szCs w:val="20"/>
              </w:rPr>
              <w:t>AND</w:t>
            </w:r>
          </w:p>
        </w:tc>
      </w:tr>
      <w:tr w:rsidR="00C65571" w:rsidRPr="00FE20A5" w14:paraId="3AA4463F" w14:textId="77777777" w:rsidTr="00744B8B">
        <w:tblPrEx>
          <w:tblCellMar>
            <w:top w:w="11" w:type="dxa"/>
            <w:bottom w:w="11" w:type="dxa"/>
          </w:tblCellMar>
        </w:tblPrEx>
        <w:trPr>
          <w:trHeight w:val="23"/>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0D9E0B" w14:textId="5763F43C" w:rsidR="00C65571" w:rsidRPr="00CC0A7A" w:rsidRDefault="00C65571">
            <w:pPr>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750097" w14:textId="77777777" w:rsidR="00C65571" w:rsidRPr="00EF230C" w:rsidRDefault="00C65571">
            <w:pPr>
              <w:rPr>
                <w:rFonts w:ascii="Arial Narrow" w:hAnsi="Arial Narrow"/>
                <w:b/>
                <w:bCs/>
                <w:sz w:val="20"/>
                <w:szCs w:val="20"/>
              </w:rPr>
            </w:pPr>
            <w:r w:rsidRPr="00F57B69">
              <w:rPr>
                <w:rFonts w:ascii="Arial Narrow" w:hAnsi="Arial Narrow"/>
                <w:b/>
                <w:bCs/>
                <w:sz w:val="20"/>
                <w:szCs w:val="20"/>
              </w:rPr>
              <w:t>Clinical criteria:</w:t>
            </w:r>
          </w:p>
        </w:tc>
      </w:tr>
      <w:tr w:rsidR="00C65571" w:rsidRPr="00FE20A5" w14:paraId="6F496323" w14:textId="77777777" w:rsidTr="00744B8B">
        <w:tblPrEx>
          <w:tblCellMar>
            <w:top w:w="11" w:type="dxa"/>
            <w:bottom w:w="11" w:type="dxa"/>
          </w:tblCellMar>
        </w:tblPrEx>
        <w:trPr>
          <w:trHeight w:val="23"/>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27AADD" w14:textId="309D914B" w:rsidR="00C65571" w:rsidRPr="00CC0A7A" w:rsidRDefault="00C65571">
            <w:pPr>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D2C12B" w14:textId="77777777" w:rsidR="00C65571" w:rsidRPr="00BB06AA" w:rsidRDefault="00C65571">
            <w:pPr>
              <w:rPr>
                <w:rFonts w:ascii="Arial Narrow" w:hAnsi="Arial Narrow"/>
                <w:sz w:val="20"/>
                <w:szCs w:val="20"/>
              </w:rPr>
            </w:pPr>
            <w:r w:rsidRPr="00BB06AA">
              <w:rPr>
                <w:rFonts w:ascii="Arial Narrow" w:hAnsi="Arial Narrow"/>
                <w:sz w:val="20"/>
                <w:szCs w:val="20"/>
              </w:rPr>
              <w:t>Patient must have at least one mutation in the CFTR gene that is responsive to ivacaftor potentiation based on clinical and/or in vitro assay data</w:t>
            </w:r>
          </w:p>
        </w:tc>
      </w:tr>
      <w:tr w:rsidR="00C65571" w:rsidRPr="00FE20A5" w14:paraId="13531775" w14:textId="77777777" w:rsidTr="00744B8B">
        <w:tblPrEx>
          <w:tblCellMar>
            <w:top w:w="11" w:type="dxa"/>
            <w:bottom w:w="11" w:type="dxa"/>
          </w:tblCellMar>
        </w:tblPrEx>
        <w:trPr>
          <w:trHeight w:val="23"/>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6D31B8" w14:textId="77777777" w:rsidR="00C65571" w:rsidRPr="00CC0A7A" w:rsidRDefault="00C65571">
            <w:pPr>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19515D" w14:textId="77777777" w:rsidR="00C65571" w:rsidRPr="00EF230C" w:rsidRDefault="00C65571">
            <w:pPr>
              <w:rPr>
                <w:rFonts w:ascii="Arial Narrow" w:hAnsi="Arial Narrow"/>
                <w:b/>
                <w:bCs/>
                <w:sz w:val="20"/>
                <w:szCs w:val="20"/>
              </w:rPr>
            </w:pPr>
            <w:r w:rsidRPr="00EF230C">
              <w:rPr>
                <w:rFonts w:ascii="Arial Narrow" w:hAnsi="Arial Narrow"/>
                <w:b/>
                <w:bCs/>
                <w:sz w:val="20"/>
                <w:szCs w:val="20"/>
              </w:rPr>
              <w:t>AND</w:t>
            </w:r>
          </w:p>
        </w:tc>
      </w:tr>
      <w:tr w:rsidR="00C65571" w:rsidRPr="00FE20A5" w14:paraId="6357F873" w14:textId="77777777" w:rsidTr="00744B8B">
        <w:tblPrEx>
          <w:tblCellMar>
            <w:top w:w="11" w:type="dxa"/>
            <w:bottom w:w="11" w:type="dxa"/>
          </w:tblCellMar>
        </w:tblPrEx>
        <w:trPr>
          <w:trHeight w:val="23"/>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B79F98" w14:textId="27DBA883" w:rsidR="00C65571" w:rsidRPr="00CC0A7A" w:rsidRDefault="00C65571">
            <w:pPr>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727DFC" w14:textId="77777777" w:rsidR="00C65571" w:rsidRPr="00EF230C" w:rsidRDefault="00C65571">
            <w:pPr>
              <w:rPr>
                <w:rFonts w:ascii="Arial Narrow" w:hAnsi="Arial Narrow"/>
                <w:b/>
                <w:bCs/>
                <w:sz w:val="20"/>
                <w:szCs w:val="20"/>
              </w:rPr>
            </w:pPr>
            <w:r w:rsidRPr="00F57B69">
              <w:rPr>
                <w:rFonts w:ascii="Arial Narrow" w:hAnsi="Arial Narrow"/>
                <w:b/>
                <w:bCs/>
                <w:sz w:val="20"/>
                <w:szCs w:val="20"/>
              </w:rPr>
              <w:t>Clinical criteria:</w:t>
            </w:r>
          </w:p>
        </w:tc>
      </w:tr>
      <w:tr w:rsidR="00C65571" w:rsidRPr="00FE20A5" w14:paraId="0E096DD3" w14:textId="77777777" w:rsidTr="00744B8B">
        <w:tblPrEx>
          <w:tblCellMar>
            <w:top w:w="11" w:type="dxa"/>
            <w:bottom w:w="11" w:type="dxa"/>
          </w:tblCellMar>
        </w:tblPrEx>
        <w:trPr>
          <w:trHeight w:val="23"/>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E32DB1" w14:textId="30DC8142" w:rsidR="00C65571" w:rsidRPr="00CC0A7A" w:rsidRDefault="00C65571">
            <w:pPr>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5CB7F0" w14:textId="77777777" w:rsidR="00C65571" w:rsidRPr="000603C5" w:rsidRDefault="00C65571" w:rsidP="7F77D409">
            <w:pPr>
              <w:rPr>
                <w:rFonts w:ascii="Arial Narrow" w:hAnsi="Arial Narrow"/>
                <w:sz w:val="20"/>
                <w:szCs w:val="20"/>
              </w:rPr>
            </w:pPr>
            <w:r w:rsidRPr="7F77D409">
              <w:rPr>
                <w:rFonts w:ascii="Arial Narrow" w:hAnsi="Arial Narrow"/>
                <w:sz w:val="20"/>
                <w:szCs w:val="20"/>
              </w:rPr>
              <w:t>Patient must not have either: (</w:t>
            </w:r>
            <w:proofErr w:type="spellStart"/>
            <w:r w:rsidRPr="7F77D409">
              <w:rPr>
                <w:rFonts w:ascii="Arial Narrow" w:hAnsi="Arial Narrow"/>
                <w:sz w:val="20"/>
                <w:szCs w:val="20"/>
              </w:rPr>
              <w:t>i</w:t>
            </w:r>
            <w:proofErr w:type="spellEnd"/>
            <w:r w:rsidRPr="7F77D409">
              <w:rPr>
                <w:rFonts w:ascii="Arial Narrow" w:hAnsi="Arial Narrow"/>
                <w:sz w:val="20"/>
                <w:szCs w:val="20"/>
              </w:rPr>
              <w:t>) G551D mutation in the cystic fibrosis transmembrane conductance regulator (CFTR) gene; (ii) other gating (class III) mutation in the CFTR gene</w:t>
            </w:r>
          </w:p>
        </w:tc>
      </w:tr>
      <w:tr w:rsidR="00C65571" w:rsidRPr="00FE20A5" w14:paraId="609F3AC7" w14:textId="77777777" w:rsidTr="00744B8B">
        <w:tblPrEx>
          <w:tblCellMar>
            <w:top w:w="11" w:type="dxa"/>
            <w:bottom w:w="11" w:type="dxa"/>
          </w:tblCellMar>
        </w:tblPrEx>
        <w:trPr>
          <w:trHeight w:val="23"/>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AE64C7" w14:textId="77777777" w:rsidR="00C65571" w:rsidRPr="00CC0A7A" w:rsidRDefault="00C65571">
            <w:pPr>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5CE3E3" w14:textId="77777777" w:rsidR="00C65571" w:rsidRPr="003D774A" w:rsidRDefault="00C65571">
            <w:pPr>
              <w:rPr>
                <w:rFonts w:ascii="Arial Narrow" w:hAnsi="Arial Narrow"/>
                <w:b/>
                <w:bCs/>
                <w:sz w:val="20"/>
                <w:szCs w:val="20"/>
              </w:rPr>
            </w:pPr>
            <w:r w:rsidRPr="003D774A">
              <w:rPr>
                <w:rFonts w:ascii="Arial Narrow" w:hAnsi="Arial Narrow"/>
                <w:b/>
                <w:bCs/>
                <w:sz w:val="20"/>
                <w:szCs w:val="20"/>
              </w:rPr>
              <w:t>AND</w:t>
            </w:r>
          </w:p>
        </w:tc>
      </w:tr>
      <w:tr w:rsidR="00C65571" w:rsidRPr="00FE20A5" w14:paraId="1BB1EE59" w14:textId="77777777" w:rsidTr="00744B8B">
        <w:tblPrEx>
          <w:tblCellMar>
            <w:top w:w="11" w:type="dxa"/>
            <w:bottom w:w="11" w:type="dxa"/>
          </w:tblCellMar>
        </w:tblPrEx>
        <w:trPr>
          <w:trHeight w:val="23"/>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9ED0CA" w14:textId="16578863" w:rsidR="00C65571" w:rsidRPr="00CC0A7A" w:rsidRDefault="00C65571">
            <w:pPr>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BCAFD3" w14:textId="77777777" w:rsidR="00C65571" w:rsidRPr="003D774A" w:rsidRDefault="00C65571">
            <w:pPr>
              <w:rPr>
                <w:rFonts w:ascii="Arial Narrow" w:hAnsi="Arial Narrow"/>
                <w:b/>
                <w:bCs/>
                <w:sz w:val="20"/>
                <w:szCs w:val="20"/>
              </w:rPr>
            </w:pPr>
            <w:r w:rsidRPr="003D774A">
              <w:rPr>
                <w:rFonts w:ascii="Arial Narrow" w:hAnsi="Arial Narrow"/>
                <w:b/>
                <w:bCs/>
                <w:sz w:val="20"/>
                <w:szCs w:val="20"/>
              </w:rPr>
              <w:t>Clinical criteria:</w:t>
            </w:r>
          </w:p>
        </w:tc>
      </w:tr>
      <w:tr w:rsidR="00C65571" w:rsidRPr="00FE20A5" w14:paraId="5AF87E7B" w14:textId="77777777" w:rsidTr="00744B8B">
        <w:tblPrEx>
          <w:tblCellMar>
            <w:top w:w="11" w:type="dxa"/>
            <w:bottom w:w="11" w:type="dxa"/>
          </w:tblCellMar>
        </w:tblPrEx>
        <w:trPr>
          <w:trHeight w:val="23"/>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1184C2" w14:textId="3717F56A" w:rsidR="00C65571" w:rsidRPr="0088660E" w:rsidRDefault="00C65571">
            <w:pPr>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1EC856" w14:textId="77777777" w:rsidR="00C65571" w:rsidRPr="0088660E" w:rsidRDefault="00C65571">
            <w:pPr>
              <w:rPr>
                <w:rFonts w:ascii="Arial Narrow" w:hAnsi="Arial Narrow"/>
                <w:sz w:val="20"/>
                <w:szCs w:val="20"/>
              </w:rPr>
            </w:pPr>
            <w:r w:rsidRPr="0088660E">
              <w:rPr>
                <w:rFonts w:ascii="Arial Narrow" w:hAnsi="Arial Narrow"/>
                <w:sz w:val="20"/>
                <w:szCs w:val="20"/>
              </w:rPr>
              <w:t>The treatment must be given concomitantly with standard therapy for this condition.</w:t>
            </w:r>
          </w:p>
        </w:tc>
      </w:tr>
      <w:tr w:rsidR="00C65571" w:rsidRPr="00FE20A5" w14:paraId="32E9A588" w14:textId="77777777" w:rsidTr="00744B8B">
        <w:tblPrEx>
          <w:tblCellMar>
            <w:top w:w="11" w:type="dxa"/>
            <w:bottom w:w="11" w:type="dxa"/>
          </w:tblCellMar>
        </w:tblPrEx>
        <w:trPr>
          <w:trHeight w:val="191"/>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191C9D" w14:textId="77777777" w:rsidR="00C65571" w:rsidRPr="00CC0A7A" w:rsidRDefault="00C65571">
            <w:pPr>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6B640B" w14:textId="77777777" w:rsidR="00C65571" w:rsidRPr="005721E4" w:rsidRDefault="00C65571">
            <w:pPr>
              <w:rPr>
                <w:rFonts w:ascii="Arial Narrow" w:hAnsi="Arial Narrow"/>
                <w:b/>
                <w:bCs/>
                <w:sz w:val="20"/>
                <w:szCs w:val="20"/>
              </w:rPr>
            </w:pPr>
            <w:r w:rsidRPr="005721E4">
              <w:rPr>
                <w:rFonts w:ascii="Arial Narrow" w:hAnsi="Arial Narrow"/>
                <w:b/>
                <w:bCs/>
                <w:sz w:val="20"/>
                <w:szCs w:val="20"/>
              </w:rPr>
              <w:t>Population criteria:</w:t>
            </w:r>
          </w:p>
        </w:tc>
      </w:tr>
      <w:tr w:rsidR="00C65571" w:rsidRPr="00FE20A5" w14:paraId="2F1F2DA8" w14:textId="77777777" w:rsidTr="00744B8B">
        <w:tblPrEx>
          <w:tblCellMar>
            <w:top w:w="11" w:type="dxa"/>
            <w:bottom w:w="11" w:type="dxa"/>
          </w:tblCellMar>
        </w:tblPrEx>
        <w:trPr>
          <w:trHeight w:val="23"/>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801A57" w14:textId="2D2EA6DF" w:rsidR="00C65571" w:rsidRPr="00CC0A7A" w:rsidRDefault="00C65571">
            <w:pPr>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7F48F7" w14:textId="77777777" w:rsidR="00C65571" w:rsidRPr="00CC0A7A" w:rsidRDefault="00C65571">
            <w:pPr>
              <w:rPr>
                <w:rFonts w:ascii="Arial Narrow" w:hAnsi="Arial Narrow"/>
                <w:sz w:val="20"/>
                <w:szCs w:val="20"/>
              </w:rPr>
            </w:pPr>
            <w:r w:rsidRPr="2509C368">
              <w:rPr>
                <w:rFonts w:ascii="Arial Narrow" w:hAnsi="Arial Narrow"/>
                <w:sz w:val="20"/>
                <w:szCs w:val="20"/>
              </w:rPr>
              <w:t>Patient must be aged 1 month or older</w:t>
            </w:r>
          </w:p>
        </w:tc>
      </w:tr>
      <w:tr w:rsidR="00C65571" w:rsidRPr="00FE20A5" w14:paraId="1FE04FB7" w14:textId="77777777" w:rsidTr="00744B8B">
        <w:tblPrEx>
          <w:tblCellMar>
            <w:top w:w="11" w:type="dxa"/>
            <w:bottom w:w="11" w:type="dxa"/>
          </w:tblCellMar>
        </w:tblPrEx>
        <w:trPr>
          <w:trHeight w:val="23"/>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275EAC" w14:textId="71C477CD" w:rsidR="00C65571" w:rsidRPr="00CC0A7A" w:rsidRDefault="00C65571">
            <w:pPr>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67C1C1" w14:textId="77777777" w:rsidR="00C65571" w:rsidRPr="00663FF2" w:rsidRDefault="00C65571">
            <w:pPr>
              <w:rPr>
                <w:rFonts w:ascii="Arial Narrow" w:hAnsi="Arial Narrow"/>
                <w:b/>
                <w:bCs/>
                <w:sz w:val="20"/>
                <w:szCs w:val="20"/>
              </w:rPr>
            </w:pPr>
            <w:r>
              <w:rPr>
                <w:rFonts w:ascii="Arial Narrow" w:hAnsi="Arial Narrow"/>
                <w:b/>
                <w:bCs/>
                <w:sz w:val="20"/>
                <w:szCs w:val="20"/>
              </w:rPr>
              <w:t>Prescribing Instructions:</w:t>
            </w:r>
          </w:p>
          <w:p w14:paraId="2E80D7B7" w14:textId="77777777" w:rsidR="00C65571" w:rsidRPr="00CC0A7A" w:rsidRDefault="00C65571">
            <w:pPr>
              <w:rPr>
                <w:rFonts w:ascii="Arial Narrow" w:hAnsi="Arial Narrow"/>
                <w:sz w:val="20"/>
                <w:szCs w:val="20"/>
              </w:rPr>
            </w:pPr>
            <w:r w:rsidRPr="00663FF2">
              <w:rPr>
                <w:rFonts w:ascii="Arial Narrow" w:hAnsi="Arial Narrow"/>
                <w:sz w:val="20"/>
                <w:szCs w:val="20"/>
              </w:rPr>
              <w:t>For the purposes of this restriction, the list of mutations considered to be responsive to ivacaftor is defined in the TGA approved Product Information</w:t>
            </w:r>
          </w:p>
        </w:tc>
      </w:tr>
      <w:tr w:rsidR="00C65571" w:rsidRPr="00FE20A5" w14:paraId="0C1D4C89" w14:textId="77777777" w:rsidTr="00744B8B">
        <w:tblPrEx>
          <w:tblCellMar>
            <w:top w:w="11" w:type="dxa"/>
            <w:bottom w:w="11" w:type="dxa"/>
          </w:tblCellMar>
        </w:tblPrEx>
        <w:trPr>
          <w:trHeight w:val="23"/>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5ED6D9" w14:textId="1934D58E" w:rsidR="00C65571" w:rsidRPr="00CC0A7A" w:rsidRDefault="00C65571">
            <w:pPr>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654BF4" w14:textId="77777777" w:rsidR="00C65571" w:rsidRPr="000D6CFA" w:rsidRDefault="00C65571">
            <w:pPr>
              <w:rPr>
                <w:rFonts w:ascii="Arial Narrow" w:hAnsi="Arial Narrow"/>
                <w:b/>
                <w:bCs/>
                <w:sz w:val="20"/>
                <w:szCs w:val="20"/>
              </w:rPr>
            </w:pPr>
            <w:r>
              <w:rPr>
                <w:rFonts w:ascii="Arial Narrow" w:hAnsi="Arial Narrow"/>
                <w:b/>
                <w:bCs/>
                <w:sz w:val="20"/>
                <w:szCs w:val="20"/>
              </w:rPr>
              <w:t>Prescribing Instructions:</w:t>
            </w:r>
          </w:p>
          <w:p w14:paraId="491F92B4" w14:textId="77777777" w:rsidR="00C65571" w:rsidRDefault="00C65571">
            <w:pPr>
              <w:rPr>
                <w:rFonts w:ascii="Arial Narrow" w:hAnsi="Arial Narrow"/>
                <w:sz w:val="20"/>
                <w:szCs w:val="20"/>
              </w:rPr>
            </w:pPr>
            <w:r w:rsidRPr="00CC0A7A">
              <w:rPr>
                <w:rFonts w:ascii="Arial Narrow" w:hAnsi="Arial Narrow"/>
                <w:sz w:val="20"/>
                <w:szCs w:val="20"/>
              </w:rPr>
              <w:t>Dosage of ivacaftor must not exceed the dose of one tablet (150 mg) or one sachet twice a week, if the patient is concomitantly receiving one of the following strong CYP3A4 drugs inhibitors: boceprevir, clarithromycin, conivaptan, indinavir, itraconazole, ketoconazole, lopinavir/ritonavir, mibefradil, nefazodone, nelfinavir, posaconazole, ritonavir, saquinavir, telaprevir, telithromycin, voriconazole. Where a patient is concomitantly receiving a strong CYP3A4 inhibitor, a single supply of 56 tablets or sachets of ivacaftor will last for 28 weeks.</w:t>
            </w:r>
          </w:p>
          <w:p w14:paraId="5B4BCCAC" w14:textId="77777777" w:rsidR="00C65571" w:rsidRDefault="00C65571">
            <w:pPr>
              <w:rPr>
                <w:rFonts w:ascii="Arial Narrow" w:hAnsi="Arial Narrow"/>
                <w:sz w:val="20"/>
                <w:szCs w:val="20"/>
              </w:rPr>
            </w:pPr>
          </w:p>
          <w:p w14:paraId="05F7BD14" w14:textId="77777777" w:rsidR="00C65571" w:rsidRPr="00CC0A7A" w:rsidRDefault="00C65571" w:rsidP="7F77D409">
            <w:pPr>
              <w:rPr>
                <w:rFonts w:ascii="Arial Narrow" w:hAnsi="Arial Narrow"/>
                <w:sz w:val="20"/>
                <w:szCs w:val="20"/>
              </w:rPr>
            </w:pPr>
            <w:r w:rsidRPr="7F77D409">
              <w:rPr>
                <w:rFonts w:ascii="Arial Narrow" w:hAnsi="Arial Narrow"/>
                <w:sz w:val="20"/>
                <w:szCs w:val="20"/>
              </w:rPr>
              <w:t xml:space="preserve">Dosage of ivacaftor must not exceed the dose of one tablet (150 mg) or one sachet once daily, if the patient is concomitantly receiving one of the following moderate CYP3A4 inhibitors: amprenavir, aprepitant, atazanavir, darunavir/ritonavir, diltiazem, erythromycin, fluconazole, </w:t>
            </w:r>
            <w:proofErr w:type="spellStart"/>
            <w:r w:rsidRPr="7F77D409">
              <w:rPr>
                <w:rFonts w:ascii="Arial Narrow" w:hAnsi="Arial Narrow"/>
                <w:sz w:val="20"/>
                <w:szCs w:val="20"/>
              </w:rPr>
              <w:t>fosamprenavir</w:t>
            </w:r>
            <w:proofErr w:type="spellEnd"/>
            <w:r w:rsidRPr="7F77D409">
              <w:rPr>
                <w:rFonts w:ascii="Arial Narrow" w:hAnsi="Arial Narrow"/>
                <w:sz w:val="20"/>
                <w:szCs w:val="20"/>
              </w:rPr>
              <w:t>, imatinib, verapamil. Where a patient is concomitantly receiving a moderate CYP3A4 inhibitor, a single supply of 56 tablets or sachets of ivacaftor will last for 8 weeks.</w:t>
            </w:r>
          </w:p>
        </w:tc>
      </w:tr>
      <w:tr w:rsidR="00C65571" w:rsidRPr="00FE20A5" w14:paraId="674D8DF5" w14:textId="77777777" w:rsidTr="00744B8B">
        <w:tblPrEx>
          <w:tblCellMar>
            <w:top w:w="11" w:type="dxa"/>
            <w:bottom w:w="11" w:type="dxa"/>
          </w:tblCellMar>
        </w:tblPrEx>
        <w:trPr>
          <w:trHeight w:val="23"/>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0DD3F2" w14:textId="1AF17996" w:rsidR="00C65571" w:rsidRPr="00CC0A7A" w:rsidRDefault="00C65571">
            <w:pPr>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88E340" w14:textId="77777777" w:rsidR="00C65571" w:rsidRPr="000D6CFA" w:rsidRDefault="00C65571">
            <w:pPr>
              <w:rPr>
                <w:rFonts w:ascii="Arial Narrow" w:hAnsi="Arial Narrow"/>
                <w:b/>
                <w:bCs/>
                <w:sz w:val="20"/>
                <w:szCs w:val="20"/>
              </w:rPr>
            </w:pPr>
            <w:r>
              <w:rPr>
                <w:rFonts w:ascii="Arial Narrow" w:hAnsi="Arial Narrow"/>
                <w:b/>
                <w:bCs/>
                <w:sz w:val="20"/>
                <w:szCs w:val="20"/>
              </w:rPr>
              <w:t>Prescribing Instructions:</w:t>
            </w:r>
          </w:p>
          <w:p w14:paraId="6A82DD26" w14:textId="77777777" w:rsidR="00C65571" w:rsidRPr="00CC0A7A" w:rsidRDefault="00C65571">
            <w:pPr>
              <w:rPr>
                <w:rFonts w:ascii="Arial Narrow" w:hAnsi="Arial Narrow"/>
                <w:sz w:val="20"/>
                <w:szCs w:val="20"/>
              </w:rPr>
            </w:pPr>
            <w:r w:rsidRPr="00CC0A7A">
              <w:rPr>
                <w:rFonts w:ascii="Arial Narrow" w:hAnsi="Arial Narrow"/>
                <w:sz w:val="20"/>
                <w:szCs w:val="20"/>
              </w:rPr>
              <w:t>Ivacaftor is not PBS-subsidised for this condition as a sole therapy.</w:t>
            </w:r>
          </w:p>
          <w:p w14:paraId="396ADEE9" w14:textId="77777777" w:rsidR="00C65571" w:rsidRPr="00CC0A7A" w:rsidRDefault="00C65571">
            <w:pPr>
              <w:rPr>
                <w:rFonts w:ascii="Arial Narrow" w:hAnsi="Arial Narrow"/>
                <w:sz w:val="20"/>
                <w:szCs w:val="20"/>
              </w:rPr>
            </w:pPr>
            <w:r w:rsidRPr="00CC0A7A">
              <w:rPr>
                <w:rFonts w:ascii="Arial Narrow" w:hAnsi="Arial Narrow"/>
                <w:sz w:val="20"/>
                <w:szCs w:val="20"/>
              </w:rPr>
              <w:t>Ivacaftor is not PBS-subsidised for this condition in a patient who is currently receiving one of the following CYP3A4 inducers:</w:t>
            </w:r>
          </w:p>
          <w:p w14:paraId="53F65DE5" w14:textId="77777777" w:rsidR="00C65571" w:rsidRPr="00CC0A7A" w:rsidRDefault="00C65571" w:rsidP="7F77D409">
            <w:pPr>
              <w:rPr>
                <w:rFonts w:ascii="Arial Narrow" w:hAnsi="Arial Narrow"/>
                <w:sz w:val="20"/>
                <w:szCs w:val="20"/>
              </w:rPr>
            </w:pPr>
            <w:r w:rsidRPr="7F77D409">
              <w:rPr>
                <w:rFonts w:ascii="Arial Narrow" w:hAnsi="Arial Narrow"/>
                <w:sz w:val="20"/>
                <w:szCs w:val="20"/>
              </w:rPr>
              <w:t xml:space="preserve">Strong CYP3A4 inducers: </w:t>
            </w:r>
            <w:proofErr w:type="spellStart"/>
            <w:r w:rsidRPr="7F77D409">
              <w:rPr>
                <w:rFonts w:ascii="Arial Narrow" w:hAnsi="Arial Narrow"/>
                <w:sz w:val="20"/>
                <w:szCs w:val="20"/>
              </w:rPr>
              <w:t>avasimibe</w:t>
            </w:r>
            <w:proofErr w:type="spellEnd"/>
            <w:r w:rsidRPr="7F77D409">
              <w:rPr>
                <w:rFonts w:ascii="Arial Narrow" w:hAnsi="Arial Narrow"/>
                <w:sz w:val="20"/>
                <w:szCs w:val="20"/>
              </w:rPr>
              <w:t>, carbamazepine, phenobarbital, phenytoin, rifabutin, rifampicin, St. John's wort</w:t>
            </w:r>
          </w:p>
          <w:p w14:paraId="2D7CFE72" w14:textId="77777777" w:rsidR="00C65571" w:rsidRPr="00CC0A7A" w:rsidRDefault="00C65571" w:rsidP="7F77D409">
            <w:pPr>
              <w:rPr>
                <w:rFonts w:ascii="Arial Narrow" w:hAnsi="Arial Narrow"/>
                <w:sz w:val="20"/>
                <w:szCs w:val="20"/>
              </w:rPr>
            </w:pPr>
            <w:r w:rsidRPr="7F77D409">
              <w:rPr>
                <w:rFonts w:ascii="Arial Narrow" w:hAnsi="Arial Narrow"/>
                <w:sz w:val="20"/>
                <w:szCs w:val="20"/>
              </w:rPr>
              <w:t xml:space="preserve">Moderate CYP3A4 inducers: </w:t>
            </w:r>
            <w:proofErr w:type="spellStart"/>
            <w:r w:rsidRPr="7F77D409">
              <w:rPr>
                <w:rFonts w:ascii="Arial Narrow" w:hAnsi="Arial Narrow"/>
                <w:sz w:val="20"/>
                <w:szCs w:val="20"/>
              </w:rPr>
              <w:t>bosentan</w:t>
            </w:r>
            <w:proofErr w:type="spellEnd"/>
            <w:r w:rsidRPr="7F77D409">
              <w:rPr>
                <w:rFonts w:ascii="Arial Narrow" w:hAnsi="Arial Narrow"/>
                <w:sz w:val="20"/>
                <w:szCs w:val="20"/>
              </w:rPr>
              <w:t>, efavirenz, etravirine, modafinil, nafcillin</w:t>
            </w:r>
          </w:p>
          <w:p w14:paraId="2F3A369A" w14:textId="77777777" w:rsidR="00C65571" w:rsidRPr="00CC0A7A" w:rsidRDefault="00C65571">
            <w:pPr>
              <w:rPr>
                <w:rFonts w:ascii="Arial Narrow" w:hAnsi="Arial Narrow"/>
                <w:sz w:val="20"/>
                <w:szCs w:val="20"/>
              </w:rPr>
            </w:pPr>
            <w:r w:rsidRPr="00CC0A7A">
              <w:rPr>
                <w:rFonts w:ascii="Arial Narrow" w:hAnsi="Arial Narrow"/>
                <w:sz w:val="20"/>
                <w:szCs w:val="20"/>
              </w:rPr>
              <w:t>Weak CYP3A4 inducers: armodafinil, echinacea, pioglitazone, rufinamide.</w:t>
            </w:r>
          </w:p>
        </w:tc>
      </w:tr>
      <w:tr w:rsidR="00C65571" w:rsidRPr="00FE20A5" w14:paraId="53442312" w14:textId="77777777" w:rsidTr="00744B8B">
        <w:tblPrEx>
          <w:tblCellMar>
            <w:top w:w="11" w:type="dxa"/>
            <w:bottom w:w="11" w:type="dxa"/>
          </w:tblCellMar>
        </w:tblPrEx>
        <w:trPr>
          <w:trHeight w:val="23"/>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4BCBF1" w14:textId="78F65F24" w:rsidR="00BB42A8" w:rsidRPr="00CC0A7A" w:rsidRDefault="00BB42A8">
            <w:pPr>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DBB184" w14:textId="77777777" w:rsidR="00C65571" w:rsidRPr="004D0D4F" w:rsidRDefault="00C65571">
            <w:pPr>
              <w:rPr>
                <w:rFonts w:ascii="Arial Narrow" w:hAnsi="Arial Narrow"/>
                <w:b/>
                <w:bCs/>
                <w:sz w:val="20"/>
                <w:szCs w:val="20"/>
              </w:rPr>
            </w:pPr>
            <w:r>
              <w:rPr>
                <w:rFonts w:ascii="Arial Narrow" w:hAnsi="Arial Narrow"/>
                <w:b/>
                <w:bCs/>
                <w:sz w:val="20"/>
                <w:szCs w:val="20"/>
              </w:rPr>
              <w:t>Prescribing Instructions:</w:t>
            </w:r>
          </w:p>
          <w:p w14:paraId="72361467" w14:textId="5DE4F67B" w:rsidR="00C65571" w:rsidRPr="00CC0A7A" w:rsidRDefault="00C65571" w:rsidP="007D4D1C">
            <w:pPr>
              <w:rPr>
                <w:rFonts w:ascii="Arial Narrow" w:hAnsi="Arial Narrow"/>
                <w:sz w:val="20"/>
                <w:szCs w:val="20"/>
              </w:rPr>
            </w:pPr>
            <w:r w:rsidRPr="00CC0A7A">
              <w:rPr>
                <w:rFonts w:ascii="Arial Narrow" w:hAnsi="Arial Narrow"/>
                <w:sz w:val="20"/>
                <w:szCs w:val="20"/>
              </w:rPr>
              <w:t xml:space="preserve">The authority application must be </w:t>
            </w:r>
            <w:r w:rsidR="00146E0F">
              <w:rPr>
                <w:rFonts w:ascii="Arial Narrow" w:hAnsi="Arial Narrow"/>
                <w:sz w:val="20"/>
                <w:szCs w:val="20"/>
              </w:rPr>
              <w:t xml:space="preserve">made via the Online PBS Authorities System, or </w:t>
            </w:r>
            <w:r w:rsidRPr="00CC0A7A">
              <w:rPr>
                <w:rFonts w:ascii="Arial Narrow" w:hAnsi="Arial Narrow"/>
                <w:sz w:val="20"/>
                <w:szCs w:val="20"/>
              </w:rPr>
              <w:t xml:space="preserve">in writing </w:t>
            </w:r>
            <w:r w:rsidR="00B007B3">
              <w:rPr>
                <w:rFonts w:ascii="Arial Narrow" w:hAnsi="Arial Narrow"/>
                <w:sz w:val="20"/>
                <w:szCs w:val="20"/>
              </w:rPr>
              <w:t>via HPOS form upload or mail</w:t>
            </w:r>
            <w:r w:rsidR="00B007B3" w:rsidRPr="00CC0A7A">
              <w:rPr>
                <w:rFonts w:ascii="Arial Narrow" w:hAnsi="Arial Narrow"/>
                <w:sz w:val="20"/>
                <w:szCs w:val="20"/>
              </w:rPr>
              <w:t xml:space="preserve"> </w:t>
            </w:r>
            <w:r w:rsidRPr="00CC0A7A">
              <w:rPr>
                <w:rFonts w:ascii="Arial Narrow" w:hAnsi="Arial Narrow"/>
                <w:sz w:val="20"/>
                <w:szCs w:val="20"/>
              </w:rPr>
              <w:t>and must include:</w:t>
            </w:r>
          </w:p>
          <w:p w14:paraId="00BFC35C" w14:textId="218FBA7E" w:rsidR="00C65571" w:rsidRPr="00CC0A7A" w:rsidRDefault="00C65571" w:rsidP="00B007B3">
            <w:pPr>
              <w:rPr>
                <w:rFonts w:ascii="Arial Narrow" w:hAnsi="Arial Narrow"/>
                <w:sz w:val="20"/>
                <w:szCs w:val="20"/>
              </w:rPr>
            </w:pPr>
            <w:r w:rsidRPr="00CC0A7A">
              <w:rPr>
                <w:rFonts w:ascii="Arial Narrow" w:hAnsi="Arial Narrow"/>
                <w:sz w:val="20"/>
                <w:szCs w:val="20"/>
              </w:rPr>
              <w:t xml:space="preserve">(1) </w:t>
            </w:r>
            <w:r w:rsidRPr="7F77D409">
              <w:rPr>
                <w:rFonts w:ascii="Arial Narrow" w:hAnsi="Arial Narrow"/>
                <w:sz w:val="20"/>
                <w:szCs w:val="20"/>
              </w:rPr>
              <w:t xml:space="preserve">details of the </w:t>
            </w:r>
            <w:r w:rsidRPr="00744B8B">
              <w:rPr>
                <w:rFonts w:ascii="Arial Narrow" w:hAnsi="Arial Narrow"/>
                <w:sz w:val="20"/>
                <w:szCs w:val="20"/>
              </w:rPr>
              <w:t>pathology report substantiating the specific mutation considered to be responsive to ivacaftor as listed in the TGA approved Product Information. Quote each of the: (</w:t>
            </w:r>
            <w:r w:rsidR="00362725">
              <w:rPr>
                <w:rFonts w:ascii="Arial Narrow" w:hAnsi="Arial Narrow"/>
                <w:sz w:val="20"/>
                <w:szCs w:val="20"/>
              </w:rPr>
              <w:t>a</w:t>
            </w:r>
            <w:r w:rsidRPr="00744B8B">
              <w:rPr>
                <w:rFonts w:ascii="Arial Narrow" w:hAnsi="Arial Narrow"/>
                <w:sz w:val="20"/>
                <w:szCs w:val="20"/>
              </w:rPr>
              <w:t>) the specific</w:t>
            </w:r>
            <w:r w:rsidR="00744B8B">
              <w:rPr>
                <w:rFonts w:ascii="Arial Narrow" w:hAnsi="Arial Narrow"/>
                <w:sz w:val="20"/>
                <w:szCs w:val="20"/>
              </w:rPr>
              <w:t xml:space="preserve"> </w:t>
            </w:r>
            <w:r w:rsidRPr="00744B8B">
              <w:rPr>
                <w:rFonts w:ascii="Arial Narrow" w:hAnsi="Arial Narrow"/>
                <w:sz w:val="20"/>
                <w:szCs w:val="20"/>
              </w:rPr>
              <w:t xml:space="preserve">mutation listed in the </w:t>
            </w:r>
            <w:r w:rsidRPr="00744B8B">
              <w:rPr>
                <w:rFonts w:ascii="Arial Narrow" w:hAnsi="Arial Narrow"/>
                <w:sz w:val="20"/>
                <w:szCs w:val="20"/>
              </w:rPr>
              <w:lastRenderedPageBreak/>
              <w:t>TGA approved Product Information, (</w:t>
            </w:r>
            <w:r w:rsidR="005E4FE4">
              <w:rPr>
                <w:rFonts w:ascii="Arial Narrow" w:hAnsi="Arial Narrow"/>
                <w:sz w:val="20"/>
                <w:szCs w:val="20"/>
              </w:rPr>
              <w:t>b</w:t>
            </w:r>
            <w:r w:rsidRPr="00744B8B">
              <w:rPr>
                <w:rFonts w:ascii="Arial Narrow" w:hAnsi="Arial Narrow"/>
                <w:sz w:val="20"/>
                <w:szCs w:val="20"/>
              </w:rPr>
              <w:t>) name of the pathology report provider, (</w:t>
            </w:r>
            <w:r w:rsidR="005E4FE4">
              <w:rPr>
                <w:rFonts w:ascii="Arial Narrow" w:hAnsi="Arial Narrow"/>
                <w:sz w:val="20"/>
                <w:szCs w:val="20"/>
              </w:rPr>
              <w:t>c</w:t>
            </w:r>
            <w:r w:rsidRPr="00744B8B">
              <w:rPr>
                <w:rFonts w:ascii="Arial Narrow" w:hAnsi="Arial Narrow"/>
                <w:sz w:val="20"/>
                <w:szCs w:val="20"/>
              </w:rPr>
              <w:t>) date of pathology report, (</w:t>
            </w:r>
            <w:r w:rsidR="005E4FE4">
              <w:rPr>
                <w:rFonts w:ascii="Arial Narrow" w:hAnsi="Arial Narrow"/>
                <w:sz w:val="20"/>
                <w:szCs w:val="20"/>
              </w:rPr>
              <w:t>d</w:t>
            </w:r>
            <w:r w:rsidRPr="00744B8B">
              <w:rPr>
                <w:rFonts w:ascii="Arial Narrow" w:hAnsi="Arial Narrow"/>
                <w:sz w:val="20"/>
                <w:szCs w:val="20"/>
              </w:rPr>
              <w:t>) unique identifying number/code that links the pathology result to the individual</w:t>
            </w:r>
            <w:r w:rsidRPr="7F77D409">
              <w:rPr>
                <w:rFonts w:ascii="Arial Narrow" w:hAnsi="Arial Narrow"/>
                <w:sz w:val="20"/>
                <w:szCs w:val="20"/>
              </w:rPr>
              <w:t xml:space="preserve"> patient; and</w:t>
            </w:r>
          </w:p>
          <w:p w14:paraId="06284DFA" w14:textId="55B51682" w:rsidR="00C65571" w:rsidRPr="00D44879" w:rsidRDefault="00C65571" w:rsidP="007854F6">
            <w:pPr>
              <w:rPr>
                <w:rFonts w:ascii="Arial Narrow" w:hAnsi="Arial Narrow"/>
                <w:strike/>
                <w:sz w:val="20"/>
                <w:szCs w:val="20"/>
              </w:rPr>
            </w:pPr>
            <w:r w:rsidRPr="00CC0A7A">
              <w:rPr>
                <w:rFonts w:ascii="Arial Narrow" w:hAnsi="Arial Narrow"/>
                <w:sz w:val="20"/>
                <w:szCs w:val="20"/>
              </w:rPr>
              <w:t>(</w:t>
            </w:r>
            <w:r w:rsidR="00AF3C16">
              <w:rPr>
                <w:rFonts w:ascii="Arial Narrow" w:hAnsi="Arial Narrow"/>
                <w:sz w:val="20"/>
                <w:szCs w:val="20"/>
              </w:rPr>
              <w:t>2</w:t>
            </w:r>
            <w:r w:rsidRPr="00CC0A7A">
              <w:rPr>
                <w:rFonts w:ascii="Arial Narrow" w:hAnsi="Arial Narrow"/>
                <w:sz w:val="20"/>
                <w:szCs w:val="20"/>
              </w:rPr>
              <w:t>) current CYP3A4 inhibitors, CYP3A4 inducers and IV antibiotics</w:t>
            </w:r>
          </w:p>
        </w:tc>
      </w:tr>
      <w:tr w:rsidR="00D645CF" w:rsidRPr="00FE20A5" w14:paraId="3C711473" w14:textId="77777777" w:rsidTr="00744B8B">
        <w:tblPrEx>
          <w:tblCellMar>
            <w:top w:w="11" w:type="dxa"/>
            <w:bottom w:w="11" w:type="dxa"/>
          </w:tblCellMar>
        </w:tblPrEx>
        <w:trPr>
          <w:trHeight w:val="23"/>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104E8D" w14:textId="1EACE8F5" w:rsidR="00D645CF" w:rsidRDefault="00D645CF" w:rsidP="00D645CF">
            <w:pPr>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6DBF79" w14:textId="77777777" w:rsidR="00D645CF" w:rsidRPr="007E648A" w:rsidRDefault="00D645CF" w:rsidP="00D645CF">
            <w:pPr>
              <w:rPr>
                <w:rFonts w:ascii="Arial Narrow" w:hAnsi="Arial Narrow"/>
                <w:b/>
                <w:bCs/>
                <w:sz w:val="20"/>
                <w:szCs w:val="20"/>
              </w:rPr>
            </w:pPr>
            <w:r>
              <w:rPr>
                <w:rFonts w:ascii="Arial Narrow" w:hAnsi="Arial Narrow"/>
                <w:b/>
                <w:bCs/>
                <w:sz w:val="20"/>
                <w:szCs w:val="20"/>
              </w:rPr>
              <w:t>Prescribing Instructions:</w:t>
            </w:r>
          </w:p>
          <w:p w14:paraId="37575D4C" w14:textId="77777777" w:rsidR="00D645CF" w:rsidRPr="007E648A" w:rsidRDefault="00D645CF" w:rsidP="00D645CF">
            <w:pPr>
              <w:rPr>
                <w:rFonts w:ascii="Arial Narrow" w:hAnsi="Arial Narrow"/>
                <w:sz w:val="20"/>
                <w:szCs w:val="20"/>
              </w:rPr>
            </w:pPr>
            <w:r w:rsidRPr="007E648A">
              <w:rPr>
                <w:rFonts w:ascii="Arial Narrow" w:hAnsi="Arial Narrow"/>
                <w:sz w:val="20"/>
                <w:szCs w:val="20"/>
              </w:rPr>
              <w:t>If the application is submitted through HPOS form upload or mail, it must include:</w:t>
            </w:r>
          </w:p>
          <w:p w14:paraId="2DA30C5F" w14:textId="77777777" w:rsidR="00D645CF" w:rsidRPr="007E648A" w:rsidRDefault="00D645CF" w:rsidP="00D645CF">
            <w:pPr>
              <w:rPr>
                <w:rFonts w:ascii="Arial Narrow" w:hAnsi="Arial Narrow"/>
                <w:sz w:val="20"/>
                <w:szCs w:val="20"/>
              </w:rPr>
            </w:pPr>
            <w:r w:rsidRPr="007E648A">
              <w:rPr>
                <w:rFonts w:ascii="Arial Narrow" w:hAnsi="Arial Narrow"/>
                <w:sz w:val="20"/>
                <w:szCs w:val="20"/>
              </w:rPr>
              <w:t>(i) details of the proposed prescription; and</w:t>
            </w:r>
          </w:p>
          <w:p w14:paraId="31A25A5B" w14:textId="631E513B" w:rsidR="00D645CF" w:rsidRDefault="00D645CF" w:rsidP="00D645CF">
            <w:pPr>
              <w:rPr>
                <w:rFonts w:ascii="Arial Narrow" w:hAnsi="Arial Narrow"/>
                <w:b/>
                <w:bCs/>
                <w:sz w:val="20"/>
                <w:szCs w:val="20"/>
              </w:rPr>
            </w:pPr>
            <w:r w:rsidRPr="007E648A">
              <w:rPr>
                <w:rFonts w:ascii="Arial Narrow" w:hAnsi="Arial Narrow"/>
                <w:sz w:val="20"/>
                <w:szCs w:val="20"/>
              </w:rPr>
              <w:t>(ii) a completed authority application form relevant to the indication and treatment phase (the latest version is located on the website specified in the Administrative Advice).</w:t>
            </w:r>
          </w:p>
        </w:tc>
      </w:tr>
      <w:tr w:rsidR="00D645CF" w:rsidRPr="00FE20A5" w14:paraId="41B6E8FB" w14:textId="77777777" w:rsidTr="00744B8B">
        <w:tblPrEx>
          <w:tblCellMar>
            <w:top w:w="11" w:type="dxa"/>
            <w:bottom w:w="11" w:type="dxa"/>
          </w:tblCellMar>
        </w:tblPrEx>
        <w:trPr>
          <w:trHeight w:val="23"/>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024CAB" w14:textId="6A71C2A9" w:rsidR="00D645CF" w:rsidRPr="00744B8B" w:rsidRDefault="00D645CF" w:rsidP="00D645CF">
            <w:pPr>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4421E1" w14:textId="77777777" w:rsidR="00D645CF" w:rsidRPr="00744B8B" w:rsidRDefault="00D645CF" w:rsidP="00D645CF">
            <w:pPr>
              <w:rPr>
                <w:rFonts w:ascii="Arial Narrow" w:hAnsi="Arial Narrow"/>
                <w:sz w:val="20"/>
                <w:szCs w:val="20"/>
              </w:rPr>
            </w:pPr>
            <w:r w:rsidRPr="00744B8B">
              <w:rPr>
                <w:rFonts w:ascii="Arial Narrow" w:hAnsi="Arial Narrow"/>
                <w:b/>
                <w:bCs/>
                <w:sz w:val="20"/>
                <w:szCs w:val="20"/>
              </w:rPr>
              <w:t>Administrative Advice:</w:t>
            </w:r>
            <w:r w:rsidRPr="00744B8B">
              <w:rPr>
                <w:rFonts w:ascii="Arial Narrow" w:hAnsi="Arial Narrow"/>
                <w:sz w:val="20"/>
                <w:szCs w:val="20"/>
              </w:rPr>
              <w:t xml:space="preserve"> </w:t>
            </w:r>
          </w:p>
          <w:p w14:paraId="4FD45BA0" w14:textId="77777777" w:rsidR="00D645CF" w:rsidRPr="00744B8B" w:rsidRDefault="00D645CF" w:rsidP="00D645CF">
            <w:pPr>
              <w:rPr>
                <w:rFonts w:ascii="Arial Narrow" w:hAnsi="Arial Narrow"/>
                <w:sz w:val="20"/>
                <w:szCs w:val="20"/>
              </w:rPr>
            </w:pPr>
            <w:r w:rsidRPr="00744B8B">
              <w:rPr>
                <w:rFonts w:ascii="Arial Narrow" w:hAnsi="Arial Narrow"/>
                <w:sz w:val="20"/>
                <w:szCs w:val="20"/>
              </w:rPr>
              <w:t>Any queries concerning the arrangements to prescribe may be directed to Services Australia on 1800 700 270 (hours of operation 8 a.m. to 5 p.m. Monday to Friday).</w:t>
            </w:r>
          </w:p>
          <w:p w14:paraId="20CBED62" w14:textId="77777777" w:rsidR="00D645CF" w:rsidRPr="00744B8B" w:rsidRDefault="00D645CF" w:rsidP="00D645CF">
            <w:pPr>
              <w:rPr>
                <w:rFonts w:ascii="Arial Narrow" w:hAnsi="Arial Narrow"/>
                <w:sz w:val="20"/>
                <w:szCs w:val="20"/>
              </w:rPr>
            </w:pPr>
            <w:r w:rsidRPr="00744B8B">
              <w:rPr>
                <w:rFonts w:ascii="Arial Narrow" w:hAnsi="Arial Narrow"/>
                <w:sz w:val="20"/>
                <w:szCs w:val="20"/>
              </w:rPr>
              <w:t>Prescribing information (including Authority Application forms and other relevant documentation as applicable) is available on the Services Australia website at www.servicesaustralia.gov.au</w:t>
            </w:r>
          </w:p>
          <w:p w14:paraId="4A5E7D6D" w14:textId="77777777" w:rsidR="00D645CF" w:rsidRPr="00744B8B" w:rsidRDefault="00D645CF" w:rsidP="00D645CF">
            <w:pPr>
              <w:rPr>
                <w:rFonts w:ascii="Arial Narrow" w:hAnsi="Arial Narrow"/>
                <w:sz w:val="20"/>
                <w:szCs w:val="20"/>
              </w:rPr>
            </w:pPr>
            <w:r w:rsidRPr="00744B8B">
              <w:rPr>
                <w:rFonts w:ascii="Arial Narrow" w:hAnsi="Arial Narrow"/>
                <w:sz w:val="20"/>
                <w:szCs w:val="20"/>
              </w:rPr>
              <w:t>Applications for authority to prescribe should be submitted online using the form upload facility in Health Professional Online Services (HPOS) at www.servicesaustralia.gov.au/hpos</w:t>
            </w:r>
          </w:p>
          <w:p w14:paraId="25FE9A9D" w14:textId="77777777" w:rsidR="00D645CF" w:rsidRPr="00744B8B" w:rsidRDefault="00D645CF" w:rsidP="00D645CF">
            <w:pPr>
              <w:rPr>
                <w:rFonts w:ascii="Arial Narrow" w:hAnsi="Arial Narrow"/>
                <w:sz w:val="20"/>
                <w:szCs w:val="20"/>
              </w:rPr>
            </w:pPr>
            <w:r w:rsidRPr="00744B8B">
              <w:rPr>
                <w:rFonts w:ascii="Arial Narrow" w:hAnsi="Arial Narrow"/>
                <w:sz w:val="20"/>
                <w:szCs w:val="20"/>
              </w:rPr>
              <w:t>Or mailed to:</w:t>
            </w:r>
          </w:p>
          <w:p w14:paraId="337E2E9C" w14:textId="77777777" w:rsidR="00D645CF" w:rsidRPr="00744B8B" w:rsidRDefault="00D645CF" w:rsidP="00D645CF">
            <w:pPr>
              <w:rPr>
                <w:rFonts w:ascii="Arial Narrow" w:hAnsi="Arial Narrow"/>
                <w:sz w:val="20"/>
                <w:szCs w:val="20"/>
              </w:rPr>
            </w:pPr>
            <w:r w:rsidRPr="00744B8B">
              <w:rPr>
                <w:rFonts w:ascii="Arial Narrow" w:hAnsi="Arial Narrow"/>
                <w:sz w:val="20"/>
                <w:szCs w:val="20"/>
              </w:rPr>
              <w:t>Services Australia</w:t>
            </w:r>
          </w:p>
          <w:p w14:paraId="0ACEEBA5" w14:textId="77777777" w:rsidR="00D645CF" w:rsidRPr="00744B8B" w:rsidRDefault="00D645CF" w:rsidP="00D645CF">
            <w:pPr>
              <w:rPr>
                <w:rFonts w:ascii="Arial Narrow" w:hAnsi="Arial Narrow"/>
                <w:sz w:val="20"/>
                <w:szCs w:val="20"/>
              </w:rPr>
            </w:pPr>
            <w:r w:rsidRPr="00744B8B">
              <w:rPr>
                <w:rFonts w:ascii="Arial Narrow" w:hAnsi="Arial Narrow"/>
                <w:sz w:val="20"/>
                <w:szCs w:val="20"/>
              </w:rPr>
              <w:t>Complex Drugs</w:t>
            </w:r>
          </w:p>
          <w:p w14:paraId="3F32CBAB" w14:textId="77777777" w:rsidR="00D645CF" w:rsidRPr="00744B8B" w:rsidRDefault="00D645CF" w:rsidP="00D645CF">
            <w:pPr>
              <w:rPr>
                <w:rFonts w:ascii="Arial Narrow" w:hAnsi="Arial Narrow"/>
                <w:sz w:val="20"/>
                <w:szCs w:val="20"/>
              </w:rPr>
            </w:pPr>
            <w:r w:rsidRPr="00744B8B">
              <w:rPr>
                <w:rFonts w:ascii="Arial Narrow" w:hAnsi="Arial Narrow"/>
                <w:sz w:val="20"/>
                <w:szCs w:val="20"/>
              </w:rPr>
              <w:t>Reply Paid 9826</w:t>
            </w:r>
          </w:p>
          <w:p w14:paraId="1ABC37D7" w14:textId="77777777" w:rsidR="00D645CF" w:rsidRPr="00744B8B" w:rsidRDefault="00D645CF" w:rsidP="00D645CF">
            <w:pPr>
              <w:rPr>
                <w:rFonts w:ascii="Arial Narrow" w:hAnsi="Arial Narrow"/>
                <w:b/>
                <w:bCs/>
                <w:sz w:val="20"/>
                <w:szCs w:val="20"/>
              </w:rPr>
            </w:pPr>
            <w:r w:rsidRPr="00744B8B">
              <w:rPr>
                <w:rFonts w:ascii="Arial Narrow" w:hAnsi="Arial Narrow"/>
                <w:sz w:val="20"/>
                <w:szCs w:val="20"/>
              </w:rPr>
              <w:t>HOBART TAS 7001</w:t>
            </w:r>
          </w:p>
        </w:tc>
      </w:tr>
      <w:tr w:rsidR="00D645CF" w:rsidRPr="00FE20A5" w14:paraId="46A76D26" w14:textId="77777777" w:rsidTr="00744B8B">
        <w:tblPrEx>
          <w:tblCellMar>
            <w:top w:w="11" w:type="dxa"/>
            <w:bottom w:w="11" w:type="dxa"/>
          </w:tblCellMar>
        </w:tblPrEx>
        <w:trPr>
          <w:trHeight w:val="23"/>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14AFAA" w14:textId="2945CE6C" w:rsidR="00D645CF" w:rsidRPr="00744B8B" w:rsidRDefault="00D645CF" w:rsidP="00D645CF">
            <w:pPr>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A3D55D" w14:textId="77777777" w:rsidR="00D645CF" w:rsidRPr="00744B8B" w:rsidRDefault="00D645CF" w:rsidP="00D645CF">
            <w:pPr>
              <w:rPr>
                <w:rFonts w:ascii="Arial Narrow" w:hAnsi="Arial Narrow"/>
                <w:b/>
                <w:bCs/>
                <w:sz w:val="20"/>
                <w:szCs w:val="20"/>
              </w:rPr>
            </w:pPr>
            <w:r w:rsidRPr="00744B8B">
              <w:rPr>
                <w:rFonts w:ascii="Arial Narrow" w:hAnsi="Arial Narrow"/>
                <w:b/>
                <w:bCs/>
                <w:sz w:val="20"/>
                <w:szCs w:val="20"/>
              </w:rPr>
              <w:t>Administrative Advice:</w:t>
            </w:r>
          </w:p>
          <w:p w14:paraId="753D2AFF" w14:textId="77777777" w:rsidR="00D645CF" w:rsidRPr="00744B8B" w:rsidRDefault="00D645CF" w:rsidP="00D645CF">
            <w:pPr>
              <w:rPr>
                <w:rFonts w:ascii="Arial Narrow" w:hAnsi="Arial Narrow"/>
                <w:b/>
                <w:bCs/>
                <w:sz w:val="20"/>
                <w:szCs w:val="20"/>
              </w:rPr>
            </w:pPr>
            <w:r w:rsidRPr="00744B8B">
              <w:rPr>
                <w:rFonts w:ascii="Arial Narrow" w:hAnsi="Arial Narrow"/>
                <w:sz w:val="20"/>
                <w:szCs w:val="20"/>
              </w:rPr>
              <w:t>No increase in the maximum number of repeats may be authorised.</w:t>
            </w:r>
          </w:p>
        </w:tc>
      </w:tr>
      <w:tr w:rsidR="00D645CF" w:rsidRPr="00FE20A5" w14:paraId="585589DD" w14:textId="77777777" w:rsidTr="00744B8B">
        <w:tblPrEx>
          <w:tblCellMar>
            <w:top w:w="11" w:type="dxa"/>
            <w:bottom w:w="11" w:type="dxa"/>
          </w:tblCellMar>
        </w:tblPrEx>
        <w:trPr>
          <w:trHeight w:val="23"/>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133608" w14:textId="760CD6D4" w:rsidR="00D645CF" w:rsidRPr="00744B8B" w:rsidRDefault="00D645CF" w:rsidP="00D645CF">
            <w:pPr>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0C819D" w14:textId="77777777" w:rsidR="00D645CF" w:rsidRPr="00744B8B" w:rsidRDefault="00D645CF" w:rsidP="00D645CF">
            <w:pPr>
              <w:rPr>
                <w:rFonts w:ascii="Arial Narrow" w:hAnsi="Arial Narrow"/>
                <w:b/>
                <w:bCs/>
                <w:sz w:val="20"/>
                <w:szCs w:val="20"/>
              </w:rPr>
            </w:pPr>
            <w:r w:rsidRPr="00744B8B">
              <w:rPr>
                <w:rFonts w:ascii="Arial Narrow" w:hAnsi="Arial Narrow"/>
                <w:b/>
                <w:bCs/>
                <w:sz w:val="20"/>
                <w:szCs w:val="20"/>
              </w:rPr>
              <w:t>Administrative Advice:</w:t>
            </w:r>
          </w:p>
          <w:p w14:paraId="26D51A0F" w14:textId="77777777" w:rsidR="00D645CF" w:rsidRPr="00744B8B" w:rsidRDefault="00D645CF" w:rsidP="00D645CF">
            <w:pPr>
              <w:rPr>
                <w:rFonts w:ascii="Arial Narrow" w:hAnsi="Arial Narrow"/>
                <w:sz w:val="20"/>
                <w:szCs w:val="20"/>
              </w:rPr>
            </w:pPr>
            <w:r w:rsidRPr="00744B8B">
              <w:rPr>
                <w:rFonts w:ascii="Arial Narrow" w:hAnsi="Arial Narrow"/>
                <w:sz w:val="20"/>
                <w:szCs w:val="20"/>
              </w:rPr>
              <w:t>Special Pricing Arrangements apply.</w:t>
            </w:r>
          </w:p>
        </w:tc>
      </w:tr>
      <w:tr w:rsidR="00D645CF" w:rsidRPr="00FE20A5" w14:paraId="6BFED031" w14:textId="77777777" w:rsidTr="00744B8B">
        <w:tblPrEx>
          <w:tblCellMar>
            <w:top w:w="11" w:type="dxa"/>
            <w:bottom w:w="11" w:type="dxa"/>
          </w:tblCellMar>
        </w:tblPrEx>
        <w:trPr>
          <w:trHeight w:val="23"/>
        </w:trPr>
        <w:tc>
          <w:tcPr>
            <w:tcW w:w="1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96CA03" w14:textId="77777777" w:rsidR="00D645CF" w:rsidRPr="00A7396A" w:rsidRDefault="00D645CF" w:rsidP="00D645CF">
            <w:pPr>
              <w:jc w:val="center"/>
              <w:rPr>
                <w:rFonts w:ascii="Arial Narrow" w:hAnsi="Arial Narrow"/>
                <w:sz w:val="20"/>
                <w:szCs w:val="20"/>
              </w:rPr>
            </w:pPr>
          </w:p>
        </w:tc>
        <w:tc>
          <w:tcPr>
            <w:tcW w:w="788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D0B00E" w14:textId="77777777" w:rsidR="00D645CF" w:rsidRPr="00A7396A" w:rsidRDefault="00D645CF" w:rsidP="00D645CF">
            <w:pPr>
              <w:rPr>
                <w:rFonts w:ascii="Arial Narrow" w:hAnsi="Arial Narrow"/>
                <w:b/>
                <w:bCs/>
                <w:sz w:val="20"/>
                <w:szCs w:val="20"/>
              </w:rPr>
            </w:pPr>
          </w:p>
        </w:tc>
      </w:tr>
    </w:tbl>
    <w:p w14:paraId="2038EB7A" w14:textId="7E38E144" w:rsidR="002D2FDA" w:rsidRDefault="002D2FDA" w:rsidP="00D05008">
      <w:pPr>
        <w:jc w:val="left"/>
      </w:pPr>
    </w:p>
    <w:p w14:paraId="0B063929" w14:textId="77777777" w:rsidR="001C169E" w:rsidRDefault="001C169E" w:rsidP="001C169E">
      <w:pPr>
        <w:spacing w:before="120" w:after="120"/>
        <w:rPr>
          <w:rFonts w:asciiTheme="minorHAnsi" w:hAnsiTheme="minorHAnsi"/>
          <w:b/>
          <w:i/>
          <w:iCs/>
          <w:snapToGrid w:val="0"/>
          <w:lang w:val="en-GB" w:eastAsia="en-US"/>
        </w:rPr>
      </w:pPr>
      <w:r w:rsidRPr="008F0B3C">
        <w:rPr>
          <w:rFonts w:asciiTheme="minorHAnsi" w:hAnsiTheme="minorHAnsi"/>
          <w:b/>
          <w:i/>
          <w:iCs/>
          <w:snapToGrid w:val="0"/>
          <w:lang w:val="en-GB" w:eastAsia="en-US"/>
        </w:rPr>
        <w:t>Th</w:t>
      </w:r>
      <w:r>
        <w:rPr>
          <w:rFonts w:asciiTheme="minorHAnsi" w:hAnsiTheme="minorHAnsi"/>
          <w:b/>
          <w:i/>
          <w:iCs/>
          <w:snapToGrid w:val="0"/>
          <w:lang w:val="en-GB" w:eastAsia="en-US"/>
        </w:rPr>
        <w:t>is</w:t>
      </w:r>
      <w:r w:rsidRPr="008F0B3C">
        <w:rPr>
          <w:rFonts w:asciiTheme="minorHAnsi" w:hAnsiTheme="minorHAnsi"/>
          <w:b/>
          <w:i/>
          <w:iCs/>
          <w:snapToGrid w:val="0"/>
          <w:lang w:val="en-GB" w:eastAsia="en-US"/>
        </w:rPr>
        <w:t xml:space="preserve"> restriction may be subject to further review. Should there be any changes made to the restriction the sponsor will be informed.</w:t>
      </w:r>
    </w:p>
    <w:p w14:paraId="1E332589" w14:textId="77777777" w:rsidR="00950A63" w:rsidRPr="00950A63" w:rsidRDefault="00950A63" w:rsidP="00950A63">
      <w:pPr>
        <w:keepNext/>
        <w:numPr>
          <w:ilvl w:val="0"/>
          <w:numId w:val="1"/>
        </w:numPr>
        <w:spacing w:before="240" w:after="120"/>
        <w:jc w:val="left"/>
        <w:outlineLvl w:val="0"/>
        <w:rPr>
          <w:b/>
          <w:snapToGrid w:val="0"/>
          <w:sz w:val="32"/>
          <w:szCs w:val="32"/>
        </w:rPr>
      </w:pPr>
      <w:r w:rsidRPr="00950A63">
        <w:rPr>
          <w:b/>
          <w:snapToGrid w:val="0"/>
          <w:sz w:val="32"/>
          <w:szCs w:val="32"/>
        </w:rPr>
        <w:t>Context for Decision</w:t>
      </w:r>
    </w:p>
    <w:p w14:paraId="2B33CBB7" w14:textId="77777777" w:rsidR="00950A63" w:rsidRPr="00950A63" w:rsidRDefault="00950A63" w:rsidP="00950A63">
      <w:pPr>
        <w:spacing w:after="120"/>
        <w:ind w:left="720"/>
        <w:rPr>
          <w:bCs/>
          <w:lang w:val="en-GB"/>
        </w:rPr>
      </w:pPr>
      <w:r w:rsidRPr="00950A63">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D1B083D" w14:textId="77777777" w:rsidR="00950A63" w:rsidRPr="00950A63" w:rsidRDefault="00950A63" w:rsidP="00950A63">
      <w:pPr>
        <w:keepNext/>
        <w:numPr>
          <w:ilvl w:val="0"/>
          <w:numId w:val="1"/>
        </w:numPr>
        <w:spacing w:before="240" w:after="120"/>
        <w:jc w:val="left"/>
        <w:outlineLvl w:val="0"/>
        <w:rPr>
          <w:b/>
          <w:snapToGrid w:val="0"/>
          <w:sz w:val="32"/>
          <w:szCs w:val="32"/>
        </w:rPr>
      </w:pPr>
      <w:r w:rsidRPr="00950A63">
        <w:rPr>
          <w:b/>
          <w:snapToGrid w:val="0"/>
          <w:sz w:val="32"/>
          <w:szCs w:val="32"/>
        </w:rPr>
        <w:t>Sponsor’s Comment</w:t>
      </w:r>
    </w:p>
    <w:p w14:paraId="355FFCCB" w14:textId="77777777" w:rsidR="0069182F" w:rsidRPr="00925528" w:rsidRDefault="0069182F" w:rsidP="0069182F">
      <w:pPr>
        <w:pStyle w:val="2-SectionHeading"/>
        <w:numPr>
          <w:ilvl w:val="0"/>
          <w:numId w:val="0"/>
        </w:numPr>
        <w:ind w:left="720"/>
        <w:rPr>
          <w:rFonts w:ascii="Aptos" w:hAnsi="Aptos" w:cs="Aptos"/>
          <w:b w:val="0"/>
          <w:bCs/>
          <w:sz w:val="24"/>
          <w:szCs w:val="24"/>
        </w:rPr>
      </w:pPr>
      <w:r w:rsidRPr="0037437A">
        <w:rPr>
          <w:b w:val="0"/>
          <w:bCs/>
          <w:sz w:val="24"/>
          <w:szCs w:val="24"/>
        </w:rPr>
        <w:t xml:space="preserve">Vertex welcomes the recommendation by the Pharmaceutical Benefits Advisory Committee (PBAC), to expand the PBS listing of KALYDECO® (ivacaftor) to include babies aged 1 to 4 months with at least one mutation in the CFTR gene that is responsive to ivacaftor potentiation based on clinical and/or in vitro assay data. This </w:t>
      </w:r>
      <w:r w:rsidRPr="0037437A">
        <w:rPr>
          <w:b w:val="0"/>
          <w:bCs/>
          <w:sz w:val="24"/>
          <w:szCs w:val="24"/>
        </w:rPr>
        <w:lastRenderedPageBreak/>
        <w:t>is an important first step to achieving reimbursed access for eligible patients in Australia.</w:t>
      </w:r>
      <w:r w:rsidRPr="00925528">
        <w:rPr>
          <w:b w:val="0"/>
          <w:bCs/>
          <w:sz w:val="24"/>
          <w:szCs w:val="24"/>
        </w:rPr>
        <w:t xml:space="preserve">  </w:t>
      </w:r>
    </w:p>
    <w:p w14:paraId="2BEB8DFE" w14:textId="2AD583E5" w:rsidR="00744B8B" w:rsidRDefault="00744B8B" w:rsidP="00787A75">
      <w:pPr>
        <w:ind w:firstLine="720"/>
        <w:jc w:val="left"/>
      </w:pPr>
    </w:p>
    <w:sectPr w:rsidR="00744B8B" w:rsidSect="00251006">
      <w:headerReference w:type="default" r:id="rId10"/>
      <w:footerReference w:type="default" r:id="rId11"/>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C7D5D" w14:textId="77777777" w:rsidR="00345091" w:rsidRDefault="00345091" w:rsidP="00124A51">
      <w:r>
        <w:separator/>
      </w:r>
    </w:p>
    <w:p w14:paraId="2C5225D0" w14:textId="77777777" w:rsidR="00345091" w:rsidRDefault="00345091"/>
  </w:endnote>
  <w:endnote w:type="continuationSeparator" w:id="0">
    <w:p w14:paraId="0E15B133" w14:textId="77777777" w:rsidR="00345091" w:rsidRDefault="00345091" w:rsidP="00124A51">
      <w:r>
        <w:continuationSeparator/>
      </w:r>
    </w:p>
    <w:p w14:paraId="713BA60D" w14:textId="77777777" w:rsidR="00345091" w:rsidRDefault="00345091"/>
  </w:endnote>
  <w:endnote w:type="continuationNotice" w:id="1">
    <w:p w14:paraId="6F13A220" w14:textId="77777777" w:rsidR="00345091" w:rsidRDefault="00345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3511" w14:textId="08F986EC" w:rsidR="00D843F2" w:rsidRDefault="00D843F2" w:rsidP="00753B29">
    <w:pPr>
      <w:pStyle w:val="Footer"/>
      <w:jc w:val="center"/>
    </w:pPr>
  </w:p>
  <w:p w14:paraId="37484CD3" w14:textId="4195836B" w:rsidR="00D843F2" w:rsidRPr="00802C07" w:rsidRDefault="00556C33" w:rsidP="006028D3">
    <w:pPr>
      <w:pStyle w:val="PageFooter"/>
      <w:rPr>
        <w:b w:val="0"/>
        <w:bCs/>
      </w:rPr>
    </w:pPr>
    <w:sdt>
      <w:sdtPr>
        <w:rPr>
          <w:b w:val="0"/>
          <w:bCs/>
        </w:rPr>
        <w:id w:val="1036156457"/>
        <w:docPartObj>
          <w:docPartGallery w:val="Page Numbers (Bottom of Page)"/>
          <w:docPartUnique/>
        </w:docPartObj>
      </w:sdtPr>
      <w:sdtEndPr>
        <w:rPr>
          <w:noProof/>
        </w:rPr>
      </w:sdtEndPr>
      <w:sdtContent>
        <w:r w:rsidR="00D843F2" w:rsidRPr="00802C07">
          <w:rPr>
            <w:b w:val="0"/>
            <w:bCs/>
          </w:rPr>
          <w:fldChar w:fldCharType="begin"/>
        </w:r>
        <w:r w:rsidR="00D843F2" w:rsidRPr="00802C07">
          <w:rPr>
            <w:b w:val="0"/>
            <w:bCs/>
          </w:rPr>
          <w:instrText xml:space="preserve"> PAGE   \* MERGEFORMAT </w:instrText>
        </w:r>
        <w:r w:rsidR="00D843F2" w:rsidRPr="00802C07">
          <w:rPr>
            <w:b w:val="0"/>
            <w:bCs/>
          </w:rPr>
          <w:fldChar w:fldCharType="separate"/>
        </w:r>
        <w:r w:rsidR="00D843F2" w:rsidRPr="00802C07">
          <w:rPr>
            <w:b w:val="0"/>
            <w:bCs/>
            <w:noProof/>
          </w:rPr>
          <w:t>2</w:t>
        </w:r>
        <w:r w:rsidR="00D843F2" w:rsidRPr="00802C07">
          <w:rPr>
            <w:b w:val="0"/>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2423A" w14:textId="77777777" w:rsidR="00345091" w:rsidRDefault="00345091" w:rsidP="00124A51">
      <w:r>
        <w:separator/>
      </w:r>
    </w:p>
    <w:p w14:paraId="45E35388" w14:textId="77777777" w:rsidR="00345091" w:rsidRDefault="00345091"/>
  </w:footnote>
  <w:footnote w:type="continuationSeparator" w:id="0">
    <w:p w14:paraId="062C6DE0" w14:textId="77777777" w:rsidR="00345091" w:rsidRDefault="00345091" w:rsidP="00124A51">
      <w:r>
        <w:continuationSeparator/>
      </w:r>
    </w:p>
    <w:p w14:paraId="717FDED2" w14:textId="77777777" w:rsidR="00345091" w:rsidRDefault="00345091"/>
  </w:footnote>
  <w:footnote w:type="continuationNotice" w:id="1">
    <w:p w14:paraId="3B3D0FB1" w14:textId="77777777" w:rsidR="00345091" w:rsidRDefault="003450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87001" w14:textId="784FE838" w:rsidR="00265AFD" w:rsidRPr="00056684" w:rsidRDefault="005A5CBF" w:rsidP="00265AFD">
    <w:pPr>
      <w:pStyle w:val="Header"/>
      <w:ind w:left="360"/>
      <w:rPr>
        <w:rFonts w:asciiTheme="minorHAnsi" w:hAnsiTheme="minorHAnsi"/>
        <w:i w:val="0"/>
        <w:color w:val="808080"/>
      </w:rPr>
    </w:pPr>
    <w:bookmarkStart w:id="58" w:name="_Hlk76375146"/>
    <w:r w:rsidRPr="005A5CBF">
      <w:rPr>
        <w:rFonts w:asciiTheme="minorHAnsi" w:hAnsiTheme="minorHAnsi"/>
        <w:color w:val="808080"/>
      </w:rPr>
      <w:t xml:space="preserve">Public Summary Document </w:t>
    </w:r>
    <w:r w:rsidR="00265AFD" w:rsidRPr="00056684">
      <w:rPr>
        <w:rFonts w:asciiTheme="minorHAnsi" w:hAnsiTheme="minorHAnsi"/>
        <w:color w:val="808080"/>
      </w:rPr>
      <w:t xml:space="preserve">– </w:t>
    </w:r>
    <w:r w:rsidR="00265AFD">
      <w:rPr>
        <w:rFonts w:asciiTheme="minorHAnsi" w:hAnsiTheme="minorHAnsi"/>
        <w:color w:val="808080"/>
      </w:rPr>
      <w:t>March 2025</w:t>
    </w:r>
    <w:r w:rsidR="00265AFD" w:rsidRPr="00056684">
      <w:rPr>
        <w:rFonts w:asciiTheme="minorHAnsi" w:hAnsiTheme="minorHAnsi"/>
        <w:color w:val="808080"/>
      </w:rPr>
      <w:t xml:space="preserve"> PBAC Meeting</w:t>
    </w:r>
  </w:p>
  <w:bookmarkEnd w:id="58"/>
  <w:p w14:paraId="03AF943B" w14:textId="77777777" w:rsidR="00D843F2" w:rsidRPr="008C7ECB" w:rsidRDefault="00D84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F0AF8"/>
    <w:multiLevelType w:val="hybridMultilevel"/>
    <w:tmpl w:val="D68A15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450D1E"/>
    <w:multiLevelType w:val="hybridMultilevel"/>
    <w:tmpl w:val="EBFEFA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EDF4206"/>
    <w:multiLevelType w:val="hybridMultilevel"/>
    <w:tmpl w:val="AAE6D9B6"/>
    <w:lvl w:ilvl="0" w:tplc="399A3B2E">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7943F2F"/>
    <w:multiLevelType w:val="hybridMultilevel"/>
    <w:tmpl w:val="B3C87BF0"/>
    <w:lvl w:ilvl="0" w:tplc="6986D87C">
      <w:start w:val="9282"/>
      <w:numFmt w:val="bullet"/>
      <w:lvlText w:val="-"/>
      <w:lvlJc w:val="left"/>
      <w:pPr>
        <w:ind w:left="720" w:hanging="360"/>
      </w:pPr>
      <w:rPr>
        <w:rFonts w:ascii="Arial Narrow" w:eastAsiaTheme="majorEastAsia" w:hAnsi="Arial Narrow"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C1638"/>
    <w:multiLevelType w:val="hybridMultilevel"/>
    <w:tmpl w:val="302C96E8"/>
    <w:lvl w:ilvl="0" w:tplc="C626378A">
      <w:start w:val="1"/>
      <w:numFmt w:val="bullet"/>
      <w:lvlText w:val="◦"/>
      <w:lvlJc w:val="left"/>
      <w:pPr>
        <w:tabs>
          <w:tab w:val="num" w:pos="720"/>
        </w:tabs>
        <w:ind w:left="720" w:hanging="360"/>
      </w:pPr>
      <w:rPr>
        <w:rFonts w:ascii="Calibri" w:hAnsi="Calibri" w:hint="default"/>
      </w:rPr>
    </w:lvl>
    <w:lvl w:ilvl="1" w:tplc="178E055E">
      <w:start w:val="1"/>
      <w:numFmt w:val="bullet"/>
      <w:lvlText w:val="◦"/>
      <w:lvlJc w:val="left"/>
      <w:pPr>
        <w:tabs>
          <w:tab w:val="num" w:pos="1440"/>
        </w:tabs>
        <w:ind w:left="1440" w:hanging="360"/>
      </w:pPr>
      <w:rPr>
        <w:rFonts w:ascii="Calibri" w:hAnsi="Calibri" w:hint="default"/>
      </w:rPr>
    </w:lvl>
    <w:lvl w:ilvl="2" w:tplc="461AAE1C" w:tentative="1">
      <w:start w:val="1"/>
      <w:numFmt w:val="bullet"/>
      <w:lvlText w:val="◦"/>
      <w:lvlJc w:val="left"/>
      <w:pPr>
        <w:tabs>
          <w:tab w:val="num" w:pos="2160"/>
        </w:tabs>
        <w:ind w:left="2160" w:hanging="360"/>
      </w:pPr>
      <w:rPr>
        <w:rFonts w:ascii="Calibri" w:hAnsi="Calibri" w:hint="default"/>
      </w:rPr>
    </w:lvl>
    <w:lvl w:ilvl="3" w:tplc="E610713C" w:tentative="1">
      <w:start w:val="1"/>
      <w:numFmt w:val="bullet"/>
      <w:lvlText w:val="◦"/>
      <w:lvlJc w:val="left"/>
      <w:pPr>
        <w:tabs>
          <w:tab w:val="num" w:pos="2880"/>
        </w:tabs>
        <w:ind w:left="2880" w:hanging="360"/>
      </w:pPr>
      <w:rPr>
        <w:rFonts w:ascii="Calibri" w:hAnsi="Calibri" w:hint="default"/>
      </w:rPr>
    </w:lvl>
    <w:lvl w:ilvl="4" w:tplc="6DF61506" w:tentative="1">
      <w:start w:val="1"/>
      <w:numFmt w:val="bullet"/>
      <w:lvlText w:val="◦"/>
      <w:lvlJc w:val="left"/>
      <w:pPr>
        <w:tabs>
          <w:tab w:val="num" w:pos="3600"/>
        </w:tabs>
        <w:ind w:left="3600" w:hanging="360"/>
      </w:pPr>
      <w:rPr>
        <w:rFonts w:ascii="Calibri" w:hAnsi="Calibri" w:hint="default"/>
      </w:rPr>
    </w:lvl>
    <w:lvl w:ilvl="5" w:tplc="CE24D9C0" w:tentative="1">
      <w:start w:val="1"/>
      <w:numFmt w:val="bullet"/>
      <w:lvlText w:val="◦"/>
      <w:lvlJc w:val="left"/>
      <w:pPr>
        <w:tabs>
          <w:tab w:val="num" w:pos="4320"/>
        </w:tabs>
        <w:ind w:left="4320" w:hanging="360"/>
      </w:pPr>
      <w:rPr>
        <w:rFonts w:ascii="Calibri" w:hAnsi="Calibri" w:hint="default"/>
      </w:rPr>
    </w:lvl>
    <w:lvl w:ilvl="6" w:tplc="5BE602AA" w:tentative="1">
      <w:start w:val="1"/>
      <w:numFmt w:val="bullet"/>
      <w:lvlText w:val="◦"/>
      <w:lvlJc w:val="left"/>
      <w:pPr>
        <w:tabs>
          <w:tab w:val="num" w:pos="5040"/>
        </w:tabs>
        <w:ind w:left="5040" w:hanging="360"/>
      </w:pPr>
      <w:rPr>
        <w:rFonts w:ascii="Calibri" w:hAnsi="Calibri" w:hint="default"/>
      </w:rPr>
    </w:lvl>
    <w:lvl w:ilvl="7" w:tplc="A53448F8" w:tentative="1">
      <w:start w:val="1"/>
      <w:numFmt w:val="bullet"/>
      <w:lvlText w:val="◦"/>
      <w:lvlJc w:val="left"/>
      <w:pPr>
        <w:tabs>
          <w:tab w:val="num" w:pos="5760"/>
        </w:tabs>
        <w:ind w:left="5760" w:hanging="360"/>
      </w:pPr>
      <w:rPr>
        <w:rFonts w:ascii="Calibri" w:hAnsi="Calibri" w:hint="default"/>
      </w:rPr>
    </w:lvl>
    <w:lvl w:ilvl="8" w:tplc="DE2CE4AC" w:tentative="1">
      <w:start w:val="1"/>
      <w:numFmt w:val="bullet"/>
      <w:lvlText w:val="◦"/>
      <w:lvlJc w:val="left"/>
      <w:pPr>
        <w:tabs>
          <w:tab w:val="num" w:pos="6480"/>
        </w:tabs>
        <w:ind w:left="6480" w:hanging="360"/>
      </w:pPr>
      <w:rPr>
        <w:rFonts w:ascii="Calibri" w:hAnsi="Calibri" w:hint="default"/>
      </w:rPr>
    </w:lvl>
  </w:abstractNum>
  <w:abstractNum w:abstractNumId="6"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6D2667"/>
    <w:multiLevelType w:val="hybridMultilevel"/>
    <w:tmpl w:val="017C6EF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D160FE"/>
    <w:multiLevelType w:val="hybridMultilevel"/>
    <w:tmpl w:val="66C64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346AD7"/>
    <w:multiLevelType w:val="hybridMultilevel"/>
    <w:tmpl w:val="71A65F8E"/>
    <w:lvl w:ilvl="0" w:tplc="CFBE442A">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3AD38CB"/>
    <w:multiLevelType w:val="hybridMultilevel"/>
    <w:tmpl w:val="F5D0D97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F82791"/>
    <w:multiLevelType w:val="hybridMultilevel"/>
    <w:tmpl w:val="4AB2188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4F1FE6"/>
    <w:multiLevelType w:val="hybridMultilevel"/>
    <w:tmpl w:val="8E9C9F90"/>
    <w:lvl w:ilvl="0" w:tplc="632E6AC6">
      <w:start w:val="1"/>
      <w:numFmt w:val="bullet"/>
      <w:lvlText w:val=""/>
      <w:lvlJc w:val="left"/>
      <w:pPr>
        <w:ind w:left="720" w:hanging="360"/>
      </w:pPr>
      <w:rPr>
        <w:rFonts w:ascii="Wingdings" w:eastAsiaTheme="majorEastAsia" w:hAnsi="Wingdings"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3672CE"/>
    <w:multiLevelType w:val="hybridMultilevel"/>
    <w:tmpl w:val="31807AF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93C3D38"/>
    <w:multiLevelType w:val="hybridMultilevel"/>
    <w:tmpl w:val="77C66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12625C"/>
    <w:multiLevelType w:val="hybridMultilevel"/>
    <w:tmpl w:val="5222733E"/>
    <w:lvl w:ilvl="0" w:tplc="9E98AF40">
      <w:start w:val="1"/>
      <w:numFmt w:val="bullet"/>
      <w:lvlText w:val=""/>
      <w:lvlJc w:val="left"/>
      <w:pPr>
        <w:ind w:left="720" w:hanging="360"/>
      </w:pPr>
      <w:rPr>
        <w:rFonts w:ascii="Symbol" w:hAnsi="Symbol" w:hint="default"/>
        <w:color w:val="8DB3E2" w:themeColor="text2" w:themeTint="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A94EF0"/>
    <w:multiLevelType w:val="hybridMultilevel"/>
    <w:tmpl w:val="1E4E1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4C1710"/>
    <w:multiLevelType w:val="hybridMultilevel"/>
    <w:tmpl w:val="D2049540"/>
    <w:lvl w:ilvl="0" w:tplc="04090003">
      <w:start w:val="1"/>
      <w:numFmt w:val="bullet"/>
      <w:lvlText w:val="o"/>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0BD0BAE"/>
    <w:multiLevelType w:val="hybridMultilevel"/>
    <w:tmpl w:val="CBD2D86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1D62622"/>
    <w:multiLevelType w:val="hybridMultilevel"/>
    <w:tmpl w:val="DCC85F5C"/>
    <w:lvl w:ilvl="0" w:tplc="68F60AE2">
      <w:start w:val="1"/>
      <w:numFmt w:val="bullet"/>
      <w:lvlText w:val="-"/>
      <w:lvlJc w:val="left"/>
      <w:pPr>
        <w:ind w:left="720" w:hanging="360"/>
      </w:pPr>
      <w:rPr>
        <w:rFonts w:ascii="Montserrat" w:eastAsia="Calibri" w:hAnsi="Montserrat"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082B55"/>
    <w:multiLevelType w:val="hybridMultilevel"/>
    <w:tmpl w:val="196C870A"/>
    <w:lvl w:ilvl="0" w:tplc="24A29C3E">
      <w:start w:val="1"/>
      <w:numFmt w:val="bullet"/>
      <w:lvlText w:val=""/>
      <w:lvlJc w:val="left"/>
      <w:pPr>
        <w:ind w:left="720" w:hanging="360"/>
      </w:pPr>
      <w:rPr>
        <w:rFonts w:ascii="Symbol" w:hAnsi="Symbol"/>
      </w:rPr>
    </w:lvl>
    <w:lvl w:ilvl="1" w:tplc="741A87C8">
      <w:start w:val="1"/>
      <w:numFmt w:val="bullet"/>
      <w:lvlText w:val=""/>
      <w:lvlJc w:val="left"/>
      <w:pPr>
        <w:ind w:left="720" w:hanging="360"/>
      </w:pPr>
      <w:rPr>
        <w:rFonts w:ascii="Symbol" w:hAnsi="Symbol"/>
      </w:rPr>
    </w:lvl>
    <w:lvl w:ilvl="2" w:tplc="AB6CE478">
      <w:start w:val="1"/>
      <w:numFmt w:val="bullet"/>
      <w:lvlText w:val=""/>
      <w:lvlJc w:val="left"/>
      <w:pPr>
        <w:ind w:left="720" w:hanging="360"/>
      </w:pPr>
      <w:rPr>
        <w:rFonts w:ascii="Symbol" w:hAnsi="Symbol"/>
      </w:rPr>
    </w:lvl>
    <w:lvl w:ilvl="3" w:tplc="6AEAECAA">
      <w:start w:val="1"/>
      <w:numFmt w:val="bullet"/>
      <w:lvlText w:val=""/>
      <w:lvlJc w:val="left"/>
      <w:pPr>
        <w:ind w:left="720" w:hanging="360"/>
      </w:pPr>
      <w:rPr>
        <w:rFonts w:ascii="Symbol" w:hAnsi="Symbol"/>
      </w:rPr>
    </w:lvl>
    <w:lvl w:ilvl="4" w:tplc="B43849A8">
      <w:start w:val="1"/>
      <w:numFmt w:val="bullet"/>
      <w:lvlText w:val=""/>
      <w:lvlJc w:val="left"/>
      <w:pPr>
        <w:ind w:left="720" w:hanging="360"/>
      </w:pPr>
      <w:rPr>
        <w:rFonts w:ascii="Symbol" w:hAnsi="Symbol"/>
      </w:rPr>
    </w:lvl>
    <w:lvl w:ilvl="5" w:tplc="0520EA06">
      <w:start w:val="1"/>
      <w:numFmt w:val="bullet"/>
      <w:lvlText w:val=""/>
      <w:lvlJc w:val="left"/>
      <w:pPr>
        <w:ind w:left="720" w:hanging="360"/>
      </w:pPr>
      <w:rPr>
        <w:rFonts w:ascii="Symbol" w:hAnsi="Symbol"/>
      </w:rPr>
    </w:lvl>
    <w:lvl w:ilvl="6" w:tplc="6E74E5CA">
      <w:start w:val="1"/>
      <w:numFmt w:val="bullet"/>
      <w:lvlText w:val=""/>
      <w:lvlJc w:val="left"/>
      <w:pPr>
        <w:ind w:left="720" w:hanging="360"/>
      </w:pPr>
      <w:rPr>
        <w:rFonts w:ascii="Symbol" w:hAnsi="Symbol"/>
      </w:rPr>
    </w:lvl>
    <w:lvl w:ilvl="7" w:tplc="1B500B14">
      <w:start w:val="1"/>
      <w:numFmt w:val="bullet"/>
      <w:lvlText w:val=""/>
      <w:lvlJc w:val="left"/>
      <w:pPr>
        <w:ind w:left="720" w:hanging="360"/>
      </w:pPr>
      <w:rPr>
        <w:rFonts w:ascii="Symbol" w:hAnsi="Symbol"/>
      </w:rPr>
    </w:lvl>
    <w:lvl w:ilvl="8" w:tplc="5FF6F802">
      <w:start w:val="1"/>
      <w:numFmt w:val="bullet"/>
      <w:lvlText w:val=""/>
      <w:lvlJc w:val="left"/>
      <w:pPr>
        <w:ind w:left="720" w:hanging="360"/>
      </w:pPr>
      <w:rPr>
        <w:rFonts w:ascii="Symbol" w:hAnsi="Symbol"/>
      </w:rPr>
    </w:lvl>
  </w:abstractNum>
  <w:abstractNum w:abstractNumId="25" w15:restartNumberingAfterBreak="0">
    <w:nsid w:val="62CF5D49"/>
    <w:multiLevelType w:val="hybridMultilevel"/>
    <w:tmpl w:val="5D8C4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351655"/>
    <w:multiLevelType w:val="hybridMultilevel"/>
    <w:tmpl w:val="FAF2CFC4"/>
    <w:lvl w:ilvl="0" w:tplc="04090003">
      <w:start w:val="1"/>
      <w:numFmt w:val="bullet"/>
      <w:lvlText w:val="o"/>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BB3A6F"/>
    <w:multiLevelType w:val="hybridMultilevel"/>
    <w:tmpl w:val="704EC612"/>
    <w:lvl w:ilvl="0" w:tplc="2B0E15B6">
      <w:start w:val="1"/>
      <w:numFmt w:val="bullet"/>
      <w:lvlText w:val=""/>
      <w:lvlJc w:val="left"/>
      <w:pPr>
        <w:ind w:left="720" w:hanging="360"/>
      </w:pPr>
      <w:rPr>
        <w:rFonts w:ascii="Wingdings" w:eastAsiaTheme="majorEastAsia" w:hAnsi="Wingdings"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290883"/>
    <w:multiLevelType w:val="hybridMultilevel"/>
    <w:tmpl w:val="5B66B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12977F3"/>
    <w:multiLevelType w:val="hybridMultilevel"/>
    <w:tmpl w:val="F5740C90"/>
    <w:lvl w:ilvl="0" w:tplc="04090003">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C34143"/>
    <w:multiLevelType w:val="hybridMultilevel"/>
    <w:tmpl w:val="8FB22B26"/>
    <w:lvl w:ilvl="0" w:tplc="09901FC0">
      <w:start w:val="1"/>
      <w:numFmt w:val="bullet"/>
      <w:lvlText w:val=""/>
      <w:lvlJc w:val="left"/>
      <w:pPr>
        <w:ind w:left="720" w:hanging="360"/>
      </w:pPr>
      <w:rPr>
        <w:rFonts w:ascii="Wingdings" w:eastAsiaTheme="majorEastAsia" w:hAnsi="Wingdings"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4D033C"/>
    <w:multiLevelType w:val="multilevel"/>
    <w:tmpl w:val="320409C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 w:val="0"/>
        <w:bCs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6186631">
    <w:abstractNumId w:val="34"/>
  </w:num>
  <w:num w:numId="2" w16cid:durableId="917793048">
    <w:abstractNumId w:val="14"/>
  </w:num>
  <w:num w:numId="3" w16cid:durableId="324548822">
    <w:abstractNumId w:val="16"/>
  </w:num>
  <w:num w:numId="4" w16cid:durableId="320543630">
    <w:abstractNumId w:val="10"/>
  </w:num>
  <w:num w:numId="5" w16cid:durableId="263461728">
    <w:abstractNumId w:val="0"/>
  </w:num>
  <w:num w:numId="6" w16cid:durableId="193736528">
    <w:abstractNumId w:val="34"/>
  </w:num>
  <w:num w:numId="7" w16cid:durableId="318273948">
    <w:abstractNumId w:val="30"/>
  </w:num>
  <w:num w:numId="8" w16cid:durableId="9892165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7577810">
    <w:abstractNumId w:val="8"/>
  </w:num>
  <w:num w:numId="10" w16cid:durableId="1156729720">
    <w:abstractNumId w:val="11"/>
  </w:num>
  <w:num w:numId="11" w16cid:durableId="704645582">
    <w:abstractNumId w:val="20"/>
  </w:num>
  <w:num w:numId="12" w16cid:durableId="1863592879">
    <w:abstractNumId w:val="6"/>
  </w:num>
  <w:num w:numId="13" w16cid:durableId="139346788">
    <w:abstractNumId w:val="35"/>
  </w:num>
  <w:num w:numId="14" w16cid:durableId="813834356">
    <w:abstractNumId w:val="25"/>
  </w:num>
  <w:num w:numId="15" w16cid:durableId="1718821935">
    <w:abstractNumId w:val="19"/>
  </w:num>
  <w:num w:numId="16" w16cid:durableId="1533883230">
    <w:abstractNumId w:val="13"/>
  </w:num>
  <w:num w:numId="17" w16cid:durableId="220360847">
    <w:abstractNumId w:val="27"/>
  </w:num>
  <w:num w:numId="18" w16cid:durableId="1195146128">
    <w:abstractNumId w:val="3"/>
  </w:num>
  <w:num w:numId="19" w16cid:durableId="22941560">
    <w:abstractNumId w:val="2"/>
  </w:num>
  <w:num w:numId="20" w16cid:durableId="1499031120">
    <w:abstractNumId w:val="3"/>
  </w:num>
  <w:num w:numId="21" w16cid:durableId="268196418">
    <w:abstractNumId w:val="9"/>
  </w:num>
  <w:num w:numId="22" w16cid:durableId="1438059578">
    <w:abstractNumId w:val="34"/>
  </w:num>
  <w:num w:numId="23" w16cid:durableId="1048839230">
    <w:abstractNumId w:val="34"/>
  </w:num>
  <w:num w:numId="24" w16cid:durableId="2077362522">
    <w:abstractNumId w:val="26"/>
  </w:num>
  <w:num w:numId="25" w16cid:durableId="142360765">
    <w:abstractNumId w:val="21"/>
  </w:num>
  <w:num w:numId="26" w16cid:durableId="706414841">
    <w:abstractNumId w:val="32"/>
  </w:num>
  <w:num w:numId="27" w16cid:durableId="1694109783">
    <w:abstractNumId w:val="7"/>
  </w:num>
  <w:num w:numId="28" w16cid:durableId="20908326">
    <w:abstractNumId w:val="29"/>
  </w:num>
  <w:num w:numId="29" w16cid:durableId="830606489">
    <w:abstractNumId w:val="33"/>
  </w:num>
  <w:num w:numId="30" w16cid:durableId="1109854846">
    <w:abstractNumId w:val="15"/>
  </w:num>
  <w:num w:numId="31" w16cid:durableId="2098135848">
    <w:abstractNumId w:val="23"/>
  </w:num>
  <w:num w:numId="32" w16cid:durableId="1153788640">
    <w:abstractNumId w:val="22"/>
  </w:num>
  <w:num w:numId="33" w16cid:durableId="2098674422">
    <w:abstractNumId w:val="4"/>
  </w:num>
  <w:num w:numId="34" w16cid:durableId="1187596894">
    <w:abstractNumId w:val="18"/>
  </w:num>
  <w:num w:numId="35" w16cid:durableId="1935671917">
    <w:abstractNumId w:val="24"/>
  </w:num>
  <w:num w:numId="36" w16cid:durableId="82993204">
    <w:abstractNumId w:val="1"/>
  </w:num>
  <w:num w:numId="37" w16cid:durableId="141392481">
    <w:abstractNumId w:val="17"/>
  </w:num>
  <w:num w:numId="38" w16cid:durableId="126240624">
    <w:abstractNumId w:val="28"/>
  </w:num>
  <w:num w:numId="39" w16cid:durableId="828718251">
    <w:abstractNumId w:val="9"/>
  </w:num>
  <w:num w:numId="40" w16cid:durableId="1279335748">
    <w:abstractNumId w:val="31"/>
  </w:num>
  <w:num w:numId="41" w16cid:durableId="45839985">
    <w:abstractNumId w:val="34"/>
  </w:num>
  <w:num w:numId="42" w16cid:durableId="945845944">
    <w:abstractNumId w:val="12"/>
  </w:num>
  <w:num w:numId="43" w16cid:durableId="1960797460">
    <w:abstractNumId w:val="34"/>
  </w:num>
  <w:num w:numId="44" w16cid:durableId="407770859">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0807"/>
    <w:rsid w:val="0000083D"/>
    <w:rsid w:val="00000883"/>
    <w:rsid w:val="00000BDB"/>
    <w:rsid w:val="0000110B"/>
    <w:rsid w:val="00003499"/>
    <w:rsid w:val="000039B7"/>
    <w:rsid w:val="000045EB"/>
    <w:rsid w:val="000054B2"/>
    <w:rsid w:val="000056B9"/>
    <w:rsid w:val="0000639A"/>
    <w:rsid w:val="00007313"/>
    <w:rsid w:val="00011AD5"/>
    <w:rsid w:val="00013247"/>
    <w:rsid w:val="00013ED5"/>
    <w:rsid w:val="00015886"/>
    <w:rsid w:val="000162EF"/>
    <w:rsid w:val="0001750B"/>
    <w:rsid w:val="000207C9"/>
    <w:rsid w:val="00021644"/>
    <w:rsid w:val="0002225F"/>
    <w:rsid w:val="00023174"/>
    <w:rsid w:val="00023763"/>
    <w:rsid w:val="00024EB5"/>
    <w:rsid w:val="0002654E"/>
    <w:rsid w:val="00027066"/>
    <w:rsid w:val="000274B8"/>
    <w:rsid w:val="00030D6F"/>
    <w:rsid w:val="00032EAE"/>
    <w:rsid w:val="00033863"/>
    <w:rsid w:val="000339F6"/>
    <w:rsid w:val="000351B3"/>
    <w:rsid w:val="00035CD8"/>
    <w:rsid w:val="00035DC0"/>
    <w:rsid w:val="00036829"/>
    <w:rsid w:val="00040895"/>
    <w:rsid w:val="00040E02"/>
    <w:rsid w:val="000410A0"/>
    <w:rsid w:val="00042FFD"/>
    <w:rsid w:val="000435EE"/>
    <w:rsid w:val="00043C37"/>
    <w:rsid w:val="00044BA5"/>
    <w:rsid w:val="00045017"/>
    <w:rsid w:val="00045396"/>
    <w:rsid w:val="00045A2B"/>
    <w:rsid w:val="00046206"/>
    <w:rsid w:val="000464EA"/>
    <w:rsid w:val="000467F5"/>
    <w:rsid w:val="00046893"/>
    <w:rsid w:val="0004698F"/>
    <w:rsid w:val="00046D64"/>
    <w:rsid w:val="000508C2"/>
    <w:rsid w:val="00052782"/>
    <w:rsid w:val="000539D0"/>
    <w:rsid w:val="000543B9"/>
    <w:rsid w:val="00054621"/>
    <w:rsid w:val="000546D7"/>
    <w:rsid w:val="00054A8D"/>
    <w:rsid w:val="00055BAD"/>
    <w:rsid w:val="00056ECF"/>
    <w:rsid w:val="000604DF"/>
    <w:rsid w:val="00062324"/>
    <w:rsid w:val="00065009"/>
    <w:rsid w:val="000653B5"/>
    <w:rsid w:val="00065BBB"/>
    <w:rsid w:val="00066360"/>
    <w:rsid w:val="00066AF8"/>
    <w:rsid w:val="0006702A"/>
    <w:rsid w:val="00071248"/>
    <w:rsid w:val="00071B8A"/>
    <w:rsid w:val="000720B9"/>
    <w:rsid w:val="00072A9E"/>
    <w:rsid w:val="000737F7"/>
    <w:rsid w:val="0007672F"/>
    <w:rsid w:val="00076B54"/>
    <w:rsid w:val="00077230"/>
    <w:rsid w:val="000774F0"/>
    <w:rsid w:val="00080909"/>
    <w:rsid w:val="000812CA"/>
    <w:rsid w:val="00081E63"/>
    <w:rsid w:val="0008258D"/>
    <w:rsid w:val="000835F5"/>
    <w:rsid w:val="00083E99"/>
    <w:rsid w:val="00084511"/>
    <w:rsid w:val="00084B3F"/>
    <w:rsid w:val="00084BC2"/>
    <w:rsid w:val="00084FA8"/>
    <w:rsid w:val="000851F9"/>
    <w:rsid w:val="00085472"/>
    <w:rsid w:val="000856C5"/>
    <w:rsid w:val="00085C31"/>
    <w:rsid w:val="000902D9"/>
    <w:rsid w:val="00090C7E"/>
    <w:rsid w:val="000911AC"/>
    <w:rsid w:val="00092600"/>
    <w:rsid w:val="0009262B"/>
    <w:rsid w:val="00092D61"/>
    <w:rsid w:val="00093310"/>
    <w:rsid w:val="0009445C"/>
    <w:rsid w:val="00095200"/>
    <w:rsid w:val="00095FE5"/>
    <w:rsid w:val="00096228"/>
    <w:rsid w:val="00096284"/>
    <w:rsid w:val="00097218"/>
    <w:rsid w:val="000A1BC0"/>
    <w:rsid w:val="000A2F9E"/>
    <w:rsid w:val="000A36DB"/>
    <w:rsid w:val="000A3E47"/>
    <w:rsid w:val="000A522B"/>
    <w:rsid w:val="000A5BC1"/>
    <w:rsid w:val="000A6039"/>
    <w:rsid w:val="000A6515"/>
    <w:rsid w:val="000A65D1"/>
    <w:rsid w:val="000A7453"/>
    <w:rsid w:val="000A7D08"/>
    <w:rsid w:val="000B0121"/>
    <w:rsid w:val="000B0670"/>
    <w:rsid w:val="000B0E75"/>
    <w:rsid w:val="000B23C3"/>
    <w:rsid w:val="000B2DCB"/>
    <w:rsid w:val="000B3ABB"/>
    <w:rsid w:val="000B4AE8"/>
    <w:rsid w:val="000B527F"/>
    <w:rsid w:val="000B5CE0"/>
    <w:rsid w:val="000B6CAC"/>
    <w:rsid w:val="000B7612"/>
    <w:rsid w:val="000B78AE"/>
    <w:rsid w:val="000C3DF9"/>
    <w:rsid w:val="000C4CF2"/>
    <w:rsid w:val="000C5589"/>
    <w:rsid w:val="000C6713"/>
    <w:rsid w:val="000C6DE9"/>
    <w:rsid w:val="000D1848"/>
    <w:rsid w:val="000D1BFC"/>
    <w:rsid w:val="000D1D5D"/>
    <w:rsid w:val="000D281A"/>
    <w:rsid w:val="000D2848"/>
    <w:rsid w:val="000D2C7C"/>
    <w:rsid w:val="000D2F12"/>
    <w:rsid w:val="000D326A"/>
    <w:rsid w:val="000D470F"/>
    <w:rsid w:val="000D51FB"/>
    <w:rsid w:val="000D6E36"/>
    <w:rsid w:val="000D7B13"/>
    <w:rsid w:val="000E0640"/>
    <w:rsid w:val="000E135D"/>
    <w:rsid w:val="000E1D7E"/>
    <w:rsid w:val="000E2448"/>
    <w:rsid w:val="000E6881"/>
    <w:rsid w:val="000F00BA"/>
    <w:rsid w:val="000F00E7"/>
    <w:rsid w:val="000F0307"/>
    <w:rsid w:val="000F0F5C"/>
    <w:rsid w:val="000F0FEF"/>
    <w:rsid w:val="000F160D"/>
    <w:rsid w:val="000F25F3"/>
    <w:rsid w:val="000F2E0A"/>
    <w:rsid w:val="000F2E69"/>
    <w:rsid w:val="000F316A"/>
    <w:rsid w:val="000F3C74"/>
    <w:rsid w:val="000F4BB8"/>
    <w:rsid w:val="000F4EDE"/>
    <w:rsid w:val="000F4FA9"/>
    <w:rsid w:val="000F53FB"/>
    <w:rsid w:val="000F6865"/>
    <w:rsid w:val="000F7127"/>
    <w:rsid w:val="000F78DA"/>
    <w:rsid w:val="000F7B54"/>
    <w:rsid w:val="000F7C22"/>
    <w:rsid w:val="001000B3"/>
    <w:rsid w:val="00100F8A"/>
    <w:rsid w:val="001040F6"/>
    <w:rsid w:val="0010452E"/>
    <w:rsid w:val="0010486E"/>
    <w:rsid w:val="00105397"/>
    <w:rsid w:val="00105AE2"/>
    <w:rsid w:val="001060C6"/>
    <w:rsid w:val="00106B80"/>
    <w:rsid w:val="0011032E"/>
    <w:rsid w:val="00111C36"/>
    <w:rsid w:val="00111F09"/>
    <w:rsid w:val="00112BAA"/>
    <w:rsid w:val="00112D0E"/>
    <w:rsid w:val="0011348B"/>
    <w:rsid w:val="0011368A"/>
    <w:rsid w:val="00113986"/>
    <w:rsid w:val="00115982"/>
    <w:rsid w:val="00116C53"/>
    <w:rsid w:val="00120D6B"/>
    <w:rsid w:val="00121799"/>
    <w:rsid w:val="00121BA3"/>
    <w:rsid w:val="001222FC"/>
    <w:rsid w:val="0012250B"/>
    <w:rsid w:val="00122C08"/>
    <w:rsid w:val="0012349E"/>
    <w:rsid w:val="00123902"/>
    <w:rsid w:val="001245DA"/>
    <w:rsid w:val="00124A51"/>
    <w:rsid w:val="0012637F"/>
    <w:rsid w:val="00126621"/>
    <w:rsid w:val="00126B1D"/>
    <w:rsid w:val="00127A52"/>
    <w:rsid w:val="001301E9"/>
    <w:rsid w:val="00131D82"/>
    <w:rsid w:val="0013212F"/>
    <w:rsid w:val="00132B22"/>
    <w:rsid w:val="00133D36"/>
    <w:rsid w:val="001356A6"/>
    <w:rsid w:val="001360EB"/>
    <w:rsid w:val="00137645"/>
    <w:rsid w:val="0014015A"/>
    <w:rsid w:val="00140BD7"/>
    <w:rsid w:val="00140E99"/>
    <w:rsid w:val="001412CD"/>
    <w:rsid w:val="00142DA3"/>
    <w:rsid w:val="00143070"/>
    <w:rsid w:val="00143F67"/>
    <w:rsid w:val="00144677"/>
    <w:rsid w:val="00144934"/>
    <w:rsid w:val="00145234"/>
    <w:rsid w:val="0014527C"/>
    <w:rsid w:val="00145540"/>
    <w:rsid w:val="001456B0"/>
    <w:rsid w:val="00146327"/>
    <w:rsid w:val="0014695B"/>
    <w:rsid w:val="00146E0F"/>
    <w:rsid w:val="00150A35"/>
    <w:rsid w:val="00151C77"/>
    <w:rsid w:val="00151EC5"/>
    <w:rsid w:val="00153715"/>
    <w:rsid w:val="001547AB"/>
    <w:rsid w:val="00156F8F"/>
    <w:rsid w:val="00157130"/>
    <w:rsid w:val="001576B1"/>
    <w:rsid w:val="0016047B"/>
    <w:rsid w:val="00160A4C"/>
    <w:rsid w:val="00160CEE"/>
    <w:rsid w:val="00161A03"/>
    <w:rsid w:val="0016283D"/>
    <w:rsid w:val="00162913"/>
    <w:rsid w:val="00163080"/>
    <w:rsid w:val="00163636"/>
    <w:rsid w:val="00163E2F"/>
    <w:rsid w:val="00163EFF"/>
    <w:rsid w:val="00163F66"/>
    <w:rsid w:val="0016448D"/>
    <w:rsid w:val="0016478E"/>
    <w:rsid w:val="00165931"/>
    <w:rsid w:val="00165EC4"/>
    <w:rsid w:val="001661FB"/>
    <w:rsid w:val="001671A0"/>
    <w:rsid w:val="0016767F"/>
    <w:rsid w:val="001720AA"/>
    <w:rsid w:val="0017254F"/>
    <w:rsid w:val="00172991"/>
    <w:rsid w:val="00172EA4"/>
    <w:rsid w:val="00173565"/>
    <w:rsid w:val="00173B07"/>
    <w:rsid w:val="00174C8E"/>
    <w:rsid w:val="001751FA"/>
    <w:rsid w:val="00175FF4"/>
    <w:rsid w:val="001770E9"/>
    <w:rsid w:val="0018026D"/>
    <w:rsid w:val="00181C10"/>
    <w:rsid w:val="00181D9C"/>
    <w:rsid w:val="001837FF"/>
    <w:rsid w:val="001844F9"/>
    <w:rsid w:val="001845BA"/>
    <w:rsid w:val="00184B0E"/>
    <w:rsid w:val="0018752F"/>
    <w:rsid w:val="00193838"/>
    <w:rsid w:val="00194AD8"/>
    <w:rsid w:val="00195034"/>
    <w:rsid w:val="00195222"/>
    <w:rsid w:val="00195452"/>
    <w:rsid w:val="001968F9"/>
    <w:rsid w:val="00196E27"/>
    <w:rsid w:val="001975D8"/>
    <w:rsid w:val="00197610"/>
    <w:rsid w:val="001A178E"/>
    <w:rsid w:val="001A43FA"/>
    <w:rsid w:val="001A47C5"/>
    <w:rsid w:val="001A47CC"/>
    <w:rsid w:val="001A59C7"/>
    <w:rsid w:val="001A59FB"/>
    <w:rsid w:val="001A5E9E"/>
    <w:rsid w:val="001A61ED"/>
    <w:rsid w:val="001A6354"/>
    <w:rsid w:val="001A6366"/>
    <w:rsid w:val="001A669D"/>
    <w:rsid w:val="001A6E96"/>
    <w:rsid w:val="001A7662"/>
    <w:rsid w:val="001A7AE8"/>
    <w:rsid w:val="001B0CA2"/>
    <w:rsid w:val="001B1F9B"/>
    <w:rsid w:val="001B204E"/>
    <w:rsid w:val="001B2370"/>
    <w:rsid w:val="001B2372"/>
    <w:rsid w:val="001B3443"/>
    <w:rsid w:val="001B48DB"/>
    <w:rsid w:val="001B4D20"/>
    <w:rsid w:val="001B4D73"/>
    <w:rsid w:val="001B60FF"/>
    <w:rsid w:val="001B718F"/>
    <w:rsid w:val="001B7A75"/>
    <w:rsid w:val="001B7BFC"/>
    <w:rsid w:val="001B7C72"/>
    <w:rsid w:val="001B7F84"/>
    <w:rsid w:val="001C169E"/>
    <w:rsid w:val="001C1A2E"/>
    <w:rsid w:val="001C2169"/>
    <w:rsid w:val="001C2578"/>
    <w:rsid w:val="001C2A9B"/>
    <w:rsid w:val="001C3DD6"/>
    <w:rsid w:val="001C4299"/>
    <w:rsid w:val="001C4874"/>
    <w:rsid w:val="001C51BA"/>
    <w:rsid w:val="001C5F94"/>
    <w:rsid w:val="001C6CF4"/>
    <w:rsid w:val="001C6E66"/>
    <w:rsid w:val="001C7C10"/>
    <w:rsid w:val="001D034F"/>
    <w:rsid w:val="001D1100"/>
    <w:rsid w:val="001D1391"/>
    <w:rsid w:val="001D25D7"/>
    <w:rsid w:val="001D2601"/>
    <w:rsid w:val="001D3DB5"/>
    <w:rsid w:val="001D50B2"/>
    <w:rsid w:val="001D5E3F"/>
    <w:rsid w:val="001D612F"/>
    <w:rsid w:val="001D6CED"/>
    <w:rsid w:val="001D71F4"/>
    <w:rsid w:val="001D7645"/>
    <w:rsid w:val="001D7B6D"/>
    <w:rsid w:val="001E078D"/>
    <w:rsid w:val="001E0FA2"/>
    <w:rsid w:val="001E1ADD"/>
    <w:rsid w:val="001E1E86"/>
    <w:rsid w:val="001E2344"/>
    <w:rsid w:val="001E238E"/>
    <w:rsid w:val="001E2483"/>
    <w:rsid w:val="001E2B1E"/>
    <w:rsid w:val="001E2CFF"/>
    <w:rsid w:val="001E2F24"/>
    <w:rsid w:val="001E30D4"/>
    <w:rsid w:val="001E34DF"/>
    <w:rsid w:val="001E52EB"/>
    <w:rsid w:val="001E61D2"/>
    <w:rsid w:val="001E740C"/>
    <w:rsid w:val="001E7C55"/>
    <w:rsid w:val="001F0017"/>
    <w:rsid w:val="001F1235"/>
    <w:rsid w:val="001F1CB3"/>
    <w:rsid w:val="001F3719"/>
    <w:rsid w:val="001F38B5"/>
    <w:rsid w:val="001F4081"/>
    <w:rsid w:val="001F5225"/>
    <w:rsid w:val="001F7361"/>
    <w:rsid w:val="00200C78"/>
    <w:rsid w:val="002011B0"/>
    <w:rsid w:val="002015F7"/>
    <w:rsid w:val="00203181"/>
    <w:rsid w:val="00203783"/>
    <w:rsid w:val="0020385F"/>
    <w:rsid w:val="00205592"/>
    <w:rsid w:val="002068A0"/>
    <w:rsid w:val="00207021"/>
    <w:rsid w:val="0020732F"/>
    <w:rsid w:val="00207592"/>
    <w:rsid w:val="00207A76"/>
    <w:rsid w:val="00207D00"/>
    <w:rsid w:val="002105C1"/>
    <w:rsid w:val="002116FD"/>
    <w:rsid w:val="00211CA9"/>
    <w:rsid w:val="00211D40"/>
    <w:rsid w:val="00212DB4"/>
    <w:rsid w:val="00213259"/>
    <w:rsid w:val="002137B1"/>
    <w:rsid w:val="00213EF5"/>
    <w:rsid w:val="00216BF5"/>
    <w:rsid w:val="002176E3"/>
    <w:rsid w:val="00217B28"/>
    <w:rsid w:val="00221CC7"/>
    <w:rsid w:val="00223B49"/>
    <w:rsid w:val="00223D5A"/>
    <w:rsid w:val="00224375"/>
    <w:rsid w:val="00224DD4"/>
    <w:rsid w:val="0022671B"/>
    <w:rsid w:val="002270E6"/>
    <w:rsid w:val="00227199"/>
    <w:rsid w:val="002278A0"/>
    <w:rsid w:val="00227B51"/>
    <w:rsid w:val="002309CC"/>
    <w:rsid w:val="00231BA9"/>
    <w:rsid w:val="0023209F"/>
    <w:rsid w:val="00232B53"/>
    <w:rsid w:val="00233589"/>
    <w:rsid w:val="00233906"/>
    <w:rsid w:val="00233C01"/>
    <w:rsid w:val="0023413C"/>
    <w:rsid w:val="002343DD"/>
    <w:rsid w:val="002346F0"/>
    <w:rsid w:val="0023629D"/>
    <w:rsid w:val="00237255"/>
    <w:rsid w:val="00237A36"/>
    <w:rsid w:val="00240181"/>
    <w:rsid w:val="00242240"/>
    <w:rsid w:val="002423B9"/>
    <w:rsid w:val="002424AF"/>
    <w:rsid w:val="002439DC"/>
    <w:rsid w:val="002441D2"/>
    <w:rsid w:val="00244DC8"/>
    <w:rsid w:val="002458BA"/>
    <w:rsid w:val="00245CE9"/>
    <w:rsid w:val="0024636C"/>
    <w:rsid w:val="00247925"/>
    <w:rsid w:val="00247C27"/>
    <w:rsid w:val="00251006"/>
    <w:rsid w:val="002524D5"/>
    <w:rsid w:val="00253B1D"/>
    <w:rsid w:val="002548B6"/>
    <w:rsid w:val="00254DCF"/>
    <w:rsid w:val="0025534B"/>
    <w:rsid w:val="00255BB7"/>
    <w:rsid w:val="00257541"/>
    <w:rsid w:val="00257A39"/>
    <w:rsid w:val="00257AC4"/>
    <w:rsid w:val="00257BBE"/>
    <w:rsid w:val="00257C97"/>
    <w:rsid w:val="002600FF"/>
    <w:rsid w:val="00260494"/>
    <w:rsid w:val="00261EEF"/>
    <w:rsid w:val="00262A1A"/>
    <w:rsid w:val="00262A87"/>
    <w:rsid w:val="00263764"/>
    <w:rsid w:val="00264D26"/>
    <w:rsid w:val="00265AFD"/>
    <w:rsid w:val="00267642"/>
    <w:rsid w:val="00267AEA"/>
    <w:rsid w:val="002700E6"/>
    <w:rsid w:val="00270B16"/>
    <w:rsid w:val="0027294B"/>
    <w:rsid w:val="00273EB4"/>
    <w:rsid w:val="0027406D"/>
    <w:rsid w:val="00274682"/>
    <w:rsid w:val="00275158"/>
    <w:rsid w:val="0027561F"/>
    <w:rsid w:val="00275C5A"/>
    <w:rsid w:val="00276FB8"/>
    <w:rsid w:val="00277461"/>
    <w:rsid w:val="00281014"/>
    <w:rsid w:val="002811F5"/>
    <w:rsid w:val="002849CD"/>
    <w:rsid w:val="00285ADE"/>
    <w:rsid w:val="00285BCE"/>
    <w:rsid w:val="00286235"/>
    <w:rsid w:val="0028665D"/>
    <w:rsid w:val="002879F0"/>
    <w:rsid w:val="00287B37"/>
    <w:rsid w:val="00291BA6"/>
    <w:rsid w:val="00291D55"/>
    <w:rsid w:val="0029492D"/>
    <w:rsid w:val="00295BDF"/>
    <w:rsid w:val="00296EA8"/>
    <w:rsid w:val="002A14AB"/>
    <w:rsid w:val="002A2ADE"/>
    <w:rsid w:val="002A2F50"/>
    <w:rsid w:val="002A38E0"/>
    <w:rsid w:val="002A3F17"/>
    <w:rsid w:val="002A6D5A"/>
    <w:rsid w:val="002A78DA"/>
    <w:rsid w:val="002A7943"/>
    <w:rsid w:val="002B05A1"/>
    <w:rsid w:val="002B09A4"/>
    <w:rsid w:val="002B1C1F"/>
    <w:rsid w:val="002B1C79"/>
    <w:rsid w:val="002B1CA8"/>
    <w:rsid w:val="002B36F1"/>
    <w:rsid w:val="002B432F"/>
    <w:rsid w:val="002B446D"/>
    <w:rsid w:val="002B4F31"/>
    <w:rsid w:val="002B6065"/>
    <w:rsid w:val="002B62B3"/>
    <w:rsid w:val="002B6754"/>
    <w:rsid w:val="002B6CCE"/>
    <w:rsid w:val="002B7C7D"/>
    <w:rsid w:val="002C2510"/>
    <w:rsid w:val="002C2775"/>
    <w:rsid w:val="002C27C1"/>
    <w:rsid w:val="002C36E3"/>
    <w:rsid w:val="002C5099"/>
    <w:rsid w:val="002C5889"/>
    <w:rsid w:val="002C6007"/>
    <w:rsid w:val="002C6277"/>
    <w:rsid w:val="002C71CE"/>
    <w:rsid w:val="002D08F8"/>
    <w:rsid w:val="002D2FDA"/>
    <w:rsid w:val="002D3721"/>
    <w:rsid w:val="002D3C0F"/>
    <w:rsid w:val="002D464E"/>
    <w:rsid w:val="002D4A29"/>
    <w:rsid w:val="002D4C63"/>
    <w:rsid w:val="002D577C"/>
    <w:rsid w:val="002D59EC"/>
    <w:rsid w:val="002D711F"/>
    <w:rsid w:val="002D7832"/>
    <w:rsid w:val="002E0459"/>
    <w:rsid w:val="002E1071"/>
    <w:rsid w:val="002E15B9"/>
    <w:rsid w:val="002E2158"/>
    <w:rsid w:val="002E2FEC"/>
    <w:rsid w:val="002E4F02"/>
    <w:rsid w:val="002E52E1"/>
    <w:rsid w:val="002E603E"/>
    <w:rsid w:val="002E7103"/>
    <w:rsid w:val="002E7722"/>
    <w:rsid w:val="002F07BA"/>
    <w:rsid w:val="002F0CE2"/>
    <w:rsid w:val="002F0DA9"/>
    <w:rsid w:val="002F1014"/>
    <w:rsid w:val="002F1E3B"/>
    <w:rsid w:val="002F5DE3"/>
    <w:rsid w:val="002F643C"/>
    <w:rsid w:val="002F71C0"/>
    <w:rsid w:val="002F72C3"/>
    <w:rsid w:val="002F74F1"/>
    <w:rsid w:val="00301017"/>
    <w:rsid w:val="0030155F"/>
    <w:rsid w:val="00304EF8"/>
    <w:rsid w:val="0030587B"/>
    <w:rsid w:val="00306D98"/>
    <w:rsid w:val="0030786C"/>
    <w:rsid w:val="0031031A"/>
    <w:rsid w:val="00310981"/>
    <w:rsid w:val="00311D9B"/>
    <w:rsid w:val="003124D9"/>
    <w:rsid w:val="00312594"/>
    <w:rsid w:val="0031347E"/>
    <w:rsid w:val="003139F2"/>
    <w:rsid w:val="00315498"/>
    <w:rsid w:val="00315A1E"/>
    <w:rsid w:val="00316474"/>
    <w:rsid w:val="003175C4"/>
    <w:rsid w:val="00320B63"/>
    <w:rsid w:val="00322107"/>
    <w:rsid w:val="00322355"/>
    <w:rsid w:val="00322846"/>
    <w:rsid w:val="00324776"/>
    <w:rsid w:val="003254CD"/>
    <w:rsid w:val="00325DB0"/>
    <w:rsid w:val="00326AFF"/>
    <w:rsid w:val="00326DA7"/>
    <w:rsid w:val="003270E4"/>
    <w:rsid w:val="00327EC0"/>
    <w:rsid w:val="003308F6"/>
    <w:rsid w:val="00330DAA"/>
    <w:rsid w:val="00330F5C"/>
    <w:rsid w:val="003331BD"/>
    <w:rsid w:val="003366C9"/>
    <w:rsid w:val="003371B0"/>
    <w:rsid w:val="003406FB"/>
    <w:rsid w:val="00340C25"/>
    <w:rsid w:val="00340DF1"/>
    <w:rsid w:val="00343B89"/>
    <w:rsid w:val="00345091"/>
    <w:rsid w:val="0034531D"/>
    <w:rsid w:val="0034592A"/>
    <w:rsid w:val="0035023F"/>
    <w:rsid w:val="003516BA"/>
    <w:rsid w:val="003517F9"/>
    <w:rsid w:val="00351BA9"/>
    <w:rsid w:val="00354686"/>
    <w:rsid w:val="00354912"/>
    <w:rsid w:val="00354F64"/>
    <w:rsid w:val="0035620E"/>
    <w:rsid w:val="00356CA7"/>
    <w:rsid w:val="00356EB9"/>
    <w:rsid w:val="003575BE"/>
    <w:rsid w:val="00357964"/>
    <w:rsid w:val="00360345"/>
    <w:rsid w:val="003605C8"/>
    <w:rsid w:val="00360973"/>
    <w:rsid w:val="0036099C"/>
    <w:rsid w:val="00361A05"/>
    <w:rsid w:val="00361F6B"/>
    <w:rsid w:val="003624C4"/>
    <w:rsid w:val="00362725"/>
    <w:rsid w:val="00363B00"/>
    <w:rsid w:val="0036443E"/>
    <w:rsid w:val="00364D0C"/>
    <w:rsid w:val="003654AC"/>
    <w:rsid w:val="003654B5"/>
    <w:rsid w:val="00366183"/>
    <w:rsid w:val="003662A3"/>
    <w:rsid w:val="003675F2"/>
    <w:rsid w:val="0037071C"/>
    <w:rsid w:val="003710CF"/>
    <w:rsid w:val="003733BB"/>
    <w:rsid w:val="0037358A"/>
    <w:rsid w:val="0037437A"/>
    <w:rsid w:val="003750F6"/>
    <w:rsid w:val="00375127"/>
    <w:rsid w:val="003760FC"/>
    <w:rsid w:val="00380809"/>
    <w:rsid w:val="0038169D"/>
    <w:rsid w:val="003823D6"/>
    <w:rsid w:val="0038365C"/>
    <w:rsid w:val="0038369B"/>
    <w:rsid w:val="00383B78"/>
    <w:rsid w:val="00383F3F"/>
    <w:rsid w:val="00384459"/>
    <w:rsid w:val="003859FD"/>
    <w:rsid w:val="00385A9D"/>
    <w:rsid w:val="00387121"/>
    <w:rsid w:val="003902B1"/>
    <w:rsid w:val="003911BE"/>
    <w:rsid w:val="0039179C"/>
    <w:rsid w:val="00393E01"/>
    <w:rsid w:val="00396896"/>
    <w:rsid w:val="00396EA5"/>
    <w:rsid w:val="00396FD0"/>
    <w:rsid w:val="00397946"/>
    <w:rsid w:val="003A0690"/>
    <w:rsid w:val="003A1A7A"/>
    <w:rsid w:val="003A2392"/>
    <w:rsid w:val="003A247C"/>
    <w:rsid w:val="003A2831"/>
    <w:rsid w:val="003A2CAA"/>
    <w:rsid w:val="003A3CB6"/>
    <w:rsid w:val="003A3ED1"/>
    <w:rsid w:val="003A44DB"/>
    <w:rsid w:val="003A4C14"/>
    <w:rsid w:val="003B3971"/>
    <w:rsid w:val="003B4876"/>
    <w:rsid w:val="003B5118"/>
    <w:rsid w:val="003B55D1"/>
    <w:rsid w:val="003B5613"/>
    <w:rsid w:val="003B59BF"/>
    <w:rsid w:val="003B5B61"/>
    <w:rsid w:val="003B72CD"/>
    <w:rsid w:val="003B73AC"/>
    <w:rsid w:val="003C0F25"/>
    <w:rsid w:val="003C1654"/>
    <w:rsid w:val="003C2675"/>
    <w:rsid w:val="003C355E"/>
    <w:rsid w:val="003C5542"/>
    <w:rsid w:val="003C5C9B"/>
    <w:rsid w:val="003C5DD7"/>
    <w:rsid w:val="003C6CE5"/>
    <w:rsid w:val="003C7266"/>
    <w:rsid w:val="003C76A2"/>
    <w:rsid w:val="003C7C15"/>
    <w:rsid w:val="003C7D19"/>
    <w:rsid w:val="003C7D2F"/>
    <w:rsid w:val="003D0C5A"/>
    <w:rsid w:val="003D1828"/>
    <w:rsid w:val="003D187F"/>
    <w:rsid w:val="003D1DE4"/>
    <w:rsid w:val="003D1E9A"/>
    <w:rsid w:val="003D2422"/>
    <w:rsid w:val="003D2A0A"/>
    <w:rsid w:val="003D2D51"/>
    <w:rsid w:val="003D3565"/>
    <w:rsid w:val="003D393D"/>
    <w:rsid w:val="003D39A1"/>
    <w:rsid w:val="003D3FBF"/>
    <w:rsid w:val="003D4A30"/>
    <w:rsid w:val="003D5533"/>
    <w:rsid w:val="003D68B0"/>
    <w:rsid w:val="003D7452"/>
    <w:rsid w:val="003D79BB"/>
    <w:rsid w:val="003D7C98"/>
    <w:rsid w:val="003D7D9D"/>
    <w:rsid w:val="003E0543"/>
    <w:rsid w:val="003E1C9D"/>
    <w:rsid w:val="003E2A0C"/>
    <w:rsid w:val="003E39B7"/>
    <w:rsid w:val="003E3E14"/>
    <w:rsid w:val="003E3FBD"/>
    <w:rsid w:val="003E5603"/>
    <w:rsid w:val="003E5DE1"/>
    <w:rsid w:val="003E5F28"/>
    <w:rsid w:val="003E749E"/>
    <w:rsid w:val="003F0575"/>
    <w:rsid w:val="003F0DF9"/>
    <w:rsid w:val="003F38CF"/>
    <w:rsid w:val="003F4156"/>
    <w:rsid w:val="003F4897"/>
    <w:rsid w:val="003F4AF9"/>
    <w:rsid w:val="003F5ADF"/>
    <w:rsid w:val="00400B29"/>
    <w:rsid w:val="00402812"/>
    <w:rsid w:val="00404E24"/>
    <w:rsid w:val="00404F19"/>
    <w:rsid w:val="0040504B"/>
    <w:rsid w:val="004059F4"/>
    <w:rsid w:val="00405F1B"/>
    <w:rsid w:val="00407688"/>
    <w:rsid w:val="00407E61"/>
    <w:rsid w:val="00407FE5"/>
    <w:rsid w:val="004101B0"/>
    <w:rsid w:val="00410326"/>
    <w:rsid w:val="00410708"/>
    <w:rsid w:val="00410EC7"/>
    <w:rsid w:val="00411B39"/>
    <w:rsid w:val="004127A7"/>
    <w:rsid w:val="00413168"/>
    <w:rsid w:val="004133D4"/>
    <w:rsid w:val="00413A1E"/>
    <w:rsid w:val="00414476"/>
    <w:rsid w:val="00414C2E"/>
    <w:rsid w:val="004151CF"/>
    <w:rsid w:val="00415912"/>
    <w:rsid w:val="0041609A"/>
    <w:rsid w:val="00416312"/>
    <w:rsid w:val="00416364"/>
    <w:rsid w:val="0042047F"/>
    <w:rsid w:val="004208A7"/>
    <w:rsid w:val="00420AA6"/>
    <w:rsid w:val="00420B9F"/>
    <w:rsid w:val="00420D36"/>
    <w:rsid w:val="0042192C"/>
    <w:rsid w:val="00422176"/>
    <w:rsid w:val="00422260"/>
    <w:rsid w:val="0042258C"/>
    <w:rsid w:val="00423296"/>
    <w:rsid w:val="0042387E"/>
    <w:rsid w:val="004239DF"/>
    <w:rsid w:val="0042413F"/>
    <w:rsid w:val="004301D8"/>
    <w:rsid w:val="00430FF8"/>
    <w:rsid w:val="004314A0"/>
    <w:rsid w:val="004319F8"/>
    <w:rsid w:val="00431E55"/>
    <w:rsid w:val="004320C8"/>
    <w:rsid w:val="004321F6"/>
    <w:rsid w:val="00433044"/>
    <w:rsid w:val="004330DF"/>
    <w:rsid w:val="00433764"/>
    <w:rsid w:val="00434088"/>
    <w:rsid w:val="00434AE1"/>
    <w:rsid w:val="00435CF4"/>
    <w:rsid w:val="00436A73"/>
    <w:rsid w:val="004375B9"/>
    <w:rsid w:val="00437CD9"/>
    <w:rsid w:val="00441B8E"/>
    <w:rsid w:val="00441CA8"/>
    <w:rsid w:val="00442376"/>
    <w:rsid w:val="004428D0"/>
    <w:rsid w:val="00442D76"/>
    <w:rsid w:val="00444185"/>
    <w:rsid w:val="00444353"/>
    <w:rsid w:val="004443A7"/>
    <w:rsid w:val="0044442C"/>
    <w:rsid w:val="00445941"/>
    <w:rsid w:val="004464EB"/>
    <w:rsid w:val="00446577"/>
    <w:rsid w:val="00446606"/>
    <w:rsid w:val="00447224"/>
    <w:rsid w:val="00447D26"/>
    <w:rsid w:val="00447DFC"/>
    <w:rsid w:val="00450C57"/>
    <w:rsid w:val="004512F5"/>
    <w:rsid w:val="00453306"/>
    <w:rsid w:val="00453DE0"/>
    <w:rsid w:val="00455D45"/>
    <w:rsid w:val="00464595"/>
    <w:rsid w:val="004653A5"/>
    <w:rsid w:val="004658B5"/>
    <w:rsid w:val="0046748B"/>
    <w:rsid w:val="00471EA5"/>
    <w:rsid w:val="00471FAC"/>
    <w:rsid w:val="00472A79"/>
    <w:rsid w:val="00473CE6"/>
    <w:rsid w:val="00473F19"/>
    <w:rsid w:val="004746CF"/>
    <w:rsid w:val="00474F2A"/>
    <w:rsid w:val="00475E22"/>
    <w:rsid w:val="0048088E"/>
    <w:rsid w:val="00480F2B"/>
    <w:rsid w:val="00482720"/>
    <w:rsid w:val="004835E7"/>
    <w:rsid w:val="00483C7D"/>
    <w:rsid w:val="004849FC"/>
    <w:rsid w:val="004859E1"/>
    <w:rsid w:val="004867E2"/>
    <w:rsid w:val="00490B17"/>
    <w:rsid w:val="00490E71"/>
    <w:rsid w:val="00491B3A"/>
    <w:rsid w:val="00492CFD"/>
    <w:rsid w:val="00494207"/>
    <w:rsid w:val="00494315"/>
    <w:rsid w:val="00494DD5"/>
    <w:rsid w:val="004962D2"/>
    <w:rsid w:val="004A0DA1"/>
    <w:rsid w:val="004A13D6"/>
    <w:rsid w:val="004A2424"/>
    <w:rsid w:val="004A52E9"/>
    <w:rsid w:val="004A5492"/>
    <w:rsid w:val="004A6040"/>
    <w:rsid w:val="004A6524"/>
    <w:rsid w:val="004A652F"/>
    <w:rsid w:val="004A6597"/>
    <w:rsid w:val="004A7848"/>
    <w:rsid w:val="004A793B"/>
    <w:rsid w:val="004B0904"/>
    <w:rsid w:val="004B1CB4"/>
    <w:rsid w:val="004B2623"/>
    <w:rsid w:val="004B2F18"/>
    <w:rsid w:val="004B3DDB"/>
    <w:rsid w:val="004B44FD"/>
    <w:rsid w:val="004B5CFC"/>
    <w:rsid w:val="004B6F79"/>
    <w:rsid w:val="004B774D"/>
    <w:rsid w:val="004B7ECB"/>
    <w:rsid w:val="004C27FB"/>
    <w:rsid w:val="004C2AC2"/>
    <w:rsid w:val="004C33EC"/>
    <w:rsid w:val="004C3B02"/>
    <w:rsid w:val="004C44E2"/>
    <w:rsid w:val="004C4AED"/>
    <w:rsid w:val="004C4FBD"/>
    <w:rsid w:val="004C5233"/>
    <w:rsid w:val="004C52C2"/>
    <w:rsid w:val="004C6107"/>
    <w:rsid w:val="004C6EF9"/>
    <w:rsid w:val="004D0309"/>
    <w:rsid w:val="004D2C2D"/>
    <w:rsid w:val="004D3A10"/>
    <w:rsid w:val="004D69B5"/>
    <w:rsid w:val="004D7227"/>
    <w:rsid w:val="004D7B5E"/>
    <w:rsid w:val="004E0E7F"/>
    <w:rsid w:val="004E0EB8"/>
    <w:rsid w:val="004E132F"/>
    <w:rsid w:val="004E18E9"/>
    <w:rsid w:val="004E2068"/>
    <w:rsid w:val="004E2894"/>
    <w:rsid w:val="004E2ADC"/>
    <w:rsid w:val="004E3157"/>
    <w:rsid w:val="004E43B2"/>
    <w:rsid w:val="004E4E26"/>
    <w:rsid w:val="004E5916"/>
    <w:rsid w:val="004E64DD"/>
    <w:rsid w:val="004F1900"/>
    <w:rsid w:val="004F1D02"/>
    <w:rsid w:val="004F1F96"/>
    <w:rsid w:val="004F2679"/>
    <w:rsid w:val="004F2F21"/>
    <w:rsid w:val="004F306D"/>
    <w:rsid w:val="004F3232"/>
    <w:rsid w:val="004F36E3"/>
    <w:rsid w:val="004F3A1E"/>
    <w:rsid w:val="004F3DE5"/>
    <w:rsid w:val="004F4A5D"/>
    <w:rsid w:val="004F57D6"/>
    <w:rsid w:val="004F68C2"/>
    <w:rsid w:val="004F6913"/>
    <w:rsid w:val="004F7865"/>
    <w:rsid w:val="0050174E"/>
    <w:rsid w:val="00501854"/>
    <w:rsid w:val="0050219B"/>
    <w:rsid w:val="00503021"/>
    <w:rsid w:val="00503F17"/>
    <w:rsid w:val="00503F3A"/>
    <w:rsid w:val="00506928"/>
    <w:rsid w:val="00507065"/>
    <w:rsid w:val="005077EF"/>
    <w:rsid w:val="00511AD5"/>
    <w:rsid w:val="00511DC7"/>
    <w:rsid w:val="00512445"/>
    <w:rsid w:val="005142C5"/>
    <w:rsid w:val="00514EA4"/>
    <w:rsid w:val="0051501B"/>
    <w:rsid w:val="005152B5"/>
    <w:rsid w:val="00515886"/>
    <w:rsid w:val="00520454"/>
    <w:rsid w:val="0052123C"/>
    <w:rsid w:val="0052128D"/>
    <w:rsid w:val="00521319"/>
    <w:rsid w:val="00522BC8"/>
    <w:rsid w:val="00523C28"/>
    <w:rsid w:val="005249AA"/>
    <w:rsid w:val="00525B4D"/>
    <w:rsid w:val="00525B6C"/>
    <w:rsid w:val="00526ED2"/>
    <w:rsid w:val="005271B9"/>
    <w:rsid w:val="00527C2B"/>
    <w:rsid w:val="00530A19"/>
    <w:rsid w:val="0053176B"/>
    <w:rsid w:val="005341B3"/>
    <w:rsid w:val="00535CB6"/>
    <w:rsid w:val="00536F42"/>
    <w:rsid w:val="00537182"/>
    <w:rsid w:val="005411DD"/>
    <w:rsid w:val="00541EDD"/>
    <w:rsid w:val="00542743"/>
    <w:rsid w:val="00542C2D"/>
    <w:rsid w:val="005462CE"/>
    <w:rsid w:val="00546745"/>
    <w:rsid w:val="00546BF4"/>
    <w:rsid w:val="005475AE"/>
    <w:rsid w:val="005478BD"/>
    <w:rsid w:val="005479E3"/>
    <w:rsid w:val="00547FED"/>
    <w:rsid w:val="00551985"/>
    <w:rsid w:val="00552BD3"/>
    <w:rsid w:val="005532A0"/>
    <w:rsid w:val="00554502"/>
    <w:rsid w:val="00554F27"/>
    <w:rsid w:val="00555109"/>
    <w:rsid w:val="005556F6"/>
    <w:rsid w:val="00556985"/>
    <w:rsid w:val="00556B35"/>
    <w:rsid w:val="00556C33"/>
    <w:rsid w:val="0055741A"/>
    <w:rsid w:val="005605A3"/>
    <w:rsid w:val="005611B7"/>
    <w:rsid w:val="005611F9"/>
    <w:rsid w:val="005618D4"/>
    <w:rsid w:val="00562980"/>
    <w:rsid w:val="00564867"/>
    <w:rsid w:val="00564EFA"/>
    <w:rsid w:val="005657CB"/>
    <w:rsid w:val="00565C79"/>
    <w:rsid w:val="00565DF0"/>
    <w:rsid w:val="00565F9B"/>
    <w:rsid w:val="0056696F"/>
    <w:rsid w:val="00567691"/>
    <w:rsid w:val="00572269"/>
    <w:rsid w:val="0057244A"/>
    <w:rsid w:val="00572F26"/>
    <w:rsid w:val="00572F54"/>
    <w:rsid w:val="00574132"/>
    <w:rsid w:val="005750C5"/>
    <w:rsid w:val="005752DE"/>
    <w:rsid w:val="005757C7"/>
    <w:rsid w:val="00575D60"/>
    <w:rsid w:val="00575D8D"/>
    <w:rsid w:val="00576972"/>
    <w:rsid w:val="00576C43"/>
    <w:rsid w:val="00577248"/>
    <w:rsid w:val="00577477"/>
    <w:rsid w:val="00577EFE"/>
    <w:rsid w:val="00577F81"/>
    <w:rsid w:val="0058276C"/>
    <w:rsid w:val="00583135"/>
    <w:rsid w:val="00583699"/>
    <w:rsid w:val="00583E72"/>
    <w:rsid w:val="00585CDD"/>
    <w:rsid w:val="00586755"/>
    <w:rsid w:val="00587058"/>
    <w:rsid w:val="005915CB"/>
    <w:rsid w:val="00591957"/>
    <w:rsid w:val="005932CA"/>
    <w:rsid w:val="005954F3"/>
    <w:rsid w:val="005962CC"/>
    <w:rsid w:val="00597BF9"/>
    <w:rsid w:val="005A0427"/>
    <w:rsid w:val="005A0681"/>
    <w:rsid w:val="005A0C11"/>
    <w:rsid w:val="005A2B5F"/>
    <w:rsid w:val="005A309A"/>
    <w:rsid w:val="005A3155"/>
    <w:rsid w:val="005A35B5"/>
    <w:rsid w:val="005A373D"/>
    <w:rsid w:val="005A5CBF"/>
    <w:rsid w:val="005A6D39"/>
    <w:rsid w:val="005B0B58"/>
    <w:rsid w:val="005B384D"/>
    <w:rsid w:val="005B4C3A"/>
    <w:rsid w:val="005B4E53"/>
    <w:rsid w:val="005B5623"/>
    <w:rsid w:val="005B5857"/>
    <w:rsid w:val="005B69FC"/>
    <w:rsid w:val="005B737B"/>
    <w:rsid w:val="005C19C4"/>
    <w:rsid w:val="005C1B83"/>
    <w:rsid w:val="005C2155"/>
    <w:rsid w:val="005C25FF"/>
    <w:rsid w:val="005C29DC"/>
    <w:rsid w:val="005C2D55"/>
    <w:rsid w:val="005C346B"/>
    <w:rsid w:val="005C5ABC"/>
    <w:rsid w:val="005C6525"/>
    <w:rsid w:val="005C7D2C"/>
    <w:rsid w:val="005D0229"/>
    <w:rsid w:val="005D044D"/>
    <w:rsid w:val="005D04E3"/>
    <w:rsid w:val="005D0ABD"/>
    <w:rsid w:val="005D0BAB"/>
    <w:rsid w:val="005D18AD"/>
    <w:rsid w:val="005D26B4"/>
    <w:rsid w:val="005D2E37"/>
    <w:rsid w:val="005D37B1"/>
    <w:rsid w:val="005D4367"/>
    <w:rsid w:val="005D4FBE"/>
    <w:rsid w:val="005D69E8"/>
    <w:rsid w:val="005E0205"/>
    <w:rsid w:val="005E1995"/>
    <w:rsid w:val="005E1CD1"/>
    <w:rsid w:val="005E2319"/>
    <w:rsid w:val="005E4786"/>
    <w:rsid w:val="005E4FE4"/>
    <w:rsid w:val="005E6CBC"/>
    <w:rsid w:val="005E72FF"/>
    <w:rsid w:val="005E73C0"/>
    <w:rsid w:val="005E781D"/>
    <w:rsid w:val="005E7B32"/>
    <w:rsid w:val="005F05E0"/>
    <w:rsid w:val="005F07ED"/>
    <w:rsid w:val="005F22F4"/>
    <w:rsid w:val="005F2706"/>
    <w:rsid w:val="005F2796"/>
    <w:rsid w:val="005F2F9D"/>
    <w:rsid w:val="005F3468"/>
    <w:rsid w:val="005F4CD8"/>
    <w:rsid w:val="005F4D1E"/>
    <w:rsid w:val="005F51C0"/>
    <w:rsid w:val="005F5475"/>
    <w:rsid w:val="005F5975"/>
    <w:rsid w:val="005F68BA"/>
    <w:rsid w:val="005F6A8F"/>
    <w:rsid w:val="005F6BB7"/>
    <w:rsid w:val="005F7588"/>
    <w:rsid w:val="00602504"/>
    <w:rsid w:val="006028D3"/>
    <w:rsid w:val="00603DB9"/>
    <w:rsid w:val="0060696C"/>
    <w:rsid w:val="00606FBA"/>
    <w:rsid w:val="00607669"/>
    <w:rsid w:val="006076F4"/>
    <w:rsid w:val="00607AFD"/>
    <w:rsid w:val="00611B12"/>
    <w:rsid w:val="00612F97"/>
    <w:rsid w:val="006131B5"/>
    <w:rsid w:val="0061345D"/>
    <w:rsid w:val="0061549B"/>
    <w:rsid w:val="00615A07"/>
    <w:rsid w:val="00615F38"/>
    <w:rsid w:val="006165A2"/>
    <w:rsid w:val="00616802"/>
    <w:rsid w:val="00617488"/>
    <w:rsid w:val="006174E2"/>
    <w:rsid w:val="00617E12"/>
    <w:rsid w:val="00620C25"/>
    <w:rsid w:val="00621037"/>
    <w:rsid w:val="00621477"/>
    <w:rsid w:val="00621ADA"/>
    <w:rsid w:val="006230AA"/>
    <w:rsid w:val="00623771"/>
    <w:rsid w:val="00623F7B"/>
    <w:rsid w:val="006248E6"/>
    <w:rsid w:val="00624BD4"/>
    <w:rsid w:val="0063158F"/>
    <w:rsid w:val="00631D6B"/>
    <w:rsid w:val="00632183"/>
    <w:rsid w:val="006330A1"/>
    <w:rsid w:val="0063479F"/>
    <w:rsid w:val="00635021"/>
    <w:rsid w:val="006353F0"/>
    <w:rsid w:val="006357B5"/>
    <w:rsid w:val="00636367"/>
    <w:rsid w:val="006364A1"/>
    <w:rsid w:val="0063678E"/>
    <w:rsid w:val="00636C95"/>
    <w:rsid w:val="006378C7"/>
    <w:rsid w:val="00637A3E"/>
    <w:rsid w:val="00637BFD"/>
    <w:rsid w:val="00637C5C"/>
    <w:rsid w:val="00641C4E"/>
    <w:rsid w:val="00641FB3"/>
    <w:rsid w:val="0064434C"/>
    <w:rsid w:val="006457C7"/>
    <w:rsid w:val="006471CC"/>
    <w:rsid w:val="006472FE"/>
    <w:rsid w:val="00647A29"/>
    <w:rsid w:val="0065079F"/>
    <w:rsid w:val="00652A28"/>
    <w:rsid w:val="0065379F"/>
    <w:rsid w:val="00654BAA"/>
    <w:rsid w:val="006556B3"/>
    <w:rsid w:val="00656188"/>
    <w:rsid w:val="00656606"/>
    <w:rsid w:val="006568FC"/>
    <w:rsid w:val="0065715A"/>
    <w:rsid w:val="00660EA9"/>
    <w:rsid w:val="006610F1"/>
    <w:rsid w:val="00661A02"/>
    <w:rsid w:val="00661C6B"/>
    <w:rsid w:val="00662D3E"/>
    <w:rsid w:val="00666473"/>
    <w:rsid w:val="00667BE3"/>
    <w:rsid w:val="00667D4E"/>
    <w:rsid w:val="00671004"/>
    <w:rsid w:val="00672646"/>
    <w:rsid w:val="006729A6"/>
    <w:rsid w:val="00674E42"/>
    <w:rsid w:val="00675F80"/>
    <w:rsid w:val="00676563"/>
    <w:rsid w:val="00676F83"/>
    <w:rsid w:val="00677E51"/>
    <w:rsid w:val="006813F8"/>
    <w:rsid w:val="00682112"/>
    <w:rsid w:val="006823CE"/>
    <w:rsid w:val="00682BA6"/>
    <w:rsid w:val="0068357E"/>
    <w:rsid w:val="00683DFC"/>
    <w:rsid w:val="00684E07"/>
    <w:rsid w:val="00686957"/>
    <w:rsid w:val="006872BA"/>
    <w:rsid w:val="006879A6"/>
    <w:rsid w:val="00690795"/>
    <w:rsid w:val="00691595"/>
    <w:rsid w:val="00691648"/>
    <w:rsid w:val="0069171F"/>
    <w:rsid w:val="006917D7"/>
    <w:rsid w:val="0069182F"/>
    <w:rsid w:val="00691EFE"/>
    <w:rsid w:val="00694209"/>
    <w:rsid w:val="0069434C"/>
    <w:rsid w:val="00694BE9"/>
    <w:rsid w:val="00694C71"/>
    <w:rsid w:val="00694F44"/>
    <w:rsid w:val="00695891"/>
    <w:rsid w:val="00695E65"/>
    <w:rsid w:val="00696EF9"/>
    <w:rsid w:val="00696F51"/>
    <w:rsid w:val="006979A5"/>
    <w:rsid w:val="006A016F"/>
    <w:rsid w:val="006A0DF7"/>
    <w:rsid w:val="006A1158"/>
    <w:rsid w:val="006A1655"/>
    <w:rsid w:val="006A30DA"/>
    <w:rsid w:val="006A4321"/>
    <w:rsid w:val="006A43D9"/>
    <w:rsid w:val="006A4667"/>
    <w:rsid w:val="006A481A"/>
    <w:rsid w:val="006A5603"/>
    <w:rsid w:val="006A62A1"/>
    <w:rsid w:val="006A6B99"/>
    <w:rsid w:val="006A7E5F"/>
    <w:rsid w:val="006B030F"/>
    <w:rsid w:val="006B261B"/>
    <w:rsid w:val="006B2C90"/>
    <w:rsid w:val="006B35E6"/>
    <w:rsid w:val="006B408C"/>
    <w:rsid w:val="006B465A"/>
    <w:rsid w:val="006B5BB9"/>
    <w:rsid w:val="006B5F77"/>
    <w:rsid w:val="006B6DD0"/>
    <w:rsid w:val="006C0193"/>
    <w:rsid w:val="006C0399"/>
    <w:rsid w:val="006C2A8E"/>
    <w:rsid w:val="006C3255"/>
    <w:rsid w:val="006C390E"/>
    <w:rsid w:val="006C3F26"/>
    <w:rsid w:val="006D0D17"/>
    <w:rsid w:val="006D1B58"/>
    <w:rsid w:val="006D3C7D"/>
    <w:rsid w:val="006D3E3D"/>
    <w:rsid w:val="006D4659"/>
    <w:rsid w:val="006D4C8D"/>
    <w:rsid w:val="006D5D5F"/>
    <w:rsid w:val="006D68FB"/>
    <w:rsid w:val="006D7F0C"/>
    <w:rsid w:val="006E2868"/>
    <w:rsid w:val="006E532B"/>
    <w:rsid w:val="006F1F4D"/>
    <w:rsid w:val="006F306C"/>
    <w:rsid w:val="006F3B12"/>
    <w:rsid w:val="006F4216"/>
    <w:rsid w:val="006F4879"/>
    <w:rsid w:val="006F516A"/>
    <w:rsid w:val="006F63A5"/>
    <w:rsid w:val="00700110"/>
    <w:rsid w:val="0070142B"/>
    <w:rsid w:val="007014B4"/>
    <w:rsid w:val="00701A8E"/>
    <w:rsid w:val="0070276E"/>
    <w:rsid w:val="00702F8F"/>
    <w:rsid w:val="0070379F"/>
    <w:rsid w:val="00704D87"/>
    <w:rsid w:val="007079FC"/>
    <w:rsid w:val="00710360"/>
    <w:rsid w:val="00711314"/>
    <w:rsid w:val="00711A36"/>
    <w:rsid w:val="00711B51"/>
    <w:rsid w:val="007125D3"/>
    <w:rsid w:val="00712BAC"/>
    <w:rsid w:val="00713F8C"/>
    <w:rsid w:val="00714C26"/>
    <w:rsid w:val="0071529C"/>
    <w:rsid w:val="007170DA"/>
    <w:rsid w:val="007172AD"/>
    <w:rsid w:val="00717546"/>
    <w:rsid w:val="00717F27"/>
    <w:rsid w:val="00720801"/>
    <w:rsid w:val="00721917"/>
    <w:rsid w:val="00721D48"/>
    <w:rsid w:val="00722B1B"/>
    <w:rsid w:val="0072335B"/>
    <w:rsid w:val="0072416F"/>
    <w:rsid w:val="00724263"/>
    <w:rsid w:val="00727C94"/>
    <w:rsid w:val="00731B0A"/>
    <w:rsid w:val="00731E3F"/>
    <w:rsid w:val="00731EAE"/>
    <w:rsid w:val="00731F50"/>
    <w:rsid w:val="00733073"/>
    <w:rsid w:val="00734C03"/>
    <w:rsid w:val="00734D2B"/>
    <w:rsid w:val="00735033"/>
    <w:rsid w:val="00735328"/>
    <w:rsid w:val="0073685B"/>
    <w:rsid w:val="00737672"/>
    <w:rsid w:val="007427A9"/>
    <w:rsid w:val="007436F7"/>
    <w:rsid w:val="0074374A"/>
    <w:rsid w:val="007449BF"/>
    <w:rsid w:val="00744B8B"/>
    <w:rsid w:val="007463FE"/>
    <w:rsid w:val="00746BC0"/>
    <w:rsid w:val="00747182"/>
    <w:rsid w:val="00747252"/>
    <w:rsid w:val="00750BAE"/>
    <w:rsid w:val="007510B4"/>
    <w:rsid w:val="00751C3F"/>
    <w:rsid w:val="00752142"/>
    <w:rsid w:val="007523F9"/>
    <w:rsid w:val="0075357E"/>
    <w:rsid w:val="00753B29"/>
    <w:rsid w:val="00756312"/>
    <w:rsid w:val="007573E8"/>
    <w:rsid w:val="007603F0"/>
    <w:rsid w:val="00760AC5"/>
    <w:rsid w:val="00760C4E"/>
    <w:rsid w:val="00760F9E"/>
    <w:rsid w:val="007616E6"/>
    <w:rsid w:val="007627BE"/>
    <w:rsid w:val="00763D68"/>
    <w:rsid w:val="00764604"/>
    <w:rsid w:val="00764F03"/>
    <w:rsid w:val="00765B1A"/>
    <w:rsid w:val="00765DC1"/>
    <w:rsid w:val="0076658B"/>
    <w:rsid w:val="00774359"/>
    <w:rsid w:val="00774386"/>
    <w:rsid w:val="007757EB"/>
    <w:rsid w:val="00776A29"/>
    <w:rsid w:val="0077722A"/>
    <w:rsid w:val="00777335"/>
    <w:rsid w:val="007821EB"/>
    <w:rsid w:val="0078357F"/>
    <w:rsid w:val="00783C4E"/>
    <w:rsid w:val="007843F2"/>
    <w:rsid w:val="007846FA"/>
    <w:rsid w:val="007854F6"/>
    <w:rsid w:val="007859D3"/>
    <w:rsid w:val="00785A9F"/>
    <w:rsid w:val="00785E9E"/>
    <w:rsid w:val="00787A3C"/>
    <w:rsid w:val="00787A75"/>
    <w:rsid w:val="007907F7"/>
    <w:rsid w:val="00790F16"/>
    <w:rsid w:val="0079117E"/>
    <w:rsid w:val="007913F7"/>
    <w:rsid w:val="007925DF"/>
    <w:rsid w:val="00792A1F"/>
    <w:rsid w:val="00794B0E"/>
    <w:rsid w:val="0079525E"/>
    <w:rsid w:val="00795D1A"/>
    <w:rsid w:val="0079648A"/>
    <w:rsid w:val="007A0774"/>
    <w:rsid w:val="007A08AA"/>
    <w:rsid w:val="007A0A12"/>
    <w:rsid w:val="007A0F1D"/>
    <w:rsid w:val="007A12D3"/>
    <w:rsid w:val="007A132D"/>
    <w:rsid w:val="007A1345"/>
    <w:rsid w:val="007A2DDB"/>
    <w:rsid w:val="007A6338"/>
    <w:rsid w:val="007A70BA"/>
    <w:rsid w:val="007B083A"/>
    <w:rsid w:val="007B0D68"/>
    <w:rsid w:val="007B13B7"/>
    <w:rsid w:val="007B1EDB"/>
    <w:rsid w:val="007B251D"/>
    <w:rsid w:val="007B2B7F"/>
    <w:rsid w:val="007B3533"/>
    <w:rsid w:val="007B4F58"/>
    <w:rsid w:val="007B528D"/>
    <w:rsid w:val="007B63CA"/>
    <w:rsid w:val="007B6B92"/>
    <w:rsid w:val="007B77D1"/>
    <w:rsid w:val="007B7FC4"/>
    <w:rsid w:val="007C07C7"/>
    <w:rsid w:val="007C0944"/>
    <w:rsid w:val="007C1CD9"/>
    <w:rsid w:val="007C32EF"/>
    <w:rsid w:val="007C361D"/>
    <w:rsid w:val="007C40DE"/>
    <w:rsid w:val="007C4B84"/>
    <w:rsid w:val="007C70FF"/>
    <w:rsid w:val="007C71B5"/>
    <w:rsid w:val="007C7C25"/>
    <w:rsid w:val="007D004F"/>
    <w:rsid w:val="007D035F"/>
    <w:rsid w:val="007D06B2"/>
    <w:rsid w:val="007D0B38"/>
    <w:rsid w:val="007D2200"/>
    <w:rsid w:val="007D4D1C"/>
    <w:rsid w:val="007D5440"/>
    <w:rsid w:val="007D5895"/>
    <w:rsid w:val="007D5ED9"/>
    <w:rsid w:val="007D649B"/>
    <w:rsid w:val="007D66E1"/>
    <w:rsid w:val="007D6935"/>
    <w:rsid w:val="007D69EB"/>
    <w:rsid w:val="007D72B6"/>
    <w:rsid w:val="007D7446"/>
    <w:rsid w:val="007E128F"/>
    <w:rsid w:val="007E13EA"/>
    <w:rsid w:val="007E21E6"/>
    <w:rsid w:val="007E3426"/>
    <w:rsid w:val="007E3EE4"/>
    <w:rsid w:val="007E45DC"/>
    <w:rsid w:val="007E648A"/>
    <w:rsid w:val="007E7BE2"/>
    <w:rsid w:val="007F1017"/>
    <w:rsid w:val="007F1D4D"/>
    <w:rsid w:val="007F336F"/>
    <w:rsid w:val="007F385B"/>
    <w:rsid w:val="007F3B0D"/>
    <w:rsid w:val="007F4A3F"/>
    <w:rsid w:val="007F4A61"/>
    <w:rsid w:val="007F5255"/>
    <w:rsid w:val="007F56CC"/>
    <w:rsid w:val="007F61C2"/>
    <w:rsid w:val="007F7C86"/>
    <w:rsid w:val="0080089D"/>
    <w:rsid w:val="00800F46"/>
    <w:rsid w:val="008011B3"/>
    <w:rsid w:val="00802C07"/>
    <w:rsid w:val="00805142"/>
    <w:rsid w:val="0080566B"/>
    <w:rsid w:val="00805AB3"/>
    <w:rsid w:val="00805FCE"/>
    <w:rsid w:val="00806DC6"/>
    <w:rsid w:val="00807A8B"/>
    <w:rsid w:val="00811383"/>
    <w:rsid w:val="0081208B"/>
    <w:rsid w:val="00812149"/>
    <w:rsid w:val="00812CAC"/>
    <w:rsid w:val="00813EA5"/>
    <w:rsid w:val="00814B71"/>
    <w:rsid w:val="00816361"/>
    <w:rsid w:val="008166EF"/>
    <w:rsid w:val="00816FEF"/>
    <w:rsid w:val="00817A91"/>
    <w:rsid w:val="00817CC2"/>
    <w:rsid w:val="008203C9"/>
    <w:rsid w:val="00820A8C"/>
    <w:rsid w:val="008215FB"/>
    <w:rsid w:val="008220CC"/>
    <w:rsid w:val="00823174"/>
    <w:rsid w:val="00824ADE"/>
    <w:rsid w:val="00825599"/>
    <w:rsid w:val="00825751"/>
    <w:rsid w:val="008264EB"/>
    <w:rsid w:val="00826853"/>
    <w:rsid w:val="008268CE"/>
    <w:rsid w:val="00827C23"/>
    <w:rsid w:val="0083029A"/>
    <w:rsid w:val="00831247"/>
    <w:rsid w:val="00832036"/>
    <w:rsid w:val="008339F1"/>
    <w:rsid w:val="00833B05"/>
    <w:rsid w:val="00834AE8"/>
    <w:rsid w:val="008362B4"/>
    <w:rsid w:val="00837A70"/>
    <w:rsid w:val="008409F0"/>
    <w:rsid w:val="00840CA2"/>
    <w:rsid w:val="008411B8"/>
    <w:rsid w:val="00841496"/>
    <w:rsid w:val="0084275A"/>
    <w:rsid w:val="0084374F"/>
    <w:rsid w:val="008440D9"/>
    <w:rsid w:val="00844882"/>
    <w:rsid w:val="00844A22"/>
    <w:rsid w:val="00846346"/>
    <w:rsid w:val="00847703"/>
    <w:rsid w:val="00847DF5"/>
    <w:rsid w:val="00847FF6"/>
    <w:rsid w:val="0085120F"/>
    <w:rsid w:val="0085249C"/>
    <w:rsid w:val="00852B00"/>
    <w:rsid w:val="00852CC3"/>
    <w:rsid w:val="0085309D"/>
    <w:rsid w:val="00853C5A"/>
    <w:rsid w:val="008550A3"/>
    <w:rsid w:val="008556F0"/>
    <w:rsid w:val="00856897"/>
    <w:rsid w:val="00856E9A"/>
    <w:rsid w:val="008579EF"/>
    <w:rsid w:val="0086075D"/>
    <w:rsid w:val="00862502"/>
    <w:rsid w:val="00862CC1"/>
    <w:rsid w:val="00863432"/>
    <w:rsid w:val="00864159"/>
    <w:rsid w:val="008642A7"/>
    <w:rsid w:val="00864558"/>
    <w:rsid w:val="008655EB"/>
    <w:rsid w:val="008660D4"/>
    <w:rsid w:val="00866BFE"/>
    <w:rsid w:val="008679B9"/>
    <w:rsid w:val="008711A5"/>
    <w:rsid w:val="00871319"/>
    <w:rsid w:val="00871824"/>
    <w:rsid w:val="00871FA9"/>
    <w:rsid w:val="008728E9"/>
    <w:rsid w:val="00872F86"/>
    <w:rsid w:val="008740AE"/>
    <w:rsid w:val="00875587"/>
    <w:rsid w:val="00877AAC"/>
    <w:rsid w:val="008810C3"/>
    <w:rsid w:val="008817F2"/>
    <w:rsid w:val="00881DBF"/>
    <w:rsid w:val="00882874"/>
    <w:rsid w:val="00882976"/>
    <w:rsid w:val="00882E3C"/>
    <w:rsid w:val="0088308A"/>
    <w:rsid w:val="00883787"/>
    <w:rsid w:val="00883DA2"/>
    <w:rsid w:val="00884BEB"/>
    <w:rsid w:val="008855E4"/>
    <w:rsid w:val="008859B8"/>
    <w:rsid w:val="00886CD2"/>
    <w:rsid w:val="00886D7F"/>
    <w:rsid w:val="00891E6F"/>
    <w:rsid w:val="0089275D"/>
    <w:rsid w:val="00892A36"/>
    <w:rsid w:val="00892D25"/>
    <w:rsid w:val="00892F52"/>
    <w:rsid w:val="00893239"/>
    <w:rsid w:val="0089420E"/>
    <w:rsid w:val="00894489"/>
    <w:rsid w:val="00894CD6"/>
    <w:rsid w:val="008962E8"/>
    <w:rsid w:val="008963A5"/>
    <w:rsid w:val="008965F4"/>
    <w:rsid w:val="00896D5D"/>
    <w:rsid w:val="008A217F"/>
    <w:rsid w:val="008A3158"/>
    <w:rsid w:val="008A3363"/>
    <w:rsid w:val="008A3371"/>
    <w:rsid w:val="008A33BE"/>
    <w:rsid w:val="008A351E"/>
    <w:rsid w:val="008A3C3E"/>
    <w:rsid w:val="008A3D22"/>
    <w:rsid w:val="008A711B"/>
    <w:rsid w:val="008A79DE"/>
    <w:rsid w:val="008B1757"/>
    <w:rsid w:val="008B1C33"/>
    <w:rsid w:val="008B1C88"/>
    <w:rsid w:val="008B42FE"/>
    <w:rsid w:val="008B4B6F"/>
    <w:rsid w:val="008B5271"/>
    <w:rsid w:val="008B5AD1"/>
    <w:rsid w:val="008B6E33"/>
    <w:rsid w:val="008B7992"/>
    <w:rsid w:val="008B7D5C"/>
    <w:rsid w:val="008B7D7E"/>
    <w:rsid w:val="008C248A"/>
    <w:rsid w:val="008C336B"/>
    <w:rsid w:val="008C3DA2"/>
    <w:rsid w:val="008C5610"/>
    <w:rsid w:val="008C5739"/>
    <w:rsid w:val="008C6C04"/>
    <w:rsid w:val="008C7282"/>
    <w:rsid w:val="008C7ECB"/>
    <w:rsid w:val="008D2694"/>
    <w:rsid w:val="008D3B86"/>
    <w:rsid w:val="008D43FD"/>
    <w:rsid w:val="008D4755"/>
    <w:rsid w:val="008D47B5"/>
    <w:rsid w:val="008D491D"/>
    <w:rsid w:val="008D4C3D"/>
    <w:rsid w:val="008D6753"/>
    <w:rsid w:val="008D743C"/>
    <w:rsid w:val="008E0A77"/>
    <w:rsid w:val="008E0D3C"/>
    <w:rsid w:val="008E1B9E"/>
    <w:rsid w:val="008E2188"/>
    <w:rsid w:val="008E559A"/>
    <w:rsid w:val="008E55AB"/>
    <w:rsid w:val="008E6C20"/>
    <w:rsid w:val="008F0447"/>
    <w:rsid w:val="008F120A"/>
    <w:rsid w:val="008F1EAC"/>
    <w:rsid w:val="008F27E0"/>
    <w:rsid w:val="008F48EB"/>
    <w:rsid w:val="008F4F0B"/>
    <w:rsid w:val="008F4F88"/>
    <w:rsid w:val="00903B2B"/>
    <w:rsid w:val="00903B6F"/>
    <w:rsid w:val="009044A3"/>
    <w:rsid w:val="009046C4"/>
    <w:rsid w:val="009062A5"/>
    <w:rsid w:val="00906D1C"/>
    <w:rsid w:val="00907699"/>
    <w:rsid w:val="00907AD7"/>
    <w:rsid w:val="00910FA7"/>
    <w:rsid w:val="00911272"/>
    <w:rsid w:val="00911339"/>
    <w:rsid w:val="009135D6"/>
    <w:rsid w:val="00914C77"/>
    <w:rsid w:val="00921ACB"/>
    <w:rsid w:val="0092369B"/>
    <w:rsid w:val="00923DB4"/>
    <w:rsid w:val="00925528"/>
    <w:rsid w:val="009258DD"/>
    <w:rsid w:val="00926EF1"/>
    <w:rsid w:val="00927932"/>
    <w:rsid w:val="00934988"/>
    <w:rsid w:val="0093519E"/>
    <w:rsid w:val="0093615D"/>
    <w:rsid w:val="00936214"/>
    <w:rsid w:val="00937089"/>
    <w:rsid w:val="0093716F"/>
    <w:rsid w:val="00937F15"/>
    <w:rsid w:val="00941982"/>
    <w:rsid w:val="00943CDD"/>
    <w:rsid w:val="00944F8A"/>
    <w:rsid w:val="0094589B"/>
    <w:rsid w:val="00945E67"/>
    <w:rsid w:val="00950A63"/>
    <w:rsid w:val="00950C60"/>
    <w:rsid w:val="00950CCE"/>
    <w:rsid w:val="00950FC9"/>
    <w:rsid w:val="009510A2"/>
    <w:rsid w:val="00953257"/>
    <w:rsid w:val="009539DE"/>
    <w:rsid w:val="0095474C"/>
    <w:rsid w:val="00955911"/>
    <w:rsid w:val="00957D92"/>
    <w:rsid w:val="009618E4"/>
    <w:rsid w:val="009622CF"/>
    <w:rsid w:val="00962591"/>
    <w:rsid w:val="00962B54"/>
    <w:rsid w:val="00962CB9"/>
    <w:rsid w:val="00964312"/>
    <w:rsid w:val="009656CF"/>
    <w:rsid w:val="00965B8A"/>
    <w:rsid w:val="0097071F"/>
    <w:rsid w:val="00970815"/>
    <w:rsid w:val="00970DCC"/>
    <w:rsid w:val="00971796"/>
    <w:rsid w:val="009717AC"/>
    <w:rsid w:val="009717D4"/>
    <w:rsid w:val="00972528"/>
    <w:rsid w:val="009751C1"/>
    <w:rsid w:val="009775C9"/>
    <w:rsid w:val="00977E4D"/>
    <w:rsid w:val="009811F1"/>
    <w:rsid w:val="00981EEC"/>
    <w:rsid w:val="0098262F"/>
    <w:rsid w:val="0098358B"/>
    <w:rsid w:val="00983684"/>
    <w:rsid w:val="00983E57"/>
    <w:rsid w:val="0098458B"/>
    <w:rsid w:val="0098508D"/>
    <w:rsid w:val="00985868"/>
    <w:rsid w:val="009858E2"/>
    <w:rsid w:val="00985DE2"/>
    <w:rsid w:val="0098675D"/>
    <w:rsid w:val="00986A6F"/>
    <w:rsid w:val="00986E90"/>
    <w:rsid w:val="00987228"/>
    <w:rsid w:val="00987BA4"/>
    <w:rsid w:val="00987FA7"/>
    <w:rsid w:val="00990671"/>
    <w:rsid w:val="009913D2"/>
    <w:rsid w:val="009915CA"/>
    <w:rsid w:val="00992526"/>
    <w:rsid w:val="009926E0"/>
    <w:rsid w:val="00993750"/>
    <w:rsid w:val="009938BF"/>
    <w:rsid w:val="00993BE5"/>
    <w:rsid w:val="0099448B"/>
    <w:rsid w:val="0099451E"/>
    <w:rsid w:val="009968FA"/>
    <w:rsid w:val="00996B1A"/>
    <w:rsid w:val="009A18F6"/>
    <w:rsid w:val="009A2DCC"/>
    <w:rsid w:val="009A31C6"/>
    <w:rsid w:val="009A5ABC"/>
    <w:rsid w:val="009A7F10"/>
    <w:rsid w:val="009B02F6"/>
    <w:rsid w:val="009B20B0"/>
    <w:rsid w:val="009B3257"/>
    <w:rsid w:val="009B356D"/>
    <w:rsid w:val="009B390A"/>
    <w:rsid w:val="009B3E26"/>
    <w:rsid w:val="009B4F1F"/>
    <w:rsid w:val="009C1271"/>
    <w:rsid w:val="009C3706"/>
    <w:rsid w:val="009C3A3A"/>
    <w:rsid w:val="009C426B"/>
    <w:rsid w:val="009C6CEA"/>
    <w:rsid w:val="009C718A"/>
    <w:rsid w:val="009C7B85"/>
    <w:rsid w:val="009D0254"/>
    <w:rsid w:val="009D14E7"/>
    <w:rsid w:val="009D1A64"/>
    <w:rsid w:val="009D2907"/>
    <w:rsid w:val="009D5B91"/>
    <w:rsid w:val="009D5DE3"/>
    <w:rsid w:val="009D792E"/>
    <w:rsid w:val="009E0DFE"/>
    <w:rsid w:val="009E31F6"/>
    <w:rsid w:val="009E3CFE"/>
    <w:rsid w:val="009E4C07"/>
    <w:rsid w:val="009E777F"/>
    <w:rsid w:val="009F0449"/>
    <w:rsid w:val="009F241B"/>
    <w:rsid w:val="009F2BC8"/>
    <w:rsid w:val="009F5B66"/>
    <w:rsid w:val="009F6120"/>
    <w:rsid w:val="009F6CC7"/>
    <w:rsid w:val="009F7D25"/>
    <w:rsid w:val="009F7E3A"/>
    <w:rsid w:val="00A00D76"/>
    <w:rsid w:val="00A01184"/>
    <w:rsid w:val="00A01449"/>
    <w:rsid w:val="00A02A15"/>
    <w:rsid w:val="00A037C2"/>
    <w:rsid w:val="00A03D43"/>
    <w:rsid w:val="00A04380"/>
    <w:rsid w:val="00A04786"/>
    <w:rsid w:val="00A05472"/>
    <w:rsid w:val="00A05948"/>
    <w:rsid w:val="00A05C32"/>
    <w:rsid w:val="00A0653F"/>
    <w:rsid w:val="00A073EE"/>
    <w:rsid w:val="00A10BF5"/>
    <w:rsid w:val="00A11CD0"/>
    <w:rsid w:val="00A13948"/>
    <w:rsid w:val="00A1431F"/>
    <w:rsid w:val="00A1555B"/>
    <w:rsid w:val="00A155C5"/>
    <w:rsid w:val="00A16AD8"/>
    <w:rsid w:val="00A2021E"/>
    <w:rsid w:val="00A213A4"/>
    <w:rsid w:val="00A21C95"/>
    <w:rsid w:val="00A21CF3"/>
    <w:rsid w:val="00A22186"/>
    <w:rsid w:val="00A23347"/>
    <w:rsid w:val="00A238A5"/>
    <w:rsid w:val="00A23EB7"/>
    <w:rsid w:val="00A24813"/>
    <w:rsid w:val="00A259AE"/>
    <w:rsid w:val="00A25F8D"/>
    <w:rsid w:val="00A27947"/>
    <w:rsid w:val="00A27AEC"/>
    <w:rsid w:val="00A30712"/>
    <w:rsid w:val="00A317FC"/>
    <w:rsid w:val="00A31900"/>
    <w:rsid w:val="00A320DB"/>
    <w:rsid w:val="00A343A6"/>
    <w:rsid w:val="00A35411"/>
    <w:rsid w:val="00A35D16"/>
    <w:rsid w:val="00A37A51"/>
    <w:rsid w:val="00A37B09"/>
    <w:rsid w:val="00A37BCD"/>
    <w:rsid w:val="00A40677"/>
    <w:rsid w:val="00A41689"/>
    <w:rsid w:val="00A41C9A"/>
    <w:rsid w:val="00A42546"/>
    <w:rsid w:val="00A42592"/>
    <w:rsid w:val="00A430DE"/>
    <w:rsid w:val="00A43C59"/>
    <w:rsid w:val="00A50ECD"/>
    <w:rsid w:val="00A50FC6"/>
    <w:rsid w:val="00A518F3"/>
    <w:rsid w:val="00A5209B"/>
    <w:rsid w:val="00A52729"/>
    <w:rsid w:val="00A52C2D"/>
    <w:rsid w:val="00A53675"/>
    <w:rsid w:val="00A5437A"/>
    <w:rsid w:val="00A56024"/>
    <w:rsid w:val="00A564D7"/>
    <w:rsid w:val="00A56B6A"/>
    <w:rsid w:val="00A578DC"/>
    <w:rsid w:val="00A602E9"/>
    <w:rsid w:val="00A60A63"/>
    <w:rsid w:val="00A62425"/>
    <w:rsid w:val="00A640E2"/>
    <w:rsid w:val="00A64D65"/>
    <w:rsid w:val="00A65080"/>
    <w:rsid w:val="00A6545D"/>
    <w:rsid w:val="00A65DBF"/>
    <w:rsid w:val="00A663A3"/>
    <w:rsid w:val="00A664B2"/>
    <w:rsid w:val="00A666ED"/>
    <w:rsid w:val="00A6725B"/>
    <w:rsid w:val="00A67931"/>
    <w:rsid w:val="00A70605"/>
    <w:rsid w:val="00A70734"/>
    <w:rsid w:val="00A70DFD"/>
    <w:rsid w:val="00A73134"/>
    <w:rsid w:val="00A732B1"/>
    <w:rsid w:val="00A7365A"/>
    <w:rsid w:val="00A76001"/>
    <w:rsid w:val="00A777B2"/>
    <w:rsid w:val="00A77DD3"/>
    <w:rsid w:val="00A81E04"/>
    <w:rsid w:val="00A823DB"/>
    <w:rsid w:val="00A824D3"/>
    <w:rsid w:val="00A825D4"/>
    <w:rsid w:val="00A828F6"/>
    <w:rsid w:val="00A82B73"/>
    <w:rsid w:val="00A83887"/>
    <w:rsid w:val="00A852F4"/>
    <w:rsid w:val="00A86040"/>
    <w:rsid w:val="00A86E8B"/>
    <w:rsid w:val="00A87164"/>
    <w:rsid w:val="00A871A9"/>
    <w:rsid w:val="00A87321"/>
    <w:rsid w:val="00A90CFB"/>
    <w:rsid w:val="00A915BF"/>
    <w:rsid w:val="00A916C6"/>
    <w:rsid w:val="00A93043"/>
    <w:rsid w:val="00A93072"/>
    <w:rsid w:val="00A93373"/>
    <w:rsid w:val="00A938BD"/>
    <w:rsid w:val="00A93953"/>
    <w:rsid w:val="00A94798"/>
    <w:rsid w:val="00A959D8"/>
    <w:rsid w:val="00A96D06"/>
    <w:rsid w:val="00A977F8"/>
    <w:rsid w:val="00A97C90"/>
    <w:rsid w:val="00A97E97"/>
    <w:rsid w:val="00A97F68"/>
    <w:rsid w:val="00AA113D"/>
    <w:rsid w:val="00AA236D"/>
    <w:rsid w:val="00AA6BD5"/>
    <w:rsid w:val="00AA6BD8"/>
    <w:rsid w:val="00AA6C7D"/>
    <w:rsid w:val="00AA7A50"/>
    <w:rsid w:val="00AA7FD6"/>
    <w:rsid w:val="00AB042A"/>
    <w:rsid w:val="00AB06C8"/>
    <w:rsid w:val="00AB11AD"/>
    <w:rsid w:val="00AB19EF"/>
    <w:rsid w:val="00AB2495"/>
    <w:rsid w:val="00AB2D34"/>
    <w:rsid w:val="00AB3430"/>
    <w:rsid w:val="00AB37B9"/>
    <w:rsid w:val="00AB48C0"/>
    <w:rsid w:val="00AB4AD1"/>
    <w:rsid w:val="00AB5718"/>
    <w:rsid w:val="00AB5E07"/>
    <w:rsid w:val="00AB6E0F"/>
    <w:rsid w:val="00AB7CFA"/>
    <w:rsid w:val="00AC073C"/>
    <w:rsid w:val="00AC259D"/>
    <w:rsid w:val="00AC3BEA"/>
    <w:rsid w:val="00AC5B42"/>
    <w:rsid w:val="00AC5B48"/>
    <w:rsid w:val="00AC5DE7"/>
    <w:rsid w:val="00AC705E"/>
    <w:rsid w:val="00AC71FF"/>
    <w:rsid w:val="00AD0C7F"/>
    <w:rsid w:val="00AD1450"/>
    <w:rsid w:val="00AD15E8"/>
    <w:rsid w:val="00AD1FBB"/>
    <w:rsid w:val="00AD2A4A"/>
    <w:rsid w:val="00AD356D"/>
    <w:rsid w:val="00AD3A4D"/>
    <w:rsid w:val="00AD5378"/>
    <w:rsid w:val="00AD6502"/>
    <w:rsid w:val="00AD71C9"/>
    <w:rsid w:val="00AD75A2"/>
    <w:rsid w:val="00AE0695"/>
    <w:rsid w:val="00AE089C"/>
    <w:rsid w:val="00AE2ACD"/>
    <w:rsid w:val="00AE3E7E"/>
    <w:rsid w:val="00AE432B"/>
    <w:rsid w:val="00AE5296"/>
    <w:rsid w:val="00AE585A"/>
    <w:rsid w:val="00AE6362"/>
    <w:rsid w:val="00AE7E53"/>
    <w:rsid w:val="00AF0B9C"/>
    <w:rsid w:val="00AF1315"/>
    <w:rsid w:val="00AF19BF"/>
    <w:rsid w:val="00AF2C1A"/>
    <w:rsid w:val="00AF2C25"/>
    <w:rsid w:val="00AF2DC3"/>
    <w:rsid w:val="00AF3C16"/>
    <w:rsid w:val="00AF3CCE"/>
    <w:rsid w:val="00AF5B18"/>
    <w:rsid w:val="00AF7770"/>
    <w:rsid w:val="00B007B3"/>
    <w:rsid w:val="00B0198E"/>
    <w:rsid w:val="00B02D66"/>
    <w:rsid w:val="00B033E5"/>
    <w:rsid w:val="00B03A63"/>
    <w:rsid w:val="00B03EE7"/>
    <w:rsid w:val="00B04561"/>
    <w:rsid w:val="00B05F01"/>
    <w:rsid w:val="00B0608A"/>
    <w:rsid w:val="00B06E78"/>
    <w:rsid w:val="00B10CF3"/>
    <w:rsid w:val="00B129A4"/>
    <w:rsid w:val="00B13232"/>
    <w:rsid w:val="00B13445"/>
    <w:rsid w:val="00B13BCB"/>
    <w:rsid w:val="00B13FDB"/>
    <w:rsid w:val="00B17504"/>
    <w:rsid w:val="00B17CEA"/>
    <w:rsid w:val="00B201A4"/>
    <w:rsid w:val="00B201D1"/>
    <w:rsid w:val="00B213A6"/>
    <w:rsid w:val="00B21A01"/>
    <w:rsid w:val="00B235B0"/>
    <w:rsid w:val="00B24673"/>
    <w:rsid w:val="00B24DF6"/>
    <w:rsid w:val="00B25A58"/>
    <w:rsid w:val="00B27A61"/>
    <w:rsid w:val="00B3046D"/>
    <w:rsid w:val="00B3144D"/>
    <w:rsid w:val="00B34FE2"/>
    <w:rsid w:val="00B3513C"/>
    <w:rsid w:val="00B35166"/>
    <w:rsid w:val="00B357D8"/>
    <w:rsid w:val="00B35A27"/>
    <w:rsid w:val="00B360F4"/>
    <w:rsid w:val="00B36A00"/>
    <w:rsid w:val="00B36F0F"/>
    <w:rsid w:val="00B3792B"/>
    <w:rsid w:val="00B37BFC"/>
    <w:rsid w:val="00B40358"/>
    <w:rsid w:val="00B40C82"/>
    <w:rsid w:val="00B41614"/>
    <w:rsid w:val="00B42851"/>
    <w:rsid w:val="00B42F80"/>
    <w:rsid w:val="00B435CB"/>
    <w:rsid w:val="00B45D3F"/>
    <w:rsid w:val="00B463D0"/>
    <w:rsid w:val="00B465EC"/>
    <w:rsid w:val="00B473F4"/>
    <w:rsid w:val="00B474FC"/>
    <w:rsid w:val="00B505C8"/>
    <w:rsid w:val="00B5065B"/>
    <w:rsid w:val="00B50DB8"/>
    <w:rsid w:val="00B5144A"/>
    <w:rsid w:val="00B53654"/>
    <w:rsid w:val="00B53905"/>
    <w:rsid w:val="00B5395B"/>
    <w:rsid w:val="00B546DB"/>
    <w:rsid w:val="00B54ACE"/>
    <w:rsid w:val="00B54B5B"/>
    <w:rsid w:val="00B5562E"/>
    <w:rsid w:val="00B55862"/>
    <w:rsid w:val="00B5596B"/>
    <w:rsid w:val="00B55D65"/>
    <w:rsid w:val="00B56305"/>
    <w:rsid w:val="00B56C41"/>
    <w:rsid w:val="00B57000"/>
    <w:rsid w:val="00B57754"/>
    <w:rsid w:val="00B60939"/>
    <w:rsid w:val="00B60AA0"/>
    <w:rsid w:val="00B60AFD"/>
    <w:rsid w:val="00B612BE"/>
    <w:rsid w:val="00B62396"/>
    <w:rsid w:val="00B62460"/>
    <w:rsid w:val="00B62715"/>
    <w:rsid w:val="00B627DE"/>
    <w:rsid w:val="00B65529"/>
    <w:rsid w:val="00B65611"/>
    <w:rsid w:val="00B66E59"/>
    <w:rsid w:val="00B70552"/>
    <w:rsid w:val="00B70E8E"/>
    <w:rsid w:val="00B73724"/>
    <w:rsid w:val="00B73BF8"/>
    <w:rsid w:val="00B74431"/>
    <w:rsid w:val="00B76917"/>
    <w:rsid w:val="00B76C92"/>
    <w:rsid w:val="00B80EFD"/>
    <w:rsid w:val="00B81717"/>
    <w:rsid w:val="00B818A4"/>
    <w:rsid w:val="00B83739"/>
    <w:rsid w:val="00B84117"/>
    <w:rsid w:val="00B85505"/>
    <w:rsid w:val="00B858F0"/>
    <w:rsid w:val="00B85AA2"/>
    <w:rsid w:val="00B85D7B"/>
    <w:rsid w:val="00B86434"/>
    <w:rsid w:val="00B8649C"/>
    <w:rsid w:val="00B8695D"/>
    <w:rsid w:val="00B87F0A"/>
    <w:rsid w:val="00B91B4C"/>
    <w:rsid w:val="00B9280B"/>
    <w:rsid w:val="00B92D0B"/>
    <w:rsid w:val="00B94945"/>
    <w:rsid w:val="00B94DD6"/>
    <w:rsid w:val="00B94E7F"/>
    <w:rsid w:val="00B97708"/>
    <w:rsid w:val="00BA118F"/>
    <w:rsid w:val="00BA31BF"/>
    <w:rsid w:val="00BA322D"/>
    <w:rsid w:val="00BA4E0C"/>
    <w:rsid w:val="00BA63FA"/>
    <w:rsid w:val="00BB00B3"/>
    <w:rsid w:val="00BB0BDD"/>
    <w:rsid w:val="00BB176C"/>
    <w:rsid w:val="00BB1E5D"/>
    <w:rsid w:val="00BB2A73"/>
    <w:rsid w:val="00BB3A45"/>
    <w:rsid w:val="00BB42A8"/>
    <w:rsid w:val="00BB4ACC"/>
    <w:rsid w:val="00BB68BF"/>
    <w:rsid w:val="00BB703E"/>
    <w:rsid w:val="00BB732D"/>
    <w:rsid w:val="00BB7405"/>
    <w:rsid w:val="00BB7446"/>
    <w:rsid w:val="00BC038C"/>
    <w:rsid w:val="00BC2347"/>
    <w:rsid w:val="00BC3631"/>
    <w:rsid w:val="00BC591F"/>
    <w:rsid w:val="00BC6E52"/>
    <w:rsid w:val="00BC78FF"/>
    <w:rsid w:val="00BC79B6"/>
    <w:rsid w:val="00BC7D6D"/>
    <w:rsid w:val="00BD2108"/>
    <w:rsid w:val="00BD236C"/>
    <w:rsid w:val="00BD315D"/>
    <w:rsid w:val="00BD3A1A"/>
    <w:rsid w:val="00BD4104"/>
    <w:rsid w:val="00BD5F72"/>
    <w:rsid w:val="00BD68A3"/>
    <w:rsid w:val="00BD6938"/>
    <w:rsid w:val="00BD6CF3"/>
    <w:rsid w:val="00BD7F72"/>
    <w:rsid w:val="00BE0ECA"/>
    <w:rsid w:val="00BE0FE9"/>
    <w:rsid w:val="00BE187B"/>
    <w:rsid w:val="00BE2180"/>
    <w:rsid w:val="00BE21F2"/>
    <w:rsid w:val="00BE4131"/>
    <w:rsid w:val="00BE4275"/>
    <w:rsid w:val="00BE5050"/>
    <w:rsid w:val="00BE687C"/>
    <w:rsid w:val="00BE7044"/>
    <w:rsid w:val="00BF06AE"/>
    <w:rsid w:val="00BF0F95"/>
    <w:rsid w:val="00BF221E"/>
    <w:rsid w:val="00BF2433"/>
    <w:rsid w:val="00BF2E6E"/>
    <w:rsid w:val="00BF4106"/>
    <w:rsid w:val="00BF609F"/>
    <w:rsid w:val="00BF61C9"/>
    <w:rsid w:val="00BF6A9F"/>
    <w:rsid w:val="00BF6C94"/>
    <w:rsid w:val="00C00424"/>
    <w:rsid w:val="00C00BB0"/>
    <w:rsid w:val="00C00E8A"/>
    <w:rsid w:val="00C00EB7"/>
    <w:rsid w:val="00C033C9"/>
    <w:rsid w:val="00C03EA9"/>
    <w:rsid w:val="00C041AD"/>
    <w:rsid w:val="00C04939"/>
    <w:rsid w:val="00C07BC6"/>
    <w:rsid w:val="00C07FFE"/>
    <w:rsid w:val="00C103C1"/>
    <w:rsid w:val="00C1179F"/>
    <w:rsid w:val="00C119D8"/>
    <w:rsid w:val="00C127B9"/>
    <w:rsid w:val="00C128FA"/>
    <w:rsid w:val="00C12C14"/>
    <w:rsid w:val="00C15F04"/>
    <w:rsid w:val="00C160E1"/>
    <w:rsid w:val="00C179B3"/>
    <w:rsid w:val="00C17E3F"/>
    <w:rsid w:val="00C200AA"/>
    <w:rsid w:val="00C237ED"/>
    <w:rsid w:val="00C24632"/>
    <w:rsid w:val="00C24A50"/>
    <w:rsid w:val="00C25326"/>
    <w:rsid w:val="00C25418"/>
    <w:rsid w:val="00C25D1B"/>
    <w:rsid w:val="00C25D9C"/>
    <w:rsid w:val="00C2778B"/>
    <w:rsid w:val="00C31649"/>
    <w:rsid w:val="00C332AE"/>
    <w:rsid w:val="00C335F7"/>
    <w:rsid w:val="00C3434C"/>
    <w:rsid w:val="00C344EC"/>
    <w:rsid w:val="00C35BE1"/>
    <w:rsid w:val="00C365A6"/>
    <w:rsid w:val="00C40385"/>
    <w:rsid w:val="00C41768"/>
    <w:rsid w:val="00C42047"/>
    <w:rsid w:val="00C475AA"/>
    <w:rsid w:val="00C51C95"/>
    <w:rsid w:val="00C527C7"/>
    <w:rsid w:val="00C53723"/>
    <w:rsid w:val="00C53C98"/>
    <w:rsid w:val="00C56FCF"/>
    <w:rsid w:val="00C572F6"/>
    <w:rsid w:val="00C57B6C"/>
    <w:rsid w:val="00C61A59"/>
    <w:rsid w:val="00C628A6"/>
    <w:rsid w:val="00C632F2"/>
    <w:rsid w:val="00C6363E"/>
    <w:rsid w:val="00C63CF7"/>
    <w:rsid w:val="00C64344"/>
    <w:rsid w:val="00C65108"/>
    <w:rsid w:val="00C65571"/>
    <w:rsid w:val="00C65576"/>
    <w:rsid w:val="00C66165"/>
    <w:rsid w:val="00C663CA"/>
    <w:rsid w:val="00C7060A"/>
    <w:rsid w:val="00C712E3"/>
    <w:rsid w:val="00C71337"/>
    <w:rsid w:val="00C7151A"/>
    <w:rsid w:val="00C717E3"/>
    <w:rsid w:val="00C71F60"/>
    <w:rsid w:val="00C72241"/>
    <w:rsid w:val="00C72ACD"/>
    <w:rsid w:val="00C750C8"/>
    <w:rsid w:val="00C7560F"/>
    <w:rsid w:val="00C8088A"/>
    <w:rsid w:val="00C80A0E"/>
    <w:rsid w:val="00C80CFC"/>
    <w:rsid w:val="00C8213F"/>
    <w:rsid w:val="00C828B3"/>
    <w:rsid w:val="00C8303F"/>
    <w:rsid w:val="00C8313C"/>
    <w:rsid w:val="00C839A3"/>
    <w:rsid w:val="00C8506E"/>
    <w:rsid w:val="00C85154"/>
    <w:rsid w:val="00C85A70"/>
    <w:rsid w:val="00C866E4"/>
    <w:rsid w:val="00C86CFB"/>
    <w:rsid w:val="00C8797A"/>
    <w:rsid w:val="00C90080"/>
    <w:rsid w:val="00C900B8"/>
    <w:rsid w:val="00C90197"/>
    <w:rsid w:val="00C90C71"/>
    <w:rsid w:val="00C91FD1"/>
    <w:rsid w:val="00C928DC"/>
    <w:rsid w:val="00C931CF"/>
    <w:rsid w:val="00C938CF"/>
    <w:rsid w:val="00C94053"/>
    <w:rsid w:val="00C94A85"/>
    <w:rsid w:val="00C955CC"/>
    <w:rsid w:val="00C9624D"/>
    <w:rsid w:val="00C969DA"/>
    <w:rsid w:val="00C97AD3"/>
    <w:rsid w:val="00CA06FA"/>
    <w:rsid w:val="00CA0D05"/>
    <w:rsid w:val="00CA116E"/>
    <w:rsid w:val="00CA210D"/>
    <w:rsid w:val="00CA2C77"/>
    <w:rsid w:val="00CA444F"/>
    <w:rsid w:val="00CA50DB"/>
    <w:rsid w:val="00CA5245"/>
    <w:rsid w:val="00CA71F4"/>
    <w:rsid w:val="00CA7B09"/>
    <w:rsid w:val="00CA7BB4"/>
    <w:rsid w:val="00CB12A5"/>
    <w:rsid w:val="00CB1BCB"/>
    <w:rsid w:val="00CB1CAC"/>
    <w:rsid w:val="00CB2F2A"/>
    <w:rsid w:val="00CB3655"/>
    <w:rsid w:val="00CB3DC1"/>
    <w:rsid w:val="00CB4056"/>
    <w:rsid w:val="00CB54CF"/>
    <w:rsid w:val="00CB5B1A"/>
    <w:rsid w:val="00CB5E47"/>
    <w:rsid w:val="00CB6B22"/>
    <w:rsid w:val="00CB753B"/>
    <w:rsid w:val="00CB7F5F"/>
    <w:rsid w:val="00CC0CA9"/>
    <w:rsid w:val="00CC1B39"/>
    <w:rsid w:val="00CC1BFA"/>
    <w:rsid w:val="00CC1D98"/>
    <w:rsid w:val="00CC2E9F"/>
    <w:rsid w:val="00CC3250"/>
    <w:rsid w:val="00CC35EA"/>
    <w:rsid w:val="00CC3723"/>
    <w:rsid w:val="00CC3848"/>
    <w:rsid w:val="00CC3F41"/>
    <w:rsid w:val="00CC5CE5"/>
    <w:rsid w:val="00CC6D5E"/>
    <w:rsid w:val="00CD0200"/>
    <w:rsid w:val="00CD0686"/>
    <w:rsid w:val="00CD1AB2"/>
    <w:rsid w:val="00CD2BF8"/>
    <w:rsid w:val="00CD2EA3"/>
    <w:rsid w:val="00CD3F77"/>
    <w:rsid w:val="00CD6053"/>
    <w:rsid w:val="00CD67A1"/>
    <w:rsid w:val="00CD6ADC"/>
    <w:rsid w:val="00CD6E37"/>
    <w:rsid w:val="00CD7193"/>
    <w:rsid w:val="00CD780D"/>
    <w:rsid w:val="00CE0996"/>
    <w:rsid w:val="00CE0A62"/>
    <w:rsid w:val="00CE38C8"/>
    <w:rsid w:val="00CE4CDB"/>
    <w:rsid w:val="00CE524F"/>
    <w:rsid w:val="00CE58CC"/>
    <w:rsid w:val="00CE6274"/>
    <w:rsid w:val="00CE77B6"/>
    <w:rsid w:val="00CE7B47"/>
    <w:rsid w:val="00CF19C3"/>
    <w:rsid w:val="00CF2B8D"/>
    <w:rsid w:val="00CF3A1B"/>
    <w:rsid w:val="00CF456B"/>
    <w:rsid w:val="00CF5428"/>
    <w:rsid w:val="00CF5A22"/>
    <w:rsid w:val="00CF7249"/>
    <w:rsid w:val="00D001B1"/>
    <w:rsid w:val="00D0262E"/>
    <w:rsid w:val="00D03679"/>
    <w:rsid w:val="00D05008"/>
    <w:rsid w:val="00D05E3D"/>
    <w:rsid w:val="00D06139"/>
    <w:rsid w:val="00D110BD"/>
    <w:rsid w:val="00D1257F"/>
    <w:rsid w:val="00D13675"/>
    <w:rsid w:val="00D13A34"/>
    <w:rsid w:val="00D141E1"/>
    <w:rsid w:val="00D15314"/>
    <w:rsid w:val="00D15574"/>
    <w:rsid w:val="00D15B48"/>
    <w:rsid w:val="00D16B2C"/>
    <w:rsid w:val="00D16ECE"/>
    <w:rsid w:val="00D1761E"/>
    <w:rsid w:val="00D17D02"/>
    <w:rsid w:val="00D17D6C"/>
    <w:rsid w:val="00D20B66"/>
    <w:rsid w:val="00D2155B"/>
    <w:rsid w:val="00D22A2A"/>
    <w:rsid w:val="00D23D11"/>
    <w:rsid w:val="00D244B6"/>
    <w:rsid w:val="00D25267"/>
    <w:rsid w:val="00D25F6D"/>
    <w:rsid w:val="00D2754D"/>
    <w:rsid w:val="00D27B27"/>
    <w:rsid w:val="00D27D6A"/>
    <w:rsid w:val="00D30295"/>
    <w:rsid w:val="00D30D5B"/>
    <w:rsid w:val="00D325B1"/>
    <w:rsid w:val="00D33BE9"/>
    <w:rsid w:val="00D33F93"/>
    <w:rsid w:val="00D357FF"/>
    <w:rsid w:val="00D364CE"/>
    <w:rsid w:val="00D36BEC"/>
    <w:rsid w:val="00D40A03"/>
    <w:rsid w:val="00D40C73"/>
    <w:rsid w:val="00D424C7"/>
    <w:rsid w:val="00D42F0A"/>
    <w:rsid w:val="00D43B2A"/>
    <w:rsid w:val="00D43CF1"/>
    <w:rsid w:val="00D43D83"/>
    <w:rsid w:val="00D43E56"/>
    <w:rsid w:val="00D44F66"/>
    <w:rsid w:val="00D45D9F"/>
    <w:rsid w:val="00D4687A"/>
    <w:rsid w:val="00D47575"/>
    <w:rsid w:val="00D51AB2"/>
    <w:rsid w:val="00D5243B"/>
    <w:rsid w:val="00D533EC"/>
    <w:rsid w:val="00D5416D"/>
    <w:rsid w:val="00D54996"/>
    <w:rsid w:val="00D54C0D"/>
    <w:rsid w:val="00D54E04"/>
    <w:rsid w:val="00D5546E"/>
    <w:rsid w:val="00D5577D"/>
    <w:rsid w:val="00D56A95"/>
    <w:rsid w:val="00D6076E"/>
    <w:rsid w:val="00D60DF5"/>
    <w:rsid w:val="00D645CF"/>
    <w:rsid w:val="00D67C58"/>
    <w:rsid w:val="00D7056D"/>
    <w:rsid w:val="00D70F16"/>
    <w:rsid w:val="00D71E0D"/>
    <w:rsid w:val="00D72617"/>
    <w:rsid w:val="00D726D8"/>
    <w:rsid w:val="00D72F06"/>
    <w:rsid w:val="00D72F57"/>
    <w:rsid w:val="00D74EB5"/>
    <w:rsid w:val="00D7685E"/>
    <w:rsid w:val="00D76A44"/>
    <w:rsid w:val="00D80EE6"/>
    <w:rsid w:val="00D815EF"/>
    <w:rsid w:val="00D81949"/>
    <w:rsid w:val="00D81F26"/>
    <w:rsid w:val="00D822E2"/>
    <w:rsid w:val="00D843F2"/>
    <w:rsid w:val="00D86231"/>
    <w:rsid w:val="00D877B5"/>
    <w:rsid w:val="00D878D4"/>
    <w:rsid w:val="00D912AB"/>
    <w:rsid w:val="00D91923"/>
    <w:rsid w:val="00D92A4B"/>
    <w:rsid w:val="00D92D9D"/>
    <w:rsid w:val="00D93753"/>
    <w:rsid w:val="00D93D1F"/>
    <w:rsid w:val="00D94E08"/>
    <w:rsid w:val="00D9732B"/>
    <w:rsid w:val="00DA0A19"/>
    <w:rsid w:val="00DA1BCD"/>
    <w:rsid w:val="00DA3167"/>
    <w:rsid w:val="00DA32AC"/>
    <w:rsid w:val="00DA4070"/>
    <w:rsid w:val="00DA4DC3"/>
    <w:rsid w:val="00DA77A5"/>
    <w:rsid w:val="00DB062B"/>
    <w:rsid w:val="00DB0B38"/>
    <w:rsid w:val="00DB0E36"/>
    <w:rsid w:val="00DB2723"/>
    <w:rsid w:val="00DB3DBF"/>
    <w:rsid w:val="00DB484F"/>
    <w:rsid w:val="00DB64B5"/>
    <w:rsid w:val="00DB76E9"/>
    <w:rsid w:val="00DC04F6"/>
    <w:rsid w:val="00DC0690"/>
    <w:rsid w:val="00DC077F"/>
    <w:rsid w:val="00DC1D65"/>
    <w:rsid w:val="00DC3C57"/>
    <w:rsid w:val="00DC5501"/>
    <w:rsid w:val="00DC5DE4"/>
    <w:rsid w:val="00DC7154"/>
    <w:rsid w:val="00DC7E8A"/>
    <w:rsid w:val="00DD0F78"/>
    <w:rsid w:val="00DD20E2"/>
    <w:rsid w:val="00DD273C"/>
    <w:rsid w:val="00DD3F28"/>
    <w:rsid w:val="00DD4446"/>
    <w:rsid w:val="00DD4537"/>
    <w:rsid w:val="00DD4E15"/>
    <w:rsid w:val="00DD5BD1"/>
    <w:rsid w:val="00DD5E9E"/>
    <w:rsid w:val="00DD70A8"/>
    <w:rsid w:val="00DD7522"/>
    <w:rsid w:val="00DE0008"/>
    <w:rsid w:val="00DE0AA6"/>
    <w:rsid w:val="00DE2304"/>
    <w:rsid w:val="00DE29E4"/>
    <w:rsid w:val="00DE3138"/>
    <w:rsid w:val="00DE37F0"/>
    <w:rsid w:val="00DE37F8"/>
    <w:rsid w:val="00DE4273"/>
    <w:rsid w:val="00DE4FCB"/>
    <w:rsid w:val="00DE5D07"/>
    <w:rsid w:val="00DE6704"/>
    <w:rsid w:val="00DE692D"/>
    <w:rsid w:val="00DE72A7"/>
    <w:rsid w:val="00DE7832"/>
    <w:rsid w:val="00DE7C44"/>
    <w:rsid w:val="00DF18FC"/>
    <w:rsid w:val="00DF2D96"/>
    <w:rsid w:val="00DF5522"/>
    <w:rsid w:val="00DF5D2B"/>
    <w:rsid w:val="00DF6341"/>
    <w:rsid w:val="00DF746C"/>
    <w:rsid w:val="00E00E8E"/>
    <w:rsid w:val="00E02E09"/>
    <w:rsid w:val="00E04290"/>
    <w:rsid w:val="00E05630"/>
    <w:rsid w:val="00E06DBB"/>
    <w:rsid w:val="00E10149"/>
    <w:rsid w:val="00E102C2"/>
    <w:rsid w:val="00E10C77"/>
    <w:rsid w:val="00E11340"/>
    <w:rsid w:val="00E122A1"/>
    <w:rsid w:val="00E151DC"/>
    <w:rsid w:val="00E16372"/>
    <w:rsid w:val="00E16AB7"/>
    <w:rsid w:val="00E16AD8"/>
    <w:rsid w:val="00E16E64"/>
    <w:rsid w:val="00E17A8A"/>
    <w:rsid w:val="00E17FFA"/>
    <w:rsid w:val="00E20E4D"/>
    <w:rsid w:val="00E20ED6"/>
    <w:rsid w:val="00E21358"/>
    <w:rsid w:val="00E21B27"/>
    <w:rsid w:val="00E22042"/>
    <w:rsid w:val="00E2249B"/>
    <w:rsid w:val="00E22A0D"/>
    <w:rsid w:val="00E23127"/>
    <w:rsid w:val="00E244F6"/>
    <w:rsid w:val="00E24D34"/>
    <w:rsid w:val="00E258DB"/>
    <w:rsid w:val="00E26F9B"/>
    <w:rsid w:val="00E2771E"/>
    <w:rsid w:val="00E311EF"/>
    <w:rsid w:val="00E315E2"/>
    <w:rsid w:val="00E32180"/>
    <w:rsid w:val="00E32921"/>
    <w:rsid w:val="00E34948"/>
    <w:rsid w:val="00E37569"/>
    <w:rsid w:val="00E401B2"/>
    <w:rsid w:val="00E41A03"/>
    <w:rsid w:val="00E41E30"/>
    <w:rsid w:val="00E4200B"/>
    <w:rsid w:val="00E42F2C"/>
    <w:rsid w:val="00E42F73"/>
    <w:rsid w:val="00E43D70"/>
    <w:rsid w:val="00E43F3C"/>
    <w:rsid w:val="00E45A4F"/>
    <w:rsid w:val="00E466F3"/>
    <w:rsid w:val="00E47B2C"/>
    <w:rsid w:val="00E51560"/>
    <w:rsid w:val="00E51821"/>
    <w:rsid w:val="00E51A26"/>
    <w:rsid w:val="00E53FC8"/>
    <w:rsid w:val="00E54347"/>
    <w:rsid w:val="00E54CAE"/>
    <w:rsid w:val="00E55424"/>
    <w:rsid w:val="00E556FF"/>
    <w:rsid w:val="00E55915"/>
    <w:rsid w:val="00E55BB5"/>
    <w:rsid w:val="00E60DC4"/>
    <w:rsid w:val="00E611DF"/>
    <w:rsid w:val="00E6244A"/>
    <w:rsid w:val="00E62A01"/>
    <w:rsid w:val="00E63CCF"/>
    <w:rsid w:val="00E65414"/>
    <w:rsid w:val="00E65E79"/>
    <w:rsid w:val="00E66BA2"/>
    <w:rsid w:val="00E67416"/>
    <w:rsid w:val="00E67769"/>
    <w:rsid w:val="00E67F75"/>
    <w:rsid w:val="00E718B6"/>
    <w:rsid w:val="00E71E75"/>
    <w:rsid w:val="00E723BA"/>
    <w:rsid w:val="00E73581"/>
    <w:rsid w:val="00E74927"/>
    <w:rsid w:val="00E74AA8"/>
    <w:rsid w:val="00E81352"/>
    <w:rsid w:val="00E81A5E"/>
    <w:rsid w:val="00E81DBB"/>
    <w:rsid w:val="00E830FE"/>
    <w:rsid w:val="00E833F7"/>
    <w:rsid w:val="00E83BDF"/>
    <w:rsid w:val="00E854CF"/>
    <w:rsid w:val="00E86FCC"/>
    <w:rsid w:val="00E87A1D"/>
    <w:rsid w:val="00E9094A"/>
    <w:rsid w:val="00E91D35"/>
    <w:rsid w:val="00E91E26"/>
    <w:rsid w:val="00E91F5C"/>
    <w:rsid w:val="00E926A5"/>
    <w:rsid w:val="00E94298"/>
    <w:rsid w:val="00E962CC"/>
    <w:rsid w:val="00EA17C3"/>
    <w:rsid w:val="00EA2CAA"/>
    <w:rsid w:val="00EA3627"/>
    <w:rsid w:val="00EA3864"/>
    <w:rsid w:val="00EA392A"/>
    <w:rsid w:val="00EA3C83"/>
    <w:rsid w:val="00EA567B"/>
    <w:rsid w:val="00EA7F1C"/>
    <w:rsid w:val="00EB008D"/>
    <w:rsid w:val="00EB15B6"/>
    <w:rsid w:val="00EB1C3A"/>
    <w:rsid w:val="00EB2749"/>
    <w:rsid w:val="00EB2CC8"/>
    <w:rsid w:val="00EB3D06"/>
    <w:rsid w:val="00EB3EB5"/>
    <w:rsid w:val="00EB438B"/>
    <w:rsid w:val="00EB4916"/>
    <w:rsid w:val="00EB499C"/>
    <w:rsid w:val="00EB5325"/>
    <w:rsid w:val="00EB5D29"/>
    <w:rsid w:val="00EB60D4"/>
    <w:rsid w:val="00EB63A0"/>
    <w:rsid w:val="00EB6BDC"/>
    <w:rsid w:val="00EB72B7"/>
    <w:rsid w:val="00EC00C9"/>
    <w:rsid w:val="00EC0DD9"/>
    <w:rsid w:val="00EC2649"/>
    <w:rsid w:val="00EC31ED"/>
    <w:rsid w:val="00EC5836"/>
    <w:rsid w:val="00EC688C"/>
    <w:rsid w:val="00EC6D8A"/>
    <w:rsid w:val="00EC777D"/>
    <w:rsid w:val="00EC7DFA"/>
    <w:rsid w:val="00ED0CBB"/>
    <w:rsid w:val="00ED12E3"/>
    <w:rsid w:val="00ED24EA"/>
    <w:rsid w:val="00ED4B04"/>
    <w:rsid w:val="00ED57EA"/>
    <w:rsid w:val="00ED5BD4"/>
    <w:rsid w:val="00ED6E91"/>
    <w:rsid w:val="00ED6F7B"/>
    <w:rsid w:val="00ED6FB4"/>
    <w:rsid w:val="00EE07D3"/>
    <w:rsid w:val="00EE1996"/>
    <w:rsid w:val="00EE1C01"/>
    <w:rsid w:val="00EE22AF"/>
    <w:rsid w:val="00EE42E6"/>
    <w:rsid w:val="00EE4EB6"/>
    <w:rsid w:val="00EE55FF"/>
    <w:rsid w:val="00EE5F7F"/>
    <w:rsid w:val="00EE771C"/>
    <w:rsid w:val="00EF0043"/>
    <w:rsid w:val="00EF0171"/>
    <w:rsid w:val="00EF085A"/>
    <w:rsid w:val="00EF0E2F"/>
    <w:rsid w:val="00EF198A"/>
    <w:rsid w:val="00EF1B25"/>
    <w:rsid w:val="00EF1DA0"/>
    <w:rsid w:val="00EF2DEE"/>
    <w:rsid w:val="00EF3296"/>
    <w:rsid w:val="00EF4747"/>
    <w:rsid w:val="00EF47A6"/>
    <w:rsid w:val="00EF4BF8"/>
    <w:rsid w:val="00EF59A7"/>
    <w:rsid w:val="00EF6C99"/>
    <w:rsid w:val="00EF7841"/>
    <w:rsid w:val="00F0023A"/>
    <w:rsid w:val="00F02253"/>
    <w:rsid w:val="00F03C2E"/>
    <w:rsid w:val="00F043B1"/>
    <w:rsid w:val="00F04A66"/>
    <w:rsid w:val="00F04B4B"/>
    <w:rsid w:val="00F04EE1"/>
    <w:rsid w:val="00F0514A"/>
    <w:rsid w:val="00F0516C"/>
    <w:rsid w:val="00F067A2"/>
    <w:rsid w:val="00F07B9E"/>
    <w:rsid w:val="00F1116F"/>
    <w:rsid w:val="00F1204B"/>
    <w:rsid w:val="00F1263A"/>
    <w:rsid w:val="00F12D52"/>
    <w:rsid w:val="00F139C5"/>
    <w:rsid w:val="00F14C43"/>
    <w:rsid w:val="00F14D5D"/>
    <w:rsid w:val="00F15B77"/>
    <w:rsid w:val="00F21236"/>
    <w:rsid w:val="00F22590"/>
    <w:rsid w:val="00F239DF"/>
    <w:rsid w:val="00F24837"/>
    <w:rsid w:val="00F24BE2"/>
    <w:rsid w:val="00F256AD"/>
    <w:rsid w:val="00F2575F"/>
    <w:rsid w:val="00F2680B"/>
    <w:rsid w:val="00F27565"/>
    <w:rsid w:val="00F310D4"/>
    <w:rsid w:val="00F316A6"/>
    <w:rsid w:val="00F31D5A"/>
    <w:rsid w:val="00F3337F"/>
    <w:rsid w:val="00F33975"/>
    <w:rsid w:val="00F33DE9"/>
    <w:rsid w:val="00F34BB7"/>
    <w:rsid w:val="00F35126"/>
    <w:rsid w:val="00F35E6D"/>
    <w:rsid w:val="00F3619A"/>
    <w:rsid w:val="00F37032"/>
    <w:rsid w:val="00F37B2B"/>
    <w:rsid w:val="00F40AAA"/>
    <w:rsid w:val="00F40BA7"/>
    <w:rsid w:val="00F40F9D"/>
    <w:rsid w:val="00F4121F"/>
    <w:rsid w:val="00F41ACD"/>
    <w:rsid w:val="00F41D40"/>
    <w:rsid w:val="00F43C64"/>
    <w:rsid w:val="00F4481F"/>
    <w:rsid w:val="00F44B8A"/>
    <w:rsid w:val="00F46CB6"/>
    <w:rsid w:val="00F4756D"/>
    <w:rsid w:val="00F47DE8"/>
    <w:rsid w:val="00F5028B"/>
    <w:rsid w:val="00F505F3"/>
    <w:rsid w:val="00F5144A"/>
    <w:rsid w:val="00F542C1"/>
    <w:rsid w:val="00F550E3"/>
    <w:rsid w:val="00F55E73"/>
    <w:rsid w:val="00F55EDA"/>
    <w:rsid w:val="00F560B7"/>
    <w:rsid w:val="00F567C3"/>
    <w:rsid w:val="00F56C80"/>
    <w:rsid w:val="00F60092"/>
    <w:rsid w:val="00F61C18"/>
    <w:rsid w:val="00F62C31"/>
    <w:rsid w:val="00F63CC6"/>
    <w:rsid w:val="00F65F4B"/>
    <w:rsid w:val="00F67A69"/>
    <w:rsid w:val="00F70BFF"/>
    <w:rsid w:val="00F70C9D"/>
    <w:rsid w:val="00F72311"/>
    <w:rsid w:val="00F723A3"/>
    <w:rsid w:val="00F72686"/>
    <w:rsid w:val="00F73E08"/>
    <w:rsid w:val="00F74CD9"/>
    <w:rsid w:val="00F74F57"/>
    <w:rsid w:val="00F757C1"/>
    <w:rsid w:val="00F7593B"/>
    <w:rsid w:val="00F769D2"/>
    <w:rsid w:val="00F80A7B"/>
    <w:rsid w:val="00F80E5D"/>
    <w:rsid w:val="00F81E78"/>
    <w:rsid w:val="00F82DE4"/>
    <w:rsid w:val="00F83916"/>
    <w:rsid w:val="00F851CE"/>
    <w:rsid w:val="00F866FB"/>
    <w:rsid w:val="00F87D5C"/>
    <w:rsid w:val="00F91219"/>
    <w:rsid w:val="00F914B5"/>
    <w:rsid w:val="00F92146"/>
    <w:rsid w:val="00F92444"/>
    <w:rsid w:val="00F9393E"/>
    <w:rsid w:val="00F94563"/>
    <w:rsid w:val="00F949F0"/>
    <w:rsid w:val="00F94F5E"/>
    <w:rsid w:val="00F95196"/>
    <w:rsid w:val="00F96FD0"/>
    <w:rsid w:val="00F97A78"/>
    <w:rsid w:val="00FA0B20"/>
    <w:rsid w:val="00FA195C"/>
    <w:rsid w:val="00FA1B04"/>
    <w:rsid w:val="00FA2273"/>
    <w:rsid w:val="00FA24E7"/>
    <w:rsid w:val="00FA5EE6"/>
    <w:rsid w:val="00FA6432"/>
    <w:rsid w:val="00FA7956"/>
    <w:rsid w:val="00FB0057"/>
    <w:rsid w:val="00FB031A"/>
    <w:rsid w:val="00FB0824"/>
    <w:rsid w:val="00FB217C"/>
    <w:rsid w:val="00FB2FCB"/>
    <w:rsid w:val="00FB38F6"/>
    <w:rsid w:val="00FB4B31"/>
    <w:rsid w:val="00FB4C9C"/>
    <w:rsid w:val="00FB6376"/>
    <w:rsid w:val="00FB732E"/>
    <w:rsid w:val="00FB7C55"/>
    <w:rsid w:val="00FC0E55"/>
    <w:rsid w:val="00FC1074"/>
    <w:rsid w:val="00FC1884"/>
    <w:rsid w:val="00FC194E"/>
    <w:rsid w:val="00FC2A81"/>
    <w:rsid w:val="00FC371D"/>
    <w:rsid w:val="00FC3CD3"/>
    <w:rsid w:val="00FC3E75"/>
    <w:rsid w:val="00FC5BC4"/>
    <w:rsid w:val="00FC5F0B"/>
    <w:rsid w:val="00FC72F6"/>
    <w:rsid w:val="00FD1A0C"/>
    <w:rsid w:val="00FD2100"/>
    <w:rsid w:val="00FD436C"/>
    <w:rsid w:val="00FD446D"/>
    <w:rsid w:val="00FD4F2C"/>
    <w:rsid w:val="00FD6394"/>
    <w:rsid w:val="00FD7274"/>
    <w:rsid w:val="00FD7854"/>
    <w:rsid w:val="00FE0E6C"/>
    <w:rsid w:val="00FE1513"/>
    <w:rsid w:val="00FE1CDC"/>
    <w:rsid w:val="00FE4F55"/>
    <w:rsid w:val="00FE609D"/>
    <w:rsid w:val="00FE6C6F"/>
    <w:rsid w:val="00FE70C3"/>
    <w:rsid w:val="00FE7D37"/>
    <w:rsid w:val="00FF0FE1"/>
    <w:rsid w:val="00FF1805"/>
    <w:rsid w:val="00FF1A8B"/>
    <w:rsid w:val="00FF1D27"/>
    <w:rsid w:val="00FF1DED"/>
    <w:rsid w:val="00FF2AD9"/>
    <w:rsid w:val="00FF359F"/>
    <w:rsid w:val="00FF3748"/>
    <w:rsid w:val="00FF3DCF"/>
    <w:rsid w:val="00FF492C"/>
    <w:rsid w:val="00FF4A21"/>
    <w:rsid w:val="00FF5296"/>
    <w:rsid w:val="00FF5AA3"/>
    <w:rsid w:val="00FF5AD8"/>
    <w:rsid w:val="00FF7435"/>
    <w:rsid w:val="00FF7F9E"/>
    <w:rsid w:val="166FBE70"/>
    <w:rsid w:val="1D5FB729"/>
    <w:rsid w:val="2180C922"/>
    <w:rsid w:val="7F77D40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4459"/>
    <w:pPr>
      <w:jc w:val="both"/>
    </w:pPr>
    <w:rPr>
      <w:rFonts w:ascii="Calibri" w:hAnsi="Calibri" w:cs="Arial"/>
      <w:sz w:val="24"/>
      <w:szCs w:val="24"/>
    </w:rPr>
  </w:style>
  <w:style w:type="paragraph" w:styleId="Heading1">
    <w:name w:val="heading 1"/>
    <w:basedOn w:val="Normal"/>
    <w:next w:val="Normal"/>
    <w:uiPriority w:val="1"/>
    <w:qFormat/>
    <w:rsid w:val="001B204E"/>
    <w:pPr>
      <w:ind w:left="720" w:hanging="720"/>
      <w:outlineLvl w:val="0"/>
    </w:pPr>
    <w:rPr>
      <w:b/>
      <w:caps/>
      <w:sz w:val="32"/>
    </w:rPr>
  </w:style>
  <w:style w:type="paragraph" w:styleId="Heading2">
    <w:name w:val="heading 2"/>
    <w:basedOn w:val="Normal"/>
    <w:next w:val="Normal"/>
    <w:link w:val="Heading2Char"/>
    <w:uiPriority w:val="1"/>
    <w:qFormat/>
    <w:rsid w:val="001B204E"/>
    <w:pPr>
      <w:outlineLvl w:val="1"/>
    </w:pPr>
    <w:rPr>
      <w:b/>
      <w:i/>
      <w:sz w:val="28"/>
    </w:rPr>
  </w:style>
  <w:style w:type="paragraph" w:styleId="Heading3">
    <w:name w:val="heading 3"/>
    <w:basedOn w:val="Normal"/>
    <w:next w:val="Normal"/>
    <w:uiPriority w:val="1"/>
    <w:qFormat/>
    <w:rsid w:val="001F7361"/>
    <w:pPr>
      <w:outlineLvl w:val="2"/>
    </w:pPr>
    <w:rPr>
      <w:u w:val="single"/>
    </w:rPr>
  </w:style>
  <w:style w:type="paragraph" w:styleId="Heading4">
    <w:name w:val="heading 4"/>
    <w:basedOn w:val="Normal"/>
    <w:next w:val="Normal"/>
    <w:uiPriority w:val="1"/>
    <w:qFormat/>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Table and Figure Name,Bullet,- H17,Bayer Caption,IB Caption,Medical Caption,B Caption,Caption Char2 Char,Caption Char Char Char2,Caption Char1 Char Char Char1,Caption Char2 Char Char Char1 Char1,Caption Char Char1 Char Char Char1 Char1,Caption 3"/>
    <w:basedOn w:val="Normal"/>
    <w:next w:val="Normal"/>
    <w:link w:val="CaptionChar"/>
    <w:uiPriority w:val="35"/>
    <w:unhideWhenUsed/>
    <w:qFormat/>
    <w:rsid w:val="00E16AD8"/>
    <w:pPr>
      <w:keepNext/>
      <w:keepLines/>
    </w:pPr>
    <w:rPr>
      <w:rFonts w:ascii="Arial Narrow" w:hAnsi="Arial Narrow"/>
      <w:b/>
      <w:bCs/>
      <w:sz w:val="20"/>
      <w:szCs w:val="18"/>
    </w:rPr>
  </w:style>
  <w:style w:type="character" w:customStyle="1" w:styleId="CaptionChar">
    <w:name w:val="Caption Char"/>
    <w:aliases w:val="Table and Figure Name Char,Bullet Char,- H17 Char,Bayer Caption Char,IB Caption Char,Medical Caption Char,B Caption Char,Caption Char2 Char Char,Caption Char Char Char2 Char,Caption Char1 Char Char Char1 Char,Caption 3 Char"/>
    <w:link w:val="Caption"/>
    <w:uiPriority w:val="35"/>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
    <w:link w:val="ListParagraphChar"/>
    <w:uiPriority w:val="34"/>
    <w:qFormat/>
    <w:rsid w:val="004C3B02"/>
    <w:pPr>
      <w:numPr>
        <w:numId w:val="21"/>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
    <w:basedOn w:val="DefaultParagraphFont"/>
    <w:link w:val="ListParagraph"/>
    <w:uiPriority w:val="72"/>
    <w:qFormat/>
    <w:locked/>
    <w:rsid w:val="004C3B02"/>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uiPriority w:val="99"/>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PBAC table,new style,HTAtableplain"/>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4"/>
    <w:qFormat/>
    <w:rsid w:val="00A518F3"/>
    <w:pPr>
      <w:jc w:val="left"/>
    </w:pPr>
    <w:rPr>
      <w:rFonts w:ascii="Arial Narrow" w:hAnsi="Arial Narrow" w:cs="Times New Roman"/>
      <w:snapToGrid w:val="0"/>
      <w:sz w:val="20"/>
    </w:rPr>
  </w:style>
  <w:style w:type="character" w:customStyle="1" w:styleId="TabletextChar">
    <w:name w:val="Table text Char"/>
    <w:link w:val="Tabletext"/>
    <w:uiPriority w:val="4"/>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7E45DC"/>
    <w:pPr>
      <w:keepNext/>
      <w:keepLines/>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autoRedefine/>
    <w:qFormat/>
    <w:rsid w:val="00D92D9D"/>
    <w:pPr>
      <w:keepNext/>
      <w:keepLines/>
    </w:pPr>
    <w:rPr>
      <w:rFonts w:ascii="Arial Narrow" w:eastAsiaTheme="majorEastAsia" w:hAnsi="Arial Narrow"/>
      <w:b/>
      <w:szCs w:val="24"/>
      <w:lang w:val="en-US"/>
    </w:rPr>
  </w:style>
  <w:style w:type="paragraph" w:customStyle="1" w:styleId="2-SectionHeading">
    <w:name w:val="2-Section Heading"/>
    <w:next w:val="3-BodyText"/>
    <w:qFormat/>
    <w:rsid w:val="004C3B02"/>
    <w:pPr>
      <w:keepNext/>
      <w:numPr>
        <w:numId w:val="23"/>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C3B0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C3B0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3B02"/>
    <w:rPr>
      <w:rFonts w:ascii="Arial Narrow" w:eastAsiaTheme="majorEastAsia" w:hAnsi="Arial Narrow" w:cstheme="majorBidi"/>
      <w:b/>
      <w:bCs/>
      <w:szCs w:val="24"/>
    </w:rPr>
  </w:style>
  <w:style w:type="paragraph" w:customStyle="1" w:styleId="3-BodyText">
    <w:name w:val="3-Body Text"/>
    <w:link w:val="3-BodyTextChar"/>
    <w:qFormat/>
    <w:rsid w:val="004C3B02"/>
    <w:pPr>
      <w:numPr>
        <w:ilvl w:val="1"/>
        <w:numId w:val="23"/>
      </w:numPr>
      <w:spacing w:before="60" w:after="6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C3B02"/>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C3B02"/>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4C3B02"/>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C3B02"/>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C3B02"/>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5"/>
      </w:numPr>
      <w:contextualSpacing/>
    </w:pPr>
  </w:style>
  <w:style w:type="character" w:customStyle="1" w:styleId="TableTextChar0">
    <w:name w:val="Table Text Char"/>
    <w:basedOn w:val="DefaultParagraphFont"/>
    <w:link w:val="TableText0"/>
    <w:rsid w:val="007E45DC"/>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17"/>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next w:val="3-BodyText"/>
    <w:link w:val="TableFigureFooterChar"/>
    <w:autoRedefine/>
    <w:qFormat/>
    <w:rsid w:val="00C572F6"/>
    <w:pPr>
      <w:keepLines/>
      <w:spacing w:after="120"/>
      <w:contextualSpacing/>
      <w:jc w:val="left"/>
    </w:pPr>
    <w:rPr>
      <w:rFonts w:ascii="Arial Narrow" w:hAnsi="Arial Narrow"/>
      <w:snapToGrid w:val="0"/>
      <w:sz w:val="18"/>
      <w:szCs w:val="22"/>
    </w:rPr>
  </w:style>
  <w:style w:type="character" w:customStyle="1" w:styleId="TableFigureFooterChar">
    <w:name w:val="Table/Figure Footer Char"/>
    <w:link w:val="TableFigureFooter"/>
    <w:rsid w:val="00C572F6"/>
    <w:rPr>
      <w:rFonts w:ascii="Arial Narrow" w:hAnsi="Arial Narrow" w:cs="Arial"/>
      <w:snapToGrid w:val="0"/>
      <w:sz w:val="18"/>
      <w:szCs w:val="22"/>
    </w:rPr>
  </w:style>
  <w:style w:type="paragraph" w:styleId="FootnoteText">
    <w:name w:val="footnote text"/>
    <w:basedOn w:val="Normal"/>
    <w:link w:val="FootnoteTextChar"/>
    <w:uiPriority w:val="99"/>
    <w:semiHidden/>
    <w:unhideWhenUsed/>
    <w:rsid w:val="00F316A6"/>
    <w:rPr>
      <w:sz w:val="20"/>
      <w:szCs w:val="20"/>
    </w:rPr>
  </w:style>
  <w:style w:type="character" w:customStyle="1" w:styleId="FootnoteTextChar">
    <w:name w:val="Footnote Text Char"/>
    <w:basedOn w:val="DefaultParagraphFont"/>
    <w:link w:val="FootnoteText"/>
    <w:uiPriority w:val="99"/>
    <w:semiHidden/>
    <w:rsid w:val="00F316A6"/>
    <w:rPr>
      <w:rFonts w:ascii="Calibri" w:hAnsi="Calibri" w:cs="Arial"/>
    </w:rPr>
  </w:style>
  <w:style w:type="character" w:styleId="FootnoteReference">
    <w:name w:val="footnote reference"/>
    <w:basedOn w:val="DefaultParagraphFont"/>
    <w:semiHidden/>
    <w:unhideWhenUsed/>
    <w:rsid w:val="00F316A6"/>
    <w:rPr>
      <w:vertAlign w:val="superscript"/>
    </w:rPr>
  </w:style>
  <w:style w:type="paragraph" w:customStyle="1" w:styleId="QuoteBodyText">
    <w:name w:val="QuoteBodyText"/>
    <w:basedOn w:val="BodyText"/>
    <w:next w:val="BodyText"/>
    <w:uiPriority w:val="6"/>
    <w:qFormat/>
    <w:rsid w:val="009539DE"/>
    <w:pPr>
      <w:keepLines/>
      <w:ind w:left="567" w:right="662"/>
    </w:pPr>
    <w:rPr>
      <w:rFonts w:ascii="Montserrat" w:eastAsia="Calibri" w:hAnsi="Montserrat" w:cs="Calibri"/>
      <w:i/>
      <w:sz w:val="18"/>
      <w:szCs w:val="18"/>
      <w:lang w:eastAsia="en-US"/>
    </w:rPr>
  </w:style>
  <w:style w:type="character" w:customStyle="1" w:styleId="apple-converted-space">
    <w:name w:val="apple-converted-space"/>
    <w:basedOn w:val="DefaultParagraphFont"/>
    <w:rsid w:val="00AA7A50"/>
  </w:style>
  <w:style w:type="table" w:customStyle="1" w:styleId="HTATableshaded">
    <w:name w:val="HTA Table shaded"/>
    <w:basedOn w:val="TableNormal"/>
    <w:rsid w:val="00195034"/>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FigNotes18">
    <w:name w:val="TableFigNotes+18"/>
    <w:basedOn w:val="ListParagraph"/>
    <w:next w:val="BodyText"/>
    <w:link w:val="TableFigNotes18Char"/>
    <w:uiPriority w:val="4"/>
    <w:qFormat/>
    <w:rsid w:val="00526ED2"/>
    <w:pPr>
      <w:numPr>
        <w:numId w:val="0"/>
      </w:numPr>
      <w:spacing w:before="60" w:after="360" w:line="276" w:lineRule="auto"/>
      <w:contextualSpacing/>
    </w:pPr>
    <w:rPr>
      <w:rFonts w:eastAsia="Calibri" w:cs="Calibri"/>
      <w:snapToGrid/>
      <w:sz w:val="16"/>
      <w:szCs w:val="20"/>
      <w:lang w:eastAsia="en-US"/>
    </w:rPr>
  </w:style>
  <w:style w:type="character" w:customStyle="1" w:styleId="TableFigNotes18Char">
    <w:name w:val="TableFigNotes+18 Char"/>
    <w:basedOn w:val="DefaultParagraphFont"/>
    <w:link w:val="TableFigNotes18"/>
    <w:uiPriority w:val="4"/>
    <w:locked/>
    <w:rsid w:val="00526ED2"/>
    <w:rPr>
      <w:rFonts w:asciiTheme="minorHAnsi" w:eastAsia="Calibri" w:hAnsiTheme="minorHAnsi" w:cs="Calibri"/>
      <w:sz w:val="16"/>
      <w:lang w:eastAsia="en-US"/>
    </w:rPr>
  </w:style>
  <w:style w:type="paragraph" w:customStyle="1" w:styleId="TableFigNotes0">
    <w:name w:val="TableFigNotes+0"/>
    <w:basedOn w:val="Normal"/>
    <w:uiPriority w:val="4"/>
    <w:rsid w:val="00526ED2"/>
    <w:pPr>
      <w:keepNext/>
      <w:keepLines/>
      <w:jc w:val="left"/>
    </w:pPr>
    <w:rPr>
      <w:rFonts w:cs="Tahoma"/>
      <w:color w:val="000000"/>
      <w:sz w:val="16"/>
      <w:szCs w:val="18"/>
      <w:lang w:val="en-US"/>
    </w:rPr>
  </w:style>
  <w:style w:type="paragraph" w:customStyle="1" w:styleId="Pic">
    <w:name w:val="Pic"/>
    <w:next w:val="ListParagraph"/>
    <w:uiPriority w:val="9"/>
    <w:qFormat/>
    <w:rsid w:val="000D1848"/>
    <w:pPr>
      <w:keepNext/>
    </w:pPr>
    <w:rPr>
      <w:rFonts w:ascii="Calibri" w:eastAsia="Calibri" w:hAnsi="Calibri" w:cs="Calibri"/>
      <w:lang w:eastAsia="en-US"/>
    </w:rPr>
  </w:style>
  <w:style w:type="paragraph" w:customStyle="1" w:styleId="Heading1Alt">
    <w:name w:val="Heading 1 Alt"/>
    <w:basedOn w:val="Normal"/>
    <w:qFormat/>
    <w:rsid w:val="000D1848"/>
    <w:pPr>
      <w:spacing w:after="120" w:line="276" w:lineRule="auto"/>
      <w:ind w:left="2970" w:hanging="2268"/>
      <w:jc w:val="left"/>
    </w:pPr>
    <w:rPr>
      <w:rFonts w:ascii="Montserrat" w:eastAsia="Calibri" w:hAnsi="Montserrat" w:cs="Calibri"/>
      <w:sz w:val="18"/>
      <w:szCs w:val="20"/>
      <w:lang w:eastAsia="en-US"/>
    </w:rPr>
  </w:style>
  <w:style w:type="paragraph" w:customStyle="1" w:styleId="Heading2Alt">
    <w:name w:val="Heading 2 Alt"/>
    <w:basedOn w:val="Normal"/>
    <w:qFormat/>
    <w:rsid w:val="000D1848"/>
    <w:pPr>
      <w:spacing w:after="120" w:line="276" w:lineRule="auto"/>
      <w:ind w:left="1836" w:hanging="1134"/>
      <w:jc w:val="left"/>
    </w:pPr>
    <w:rPr>
      <w:rFonts w:ascii="Montserrat" w:eastAsia="Calibri" w:hAnsi="Montserrat" w:cs="Calibri"/>
      <w:sz w:val="18"/>
      <w:szCs w:val="20"/>
      <w:lang w:eastAsia="en-US"/>
    </w:rPr>
  </w:style>
  <w:style w:type="paragraph" w:customStyle="1" w:styleId="Heading3Alt">
    <w:name w:val="Heading 3 Alt"/>
    <w:basedOn w:val="Normal"/>
    <w:qFormat/>
    <w:rsid w:val="000D1848"/>
    <w:pPr>
      <w:spacing w:after="120" w:line="276" w:lineRule="auto"/>
      <w:ind w:left="1836" w:hanging="1134"/>
      <w:jc w:val="left"/>
    </w:pPr>
    <w:rPr>
      <w:rFonts w:ascii="Montserrat" w:eastAsia="Calibri" w:hAnsi="Montserrat" w:cs="Calibri"/>
      <w:sz w:val="18"/>
      <w:szCs w:val="20"/>
      <w:lang w:eastAsia="en-US"/>
    </w:rPr>
  </w:style>
  <w:style w:type="paragraph" w:customStyle="1" w:styleId="Heading5Alt">
    <w:name w:val="Heading 5 Alt"/>
    <w:basedOn w:val="Normal"/>
    <w:rsid w:val="000D1848"/>
    <w:pPr>
      <w:spacing w:after="120" w:line="276" w:lineRule="auto"/>
      <w:ind w:left="702"/>
      <w:jc w:val="left"/>
    </w:pPr>
    <w:rPr>
      <w:rFonts w:ascii="Montserrat" w:eastAsia="Calibri" w:hAnsi="Montserrat" w:cs="Calibri"/>
      <w:sz w:val="18"/>
      <w:szCs w:val="20"/>
      <w:lang w:eastAsia="en-US"/>
    </w:rPr>
  </w:style>
  <w:style w:type="table" w:customStyle="1" w:styleId="TableGrid1">
    <w:name w:val="Table Grid1"/>
    <w:basedOn w:val="TableNormal"/>
    <w:next w:val="TableGrid"/>
    <w:uiPriority w:val="39"/>
    <w:rsid w:val="0000083D"/>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SubsectionHeading">
    <w:name w:val="3-Subsection Heading"/>
    <w:basedOn w:val="Heading2"/>
    <w:next w:val="Normal"/>
    <w:link w:val="3-SubsectionHeadingChar"/>
    <w:qFormat/>
    <w:rsid w:val="00B70552"/>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B70552"/>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65376239">
      <w:bodyDiv w:val="1"/>
      <w:marLeft w:val="0"/>
      <w:marRight w:val="0"/>
      <w:marTop w:val="0"/>
      <w:marBottom w:val="0"/>
      <w:divBdr>
        <w:top w:val="none" w:sz="0" w:space="0" w:color="auto"/>
        <w:left w:val="none" w:sz="0" w:space="0" w:color="auto"/>
        <w:bottom w:val="none" w:sz="0" w:space="0" w:color="auto"/>
        <w:right w:val="none" w:sz="0" w:space="0" w:color="auto"/>
      </w:divBdr>
    </w:div>
    <w:div w:id="425152925">
      <w:bodyDiv w:val="1"/>
      <w:marLeft w:val="0"/>
      <w:marRight w:val="0"/>
      <w:marTop w:val="0"/>
      <w:marBottom w:val="0"/>
      <w:divBdr>
        <w:top w:val="none" w:sz="0" w:space="0" w:color="auto"/>
        <w:left w:val="none" w:sz="0" w:space="0" w:color="auto"/>
        <w:bottom w:val="none" w:sz="0" w:space="0" w:color="auto"/>
        <w:right w:val="none" w:sz="0" w:space="0" w:color="auto"/>
      </w:divBdr>
    </w:div>
    <w:div w:id="463890396">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098790162">
      <w:bodyDiv w:val="1"/>
      <w:marLeft w:val="0"/>
      <w:marRight w:val="0"/>
      <w:marTop w:val="0"/>
      <w:marBottom w:val="0"/>
      <w:divBdr>
        <w:top w:val="none" w:sz="0" w:space="0" w:color="auto"/>
        <w:left w:val="none" w:sz="0" w:space="0" w:color="auto"/>
        <w:bottom w:val="none" w:sz="0" w:space="0" w:color="auto"/>
        <w:right w:val="none" w:sz="0" w:space="0" w:color="auto"/>
      </w:divBdr>
      <w:divsChild>
        <w:div w:id="1032146044">
          <w:marLeft w:val="605"/>
          <w:marRight w:val="0"/>
          <w:marTop w:val="40"/>
          <w:marBottom w:val="80"/>
          <w:divBdr>
            <w:top w:val="none" w:sz="0" w:space="0" w:color="auto"/>
            <w:left w:val="none" w:sz="0" w:space="0" w:color="auto"/>
            <w:bottom w:val="none" w:sz="0" w:space="0" w:color="auto"/>
            <w:right w:val="none" w:sz="0" w:space="0" w:color="auto"/>
          </w:divBdr>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412702209">
      <w:bodyDiv w:val="1"/>
      <w:marLeft w:val="0"/>
      <w:marRight w:val="0"/>
      <w:marTop w:val="0"/>
      <w:marBottom w:val="0"/>
      <w:divBdr>
        <w:top w:val="none" w:sz="0" w:space="0" w:color="auto"/>
        <w:left w:val="none" w:sz="0" w:space="0" w:color="auto"/>
        <w:bottom w:val="none" w:sz="0" w:space="0" w:color="auto"/>
        <w:right w:val="none" w:sz="0" w:space="0" w:color="auto"/>
      </w:divBdr>
    </w:div>
    <w:div w:id="1493061427">
      <w:bodyDiv w:val="1"/>
      <w:marLeft w:val="0"/>
      <w:marRight w:val="0"/>
      <w:marTop w:val="0"/>
      <w:marBottom w:val="0"/>
      <w:divBdr>
        <w:top w:val="none" w:sz="0" w:space="0" w:color="auto"/>
        <w:left w:val="none" w:sz="0" w:space="0" w:color="auto"/>
        <w:bottom w:val="none" w:sz="0" w:space="0" w:color="auto"/>
        <w:right w:val="none" w:sz="0" w:space="0" w:color="auto"/>
      </w:divBdr>
    </w:div>
    <w:div w:id="1519199962">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33B2B6A7-9F89-4552-BFE3-2AA753256DF8}">
  <ds:schemaRefs>
    <ds:schemaRef ds:uri="http://schemas.openxmlformats.org/officeDocument/2006/bibliography"/>
  </ds:schemaRefs>
</ds:datastoreItem>
</file>

<file path=customXml/itemProps2.xml><?xml version="1.0" encoding="utf-8"?>
<ds:datastoreItem xmlns:ds="http://schemas.openxmlformats.org/officeDocument/2006/customXml" ds:itemID="{562B6039-900E-4143-984B-34BF48EA477A}"/>
</file>

<file path=customXml/itemProps3.xml><?xml version="1.0" encoding="utf-8"?>
<ds:datastoreItem xmlns:ds="http://schemas.openxmlformats.org/officeDocument/2006/customXml" ds:itemID="{3044C107-972F-4C64-84E7-C9488A1A7E62}"/>
</file>

<file path=customXml/itemProps4.xml><?xml version="1.0" encoding="utf-8"?>
<ds:datastoreItem xmlns:ds="http://schemas.openxmlformats.org/officeDocument/2006/customXml" ds:itemID="{899D20E1-EE97-4363-982A-43F23A478963}"/>
</file>

<file path=docMetadata/LabelInfo.xml><?xml version="1.0" encoding="utf-8"?>
<clbl:labelList xmlns:clbl="http://schemas.microsoft.com/office/2020/mipLabelMetadata">
  <clbl:label id="{0a736f1a-6d66-4d7b-be62-d43e1e9bdc3b}" enabled="1" method="Standard" siteId="{69ce8198-0346-4196-b83f-1ae289c868d4}"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20</Pages>
  <Words>7411</Words>
  <Characters>42245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2025-06-26T00:37:00Z</dcterms:created>
  <dcterms:modified xsi:type="dcterms:W3CDTF">2025-06-26T00:37:00Z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ies>
</file>